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jc w:val="center"/>
        <w:tblLayout w:type="fixed"/>
        <w:tblCellMar>
          <w:left w:w="115" w:type="dxa"/>
          <w:right w:w="115" w:type="dxa"/>
        </w:tblCellMar>
        <w:tblLook w:val="01E0" w:firstRow="1" w:lastRow="1" w:firstColumn="1" w:lastColumn="1" w:noHBand="0" w:noVBand="0"/>
      </w:tblPr>
      <w:tblGrid>
        <w:gridCol w:w="1710"/>
        <w:gridCol w:w="180"/>
        <w:gridCol w:w="1980"/>
        <w:gridCol w:w="1689"/>
        <w:gridCol w:w="381"/>
        <w:gridCol w:w="1445"/>
        <w:gridCol w:w="346"/>
        <w:gridCol w:w="279"/>
        <w:gridCol w:w="1295"/>
        <w:gridCol w:w="55"/>
      </w:tblGrid>
      <w:tr w:rsidR="008A0386" w:rsidRPr="006C1252" w14:paraId="218699C3" w14:textId="77777777" w:rsidTr="106EE25D">
        <w:trPr>
          <w:gridAfter w:val="1"/>
          <w:wAfter w:w="55" w:type="dxa"/>
          <w:trHeight w:val="2114"/>
          <w:jc w:val="center"/>
        </w:trPr>
        <w:tc>
          <w:tcPr>
            <w:tcW w:w="9305" w:type="dxa"/>
            <w:gridSpan w:val="9"/>
          </w:tcPr>
          <w:p w14:paraId="323E77CC" w14:textId="64BBB343" w:rsidR="008A0386" w:rsidRPr="008F5FB2" w:rsidRDefault="008A0386" w:rsidP="008F5FB2">
            <w:pPr>
              <w:pStyle w:val="Title"/>
            </w:pPr>
          </w:p>
        </w:tc>
      </w:tr>
      <w:tr w:rsidR="008A0386" w:rsidRPr="006C1252" w14:paraId="27B58B93" w14:textId="77777777" w:rsidTr="106EE25D">
        <w:trPr>
          <w:gridAfter w:val="1"/>
          <w:wAfter w:w="55" w:type="dxa"/>
          <w:trHeight w:val="2114"/>
          <w:jc w:val="center"/>
        </w:trPr>
        <w:tc>
          <w:tcPr>
            <w:tcW w:w="9305" w:type="dxa"/>
            <w:gridSpan w:val="9"/>
          </w:tcPr>
          <w:p w14:paraId="6C295A4C" w14:textId="4536699C" w:rsidR="008A0386" w:rsidRPr="00C7058F" w:rsidRDefault="00E22F00" w:rsidP="008F5FB2">
            <w:pPr>
              <w:pStyle w:val="Title"/>
            </w:pPr>
            <w:r>
              <w:t xml:space="preserve">ComEd </w:t>
            </w:r>
            <w:r w:rsidR="00084F5A">
              <w:t xml:space="preserve">CY2024 </w:t>
            </w:r>
            <w:r>
              <w:t>Cost-Effectiveness</w:t>
            </w:r>
            <w:r w:rsidR="003502CB">
              <w:t xml:space="preserve"> </w:t>
            </w:r>
            <w:r w:rsidR="004B6A5A">
              <w:t>Research</w:t>
            </w:r>
            <w:r>
              <w:t xml:space="preserve"> Report</w:t>
            </w:r>
          </w:p>
          <w:p w14:paraId="0979FB97" w14:textId="74925984" w:rsidR="008A0386" w:rsidRPr="006C1252" w:rsidRDefault="008A0386" w:rsidP="00102A62">
            <w:pPr>
              <w:pStyle w:val="Subtitle"/>
            </w:pPr>
            <w:r w:rsidRPr="00781420">
              <w:rPr>
                <w:color w:val="auto"/>
              </w:rPr>
              <w:t xml:space="preserve">Energy Efficiency/Demand Response Plan: </w:t>
            </w:r>
            <w:r w:rsidRPr="00781420">
              <w:rPr>
                <w:color w:val="auto"/>
              </w:rPr>
              <w:br/>
              <w:t>Program Year 202</w:t>
            </w:r>
            <w:r w:rsidR="004A1611" w:rsidRPr="00781420">
              <w:rPr>
                <w:color w:val="auto"/>
              </w:rPr>
              <w:t>4</w:t>
            </w:r>
            <w:r w:rsidRPr="00781420">
              <w:rPr>
                <w:color w:val="auto"/>
              </w:rPr>
              <w:t xml:space="preserve"> (CY202</w:t>
            </w:r>
            <w:r w:rsidR="004A1611" w:rsidRPr="00781420">
              <w:rPr>
                <w:color w:val="auto"/>
              </w:rPr>
              <w:t>4</w:t>
            </w:r>
            <w:r w:rsidRPr="00781420">
              <w:rPr>
                <w:color w:val="auto"/>
              </w:rPr>
              <w:t xml:space="preserve">) </w:t>
            </w:r>
            <w:r w:rsidRPr="00781420">
              <w:rPr>
                <w:color w:val="auto"/>
              </w:rPr>
              <w:br/>
              <w:t>(1/1/202</w:t>
            </w:r>
            <w:r w:rsidR="004A1611" w:rsidRPr="00781420">
              <w:rPr>
                <w:color w:val="auto"/>
              </w:rPr>
              <w:t>4</w:t>
            </w:r>
            <w:r w:rsidRPr="00781420">
              <w:rPr>
                <w:color w:val="auto"/>
              </w:rPr>
              <w:t>-12/31/202</w:t>
            </w:r>
            <w:r w:rsidR="004A1611" w:rsidRPr="00781420">
              <w:rPr>
                <w:color w:val="auto"/>
              </w:rPr>
              <w:t>4</w:t>
            </w:r>
            <w:r w:rsidRPr="00781420">
              <w:rPr>
                <w:color w:val="auto"/>
              </w:rPr>
              <w:t>)</w:t>
            </w:r>
          </w:p>
        </w:tc>
      </w:tr>
      <w:tr w:rsidR="008A0386" w:rsidRPr="00C324C7" w14:paraId="2E3B3329" w14:textId="77777777" w:rsidTr="106EE25D">
        <w:trPr>
          <w:gridAfter w:val="1"/>
          <w:wAfter w:w="55" w:type="dxa"/>
          <w:trHeight w:val="2263"/>
          <w:jc w:val="center"/>
        </w:trPr>
        <w:tc>
          <w:tcPr>
            <w:tcW w:w="9305" w:type="dxa"/>
            <w:gridSpan w:val="9"/>
          </w:tcPr>
          <w:p w14:paraId="112CAAA5" w14:textId="56A50964" w:rsidR="008A0386" w:rsidRPr="00052BB0" w:rsidRDefault="008A0386" w:rsidP="009167B8">
            <w:pPr>
              <w:pStyle w:val="Preparedfor"/>
              <w:spacing w:before="0" w:after="240"/>
            </w:pPr>
            <w:r w:rsidRPr="00052BB0">
              <w:t>Prepared for:</w:t>
            </w:r>
          </w:p>
          <w:p w14:paraId="4FD6204B" w14:textId="7F14BB15" w:rsidR="008A0386" w:rsidRPr="00052BB0" w:rsidRDefault="008A0386" w:rsidP="002D421F">
            <w:pPr>
              <w:pStyle w:val="Preparedfor"/>
              <w:tabs>
                <w:tab w:val="center" w:pos="4537"/>
              </w:tabs>
            </w:pPr>
            <w:r w:rsidRPr="00052BB0">
              <w:t>ComEd</w:t>
            </w:r>
          </w:p>
          <w:p w14:paraId="32A1B223" w14:textId="3601C955" w:rsidR="008A0386" w:rsidRPr="003C4DBE" w:rsidRDefault="00F443C2" w:rsidP="005F145D">
            <w:pPr>
              <w:pStyle w:val="CoverClientName0"/>
              <w:spacing w:after="0"/>
              <w:rPr>
                <w:color w:val="auto"/>
              </w:rPr>
            </w:pPr>
            <w:r>
              <w:rPr>
                <w:color w:val="auto"/>
              </w:rPr>
              <w:t>DRAFT</w:t>
            </w:r>
          </w:p>
          <w:p w14:paraId="5C7637BA" w14:textId="77777777" w:rsidR="008A0386" w:rsidRPr="00052BB0" w:rsidRDefault="008A0386" w:rsidP="005F145D">
            <w:pPr>
              <w:pStyle w:val="CoverClientName0"/>
              <w:spacing w:after="0"/>
            </w:pPr>
          </w:p>
          <w:p w14:paraId="64A1CCD0" w14:textId="5D3D8BC4" w:rsidR="008A0386" w:rsidRPr="00363D18" w:rsidRDefault="004A1611" w:rsidP="005F145D">
            <w:pPr>
              <w:pStyle w:val="CoverClientName0"/>
              <w:spacing w:after="0"/>
            </w:pPr>
            <w:r>
              <w:t>April</w:t>
            </w:r>
            <w:r w:rsidR="00A84033">
              <w:t xml:space="preserve"> </w:t>
            </w:r>
            <w:r>
              <w:t>30</w:t>
            </w:r>
            <w:r w:rsidR="001652BC">
              <w:t>, 202</w:t>
            </w:r>
            <w:r>
              <w:t>5</w:t>
            </w:r>
          </w:p>
        </w:tc>
      </w:tr>
      <w:tr w:rsidR="008A0386" w:rsidRPr="00A53568" w14:paraId="5DCBA62E" w14:textId="77777777" w:rsidTr="106EE25D">
        <w:trPr>
          <w:gridAfter w:val="1"/>
          <w:wAfter w:w="55" w:type="dxa"/>
          <w:trHeight w:val="419"/>
          <w:jc w:val="center"/>
        </w:trPr>
        <w:tc>
          <w:tcPr>
            <w:tcW w:w="5940" w:type="dxa"/>
            <w:gridSpan w:val="5"/>
          </w:tcPr>
          <w:p w14:paraId="1F31821C" w14:textId="77777777" w:rsidR="008A0386" w:rsidRDefault="008A0386" w:rsidP="005F145D">
            <w:pPr>
              <w:pStyle w:val="BodyTextBold"/>
              <w:rPr>
                <w:rStyle w:val="CoverText"/>
              </w:rPr>
            </w:pPr>
          </w:p>
          <w:p w14:paraId="2BD18B4D" w14:textId="7838340B" w:rsidR="008A0386" w:rsidRDefault="008A0386" w:rsidP="005F145D">
            <w:pPr>
              <w:pStyle w:val="BodyTextBold"/>
              <w:rPr>
                <w:rStyle w:val="CoverText"/>
              </w:rPr>
            </w:pPr>
            <w:r>
              <w:rPr>
                <w:rStyle w:val="CoverText"/>
              </w:rPr>
              <w:t>Prepared</w:t>
            </w:r>
            <w:r w:rsidRPr="00B21048">
              <w:rPr>
                <w:rStyle w:val="CoverText"/>
              </w:rPr>
              <w:t xml:space="preserve"> by:</w:t>
            </w:r>
          </w:p>
        </w:tc>
        <w:tc>
          <w:tcPr>
            <w:tcW w:w="3365" w:type="dxa"/>
            <w:gridSpan w:val="4"/>
          </w:tcPr>
          <w:p w14:paraId="20D9C79D" w14:textId="77777777" w:rsidR="008A0386" w:rsidRDefault="008A0386" w:rsidP="00102A62">
            <w:pPr>
              <w:pStyle w:val="BodyTextNoSpacingAfter"/>
              <w:rPr>
                <w:rStyle w:val="CoverText"/>
              </w:rPr>
            </w:pPr>
          </w:p>
        </w:tc>
      </w:tr>
      <w:tr w:rsidR="00E22F00" w:rsidRPr="00957EA9" w14:paraId="01EB7615" w14:textId="77777777" w:rsidTr="106EE25D">
        <w:trPr>
          <w:trHeight w:val="2430"/>
          <w:jc w:val="center"/>
        </w:trPr>
        <w:tc>
          <w:tcPr>
            <w:tcW w:w="1710" w:type="dxa"/>
          </w:tcPr>
          <w:p w14:paraId="1B684EC1" w14:textId="47F5F47B" w:rsidR="00E22F00" w:rsidRPr="00957EA9" w:rsidRDefault="00844EA7" w:rsidP="106EE25D">
            <w:pPr>
              <w:pStyle w:val="PresentedBy"/>
              <w:rPr>
                <w:b/>
                <w:bCs/>
                <w:color w:val="auto"/>
                <w:sz w:val="20"/>
              </w:rPr>
            </w:pPr>
            <w:r w:rsidRPr="106EE25D">
              <w:rPr>
                <w:b/>
                <w:bCs/>
                <w:color w:val="auto"/>
                <w:sz w:val="20"/>
              </w:rPr>
              <w:t>James Gin</w:t>
            </w:r>
          </w:p>
          <w:p w14:paraId="0A527948" w14:textId="3D5A6E82" w:rsidR="00E22F00" w:rsidRPr="00957EA9" w:rsidRDefault="00E22F00" w:rsidP="106EE25D">
            <w:pPr>
              <w:pStyle w:val="PresentedBy"/>
              <w:rPr>
                <w:color w:val="auto"/>
                <w:sz w:val="20"/>
              </w:rPr>
            </w:pPr>
            <w:r w:rsidRPr="106EE25D">
              <w:rPr>
                <w:color w:val="auto"/>
                <w:sz w:val="20"/>
              </w:rPr>
              <w:t>Guidehouse</w:t>
            </w:r>
          </w:p>
        </w:tc>
        <w:tc>
          <w:tcPr>
            <w:tcW w:w="2160" w:type="dxa"/>
            <w:gridSpan w:val="2"/>
          </w:tcPr>
          <w:p w14:paraId="75F593E8" w14:textId="1424670E" w:rsidR="00E22F00" w:rsidRDefault="006113F7" w:rsidP="106EE25D">
            <w:pPr>
              <w:pStyle w:val="PresentedBy"/>
              <w:rPr>
                <w:b/>
                <w:bCs/>
                <w:color w:val="auto"/>
                <w:sz w:val="20"/>
              </w:rPr>
            </w:pPr>
            <w:r>
              <w:rPr>
                <w:b/>
                <w:bCs/>
                <w:color w:val="auto"/>
                <w:sz w:val="20"/>
              </w:rPr>
              <w:t>Ensar</w:t>
            </w:r>
            <w:r w:rsidR="00780F4F">
              <w:rPr>
                <w:b/>
                <w:bCs/>
                <w:color w:val="auto"/>
                <w:sz w:val="20"/>
              </w:rPr>
              <w:t xml:space="preserve"> Bis</w:t>
            </w:r>
            <w:r w:rsidR="004012E3">
              <w:rPr>
                <w:b/>
                <w:bCs/>
                <w:color w:val="auto"/>
                <w:sz w:val="20"/>
              </w:rPr>
              <w:t>ce</w:t>
            </w:r>
            <w:r w:rsidR="00780F4F">
              <w:rPr>
                <w:b/>
                <w:bCs/>
                <w:color w:val="auto"/>
                <w:sz w:val="20"/>
              </w:rPr>
              <w:t>vic</w:t>
            </w:r>
          </w:p>
          <w:p w14:paraId="043192C8" w14:textId="1BCA5563" w:rsidR="00E22F00" w:rsidRPr="00780F4F" w:rsidRDefault="00780F4F" w:rsidP="106EE25D">
            <w:pPr>
              <w:pStyle w:val="PresentedBy"/>
              <w:rPr>
                <w:color w:val="auto"/>
                <w:sz w:val="20"/>
              </w:rPr>
            </w:pPr>
            <w:r w:rsidRPr="00780F4F">
              <w:rPr>
                <w:color w:val="auto"/>
                <w:sz w:val="20"/>
              </w:rPr>
              <w:t>Guidehouse</w:t>
            </w:r>
          </w:p>
        </w:tc>
        <w:tc>
          <w:tcPr>
            <w:tcW w:w="2070" w:type="dxa"/>
            <w:gridSpan w:val="2"/>
          </w:tcPr>
          <w:p w14:paraId="636B13E8" w14:textId="3026FC9E" w:rsidR="00E22F00" w:rsidRPr="00957EA9" w:rsidRDefault="001B1325" w:rsidP="106EE25D">
            <w:pPr>
              <w:pStyle w:val="PresentedBy"/>
              <w:rPr>
                <w:b/>
                <w:bCs/>
                <w:color w:val="auto"/>
                <w:sz w:val="20"/>
              </w:rPr>
            </w:pPr>
            <w:r w:rsidRPr="106EE25D">
              <w:rPr>
                <w:b/>
                <w:bCs/>
                <w:color w:val="auto"/>
                <w:sz w:val="20"/>
              </w:rPr>
              <w:t>Stefan Johnson</w:t>
            </w:r>
          </w:p>
          <w:p w14:paraId="67873F60" w14:textId="0B644106" w:rsidR="00E22F00" w:rsidRPr="00957EA9" w:rsidRDefault="009D08C9" w:rsidP="106EE25D">
            <w:pPr>
              <w:pStyle w:val="BodyTextNoSpacingAfter"/>
              <w:rPr>
                <w:rStyle w:val="CoverText"/>
                <w:sz w:val="20"/>
                <w:szCs w:val="20"/>
                <w:highlight w:val="yellow"/>
              </w:rPr>
            </w:pPr>
            <w:r w:rsidRPr="106EE25D">
              <w:rPr>
                <w:sz w:val="20"/>
                <w:szCs w:val="20"/>
              </w:rPr>
              <w:t>Guidehouse</w:t>
            </w:r>
          </w:p>
        </w:tc>
        <w:tc>
          <w:tcPr>
            <w:tcW w:w="2070" w:type="dxa"/>
            <w:gridSpan w:val="3"/>
          </w:tcPr>
          <w:p w14:paraId="583DCD29" w14:textId="7C1312D4" w:rsidR="00E22F00" w:rsidRPr="00957EA9" w:rsidRDefault="00EE2132" w:rsidP="106EE25D">
            <w:pPr>
              <w:pStyle w:val="PresentedBy"/>
              <w:rPr>
                <w:b/>
                <w:bCs/>
                <w:color w:val="auto"/>
                <w:sz w:val="20"/>
              </w:rPr>
            </w:pPr>
            <w:r w:rsidRPr="106EE25D">
              <w:rPr>
                <w:b/>
                <w:bCs/>
                <w:color w:val="auto"/>
                <w:sz w:val="20"/>
              </w:rPr>
              <w:t>Mike Frischmann</w:t>
            </w:r>
          </w:p>
          <w:p w14:paraId="3D21997B" w14:textId="3800144E" w:rsidR="00E22F00" w:rsidRPr="00957EA9" w:rsidRDefault="00875C22" w:rsidP="106EE25D">
            <w:pPr>
              <w:pStyle w:val="BodyTextNoSpacingAfter"/>
              <w:rPr>
                <w:rStyle w:val="CoverText"/>
                <w:sz w:val="20"/>
                <w:szCs w:val="20"/>
              </w:rPr>
            </w:pPr>
            <w:r w:rsidRPr="106EE25D">
              <w:rPr>
                <w:sz w:val="20"/>
                <w:szCs w:val="20"/>
              </w:rPr>
              <w:t>EcoMetric</w:t>
            </w:r>
          </w:p>
        </w:tc>
        <w:tc>
          <w:tcPr>
            <w:tcW w:w="1350" w:type="dxa"/>
            <w:gridSpan w:val="2"/>
          </w:tcPr>
          <w:p w14:paraId="248E4B4C" w14:textId="5948E7F5" w:rsidR="00E22F00" w:rsidRPr="00957EA9" w:rsidRDefault="00E22F00" w:rsidP="00E22F00">
            <w:pPr>
              <w:pStyle w:val="BodyTextNoSpacingAfter"/>
              <w:rPr>
                <w:rStyle w:val="CoverText"/>
                <w:bCs/>
                <w:iCs w:val="0"/>
              </w:rPr>
            </w:pPr>
          </w:p>
        </w:tc>
      </w:tr>
      <w:tr w:rsidR="008A0386" w14:paraId="116964DC" w14:textId="77777777" w:rsidTr="106EE25D">
        <w:trPr>
          <w:trHeight w:val="1131"/>
          <w:jc w:val="center"/>
        </w:trPr>
        <w:tc>
          <w:tcPr>
            <w:tcW w:w="1890" w:type="dxa"/>
            <w:gridSpan w:val="2"/>
            <w:vAlign w:val="center"/>
          </w:tcPr>
          <w:p w14:paraId="2E060177" w14:textId="004DC005" w:rsidR="008A0386" w:rsidRPr="00957EA9" w:rsidRDefault="008A0386" w:rsidP="009167B8">
            <w:pPr>
              <w:pStyle w:val="PresentedBy"/>
              <w:jc w:val="center"/>
              <w:rPr>
                <w:b/>
                <w:color w:val="auto"/>
              </w:rPr>
            </w:pPr>
          </w:p>
        </w:tc>
        <w:tc>
          <w:tcPr>
            <w:tcW w:w="4050" w:type="dxa"/>
            <w:gridSpan w:val="3"/>
            <w:vAlign w:val="center"/>
          </w:tcPr>
          <w:p w14:paraId="3772F79D" w14:textId="04DE84EA" w:rsidR="008A0386" w:rsidRPr="6BF7E7CA" w:rsidRDefault="008A0386" w:rsidP="009167B8">
            <w:pPr>
              <w:pStyle w:val="PresentedBy"/>
              <w:jc w:val="center"/>
              <w:rPr>
                <w:b/>
                <w:bCs/>
                <w:color w:val="auto"/>
              </w:rPr>
            </w:pPr>
          </w:p>
        </w:tc>
        <w:tc>
          <w:tcPr>
            <w:tcW w:w="3420" w:type="dxa"/>
            <w:gridSpan w:val="5"/>
            <w:vAlign w:val="center"/>
          </w:tcPr>
          <w:p w14:paraId="50922384" w14:textId="77777777" w:rsidR="008A0386" w:rsidRDefault="008A0386" w:rsidP="009167B8">
            <w:pPr>
              <w:pStyle w:val="PresentedBy"/>
              <w:jc w:val="center"/>
              <w:rPr>
                <w:b/>
                <w:color w:val="auto"/>
              </w:rPr>
            </w:pPr>
          </w:p>
        </w:tc>
      </w:tr>
      <w:tr w:rsidR="008A0386" w:rsidRPr="00D8064B" w14:paraId="44C57D03" w14:textId="77777777" w:rsidTr="106EE25D">
        <w:trPr>
          <w:trHeight w:val="1135"/>
          <w:jc w:val="center"/>
        </w:trPr>
        <w:tc>
          <w:tcPr>
            <w:tcW w:w="1890" w:type="dxa"/>
            <w:gridSpan w:val="2"/>
            <w:vAlign w:val="center"/>
          </w:tcPr>
          <w:p w14:paraId="7E8B2046" w14:textId="4E240B21" w:rsidR="008A0386" w:rsidRDefault="009679B4" w:rsidP="009167B8">
            <w:pPr>
              <w:pStyle w:val="TitlepageRestriction"/>
              <w:rPr>
                <w:sz w:val="18"/>
                <w:szCs w:val="18"/>
              </w:rPr>
            </w:pPr>
            <w:r>
              <w:rPr>
                <w:noProof/>
              </w:rPr>
              <w:drawing>
                <wp:inline distT="0" distB="0" distL="0" distR="0" wp14:anchorId="31C50AF7" wp14:editId="6F4261BF">
                  <wp:extent cx="806601" cy="646751"/>
                  <wp:effectExtent l="0" t="0" r="0" b="1270"/>
                  <wp:docPr id="13" name="Picture 13" descr="Eco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1">
                            <a:extLst>
                              <a:ext uri="{28A0092B-C50C-407E-A947-70E740481C1C}">
                                <a14:useLocalDpi xmlns:a14="http://schemas.microsoft.com/office/drawing/2010/main" val="0"/>
                              </a:ext>
                            </a:extLst>
                          </a:blip>
                          <a:stretch>
                            <a:fillRect/>
                          </a:stretch>
                        </pic:blipFill>
                        <pic:spPr>
                          <a:xfrm>
                            <a:off x="0" y="0"/>
                            <a:ext cx="806601" cy="646751"/>
                          </a:xfrm>
                          <a:prstGeom prst="rect">
                            <a:avLst/>
                          </a:prstGeom>
                        </pic:spPr>
                      </pic:pic>
                    </a:graphicData>
                  </a:graphic>
                </wp:inline>
              </w:drawing>
            </w:r>
          </w:p>
          <w:p w14:paraId="58D6BBA8" w14:textId="53FF2715" w:rsidR="007E5445" w:rsidRPr="00D8064B" w:rsidRDefault="007E5445" w:rsidP="009167B8">
            <w:pPr>
              <w:pStyle w:val="TitlepageRestriction"/>
              <w:rPr>
                <w:sz w:val="18"/>
                <w:szCs w:val="18"/>
              </w:rPr>
            </w:pPr>
          </w:p>
        </w:tc>
        <w:tc>
          <w:tcPr>
            <w:tcW w:w="3669" w:type="dxa"/>
            <w:gridSpan w:val="2"/>
          </w:tcPr>
          <w:p w14:paraId="40EA0036" w14:textId="3D68AF69" w:rsidR="008A0386" w:rsidRPr="00D8064B" w:rsidRDefault="008A0386" w:rsidP="009167B8">
            <w:pPr>
              <w:pStyle w:val="TitlepageRestriction"/>
              <w:rPr>
                <w:sz w:val="18"/>
                <w:szCs w:val="18"/>
              </w:rPr>
            </w:pPr>
          </w:p>
        </w:tc>
        <w:tc>
          <w:tcPr>
            <w:tcW w:w="2172" w:type="dxa"/>
            <w:gridSpan w:val="3"/>
            <w:vAlign w:val="center"/>
          </w:tcPr>
          <w:p w14:paraId="6C16EBD6" w14:textId="3133E6F0" w:rsidR="008A0386" w:rsidRPr="00D8064B" w:rsidRDefault="008A0386" w:rsidP="009167B8">
            <w:pPr>
              <w:pStyle w:val="TitlepageRestriction"/>
              <w:rPr>
                <w:sz w:val="18"/>
                <w:szCs w:val="18"/>
              </w:rPr>
            </w:pPr>
          </w:p>
        </w:tc>
        <w:tc>
          <w:tcPr>
            <w:tcW w:w="1629" w:type="dxa"/>
            <w:gridSpan w:val="3"/>
          </w:tcPr>
          <w:p w14:paraId="466250E0" w14:textId="429ACBB1" w:rsidR="008A0386" w:rsidRPr="00D8064B" w:rsidRDefault="008A0386" w:rsidP="009167B8">
            <w:pPr>
              <w:pStyle w:val="TitlepageRestriction"/>
              <w:rPr>
                <w:sz w:val="18"/>
                <w:szCs w:val="18"/>
              </w:rPr>
            </w:pPr>
          </w:p>
        </w:tc>
      </w:tr>
      <w:tr w:rsidR="008A0386" w:rsidRPr="005D53EC" w14:paraId="11E75884" w14:textId="77777777" w:rsidTr="106EE25D">
        <w:trPr>
          <w:gridAfter w:val="1"/>
          <w:wAfter w:w="55" w:type="dxa"/>
          <w:trHeight w:val="153"/>
          <w:jc w:val="center"/>
        </w:trPr>
        <w:tc>
          <w:tcPr>
            <w:tcW w:w="1890" w:type="dxa"/>
            <w:gridSpan w:val="2"/>
            <w:vAlign w:val="center"/>
          </w:tcPr>
          <w:p w14:paraId="3A37F940" w14:textId="065CD28B" w:rsidR="008A0386" w:rsidRPr="00D8064B" w:rsidRDefault="008A0386" w:rsidP="008A0386">
            <w:pPr>
              <w:pStyle w:val="TitlepageRestriction"/>
              <w:rPr>
                <w:sz w:val="18"/>
                <w:szCs w:val="18"/>
              </w:rPr>
            </w:pPr>
            <w:r w:rsidRPr="00D8064B">
              <w:rPr>
                <w:b/>
                <w:sz w:val="18"/>
                <w:szCs w:val="18"/>
              </w:rPr>
              <w:t>guidehouse.com</w:t>
            </w:r>
          </w:p>
        </w:tc>
        <w:tc>
          <w:tcPr>
            <w:tcW w:w="4050" w:type="dxa"/>
            <w:gridSpan w:val="3"/>
          </w:tcPr>
          <w:p w14:paraId="1061E199" w14:textId="5DB4BFE6" w:rsidR="008A0386" w:rsidRPr="00D8064B" w:rsidRDefault="008A0386" w:rsidP="008A0386">
            <w:pPr>
              <w:pStyle w:val="TitlepageRestriction"/>
              <w:rPr>
                <w:sz w:val="18"/>
                <w:szCs w:val="18"/>
              </w:rPr>
            </w:pPr>
          </w:p>
        </w:tc>
        <w:tc>
          <w:tcPr>
            <w:tcW w:w="1445" w:type="dxa"/>
            <w:vAlign w:val="center"/>
          </w:tcPr>
          <w:p w14:paraId="161859CA" w14:textId="151E94DF" w:rsidR="008A0386" w:rsidRPr="00D8064B" w:rsidRDefault="008A0386" w:rsidP="008A0386">
            <w:pPr>
              <w:pStyle w:val="TitlepageRestriction"/>
              <w:rPr>
                <w:sz w:val="18"/>
                <w:szCs w:val="18"/>
              </w:rPr>
            </w:pPr>
          </w:p>
        </w:tc>
        <w:tc>
          <w:tcPr>
            <w:tcW w:w="1920" w:type="dxa"/>
            <w:gridSpan w:val="3"/>
          </w:tcPr>
          <w:p w14:paraId="13788733" w14:textId="5141DF31" w:rsidR="008A0386" w:rsidRPr="00D8064B" w:rsidRDefault="008A0386" w:rsidP="008A0386">
            <w:pPr>
              <w:pStyle w:val="TitlepageRestriction"/>
              <w:rPr>
                <w:sz w:val="18"/>
                <w:szCs w:val="18"/>
              </w:rPr>
            </w:pPr>
          </w:p>
        </w:tc>
      </w:tr>
    </w:tbl>
    <w:p w14:paraId="44DB259E" w14:textId="6886E2A6" w:rsidR="003C1C68" w:rsidRPr="004B7712" w:rsidRDefault="003C1C68" w:rsidP="003C1C68">
      <w:pPr>
        <w:sectPr w:rsidR="003C1C68" w:rsidRPr="004B7712" w:rsidSect="008F5FB2">
          <w:headerReference w:type="default" r:id="rId12"/>
          <w:footerReference w:type="even" r:id="rId13"/>
          <w:footerReference w:type="default" r:id="rId14"/>
          <w:headerReference w:type="first" r:id="rId15"/>
          <w:pgSz w:w="12240" w:h="15840" w:code="1"/>
          <w:pgMar w:top="432" w:right="1008" w:bottom="432" w:left="1008" w:header="432" w:footer="432" w:gutter="0"/>
          <w:cols w:space="720"/>
          <w:docGrid w:linePitch="360"/>
        </w:sectPr>
      </w:pPr>
    </w:p>
    <w:p w14:paraId="263EFB03" w14:textId="77777777" w:rsidR="00AF6479" w:rsidRPr="00CE09F1" w:rsidRDefault="00AF6479" w:rsidP="008F5FB2">
      <w:pPr>
        <w:pStyle w:val="BodyTextNoSpacingAfter"/>
      </w:pPr>
    </w:p>
    <w:p w14:paraId="5930690C" w14:textId="77777777" w:rsidR="00AF6479" w:rsidRPr="00CE09F1" w:rsidRDefault="00AF6479" w:rsidP="008F5FB2">
      <w:pPr>
        <w:pStyle w:val="BodyTextNoSpacingAfter"/>
      </w:pPr>
    </w:p>
    <w:p w14:paraId="313ACBB9" w14:textId="77777777" w:rsidR="00AF6479" w:rsidRPr="00CE09F1" w:rsidRDefault="00AF6479" w:rsidP="008F5FB2">
      <w:pPr>
        <w:pStyle w:val="BodyTextNoSpacingAfter"/>
      </w:pPr>
    </w:p>
    <w:p w14:paraId="37A6544B" w14:textId="77777777" w:rsidR="00AF6479" w:rsidRPr="00CE09F1" w:rsidRDefault="00AF6479" w:rsidP="008F5FB2">
      <w:pPr>
        <w:pStyle w:val="BodyTextNoSpacingAfter"/>
      </w:pPr>
    </w:p>
    <w:p w14:paraId="02FCA428" w14:textId="77777777" w:rsidR="00AF6479" w:rsidRPr="00CE09F1" w:rsidRDefault="00AF6479" w:rsidP="008F5FB2">
      <w:pPr>
        <w:pStyle w:val="BodyTextNoSpacingAfter"/>
      </w:pPr>
    </w:p>
    <w:p w14:paraId="31323D04" w14:textId="77777777" w:rsidR="00AF6479" w:rsidRPr="005621C7" w:rsidRDefault="00AF6479" w:rsidP="008F5FB2">
      <w:pPr>
        <w:pStyle w:val="BodyTextNoSpacingAfter"/>
        <w:rPr>
          <w:b/>
        </w:rPr>
      </w:pPr>
    </w:p>
    <w:p w14:paraId="6F5B9BEB" w14:textId="77777777" w:rsidR="00AF6479" w:rsidRPr="005621C7" w:rsidRDefault="00AF6479" w:rsidP="008F5FB2">
      <w:pPr>
        <w:pStyle w:val="BodyTextBold"/>
      </w:pPr>
      <w:r w:rsidRPr="005621C7">
        <w:t>Submitted to:</w:t>
      </w:r>
    </w:p>
    <w:p w14:paraId="562D099A" w14:textId="77777777" w:rsidR="00AF6479" w:rsidRPr="005621C7" w:rsidRDefault="003C1C68" w:rsidP="008F5FB2">
      <w:pPr>
        <w:pStyle w:val="BodyTextNoSpacingAfter"/>
      </w:pPr>
      <w:r w:rsidRPr="005621C7">
        <w:t>ComEd</w:t>
      </w:r>
    </w:p>
    <w:p w14:paraId="18D64C7D" w14:textId="77777777" w:rsidR="00AF6479" w:rsidRPr="005621C7" w:rsidRDefault="00CB1159" w:rsidP="008F5FB2">
      <w:pPr>
        <w:pStyle w:val="BodyTextNoSpacingAfter"/>
      </w:pPr>
      <w:r>
        <w:t>2011 Swift Drive</w:t>
      </w:r>
    </w:p>
    <w:p w14:paraId="70410E54" w14:textId="77777777" w:rsidR="00AF6479" w:rsidRPr="005621C7" w:rsidRDefault="00AF6479" w:rsidP="008F5FB2">
      <w:pPr>
        <w:pStyle w:val="BodyTextNoSpacingAfter"/>
      </w:pPr>
      <w:r w:rsidRPr="005621C7">
        <w:t>Oak</w:t>
      </w:r>
      <w:r w:rsidR="00F32459">
        <w:t xml:space="preserve"> B</w:t>
      </w:r>
      <w:r w:rsidRPr="005621C7">
        <w:t xml:space="preserve">rook, IL </w:t>
      </w:r>
      <w:r w:rsidR="00CB1159" w:rsidRPr="005621C7">
        <w:t>60</w:t>
      </w:r>
      <w:r w:rsidR="00CB1159">
        <w:t>523</w:t>
      </w:r>
    </w:p>
    <w:p w14:paraId="0ACFB231" w14:textId="77777777" w:rsidR="00AF6479" w:rsidRPr="005621C7" w:rsidRDefault="00AF6479" w:rsidP="008F5FB2">
      <w:pPr>
        <w:pStyle w:val="BodyTextNoSpacingAfter"/>
      </w:pPr>
    </w:p>
    <w:p w14:paraId="5CF3B713" w14:textId="77777777" w:rsidR="0019032F" w:rsidRPr="005621C7" w:rsidRDefault="0019032F" w:rsidP="008F5FB2">
      <w:pPr>
        <w:pStyle w:val="BodyTextNoSpacingAfter"/>
      </w:pPr>
    </w:p>
    <w:p w14:paraId="0CC3335D" w14:textId="77777777" w:rsidR="00AF6479" w:rsidRPr="005621C7" w:rsidRDefault="00AF6479" w:rsidP="008F5FB2">
      <w:pPr>
        <w:pStyle w:val="BodyTextBold"/>
      </w:pPr>
      <w:r w:rsidRPr="005621C7">
        <w:t>Submitted by:</w:t>
      </w:r>
    </w:p>
    <w:p w14:paraId="193BC2DB" w14:textId="2548B6E5" w:rsidR="00AF6479" w:rsidRPr="005621C7" w:rsidRDefault="004B7712" w:rsidP="008F5FB2">
      <w:pPr>
        <w:pStyle w:val="BodyTextNoSpacingAfter"/>
      </w:pPr>
      <w:r>
        <w:t>Guidehouse</w:t>
      </w:r>
      <w:r w:rsidR="00102A62">
        <w:t xml:space="preserve"> Inc.</w:t>
      </w:r>
    </w:p>
    <w:p w14:paraId="24AF0F85" w14:textId="77777777" w:rsidR="00AF6479" w:rsidRPr="005621C7" w:rsidRDefault="004B6DD0" w:rsidP="008F5FB2">
      <w:pPr>
        <w:pStyle w:val="BodyTextNoSpacingAfter"/>
      </w:pPr>
      <w:r>
        <w:t>150 N. Riverside Plaza, Suite 2100</w:t>
      </w:r>
    </w:p>
    <w:p w14:paraId="6AF3317D" w14:textId="77777777" w:rsidR="00AF6479" w:rsidRPr="005621C7" w:rsidRDefault="00AF6479" w:rsidP="008F5FB2">
      <w:pPr>
        <w:pStyle w:val="BodyTextNoSpacingAfter"/>
      </w:pPr>
      <w:r w:rsidRPr="005621C7">
        <w:t>Chicago, IL 60606</w:t>
      </w:r>
    </w:p>
    <w:p w14:paraId="0EBE6FE4" w14:textId="77777777" w:rsidR="00AF6479" w:rsidRPr="005621C7" w:rsidRDefault="00AF6479" w:rsidP="008F5FB2">
      <w:pPr>
        <w:pStyle w:val="BodyTextNoSpacingAfter"/>
      </w:pPr>
    </w:p>
    <w:p w14:paraId="3AD72B76" w14:textId="77777777" w:rsidR="0019032F" w:rsidRPr="005621C7" w:rsidRDefault="0019032F" w:rsidP="008F5FB2">
      <w:pPr>
        <w:pStyle w:val="BodyTextNoSpacingAfter"/>
      </w:pPr>
    </w:p>
    <w:p w14:paraId="6BAB1918" w14:textId="77777777" w:rsidR="00AF6479" w:rsidRPr="005621C7" w:rsidRDefault="003C1C68" w:rsidP="008F5FB2">
      <w:pPr>
        <w:pStyle w:val="BodyTextNoSpacingAfter"/>
      </w:pPr>
      <w:r w:rsidRPr="005621C7">
        <w:rPr>
          <w:b/>
        </w:rPr>
        <w:t>Contact</w:t>
      </w:r>
      <w:r w:rsidR="00AF6479" w:rsidRPr="005621C7">
        <w:rPr>
          <w:b/>
        </w:rPr>
        <w:t>:</w:t>
      </w:r>
    </w:p>
    <w:p w14:paraId="1DEE95A6" w14:textId="77777777" w:rsidR="00AF6479" w:rsidRPr="005621C7" w:rsidRDefault="00AF6479" w:rsidP="009A0F87">
      <w:pPr>
        <w:pStyle w:val="Contactinfo"/>
      </w:pPr>
    </w:p>
    <w:tbl>
      <w:tblPr>
        <w:tblW w:w="5000" w:type="pct"/>
        <w:tblLook w:val="00A0" w:firstRow="1" w:lastRow="0" w:firstColumn="1" w:lastColumn="0" w:noHBand="0" w:noVBand="0"/>
      </w:tblPr>
      <w:tblGrid>
        <w:gridCol w:w="3368"/>
        <w:gridCol w:w="3031"/>
        <w:gridCol w:w="2961"/>
      </w:tblGrid>
      <w:tr w:rsidR="00A149A3" w:rsidRPr="00010803" w14:paraId="2F425C8C" w14:textId="77777777" w:rsidTr="00833F2E">
        <w:trPr>
          <w:trHeight w:val="1758"/>
        </w:trPr>
        <w:tc>
          <w:tcPr>
            <w:tcW w:w="1676" w:type="pct"/>
          </w:tcPr>
          <w:p w14:paraId="4972CFA2" w14:textId="30DB7C88" w:rsidR="001E76D5" w:rsidRPr="00D56D9E" w:rsidRDefault="53F0FEF8" w:rsidP="00833F2E">
            <w:pPr>
              <w:pStyle w:val="BodyTextNoSpacingAfter"/>
              <w:rPr>
                <w:sz w:val="19"/>
                <w:szCs w:val="19"/>
              </w:rPr>
            </w:pPr>
            <w:r w:rsidRPr="00D56D9E">
              <w:rPr>
                <w:rFonts w:eastAsia="Arial"/>
                <w:sz w:val="19"/>
                <w:szCs w:val="19"/>
              </w:rPr>
              <w:t>Charles Maglione, Partner</w:t>
            </w:r>
          </w:p>
          <w:p w14:paraId="0418F8CC" w14:textId="42C7FBF9" w:rsidR="001E76D5" w:rsidRPr="00D56D9E" w:rsidRDefault="53F0FEF8" w:rsidP="00833F2E">
            <w:pPr>
              <w:pStyle w:val="BodyTextNoSpacingAfter"/>
              <w:rPr>
                <w:sz w:val="19"/>
                <w:szCs w:val="19"/>
              </w:rPr>
            </w:pPr>
            <w:r w:rsidRPr="00D56D9E">
              <w:rPr>
                <w:rFonts w:eastAsia="Arial"/>
                <w:sz w:val="19"/>
                <w:szCs w:val="19"/>
              </w:rPr>
              <w:t>703.431.1983</w:t>
            </w:r>
          </w:p>
          <w:p w14:paraId="3E9BB64D" w14:textId="51C9B9BA" w:rsidR="001E76D5" w:rsidRPr="00D56D9E" w:rsidRDefault="53F0FEF8" w:rsidP="00833F2E">
            <w:pPr>
              <w:pStyle w:val="BodyTextNoSpacingAfter"/>
              <w:rPr>
                <w:rFonts w:ascii="Arial Bold" w:hAnsi="Arial Bold"/>
                <w:b/>
                <w:sz w:val="19"/>
                <w:szCs w:val="19"/>
                <w:u w:val="single" w:color="93D500" w:themeColor="accent1"/>
              </w:rPr>
            </w:pPr>
            <w:hyperlink r:id="rId16">
              <w:r w:rsidRPr="00D56D9E">
                <w:rPr>
                  <w:rFonts w:ascii="Arial Bold" w:hAnsi="Arial Bold"/>
                  <w:b/>
                  <w:sz w:val="19"/>
                  <w:szCs w:val="19"/>
                  <w:u w:val="single" w:color="93D500" w:themeColor="accent1"/>
                </w:rPr>
                <w:t>cmaglione@guidehouse.com</w:t>
              </w:r>
            </w:hyperlink>
          </w:p>
          <w:p w14:paraId="1B50419D" w14:textId="77777777" w:rsidR="00943F0A" w:rsidRPr="00D56D9E" w:rsidRDefault="00943F0A" w:rsidP="00943F0A">
            <w:pPr>
              <w:rPr>
                <w:rFonts w:cs="Arial"/>
                <w:sz w:val="19"/>
                <w:szCs w:val="19"/>
              </w:rPr>
            </w:pPr>
          </w:p>
          <w:p w14:paraId="26CA5B16" w14:textId="0E89BBBA" w:rsidR="00943F0A" w:rsidRPr="00D56D9E" w:rsidRDefault="00943F0A" w:rsidP="00943F0A">
            <w:pPr>
              <w:rPr>
                <w:rFonts w:cs="Arial"/>
                <w:sz w:val="19"/>
                <w:szCs w:val="19"/>
              </w:rPr>
            </w:pPr>
            <w:r w:rsidRPr="00D56D9E">
              <w:rPr>
                <w:rFonts w:cs="Arial"/>
                <w:sz w:val="19"/>
                <w:szCs w:val="19"/>
              </w:rPr>
              <w:t>Charles Ampong</w:t>
            </w:r>
            <w:r w:rsidR="0037106A">
              <w:rPr>
                <w:rFonts w:cs="Arial"/>
                <w:sz w:val="19"/>
                <w:szCs w:val="19"/>
              </w:rPr>
              <w:t>, Associate Director</w:t>
            </w:r>
          </w:p>
          <w:p w14:paraId="0EEBE968" w14:textId="312F79FD" w:rsidR="001E76D5" w:rsidRPr="00D56D9E" w:rsidRDefault="00943F0A" w:rsidP="00950EB1">
            <w:pPr>
              <w:rPr>
                <w:sz w:val="19"/>
                <w:szCs w:val="19"/>
              </w:rPr>
            </w:pPr>
            <w:r w:rsidRPr="00D56D9E">
              <w:rPr>
                <w:rFonts w:cs="Arial"/>
                <w:sz w:val="19"/>
                <w:szCs w:val="19"/>
              </w:rPr>
              <w:t>608.446.3172</w:t>
            </w:r>
            <w:r w:rsidR="00D56D9E" w:rsidRPr="00D56D9E">
              <w:rPr>
                <w:rFonts w:cs="Arial"/>
                <w:b/>
                <w:sz w:val="19"/>
                <w:szCs w:val="19"/>
                <w:u w:color="93D500" w:themeColor="accent1"/>
              </w:rPr>
              <w:t xml:space="preserve">     </w:t>
            </w:r>
            <w:hyperlink r:id="rId17" w:history="1">
              <w:r w:rsidR="00D56D9E" w:rsidRPr="00D56D9E">
                <w:rPr>
                  <w:rStyle w:val="Hyperlink"/>
                  <w:rFonts w:cs="Arial"/>
                  <w:sz w:val="19"/>
                  <w:szCs w:val="19"/>
                </w:rPr>
                <w:t>charles.ampong@guidehouse.com</w:t>
              </w:r>
            </w:hyperlink>
          </w:p>
        </w:tc>
        <w:tc>
          <w:tcPr>
            <w:tcW w:w="1465" w:type="pct"/>
          </w:tcPr>
          <w:p w14:paraId="0B65FD05" w14:textId="77777777" w:rsidR="00A149A3" w:rsidRPr="00D56D9E" w:rsidRDefault="00A149A3" w:rsidP="008F5FB2">
            <w:pPr>
              <w:pStyle w:val="BodyTextNoSpacingAfter"/>
              <w:rPr>
                <w:sz w:val="19"/>
                <w:szCs w:val="19"/>
              </w:rPr>
            </w:pPr>
            <w:r w:rsidRPr="00D56D9E">
              <w:rPr>
                <w:sz w:val="19"/>
                <w:szCs w:val="19"/>
              </w:rPr>
              <w:t>Jeff Erickson, Director</w:t>
            </w:r>
          </w:p>
          <w:p w14:paraId="62A8722B" w14:textId="77777777" w:rsidR="00A149A3" w:rsidRPr="00D56D9E" w:rsidRDefault="00A149A3" w:rsidP="008F5FB2">
            <w:pPr>
              <w:pStyle w:val="BodyTextNoSpacingAfter"/>
              <w:rPr>
                <w:sz w:val="19"/>
                <w:szCs w:val="19"/>
              </w:rPr>
            </w:pPr>
            <w:r w:rsidRPr="00D56D9E">
              <w:rPr>
                <w:sz w:val="19"/>
                <w:szCs w:val="19"/>
              </w:rPr>
              <w:t>608.</w:t>
            </w:r>
            <w:r w:rsidR="00AC59C7" w:rsidRPr="00D56D9E">
              <w:rPr>
                <w:sz w:val="19"/>
                <w:szCs w:val="19"/>
              </w:rPr>
              <w:t>616.</w:t>
            </w:r>
            <w:r w:rsidR="004C7C65" w:rsidRPr="00D56D9E">
              <w:rPr>
                <w:sz w:val="19"/>
                <w:szCs w:val="19"/>
              </w:rPr>
              <w:t>4962</w:t>
            </w:r>
          </w:p>
          <w:p w14:paraId="7330D527" w14:textId="7624BB0F" w:rsidR="001E76D5" w:rsidRPr="00D56D9E" w:rsidRDefault="00010803" w:rsidP="008F5FB2">
            <w:pPr>
              <w:pStyle w:val="BodyTextNoSpacingAfter"/>
              <w:rPr>
                <w:rFonts w:ascii="Arial Bold" w:hAnsi="Arial Bold"/>
                <w:b/>
                <w:sz w:val="19"/>
                <w:szCs w:val="19"/>
                <w:u w:val="single" w:color="93D500" w:themeColor="accent1"/>
              </w:rPr>
            </w:pPr>
            <w:hyperlink r:id="rId18" w:history="1">
              <w:r w:rsidRPr="00010803">
                <w:rPr>
                  <w:rStyle w:val="Hyperlink"/>
                  <w:rFonts w:ascii="Arial Bold" w:hAnsi="Arial Bold"/>
                  <w:sz w:val="19"/>
                  <w:szCs w:val="19"/>
                </w:rPr>
                <w:t>jeff.erickson@guidehouse.com</w:t>
              </w:r>
            </w:hyperlink>
          </w:p>
        </w:tc>
        <w:tc>
          <w:tcPr>
            <w:tcW w:w="1859" w:type="pct"/>
          </w:tcPr>
          <w:p w14:paraId="66937D92" w14:textId="77777777" w:rsidR="00C970E4" w:rsidRPr="00D56D9E" w:rsidRDefault="00C970E4" w:rsidP="00C970E4">
            <w:pPr>
              <w:rPr>
                <w:rFonts w:cs="Arial"/>
                <w:sz w:val="19"/>
                <w:szCs w:val="19"/>
              </w:rPr>
            </w:pPr>
            <w:r w:rsidRPr="00D56D9E">
              <w:rPr>
                <w:rFonts w:cs="Arial"/>
                <w:sz w:val="19"/>
                <w:szCs w:val="19"/>
              </w:rPr>
              <w:t>Neil Curtis, Director </w:t>
            </w:r>
          </w:p>
          <w:p w14:paraId="43453184" w14:textId="77777777" w:rsidR="00C970E4" w:rsidRPr="00D56D9E" w:rsidRDefault="00C970E4" w:rsidP="00C970E4">
            <w:pPr>
              <w:rPr>
                <w:rFonts w:cs="Arial"/>
                <w:sz w:val="19"/>
                <w:szCs w:val="19"/>
              </w:rPr>
            </w:pPr>
            <w:r w:rsidRPr="00D56D9E">
              <w:rPr>
                <w:rFonts w:cs="Arial"/>
                <w:sz w:val="19"/>
                <w:szCs w:val="19"/>
              </w:rPr>
              <w:t>802.526.5119  </w:t>
            </w:r>
          </w:p>
          <w:p w14:paraId="508968DF" w14:textId="16F5A52E" w:rsidR="00C970E4" w:rsidRPr="00D56D9E" w:rsidRDefault="00C970E4" w:rsidP="00C970E4">
            <w:pPr>
              <w:rPr>
                <w:rFonts w:cs="Arial"/>
                <w:sz w:val="19"/>
                <w:szCs w:val="19"/>
                <w:u w:val="single" w:color="93D500" w:themeColor="accent1"/>
              </w:rPr>
            </w:pPr>
            <w:hyperlink r:id="rId19" w:history="1">
              <w:r w:rsidRPr="00D56D9E">
                <w:rPr>
                  <w:rStyle w:val="Hyperlink"/>
                  <w:rFonts w:cs="Arial"/>
                  <w:sz w:val="19"/>
                  <w:szCs w:val="19"/>
                </w:rPr>
                <w:t>neil.curtis@guidehouse.com</w:t>
              </w:r>
            </w:hyperlink>
          </w:p>
          <w:p w14:paraId="246E1C5A" w14:textId="38CC4252" w:rsidR="00E22F00" w:rsidRPr="00D56D9E" w:rsidRDefault="00E22F00" w:rsidP="00E22F00">
            <w:pPr>
              <w:pStyle w:val="BodyTextNoSpacingAfter"/>
              <w:rPr>
                <w:sz w:val="19"/>
                <w:szCs w:val="19"/>
              </w:rPr>
            </w:pPr>
          </w:p>
        </w:tc>
      </w:tr>
    </w:tbl>
    <w:p w14:paraId="1640A6DD" w14:textId="77777777" w:rsidR="00C970E4" w:rsidRPr="007B32D7" w:rsidRDefault="00C970E4" w:rsidP="009A59F0">
      <w:pPr>
        <w:pStyle w:val="Contactinfo"/>
      </w:pPr>
    </w:p>
    <w:p w14:paraId="372F78E0" w14:textId="6D65A18A" w:rsidR="006F5275" w:rsidRPr="005621C7" w:rsidRDefault="00C320F6" w:rsidP="00A83863">
      <w:r w:rsidRPr="00121141">
        <w:t>T</w:t>
      </w:r>
      <w:r w:rsidRPr="000414D4">
        <w:t xml:space="preserve">his report was prepared by </w:t>
      </w:r>
      <w:r w:rsidR="003073E0">
        <w:t>Guidehouse</w:t>
      </w:r>
      <w:r w:rsidRPr="000414D4">
        <w:t xml:space="preserve"> for ComEd. The work presented in this report represents </w:t>
      </w:r>
      <w:proofErr w:type="spellStart"/>
      <w:r w:rsidR="003073E0">
        <w:t>Guidehouse’s</w:t>
      </w:r>
      <w:proofErr w:type="spellEnd"/>
      <w:r w:rsidRPr="000414D4">
        <w:t xml:space="preserve"> professional judgment based on the information available at the time this report was prepared.</w:t>
      </w:r>
      <w:r w:rsidR="00415C54" w:rsidRPr="005621C7">
        <w:t xml:space="preserve"> Use of this report by any other party for whatever purpose should not, and does not, absolve such party from using due diligence in verifying the report’s contents. Neither </w:t>
      </w:r>
      <w:r w:rsidR="003073E0">
        <w:t>Guidehouse</w:t>
      </w:r>
      <w:r w:rsidR="005641E6">
        <w:t xml:space="preserve"> </w:t>
      </w:r>
      <w:r w:rsidR="00415C54" w:rsidRPr="005621C7">
        <w:t xml:space="preserve">nor any of its subsidiaries or affiliates assumes any liability or duty of care to such </w:t>
      </w:r>
      <w:proofErr w:type="gramStart"/>
      <w:r w:rsidR="00415C54" w:rsidRPr="005621C7">
        <w:t>parties, and</w:t>
      </w:r>
      <w:proofErr w:type="gramEnd"/>
      <w:r w:rsidR="00415C54" w:rsidRPr="005621C7">
        <w:t xml:space="preserve"> hereby disclaims any such liability.</w:t>
      </w:r>
    </w:p>
    <w:p w14:paraId="333CF979" w14:textId="77777777" w:rsidR="00415C54" w:rsidRPr="005621C7" w:rsidRDefault="00415C54" w:rsidP="009A59F0">
      <w:pPr>
        <w:pStyle w:val="Contactinfo"/>
      </w:pPr>
    </w:p>
    <w:p w14:paraId="453B7777" w14:textId="77777777" w:rsidR="00415C54" w:rsidRPr="005621C7" w:rsidRDefault="00415C54" w:rsidP="009A59F0">
      <w:pPr>
        <w:pStyle w:val="Contactinfo"/>
        <w:sectPr w:rsidR="00415C54" w:rsidRPr="005621C7" w:rsidSect="007D70E2">
          <w:headerReference w:type="default" r:id="rId20"/>
          <w:footerReference w:type="default" r:id="rId21"/>
          <w:pgSz w:w="12240" w:h="15840" w:code="1"/>
          <w:pgMar w:top="1440" w:right="1440" w:bottom="1440" w:left="1440" w:header="720" w:footer="720" w:gutter="0"/>
          <w:pgNumType w:fmt="lowerRoman" w:start="1"/>
          <w:cols w:space="720"/>
          <w:docGrid w:linePitch="360"/>
        </w:sectPr>
      </w:pPr>
    </w:p>
    <w:p w14:paraId="303BD32C" w14:textId="2D287523" w:rsidR="00497CF5" w:rsidRPr="00497CF5" w:rsidRDefault="00497CF5" w:rsidP="00497CF5">
      <w:pPr>
        <w:pStyle w:val="TOCHeading"/>
      </w:pPr>
      <w:r w:rsidRPr="00497CF5">
        <w:lastRenderedPageBreak/>
        <w:t>T</w:t>
      </w:r>
      <w:r>
        <w:t>able of Contents</w:t>
      </w:r>
    </w:p>
    <w:p w14:paraId="5DD8BB1A" w14:textId="752EAEB3" w:rsidR="005459AB" w:rsidRDefault="001B5EAD">
      <w:pPr>
        <w:pStyle w:val="TOC1"/>
        <w:rPr>
          <w:rFonts w:asciiTheme="minorHAnsi" w:eastAsiaTheme="minorEastAsia" w:hAnsiTheme="minorHAnsi" w:cstheme="minorBidi"/>
          <w:b w:val="0"/>
          <w:noProof/>
          <w:kern w:val="2"/>
          <w:szCs w:val="24"/>
          <w14:ligatures w14:val="standardContextual"/>
        </w:rPr>
      </w:pPr>
      <w:r>
        <w:rPr>
          <w:b w:val="0"/>
          <w:noProof/>
        </w:rPr>
        <w:fldChar w:fldCharType="begin"/>
      </w:r>
      <w:r>
        <w:rPr>
          <w:noProof/>
        </w:rPr>
        <w:instrText xml:space="preserve"> TOC \o "1-3" \h \z \u </w:instrText>
      </w:r>
      <w:r>
        <w:rPr>
          <w:b w:val="0"/>
          <w:noProof/>
        </w:rPr>
        <w:fldChar w:fldCharType="separate"/>
      </w:r>
      <w:hyperlink w:anchor="_Toc196925658" w:history="1">
        <w:r w:rsidR="005459AB" w:rsidRPr="00A37297">
          <w:rPr>
            <w:rStyle w:val="Hyperlink"/>
            <w:noProof/>
          </w:rPr>
          <w:t>1. Overview</w:t>
        </w:r>
        <w:r w:rsidR="005459AB">
          <w:rPr>
            <w:noProof/>
            <w:webHidden/>
          </w:rPr>
          <w:tab/>
        </w:r>
        <w:r w:rsidR="005459AB">
          <w:rPr>
            <w:noProof/>
            <w:webHidden/>
          </w:rPr>
          <w:fldChar w:fldCharType="begin"/>
        </w:r>
        <w:r w:rsidR="005459AB">
          <w:rPr>
            <w:noProof/>
            <w:webHidden/>
          </w:rPr>
          <w:instrText xml:space="preserve"> PAGEREF _Toc196925658 \h </w:instrText>
        </w:r>
        <w:r w:rsidR="005459AB">
          <w:rPr>
            <w:noProof/>
            <w:webHidden/>
          </w:rPr>
        </w:r>
        <w:r w:rsidR="005459AB">
          <w:rPr>
            <w:noProof/>
            <w:webHidden/>
          </w:rPr>
          <w:fldChar w:fldCharType="separate"/>
        </w:r>
        <w:r w:rsidR="005459AB">
          <w:rPr>
            <w:noProof/>
            <w:webHidden/>
          </w:rPr>
          <w:t>1</w:t>
        </w:r>
        <w:r w:rsidR="005459AB">
          <w:rPr>
            <w:noProof/>
            <w:webHidden/>
          </w:rPr>
          <w:fldChar w:fldCharType="end"/>
        </w:r>
      </w:hyperlink>
    </w:p>
    <w:p w14:paraId="5E8EB1F4" w14:textId="06D307E2" w:rsidR="005459AB" w:rsidRDefault="005459AB">
      <w:pPr>
        <w:pStyle w:val="TOC2"/>
        <w:rPr>
          <w:rFonts w:asciiTheme="minorHAnsi" w:eastAsiaTheme="minorEastAsia" w:hAnsiTheme="minorHAnsi" w:cstheme="minorBidi"/>
          <w:kern w:val="2"/>
          <w:sz w:val="24"/>
          <w:szCs w:val="24"/>
          <w14:ligatures w14:val="standardContextual"/>
        </w:rPr>
      </w:pPr>
      <w:hyperlink w:anchor="_Toc196925659" w:history="1">
        <w:r w:rsidRPr="00A37297">
          <w:rPr>
            <w:rStyle w:val="Hyperlink"/>
          </w:rPr>
          <w:t>1.1 Total Resource Cost Equation</w:t>
        </w:r>
        <w:r>
          <w:rPr>
            <w:webHidden/>
          </w:rPr>
          <w:tab/>
        </w:r>
        <w:r>
          <w:rPr>
            <w:webHidden/>
          </w:rPr>
          <w:fldChar w:fldCharType="begin"/>
        </w:r>
        <w:r>
          <w:rPr>
            <w:webHidden/>
          </w:rPr>
          <w:instrText xml:space="preserve"> PAGEREF _Toc196925659 \h </w:instrText>
        </w:r>
        <w:r>
          <w:rPr>
            <w:webHidden/>
          </w:rPr>
        </w:r>
        <w:r>
          <w:rPr>
            <w:webHidden/>
          </w:rPr>
          <w:fldChar w:fldCharType="separate"/>
        </w:r>
        <w:r>
          <w:rPr>
            <w:webHidden/>
          </w:rPr>
          <w:t>3</w:t>
        </w:r>
        <w:r>
          <w:rPr>
            <w:webHidden/>
          </w:rPr>
          <w:fldChar w:fldCharType="end"/>
        </w:r>
      </w:hyperlink>
    </w:p>
    <w:p w14:paraId="234DD1DB" w14:textId="27702C1D" w:rsidR="005459AB" w:rsidRDefault="005459AB">
      <w:pPr>
        <w:pStyle w:val="TOC2"/>
        <w:rPr>
          <w:rFonts w:asciiTheme="minorHAnsi" w:eastAsiaTheme="minorEastAsia" w:hAnsiTheme="minorHAnsi" w:cstheme="minorBidi"/>
          <w:kern w:val="2"/>
          <w:sz w:val="24"/>
          <w:szCs w:val="24"/>
          <w14:ligatures w14:val="standardContextual"/>
        </w:rPr>
      </w:pPr>
      <w:hyperlink w:anchor="_Toc196925660" w:history="1">
        <w:r w:rsidRPr="00A37297">
          <w:rPr>
            <w:rStyle w:val="Hyperlink"/>
          </w:rPr>
          <w:t>1.2 Utility Cost Test Equation</w:t>
        </w:r>
        <w:r>
          <w:rPr>
            <w:webHidden/>
          </w:rPr>
          <w:tab/>
        </w:r>
        <w:r>
          <w:rPr>
            <w:webHidden/>
          </w:rPr>
          <w:fldChar w:fldCharType="begin"/>
        </w:r>
        <w:r>
          <w:rPr>
            <w:webHidden/>
          </w:rPr>
          <w:instrText xml:space="preserve"> PAGEREF _Toc196925660 \h </w:instrText>
        </w:r>
        <w:r>
          <w:rPr>
            <w:webHidden/>
          </w:rPr>
        </w:r>
        <w:r>
          <w:rPr>
            <w:webHidden/>
          </w:rPr>
          <w:fldChar w:fldCharType="separate"/>
        </w:r>
        <w:r>
          <w:rPr>
            <w:webHidden/>
          </w:rPr>
          <w:t>4</w:t>
        </w:r>
        <w:r>
          <w:rPr>
            <w:webHidden/>
          </w:rPr>
          <w:fldChar w:fldCharType="end"/>
        </w:r>
      </w:hyperlink>
    </w:p>
    <w:p w14:paraId="7B788DD4" w14:textId="35068859" w:rsidR="005459AB" w:rsidRDefault="005459AB">
      <w:pPr>
        <w:pStyle w:val="TOC2"/>
        <w:rPr>
          <w:rFonts w:asciiTheme="minorHAnsi" w:eastAsiaTheme="minorEastAsia" w:hAnsiTheme="minorHAnsi" w:cstheme="minorBidi"/>
          <w:kern w:val="2"/>
          <w:sz w:val="24"/>
          <w:szCs w:val="24"/>
          <w14:ligatures w14:val="standardContextual"/>
        </w:rPr>
      </w:pPr>
      <w:hyperlink w:anchor="_Toc196925661" w:history="1">
        <w:r w:rsidRPr="00A37297">
          <w:rPr>
            <w:rStyle w:val="Hyperlink"/>
          </w:rPr>
          <w:t>1.3 Cost-Effectiveness Data Requirements</w:t>
        </w:r>
        <w:r>
          <w:rPr>
            <w:webHidden/>
          </w:rPr>
          <w:tab/>
        </w:r>
        <w:r>
          <w:rPr>
            <w:webHidden/>
          </w:rPr>
          <w:fldChar w:fldCharType="begin"/>
        </w:r>
        <w:r>
          <w:rPr>
            <w:webHidden/>
          </w:rPr>
          <w:instrText xml:space="preserve"> PAGEREF _Toc196925661 \h </w:instrText>
        </w:r>
        <w:r>
          <w:rPr>
            <w:webHidden/>
          </w:rPr>
        </w:r>
        <w:r>
          <w:rPr>
            <w:webHidden/>
          </w:rPr>
          <w:fldChar w:fldCharType="separate"/>
        </w:r>
        <w:r>
          <w:rPr>
            <w:webHidden/>
          </w:rPr>
          <w:t>5</w:t>
        </w:r>
        <w:r>
          <w:rPr>
            <w:webHidden/>
          </w:rPr>
          <w:fldChar w:fldCharType="end"/>
        </w:r>
      </w:hyperlink>
    </w:p>
    <w:p w14:paraId="5AE604F6" w14:textId="559138EC" w:rsidR="005459AB" w:rsidRDefault="005459AB">
      <w:pPr>
        <w:pStyle w:val="TOC1"/>
        <w:rPr>
          <w:rFonts w:asciiTheme="minorHAnsi" w:eastAsiaTheme="minorEastAsia" w:hAnsiTheme="minorHAnsi" w:cstheme="minorBidi"/>
          <w:b w:val="0"/>
          <w:noProof/>
          <w:kern w:val="2"/>
          <w:szCs w:val="24"/>
          <w14:ligatures w14:val="standardContextual"/>
        </w:rPr>
      </w:pPr>
      <w:hyperlink w:anchor="_Toc196925662" w:history="1">
        <w:r w:rsidRPr="00A37297">
          <w:rPr>
            <w:rStyle w:val="Hyperlink"/>
            <w:noProof/>
          </w:rPr>
          <w:t>2. Summary of Results and Portfolio-Level Data Inputs</w:t>
        </w:r>
        <w:r>
          <w:rPr>
            <w:noProof/>
            <w:webHidden/>
          </w:rPr>
          <w:tab/>
        </w:r>
        <w:r>
          <w:rPr>
            <w:noProof/>
            <w:webHidden/>
          </w:rPr>
          <w:fldChar w:fldCharType="begin"/>
        </w:r>
        <w:r>
          <w:rPr>
            <w:noProof/>
            <w:webHidden/>
          </w:rPr>
          <w:instrText xml:space="preserve"> PAGEREF _Toc196925662 \h </w:instrText>
        </w:r>
        <w:r>
          <w:rPr>
            <w:noProof/>
            <w:webHidden/>
          </w:rPr>
        </w:r>
        <w:r>
          <w:rPr>
            <w:noProof/>
            <w:webHidden/>
          </w:rPr>
          <w:fldChar w:fldCharType="separate"/>
        </w:r>
        <w:r>
          <w:rPr>
            <w:noProof/>
            <w:webHidden/>
          </w:rPr>
          <w:t>6</w:t>
        </w:r>
        <w:r>
          <w:rPr>
            <w:noProof/>
            <w:webHidden/>
          </w:rPr>
          <w:fldChar w:fldCharType="end"/>
        </w:r>
      </w:hyperlink>
    </w:p>
    <w:p w14:paraId="45593074" w14:textId="645F3CC1" w:rsidR="005459AB" w:rsidRDefault="005459AB">
      <w:pPr>
        <w:pStyle w:val="TOC2"/>
        <w:rPr>
          <w:rFonts w:asciiTheme="minorHAnsi" w:eastAsiaTheme="minorEastAsia" w:hAnsiTheme="minorHAnsi" w:cstheme="minorBidi"/>
          <w:kern w:val="2"/>
          <w:sz w:val="24"/>
          <w:szCs w:val="24"/>
          <w14:ligatures w14:val="standardContextual"/>
        </w:rPr>
      </w:pPr>
      <w:hyperlink w:anchor="_Toc196925663" w:history="1">
        <w:r w:rsidRPr="00A37297">
          <w:rPr>
            <w:rStyle w:val="Hyperlink"/>
          </w:rPr>
          <w:t>2.1 Avoided Costs</w:t>
        </w:r>
        <w:r>
          <w:rPr>
            <w:webHidden/>
          </w:rPr>
          <w:tab/>
        </w:r>
        <w:r>
          <w:rPr>
            <w:webHidden/>
          </w:rPr>
          <w:fldChar w:fldCharType="begin"/>
        </w:r>
        <w:r>
          <w:rPr>
            <w:webHidden/>
          </w:rPr>
          <w:instrText xml:space="preserve"> PAGEREF _Toc196925663 \h </w:instrText>
        </w:r>
        <w:r>
          <w:rPr>
            <w:webHidden/>
          </w:rPr>
        </w:r>
        <w:r>
          <w:rPr>
            <w:webHidden/>
          </w:rPr>
          <w:fldChar w:fldCharType="separate"/>
        </w:r>
        <w:r>
          <w:rPr>
            <w:webHidden/>
          </w:rPr>
          <w:t>6</w:t>
        </w:r>
        <w:r>
          <w:rPr>
            <w:webHidden/>
          </w:rPr>
          <w:fldChar w:fldCharType="end"/>
        </w:r>
      </w:hyperlink>
    </w:p>
    <w:p w14:paraId="09A498E0" w14:textId="653AC4B0" w:rsidR="005459AB" w:rsidRDefault="005459AB">
      <w:pPr>
        <w:pStyle w:val="TOC2"/>
        <w:rPr>
          <w:rFonts w:asciiTheme="minorHAnsi" w:eastAsiaTheme="minorEastAsia" w:hAnsiTheme="minorHAnsi" w:cstheme="minorBidi"/>
          <w:kern w:val="2"/>
          <w:sz w:val="24"/>
          <w:szCs w:val="24"/>
          <w14:ligatures w14:val="standardContextual"/>
        </w:rPr>
      </w:pPr>
      <w:hyperlink w:anchor="_Toc196925664" w:history="1">
        <w:r w:rsidRPr="00A37297">
          <w:rPr>
            <w:rStyle w:val="Hyperlink"/>
          </w:rPr>
          <w:t>2.2 Non-Incentive Costs</w:t>
        </w:r>
        <w:r>
          <w:rPr>
            <w:webHidden/>
          </w:rPr>
          <w:tab/>
        </w:r>
        <w:r>
          <w:rPr>
            <w:webHidden/>
          </w:rPr>
          <w:fldChar w:fldCharType="begin"/>
        </w:r>
        <w:r>
          <w:rPr>
            <w:webHidden/>
          </w:rPr>
          <w:instrText xml:space="preserve"> PAGEREF _Toc196925664 \h </w:instrText>
        </w:r>
        <w:r>
          <w:rPr>
            <w:webHidden/>
          </w:rPr>
        </w:r>
        <w:r>
          <w:rPr>
            <w:webHidden/>
          </w:rPr>
          <w:fldChar w:fldCharType="separate"/>
        </w:r>
        <w:r>
          <w:rPr>
            <w:webHidden/>
          </w:rPr>
          <w:t>7</w:t>
        </w:r>
        <w:r>
          <w:rPr>
            <w:webHidden/>
          </w:rPr>
          <w:fldChar w:fldCharType="end"/>
        </w:r>
      </w:hyperlink>
    </w:p>
    <w:p w14:paraId="0A898ED6" w14:textId="2C74D42B" w:rsidR="005459AB" w:rsidRDefault="005459AB">
      <w:pPr>
        <w:pStyle w:val="TOC2"/>
        <w:rPr>
          <w:rFonts w:asciiTheme="minorHAnsi" w:eastAsiaTheme="minorEastAsia" w:hAnsiTheme="minorHAnsi" w:cstheme="minorBidi"/>
          <w:kern w:val="2"/>
          <w:sz w:val="24"/>
          <w:szCs w:val="24"/>
          <w14:ligatures w14:val="standardContextual"/>
        </w:rPr>
      </w:pPr>
      <w:hyperlink w:anchor="_Toc196925665" w:history="1">
        <w:r w:rsidRPr="00A37297">
          <w:rPr>
            <w:rStyle w:val="Hyperlink"/>
          </w:rPr>
          <w:t>2.3 Incentives</w:t>
        </w:r>
        <w:r>
          <w:rPr>
            <w:webHidden/>
          </w:rPr>
          <w:tab/>
        </w:r>
        <w:r>
          <w:rPr>
            <w:webHidden/>
          </w:rPr>
          <w:fldChar w:fldCharType="begin"/>
        </w:r>
        <w:r>
          <w:rPr>
            <w:webHidden/>
          </w:rPr>
          <w:instrText xml:space="preserve"> PAGEREF _Toc196925665 \h </w:instrText>
        </w:r>
        <w:r>
          <w:rPr>
            <w:webHidden/>
          </w:rPr>
        </w:r>
        <w:r>
          <w:rPr>
            <w:webHidden/>
          </w:rPr>
          <w:fldChar w:fldCharType="separate"/>
        </w:r>
        <w:r>
          <w:rPr>
            <w:webHidden/>
          </w:rPr>
          <w:t>8</w:t>
        </w:r>
        <w:r>
          <w:rPr>
            <w:webHidden/>
          </w:rPr>
          <w:fldChar w:fldCharType="end"/>
        </w:r>
      </w:hyperlink>
    </w:p>
    <w:p w14:paraId="5A3969D4" w14:textId="3422C8B6" w:rsidR="005459AB" w:rsidRDefault="005459AB">
      <w:pPr>
        <w:pStyle w:val="TOC2"/>
        <w:rPr>
          <w:rFonts w:asciiTheme="minorHAnsi" w:eastAsiaTheme="minorEastAsia" w:hAnsiTheme="minorHAnsi" w:cstheme="minorBidi"/>
          <w:kern w:val="2"/>
          <w:sz w:val="24"/>
          <w:szCs w:val="24"/>
          <w14:ligatures w14:val="standardContextual"/>
        </w:rPr>
      </w:pPr>
      <w:hyperlink w:anchor="_Toc196925666" w:history="1">
        <w:r w:rsidRPr="00A37297">
          <w:rPr>
            <w:rStyle w:val="Hyperlink"/>
          </w:rPr>
          <w:t>2.4 Incremental Costs</w:t>
        </w:r>
        <w:r>
          <w:rPr>
            <w:webHidden/>
          </w:rPr>
          <w:tab/>
        </w:r>
        <w:r>
          <w:rPr>
            <w:webHidden/>
          </w:rPr>
          <w:fldChar w:fldCharType="begin"/>
        </w:r>
        <w:r>
          <w:rPr>
            <w:webHidden/>
          </w:rPr>
          <w:instrText xml:space="preserve"> PAGEREF _Toc196925666 \h </w:instrText>
        </w:r>
        <w:r>
          <w:rPr>
            <w:webHidden/>
          </w:rPr>
        </w:r>
        <w:r>
          <w:rPr>
            <w:webHidden/>
          </w:rPr>
          <w:fldChar w:fldCharType="separate"/>
        </w:r>
        <w:r>
          <w:rPr>
            <w:webHidden/>
          </w:rPr>
          <w:t>8</w:t>
        </w:r>
        <w:r>
          <w:rPr>
            <w:webHidden/>
          </w:rPr>
          <w:fldChar w:fldCharType="end"/>
        </w:r>
      </w:hyperlink>
    </w:p>
    <w:p w14:paraId="679DCBCC" w14:textId="1982F31F" w:rsidR="005459AB" w:rsidRDefault="005459AB">
      <w:pPr>
        <w:pStyle w:val="TOC2"/>
        <w:rPr>
          <w:rFonts w:asciiTheme="minorHAnsi" w:eastAsiaTheme="minorEastAsia" w:hAnsiTheme="minorHAnsi" w:cstheme="minorBidi"/>
          <w:kern w:val="2"/>
          <w:sz w:val="24"/>
          <w:szCs w:val="24"/>
          <w14:ligatures w14:val="standardContextual"/>
        </w:rPr>
      </w:pPr>
      <w:hyperlink w:anchor="_Toc196925667" w:history="1">
        <w:r w:rsidRPr="00A37297">
          <w:rPr>
            <w:rStyle w:val="Hyperlink"/>
          </w:rPr>
          <w:t>2.5 Discount Rate</w:t>
        </w:r>
        <w:r>
          <w:rPr>
            <w:webHidden/>
          </w:rPr>
          <w:tab/>
        </w:r>
        <w:r>
          <w:rPr>
            <w:webHidden/>
          </w:rPr>
          <w:fldChar w:fldCharType="begin"/>
        </w:r>
        <w:r>
          <w:rPr>
            <w:webHidden/>
          </w:rPr>
          <w:instrText xml:space="preserve"> PAGEREF _Toc196925667 \h </w:instrText>
        </w:r>
        <w:r>
          <w:rPr>
            <w:webHidden/>
          </w:rPr>
        </w:r>
        <w:r>
          <w:rPr>
            <w:webHidden/>
          </w:rPr>
          <w:fldChar w:fldCharType="separate"/>
        </w:r>
        <w:r>
          <w:rPr>
            <w:webHidden/>
          </w:rPr>
          <w:t>9</w:t>
        </w:r>
        <w:r>
          <w:rPr>
            <w:webHidden/>
          </w:rPr>
          <w:fldChar w:fldCharType="end"/>
        </w:r>
      </w:hyperlink>
    </w:p>
    <w:p w14:paraId="2BA02C86" w14:textId="0A8859AF" w:rsidR="005459AB" w:rsidRDefault="005459AB">
      <w:pPr>
        <w:pStyle w:val="TOC2"/>
        <w:rPr>
          <w:rFonts w:asciiTheme="minorHAnsi" w:eastAsiaTheme="minorEastAsia" w:hAnsiTheme="minorHAnsi" w:cstheme="minorBidi"/>
          <w:kern w:val="2"/>
          <w:sz w:val="24"/>
          <w:szCs w:val="24"/>
          <w14:ligatures w14:val="standardContextual"/>
        </w:rPr>
      </w:pPr>
      <w:hyperlink w:anchor="_Toc196925668" w:history="1">
        <w:r w:rsidRPr="00A37297">
          <w:rPr>
            <w:rStyle w:val="Hyperlink"/>
          </w:rPr>
          <w:t>2.6 Line Losses</w:t>
        </w:r>
        <w:r>
          <w:rPr>
            <w:webHidden/>
          </w:rPr>
          <w:tab/>
        </w:r>
        <w:r>
          <w:rPr>
            <w:webHidden/>
          </w:rPr>
          <w:fldChar w:fldCharType="begin"/>
        </w:r>
        <w:r>
          <w:rPr>
            <w:webHidden/>
          </w:rPr>
          <w:instrText xml:space="preserve"> PAGEREF _Toc196925668 \h </w:instrText>
        </w:r>
        <w:r>
          <w:rPr>
            <w:webHidden/>
          </w:rPr>
        </w:r>
        <w:r>
          <w:rPr>
            <w:webHidden/>
          </w:rPr>
          <w:fldChar w:fldCharType="separate"/>
        </w:r>
        <w:r>
          <w:rPr>
            <w:webHidden/>
          </w:rPr>
          <w:t>9</w:t>
        </w:r>
        <w:r>
          <w:rPr>
            <w:webHidden/>
          </w:rPr>
          <w:fldChar w:fldCharType="end"/>
        </w:r>
      </w:hyperlink>
    </w:p>
    <w:p w14:paraId="3AD8DB3C" w14:textId="139D5710" w:rsidR="005459AB" w:rsidRDefault="005459AB">
      <w:pPr>
        <w:pStyle w:val="TOC2"/>
        <w:rPr>
          <w:rFonts w:asciiTheme="minorHAnsi" w:eastAsiaTheme="minorEastAsia" w:hAnsiTheme="minorHAnsi" w:cstheme="minorBidi"/>
          <w:kern w:val="2"/>
          <w:sz w:val="24"/>
          <w:szCs w:val="24"/>
          <w14:ligatures w14:val="standardContextual"/>
        </w:rPr>
      </w:pPr>
      <w:hyperlink w:anchor="_Toc196925669" w:history="1">
        <w:r w:rsidRPr="00A37297">
          <w:rPr>
            <w:rStyle w:val="Hyperlink"/>
          </w:rPr>
          <w:t>2.7 Miscellaneous EEPS Portfolio Costs</w:t>
        </w:r>
        <w:r>
          <w:rPr>
            <w:webHidden/>
          </w:rPr>
          <w:tab/>
        </w:r>
        <w:r>
          <w:rPr>
            <w:webHidden/>
          </w:rPr>
          <w:fldChar w:fldCharType="begin"/>
        </w:r>
        <w:r>
          <w:rPr>
            <w:webHidden/>
          </w:rPr>
          <w:instrText xml:space="preserve"> PAGEREF _Toc196925669 \h </w:instrText>
        </w:r>
        <w:r>
          <w:rPr>
            <w:webHidden/>
          </w:rPr>
        </w:r>
        <w:r>
          <w:rPr>
            <w:webHidden/>
          </w:rPr>
          <w:fldChar w:fldCharType="separate"/>
        </w:r>
        <w:r>
          <w:rPr>
            <w:webHidden/>
          </w:rPr>
          <w:t>10</w:t>
        </w:r>
        <w:r>
          <w:rPr>
            <w:webHidden/>
          </w:rPr>
          <w:fldChar w:fldCharType="end"/>
        </w:r>
      </w:hyperlink>
    </w:p>
    <w:p w14:paraId="2C5F5C5F" w14:textId="5037D8DB" w:rsidR="005459AB" w:rsidRDefault="005459AB">
      <w:pPr>
        <w:pStyle w:val="TOC2"/>
        <w:rPr>
          <w:rFonts w:asciiTheme="minorHAnsi" w:eastAsiaTheme="minorEastAsia" w:hAnsiTheme="minorHAnsi" w:cstheme="minorBidi"/>
          <w:kern w:val="2"/>
          <w:sz w:val="24"/>
          <w:szCs w:val="24"/>
          <w14:ligatures w14:val="standardContextual"/>
        </w:rPr>
      </w:pPr>
      <w:hyperlink w:anchor="_Toc196925670" w:history="1">
        <w:r w:rsidRPr="00A37297">
          <w:rPr>
            <w:rStyle w:val="Hyperlink"/>
          </w:rPr>
          <w:t>2.8 Societal NEIs</w:t>
        </w:r>
        <w:r>
          <w:rPr>
            <w:webHidden/>
          </w:rPr>
          <w:tab/>
        </w:r>
        <w:r>
          <w:rPr>
            <w:webHidden/>
          </w:rPr>
          <w:fldChar w:fldCharType="begin"/>
        </w:r>
        <w:r>
          <w:rPr>
            <w:webHidden/>
          </w:rPr>
          <w:instrText xml:space="preserve"> PAGEREF _Toc196925670 \h </w:instrText>
        </w:r>
        <w:r>
          <w:rPr>
            <w:webHidden/>
          </w:rPr>
        </w:r>
        <w:r>
          <w:rPr>
            <w:webHidden/>
          </w:rPr>
          <w:fldChar w:fldCharType="separate"/>
        </w:r>
        <w:r>
          <w:rPr>
            <w:webHidden/>
          </w:rPr>
          <w:t>10</w:t>
        </w:r>
        <w:r>
          <w:rPr>
            <w:webHidden/>
          </w:rPr>
          <w:fldChar w:fldCharType="end"/>
        </w:r>
      </w:hyperlink>
    </w:p>
    <w:p w14:paraId="61677E9A" w14:textId="78C24C4B" w:rsidR="005459AB" w:rsidRDefault="005459AB">
      <w:pPr>
        <w:pStyle w:val="TOC1"/>
        <w:rPr>
          <w:rFonts w:asciiTheme="minorHAnsi" w:eastAsiaTheme="minorEastAsia" w:hAnsiTheme="minorHAnsi" w:cstheme="minorBidi"/>
          <w:b w:val="0"/>
          <w:noProof/>
          <w:kern w:val="2"/>
          <w:szCs w:val="24"/>
          <w14:ligatures w14:val="standardContextual"/>
        </w:rPr>
      </w:pPr>
      <w:hyperlink w:anchor="_Toc196925671" w:history="1">
        <w:r w:rsidRPr="00A37297">
          <w:rPr>
            <w:rStyle w:val="Hyperlink"/>
            <w:noProof/>
          </w:rPr>
          <w:t>3. Program-Specific Data</w:t>
        </w:r>
        <w:r>
          <w:rPr>
            <w:noProof/>
            <w:webHidden/>
          </w:rPr>
          <w:tab/>
        </w:r>
        <w:r>
          <w:rPr>
            <w:noProof/>
            <w:webHidden/>
          </w:rPr>
          <w:fldChar w:fldCharType="begin"/>
        </w:r>
        <w:r>
          <w:rPr>
            <w:noProof/>
            <w:webHidden/>
          </w:rPr>
          <w:instrText xml:space="preserve"> PAGEREF _Toc196925671 \h </w:instrText>
        </w:r>
        <w:r>
          <w:rPr>
            <w:noProof/>
            <w:webHidden/>
          </w:rPr>
        </w:r>
        <w:r>
          <w:rPr>
            <w:noProof/>
            <w:webHidden/>
          </w:rPr>
          <w:fldChar w:fldCharType="separate"/>
        </w:r>
        <w:r>
          <w:rPr>
            <w:noProof/>
            <w:webHidden/>
          </w:rPr>
          <w:t>11</w:t>
        </w:r>
        <w:r>
          <w:rPr>
            <w:noProof/>
            <w:webHidden/>
          </w:rPr>
          <w:fldChar w:fldCharType="end"/>
        </w:r>
      </w:hyperlink>
    </w:p>
    <w:p w14:paraId="5A70CED5" w14:textId="6FDDA1A2" w:rsidR="005459AB" w:rsidRDefault="005459AB">
      <w:pPr>
        <w:pStyle w:val="TOC2"/>
        <w:rPr>
          <w:rFonts w:asciiTheme="minorHAnsi" w:eastAsiaTheme="minorEastAsia" w:hAnsiTheme="minorHAnsi" w:cstheme="minorBidi"/>
          <w:kern w:val="2"/>
          <w:sz w:val="24"/>
          <w:szCs w:val="24"/>
          <w14:ligatures w14:val="standardContextual"/>
        </w:rPr>
      </w:pPr>
      <w:hyperlink w:anchor="_Toc196925672" w:history="1">
        <w:r w:rsidRPr="00A37297">
          <w:rPr>
            <w:rStyle w:val="Hyperlink"/>
          </w:rPr>
          <w:t>3.1 Incremental and Actual Measure Costs</w:t>
        </w:r>
        <w:r>
          <w:rPr>
            <w:webHidden/>
          </w:rPr>
          <w:tab/>
        </w:r>
        <w:r>
          <w:rPr>
            <w:webHidden/>
          </w:rPr>
          <w:fldChar w:fldCharType="begin"/>
        </w:r>
        <w:r>
          <w:rPr>
            <w:webHidden/>
          </w:rPr>
          <w:instrText xml:space="preserve"> PAGEREF _Toc196925672 \h </w:instrText>
        </w:r>
        <w:r>
          <w:rPr>
            <w:webHidden/>
          </w:rPr>
        </w:r>
        <w:r>
          <w:rPr>
            <w:webHidden/>
          </w:rPr>
          <w:fldChar w:fldCharType="separate"/>
        </w:r>
        <w:r>
          <w:rPr>
            <w:webHidden/>
          </w:rPr>
          <w:t>17</w:t>
        </w:r>
        <w:r>
          <w:rPr>
            <w:webHidden/>
          </w:rPr>
          <w:fldChar w:fldCharType="end"/>
        </w:r>
      </w:hyperlink>
    </w:p>
    <w:p w14:paraId="34BBA901" w14:textId="34CEE9AA" w:rsidR="005459AB" w:rsidRDefault="005459AB">
      <w:pPr>
        <w:pStyle w:val="TOC2"/>
        <w:rPr>
          <w:rFonts w:asciiTheme="minorHAnsi" w:eastAsiaTheme="minorEastAsia" w:hAnsiTheme="minorHAnsi" w:cstheme="minorBidi"/>
          <w:kern w:val="2"/>
          <w:sz w:val="24"/>
          <w:szCs w:val="24"/>
          <w14:ligatures w14:val="standardContextual"/>
        </w:rPr>
      </w:pPr>
      <w:hyperlink w:anchor="_Toc196925673" w:history="1">
        <w:r w:rsidRPr="00A37297">
          <w:rPr>
            <w:rStyle w:val="Hyperlink"/>
          </w:rPr>
          <w:t>3.2 Data Sources and Assumptions</w:t>
        </w:r>
        <w:r>
          <w:rPr>
            <w:webHidden/>
          </w:rPr>
          <w:tab/>
        </w:r>
        <w:r>
          <w:rPr>
            <w:webHidden/>
          </w:rPr>
          <w:fldChar w:fldCharType="begin"/>
        </w:r>
        <w:r>
          <w:rPr>
            <w:webHidden/>
          </w:rPr>
          <w:instrText xml:space="preserve"> PAGEREF _Toc196925673 \h </w:instrText>
        </w:r>
        <w:r>
          <w:rPr>
            <w:webHidden/>
          </w:rPr>
        </w:r>
        <w:r>
          <w:rPr>
            <w:webHidden/>
          </w:rPr>
          <w:fldChar w:fldCharType="separate"/>
        </w:r>
        <w:r>
          <w:rPr>
            <w:webHidden/>
          </w:rPr>
          <w:t>18</w:t>
        </w:r>
        <w:r>
          <w:rPr>
            <w:webHidden/>
          </w:rPr>
          <w:fldChar w:fldCharType="end"/>
        </w:r>
      </w:hyperlink>
    </w:p>
    <w:p w14:paraId="1E4F6D39" w14:textId="4F0244A8" w:rsidR="005459AB" w:rsidRDefault="005459AB">
      <w:pPr>
        <w:pStyle w:val="TOC2"/>
        <w:rPr>
          <w:rFonts w:asciiTheme="minorHAnsi" w:eastAsiaTheme="minorEastAsia" w:hAnsiTheme="minorHAnsi" w:cstheme="minorBidi"/>
          <w:kern w:val="2"/>
          <w:sz w:val="24"/>
          <w:szCs w:val="24"/>
          <w14:ligatures w14:val="standardContextual"/>
        </w:rPr>
      </w:pPr>
      <w:hyperlink w:anchor="_Toc196925674" w:history="1">
        <w:r w:rsidRPr="00A37297">
          <w:rPr>
            <w:rStyle w:val="Hyperlink"/>
          </w:rPr>
          <w:t>3.3 Findings</w:t>
        </w:r>
        <w:r>
          <w:rPr>
            <w:webHidden/>
          </w:rPr>
          <w:tab/>
        </w:r>
        <w:r>
          <w:rPr>
            <w:webHidden/>
          </w:rPr>
          <w:fldChar w:fldCharType="begin"/>
        </w:r>
        <w:r>
          <w:rPr>
            <w:webHidden/>
          </w:rPr>
          <w:instrText xml:space="preserve"> PAGEREF _Toc196925674 \h </w:instrText>
        </w:r>
        <w:r>
          <w:rPr>
            <w:webHidden/>
          </w:rPr>
        </w:r>
        <w:r>
          <w:rPr>
            <w:webHidden/>
          </w:rPr>
          <w:fldChar w:fldCharType="separate"/>
        </w:r>
        <w:r>
          <w:rPr>
            <w:webHidden/>
          </w:rPr>
          <w:t>20</w:t>
        </w:r>
        <w:r>
          <w:rPr>
            <w:webHidden/>
          </w:rPr>
          <w:fldChar w:fldCharType="end"/>
        </w:r>
      </w:hyperlink>
    </w:p>
    <w:p w14:paraId="1704760D" w14:textId="681DDFB9" w:rsidR="001B5EAD" w:rsidRDefault="001B5EAD" w:rsidP="001B5EAD">
      <w:pPr>
        <w:pStyle w:val="TableofFigures"/>
      </w:pPr>
      <w:r>
        <w:rPr>
          <w:b/>
          <w:noProof/>
        </w:rPr>
        <w:fldChar w:fldCharType="end"/>
      </w:r>
    </w:p>
    <w:p w14:paraId="21317E5B" w14:textId="77777777" w:rsidR="001B5EAD" w:rsidRPr="005621C7" w:rsidRDefault="001B5EAD" w:rsidP="001B5EAD">
      <w:pPr>
        <w:pStyle w:val="TOCHeading"/>
      </w:pPr>
      <w:r w:rsidRPr="005621C7">
        <w:t xml:space="preserve">List of Tables and </w:t>
      </w:r>
      <w:r>
        <w:t>Equations</w:t>
      </w:r>
    </w:p>
    <w:p w14:paraId="581F7041" w14:textId="729699DE" w:rsidR="00597CB1" w:rsidRDefault="001B5EAD">
      <w:pPr>
        <w:pStyle w:val="TableofFigures"/>
        <w:rPr>
          <w:rFonts w:asciiTheme="minorHAnsi" w:eastAsiaTheme="minorEastAsia" w:hAnsiTheme="minorHAnsi" w:cstheme="minorBidi"/>
          <w:noProof/>
          <w:kern w:val="2"/>
          <w:sz w:val="24"/>
          <w:szCs w:val="24"/>
          <w14:ligatures w14:val="standardContextual"/>
        </w:rPr>
      </w:pPr>
      <w:r w:rsidRPr="007E5445">
        <w:fldChar w:fldCharType="begin"/>
      </w:r>
      <w:r w:rsidRPr="007E5445">
        <w:instrText xml:space="preserve"> TOC \h \z \c "Table" </w:instrText>
      </w:r>
      <w:r w:rsidRPr="007E5445">
        <w:fldChar w:fldCharType="separate"/>
      </w:r>
      <w:hyperlink w:anchor="_Toc196925424" w:history="1">
        <w:r w:rsidR="00597CB1" w:rsidRPr="00897282">
          <w:rPr>
            <w:rStyle w:val="Hyperlink"/>
            <w:noProof/>
          </w:rPr>
          <w:t>Table 1</w:t>
        </w:r>
        <w:r w:rsidR="00597CB1" w:rsidRPr="00897282">
          <w:rPr>
            <w:rStyle w:val="Hyperlink"/>
            <w:noProof/>
          </w:rPr>
          <w:noBreakHyphen/>
          <w:t>1. Summary of CY2024 TRC and UCT Values for ComEd Programs</w:t>
        </w:r>
        <w:r w:rsidR="00597CB1">
          <w:rPr>
            <w:noProof/>
            <w:webHidden/>
          </w:rPr>
          <w:tab/>
        </w:r>
        <w:r w:rsidR="00597CB1">
          <w:rPr>
            <w:noProof/>
            <w:webHidden/>
          </w:rPr>
          <w:fldChar w:fldCharType="begin"/>
        </w:r>
        <w:r w:rsidR="00597CB1">
          <w:rPr>
            <w:noProof/>
            <w:webHidden/>
          </w:rPr>
          <w:instrText xml:space="preserve"> PAGEREF _Toc196925424 \h </w:instrText>
        </w:r>
        <w:r w:rsidR="00597CB1">
          <w:rPr>
            <w:noProof/>
            <w:webHidden/>
          </w:rPr>
        </w:r>
        <w:r w:rsidR="00597CB1">
          <w:rPr>
            <w:noProof/>
            <w:webHidden/>
          </w:rPr>
          <w:fldChar w:fldCharType="separate"/>
        </w:r>
        <w:r w:rsidR="00597CB1">
          <w:rPr>
            <w:noProof/>
            <w:webHidden/>
          </w:rPr>
          <w:t>2</w:t>
        </w:r>
        <w:r w:rsidR="00597CB1">
          <w:rPr>
            <w:noProof/>
            <w:webHidden/>
          </w:rPr>
          <w:fldChar w:fldCharType="end"/>
        </w:r>
      </w:hyperlink>
    </w:p>
    <w:p w14:paraId="49225696" w14:textId="2962694E" w:rsidR="00597CB1" w:rsidRDefault="00597CB1">
      <w:pPr>
        <w:pStyle w:val="TableofFigures"/>
        <w:rPr>
          <w:rFonts w:asciiTheme="minorHAnsi" w:eastAsiaTheme="minorEastAsia" w:hAnsiTheme="minorHAnsi" w:cstheme="minorBidi"/>
          <w:noProof/>
          <w:kern w:val="2"/>
          <w:sz w:val="24"/>
          <w:szCs w:val="24"/>
          <w14:ligatures w14:val="standardContextual"/>
        </w:rPr>
      </w:pPr>
      <w:hyperlink w:anchor="_Toc196925425" w:history="1">
        <w:r w:rsidRPr="00897282">
          <w:rPr>
            <w:rStyle w:val="Hyperlink"/>
            <w:noProof/>
          </w:rPr>
          <w:t>Table 1</w:t>
        </w:r>
        <w:r w:rsidRPr="00897282">
          <w:rPr>
            <w:rStyle w:val="Hyperlink"/>
            <w:noProof/>
          </w:rPr>
          <w:noBreakHyphen/>
          <w:t>2. Data Points Needed to Conduct EEPS Cost-Effectiveness</w:t>
        </w:r>
        <w:r>
          <w:rPr>
            <w:noProof/>
            <w:webHidden/>
          </w:rPr>
          <w:tab/>
        </w:r>
        <w:r>
          <w:rPr>
            <w:noProof/>
            <w:webHidden/>
          </w:rPr>
          <w:fldChar w:fldCharType="begin"/>
        </w:r>
        <w:r>
          <w:rPr>
            <w:noProof/>
            <w:webHidden/>
          </w:rPr>
          <w:instrText xml:space="preserve"> PAGEREF _Toc196925425 \h </w:instrText>
        </w:r>
        <w:r>
          <w:rPr>
            <w:noProof/>
            <w:webHidden/>
          </w:rPr>
        </w:r>
        <w:r>
          <w:rPr>
            <w:noProof/>
            <w:webHidden/>
          </w:rPr>
          <w:fldChar w:fldCharType="separate"/>
        </w:r>
        <w:r>
          <w:rPr>
            <w:noProof/>
            <w:webHidden/>
          </w:rPr>
          <w:t>5</w:t>
        </w:r>
        <w:r>
          <w:rPr>
            <w:noProof/>
            <w:webHidden/>
          </w:rPr>
          <w:fldChar w:fldCharType="end"/>
        </w:r>
      </w:hyperlink>
    </w:p>
    <w:p w14:paraId="4560A4B0" w14:textId="2A5E8A7A" w:rsidR="00597CB1" w:rsidRDefault="00597CB1">
      <w:pPr>
        <w:pStyle w:val="TableofFigures"/>
        <w:rPr>
          <w:rFonts w:asciiTheme="minorHAnsi" w:eastAsiaTheme="minorEastAsia" w:hAnsiTheme="minorHAnsi" w:cstheme="minorBidi"/>
          <w:noProof/>
          <w:kern w:val="2"/>
          <w:sz w:val="24"/>
          <w:szCs w:val="24"/>
          <w14:ligatures w14:val="standardContextual"/>
        </w:rPr>
      </w:pPr>
      <w:hyperlink w:anchor="_Toc196925426" w:history="1">
        <w:r w:rsidRPr="00897282">
          <w:rPr>
            <w:rStyle w:val="Hyperlink"/>
            <w:noProof/>
          </w:rPr>
          <w:t>Table 2</w:t>
        </w:r>
        <w:r w:rsidRPr="00897282">
          <w:rPr>
            <w:rStyle w:val="Hyperlink"/>
            <w:noProof/>
          </w:rPr>
          <w:noBreakHyphen/>
          <w:t>1. Summary of ComEd CY2024 Residential and Business Sectors’ Cost-Effectiveness Test Values ($ Thousands)</w:t>
        </w:r>
        <w:r>
          <w:rPr>
            <w:noProof/>
            <w:webHidden/>
          </w:rPr>
          <w:tab/>
        </w:r>
        <w:r>
          <w:rPr>
            <w:noProof/>
            <w:webHidden/>
          </w:rPr>
          <w:fldChar w:fldCharType="begin"/>
        </w:r>
        <w:r>
          <w:rPr>
            <w:noProof/>
            <w:webHidden/>
          </w:rPr>
          <w:instrText xml:space="preserve"> PAGEREF _Toc196925426 \h </w:instrText>
        </w:r>
        <w:r>
          <w:rPr>
            <w:noProof/>
            <w:webHidden/>
          </w:rPr>
        </w:r>
        <w:r>
          <w:rPr>
            <w:noProof/>
            <w:webHidden/>
          </w:rPr>
          <w:fldChar w:fldCharType="separate"/>
        </w:r>
        <w:r>
          <w:rPr>
            <w:noProof/>
            <w:webHidden/>
          </w:rPr>
          <w:t>6</w:t>
        </w:r>
        <w:r>
          <w:rPr>
            <w:noProof/>
            <w:webHidden/>
          </w:rPr>
          <w:fldChar w:fldCharType="end"/>
        </w:r>
      </w:hyperlink>
    </w:p>
    <w:p w14:paraId="279AD8DE" w14:textId="613FB469" w:rsidR="00597CB1" w:rsidRDefault="00597CB1">
      <w:pPr>
        <w:pStyle w:val="TableofFigures"/>
        <w:rPr>
          <w:rFonts w:asciiTheme="minorHAnsi" w:eastAsiaTheme="minorEastAsia" w:hAnsiTheme="minorHAnsi" w:cstheme="minorBidi"/>
          <w:noProof/>
          <w:kern w:val="2"/>
          <w:sz w:val="24"/>
          <w:szCs w:val="24"/>
          <w14:ligatures w14:val="standardContextual"/>
        </w:rPr>
      </w:pPr>
      <w:hyperlink w:anchor="_Toc196925427" w:history="1">
        <w:r w:rsidRPr="00897282">
          <w:rPr>
            <w:rStyle w:val="Hyperlink"/>
            <w:noProof/>
          </w:rPr>
          <w:t>Table 2</w:t>
        </w:r>
        <w:r w:rsidRPr="00897282">
          <w:rPr>
            <w:rStyle w:val="Hyperlink"/>
            <w:noProof/>
          </w:rPr>
          <w:noBreakHyphen/>
          <w:t>2. Breakdown of Portfolio-Level Costs</w:t>
        </w:r>
        <w:r>
          <w:rPr>
            <w:noProof/>
            <w:webHidden/>
          </w:rPr>
          <w:tab/>
        </w:r>
        <w:r>
          <w:rPr>
            <w:noProof/>
            <w:webHidden/>
          </w:rPr>
          <w:fldChar w:fldCharType="begin"/>
        </w:r>
        <w:r>
          <w:rPr>
            <w:noProof/>
            <w:webHidden/>
          </w:rPr>
          <w:instrText xml:space="preserve"> PAGEREF _Toc196925427 \h </w:instrText>
        </w:r>
        <w:r>
          <w:rPr>
            <w:noProof/>
            <w:webHidden/>
          </w:rPr>
        </w:r>
        <w:r>
          <w:rPr>
            <w:noProof/>
            <w:webHidden/>
          </w:rPr>
          <w:fldChar w:fldCharType="separate"/>
        </w:r>
        <w:r>
          <w:rPr>
            <w:noProof/>
            <w:webHidden/>
          </w:rPr>
          <w:t>10</w:t>
        </w:r>
        <w:r>
          <w:rPr>
            <w:noProof/>
            <w:webHidden/>
          </w:rPr>
          <w:fldChar w:fldCharType="end"/>
        </w:r>
      </w:hyperlink>
    </w:p>
    <w:p w14:paraId="7A7E89D2" w14:textId="4117BA7C" w:rsidR="00597CB1" w:rsidRDefault="00597CB1">
      <w:pPr>
        <w:pStyle w:val="TableofFigures"/>
        <w:rPr>
          <w:rFonts w:asciiTheme="minorHAnsi" w:eastAsiaTheme="minorEastAsia" w:hAnsiTheme="minorHAnsi" w:cstheme="minorBidi"/>
          <w:noProof/>
          <w:kern w:val="2"/>
          <w:sz w:val="24"/>
          <w:szCs w:val="24"/>
          <w14:ligatures w14:val="standardContextual"/>
        </w:rPr>
      </w:pPr>
      <w:hyperlink w:anchor="_Toc196925428" w:history="1">
        <w:r w:rsidRPr="00897282">
          <w:rPr>
            <w:rStyle w:val="Hyperlink"/>
            <w:noProof/>
          </w:rPr>
          <w:t>Table 3</w:t>
        </w:r>
        <w:r w:rsidRPr="00897282">
          <w:rPr>
            <w:rStyle w:val="Hyperlink"/>
            <w:noProof/>
          </w:rPr>
          <w:noBreakHyphen/>
          <w:t>1. ComEd Program-Level Benefits, Costs, and Illinois TRC without Gas Data from Joint Programs ($ Thousands)</w:t>
        </w:r>
        <w:r>
          <w:rPr>
            <w:noProof/>
            <w:webHidden/>
          </w:rPr>
          <w:tab/>
        </w:r>
        <w:r>
          <w:rPr>
            <w:noProof/>
            <w:webHidden/>
          </w:rPr>
          <w:fldChar w:fldCharType="begin"/>
        </w:r>
        <w:r>
          <w:rPr>
            <w:noProof/>
            <w:webHidden/>
          </w:rPr>
          <w:instrText xml:space="preserve"> PAGEREF _Toc196925428 \h </w:instrText>
        </w:r>
        <w:r>
          <w:rPr>
            <w:noProof/>
            <w:webHidden/>
          </w:rPr>
        </w:r>
        <w:r>
          <w:rPr>
            <w:noProof/>
            <w:webHidden/>
          </w:rPr>
          <w:fldChar w:fldCharType="separate"/>
        </w:r>
        <w:r>
          <w:rPr>
            <w:noProof/>
            <w:webHidden/>
          </w:rPr>
          <w:t>12</w:t>
        </w:r>
        <w:r>
          <w:rPr>
            <w:noProof/>
            <w:webHidden/>
          </w:rPr>
          <w:fldChar w:fldCharType="end"/>
        </w:r>
      </w:hyperlink>
    </w:p>
    <w:p w14:paraId="637A40F0" w14:textId="3AE4FED0" w:rsidR="00597CB1" w:rsidRDefault="00597CB1">
      <w:pPr>
        <w:pStyle w:val="TableofFigures"/>
        <w:rPr>
          <w:rFonts w:asciiTheme="minorHAnsi" w:eastAsiaTheme="minorEastAsia" w:hAnsiTheme="minorHAnsi" w:cstheme="minorBidi"/>
          <w:noProof/>
          <w:kern w:val="2"/>
          <w:sz w:val="24"/>
          <w:szCs w:val="24"/>
          <w14:ligatures w14:val="standardContextual"/>
        </w:rPr>
      </w:pPr>
      <w:hyperlink w:anchor="_Toc196925429" w:history="1">
        <w:r w:rsidRPr="00897282">
          <w:rPr>
            <w:rStyle w:val="Hyperlink"/>
            <w:noProof/>
          </w:rPr>
          <w:t>Table 3</w:t>
        </w:r>
        <w:r w:rsidRPr="00897282">
          <w:rPr>
            <w:rStyle w:val="Hyperlink"/>
            <w:noProof/>
          </w:rPr>
          <w:noBreakHyphen/>
          <w:t>2. ComEd Program-Level Benefits, Costs, and UCT without Gas Data from Joint Programs ($ Thousands)</w:t>
        </w:r>
        <w:r>
          <w:rPr>
            <w:noProof/>
            <w:webHidden/>
          </w:rPr>
          <w:tab/>
        </w:r>
        <w:r>
          <w:rPr>
            <w:noProof/>
            <w:webHidden/>
          </w:rPr>
          <w:fldChar w:fldCharType="begin"/>
        </w:r>
        <w:r>
          <w:rPr>
            <w:noProof/>
            <w:webHidden/>
          </w:rPr>
          <w:instrText xml:space="preserve"> PAGEREF _Toc196925429 \h </w:instrText>
        </w:r>
        <w:r>
          <w:rPr>
            <w:noProof/>
            <w:webHidden/>
          </w:rPr>
        </w:r>
        <w:r>
          <w:rPr>
            <w:noProof/>
            <w:webHidden/>
          </w:rPr>
          <w:fldChar w:fldCharType="separate"/>
        </w:r>
        <w:r>
          <w:rPr>
            <w:noProof/>
            <w:webHidden/>
          </w:rPr>
          <w:t>13</w:t>
        </w:r>
        <w:r>
          <w:rPr>
            <w:noProof/>
            <w:webHidden/>
          </w:rPr>
          <w:fldChar w:fldCharType="end"/>
        </w:r>
      </w:hyperlink>
    </w:p>
    <w:p w14:paraId="641A1692" w14:textId="5E93B234" w:rsidR="00597CB1" w:rsidRDefault="00597CB1">
      <w:pPr>
        <w:pStyle w:val="TableofFigures"/>
        <w:rPr>
          <w:rFonts w:asciiTheme="minorHAnsi" w:eastAsiaTheme="minorEastAsia" w:hAnsiTheme="minorHAnsi" w:cstheme="minorBidi"/>
          <w:noProof/>
          <w:kern w:val="2"/>
          <w:sz w:val="24"/>
          <w:szCs w:val="24"/>
          <w14:ligatures w14:val="standardContextual"/>
        </w:rPr>
      </w:pPr>
      <w:hyperlink w:anchor="_Toc196925430" w:history="1">
        <w:r w:rsidRPr="00897282">
          <w:rPr>
            <w:rStyle w:val="Hyperlink"/>
            <w:noProof/>
          </w:rPr>
          <w:t>Table 3</w:t>
        </w:r>
        <w:r w:rsidRPr="00897282">
          <w:rPr>
            <w:rStyle w:val="Hyperlink"/>
            <w:noProof/>
          </w:rPr>
          <w:noBreakHyphen/>
          <w:t>3. ComEd Electrification Measure Costs</w:t>
        </w:r>
        <w:r>
          <w:rPr>
            <w:noProof/>
            <w:webHidden/>
          </w:rPr>
          <w:tab/>
        </w:r>
        <w:r>
          <w:rPr>
            <w:noProof/>
            <w:webHidden/>
          </w:rPr>
          <w:fldChar w:fldCharType="begin"/>
        </w:r>
        <w:r>
          <w:rPr>
            <w:noProof/>
            <w:webHidden/>
          </w:rPr>
          <w:instrText xml:space="preserve"> PAGEREF _Toc196925430 \h </w:instrText>
        </w:r>
        <w:r>
          <w:rPr>
            <w:noProof/>
            <w:webHidden/>
          </w:rPr>
        </w:r>
        <w:r>
          <w:rPr>
            <w:noProof/>
            <w:webHidden/>
          </w:rPr>
          <w:fldChar w:fldCharType="separate"/>
        </w:r>
        <w:r>
          <w:rPr>
            <w:noProof/>
            <w:webHidden/>
          </w:rPr>
          <w:t>14</w:t>
        </w:r>
        <w:r>
          <w:rPr>
            <w:noProof/>
            <w:webHidden/>
          </w:rPr>
          <w:fldChar w:fldCharType="end"/>
        </w:r>
      </w:hyperlink>
    </w:p>
    <w:p w14:paraId="57E0C1A5" w14:textId="00282801" w:rsidR="00597CB1" w:rsidRDefault="00597CB1">
      <w:pPr>
        <w:pStyle w:val="TableofFigures"/>
        <w:rPr>
          <w:rFonts w:asciiTheme="minorHAnsi" w:eastAsiaTheme="minorEastAsia" w:hAnsiTheme="minorHAnsi" w:cstheme="minorBidi"/>
          <w:noProof/>
          <w:kern w:val="2"/>
          <w:sz w:val="24"/>
          <w:szCs w:val="24"/>
          <w14:ligatures w14:val="standardContextual"/>
        </w:rPr>
      </w:pPr>
      <w:hyperlink w:anchor="_Toc196925431" w:history="1">
        <w:r w:rsidRPr="00897282">
          <w:rPr>
            <w:rStyle w:val="Hyperlink"/>
            <w:noProof/>
          </w:rPr>
          <w:t>Table 3</w:t>
        </w:r>
        <w:r w:rsidRPr="00897282">
          <w:rPr>
            <w:rStyle w:val="Hyperlink"/>
            <w:noProof/>
          </w:rPr>
          <w:noBreakHyphen/>
          <w:t>4. CY2024 Program Cost Data Sources and Assumptions</w:t>
        </w:r>
        <w:r>
          <w:rPr>
            <w:noProof/>
            <w:webHidden/>
          </w:rPr>
          <w:tab/>
        </w:r>
        <w:r>
          <w:rPr>
            <w:noProof/>
            <w:webHidden/>
          </w:rPr>
          <w:fldChar w:fldCharType="begin"/>
        </w:r>
        <w:r>
          <w:rPr>
            <w:noProof/>
            <w:webHidden/>
          </w:rPr>
          <w:instrText xml:space="preserve"> PAGEREF _Toc196925431 \h </w:instrText>
        </w:r>
        <w:r>
          <w:rPr>
            <w:noProof/>
            <w:webHidden/>
          </w:rPr>
        </w:r>
        <w:r>
          <w:rPr>
            <w:noProof/>
            <w:webHidden/>
          </w:rPr>
          <w:fldChar w:fldCharType="separate"/>
        </w:r>
        <w:r>
          <w:rPr>
            <w:noProof/>
            <w:webHidden/>
          </w:rPr>
          <w:t>18</w:t>
        </w:r>
        <w:r>
          <w:rPr>
            <w:noProof/>
            <w:webHidden/>
          </w:rPr>
          <w:fldChar w:fldCharType="end"/>
        </w:r>
      </w:hyperlink>
    </w:p>
    <w:p w14:paraId="45AA09EB" w14:textId="6471B247" w:rsidR="001B5EAD" w:rsidRDefault="001B5EAD" w:rsidP="001B5EAD">
      <w:pPr>
        <w:pStyle w:val="TableofFigures"/>
      </w:pPr>
      <w:r w:rsidRPr="007E5445">
        <w:fldChar w:fldCharType="end"/>
      </w:r>
    </w:p>
    <w:p w14:paraId="663716C1" w14:textId="4BE23E64" w:rsidR="00093DD1" w:rsidRDefault="001B5EAD">
      <w:pPr>
        <w:pStyle w:val="TableofFigures"/>
        <w:rPr>
          <w:rFonts w:asciiTheme="minorHAnsi" w:eastAsiaTheme="minorEastAsia" w:hAnsiTheme="minorHAnsi" w:cstheme="minorBidi"/>
          <w:noProof/>
          <w:kern w:val="2"/>
          <w:sz w:val="24"/>
          <w:szCs w:val="24"/>
          <w14:ligatures w14:val="standardContextual"/>
        </w:rPr>
      </w:pPr>
      <w:r>
        <w:fldChar w:fldCharType="begin"/>
      </w:r>
      <w:r>
        <w:instrText xml:space="preserve"> TOC \h \z \c "Equation" </w:instrText>
      </w:r>
      <w:r>
        <w:fldChar w:fldCharType="separate"/>
      </w:r>
      <w:hyperlink w:anchor="_Toc196905257" w:history="1">
        <w:r w:rsidR="00093DD1" w:rsidRPr="003F126A">
          <w:rPr>
            <w:rStyle w:val="Hyperlink"/>
            <w:noProof/>
          </w:rPr>
          <w:t>Equation 1. Illinois TRC</w:t>
        </w:r>
        <w:r w:rsidR="00093DD1">
          <w:rPr>
            <w:noProof/>
            <w:webHidden/>
          </w:rPr>
          <w:tab/>
        </w:r>
        <w:r w:rsidR="00093DD1">
          <w:rPr>
            <w:noProof/>
            <w:webHidden/>
          </w:rPr>
          <w:fldChar w:fldCharType="begin"/>
        </w:r>
        <w:r w:rsidR="00093DD1">
          <w:rPr>
            <w:noProof/>
            <w:webHidden/>
          </w:rPr>
          <w:instrText xml:space="preserve"> PAGEREF _Toc196905257 \h </w:instrText>
        </w:r>
        <w:r w:rsidR="00093DD1">
          <w:rPr>
            <w:noProof/>
            <w:webHidden/>
          </w:rPr>
        </w:r>
        <w:r w:rsidR="00093DD1">
          <w:rPr>
            <w:noProof/>
            <w:webHidden/>
          </w:rPr>
          <w:fldChar w:fldCharType="separate"/>
        </w:r>
        <w:r w:rsidR="00093DD1">
          <w:rPr>
            <w:noProof/>
            <w:webHidden/>
          </w:rPr>
          <w:t>3</w:t>
        </w:r>
        <w:r w:rsidR="00093DD1">
          <w:rPr>
            <w:noProof/>
            <w:webHidden/>
          </w:rPr>
          <w:fldChar w:fldCharType="end"/>
        </w:r>
      </w:hyperlink>
    </w:p>
    <w:p w14:paraId="6A70D45C" w14:textId="3233045D" w:rsidR="00093DD1" w:rsidRDefault="00093DD1">
      <w:pPr>
        <w:pStyle w:val="TableofFigures"/>
        <w:rPr>
          <w:rFonts w:asciiTheme="minorHAnsi" w:eastAsiaTheme="minorEastAsia" w:hAnsiTheme="minorHAnsi" w:cstheme="minorBidi"/>
          <w:noProof/>
          <w:kern w:val="2"/>
          <w:sz w:val="24"/>
          <w:szCs w:val="24"/>
          <w14:ligatures w14:val="standardContextual"/>
        </w:rPr>
      </w:pPr>
      <w:hyperlink w:anchor="_Toc196905258" w:history="1">
        <w:r w:rsidRPr="003F126A">
          <w:rPr>
            <w:rStyle w:val="Hyperlink"/>
            <w:noProof/>
          </w:rPr>
          <w:t>Equation 2. Illinois TRC Benefits</w:t>
        </w:r>
        <w:r>
          <w:rPr>
            <w:noProof/>
            <w:webHidden/>
          </w:rPr>
          <w:tab/>
        </w:r>
        <w:r>
          <w:rPr>
            <w:noProof/>
            <w:webHidden/>
          </w:rPr>
          <w:fldChar w:fldCharType="begin"/>
        </w:r>
        <w:r>
          <w:rPr>
            <w:noProof/>
            <w:webHidden/>
          </w:rPr>
          <w:instrText xml:space="preserve"> PAGEREF _Toc196905258 \h </w:instrText>
        </w:r>
        <w:r>
          <w:rPr>
            <w:noProof/>
            <w:webHidden/>
          </w:rPr>
        </w:r>
        <w:r>
          <w:rPr>
            <w:noProof/>
            <w:webHidden/>
          </w:rPr>
          <w:fldChar w:fldCharType="separate"/>
        </w:r>
        <w:r>
          <w:rPr>
            <w:noProof/>
            <w:webHidden/>
          </w:rPr>
          <w:t>3</w:t>
        </w:r>
        <w:r>
          <w:rPr>
            <w:noProof/>
            <w:webHidden/>
          </w:rPr>
          <w:fldChar w:fldCharType="end"/>
        </w:r>
      </w:hyperlink>
    </w:p>
    <w:p w14:paraId="058FBCFE" w14:textId="727E91EB" w:rsidR="00093DD1" w:rsidRDefault="00093DD1">
      <w:pPr>
        <w:pStyle w:val="TableofFigures"/>
        <w:rPr>
          <w:rFonts w:asciiTheme="minorHAnsi" w:eastAsiaTheme="minorEastAsia" w:hAnsiTheme="minorHAnsi" w:cstheme="minorBidi"/>
          <w:noProof/>
          <w:kern w:val="2"/>
          <w:sz w:val="24"/>
          <w:szCs w:val="24"/>
          <w14:ligatures w14:val="standardContextual"/>
        </w:rPr>
      </w:pPr>
      <w:hyperlink w:anchor="_Toc196905259" w:history="1">
        <w:r w:rsidRPr="003F126A">
          <w:rPr>
            <w:rStyle w:val="Hyperlink"/>
            <w:noProof/>
          </w:rPr>
          <w:t>Equation 3. Illinois TRC Costs</w:t>
        </w:r>
        <w:r>
          <w:rPr>
            <w:noProof/>
            <w:webHidden/>
          </w:rPr>
          <w:tab/>
        </w:r>
        <w:r>
          <w:rPr>
            <w:noProof/>
            <w:webHidden/>
          </w:rPr>
          <w:fldChar w:fldCharType="begin"/>
        </w:r>
        <w:r>
          <w:rPr>
            <w:noProof/>
            <w:webHidden/>
          </w:rPr>
          <w:instrText xml:space="preserve"> PAGEREF _Toc196905259 \h </w:instrText>
        </w:r>
        <w:r>
          <w:rPr>
            <w:noProof/>
            <w:webHidden/>
          </w:rPr>
        </w:r>
        <w:r>
          <w:rPr>
            <w:noProof/>
            <w:webHidden/>
          </w:rPr>
          <w:fldChar w:fldCharType="separate"/>
        </w:r>
        <w:r>
          <w:rPr>
            <w:noProof/>
            <w:webHidden/>
          </w:rPr>
          <w:t>3</w:t>
        </w:r>
        <w:r>
          <w:rPr>
            <w:noProof/>
            <w:webHidden/>
          </w:rPr>
          <w:fldChar w:fldCharType="end"/>
        </w:r>
      </w:hyperlink>
    </w:p>
    <w:p w14:paraId="76522181" w14:textId="6D816444" w:rsidR="00093DD1" w:rsidRDefault="00093DD1">
      <w:pPr>
        <w:pStyle w:val="TableofFigures"/>
        <w:rPr>
          <w:rFonts w:asciiTheme="minorHAnsi" w:eastAsiaTheme="minorEastAsia" w:hAnsiTheme="minorHAnsi" w:cstheme="minorBidi"/>
          <w:noProof/>
          <w:kern w:val="2"/>
          <w:sz w:val="24"/>
          <w:szCs w:val="24"/>
          <w14:ligatures w14:val="standardContextual"/>
        </w:rPr>
      </w:pPr>
      <w:hyperlink w:anchor="_Toc196905260" w:history="1">
        <w:r w:rsidRPr="003F126A">
          <w:rPr>
            <w:rStyle w:val="Hyperlink"/>
            <w:noProof/>
          </w:rPr>
          <w:t>Equation 4. UCT</w:t>
        </w:r>
        <w:r>
          <w:rPr>
            <w:noProof/>
            <w:webHidden/>
          </w:rPr>
          <w:tab/>
        </w:r>
        <w:r>
          <w:rPr>
            <w:noProof/>
            <w:webHidden/>
          </w:rPr>
          <w:fldChar w:fldCharType="begin"/>
        </w:r>
        <w:r>
          <w:rPr>
            <w:noProof/>
            <w:webHidden/>
          </w:rPr>
          <w:instrText xml:space="preserve"> PAGEREF _Toc196905260 \h </w:instrText>
        </w:r>
        <w:r>
          <w:rPr>
            <w:noProof/>
            <w:webHidden/>
          </w:rPr>
        </w:r>
        <w:r>
          <w:rPr>
            <w:noProof/>
            <w:webHidden/>
          </w:rPr>
          <w:fldChar w:fldCharType="separate"/>
        </w:r>
        <w:r>
          <w:rPr>
            <w:noProof/>
            <w:webHidden/>
          </w:rPr>
          <w:t>4</w:t>
        </w:r>
        <w:r>
          <w:rPr>
            <w:noProof/>
            <w:webHidden/>
          </w:rPr>
          <w:fldChar w:fldCharType="end"/>
        </w:r>
      </w:hyperlink>
    </w:p>
    <w:p w14:paraId="47DC4BC5" w14:textId="6B72A6F8" w:rsidR="00093DD1" w:rsidRDefault="00093DD1">
      <w:pPr>
        <w:pStyle w:val="TableofFigures"/>
        <w:rPr>
          <w:rFonts w:asciiTheme="minorHAnsi" w:eastAsiaTheme="minorEastAsia" w:hAnsiTheme="minorHAnsi" w:cstheme="minorBidi"/>
          <w:noProof/>
          <w:kern w:val="2"/>
          <w:sz w:val="24"/>
          <w:szCs w:val="24"/>
          <w14:ligatures w14:val="standardContextual"/>
        </w:rPr>
      </w:pPr>
      <w:hyperlink w:anchor="_Toc196905261" w:history="1">
        <w:r w:rsidRPr="003F126A">
          <w:rPr>
            <w:rStyle w:val="Hyperlink"/>
            <w:noProof/>
          </w:rPr>
          <w:t>Equation 5. UCT Benefits</w:t>
        </w:r>
        <w:r>
          <w:rPr>
            <w:noProof/>
            <w:webHidden/>
          </w:rPr>
          <w:tab/>
        </w:r>
        <w:r>
          <w:rPr>
            <w:noProof/>
            <w:webHidden/>
          </w:rPr>
          <w:fldChar w:fldCharType="begin"/>
        </w:r>
        <w:r>
          <w:rPr>
            <w:noProof/>
            <w:webHidden/>
          </w:rPr>
          <w:instrText xml:space="preserve"> PAGEREF _Toc196905261 \h </w:instrText>
        </w:r>
        <w:r>
          <w:rPr>
            <w:noProof/>
            <w:webHidden/>
          </w:rPr>
        </w:r>
        <w:r>
          <w:rPr>
            <w:noProof/>
            <w:webHidden/>
          </w:rPr>
          <w:fldChar w:fldCharType="separate"/>
        </w:r>
        <w:r>
          <w:rPr>
            <w:noProof/>
            <w:webHidden/>
          </w:rPr>
          <w:t>5</w:t>
        </w:r>
        <w:r>
          <w:rPr>
            <w:noProof/>
            <w:webHidden/>
          </w:rPr>
          <w:fldChar w:fldCharType="end"/>
        </w:r>
      </w:hyperlink>
    </w:p>
    <w:p w14:paraId="6953B2C9" w14:textId="204462E8" w:rsidR="00093DD1" w:rsidRDefault="00093DD1">
      <w:pPr>
        <w:pStyle w:val="TableofFigures"/>
        <w:rPr>
          <w:rFonts w:asciiTheme="minorHAnsi" w:eastAsiaTheme="minorEastAsia" w:hAnsiTheme="minorHAnsi" w:cstheme="minorBidi"/>
          <w:noProof/>
          <w:kern w:val="2"/>
          <w:sz w:val="24"/>
          <w:szCs w:val="24"/>
          <w14:ligatures w14:val="standardContextual"/>
        </w:rPr>
      </w:pPr>
      <w:hyperlink w:anchor="_Toc196905262" w:history="1">
        <w:r w:rsidRPr="003F126A">
          <w:rPr>
            <w:rStyle w:val="Hyperlink"/>
            <w:noProof/>
          </w:rPr>
          <w:t>Equation 6. UCT Costs</w:t>
        </w:r>
        <w:r>
          <w:rPr>
            <w:noProof/>
            <w:webHidden/>
          </w:rPr>
          <w:tab/>
        </w:r>
        <w:r>
          <w:rPr>
            <w:noProof/>
            <w:webHidden/>
          </w:rPr>
          <w:fldChar w:fldCharType="begin"/>
        </w:r>
        <w:r>
          <w:rPr>
            <w:noProof/>
            <w:webHidden/>
          </w:rPr>
          <w:instrText xml:space="preserve"> PAGEREF _Toc196905262 \h </w:instrText>
        </w:r>
        <w:r>
          <w:rPr>
            <w:noProof/>
            <w:webHidden/>
          </w:rPr>
        </w:r>
        <w:r>
          <w:rPr>
            <w:noProof/>
            <w:webHidden/>
          </w:rPr>
          <w:fldChar w:fldCharType="separate"/>
        </w:r>
        <w:r>
          <w:rPr>
            <w:noProof/>
            <w:webHidden/>
          </w:rPr>
          <w:t>5</w:t>
        </w:r>
        <w:r>
          <w:rPr>
            <w:noProof/>
            <w:webHidden/>
          </w:rPr>
          <w:fldChar w:fldCharType="end"/>
        </w:r>
      </w:hyperlink>
    </w:p>
    <w:p w14:paraId="7B313938" w14:textId="4AFEAA47" w:rsidR="001B5EAD" w:rsidRPr="008076A8" w:rsidRDefault="001B5EAD" w:rsidP="001B5EAD">
      <w:r>
        <w:fldChar w:fldCharType="end"/>
      </w:r>
    </w:p>
    <w:p w14:paraId="2A6D13A1" w14:textId="77777777" w:rsidR="001B5EAD" w:rsidRPr="005621C7" w:rsidRDefault="001B5EAD" w:rsidP="001B5EAD">
      <w:pPr>
        <w:pStyle w:val="TableofFigures"/>
        <w:sectPr w:rsidR="001B5EAD" w:rsidRPr="005621C7" w:rsidSect="007D70E2">
          <w:footerReference w:type="default" r:id="rId22"/>
          <w:pgSz w:w="12240" w:h="15840" w:code="1"/>
          <w:pgMar w:top="1440" w:right="1440" w:bottom="1440" w:left="1440" w:header="720" w:footer="720" w:gutter="0"/>
          <w:pgNumType w:fmt="lowerRoman" w:start="1"/>
          <w:cols w:space="720"/>
          <w:docGrid w:linePitch="360"/>
        </w:sectPr>
      </w:pPr>
    </w:p>
    <w:p w14:paraId="3596CBC0" w14:textId="77777777" w:rsidR="001B5EAD" w:rsidRPr="00A90B62" w:rsidRDefault="001B5EAD" w:rsidP="001B5EAD">
      <w:pPr>
        <w:pStyle w:val="Heading1"/>
      </w:pPr>
      <w:bookmarkStart w:id="4" w:name="_Toc508267199"/>
      <w:bookmarkStart w:id="5" w:name="_Toc196925658"/>
      <w:r>
        <w:lastRenderedPageBreak/>
        <w:t>Overview</w:t>
      </w:r>
      <w:bookmarkEnd w:id="4"/>
      <w:bookmarkEnd w:id="5"/>
    </w:p>
    <w:p w14:paraId="75134A6E" w14:textId="04EB291C" w:rsidR="001B5EAD" w:rsidRDefault="001B5EAD" w:rsidP="001B5EAD">
      <w:pPr>
        <w:pStyle w:val="BodyText"/>
      </w:pPr>
      <w:bookmarkStart w:id="6" w:name="_Toc379121843"/>
      <w:bookmarkStart w:id="7" w:name="_Toc379124587"/>
      <w:bookmarkStart w:id="8" w:name="_Toc379121844"/>
      <w:bookmarkStart w:id="9" w:name="_Toc379124588"/>
      <w:bookmarkStart w:id="10" w:name="_Ref345591556"/>
      <w:bookmarkEnd w:id="6"/>
      <w:bookmarkEnd w:id="7"/>
      <w:bookmarkEnd w:id="8"/>
      <w:bookmarkEnd w:id="9"/>
      <w:r>
        <w:t xml:space="preserve">As part of ComEd’s energy efficiency program evaluation for </w:t>
      </w:r>
      <w:r w:rsidR="00792E51" w:rsidRPr="00005FB9">
        <w:t>calendar year 202</w:t>
      </w:r>
      <w:r w:rsidR="004A1611">
        <w:t>4</w:t>
      </w:r>
      <w:r w:rsidR="00792E51" w:rsidRPr="00005FB9">
        <w:t xml:space="preserve"> </w:t>
      </w:r>
      <w:r w:rsidR="00792E51">
        <w:t>(</w:t>
      </w:r>
      <w:r>
        <w:t>CY202</w:t>
      </w:r>
      <w:r w:rsidR="004A1611">
        <w:t>4</w:t>
      </w:r>
      <w:r w:rsidR="00792E51">
        <w:t>)</w:t>
      </w:r>
      <w:r>
        <w:t xml:space="preserve">, </w:t>
      </w:r>
      <w:proofErr w:type="gramStart"/>
      <w:r>
        <w:t>Guidehouse</w:t>
      </w:r>
      <w:proofErr w:type="gramEnd"/>
      <w:r>
        <w:t xml:space="preserve"> determined program- and portfolio-level cost-effectiveness using the utility cost test (UCT) and the Illinois total resource cost (TRC) test. This analysis included quantifying the program, measure, and portfolio costs for implementing the energy efficiency programs, along with the benefits derived from these investments. </w:t>
      </w:r>
      <w:r w:rsidR="008645E3">
        <w:t>T</w:t>
      </w:r>
      <w:r>
        <w:t xml:space="preserve">his report contains TRC values with and without </w:t>
      </w:r>
      <w:r w:rsidR="00B1201B">
        <w:t xml:space="preserve">Societal </w:t>
      </w:r>
      <w:r>
        <w:t>non-energy impacts (Societal NEIs). The following sections include the results of the cost-effectiveness analysis for each program in ComEd’s portfolio and a detailed breakdown of all the costs and benefits included in the analysis.</w:t>
      </w:r>
      <w:r w:rsidR="00551408" w:rsidRPr="00551408">
        <w:t xml:space="preserve"> </w:t>
      </w:r>
      <w:r w:rsidR="00551408">
        <w:t xml:space="preserve">Guidehouse conducted the analysis using </w:t>
      </w:r>
      <w:r w:rsidR="00551408" w:rsidRPr="003C16F4">
        <w:t xml:space="preserve">spreadsheet and </w:t>
      </w:r>
      <w:r w:rsidR="00551408">
        <w:t xml:space="preserve">Analytica tools. </w:t>
      </w:r>
    </w:p>
    <w:p w14:paraId="348B07EC" w14:textId="627371D7" w:rsidR="001B5EAD" w:rsidRDefault="001B5EAD" w:rsidP="001B5EAD">
      <w:pPr>
        <w:pStyle w:val="BodyText"/>
      </w:pPr>
      <w:r>
        <w:t>The savings numbers and results included in this report are reflective of only ComEd’s Energy Efficiency Portfolio Standard (EEPS) programs. For programs that are jointly implemented by ComEd and one or more Illinois gas utilities (including Nicor Gas, Peoples Gas [PG], and North Shore Gas [NSG])</w:t>
      </w:r>
      <w:proofErr w:type="gramStart"/>
      <w:r>
        <w:t>, only</w:t>
      </w:r>
      <w:proofErr w:type="gramEnd"/>
      <w:r>
        <w:t xml:space="preserve"> ComEd’s portion of the program savings and costs are included in this report.</w:t>
      </w:r>
      <w:r>
        <w:rPr>
          <w:rStyle w:val="FootnoteReference"/>
        </w:rPr>
        <w:footnoteReference w:id="2"/>
      </w:r>
      <w:r>
        <w:t xml:space="preserve"> The combined joint TRC and UCT values for these programs will be shared in a </w:t>
      </w:r>
      <w:r w:rsidR="001B58FB">
        <w:t xml:space="preserve">separate </w:t>
      </w:r>
      <w:r>
        <w:t xml:space="preserve">memo. </w:t>
      </w:r>
    </w:p>
    <w:p w14:paraId="54BBA5E0" w14:textId="77777777" w:rsidR="001B5EAD" w:rsidRDefault="001B5EAD" w:rsidP="001B5EAD">
      <w:pPr>
        <w:pStyle w:val="BodyText"/>
      </w:pPr>
      <w:r w:rsidRPr="003C74A3">
        <w:t xml:space="preserve">The Illinois TRC test is defined in the Illinois Power Agency Act </w:t>
      </w:r>
      <w:r>
        <w:t>(see 20 ILCS 3855/1-10)</w:t>
      </w:r>
      <w:r w:rsidRPr="003C74A3">
        <w:t xml:space="preserve"> as follows</w:t>
      </w:r>
      <w:r>
        <w:t>:</w:t>
      </w:r>
      <w:r w:rsidRPr="003C74A3">
        <w:rPr>
          <w:rStyle w:val="FootnoteReference"/>
        </w:rPr>
        <w:footnoteReference w:id="3"/>
      </w:r>
    </w:p>
    <w:p w14:paraId="3DD772FE" w14:textId="7C48A5D1" w:rsidR="001B5EAD" w:rsidRPr="0075458A" w:rsidRDefault="001B5EAD" w:rsidP="001B5EAD">
      <w:pPr>
        <w:pStyle w:val="BodyText"/>
        <w:ind w:left="720"/>
        <w:rPr>
          <w:rStyle w:val="QuoteChar"/>
          <w:rFonts w:eastAsiaTheme="majorEastAsia"/>
        </w:rPr>
      </w:pPr>
      <w:r>
        <w:rPr>
          <w:rStyle w:val="QuoteChar"/>
          <w:rFonts w:eastAsiaTheme="majorEastAsia"/>
        </w:rPr>
        <w:t>“</w:t>
      </w:r>
      <w:r w:rsidRPr="0075458A">
        <w:rPr>
          <w:rStyle w:val="QuoteChar"/>
          <w:rFonts w:eastAsiaTheme="majorEastAsia"/>
        </w:rPr>
        <w:t>Total resource cost test</w:t>
      </w:r>
      <w:r>
        <w:rPr>
          <w:rStyle w:val="QuoteChar"/>
          <w:rFonts w:eastAsiaTheme="majorEastAsia"/>
        </w:rPr>
        <w:t>”</w:t>
      </w:r>
      <w:r w:rsidRPr="0075458A">
        <w:rPr>
          <w:rStyle w:val="QuoteChar"/>
          <w:rFonts w:eastAsiaTheme="majorEastAsia"/>
        </w:rPr>
        <w:t xml:space="preserve"> or </w:t>
      </w:r>
      <w:r>
        <w:rPr>
          <w:rStyle w:val="QuoteChar"/>
          <w:rFonts w:eastAsiaTheme="majorEastAsia"/>
        </w:rPr>
        <w:t>“</w:t>
      </w:r>
      <w:r w:rsidRPr="0075458A">
        <w:rPr>
          <w:rStyle w:val="QuoteChar"/>
          <w:rFonts w:eastAsiaTheme="majorEastAsia"/>
        </w:rPr>
        <w:t>TRC test</w:t>
      </w:r>
      <w:r>
        <w:rPr>
          <w:rStyle w:val="QuoteChar"/>
          <w:rFonts w:eastAsiaTheme="majorEastAsia"/>
        </w:rPr>
        <w:t>”</w:t>
      </w:r>
      <w:r w:rsidRPr="0075458A">
        <w:rPr>
          <w:rStyle w:val="QuoteChar"/>
          <w:rFonts w:eastAsiaTheme="majorEastAsia"/>
        </w:rPr>
        <w:t xml:space="preserve"> means a standard that is met if, for an investment in energy efficiency or demand-response measures, the benefit-cost ratio is greater than one. The benefit-cost ratio is the ratio of the net present value of the total benefits of the program to the net present value of the total costs as calculated over the lifetime of the measures. A </w:t>
      </w:r>
      <w:r>
        <w:rPr>
          <w:rStyle w:val="QuoteChar"/>
          <w:rFonts w:eastAsiaTheme="majorEastAsia"/>
        </w:rPr>
        <w:t>total resource cost</w:t>
      </w:r>
      <w:r w:rsidRPr="0075458A">
        <w:rPr>
          <w:rStyle w:val="QuoteChar"/>
          <w:rFonts w:eastAsiaTheme="majorEastAsia"/>
        </w:rPr>
        <w:t xml:space="preserve"> test compares the sum of avoided electric utility costs, representing the benefits that accrue to the system and the participant in the delivery of those efficiency measures and including avoided costs associated with reduced use of natural gas or other fuels, avoided costs associated with reduced water consumption, and avoided costs associated with reduced operation and maintenance costs, as well as other quantifiable societal benefits, to the sum of all incremental costs of end-use measures that are implemented due to the program (including both utility and participant contributions), plus costs to administer, deliver, and evaluate each demand-side program, to quantify the net savings obtained by substituting the demand-side program for supply resources. In calculating avoided costs of power and energy that an electric utility would otherwise have had to </w:t>
      </w:r>
      <w:r w:rsidR="00F16895" w:rsidRPr="0075458A">
        <w:rPr>
          <w:rStyle w:val="QuoteChar"/>
          <w:rFonts w:eastAsiaTheme="majorEastAsia"/>
        </w:rPr>
        <w:t>acquire;</w:t>
      </w:r>
      <w:r w:rsidRPr="0075458A">
        <w:rPr>
          <w:rStyle w:val="QuoteChar"/>
          <w:rFonts w:eastAsiaTheme="majorEastAsia"/>
        </w:rPr>
        <w:t xml:space="preserve"> reasonable estimates shall be included of financial costs likely to be imposed by future regulations and legislation on emissions of greenhouse gases. In discounting future societal costs and benefits for the purpose of </w:t>
      </w:r>
      <w:proofErr w:type="gramStart"/>
      <w:r w:rsidRPr="0075458A">
        <w:rPr>
          <w:rStyle w:val="QuoteChar"/>
          <w:rFonts w:eastAsiaTheme="majorEastAsia"/>
        </w:rPr>
        <w:t>calculating net</w:t>
      </w:r>
      <w:proofErr w:type="gramEnd"/>
      <w:r w:rsidRPr="0075458A">
        <w:rPr>
          <w:rStyle w:val="QuoteChar"/>
          <w:rFonts w:eastAsiaTheme="majorEastAsia"/>
        </w:rPr>
        <w:t xml:space="preserve"> present values, a societal discount rate based on actual, long-term Treasury bond yields should be used. Notwithstanding anything to the contrary, the TRC test shall not include or </w:t>
      </w:r>
      <w:r w:rsidR="00214333" w:rsidRPr="0075458A">
        <w:rPr>
          <w:rStyle w:val="QuoteChar"/>
          <w:rFonts w:eastAsiaTheme="majorEastAsia"/>
        </w:rPr>
        <w:t>consider</w:t>
      </w:r>
      <w:r w:rsidRPr="0075458A">
        <w:rPr>
          <w:rStyle w:val="QuoteChar"/>
          <w:rFonts w:eastAsiaTheme="majorEastAsia"/>
        </w:rPr>
        <w:t xml:space="preserve"> a calculation of market price suppression effects or demand reduction induced price effects.</w:t>
      </w:r>
    </w:p>
    <w:p w14:paraId="0D635457" w14:textId="50BAF18B" w:rsidR="001B5EAD" w:rsidRDefault="001B5EAD" w:rsidP="001B5EAD">
      <w:pPr>
        <w:pStyle w:val="BodyText"/>
      </w:pPr>
      <w:r>
        <w:lastRenderedPageBreak/>
        <w:t>The Illinois TRC test differs from traditional TRC tests due to its requirement to include a reasonable estimate of the financial costs associated with future regulations and legislation on the emissions of greenhouse gases (GHG) and the use of the societal discount rate. These differences add a benefit to investments in efficiency programs that are typically included in the societal cost test in other jurisdictions.</w:t>
      </w:r>
    </w:p>
    <w:bookmarkStart w:id="11" w:name="_Toc511395705"/>
    <w:bookmarkEnd w:id="11"/>
    <w:p w14:paraId="6F32CF48" w14:textId="75DF7272" w:rsidR="001B5EAD" w:rsidRPr="00C94F4C" w:rsidRDefault="005D6610" w:rsidP="001B5EAD">
      <w:pPr>
        <w:pStyle w:val="BodyText"/>
      </w:pPr>
      <w:r w:rsidRPr="00776D4A">
        <w:fldChar w:fldCharType="begin"/>
      </w:r>
      <w:r w:rsidRPr="00776D4A">
        <w:instrText xml:space="preserve"> REF _Ref104380074 \h  \* MERGEFORMAT </w:instrText>
      </w:r>
      <w:r w:rsidRPr="00776D4A">
        <w:fldChar w:fldCharType="separate"/>
      </w:r>
      <w:r w:rsidR="00427EE9" w:rsidRPr="002C40DB">
        <w:t xml:space="preserve">Table </w:t>
      </w:r>
      <w:r w:rsidR="00427EE9">
        <w:rPr>
          <w:noProof/>
        </w:rPr>
        <w:t>1</w:t>
      </w:r>
      <w:r w:rsidR="00427EE9" w:rsidRPr="002C40DB">
        <w:rPr>
          <w:noProof/>
        </w:rPr>
        <w:noBreakHyphen/>
      </w:r>
      <w:r w:rsidR="00427EE9">
        <w:rPr>
          <w:noProof/>
        </w:rPr>
        <w:t>1</w:t>
      </w:r>
      <w:r w:rsidRPr="00776D4A">
        <w:fldChar w:fldCharType="end"/>
      </w:r>
      <w:r w:rsidRPr="00776D4A">
        <w:t xml:space="preserve"> </w:t>
      </w:r>
      <w:r w:rsidR="001B5EAD" w:rsidRPr="00776D4A">
        <w:t>summarizes the CY202</w:t>
      </w:r>
      <w:r w:rsidR="009164E5">
        <w:t>4</w:t>
      </w:r>
      <w:r w:rsidR="001B5EAD" w:rsidRPr="00776D4A">
        <w:t xml:space="preserve"> TRC and UCT values for all EEPS programs in ComEd’s CY202</w:t>
      </w:r>
      <w:r w:rsidR="009164E5">
        <w:t>4</w:t>
      </w:r>
      <w:r w:rsidR="001B5EAD" w:rsidRPr="00776D4A">
        <w:t xml:space="preserve"> portfolio. </w:t>
      </w:r>
      <w:r w:rsidR="001B5EAD" w:rsidRPr="00F7343F">
        <w:t>Overall, the CY202</w:t>
      </w:r>
      <w:r w:rsidR="009164E5" w:rsidRPr="00F7343F">
        <w:t>4</w:t>
      </w:r>
      <w:r w:rsidR="001B5EAD" w:rsidRPr="00F7343F">
        <w:t xml:space="preserve"> portfolio aggregate TRCs and UCTs show the portfolio was cost-effective, with aggregate TRC values of </w:t>
      </w:r>
      <w:r w:rsidR="00F516E2">
        <w:t>5</w:t>
      </w:r>
      <w:r w:rsidR="008E0AF3" w:rsidRPr="00F7343F">
        <w:t>.</w:t>
      </w:r>
      <w:r w:rsidR="00F516E2">
        <w:t>35</w:t>
      </w:r>
      <w:r w:rsidR="001B5EAD" w:rsidRPr="00F7343F">
        <w:t xml:space="preserve"> (with Societal NEIs) and </w:t>
      </w:r>
      <w:r w:rsidR="00DC3414" w:rsidRPr="00F7343F">
        <w:t>3</w:t>
      </w:r>
      <w:r w:rsidR="000443DB" w:rsidRPr="00F7343F">
        <w:t>.0</w:t>
      </w:r>
      <w:r w:rsidR="00F516E2">
        <w:t>3</w:t>
      </w:r>
      <w:r w:rsidR="00E90424" w:rsidRPr="00F7343F">
        <w:t xml:space="preserve"> </w:t>
      </w:r>
      <w:r w:rsidR="001B5EAD" w:rsidRPr="00F7343F">
        <w:t xml:space="preserve">(without Societal NEIs), and a UCT value of </w:t>
      </w:r>
      <w:r w:rsidR="00DC3414" w:rsidRPr="00F7343F">
        <w:t>2</w:t>
      </w:r>
      <w:r w:rsidR="001B5EAD" w:rsidRPr="00F7343F">
        <w:t>.</w:t>
      </w:r>
      <w:r w:rsidR="00DC3414" w:rsidRPr="00F7343F">
        <w:t>13</w:t>
      </w:r>
      <w:r w:rsidR="001B5EAD" w:rsidRPr="00F7343F">
        <w:t>.</w:t>
      </w:r>
      <w:bookmarkStart w:id="12" w:name="_Ref510107574"/>
    </w:p>
    <w:p w14:paraId="0B46E157" w14:textId="29D8AA33" w:rsidR="001B5EAD" w:rsidRDefault="001B5EAD" w:rsidP="001B5EAD">
      <w:pPr>
        <w:pStyle w:val="Caption"/>
      </w:pPr>
      <w:bookmarkStart w:id="13" w:name="_Ref104380074"/>
      <w:bookmarkStart w:id="14" w:name="_Ref196838446"/>
      <w:bookmarkStart w:id="15" w:name="_Toc196925424"/>
      <w:r w:rsidRPr="002C40DB">
        <w:t xml:space="preserve">Table </w:t>
      </w:r>
      <w:r w:rsidRPr="002C40DB">
        <w:fldChar w:fldCharType="begin"/>
      </w:r>
      <w:r w:rsidRPr="002C40DB">
        <w:instrText>STYLEREF 1 \s</w:instrText>
      </w:r>
      <w:r w:rsidRPr="002C40DB">
        <w:fldChar w:fldCharType="separate"/>
      </w:r>
      <w:r w:rsidR="00427EE9">
        <w:rPr>
          <w:noProof/>
        </w:rPr>
        <w:t>1</w:t>
      </w:r>
      <w:r w:rsidRPr="002C40DB">
        <w:fldChar w:fldCharType="end"/>
      </w:r>
      <w:r w:rsidRPr="002C40DB">
        <w:noBreakHyphen/>
      </w:r>
      <w:r w:rsidRPr="002C40DB">
        <w:fldChar w:fldCharType="begin"/>
      </w:r>
      <w:r w:rsidRPr="002C40DB">
        <w:instrText>SEQ Table \* ARABIC \s 1</w:instrText>
      </w:r>
      <w:r w:rsidRPr="002C40DB">
        <w:fldChar w:fldCharType="separate"/>
      </w:r>
      <w:r w:rsidR="00427EE9">
        <w:rPr>
          <w:noProof/>
        </w:rPr>
        <w:t>1</w:t>
      </w:r>
      <w:r w:rsidRPr="002C40DB">
        <w:fldChar w:fldCharType="end"/>
      </w:r>
      <w:bookmarkEnd w:id="12"/>
      <w:bookmarkEnd w:id="13"/>
      <w:r w:rsidRPr="002C40DB">
        <w:t>. Summary of CY202</w:t>
      </w:r>
      <w:r w:rsidR="009164E5">
        <w:t>4</w:t>
      </w:r>
      <w:r w:rsidRPr="002C40DB">
        <w:t xml:space="preserve"> TRC and UCT Values</w:t>
      </w:r>
      <w:r w:rsidR="008E74BA">
        <w:t xml:space="preserve"> for ComEd Programs</w:t>
      </w:r>
      <w:bookmarkEnd w:id="14"/>
      <w:bookmarkEnd w:id="15"/>
    </w:p>
    <w:tbl>
      <w:tblPr>
        <w:tblW w:w="5000" w:type="pct"/>
        <w:tblLook w:val="04A0" w:firstRow="1" w:lastRow="0" w:firstColumn="1" w:lastColumn="0" w:noHBand="0" w:noVBand="1"/>
      </w:tblPr>
      <w:tblGrid>
        <w:gridCol w:w="4270"/>
        <w:gridCol w:w="1749"/>
        <w:gridCol w:w="2033"/>
        <w:gridCol w:w="1308"/>
      </w:tblGrid>
      <w:tr w:rsidR="00DD2F3C" w:rsidRPr="00DD2F3C" w14:paraId="3F19FC39" w14:textId="77777777" w:rsidTr="006062BC">
        <w:trPr>
          <w:trHeight w:val="144"/>
          <w:tblHeader/>
        </w:trPr>
        <w:tc>
          <w:tcPr>
            <w:tcW w:w="4270" w:type="dxa"/>
            <w:vMerge w:val="restart"/>
            <w:tcBorders>
              <w:top w:val="nil"/>
              <w:left w:val="nil"/>
              <w:bottom w:val="nil"/>
              <w:right w:val="nil"/>
            </w:tcBorders>
            <w:shd w:val="clear" w:color="auto" w:fill="036479" w:themeFill="accent3"/>
            <w:noWrap/>
            <w:vAlign w:val="center"/>
            <w:hideMark/>
          </w:tcPr>
          <w:p w14:paraId="1250C396" w14:textId="77777777" w:rsidR="00DD2F3C" w:rsidRPr="00DD2F3C" w:rsidRDefault="00DD2F3C">
            <w:pPr>
              <w:rPr>
                <w:rFonts w:cs="Arial"/>
                <w:b/>
                <w:bCs/>
                <w:color w:val="FFFFFF" w:themeColor="background1"/>
                <w:sz w:val="18"/>
                <w:szCs w:val="18"/>
              </w:rPr>
            </w:pPr>
            <w:r w:rsidRPr="00DD2F3C">
              <w:rPr>
                <w:rFonts w:cs="Arial"/>
                <w:b/>
                <w:bCs/>
                <w:color w:val="FFFFFF" w:themeColor="background1"/>
                <w:sz w:val="18"/>
                <w:szCs w:val="18"/>
              </w:rPr>
              <w:t>Program</w:t>
            </w:r>
          </w:p>
        </w:tc>
        <w:tc>
          <w:tcPr>
            <w:tcW w:w="1749" w:type="dxa"/>
            <w:tcBorders>
              <w:top w:val="nil"/>
              <w:left w:val="nil"/>
              <w:bottom w:val="nil"/>
              <w:right w:val="nil"/>
            </w:tcBorders>
            <w:shd w:val="clear" w:color="auto" w:fill="036479" w:themeFill="accent3"/>
            <w:noWrap/>
            <w:vAlign w:val="bottom"/>
            <w:hideMark/>
          </w:tcPr>
          <w:p w14:paraId="3F6C1F7E" w14:textId="77777777" w:rsidR="00DD2F3C" w:rsidRPr="00DD2F3C" w:rsidRDefault="00DD2F3C">
            <w:pPr>
              <w:jc w:val="center"/>
              <w:rPr>
                <w:rFonts w:cs="Arial"/>
                <w:b/>
                <w:bCs/>
                <w:color w:val="FFFFFF" w:themeColor="background1"/>
                <w:sz w:val="18"/>
                <w:szCs w:val="18"/>
              </w:rPr>
            </w:pPr>
            <w:r w:rsidRPr="00DD2F3C">
              <w:rPr>
                <w:rFonts w:cs="Arial"/>
                <w:b/>
                <w:bCs/>
                <w:color w:val="FFFFFF" w:themeColor="background1"/>
                <w:sz w:val="18"/>
                <w:szCs w:val="18"/>
              </w:rPr>
              <w:t>Illinois TRC Test</w:t>
            </w:r>
          </w:p>
        </w:tc>
        <w:tc>
          <w:tcPr>
            <w:tcW w:w="2033" w:type="dxa"/>
            <w:tcBorders>
              <w:top w:val="nil"/>
              <w:left w:val="nil"/>
              <w:bottom w:val="nil"/>
              <w:right w:val="nil"/>
            </w:tcBorders>
            <w:shd w:val="clear" w:color="auto" w:fill="036479" w:themeFill="accent3"/>
            <w:noWrap/>
            <w:vAlign w:val="bottom"/>
            <w:hideMark/>
          </w:tcPr>
          <w:p w14:paraId="320101FC" w14:textId="77777777" w:rsidR="00DD2F3C" w:rsidRPr="00DD2F3C" w:rsidRDefault="00DD2F3C">
            <w:pPr>
              <w:jc w:val="center"/>
              <w:rPr>
                <w:rFonts w:cs="Arial"/>
                <w:b/>
                <w:bCs/>
                <w:color w:val="FFFFFF" w:themeColor="background1"/>
                <w:sz w:val="18"/>
                <w:szCs w:val="18"/>
              </w:rPr>
            </w:pPr>
            <w:r w:rsidRPr="00DD2F3C">
              <w:rPr>
                <w:rFonts w:cs="Arial"/>
                <w:b/>
                <w:bCs/>
                <w:color w:val="FFFFFF" w:themeColor="background1"/>
                <w:sz w:val="18"/>
                <w:szCs w:val="18"/>
              </w:rPr>
              <w:t>Illinois TRC Test</w:t>
            </w:r>
          </w:p>
        </w:tc>
        <w:tc>
          <w:tcPr>
            <w:tcW w:w="1308" w:type="dxa"/>
            <w:vMerge w:val="restart"/>
            <w:tcBorders>
              <w:top w:val="nil"/>
              <w:left w:val="nil"/>
              <w:bottom w:val="nil"/>
              <w:right w:val="nil"/>
            </w:tcBorders>
            <w:shd w:val="clear" w:color="auto" w:fill="036479" w:themeFill="accent3"/>
            <w:noWrap/>
            <w:vAlign w:val="center"/>
            <w:hideMark/>
          </w:tcPr>
          <w:p w14:paraId="6BB5F8E3" w14:textId="7D7094F7" w:rsidR="00DD2F3C" w:rsidRPr="00DD2F3C" w:rsidRDefault="00DD2F3C">
            <w:pPr>
              <w:jc w:val="center"/>
              <w:rPr>
                <w:rFonts w:cs="Arial"/>
                <w:b/>
                <w:bCs/>
                <w:color w:val="FFFFFF" w:themeColor="background1"/>
                <w:sz w:val="18"/>
                <w:szCs w:val="18"/>
              </w:rPr>
            </w:pPr>
            <w:r w:rsidRPr="00DD2F3C">
              <w:rPr>
                <w:rFonts w:cs="Arial"/>
                <w:b/>
                <w:bCs/>
                <w:color w:val="FFFFFF" w:themeColor="background1"/>
                <w:sz w:val="18"/>
                <w:szCs w:val="18"/>
              </w:rPr>
              <w:t>UCT</w:t>
            </w:r>
          </w:p>
        </w:tc>
      </w:tr>
      <w:tr w:rsidR="00DD2F3C" w:rsidRPr="00DD2F3C" w14:paraId="751A978F" w14:textId="77777777" w:rsidTr="006062BC">
        <w:trPr>
          <w:trHeight w:val="144"/>
          <w:tblHeader/>
        </w:trPr>
        <w:tc>
          <w:tcPr>
            <w:tcW w:w="4270" w:type="dxa"/>
            <w:vMerge/>
            <w:vAlign w:val="center"/>
            <w:hideMark/>
          </w:tcPr>
          <w:p w14:paraId="62EDF5F0" w14:textId="77777777" w:rsidR="00DD2F3C" w:rsidRPr="00DD2F3C" w:rsidRDefault="00DD2F3C">
            <w:pPr>
              <w:rPr>
                <w:rFonts w:cs="Arial"/>
                <w:b/>
                <w:bCs/>
                <w:color w:val="FFFFFF" w:themeColor="background1"/>
                <w:sz w:val="18"/>
                <w:szCs w:val="18"/>
              </w:rPr>
            </w:pPr>
          </w:p>
        </w:tc>
        <w:tc>
          <w:tcPr>
            <w:tcW w:w="1749" w:type="dxa"/>
            <w:tcBorders>
              <w:top w:val="nil"/>
              <w:left w:val="nil"/>
              <w:bottom w:val="single" w:sz="12" w:space="0" w:color="93D500" w:themeColor="accent1"/>
              <w:right w:val="nil"/>
            </w:tcBorders>
            <w:shd w:val="clear" w:color="auto" w:fill="036479" w:themeFill="accent3"/>
            <w:noWrap/>
            <w:vAlign w:val="bottom"/>
            <w:hideMark/>
          </w:tcPr>
          <w:p w14:paraId="5E00F338" w14:textId="77777777" w:rsidR="00DD2F3C" w:rsidRPr="00DD2F3C" w:rsidRDefault="00DD2F3C">
            <w:pPr>
              <w:jc w:val="center"/>
              <w:rPr>
                <w:rFonts w:cs="Arial"/>
                <w:b/>
                <w:bCs/>
                <w:color w:val="FFFFFF" w:themeColor="background1"/>
                <w:sz w:val="18"/>
                <w:szCs w:val="18"/>
              </w:rPr>
            </w:pPr>
            <w:r w:rsidRPr="00DD2F3C">
              <w:rPr>
                <w:rFonts w:cs="Arial"/>
                <w:b/>
                <w:bCs/>
                <w:color w:val="FFFFFF" w:themeColor="background1"/>
                <w:sz w:val="18"/>
                <w:szCs w:val="18"/>
              </w:rPr>
              <w:t>(With Societal NEIs)</w:t>
            </w:r>
          </w:p>
        </w:tc>
        <w:tc>
          <w:tcPr>
            <w:tcW w:w="2033" w:type="dxa"/>
            <w:tcBorders>
              <w:top w:val="nil"/>
              <w:left w:val="nil"/>
              <w:bottom w:val="single" w:sz="12" w:space="0" w:color="93D500" w:themeColor="accent1"/>
              <w:right w:val="nil"/>
            </w:tcBorders>
            <w:shd w:val="clear" w:color="auto" w:fill="036479" w:themeFill="accent3"/>
            <w:noWrap/>
            <w:vAlign w:val="bottom"/>
            <w:hideMark/>
          </w:tcPr>
          <w:p w14:paraId="657F8EEC" w14:textId="77777777" w:rsidR="00DD2F3C" w:rsidRPr="00DD2F3C" w:rsidRDefault="00DD2F3C">
            <w:pPr>
              <w:jc w:val="center"/>
              <w:rPr>
                <w:rFonts w:cs="Arial"/>
                <w:b/>
                <w:bCs/>
                <w:color w:val="FFFFFF" w:themeColor="background1"/>
                <w:sz w:val="18"/>
                <w:szCs w:val="18"/>
              </w:rPr>
            </w:pPr>
            <w:r w:rsidRPr="00DD2F3C">
              <w:rPr>
                <w:rFonts w:cs="Arial"/>
                <w:b/>
                <w:bCs/>
                <w:color w:val="FFFFFF" w:themeColor="background1"/>
                <w:sz w:val="18"/>
                <w:szCs w:val="18"/>
              </w:rPr>
              <w:t xml:space="preserve">(Without </w:t>
            </w:r>
            <w:r w:rsidRPr="00DD2F3C">
              <w:rPr>
                <w:rFonts w:cs="Arial"/>
                <w:b/>
                <w:bCs/>
                <w:color w:val="FFFFFF" w:themeColor="background1"/>
                <w:sz w:val="18"/>
                <w:szCs w:val="18"/>
              </w:rPr>
              <w:br/>
              <w:t>Societal NEIs)</w:t>
            </w:r>
          </w:p>
        </w:tc>
        <w:tc>
          <w:tcPr>
            <w:tcW w:w="1308" w:type="dxa"/>
            <w:vMerge/>
            <w:vAlign w:val="center"/>
            <w:hideMark/>
          </w:tcPr>
          <w:p w14:paraId="699ADCEE" w14:textId="77777777" w:rsidR="00DD2F3C" w:rsidRPr="00DD2F3C" w:rsidRDefault="00DD2F3C">
            <w:pPr>
              <w:rPr>
                <w:rFonts w:cs="Arial"/>
                <w:b/>
                <w:bCs/>
                <w:color w:val="FFFFFF" w:themeColor="background1"/>
                <w:sz w:val="18"/>
                <w:szCs w:val="18"/>
              </w:rPr>
            </w:pPr>
          </w:p>
        </w:tc>
      </w:tr>
      <w:tr w:rsidR="00D74E6E" w:rsidRPr="002D421F" w14:paraId="4A8E0BAC" w14:textId="77777777">
        <w:trPr>
          <w:trHeight w:val="216"/>
        </w:trPr>
        <w:tc>
          <w:tcPr>
            <w:tcW w:w="4270" w:type="dxa"/>
            <w:tcBorders>
              <w:top w:val="single" w:sz="12" w:space="0" w:color="93D500" w:themeColor="accent1"/>
              <w:left w:val="nil"/>
              <w:bottom w:val="single" w:sz="4" w:space="0" w:color="60B8CC" w:themeColor="accent4"/>
              <w:right w:val="nil"/>
            </w:tcBorders>
            <w:shd w:val="clear" w:color="auto" w:fill="auto"/>
            <w:noWrap/>
            <w:hideMark/>
          </w:tcPr>
          <w:p w14:paraId="183547E1" w14:textId="2F95CB36" w:rsidR="00D74E6E" w:rsidRPr="008E03D6" w:rsidRDefault="00D74E6E" w:rsidP="00D74E6E">
            <w:pPr>
              <w:rPr>
                <w:rFonts w:cs="Arial"/>
                <w:color w:val="000000"/>
                <w:sz w:val="18"/>
                <w:szCs w:val="18"/>
              </w:rPr>
            </w:pPr>
            <w:r w:rsidRPr="008E03D6">
              <w:rPr>
                <w:rFonts w:cs="Arial"/>
                <w:sz w:val="18"/>
                <w:szCs w:val="18"/>
              </w:rPr>
              <w:t>ASI kWh Purchase</w:t>
            </w:r>
          </w:p>
        </w:tc>
        <w:tc>
          <w:tcPr>
            <w:tcW w:w="1749" w:type="dxa"/>
            <w:tcBorders>
              <w:top w:val="single" w:sz="12" w:space="0" w:color="93D500" w:themeColor="accent1"/>
              <w:left w:val="nil"/>
              <w:bottom w:val="single" w:sz="4" w:space="0" w:color="60B8CC" w:themeColor="accent4"/>
              <w:right w:val="nil"/>
            </w:tcBorders>
            <w:shd w:val="clear" w:color="auto" w:fill="auto"/>
            <w:noWrap/>
            <w:hideMark/>
          </w:tcPr>
          <w:p w14:paraId="4F135130" w14:textId="2A4E0933" w:rsidR="00D74E6E" w:rsidRPr="00D74E6E" w:rsidRDefault="00D74E6E" w:rsidP="00D74E6E">
            <w:pPr>
              <w:jc w:val="center"/>
              <w:rPr>
                <w:rFonts w:cs="Arial"/>
                <w:color w:val="000000"/>
                <w:sz w:val="18"/>
                <w:szCs w:val="18"/>
              </w:rPr>
            </w:pPr>
            <w:r w:rsidRPr="00D74E6E">
              <w:rPr>
                <w:rFonts w:cs="Arial"/>
                <w:sz w:val="18"/>
                <w:szCs w:val="18"/>
              </w:rPr>
              <w:t>4.86</w:t>
            </w:r>
          </w:p>
        </w:tc>
        <w:tc>
          <w:tcPr>
            <w:tcW w:w="2033" w:type="dxa"/>
            <w:tcBorders>
              <w:top w:val="single" w:sz="12" w:space="0" w:color="93D500" w:themeColor="accent1"/>
              <w:left w:val="nil"/>
              <w:bottom w:val="single" w:sz="4" w:space="0" w:color="60B8CC" w:themeColor="accent4"/>
              <w:right w:val="nil"/>
            </w:tcBorders>
            <w:shd w:val="clear" w:color="auto" w:fill="auto"/>
            <w:noWrap/>
            <w:hideMark/>
          </w:tcPr>
          <w:p w14:paraId="331E7F19" w14:textId="039B87D2" w:rsidR="00D74E6E" w:rsidRPr="00D74E6E" w:rsidRDefault="00D74E6E" w:rsidP="00D74E6E">
            <w:pPr>
              <w:jc w:val="center"/>
              <w:rPr>
                <w:rFonts w:cs="Arial"/>
                <w:color w:val="000000"/>
                <w:sz w:val="18"/>
                <w:szCs w:val="18"/>
              </w:rPr>
            </w:pPr>
            <w:r w:rsidRPr="00D74E6E">
              <w:rPr>
                <w:rFonts w:cs="Arial"/>
                <w:sz w:val="18"/>
                <w:szCs w:val="18"/>
              </w:rPr>
              <w:t>3.13</w:t>
            </w:r>
          </w:p>
        </w:tc>
        <w:tc>
          <w:tcPr>
            <w:tcW w:w="1308" w:type="dxa"/>
            <w:tcBorders>
              <w:top w:val="single" w:sz="12" w:space="0" w:color="93D500" w:themeColor="accent1"/>
              <w:left w:val="nil"/>
              <w:bottom w:val="single" w:sz="4" w:space="0" w:color="60B8CC" w:themeColor="accent4"/>
              <w:right w:val="nil"/>
            </w:tcBorders>
            <w:shd w:val="clear" w:color="auto" w:fill="auto"/>
            <w:noWrap/>
            <w:hideMark/>
          </w:tcPr>
          <w:p w14:paraId="33FEA1B2" w14:textId="699C2C28" w:rsidR="00D74E6E" w:rsidRPr="00D74E6E" w:rsidRDefault="00D74E6E" w:rsidP="00D74E6E">
            <w:pPr>
              <w:jc w:val="center"/>
              <w:rPr>
                <w:rFonts w:cs="Arial"/>
                <w:color w:val="000000"/>
                <w:sz w:val="18"/>
                <w:szCs w:val="18"/>
              </w:rPr>
            </w:pPr>
            <w:r w:rsidRPr="00D74E6E">
              <w:rPr>
                <w:rFonts w:cs="Arial"/>
                <w:sz w:val="18"/>
                <w:szCs w:val="18"/>
              </w:rPr>
              <w:t>4.25</w:t>
            </w:r>
          </w:p>
        </w:tc>
      </w:tr>
      <w:tr w:rsidR="00D74E6E" w:rsidRPr="002D421F" w14:paraId="23A06C3C"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46628F70" w14:textId="7618B0B3" w:rsidR="00D74E6E" w:rsidRPr="008E03D6" w:rsidRDefault="00D74E6E" w:rsidP="00D74E6E">
            <w:pPr>
              <w:rPr>
                <w:rFonts w:cs="Arial"/>
                <w:color w:val="000000"/>
                <w:sz w:val="18"/>
                <w:szCs w:val="18"/>
              </w:rPr>
            </w:pPr>
            <w:r w:rsidRPr="008E03D6">
              <w:rPr>
                <w:rFonts w:cs="Arial"/>
                <w:sz w:val="18"/>
                <w:szCs w:val="18"/>
              </w:rPr>
              <w:t>Behavior - Res/IE</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4E25A03E" w14:textId="4D540D26" w:rsidR="00D74E6E" w:rsidRPr="00D74E6E" w:rsidRDefault="00D74E6E" w:rsidP="00D74E6E">
            <w:pPr>
              <w:jc w:val="center"/>
              <w:rPr>
                <w:rFonts w:cs="Arial"/>
                <w:color w:val="000000"/>
                <w:sz w:val="18"/>
                <w:szCs w:val="18"/>
              </w:rPr>
            </w:pPr>
            <w:r w:rsidRPr="00D74E6E">
              <w:rPr>
                <w:rFonts w:cs="Arial"/>
                <w:sz w:val="18"/>
                <w:szCs w:val="18"/>
              </w:rPr>
              <w:t>14.64</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14813B39" w14:textId="2BF55EC4" w:rsidR="00D74E6E" w:rsidRPr="00D74E6E" w:rsidRDefault="00D74E6E" w:rsidP="00D74E6E">
            <w:pPr>
              <w:jc w:val="center"/>
              <w:rPr>
                <w:rFonts w:cs="Arial"/>
                <w:color w:val="000000"/>
                <w:sz w:val="18"/>
                <w:szCs w:val="18"/>
              </w:rPr>
            </w:pPr>
            <w:r w:rsidRPr="00D74E6E">
              <w:rPr>
                <w:rFonts w:cs="Arial"/>
                <w:sz w:val="18"/>
                <w:szCs w:val="18"/>
              </w:rPr>
              <w:t>10.58</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3CC9C53C" w14:textId="08330E54" w:rsidR="00D74E6E" w:rsidRPr="00D74E6E" w:rsidRDefault="00D74E6E" w:rsidP="00D74E6E">
            <w:pPr>
              <w:jc w:val="center"/>
              <w:rPr>
                <w:rFonts w:cs="Arial"/>
                <w:color w:val="000000"/>
                <w:sz w:val="18"/>
                <w:szCs w:val="18"/>
              </w:rPr>
            </w:pPr>
            <w:r w:rsidRPr="00D74E6E">
              <w:rPr>
                <w:rFonts w:cs="Arial"/>
                <w:sz w:val="18"/>
                <w:szCs w:val="18"/>
              </w:rPr>
              <w:t>6.59</w:t>
            </w:r>
          </w:p>
        </w:tc>
      </w:tr>
      <w:tr w:rsidR="00D74E6E" w:rsidRPr="002D421F" w14:paraId="3AAB136B"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5C6500AD" w14:textId="38DE63E3" w:rsidR="00D74E6E" w:rsidRPr="008E03D6" w:rsidRDefault="00D74E6E" w:rsidP="00D74E6E">
            <w:pPr>
              <w:rPr>
                <w:rFonts w:cs="Arial"/>
                <w:color w:val="000000"/>
                <w:sz w:val="18"/>
                <w:szCs w:val="18"/>
              </w:rPr>
            </w:pPr>
            <w:r w:rsidRPr="008E03D6">
              <w:rPr>
                <w:rFonts w:cs="Arial"/>
                <w:sz w:val="18"/>
                <w:szCs w:val="18"/>
              </w:rPr>
              <w:t>Contractor/Midstream Rebates</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29D7E69C" w14:textId="497BCFBC" w:rsidR="00D74E6E" w:rsidRPr="00D74E6E" w:rsidRDefault="00D74E6E" w:rsidP="00D74E6E">
            <w:pPr>
              <w:jc w:val="center"/>
              <w:rPr>
                <w:rFonts w:cs="Arial"/>
                <w:color w:val="000000"/>
                <w:sz w:val="18"/>
                <w:szCs w:val="18"/>
              </w:rPr>
            </w:pPr>
            <w:r w:rsidRPr="00D74E6E">
              <w:rPr>
                <w:rFonts w:cs="Arial"/>
                <w:sz w:val="18"/>
                <w:szCs w:val="18"/>
              </w:rPr>
              <w:t>5.68</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5AB6A884" w14:textId="1D07ECD1" w:rsidR="00D74E6E" w:rsidRPr="00D74E6E" w:rsidRDefault="00D74E6E" w:rsidP="00D74E6E">
            <w:pPr>
              <w:jc w:val="center"/>
              <w:rPr>
                <w:rFonts w:cs="Arial"/>
                <w:color w:val="000000"/>
                <w:sz w:val="18"/>
                <w:szCs w:val="18"/>
              </w:rPr>
            </w:pPr>
            <w:r w:rsidRPr="00D74E6E">
              <w:rPr>
                <w:rFonts w:cs="Arial"/>
                <w:sz w:val="18"/>
                <w:szCs w:val="18"/>
              </w:rPr>
              <w:t>4.48</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2C6BB27C" w14:textId="3E9F37CF" w:rsidR="00D74E6E" w:rsidRPr="00D74E6E" w:rsidRDefault="00D74E6E" w:rsidP="00D74E6E">
            <w:pPr>
              <w:jc w:val="center"/>
              <w:rPr>
                <w:rFonts w:cs="Arial"/>
                <w:color w:val="000000"/>
                <w:sz w:val="18"/>
                <w:szCs w:val="18"/>
              </w:rPr>
            </w:pPr>
            <w:r w:rsidRPr="00D74E6E">
              <w:rPr>
                <w:rFonts w:cs="Arial"/>
                <w:sz w:val="18"/>
                <w:szCs w:val="18"/>
              </w:rPr>
              <w:t>2.66</w:t>
            </w:r>
          </w:p>
        </w:tc>
      </w:tr>
      <w:tr w:rsidR="00D74E6E" w:rsidRPr="002D421F" w14:paraId="3C299EFD"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5014B794" w14:textId="5B16F3C3" w:rsidR="00D74E6E" w:rsidRPr="008E03D6" w:rsidRDefault="00D74E6E" w:rsidP="00D74E6E">
            <w:pPr>
              <w:rPr>
                <w:rFonts w:cs="Arial"/>
                <w:color w:val="000000"/>
                <w:sz w:val="18"/>
                <w:szCs w:val="18"/>
              </w:rPr>
            </w:pPr>
            <w:r w:rsidRPr="008E03D6">
              <w:rPr>
                <w:rFonts w:cs="Arial"/>
                <w:sz w:val="18"/>
                <w:szCs w:val="18"/>
              </w:rPr>
              <w:t>Electric Home New Construction</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45D37C16" w14:textId="3DCF36A2" w:rsidR="00D74E6E" w:rsidRPr="00D74E6E" w:rsidRDefault="00D74E6E" w:rsidP="00D74E6E">
            <w:pPr>
              <w:jc w:val="center"/>
              <w:rPr>
                <w:rFonts w:cs="Arial"/>
                <w:color w:val="000000"/>
                <w:sz w:val="18"/>
                <w:szCs w:val="18"/>
              </w:rPr>
            </w:pPr>
            <w:r w:rsidRPr="00D74E6E">
              <w:rPr>
                <w:rFonts w:cs="Arial"/>
                <w:sz w:val="18"/>
                <w:szCs w:val="18"/>
              </w:rPr>
              <w:t>1.69</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5D4C313B" w14:textId="43DA01AB" w:rsidR="00D74E6E" w:rsidRPr="00D74E6E" w:rsidRDefault="00D74E6E" w:rsidP="00D74E6E">
            <w:pPr>
              <w:jc w:val="center"/>
              <w:rPr>
                <w:rFonts w:cs="Arial"/>
                <w:color w:val="000000"/>
                <w:sz w:val="18"/>
                <w:szCs w:val="18"/>
              </w:rPr>
            </w:pPr>
            <w:r w:rsidRPr="00D74E6E">
              <w:rPr>
                <w:rFonts w:cs="Arial"/>
                <w:sz w:val="18"/>
                <w:szCs w:val="18"/>
              </w:rPr>
              <w:t>0.98</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4F098B16" w14:textId="23F2C518" w:rsidR="00D74E6E" w:rsidRPr="00D74E6E" w:rsidRDefault="00D74E6E" w:rsidP="00D74E6E">
            <w:pPr>
              <w:jc w:val="center"/>
              <w:rPr>
                <w:rFonts w:cs="Arial"/>
                <w:color w:val="000000"/>
                <w:sz w:val="18"/>
                <w:szCs w:val="18"/>
              </w:rPr>
            </w:pPr>
            <w:r w:rsidRPr="00D74E6E">
              <w:rPr>
                <w:rFonts w:cs="Arial"/>
                <w:sz w:val="18"/>
                <w:szCs w:val="18"/>
              </w:rPr>
              <w:t>0.76</w:t>
            </w:r>
          </w:p>
        </w:tc>
      </w:tr>
      <w:tr w:rsidR="00D74E6E" w:rsidRPr="002D421F" w14:paraId="3393977F"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23C51B24" w14:textId="3FCDA661" w:rsidR="00D74E6E" w:rsidRPr="008E03D6" w:rsidRDefault="00D74E6E" w:rsidP="00D74E6E">
            <w:pPr>
              <w:rPr>
                <w:rFonts w:cs="Arial"/>
                <w:color w:val="000000"/>
                <w:sz w:val="18"/>
                <w:szCs w:val="18"/>
              </w:rPr>
            </w:pPr>
            <w:r w:rsidRPr="008E03D6">
              <w:rPr>
                <w:rFonts w:cs="Arial"/>
                <w:sz w:val="18"/>
                <w:szCs w:val="18"/>
              </w:rPr>
              <w:t>Multifamily Upgrades</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5BAEF5A4" w14:textId="50E758B1" w:rsidR="00D74E6E" w:rsidRPr="00D74E6E" w:rsidRDefault="00D74E6E" w:rsidP="00D74E6E">
            <w:pPr>
              <w:jc w:val="center"/>
              <w:rPr>
                <w:rFonts w:cs="Arial"/>
                <w:color w:val="000000"/>
                <w:sz w:val="18"/>
                <w:szCs w:val="18"/>
              </w:rPr>
            </w:pPr>
            <w:r w:rsidRPr="00D74E6E">
              <w:rPr>
                <w:rFonts w:cs="Arial"/>
                <w:sz w:val="18"/>
                <w:szCs w:val="18"/>
              </w:rPr>
              <w:t>1.46</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62126BF1" w14:textId="488D0226" w:rsidR="00D74E6E" w:rsidRPr="00D74E6E" w:rsidRDefault="00D74E6E" w:rsidP="00D74E6E">
            <w:pPr>
              <w:jc w:val="center"/>
              <w:rPr>
                <w:rFonts w:cs="Arial"/>
                <w:color w:val="000000"/>
                <w:sz w:val="18"/>
                <w:szCs w:val="18"/>
              </w:rPr>
            </w:pPr>
            <w:r w:rsidRPr="00D74E6E">
              <w:rPr>
                <w:rFonts w:cs="Arial"/>
                <w:sz w:val="18"/>
                <w:szCs w:val="18"/>
              </w:rPr>
              <w:t>0.86</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77C3F4CF" w14:textId="414A15E3" w:rsidR="00D74E6E" w:rsidRPr="00D74E6E" w:rsidRDefault="00D74E6E" w:rsidP="00D74E6E">
            <w:pPr>
              <w:jc w:val="center"/>
              <w:rPr>
                <w:rFonts w:cs="Arial"/>
                <w:color w:val="000000"/>
                <w:sz w:val="18"/>
                <w:szCs w:val="18"/>
              </w:rPr>
            </w:pPr>
            <w:r w:rsidRPr="00D74E6E">
              <w:rPr>
                <w:rFonts w:cs="Arial"/>
                <w:sz w:val="18"/>
                <w:szCs w:val="18"/>
              </w:rPr>
              <w:t>0.63</w:t>
            </w:r>
          </w:p>
        </w:tc>
      </w:tr>
      <w:tr w:rsidR="00D74E6E" w:rsidRPr="002D421F" w14:paraId="4100F6B9"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4027A500" w14:textId="70002BB0" w:rsidR="00D74E6E" w:rsidRPr="008E03D6" w:rsidRDefault="00D74E6E" w:rsidP="00D74E6E">
            <w:pPr>
              <w:rPr>
                <w:rFonts w:cs="Arial"/>
                <w:color w:val="000000"/>
                <w:sz w:val="18"/>
                <w:szCs w:val="18"/>
              </w:rPr>
            </w:pPr>
            <w:r w:rsidRPr="008E03D6">
              <w:rPr>
                <w:rFonts w:cs="Arial"/>
                <w:sz w:val="18"/>
                <w:szCs w:val="18"/>
              </w:rPr>
              <w:t>New Construction - IE</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4BF1BDE0" w14:textId="120ECA5F" w:rsidR="00D74E6E" w:rsidRPr="00D74E6E" w:rsidRDefault="00D74E6E" w:rsidP="00D74E6E">
            <w:pPr>
              <w:jc w:val="center"/>
              <w:rPr>
                <w:rFonts w:cs="Arial"/>
                <w:color w:val="000000"/>
                <w:sz w:val="18"/>
                <w:szCs w:val="18"/>
              </w:rPr>
            </w:pPr>
            <w:r w:rsidRPr="00D74E6E">
              <w:rPr>
                <w:rFonts w:cs="Arial"/>
                <w:sz w:val="18"/>
                <w:szCs w:val="18"/>
              </w:rPr>
              <w:t>1.41</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140E2227" w14:textId="416531E5" w:rsidR="00D74E6E" w:rsidRPr="00D74E6E" w:rsidRDefault="00D74E6E" w:rsidP="00D74E6E">
            <w:pPr>
              <w:jc w:val="center"/>
              <w:rPr>
                <w:rFonts w:cs="Arial"/>
                <w:color w:val="000000"/>
                <w:sz w:val="18"/>
                <w:szCs w:val="18"/>
              </w:rPr>
            </w:pPr>
            <w:r w:rsidRPr="00D74E6E">
              <w:rPr>
                <w:rFonts w:cs="Arial"/>
                <w:sz w:val="18"/>
                <w:szCs w:val="18"/>
              </w:rPr>
              <w:t>1.05</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7D40FB98" w14:textId="169AEEF2" w:rsidR="00D74E6E" w:rsidRPr="00D74E6E" w:rsidRDefault="00D74E6E" w:rsidP="00D74E6E">
            <w:pPr>
              <w:jc w:val="center"/>
              <w:rPr>
                <w:rFonts w:cs="Arial"/>
                <w:color w:val="000000"/>
                <w:sz w:val="18"/>
                <w:szCs w:val="18"/>
              </w:rPr>
            </w:pPr>
            <w:r w:rsidRPr="00D74E6E">
              <w:rPr>
                <w:rFonts w:cs="Arial"/>
                <w:sz w:val="18"/>
                <w:szCs w:val="18"/>
              </w:rPr>
              <w:t>0.70</w:t>
            </w:r>
          </w:p>
        </w:tc>
      </w:tr>
      <w:tr w:rsidR="00D74E6E" w:rsidRPr="002D421F" w14:paraId="51D949FC"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5D05DE76" w14:textId="435623CA" w:rsidR="00D74E6E" w:rsidRPr="008E03D6" w:rsidRDefault="00D74E6E" w:rsidP="00D74E6E">
            <w:pPr>
              <w:rPr>
                <w:rFonts w:cs="Arial"/>
                <w:color w:val="000000"/>
                <w:sz w:val="18"/>
                <w:szCs w:val="18"/>
              </w:rPr>
            </w:pPr>
            <w:r w:rsidRPr="008E03D6">
              <w:rPr>
                <w:rFonts w:cs="Arial"/>
                <w:sz w:val="18"/>
                <w:szCs w:val="18"/>
              </w:rPr>
              <w:t>Product Distribution</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45344B1B" w14:textId="754ED6F6" w:rsidR="00D74E6E" w:rsidRPr="00D74E6E" w:rsidRDefault="00D74E6E" w:rsidP="00D74E6E">
            <w:pPr>
              <w:jc w:val="center"/>
              <w:rPr>
                <w:rFonts w:cs="Arial"/>
                <w:color w:val="000000"/>
                <w:sz w:val="18"/>
                <w:szCs w:val="18"/>
              </w:rPr>
            </w:pPr>
            <w:r w:rsidRPr="00D74E6E">
              <w:rPr>
                <w:rFonts w:cs="Arial"/>
                <w:sz w:val="18"/>
                <w:szCs w:val="18"/>
              </w:rPr>
              <w:t>17.35</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0232166A" w14:textId="5A0957C5" w:rsidR="00D74E6E" w:rsidRPr="00D74E6E" w:rsidRDefault="00D74E6E" w:rsidP="00D74E6E">
            <w:pPr>
              <w:jc w:val="center"/>
              <w:rPr>
                <w:rFonts w:cs="Arial"/>
                <w:color w:val="000000"/>
                <w:sz w:val="18"/>
                <w:szCs w:val="18"/>
              </w:rPr>
            </w:pPr>
            <w:r w:rsidRPr="00D74E6E">
              <w:rPr>
                <w:rFonts w:cs="Arial"/>
                <w:sz w:val="18"/>
                <w:szCs w:val="18"/>
              </w:rPr>
              <w:t>8.49</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56929E8C" w14:textId="45A95CBE" w:rsidR="00D74E6E" w:rsidRPr="00D74E6E" w:rsidRDefault="00D74E6E" w:rsidP="00D74E6E">
            <w:pPr>
              <w:jc w:val="center"/>
              <w:rPr>
                <w:rFonts w:cs="Arial"/>
                <w:color w:val="000000"/>
                <w:sz w:val="18"/>
                <w:szCs w:val="18"/>
              </w:rPr>
            </w:pPr>
            <w:r w:rsidRPr="00D74E6E">
              <w:rPr>
                <w:rFonts w:cs="Arial"/>
                <w:sz w:val="18"/>
                <w:szCs w:val="18"/>
              </w:rPr>
              <w:t>5.43</w:t>
            </w:r>
          </w:p>
        </w:tc>
      </w:tr>
      <w:tr w:rsidR="00D74E6E" w:rsidRPr="002D421F" w14:paraId="279C57EB"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17F83353" w14:textId="0707B57D" w:rsidR="00D74E6E" w:rsidRPr="008E03D6" w:rsidRDefault="00D74E6E" w:rsidP="00D74E6E">
            <w:pPr>
              <w:rPr>
                <w:rFonts w:cs="Arial"/>
                <w:color w:val="000000"/>
                <w:sz w:val="18"/>
                <w:szCs w:val="18"/>
              </w:rPr>
            </w:pPr>
            <w:r w:rsidRPr="008E03D6">
              <w:rPr>
                <w:rFonts w:cs="Arial"/>
                <w:sz w:val="18"/>
                <w:szCs w:val="18"/>
              </w:rPr>
              <w:t>Retail/Online</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27D5A469" w14:textId="7B10ECA4" w:rsidR="00D74E6E" w:rsidRPr="00D74E6E" w:rsidRDefault="00D74E6E" w:rsidP="00D74E6E">
            <w:pPr>
              <w:jc w:val="center"/>
              <w:rPr>
                <w:rFonts w:cs="Arial"/>
                <w:color w:val="000000"/>
                <w:sz w:val="18"/>
                <w:szCs w:val="18"/>
              </w:rPr>
            </w:pPr>
            <w:r w:rsidRPr="00D74E6E">
              <w:rPr>
                <w:rFonts w:cs="Arial"/>
                <w:sz w:val="18"/>
                <w:szCs w:val="18"/>
              </w:rPr>
              <w:t>11.43</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4A111EE5" w14:textId="3F9E2C97" w:rsidR="00D74E6E" w:rsidRPr="00D74E6E" w:rsidRDefault="00D74E6E" w:rsidP="00D74E6E">
            <w:pPr>
              <w:jc w:val="center"/>
              <w:rPr>
                <w:rFonts w:cs="Arial"/>
                <w:color w:val="000000"/>
                <w:sz w:val="18"/>
                <w:szCs w:val="18"/>
              </w:rPr>
            </w:pPr>
            <w:r w:rsidRPr="00D74E6E">
              <w:rPr>
                <w:rFonts w:cs="Arial"/>
                <w:sz w:val="18"/>
                <w:szCs w:val="18"/>
              </w:rPr>
              <w:t>7.20</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0DDB0D5D" w14:textId="4A012EC2" w:rsidR="00D74E6E" w:rsidRPr="00D74E6E" w:rsidRDefault="00D74E6E" w:rsidP="00D74E6E">
            <w:pPr>
              <w:jc w:val="center"/>
              <w:rPr>
                <w:rFonts w:cs="Arial"/>
                <w:color w:val="000000"/>
                <w:sz w:val="18"/>
                <w:szCs w:val="18"/>
              </w:rPr>
            </w:pPr>
            <w:r w:rsidRPr="00D74E6E">
              <w:rPr>
                <w:rFonts w:cs="Arial"/>
                <w:sz w:val="18"/>
                <w:szCs w:val="18"/>
              </w:rPr>
              <w:t>10.51</w:t>
            </w:r>
          </w:p>
        </w:tc>
      </w:tr>
      <w:tr w:rsidR="00D74E6E" w:rsidRPr="002D421F" w14:paraId="2E3D6A76"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33E58F83" w14:textId="15484C8A" w:rsidR="00D74E6E" w:rsidRPr="008E03D6" w:rsidRDefault="00D74E6E" w:rsidP="00D74E6E">
            <w:pPr>
              <w:rPr>
                <w:rFonts w:cs="Arial"/>
                <w:color w:val="000000"/>
                <w:sz w:val="18"/>
                <w:szCs w:val="18"/>
              </w:rPr>
            </w:pPr>
            <w:r w:rsidRPr="008E03D6">
              <w:rPr>
                <w:rFonts w:cs="Arial"/>
                <w:sz w:val="18"/>
                <w:szCs w:val="18"/>
              </w:rPr>
              <w:t>Single Family Upgrades</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08BF76D3" w14:textId="7C92825D" w:rsidR="00D74E6E" w:rsidRPr="00D74E6E" w:rsidRDefault="00D74E6E" w:rsidP="00D74E6E">
            <w:pPr>
              <w:jc w:val="center"/>
              <w:rPr>
                <w:rFonts w:cs="Arial"/>
                <w:color w:val="000000"/>
                <w:sz w:val="18"/>
                <w:szCs w:val="18"/>
              </w:rPr>
            </w:pPr>
            <w:r w:rsidRPr="00D74E6E">
              <w:rPr>
                <w:rFonts w:cs="Arial"/>
                <w:sz w:val="18"/>
                <w:szCs w:val="18"/>
              </w:rPr>
              <w:t>1.62</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343E3526" w14:textId="6A6F00F8" w:rsidR="00D74E6E" w:rsidRPr="00D74E6E" w:rsidRDefault="00D74E6E" w:rsidP="00D74E6E">
            <w:pPr>
              <w:jc w:val="center"/>
              <w:rPr>
                <w:rFonts w:cs="Arial"/>
                <w:color w:val="000000"/>
                <w:sz w:val="18"/>
                <w:szCs w:val="18"/>
              </w:rPr>
            </w:pPr>
            <w:r w:rsidRPr="00D74E6E">
              <w:rPr>
                <w:rFonts w:cs="Arial"/>
                <w:sz w:val="18"/>
                <w:szCs w:val="18"/>
              </w:rPr>
              <w:t>1.10</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5189CAFF" w14:textId="6EBDC4EE" w:rsidR="00D74E6E" w:rsidRPr="00D74E6E" w:rsidRDefault="00D74E6E" w:rsidP="00D74E6E">
            <w:pPr>
              <w:jc w:val="center"/>
              <w:rPr>
                <w:rFonts w:cs="Arial"/>
                <w:color w:val="000000"/>
                <w:sz w:val="18"/>
                <w:szCs w:val="18"/>
              </w:rPr>
            </w:pPr>
            <w:r w:rsidRPr="00D74E6E">
              <w:rPr>
                <w:rFonts w:cs="Arial"/>
                <w:sz w:val="18"/>
                <w:szCs w:val="18"/>
              </w:rPr>
              <w:t>0.50</w:t>
            </w:r>
          </w:p>
        </w:tc>
      </w:tr>
      <w:tr w:rsidR="00D74E6E" w:rsidRPr="002D421F" w14:paraId="527E90F6" w14:textId="77777777" w:rsidTr="008E03D6">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0529F1D5" w14:textId="55107420" w:rsidR="00D74E6E" w:rsidRPr="008E03D6" w:rsidRDefault="00D74E6E" w:rsidP="00D74E6E">
            <w:pPr>
              <w:rPr>
                <w:rFonts w:cs="Arial"/>
                <w:b/>
                <w:color w:val="000000"/>
                <w:sz w:val="18"/>
                <w:szCs w:val="18"/>
              </w:rPr>
            </w:pPr>
            <w:r w:rsidRPr="008E03D6">
              <w:rPr>
                <w:rFonts w:cs="Arial"/>
                <w:sz w:val="18"/>
                <w:szCs w:val="18"/>
              </w:rPr>
              <w:t>Whole Home Electric</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352F3E5D" w14:textId="7D3BD781" w:rsidR="00D74E6E" w:rsidRPr="00D74E6E" w:rsidRDefault="00D74E6E" w:rsidP="00D74E6E">
            <w:pPr>
              <w:jc w:val="center"/>
              <w:rPr>
                <w:rFonts w:cs="Arial"/>
                <w:b/>
                <w:bCs/>
                <w:color w:val="000000"/>
                <w:sz w:val="18"/>
                <w:szCs w:val="18"/>
              </w:rPr>
            </w:pPr>
            <w:r w:rsidRPr="00D74E6E">
              <w:rPr>
                <w:rFonts w:cs="Arial"/>
                <w:sz w:val="18"/>
                <w:szCs w:val="18"/>
              </w:rPr>
              <w:t>0.69</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70784249" w14:textId="2D59B6EE" w:rsidR="00D74E6E" w:rsidRPr="00D74E6E" w:rsidRDefault="00D74E6E" w:rsidP="00D74E6E">
            <w:pPr>
              <w:jc w:val="center"/>
              <w:rPr>
                <w:rFonts w:cs="Arial"/>
                <w:b/>
                <w:bCs/>
                <w:color w:val="000000"/>
                <w:sz w:val="18"/>
                <w:szCs w:val="18"/>
              </w:rPr>
            </w:pPr>
            <w:r w:rsidRPr="00D74E6E">
              <w:rPr>
                <w:rFonts w:cs="Arial"/>
                <w:sz w:val="18"/>
                <w:szCs w:val="18"/>
              </w:rPr>
              <w:t>0.66</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5093D5D1" w14:textId="4FAB3AD1" w:rsidR="00D74E6E" w:rsidRPr="00D74E6E" w:rsidRDefault="00D74E6E" w:rsidP="00D74E6E">
            <w:pPr>
              <w:jc w:val="center"/>
              <w:rPr>
                <w:rFonts w:cs="Arial"/>
                <w:b/>
                <w:bCs/>
                <w:color w:val="000000"/>
                <w:sz w:val="18"/>
                <w:szCs w:val="18"/>
              </w:rPr>
            </w:pPr>
            <w:r w:rsidRPr="00D74E6E">
              <w:rPr>
                <w:rFonts w:cs="Arial"/>
                <w:sz w:val="18"/>
                <w:szCs w:val="18"/>
              </w:rPr>
              <w:t>0.34</w:t>
            </w:r>
          </w:p>
        </w:tc>
      </w:tr>
      <w:tr w:rsidR="00D74E6E" w:rsidRPr="002D421F" w14:paraId="737AF038" w14:textId="77777777" w:rsidTr="008E03D6">
        <w:trPr>
          <w:trHeight w:val="216"/>
        </w:trPr>
        <w:tc>
          <w:tcPr>
            <w:tcW w:w="427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5C8C05A2" w14:textId="11E930A0" w:rsidR="00D74E6E" w:rsidRPr="008E03D6" w:rsidRDefault="00D74E6E" w:rsidP="00D74E6E">
            <w:pPr>
              <w:rPr>
                <w:rFonts w:cs="Arial"/>
                <w:b/>
                <w:bCs/>
                <w:sz w:val="18"/>
                <w:szCs w:val="18"/>
              </w:rPr>
            </w:pPr>
            <w:r w:rsidRPr="008E03D6">
              <w:rPr>
                <w:rFonts w:cs="Arial"/>
                <w:b/>
                <w:bCs/>
                <w:sz w:val="18"/>
                <w:szCs w:val="18"/>
              </w:rPr>
              <w:t>Residential &amp; Income Eligible Total*</w:t>
            </w:r>
          </w:p>
        </w:tc>
        <w:tc>
          <w:tcPr>
            <w:tcW w:w="1749"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02C0F0A5" w14:textId="477E06FE" w:rsidR="00D74E6E" w:rsidRPr="00D74E6E" w:rsidRDefault="00D74E6E" w:rsidP="00D74E6E">
            <w:pPr>
              <w:jc w:val="center"/>
              <w:rPr>
                <w:rFonts w:cs="Arial"/>
                <w:b/>
                <w:bCs/>
                <w:sz w:val="18"/>
                <w:szCs w:val="18"/>
              </w:rPr>
            </w:pPr>
            <w:r w:rsidRPr="00490D42">
              <w:rPr>
                <w:rFonts w:cs="Arial"/>
                <w:b/>
                <w:sz w:val="18"/>
                <w:szCs w:val="18"/>
              </w:rPr>
              <w:t>7.52</w:t>
            </w:r>
          </w:p>
        </w:tc>
        <w:tc>
          <w:tcPr>
            <w:tcW w:w="2033"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3EDCA6C9" w14:textId="336D4E09" w:rsidR="00D74E6E" w:rsidRPr="00D74E6E" w:rsidRDefault="00D74E6E" w:rsidP="00D74E6E">
            <w:pPr>
              <w:jc w:val="center"/>
              <w:rPr>
                <w:rFonts w:cs="Arial"/>
                <w:b/>
                <w:bCs/>
                <w:sz w:val="18"/>
                <w:szCs w:val="18"/>
              </w:rPr>
            </w:pPr>
            <w:r w:rsidRPr="00490D42">
              <w:rPr>
                <w:rFonts w:cs="Arial"/>
                <w:b/>
                <w:sz w:val="18"/>
                <w:szCs w:val="18"/>
              </w:rPr>
              <w:t>4.63</w:t>
            </w:r>
          </w:p>
        </w:tc>
        <w:tc>
          <w:tcPr>
            <w:tcW w:w="1308"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31F73361" w14:textId="4BC73BCC" w:rsidR="00D74E6E" w:rsidRPr="00D74E6E" w:rsidRDefault="00D74E6E" w:rsidP="00D74E6E">
            <w:pPr>
              <w:jc w:val="center"/>
              <w:rPr>
                <w:rFonts w:cs="Arial"/>
                <w:b/>
                <w:bCs/>
                <w:sz w:val="18"/>
                <w:szCs w:val="18"/>
              </w:rPr>
            </w:pPr>
            <w:r w:rsidRPr="00490D42">
              <w:rPr>
                <w:rFonts w:cs="Arial"/>
                <w:b/>
                <w:sz w:val="18"/>
                <w:szCs w:val="18"/>
              </w:rPr>
              <w:t>3.77</w:t>
            </w:r>
          </w:p>
        </w:tc>
      </w:tr>
      <w:tr w:rsidR="00D74E6E" w:rsidRPr="002D421F" w14:paraId="6866C7D9"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4E5E8855" w14:textId="45948645" w:rsidR="00D74E6E" w:rsidRPr="008E03D6" w:rsidRDefault="00D74E6E" w:rsidP="00D74E6E">
            <w:pPr>
              <w:rPr>
                <w:rFonts w:cs="Arial"/>
                <w:color w:val="000000"/>
                <w:sz w:val="18"/>
                <w:szCs w:val="18"/>
              </w:rPr>
            </w:pPr>
            <w:r w:rsidRPr="008E03D6">
              <w:rPr>
                <w:rFonts w:cs="Arial"/>
                <w:sz w:val="18"/>
                <w:szCs w:val="18"/>
              </w:rPr>
              <w:t>Assessments</w:t>
            </w:r>
            <w:r w:rsidR="00C811D0" w:rsidRPr="00C811D0">
              <w:rPr>
                <w:rFonts w:cs="Arial"/>
                <w:color w:val="000000"/>
                <w:sz w:val="14"/>
                <w:szCs w:val="14"/>
                <w:bdr w:val="none" w:sz="0" w:space="0" w:color="auto" w:frame="1"/>
                <w:vertAlign w:val="superscript"/>
              </w:rPr>
              <w:t xml:space="preserve"> </w:t>
            </w:r>
            <w:r w:rsidR="00C811D0" w:rsidRPr="00C811D0">
              <w:rPr>
                <w:rFonts w:cs="Arial"/>
                <w:sz w:val="18"/>
                <w:szCs w:val="18"/>
                <w:vertAlign w:val="superscript"/>
              </w:rPr>
              <w:t>†</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1BA1059D" w14:textId="08A15943" w:rsidR="00D74E6E" w:rsidRPr="00D74E6E" w:rsidRDefault="00D74E6E" w:rsidP="00D74E6E">
            <w:pPr>
              <w:jc w:val="center"/>
              <w:rPr>
                <w:rFonts w:cs="Arial"/>
                <w:color w:val="000000"/>
                <w:sz w:val="18"/>
                <w:szCs w:val="18"/>
              </w:rPr>
            </w:pPr>
            <w:r w:rsidRPr="00D74E6E">
              <w:rPr>
                <w:rFonts w:cs="Arial"/>
                <w:sz w:val="18"/>
                <w:szCs w:val="18"/>
              </w:rPr>
              <w:t>0.00</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0B611E9F" w14:textId="1DBB7ACB" w:rsidR="00D74E6E" w:rsidRPr="00D74E6E" w:rsidRDefault="00D74E6E" w:rsidP="00D74E6E">
            <w:pPr>
              <w:jc w:val="center"/>
              <w:rPr>
                <w:rFonts w:cs="Arial"/>
                <w:color w:val="000000"/>
                <w:sz w:val="18"/>
                <w:szCs w:val="18"/>
              </w:rPr>
            </w:pPr>
            <w:r w:rsidRPr="00D74E6E">
              <w:rPr>
                <w:rFonts w:cs="Arial"/>
                <w:sz w:val="18"/>
                <w:szCs w:val="18"/>
              </w:rPr>
              <w:t>0.00</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27E07149" w14:textId="274DED00" w:rsidR="00D74E6E" w:rsidRPr="00D74E6E" w:rsidRDefault="00D74E6E" w:rsidP="00D74E6E">
            <w:pPr>
              <w:jc w:val="center"/>
              <w:rPr>
                <w:rFonts w:cs="Arial"/>
                <w:color w:val="000000"/>
                <w:sz w:val="18"/>
                <w:szCs w:val="18"/>
              </w:rPr>
            </w:pPr>
            <w:r w:rsidRPr="00D74E6E">
              <w:rPr>
                <w:rFonts w:cs="Arial"/>
                <w:sz w:val="18"/>
                <w:szCs w:val="18"/>
              </w:rPr>
              <w:t>0.00</w:t>
            </w:r>
          </w:p>
        </w:tc>
      </w:tr>
      <w:tr w:rsidR="00D74E6E" w:rsidRPr="002D421F" w14:paraId="3C90CB8B"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4A0DB0DD" w14:textId="52688867" w:rsidR="00D74E6E" w:rsidRPr="008E03D6" w:rsidRDefault="00D74E6E" w:rsidP="00D74E6E">
            <w:pPr>
              <w:rPr>
                <w:rFonts w:cs="Arial"/>
                <w:color w:val="000000"/>
                <w:sz w:val="18"/>
                <w:szCs w:val="18"/>
              </w:rPr>
            </w:pPr>
            <w:r w:rsidRPr="008E03D6">
              <w:rPr>
                <w:rFonts w:cs="Arial"/>
                <w:sz w:val="18"/>
                <w:szCs w:val="18"/>
              </w:rPr>
              <w:t>Behavior Bus/Pub</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0A46F0BF" w14:textId="0E30340A" w:rsidR="00D74E6E" w:rsidRPr="00D74E6E" w:rsidRDefault="00D74E6E" w:rsidP="00D74E6E">
            <w:pPr>
              <w:jc w:val="center"/>
              <w:rPr>
                <w:rFonts w:cs="Arial"/>
                <w:color w:val="000000"/>
                <w:sz w:val="18"/>
                <w:szCs w:val="18"/>
              </w:rPr>
            </w:pPr>
            <w:r w:rsidRPr="00D74E6E">
              <w:rPr>
                <w:rFonts w:cs="Arial"/>
                <w:sz w:val="18"/>
                <w:szCs w:val="18"/>
              </w:rPr>
              <w:t>4.13</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5E8E766C" w14:textId="12335166" w:rsidR="00D74E6E" w:rsidRPr="00D74E6E" w:rsidRDefault="00D74E6E" w:rsidP="00D74E6E">
            <w:pPr>
              <w:jc w:val="center"/>
              <w:rPr>
                <w:rFonts w:cs="Arial"/>
                <w:color w:val="000000"/>
                <w:sz w:val="18"/>
                <w:szCs w:val="18"/>
              </w:rPr>
            </w:pPr>
            <w:r w:rsidRPr="00D74E6E">
              <w:rPr>
                <w:rFonts w:cs="Arial"/>
                <w:sz w:val="18"/>
                <w:szCs w:val="18"/>
              </w:rPr>
              <w:t>1.75</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1A61FF6D" w14:textId="36BD243C" w:rsidR="00D74E6E" w:rsidRPr="00D74E6E" w:rsidRDefault="00D74E6E" w:rsidP="00D74E6E">
            <w:pPr>
              <w:jc w:val="center"/>
              <w:rPr>
                <w:rFonts w:cs="Arial"/>
                <w:color w:val="000000"/>
                <w:sz w:val="18"/>
                <w:szCs w:val="18"/>
              </w:rPr>
            </w:pPr>
            <w:r w:rsidRPr="00D74E6E">
              <w:rPr>
                <w:rFonts w:cs="Arial"/>
                <w:sz w:val="18"/>
                <w:szCs w:val="18"/>
              </w:rPr>
              <w:t>0.91</w:t>
            </w:r>
          </w:p>
        </w:tc>
      </w:tr>
      <w:tr w:rsidR="00D74E6E" w:rsidRPr="002D421F" w14:paraId="3D58FB4D"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19DD7043" w14:textId="59E2DEC3" w:rsidR="00D74E6E" w:rsidRPr="008E03D6" w:rsidRDefault="00D74E6E" w:rsidP="00D74E6E">
            <w:pPr>
              <w:rPr>
                <w:rFonts w:cs="Arial"/>
                <w:color w:val="000000"/>
                <w:sz w:val="18"/>
                <w:szCs w:val="18"/>
              </w:rPr>
            </w:pPr>
            <w:r w:rsidRPr="008E03D6">
              <w:rPr>
                <w:rFonts w:cs="Arial"/>
                <w:sz w:val="18"/>
                <w:szCs w:val="18"/>
              </w:rPr>
              <w:t>EMS - Small Business - Pilot</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5F2868DE" w14:textId="2A921833" w:rsidR="00D74E6E" w:rsidRPr="00D74E6E" w:rsidRDefault="00D74E6E" w:rsidP="00D74E6E">
            <w:pPr>
              <w:jc w:val="center"/>
              <w:rPr>
                <w:rFonts w:cs="Arial"/>
                <w:color w:val="000000"/>
                <w:sz w:val="18"/>
                <w:szCs w:val="18"/>
              </w:rPr>
            </w:pPr>
            <w:r w:rsidRPr="00D74E6E">
              <w:rPr>
                <w:rFonts w:cs="Arial"/>
                <w:sz w:val="18"/>
                <w:szCs w:val="18"/>
              </w:rPr>
              <w:t>0.27</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2C4C0522" w14:textId="286EF6B5" w:rsidR="00D74E6E" w:rsidRPr="00D74E6E" w:rsidRDefault="00D74E6E" w:rsidP="00D74E6E">
            <w:pPr>
              <w:jc w:val="center"/>
              <w:rPr>
                <w:rFonts w:cs="Arial"/>
                <w:color w:val="000000"/>
                <w:sz w:val="18"/>
                <w:szCs w:val="18"/>
              </w:rPr>
            </w:pPr>
            <w:r w:rsidRPr="00D74E6E">
              <w:rPr>
                <w:rFonts w:cs="Arial"/>
                <w:sz w:val="18"/>
                <w:szCs w:val="18"/>
              </w:rPr>
              <w:t>0.12</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7B6DC62F" w14:textId="1A064ECB" w:rsidR="00D74E6E" w:rsidRPr="00D74E6E" w:rsidRDefault="00D74E6E" w:rsidP="00D74E6E">
            <w:pPr>
              <w:jc w:val="center"/>
              <w:rPr>
                <w:rFonts w:cs="Arial"/>
                <w:color w:val="000000"/>
                <w:sz w:val="18"/>
                <w:szCs w:val="18"/>
              </w:rPr>
            </w:pPr>
            <w:r w:rsidRPr="00D74E6E">
              <w:rPr>
                <w:rFonts w:cs="Arial"/>
                <w:sz w:val="18"/>
                <w:szCs w:val="18"/>
              </w:rPr>
              <w:t>0.07</w:t>
            </w:r>
          </w:p>
        </w:tc>
      </w:tr>
      <w:tr w:rsidR="00D74E6E" w:rsidRPr="002D421F" w14:paraId="25179CF3"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19AD8720" w14:textId="438CF1FB" w:rsidR="00D74E6E" w:rsidRPr="008E03D6" w:rsidRDefault="00D74E6E" w:rsidP="00D74E6E">
            <w:pPr>
              <w:rPr>
                <w:rFonts w:cs="Arial"/>
                <w:color w:val="000000"/>
                <w:sz w:val="18"/>
                <w:szCs w:val="18"/>
              </w:rPr>
            </w:pPr>
            <w:r w:rsidRPr="008E03D6">
              <w:rPr>
                <w:rFonts w:cs="Arial"/>
                <w:sz w:val="18"/>
                <w:szCs w:val="18"/>
              </w:rPr>
              <w:t>Incentives</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31259B69" w14:textId="2ACB8765" w:rsidR="00D74E6E" w:rsidRPr="00D74E6E" w:rsidRDefault="00D74E6E" w:rsidP="00D74E6E">
            <w:pPr>
              <w:jc w:val="center"/>
              <w:rPr>
                <w:rFonts w:cs="Arial"/>
                <w:color w:val="000000"/>
                <w:sz w:val="18"/>
                <w:szCs w:val="18"/>
              </w:rPr>
            </w:pPr>
            <w:r w:rsidRPr="00D74E6E">
              <w:rPr>
                <w:rFonts w:cs="Arial"/>
                <w:sz w:val="18"/>
                <w:szCs w:val="18"/>
              </w:rPr>
              <w:t>4.33</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0AC7DB3F" w14:textId="2F99502F" w:rsidR="00D74E6E" w:rsidRPr="00D74E6E" w:rsidRDefault="00D74E6E" w:rsidP="00D74E6E">
            <w:pPr>
              <w:jc w:val="center"/>
              <w:rPr>
                <w:rFonts w:cs="Arial"/>
                <w:color w:val="000000"/>
                <w:sz w:val="18"/>
                <w:szCs w:val="18"/>
              </w:rPr>
            </w:pPr>
            <w:r w:rsidRPr="00D74E6E">
              <w:rPr>
                <w:rFonts w:cs="Arial"/>
                <w:sz w:val="18"/>
                <w:szCs w:val="18"/>
              </w:rPr>
              <w:t>2.24</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3032BA08" w14:textId="24D9C4DF" w:rsidR="00D74E6E" w:rsidRPr="00D74E6E" w:rsidRDefault="00D74E6E" w:rsidP="00D74E6E">
            <w:pPr>
              <w:jc w:val="center"/>
              <w:rPr>
                <w:rFonts w:cs="Arial"/>
                <w:color w:val="000000"/>
                <w:sz w:val="18"/>
                <w:szCs w:val="18"/>
              </w:rPr>
            </w:pPr>
            <w:r w:rsidRPr="00D74E6E">
              <w:rPr>
                <w:rFonts w:cs="Arial"/>
                <w:sz w:val="18"/>
                <w:szCs w:val="18"/>
              </w:rPr>
              <w:t>1.72</w:t>
            </w:r>
          </w:p>
        </w:tc>
      </w:tr>
      <w:tr w:rsidR="00D74E6E" w:rsidRPr="002D421F" w14:paraId="2809EA27"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15ECDA2A" w14:textId="1E1E2793" w:rsidR="00D74E6E" w:rsidRPr="008E03D6" w:rsidRDefault="00D74E6E" w:rsidP="00D74E6E">
            <w:pPr>
              <w:rPr>
                <w:rFonts w:cs="Arial"/>
                <w:color w:val="000000"/>
                <w:sz w:val="18"/>
                <w:szCs w:val="18"/>
              </w:rPr>
            </w:pPr>
            <w:r w:rsidRPr="008E03D6">
              <w:rPr>
                <w:rFonts w:cs="Arial"/>
                <w:sz w:val="18"/>
                <w:szCs w:val="18"/>
              </w:rPr>
              <w:t>Midstream/Upstream</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3A7A4677" w14:textId="46CC3702" w:rsidR="00D74E6E" w:rsidRPr="00D74E6E" w:rsidRDefault="00D74E6E" w:rsidP="00D74E6E">
            <w:pPr>
              <w:jc w:val="center"/>
              <w:rPr>
                <w:rFonts w:cs="Arial"/>
                <w:color w:val="000000"/>
                <w:sz w:val="18"/>
                <w:szCs w:val="18"/>
              </w:rPr>
            </w:pPr>
            <w:r w:rsidRPr="00D74E6E">
              <w:rPr>
                <w:rFonts w:cs="Arial"/>
                <w:sz w:val="18"/>
                <w:szCs w:val="18"/>
              </w:rPr>
              <w:t>9.47</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7FEE0876" w14:textId="487F3254" w:rsidR="00D74E6E" w:rsidRPr="00D74E6E" w:rsidRDefault="00D74E6E" w:rsidP="00D74E6E">
            <w:pPr>
              <w:jc w:val="center"/>
              <w:rPr>
                <w:rFonts w:cs="Arial"/>
                <w:color w:val="000000"/>
                <w:sz w:val="18"/>
                <w:szCs w:val="18"/>
              </w:rPr>
            </w:pPr>
            <w:r w:rsidRPr="00D74E6E">
              <w:rPr>
                <w:rFonts w:cs="Arial"/>
                <w:sz w:val="18"/>
                <w:szCs w:val="18"/>
              </w:rPr>
              <w:t>5.17</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69C790C6" w14:textId="5AFCEF86" w:rsidR="00D74E6E" w:rsidRPr="00D74E6E" w:rsidRDefault="00D74E6E" w:rsidP="00D74E6E">
            <w:pPr>
              <w:jc w:val="center"/>
              <w:rPr>
                <w:rFonts w:cs="Arial"/>
                <w:color w:val="000000"/>
                <w:sz w:val="18"/>
                <w:szCs w:val="18"/>
              </w:rPr>
            </w:pPr>
            <w:r w:rsidRPr="00D74E6E">
              <w:rPr>
                <w:rFonts w:cs="Arial"/>
                <w:sz w:val="18"/>
                <w:szCs w:val="18"/>
              </w:rPr>
              <w:t>4.84</w:t>
            </w:r>
          </w:p>
        </w:tc>
      </w:tr>
      <w:tr w:rsidR="00D74E6E" w:rsidRPr="002D421F" w14:paraId="65009EEF"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1F689510" w14:textId="291D8175" w:rsidR="00D74E6E" w:rsidRPr="008E03D6" w:rsidRDefault="00D74E6E" w:rsidP="00D74E6E">
            <w:pPr>
              <w:rPr>
                <w:rFonts w:cs="Arial"/>
                <w:color w:val="000000"/>
                <w:sz w:val="18"/>
                <w:szCs w:val="18"/>
              </w:rPr>
            </w:pPr>
            <w:r w:rsidRPr="008E03D6">
              <w:rPr>
                <w:rFonts w:cs="Arial"/>
                <w:sz w:val="18"/>
                <w:szCs w:val="18"/>
              </w:rPr>
              <w:t>New Construction - Bus/Pub</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0A2B57D0" w14:textId="59250997" w:rsidR="00D74E6E" w:rsidRPr="00D74E6E" w:rsidRDefault="00D74E6E" w:rsidP="00D74E6E">
            <w:pPr>
              <w:jc w:val="center"/>
              <w:rPr>
                <w:rFonts w:cs="Arial"/>
                <w:color w:val="000000"/>
                <w:sz w:val="18"/>
                <w:szCs w:val="18"/>
              </w:rPr>
            </w:pPr>
            <w:r w:rsidRPr="00D74E6E">
              <w:rPr>
                <w:rFonts w:cs="Arial"/>
                <w:sz w:val="18"/>
                <w:szCs w:val="18"/>
              </w:rPr>
              <w:t>2.11</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3BD4879A" w14:textId="4727E99D" w:rsidR="00D74E6E" w:rsidRPr="00D74E6E" w:rsidRDefault="00D74E6E" w:rsidP="00D74E6E">
            <w:pPr>
              <w:jc w:val="center"/>
              <w:rPr>
                <w:rFonts w:cs="Arial"/>
                <w:color w:val="000000"/>
                <w:sz w:val="18"/>
                <w:szCs w:val="18"/>
              </w:rPr>
            </w:pPr>
            <w:r w:rsidRPr="00D74E6E">
              <w:rPr>
                <w:rFonts w:cs="Arial"/>
                <w:sz w:val="18"/>
                <w:szCs w:val="18"/>
              </w:rPr>
              <w:t>1.31</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6362EBE5" w14:textId="093CBCD8" w:rsidR="00D74E6E" w:rsidRPr="00D74E6E" w:rsidRDefault="00D74E6E" w:rsidP="00D74E6E">
            <w:pPr>
              <w:jc w:val="center"/>
              <w:rPr>
                <w:rFonts w:cs="Arial"/>
                <w:color w:val="000000"/>
                <w:sz w:val="18"/>
                <w:szCs w:val="18"/>
              </w:rPr>
            </w:pPr>
            <w:r w:rsidRPr="00D74E6E">
              <w:rPr>
                <w:rFonts w:cs="Arial"/>
                <w:sz w:val="18"/>
                <w:szCs w:val="18"/>
              </w:rPr>
              <w:t>1.98</w:t>
            </w:r>
          </w:p>
        </w:tc>
      </w:tr>
      <w:tr w:rsidR="00D74E6E" w:rsidRPr="002D421F" w14:paraId="051C8976" w14:textId="77777777" w:rsidTr="008E03D6">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63DE227F" w14:textId="089AC3EE" w:rsidR="00D74E6E" w:rsidRPr="008E03D6" w:rsidRDefault="00D74E6E" w:rsidP="00D74E6E">
            <w:pPr>
              <w:rPr>
                <w:rFonts w:cs="Arial"/>
                <w:b/>
                <w:color w:val="000000"/>
                <w:sz w:val="18"/>
                <w:szCs w:val="18"/>
              </w:rPr>
            </w:pPr>
            <w:r w:rsidRPr="008E03D6">
              <w:rPr>
                <w:rFonts w:cs="Arial"/>
                <w:sz w:val="18"/>
                <w:szCs w:val="18"/>
              </w:rPr>
              <w:t>Small Business</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5BDE3CA6" w14:textId="08410B31" w:rsidR="00D74E6E" w:rsidRPr="00D74E6E" w:rsidRDefault="00D74E6E" w:rsidP="00D74E6E">
            <w:pPr>
              <w:jc w:val="center"/>
              <w:rPr>
                <w:rFonts w:cs="Arial"/>
                <w:b/>
                <w:bCs/>
                <w:color w:val="000000"/>
                <w:sz w:val="18"/>
                <w:szCs w:val="18"/>
              </w:rPr>
            </w:pPr>
            <w:r w:rsidRPr="00D74E6E">
              <w:rPr>
                <w:rFonts w:cs="Arial"/>
                <w:sz w:val="18"/>
                <w:szCs w:val="18"/>
              </w:rPr>
              <w:t>5.00</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77C99653" w14:textId="1F7A1FBE" w:rsidR="00D74E6E" w:rsidRPr="00D74E6E" w:rsidRDefault="00D74E6E" w:rsidP="00D74E6E">
            <w:pPr>
              <w:jc w:val="center"/>
              <w:rPr>
                <w:rFonts w:cs="Arial"/>
                <w:b/>
                <w:bCs/>
                <w:color w:val="000000"/>
                <w:sz w:val="18"/>
                <w:szCs w:val="18"/>
              </w:rPr>
            </w:pPr>
            <w:r w:rsidRPr="00D74E6E">
              <w:rPr>
                <w:rFonts w:cs="Arial"/>
                <w:sz w:val="18"/>
                <w:szCs w:val="18"/>
              </w:rPr>
              <w:t>2.66</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0B98EF2F" w14:textId="1B58DA03" w:rsidR="00D74E6E" w:rsidRPr="00D74E6E" w:rsidRDefault="00D74E6E" w:rsidP="00D74E6E">
            <w:pPr>
              <w:jc w:val="center"/>
              <w:rPr>
                <w:rFonts w:cs="Arial"/>
                <w:b/>
                <w:bCs/>
                <w:color w:val="000000"/>
                <w:sz w:val="18"/>
                <w:szCs w:val="18"/>
              </w:rPr>
            </w:pPr>
            <w:r w:rsidRPr="00D74E6E">
              <w:rPr>
                <w:rFonts w:cs="Arial"/>
                <w:sz w:val="18"/>
                <w:szCs w:val="18"/>
              </w:rPr>
              <w:t>1.60</w:t>
            </w:r>
          </w:p>
        </w:tc>
      </w:tr>
      <w:tr w:rsidR="00D74E6E" w:rsidRPr="002D421F" w14:paraId="436406B8"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32D22DDD" w14:textId="52592518" w:rsidR="00D74E6E" w:rsidRPr="008E03D6" w:rsidRDefault="00D74E6E" w:rsidP="00D74E6E">
            <w:pPr>
              <w:rPr>
                <w:rFonts w:cs="Arial"/>
                <w:color w:val="000000"/>
                <w:sz w:val="18"/>
                <w:szCs w:val="18"/>
              </w:rPr>
            </w:pPr>
            <w:r w:rsidRPr="008E03D6">
              <w:rPr>
                <w:rFonts w:cs="Arial"/>
                <w:sz w:val="18"/>
                <w:szCs w:val="18"/>
              </w:rPr>
              <w:t>Targeted Systems</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44364164" w14:textId="1D2DE2BA" w:rsidR="00D74E6E" w:rsidRPr="00D74E6E" w:rsidRDefault="00D74E6E" w:rsidP="00D74E6E">
            <w:pPr>
              <w:jc w:val="center"/>
              <w:rPr>
                <w:rFonts w:cs="Arial"/>
                <w:color w:val="000000"/>
                <w:sz w:val="18"/>
                <w:szCs w:val="18"/>
              </w:rPr>
            </w:pPr>
            <w:r w:rsidRPr="00D74E6E">
              <w:rPr>
                <w:rFonts w:cs="Arial"/>
                <w:sz w:val="18"/>
                <w:szCs w:val="18"/>
              </w:rPr>
              <w:t>3.57</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70776574" w14:textId="65D4B326" w:rsidR="00D74E6E" w:rsidRPr="00D74E6E" w:rsidRDefault="00D74E6E" w:rsidP="00D74E6E">
            <w:pPr>
              <w:jc w:val="center"/>
              <w:rPr>
                <w:rFonts w:cs="Arial"/>
                <w:color w:val="000000"/>
                <w:sz w:val="18"/>
                <w:szCs w:val="18"/>
              </w:rPr>
            </w:pPr>
            <w:r w:rsidRPr="00D74E6E">
              <w:rPr>
                <w:rFonts w:cs="Arial"/>
                <w:sz w:val="18"/>
                <w:szCs w:val="18"/>
              </w:rPr>
              <w:t>1.68</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2F7C01F6" w14:textId="3F1262EB" w:rsidR="00D74E6E" w:rsidRPr="00D74E6E" w:rsidRDefault="00D74E6E" w:rsidP="00D74E6E">
            <w:pPr>
              <w:jc w:val="center"/>
              <w:rPr>
                <w:rFonts w:cs="Arial"/>
                <w:color w:val="000000"/>
                <w:sz w:val="18"/>
                <w:szCs w:val="18"/>
              </w:rPr>
            </w:pPr>
            <w:r w:rsidRPr="00D74E6E">
              <w:rPr>
                <w:rFonts w:cs="Arial"/>
                <w:sz w:val="18"/>
                <w:szCs w:val="18"/>
              </w:rPr>
              <w:t>0.90</w:t>
            </w:r>
          </w:p>
        </w:tc>
      </w:tr>
      <w:tr w:rsidR="00D74E6E" w:rsidRPr="002D421F" w14:paraId="773EF4CD" w14:textId="77777777" w:rsidTr="008E03D6">
        <w:trPr>
          <w:trHeight w:val="216"/>
        </w:trPr>
        <w:tc>
          <w:tcPr>
            <w:tcW w:w="427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F629E34" w14:textId="0DAE9BAD" w:rsidR="00D74E6E" w:rsidRPr="008E03D6" w:rsidRDefault="00D74E6E" w:rsidP="00D74E6E">
            <w:pPr>
              <w:rPr>
                <w:rFonts w:cs="Arial"/>
                <w:b/>
                <w:bCs/>
                <w:sz w:val="18"/>
                <w:szCs w:val="18"/>
              </w:rPr>
            </w:pPr>
            <w:r w:rsidRPr="008E03D6">
              <w:rPr>
                <w:rFonts w:cs="Arial"/>
                <w:b/>
                <w:bCs/>
                <w:sz w:val="18"/>
                <w:szCs w:val="18"/>
              </w:rPr>
              <w:t>Business &amp; Public Sector Total*</w:t>
            </w:r>
          </w:p>
        </w:tc>
        <w:tc>
          <w:tcPr>
            <w:tcW w:w="1749"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355C172B" w14:textId="5327D04E" w:rsidR="00D74E6E" w:rsidRPr="00D74E6E" w:rsidRDefault="00D74E6E" w:rsidP="00D74E6E">
            <w:pPr>
              <w:jc w:val="center"/>
              <w:rPr>
                <w:rFonts w:cs="Arial"/>
                <w:b/>
                <w:bCs/>
                <w:sz w:val="18"/>
                <w:szCs w:val="18"/>
              </w:rPr>
            </w:pPr>
            <w:r w:rsidRPr="00D74E6E">
              <w:rPr>
                <w:rFonts w:cs="Arial"/>
                <w:b/>
                <w:bCs/>
                <w:sz w:val="18"/>
                <w:szCs w:val="18"/>
              </w:rPr>
              <w:t>5.09</w:t>
            </w:r>
          </w:p>
        </w:tc>
        <w:tc>
          <w:tcPr>
            <w:tcW w:w="2033"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8F1A437" w14:textId="7A065715" w:rsidR="00D74E6E" w:rsidRPr="00D74E6E" w:rsidRDefault="00D74E6E" w:rsidP="00D74E6E">
            <w:pPr>
              <w:jc w:val="center"/>
              <w:rPr>
                <w:rFonts w:cs="Arial"/>
                <w:b/>
                <w:bCs/>
                <w:sz w:val="18"/>
                <w:szCs w:val="18"/>
              </w:rPr>
            </w:pPr>
            <w:r w:rsidRPr="00D74E6E">
              <w:rPr>
                <w:rFonts w:cs="Arial"/>
                <w:b/>
                <w:bCs/>
                <w:sz w:val="18"/>
                <w:szCs w:val="18"/>
              </w:rPr>
              <w:t>2.67</w:t>
            </w:r>
          </w:p>
        </w:tc>
        <w:tc>
          <w:tcPr>
            <w:tcW w:w="1308"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5935926B" w14:textId="37DAE9E0" w:rsidR="00D74E6E" w:rsidRPr="00D74E6E" w:rsidRDefault="00D74E6E" w:rsidP="00D74E6E">
            <w:pPr>
              <w:jc w:val="center"/>
              <w:rPr>
                <w:rFonts w:cs="Arial"/>
                <w:b/>
                <w:bCs/>
                <w:sz w:val="18"/>
                <w:szCs w:val="18"/>
              </w:rPr>
            </w:pPr>
            <w:r w:rsidRPr="00D74E6E">
              <w:rPr>
                <w:rFonts w:cs="Arial"/>
                <w:b/>
                <w:bCs/>
                <w:sz w:val="18"/>
                <w:szCs w:val="18"/>
              </w:rPr>
              <w:t>1.85</w:t>
            </w:r>
          </w:p>
        </w:tc>
      </w:tr>
      <w:tr w:rsidR="00D74E6E" w:rsidRPr="002D421F" w14:paraId="6DEA11CE"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auto"/>
            <w:noWrap/>
            <w:hideMark/>
          </w:tcPr>
          <w:p w14:paraId="0EAEB348" w14:textId="1A75AA64" w:rsidR="00D74E6E" w:rsidRPr="008E03D6" w:rsidRDefault="00D74E6E" w:rsidP="00D74E6E">
            <w:pPr>
              <w:rPr>
                <w:rFonts w:cs="Arial"/>
                <w:color w:val="000000"/>
                <w:sz w:val="18"/>
                <w:szCs w:val="18"/>
              </w:rPr>
            </w:pPr>
            <w:r w:rsidRPr="008E03D6">
              <w:rPr>
                <w:rFonts w:cs="Arial"/>
                <w:sz w:val="18"/>
                <w:szCs w:val="18"/>
              </w:rPr>
              <w:t>Voltage Optimization</w:t>
            </w:r>
          </w:p>
        </w:tc>
        <w:tc>
          <w:tcPr>
            <w:tcW w:w="1749" w:type="dxa"/>
            <w:tcBorders>
              <w:top w:val="single" w:sz="4" w:space="0" w:color="60B8CC" w:themeColor="accent4"/>
              <w:left w:val="nil"/>
              <w:bottom w:val="single" w:sz="4" w:space="0" w:color="60B8CC" w:themeColor="accent4"/>
              <w:right w:val="nil"/>
            </w:tcBorders>
            <w:shd w:val="clear" w:color="auto" w:fill="auto"/>
            <w:noWrap/>
            <w:hideMark/>
          </w:tcPr>
          <w:p w14:paraId="5F207E56" w14:textId="2AEB6B7F" w:rsidR="00D74E6E" w:rsidRPr="00D74E6E" w:rsidRDefault="00D74E6E" w:rsidP="00D74E6E">
            <w:pPr>
              <w:jc w:val="center"/>
              <w:rPr>
                <w:rFonts w:cs="Arial"/>
                <w:color w:val="000000"/>
                <w:sz w:val="18"/>
                <w:szCs w:val="18"/>
              </w:rPr>
            </w:pPr>
            <w:r w:rsidRPr="00D74E6E">
              <w:rPr>
                <w:rFonts w:cs="Arial"/>
                <w:sz w:val="18"/>
                <w:szCs w:val="18"/>
              </w:rPr>
              <w:t>4.32</w:t>
            </w:r>
          </w:p>
        </w:tc>
        <w:tc>
          <w:tcPr>
            <w:tcW w:w="2033" w:type="dxa"/>
            <w:tcBorders>
              <w:top w:val="single" w:sz="4" w:space="0" w:color="60B8CC" w:themeColor="accent4"/>
              <w:left w:val="nil"/>
              <w:bottom w:val="single" w:sz="4" w:space="0" w:color="60B8CC" w:themeColor="accent4"/>
              <w:right w:val="nil"/>
            </w:tcBorders>
            <w:shd w:val="clear" w:color="auto" w:fill="auto"/>
            <w:noWrap/>
            <w:hideMark/>
          </w:tcPr>
          <w:p w14:paraId="7C9B9762" w14:textId="03964FF1" w:rsidR="00D74E6E" w:rsidRPr="00D74E6E" w:rsidRDefault="00D74E6E" w:rsidP="00D74E6E">
            <w:pPr>
              <w:jc w:val="center"/>
              <w:rPr>
                <w:rFonts w:cs="Arial"/>
                <w:color w:val="000000"/>
                <w:sz w:val="18"/>
                <w:szCs w:val="18"/>
              </w:rPr>
            </w:pPr>
            <w:r w:rsidRPr="00D74E6E">
              <w:rPr>
                <w:rFonts w:cs="Arial"/>
                <w:sz w:val="18"/>
                <w:szCs w:val="18"/>
              </w:rPr>
              <w:t>2.13</w:t>
            </w:r>
          </w:p>
        </w:tc>
        <w:tc>
          <w:tcPr>
            <w:tcW w:w="1308" w:type="dxa"/>
            <w:tcBorders>
              <w:top w:val="single" w:sz="4" w:space="0" w:color="60B8CC" w:themeColor="accent4"/>
              <w:left w:val="nil"/>
              <w:bottom w:val="single" w:sz="4" w:space="0" w:color="60B8CC" w:themeColor="accent4"/>
              <w:right w:val="nil"/>
            </w:tcBorders>
            <w:shd w:val="clear" w:color="auto" w:fill="auto"/>
            <w:noWrap/>
            <w:hideMark/>
          </w:tcPr>
          <w:p w14:paraId="780B8B40" w14:textId="73B9C2A3" w:rsidR="00D74E6E" w:rsidRPr="00D74E6E" w:rsidRDefault="00D74E6E" w:rsidP="00D74E6E">
            <w:pPr>
              <w:jc w:val="center"/>
              <w:rPr>
                <w:rFonts w:cs="Arial"/>
                <w:color w:val="000000"/>
                <w:sz w:val="18"/>
                <w:szCs w:val="18"/>
              </w:rPr>
            </w:pPr>
            <w:r w:rsidRPr="00D74E6E">
              <w:rPr>
                <w:rFonts w:cs="Arial"/>
                <w:sz w:val="18"/>
                <w:szCs w:val="18"/>
              </w:rPr>
              <w:t>1.31</w:t>
            </w:r>
          </w:p>
        </w:tc>
      </w:tr>
      <w:tr w:rsidR="00D74E6E" w:rsidRPr="002D421F" w14:paraId="3F90E1D8"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D9D9D9" w:themeFill="background1" w:themeFillShade="D9"/>
            <w:noWrap/>
            <w:vAlign w:val="center"/>
            <w:hideMark/>
          </w:tcPr>
          <w:p w14:paraId="47B9F9E8" w14:textId="699A83AF" w:rsidR="00D74E6E" w:rsidRPr="008E03D6" w:rsidRDefault="00D74E6E" w:rsidP="00D74E6E">
            <w:pPr>
              <w:rPr>
                <w:rFonts w:cs="Arial"/>
                <w:b/>
                <w:color w:val="000000"/>
                <w:sz w:val="18"/>
                <w:szCs w:val="18"/>
              </w:rPr>
            </w:pPr>
            <w:r w:rsidRPr="008E03D6">
              <w:rPr>
                <w:rFonts w:cs="Arial"/>
                <w:b/>
                <w:color w:val="000000"/>
                <w:sz w:val="18"/>
                <w:szCs w:val="18"/>
              </w:rPr>
              <w:t>Portfolio Total without IE &amp; with VO</w:t>
            </w:r>
          </w:p>
        </w:tc>
        <w:tc>
          <w:tcPr>
            <w:tcW w:w="1749"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4B50CAD" w14:textId="42D77E23" w:rsidR="00D74E6E" w:rsidRPr="00D74E6E" w:rsidRDefault="00D74E6E" w:rsidP="00D74E6E">
            <w:pPr>
              <w:jc w:val="center"/>
              <w:rPr>
                <w:rFonts w:cs="Arial"/>
                <w:b/>
                <w:bCs/>
                <w:color w:val="000000"/>
                <w:sz w:val="18"/>
                <w:szCs w:val="18"/>
              </w:rPr>
            </w:pPr>
            <w:r w:rsidRPr="00D74E6E">
              <w:rPr>
                <w:rFonts w:cs="Arial"/>
                <w:b/>
                <w:bCs/>
                <w:sz w:val="18"/>
                <w:szCs w:val="18"/>
              </w:rPr>
              <w:t>5.78</w:t>
            </w:r>
          </w:p>
        </w:tc>
        <w:tc>
          <w:tcPr>
            <w:tcW w:w="2033"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70B4290E" w14:textId="337FF626" w:rsidR="00D74E6E" w:rsidRPr="00D74E6E" w:rsidRDefault="00D74E6E" w:rsidP="00D74E6E">
            <w:pPr>
              <w:jc w:val="center"/>
              <w:rPr>
                <w:rFonts w:cs="Arial"/>
                <w:b/>
                <w:bCs/>
                <w:color w:val="000000"/>
                <w:sz w:val="18"/>
                <w:szCs w:val="18"/>
              </w:rPr>
            </w:pPr>
            <w:r w:rsidRPr="00D74E6E">
              <w:rPr>
                <w:rFonts w:cs="Arial"/>
                <w:b/>
                <w:bCs/>
                <w:sz w:val="18"/>
                <w:szCs w:val="18"/>
              </w:rPr>
              <w:t>2.85</w:t>
            </w:r>
          </w:p>
        </w:tc>
        <w:tc>
          <w:tcPr>
            <w:tcW w:w="1308"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A97E09E" w14:textId="239D107C" w:rsidR="00D74E6E" w:rsidRPr="00D74E6E" w:rsidRDefault="00D74E6E" w:rsidP="00D74E6E">
            <w:pPr>
              <w:jc w:val="center"/>
              <w:rPr>
                <w:rFonts w:cs="Arial"/>
                <w:b/>
                <w:bCs/>
                <w:color w:val="000000"/>
                <w:sz w:val="18"/>
                <w:szCs w:val="18"/>
              </w:rPr>
            </w:pPr>
            <w:r w:rsidRPr="00D74E6E">
              <w:rPr>
                <w:rFonts w:cs="Arial"/>
                <w:b/>
                <w:bCs/>
                <w:sz w:val="18"/>
                <w:szCs w:val="18"/>
              </w:rPr>
              <w:t>1.96</w:t>
            </w:r>
          </w:p>
        </w:tc>
      </w:tr>
      <w:tr w:rsidR="00D74E6E" w:rsidRPr="002D421F" w14:paraId="6C060336"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D9D9D9" w:themeFill="background1" w:themeFillShade="D9"/>
            <w:noWrap/>
            <w:vAlign w:val="center"/>
            <w:hideMark/>
          </w:tcPr>
          <w:p w14:paraId="3434EA25" w14:textId="588D1131" w:rsidR="00D74E6E" w:rsidRPr="008E03D6" w:rsidRDefault="00D74E6E" w:rsidP="00D74E6E">
            <w:pPr>
              <w:rPr>
                <w:rFonts w:cs="Arial"/>
                <w:b/>
                <w:bCs/>
                <w:color w:val="000000"/>
                <w:sz w:val="18"/>
                <w:szCs w:val="18"/>
              </w:rPr>
            </w:pPr>
            <w:r w:rsidRPr="008E03D6">
              <w:rPr>
                <w:rFonts w:cs="Arial"/>
                <w:b/>
                <w:color w:val="000000"/>
                <w:sz w:val="18"/>
                <w:szCs w:val="18"/>
              </w:rPr>
              <w:t>Portfolio Total with IE &amp; without VO</w:t>
            </w:r>
          </w:p>
        </w:tc>
        <w:tc>
          <w:tcPr>
            <w:tcW w:w="1749"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D075CA3" w14:textId="7A600406" w:rsidR="00D74E6E" w:rsidRPr="00D74E6E" w:rsidRDefault="00D74E6E" w:rsidP="00D74E6E">
            <w:pPr>
              <w:jc w:val="center"/>
              <w:rPr>
                <w:rFonts w:cs="Arial"/>
                <w:b/>
                <w:bCs/>
                <w:color w:val="000000"/>
                <w:sz w:val="18"/>
                <w:szCs w:val="18"/>
              </w:rPr>
            </w:pPr>
            <w:r w:rsidRPr="00D74E6E">
              <w:rPr>
                <w:rFonts w:cs="Arial"/>
                <w:b/>
                <w:bCs/>
                <w:sz w:val="18"/>
                <w:szCs w:val="18"/>
              </w:rPr>
              <w:t>5.44</w:t>
            </w:r>
          </w:p>
        </w:tc>
        <w:tc>
          <w:tcPr>
            <w:tcW w:w="2033"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E79D931" w14:textId="70FFB1AA" w:rsidR="00D74E6E" w:rsidRPr="00D74E6E" w:rsidRDefault="00D74E6E" w:rsidP="00D74E6E">
            <w:pPr>
              <w:jc w:val="center"/>
              <w:rPr>
                <w:rFonts w:cs="Arial"/>
                <w:b/>
                <w:bCs/>
                <w:color w:val="000000"/>
                <w:sz w:val="18"/>
                <w:szCs w:val="18"/>
              </w:rPr>
            </w:pPr>
            <w:r w:rsidRPr="00D74E6E">
              <w:rPr>
                <w:rFonts w:cs="Arial"/>
                <w:b/>
                <w:bCs/>
                <w:sz w:val="18"/>
                <w:szCs w:val="18"/>
              </w:rPr>
              <w:t>3.11</w:t>
            </w:r>
          </w:p>
        </w:tc>
        <w:tc>
          <w:tcPr>
            <w:tcW w:w="1308"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338E0FEF" w14:textId="3726F004" w:rsidR="00D74E6E" w:rsidRPr="00D74E6E" w:rsidRDefault="00D74E6E" w:rsidP="00D74E6E">
            <w:pPr>
              <w:jc w:val="center"/>
              <w:rPr>
                <w:rFonts w:cs="Arial"/>
                <w:b/>
                <w:bCs/>
                <w:color w:val="000000"/>
                <w:sz w:val="18"/>
                <w:szCs w:val="18"/>
              </w:rPr>
            </w:pPr>
            <w:r w:rsidRPr="00D74E6E">
              <w:rPr>
                <w:rFonts w:cs="Arial"/>
                <w:b/>
                <w:bCs/>
                <w:sz w:val="18"/>
                <w:szCs w:val="18"/>
              </w:rPr>
              <w:t>2.21</w:t>
            </w:r>
          </w:p>
        </w:tc>
      </w:tr>
      <w:tr w:rsidR="00D74E6E" w:rsidRPr="002D421F" w14:paraId="5EA4519D" w14:textId="77777777">
        <w:trPr>
          <w:trHeight w:val="216"/>
        </w:trPr>
        <w:tc>
          <w:tcPr>
            <w:tcW w:w="4270" w:type="dxa"/>
            <w:tcBorders>
              <w:top w:val="single" w:sz="4" w:space="0" w:color="60B8CC" w:themeColor="accent4"/>
              <w:left w:val="nil"/>
              <w:bottom w:val="single" w:sz="4" w:space="0" w:color="60B8CC" w:themeColor="accent4"/>
              <w:right w:val="nil"/>
            </w:tcBorders>
            <w:shd w:val="clear" w:color="auto" w:fill="D9D9D9" w:themeFill="background1" w:themeFillShade="D9"/>
            <w:noWrap/>
            <w:vAlign w:val="center"/>
            <w:hideMark/>
          </w:tcPr>
          <w:p w14:paraId="3DB62215" w14:textId="4442AF37" w:rsidR="00D74E6E" w:rsidRPr="008E03D6" w:rsidRDefault="00D74E6E" w:rsidP="00D74E6E">
            <w:pPr>
              <w:rPr>
                <w:rFonts w:cs="Arial"/>
                <w:b/>
                <w:bCs/>
                <w:color w:val="000000"/>
                <w:sz w:val="18"/>
                <w:szCs w:val="18"/>
              </w:rPr>
            </w:pPr>
            <w:r w:rsidRPr="008E03D6">
              <w:rPr>
                <w:rFonts w:cs="Arial"/>
                <w:b/>
                <w:bCs/>
                <w:color w:val="000000"/>
                <w:sz w:val="18"/>
                <w:szCs w:val="18"/>
              </w:rPr>
              <w:t>Portfolio Total without IE, VO</w:t>
            </w:r>
            <w:r w:rsidRPr="008E03D6" w:rsidDel="009211B8">
              <w:rPr>
                <w:rFonts w:cs="Arial"/>
                <w:b/>
                <w:bCs/>
                <w:color w:val="000000"/>
                <w:sz w:val="18"/>
                <w:szCs w:val="18"/>
              </w:rPr>
              <w:t xml:space="preserve"> </w:t>
            </w:r>
          </w:p>
        </w:tc>
        <w:tc>
          <w:tcPr>
            <w:tcW w:w="1749"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0F465606" w14:textId="08540281" w:rsidR="00D74E6E" w:rsidRPr="00D74E6E" w:rsidRDefault="00D74E6E" w:rsidP="00D74E6E">
            <w:pPr>
              <w:jc w:val="center"/>
              <w:rPr>
                <w:rFonts w:cs="Arial"/>
                <w:b/>
                <w:bCs/>
                <w:color w:val="000000"/>
                <w:sz w:val="18"/>
                <w:szCs w:val="18"/>
              </w:rPr>
            </w:pPr>
            <w:r w:rsidRPr="00D74E6E">
              <w:rPr>
                <w:rFonts w:cs="Arial"/>
                <w:b/>
                <w:bCs/>
                <w:sz w:val="18"/>
                <w:szCs w:val="18"/>
              </w:rPr>
              <w:t>5.95</w:t>
            </w:r>
          </w:p>
        </w:tc>
        <w:tc>
          <w:tcPr>
            <w:tcW w:w="2033"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185EE838" w14:textId="42CFA720" w:rsidR="00D74E6E" w:rsidRPr="00D74E6E" w:rsidRDefault="00D74E6E" w:rsidP="00D74E6E">
            <w:pPr>
              <w:jc w:val="center"/>
              <w:rPr>
                <w:rFonts w:cs="Arial"/>
                <w:b/>
                <w:bCs/>
                <w:sz w:val="18"/>
                <w:szCs w:val="18"/>
              </w:rPr>
            </w:pPr>
            <w:r w:rsidRPr="00D74E6E">
              <w:rPr>
                <w:rFonts w:cs="Arial"/>
                <w:b/>
                <w:bCs/>
                <w:sz w:val="18"/>
                <w:szCs w:val="18"/>
              </w:rPr>
              <w:t>2.93</w:t>
            </w:r>
          </w:p>
        </w:tc>
        <w:tc>
          <w:tcPr>
            <w:tcW w:w="1308"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0BFF5D20" w14:textId="6A46C351" w:rsidR="00D74E6E" w:rsidRPr="00D74E6E" w:rsidRDefault="00D74E6E" w:rsidP="00D74E6E">
            <w:pPr>
              <w:jc w:val="center"/>
              <w:rPr>
                <w:rFonts w:cs="Arial"/>
                <w:b/>
                <w:bCs/>
                <w:sz w:val="18"/>
                <w:szCs w:val="18"/>
              </w:rPr>
            </w:pPr>
            <w:r w:rsidRPr="00D74E6E">
              <w:rPr>
                <w:rFonts w:cs="Arial"/>
                <w:b/>
                <w:bCs/>
                <w:sz w:val="18"/>
                <w:szCs w:val="18"/>
              </w:rPr>
              <w:t>2.05</w:t>
            </w:r>
          </w:p>
        </w:tc>
      </w:tr>
      <w:tr w:rsidR="00D74E6E" w:rsidRPr="002D421F" w14:paraId="26CFDE11" w14:textId="77777777">
        <w:trPr>
          <w:trHeight w:val="216"/>
        </w:trPr>
        <w:tc>
          <w:tcPr>
            <w:tcW w:w="4270" w:type="dxa"/>
            <w:tcBorders>
              <w:top w:val="single" w:sz="12" w:space="0" w:color="93D500" w:themeColor="accent1"/>
              <w:left w:val="nil"/>
              <w:bottom w:val="single" w:sz="12" w:space="0" w:color="036479" w:themeColor="accent3"/>
              <w:right w:val="nil"/>
            </w:tcBorders>
            <w:shd w:val="clear" w:color="auto" w:fill="D9D9D9" w:themeFill="background1" w:themeFillShade="D9"/>
            <w:noWrap/>
            <w:vAlign w:val="center"/>
            <w:hideMark/>
          </w:tcPr>
          <w:p w14:paraId="60DBEEB1" w14:textId="73A68227" w:rsidR="00D74E6E" w:rsidRPr="008E03D6" w:rsidRDefault="00D74E6E" w:rsidP="00D74E6E">
            <w:pPr>
              <w:rPr>
                <w:rFonts w:cs="Arial"/>
                <w:b/>
                <w:bCs/>
                <w:color w:val="000000"/>
                <w:sz w:val="18"/>
                <w:szCs w:val="18"/>
              </w:rPr>
            </w:pPr>
            <w:r w:rsidRPr="008E03D6">
              <w:rPr>
                <w:rFonts w:cs="Arial"/>
                <w:b/>
                <w:color w:val="000000"/>
                <w:sz w:val="18"/>
                <w:szCs w:val="18"/>
              </w:rPr>
              <w:t>Portfolio Total with IE &amp; VO</w:t>
            </w:r>
          </w:p>
        </w:tc>
        <w:tc>
          <w:tcPr>
            <w:tcW w:w="1749" w:type="dxa"/>
            <w:tcBorders>
              <w:top w:val="single" w:sz="12" w:space="0" w:color="93D500" w:themeColor="accent1"/>
              <w:left w:val="nil"/>
              <w:bottom w:val="single" w:sz="12" w:space="0" w:color="036479" w:themeColor="accent3"/>
              <w:right w:val="nil"/>
            </w:tcBorders>
            <w:shd w:val="clear" w:color="auto" w:fill="D9D9D9" w:themeFill="background1" w:themeFillShade="D9"/>
            <w:noWrap/>
            <w:hideMark/>
          </w:tcPr>
          <w:p w14:paraId="7060E366" w14:textId="56F9B275" w:rsidR="00D74E6E" w:rsidRPr="00D74E6E" w:rsidRDefault="00D74E6E" w:rsidP="00D74E6E">
            <w:pPr>
              <w:jc w:val="center"/>
              <w:rPr>
                <w:rFonts w:cs="Arial"/>
                <w:b/>
                <w:bCs/>
                <w:color w:val="000000"/>
                <w:sz w:val="18"/>
                <w:szCs w:val="18"/>
              </w:rPr>
            </w:pPr>
            <w:r w:rsidRPr="00D74E6E">
              <w:rPr>
                <w:rFonts w:cs="Arial"/>
                <w:b/>
                <w:bCs/>
                <w:sz w:val="18"/>
                <w:szCs w:val="18"/>
              </w:rPr>
              <w:t>5.35</w:t>
            </w:r>
          </w:p>
        </w:tc>
        <w:tc>
          <w:tcPr>
            <w:tcW w:w="2033" w:type="dxa"/>
            <w:tcBorders>
              <w:top w:val="single" w:sz="12" w:space="0" w:color="93D500" w:themeColor="accent1"/>
              <w:left w:val="nil"/>
              <w:bottom w:val="single" w:sz="12" w:space="0" w:color="036479" w:themeColor="accent3"/>
              <w:right w:val="nil"/>
            </w:tcBorders>
            <w:shd w:val="clear" w:color="auto" w:fill="D9D9D9" w:themeFill="background1" w:themeFillShade="D9"/>
            <w:noWrap/>
            <w:hideMark/>
          </w:tcPr>
          <w:p w14:paraId="5000BDDC" w14:textId="6AB5C027" w:rsidR="00D74E6E" w:rsidRPr="00D74E6E" w:rsidRDefault="00D74E6E" w:rsidP="00D74E6E">
            <w:pPr>
              <w:jc w:val="center"/>
              <w:rPr>
                <w:rFonts w:cs="Arial"/>
                <w:b/>
                <w:bCs/>
                <w:color w:val="000000"/>
                <w:sz w:val="18"/>
                <w:szCs w:val="18"/>
              </w:rPr>
            </w:pPr>
            <w:r w:rsidRPr="00D74E6E">
              <w:rPr>
                <w:rFonts w:cs="Arial"/>
                <w:b/>
                <w:bCs/>
                <w:sz w:val="18"/>
                <w:szCs w:val="18"/>
              </w:rPr>
              <w:t>3.03</w:t>
            </w:r>
          </w:p>
        </w:tc>
        <w:tc>
          <w:tcPr>
            <w:tcW w:w="1308" w:type="dxa"/>
            <w:tcBorders>
              <w:top w:val="single" w:sz="12" w:space="0" w:color="93D500" w:themeColor="accent1"/>
              <w:left w:val="nil"/>
              <w:bottom w:val="single" w:sz="12" w:space="0" w:color="036479" w:themeColor="accent3"/>
              <w:right w:val="nil"/>
            </w:tcBorders>
            <w:shd w:val="clear" w:color="auto" w:fill="D9D9D9" w:themeFill="background1" w:themeFillShade="D9"/>
            <w:noWrap/>
            <w:hideMark/>
          </w:tcPr>
          <w:p w14:paraId="478079DD" w14:textId="7191A78C" w:rsidR="00D74E6E" w:rsidRPr="00D74E6E" w:rsidRDefault="00D74E6E" w:rsidP="00D74E6E">
            <w:pPr>
              <w:jc w:val="center"/>
              <w:rPr>
                <w:rFonts w:cs="Arial"/>
                <w:b/>
                <w:bCs/>
                <w:color w:val="000000"/>
                <w:sz w:val="18"/>
                <w:szCs w:val="18"/>
              </w:rPr>
            </w:pPr>
            <w:r w:rsidRPr="00D74E6E">
              <w:rPr>
                <w:rFonts w:cs="Arial"/>
                <w:b/>
                <w:bCs/>
                <w:sz w:val="18"/>
                <w:szCs w:val="18"/>
              </w:rPr>
              <w:t>2.13</w:t>
            </w:r>
          </w:p>
        </w:tc>
      </w:tr>
    </w:tbl>
    <w:p w14:paraId="17516576" w14:textId="6942E8F5" w:rsidR="00447972" w:rsidRPr="003744ED" w:rsidRDefault="08F1A007" w:rsidP="00D877A5">
      <w:pPr>
        <w:pStyle w:val="TableFigureNote"/>
        <w:rPr>
          <w:rFonts w:ascii="Arial Narrow" w:hAnsi="Arial Narrow"/>
          <w:szCs w:val="18"/>
        </w:rPr>
      </w:pPr>
      <w:r w:rsidRPr="00A52CB5">
        <w:rPr>
          <w:rFonts w:ascii="Arial Narrow" w:hAnsi="Arial Narrow"/>
          <w:szCs w:val="18"/>
        </w:rPr>
        <w:t>Notes: This table contains only ComEd programs</w:t>
      </w:r>
      <w:r w:rsidRPr="003744ED">
        <w:rPr>
          <w:rFonts w:ascii="Arial Narrow" w:hAnsi="Arial Narrow"/>
          <w:szCs w:val="18"/>
        </w:rPr>
        <w:t>. In CY202</w:t>
      </w:r>
      <w:r w:rsidR="0087729A" w:rsidRPr="003744ED">
        <w:rPr>
          <w:rFonts w:ascii="Arial Narrow" w:hAnsi="Arial Narrow"/>
          <w:szCs w:val="18"/>
        </w:rPr>
        <w:t>4</w:t>
      </w:r>
      <w:r w:rsidRPr="003744ED">
        <w:rPr>
          <w:rFonts w:ascii="Arial Narrow" w:hAnsi="Arial Narrow"/>
          <w:szCs w:val="18"/>
        </w:rPr>
        <w:t xml:space="preserve">, ComEd purchased </w:t>
      </w:r>
      <w:r w:rsidR="00987218" w:rsidRPr="003744ED">
        <w:rPr>
          <w:rFonts w:ascii="Arial Narrow" w:hAnsi="Arial Narrow"/>
          <w:szCs w:val="18"/>
        </w:rPr>
        <w:t xml:space="preserve">kilowatt-hour </w:t>
      </w:r>
      <w:r w:rsidRPr="003744ED">
        <w:rPr>
          <w:rFonts w:ascii="Arial Narrow" w:hAnsi="Arial Narrow"/>
          <w:szCs w:val="18"/>
        </w:rPr>
        <w:t>savings from Nicor Gas’ Air Sealing and Insulation (ASI) offering</w:t>
      </w:r>
      <w:r w:rsidR="725C6F4E" w:rsidRPr="003744ED">
        <w:rPr>
          <w:rFonts w:ascii="Arial Narrow" w:hAnsi="Arial Narrow"/>
          <w:szCs w:val="18"/>
        </w:rPr>
        <w:t xml:space="preserve">. </w:t>
      </w:r>
      <w:r w:rsidR="00AE14D4" w:rsidRPr="003744ED">
        <w:rPr>
          <w:rFonts w:ascii="Arial Narrow" w:hAnsi="Arial Narrow"/>
          <w:szCs w:val="18"/>
        </w:rPr>
        <w:t>ComEd’s purchase of therms from t</w:t>
      </w:r>
      <w:r w:rsidRPr="003744ED">
        <w:rPr>
          <w:rFonts w:ascii="Arial Narrow" w:hAnsi="Arial Narrow"/>
          <w:szCs w:val="18"/>
        </w:rPr>
        <w:t xml:space="preserve">he Nicor ASI </w:t>
      </w:r>
      <w:r w:rsidR="00BD3CAC" w:rsidRPr="003744ED">
        <w:rPr>
          <w:rFonts w:ascii="Arial Narrow" w:hAnsi="Arial Narrow"/>
          <w:szCs w:val="18"/>
        </w:rPr>
        <w:t xml:space="preserve">program </w:t>
      </w:r>
      <w:r w:rsidRPr="003744ED">
        <w:rPr>
          <w:rFonts w:ascii="Arial Narrow" w:hAnsi="Arial Narrow"/>
          <w:szCs w:val="18"/>
        </w:rPr>
        <w:t xml:space="preserve">is not a </w:t>
      </w:r>
      <w:r w:rsidR="00B02660" w:rsidRPr="003744ED">
        <w:rPr>
          <w:rFonts w:ascii="Arial Narrow" w:hAnsi="Arial Narrow"/>
          <w:szCs w:val="18"/>
        </w:rPr>
        <w:t xml:space="preserve">ComEd </w:t>
      </w:r>
      <w:r w:rsidRPr="003744ED">
        <w:rPr>
          <w:rFonts w:ascii="Arial Narrow" w:hAnsi="Arial Narrow"/>
          <w:szCs w:val="18"/>
        </w:rPr>
        <w:t xml:space="preserve">program, but the savings </w:t>
      </w:r>
      <w:r w:rsidR="64FA9DF6" w:rsidRPr="003744ED">
        <w:rPr>
          <w:rFonts w:ascii="Arial Narrow" w:hAnsi="Arial Narrow"/>
          <w:szCs w:val="18"/>
        </w:rPr>
        <w:t xml:space="preserve">and TRC results </w:t>
      </w:r>
      <w:r w:rsidRPr="003744ED">
        <w:rPr>
          <w:rFonts w:ascii="Arial Narrow" w:hAnsi="Arial Narrow"/>
          <w:szCs w:val="18"/>
        </w:rPr>
        <w:t>are counted in</w:t>
      </w:r>
      <w:r w:rsidR="006E5D13" w:rsidRPr="003744ED">
        <w:rPr>
          <w:rFonts w:ascii="Arial Narrow" w:hAnsi="Arial Narrow"/>
          <w:szCs w:val="18"/>
        </w:rPr>
        <w:t xml:space="preserve"> </w:t>
      </w:r>
      <w:r w:rsidR="48087C29" w:rsidRPr="003744ED">
        <w:rPr>
          <w:rFonts w:ascii="Arial Narrow" w:hAnsi="Arial Narrow"/>
          <w:szCs w:val="18"/>
        </w:rPr>
        <w:t>ComEd</w:t>
      </w:r>
      <w:r w:rsidR="00CD0C01" w:rsidRPr="003744ED">
        <w:rPr>
          <w:rFonts w:ascii="Arial Narrow" w:hAnsi="Arial Narrow"/>
          <w:szCs w:val="18"/>
        </w:rPr>
        <w:t>’s</w:t>
      </w:r>
      <w:r w:rsidR="48087C29" w:rsidRPr="003744ED">
        <w:rPr>
          <w:rFonts w:ascii="Arial Narrow" w:hAnsi="Arial Narrow"/>
          <w:szCs w:val="18"/>
        </w:rPr>
        <w:t xml:space="preserve"> </w:t>
      </w:r>
      <w:r w:rsidRPr="003744ED">
        <w:rPr>
          <w:rFonts w:ascii="Arial Narrow" w:hAnsi="Arial Narrow"/>
          <w:szCs w:val="18"/>
        </w:rPr>
        <w:t>residential sector.</w:t>
      </w:r>
    </w:p>
    <w:p w14:paraId="6DB42170" w14:textId="3A0A9F74" w:rsidR="00F26F0B" w:rsidRPr="00A52CB5" w:rsidRDefault="001B5EAD" w:rsidP="00D877A5">
      <w:pPr>
        <w:pStyle w:val="TableFigureNote"/>
        <w:rPr>
          <w:rFonts w:ascii="Arial Narrow" w:hAnsi="Arial Narrow"/>
          <w:szCs w:val="18"/>
        </w:rPr>
      </w:pPr>
      <w:r w:rsidRPr="003744ED">
        <w:rPr>
          <w:rFonts w:ascii="Arial Narrow" w:hAnsi="Arial Narrow"/>
          <w:szCs w:val="18"/>
        </w:rPr>
        <w:t>*The TRC and UCT values are calculated using the sum</w:t>
      </w:r>
      <w:r w:rsidRPr="00A52CB5">
        <w:rPr>
          <w:rFonts w:ascii="Arial Narrow" w:hAnsi="Arial Narrow"/>
          <w:szCs w:val="18"/>
        </w:rPr>
        <w:t xml:space="preserve"> of all the offerings’ benefits and costs.</w:t>
      </w:r>
    </w:p>
    <w:p w14:paraId="6318D0EA" w14:textId="7B5E5FC0" w:rsidR="00C811D0" w:rsidRPr="00A52CB5" w:rsidRDefault="00C811D0" w:rsidP="00C811D0">
      <w:pPr>
        <w:pStyle w:val="TableFigureSource"/>
        <w:rPr>
          <w:rFonts w:ascii="Arial Narrow" w:hAnsi="Arial Narrow"/>
          <w:i w:val="0"/>
          <w:szCs w:val="18"/>
        </w:rPr>
      </w:pPr>
      <w:r w:rsidRPr="00A52CB5">
        <w:rPr>
          <w:rFonts w:ascii="Arial Narrow" w:hAnsi="Arial Narrow"/>
          <w:i w:val="0"/>
          <w:szCs w:val="18"/>
        </w:rPr>
        <w:t xml:space="preserve">† </w:t>
      </w:r>
      <w:r w:rsidR="00DC0B6B" w:rsidRPr="00A52CB5">
        <w:rPr>
          <w:rFonts w:ascii="Arial Narrow" w:hAnsi="Arial Narrow"/>
          <w:i w:val="0"/>
          <w:szCs w:val="18"/>
        </w:rPr>
        <w:t>No TRC</w:t>
      </w:r>
      <w:r w:rsidR="0058162B" w:rsidRPr="00A52CB5">
        <w:rPr>
          <w:rFonts w:ascii="Arial Narrow" w:hAnsi="Arial Narrow"/>
          <w:i w:val="0"/>
          <w:szCs w:val="18"/>
        </w:rPr>
        <w:t xml:space="preserve">/UCT value estimated for the Assessment program as there were </w:t>
      </w:r>
      <w:r w:rsidR="00A52CB5" w:rsidRPr="00A52CB5">
        <w:rPr>
          <w:rFonts w:ascii="Arial Narrow" w:hAnsi="Arial Narrow"/>
          <w:i w:val="0"/>
          <w:iCs/>
          <w:szCs w:val="18"/>
        </w:rPr>
        <w:t>no</w:t>
      </w:r>
      <w:r w:rsidRPr="00A52CB5">
        <w:rPr>
          <w:rFonts w:ascii="Arial Narrow" w:hAnsi="Arial Narrow"/>
          <w:i w:val="0"/>
          <w:szCs w:val="18"/>
        </w:rPr>
        <w:t xml:space="preserve"> program savings </w:t>
      </w:r>
      <w:r w:rsidR="00A52CB5" w:rsidRPr="00A52CB5">
        <w:rPr>
          <w:rFonts w:ascii="Arial Narrow" w:hAnsi="Arial Narrow"/>
          <w:i w:val="0"/>
          <w:iCs/>
          <w:szCs w:val="18"/>
        </w:rPr>
        <w:t>in CY2024 although</w:t>
      </w:r>
      <w:r w:rsidRPr="00A52CB5">
        <w:rPr>
          <w:rFonts w:ascii="Arial Narrow" w:hAnsi="Arial Narrow"/>
          <w:i w:val="0"/>
          <w:szCs w:val="18"/>
        </w:rPr>
        <w:t xml:space="preserve"> some </w:t>
      </w:r>
      <w:r w:rsidR="00432AAF" w:rsidRPr="00A52CB5">
        <w:rPr>
          <w:rFonts w:ascii="Arial Narrow" w:hAnsi="Arial Narrow"/>
          <w:i w:val="0"/>
          <w:szCs w:val="18"/>
        </w:rPr>
        <w:t>costs</w:t>
      </w:r>
      <w:r w:rsidRPr="00A52CB5">
        <w:rPr>
          <w:rFonts w:ascii="Arial Narrow" w:hAnsi="Arial Narrow"/>
          <w:i w:val="0"/>
          <w:szCs w:val="18"/>
        </w:rPr>
        <w:t xml:space="preserve"> were </w:t>
      </w:r>
      <w:r w:rsidR="00EF288A" w:rsidRPr="00A52CB5">
        <w:rPr>
          <w:rFonts w:ascii="Arial Narrow" w:hAnsi="Arial Narrow"/>
          <w:i w:val="0"/>
          <w:szCs w:val="18"/>
        </w:rPr>
        <w:t>incurred</w:t>
      </w:r>
      <w:r w:rsidR="00A52CB5" w:rsidRPr="00A52CB5">
        <w:rPr>
          <w:rFonts w:ascii="Arial Narrow" w:hAnsi="Arial Narrow"/>
          <w:i w:val="0"/>
          <w:iCs/>
          <w:szCs w:val="18"/>
        </w:rPr>
        <w:t xml:space="preserve"> </w:t>
      </w:r>
      <w:r w:rsidR="005F1A36">
        <w:rPr>
          <w:rFonts w:ascii="Arial Narrow" w:hAnsi="Arial Narrow"/>
          <w:i w:val="0"/>
          <w:iCs/>
          <w:szCs w:val="18"/>
        </w:rPr>
        <w:t>a</w:t>
      </w:r>
      <w:r w:rsidR="00A52CB5" w:rsidRPr="00A52CB5">
        <w:rPr>
          <w:rFonts w:ascii="Arial Narrow" w:hAnsi="Arial Narrow"/>
          <w:i w:val="0"/>
          <w:iCs/>
          <w:szCs w:val="18"/>
        </w:rPr>
        <w:t>nd included in the overall cost analysis</w:t>
      </w:r>
      <w:r w:rsidR="00EF288A" w:rsidRPr="00A52CB5">
        <w:rPr>
          <w:rFonts w:ascii="Arial Narrow" w:hAnsi="Arial Narrow"/>
          <w:i w:val="0"/>
          <w:szCs w:val="18"/>
        </w:rPr>
        <w:t>.</w:t>
      </w:r>
    </w:p>
    <w:p w14:paraId="3D78006D" w14:textId="24913576" w:rsidR="009C2F80" w:rsidRDefault="009C2F80" w:rsidP="00781420">
      <w:pPr>
        <w:pStyle w:val="Source"/>
      </w:pPr>
      <w:r>
        <w:t xml:space="preserve">Source: </w:t>
      </w:r>
      <w:r w:rsidR="00E36F0B">
        <w:t>Guidehouse</w:t>
      </w:r>
      <w:r w:rsidR="005518BA">
        <w:t xml:space="preserve"> analysis</w:t>
      </w:r>
    </w:p>
    <w:p w14:paraId="2095BB16" w14:textId="77777777" w:rsidR="00F43A96" w:rsidRDefault="00F43A96" w:rsidP="00440FBF"/>
    <w:p w14:paraId="49DB319A" w14:textId="0125C025" w:rsidR="001B5EAD" w:rsidRPr="000A6310" w:rsidRDefault="001B5EAD" w:rsidP="001B5EAD">
      <w:pPr>
        <w:pStyle w:val="Heading2"/>
      </w:pPr>
      <w:bookmarkStart w:id="16" w:name="_Toc136536608"/>
      <w:bookmarkStart w:id="17" w:name="_Toc136536609"/>
      <w:bookmarkStart w:id="18" w:name="_Toc441844531"/>
      <w:bookmarkStart w:id="19" w:name="_Toc508267200"/>
      <w:bookmarkStart w:id="20" w:name="_Ref168309184"/>
      <w:bookmarkStart w:id="21" w:name="_Toc196925659"/>
      <w:bookmarkEnd w:id="16"/>
      <w:bookmarkEnd w:id="17"/>
      <w:r>
        <w:lastRenderedPageBreak/>
        <w:t>T</w:t>
      </w:r>
      <w:r w:rsidR="005B2A20">
        <w:t>otal Resource Cost</w:t>
      </w:r>
      <w:r>
        <w:t xml:space="preserve"> Equation</w:t>
      </w:r>
      <w:bookmarkEnd w:id="18"/>
      <w:bookmarkEnd w:id="19"/>
      <w:bookmarkEnd w:id="20"/>
      <w:bookmarkEnd w:id="21"/>
    </w:p>
    <w:p w14:paraId="790AB037" w14:textId="66D3EC90" w:rsidR="001B5EAD" w:rsidRPr="00DB2ABA" w:rsidRDefault="001B5EAD" w:rsidP="001B5EAD">
      <w:pPr>
        <w:pStyle w:val="BodyText"/>
        <w:keepNext/>
      </w:pPr>
      <w:bookmarkStart w:id="22" w:name="_Toc441844532"/>
      <w:r w:rsidRPr="00DB2ABA">
        <w:t xml:space="preserve">Guidehouse used </w:t>
      </w:r>
      <w:r w:rsidRPr="00DB2ABA">
        <w:fldChar w:fldCharType="begin"/>
      </w:r>
      <w:r w:rsidRPr="00DB2ABA">
        <w:instrText xml:space="preserve"> REF _Ref73097012 \h </w:instrText>
      </w:r>
      <w:r w:rsidRPr="00DB2ABA">
        <w:fldChar w:fldCharType="separate"/>
      </w:r>
      <w:r w:rsidR="00427EE9" w:rsidRPr="002D421F">
        <w:t xml:space="preserve">Equation </w:t>
      </w:r>
      <w:r w:rsidR="00427EE9">
        <w:rPr>
          <w:noProof/>
        </w:rPr>
        <w:t>1</w:t>
      </w:r>
      <w:r w:rsidRPr="00DB2ABA">
        <w:fldChar w:fldCharType="end"/>
      </w:r>
      <w:r w:rsidRPr="00DB2ABA">
        <w:t xml:space="preserve"> to calculate the Illinois TRC.</w:t>
      </w:r>
    </w:p>
    <w:p w14:paraId="2A1734EE" w14:textId="0C681ABD" w:rsidR="001B5EAD" w:rsidRPr="002D421F" w:rsidRDefault="001B5EAD" w:rsidP="001B5EAD">
      <w:pPr>
        <w:pStyle w:val="Caption"/>
      </w:pPr>
      <w:bookmarkStart w:id="23" w:name="_Ref73097012"/>
      <w:bookmarkStart w:id="24" w:name="_Toc196905257"/>
      <w:r w:rsidRPr="002D421F">
        <w:t xml:space="preserve">Equation </w:t>
      </w:r>
      <w:r w:rsidR="00427EE9">
        <w:fldChar w:fldCharType="begin"/>
      </w:r>
      <w:r w:rsidR="00427EE9">
        <w:instrText xml:space="preserve"> SEQ Equation \* ARABIC </w:instrText>
      </w:r>
      <w:r w:rsidR="00427EE9">
        <w:fldChar w:fldCharType="separate"/>
      </w:r>
      <w:r w:rsidR="00427EE9">
        <w:rPr>
          <w:noProof/>
        </w:rPr>
        <w:t>1</w:t>
      </w:r>
      <w:r w:rsidR="00427EE9">
        <w:rPr>
          <w:noProof/>
        </w:rPr>
        <w:fldChar w:fldCharType="end"/>
      </w:r>
      <w:bookmarkEnd w:id="23"/>
      <w:r w:rsidRPr="002D421F">
        <w:t>. Illinois TRC</w:t>
      </w:r>
      <w:bookmarkEnd w:id="24"/>
    </w:p>
    <w:p w14:paraId="5756472E" w14:textId="77777777" w:rsidR="001B5EAD" w:rsidRPr="002D421F" w:rsidRDefault="001B5EAD" w:rsidP="001B5EAD">
      <w:pPr>
        <w:pStyle w:val="BodyText"/>
        <w:keepNext/>
        <w:jc w:val="center"/>
        <w:rPr>
          <w:i/>
        </w:rPr>
      </w:pPr>
      <w:r w:rsidRPr="002D421F">
        <w:rPr>
          <w:i/>
        </w:rPr>
        <w:t>BCR</w:t>
      </w:r>
      <w:r w:rsidRPr="002D421F">
        <w:rPr>
          <w:i/>
          <w:vertAlign w:val="subscript"/>
        </w:rPr>
        <w:t>ILTRC</w:t>
      </w:r>
      <w:r w:rsidRPr="002D421F">
        <w:rPr>
          <w:i/>
        </w:rPr>
        <w:tab/>
        <w:t>=</w:t>
      </w:r>
      <w:r w:rsidRPr="002D421F">
        <w:rPr>
          <w:i/>
        </w:rPr>
        <w:tab/>
        <w:t>B</w:t>
      </w:r>
      <w:r w:rsidRPr="002D421F">
        <w:rPr>
          <w:i/>
          <w:vertAlign w:val="subscript"/>
        </w:rPr>
        <w:t>ILTRC</w:t>
      </w:r>
      <w:r w:rsidRPr="002D421F">
        <w:rPr>
          <w:i/>
        </w:rPr>
        <w:t xml:space="preserve"> / C</w:t>
      </w:r>
      <w:r w:rsidRPr="002D421F">
        <w:rPr>
          <w:i/>
          <w:vertAlign w:val="subscript"/>
        </w:rPr>
        <w:t>ILTRC</w:t>
      </w:r>
    </w:p>
    <w:p w14:paraId="23F59CCF" w14:textId="2F586467" w:rsidR="001B5EAD" w:rsidRDefault="001B5EAD" w:rsidP="001B5EAD">
      <w:pPr>
        <w:pStyle w:val="BodyText"/>
      </w:pPr>
      <w:r>
        <w:t>Where</w:t>
      </w:r>
      <w:r w:rsidR="008D2872">
        <w:t>:</w:t>
      </w:r>
    </w:p>
    <w:p w14:paraId="208D76A9" w14:textId="77777777" w:rsidR="001B5EAD" w:rsidRDefault="001B5EAD" w:rsidP="001B5EAD">
      <w:pPr>
        <w:keepNext/>
      </w:pPr>
      <w:r w:rsidRPr="0026576D">
        <w:rPr>
          <w:b/>
        </w:rPr>
        <w:t>BCR</w:t>
      </w:r>
      <w:r w:rsidRPr="0026576D">
        <w:rPr>
          <w:b/>
          <w:i/>
          <w:vertAlign w:val="subscript"/>
        </w:rPr>
        <w:t>ILTRC</w:t>
      </w:r>
      <w:r>
        <w:tab/>
        <w:t>=</w:t>
      </w:r>
      <w:r>
        <w:tab/>
        <w:t xml:space="preserve">Benefit-cost ratio of the Illinois TRC test </w:t>
      </w:r>
    </w:p>
    <w:p w14:paraId="6E0DF37B" w14:textId="77777777" w:rsidR="001B5EAD" w:rsidRDefault="001B5EAD" w:rsidP="001B5EAD">
      <w:pPr>
        <w:keepNext/>
      </w:pPr>
      <w:r w:rsidRPr="0026576D">
        <w:rPr>
          <w:b/>
        </w:rPr>
        <w:t>B</w:t>
      </w:r>
      <w:r w:rsidRPr="0026576D">
        <w:rPr>
          <w:b/>
          <w:i/>
          <w:vertAlign w:val="subscript"/>
        </w:rPr>
        <w:t>ILTRC</w:t>
      </w:r>
      <w:r w:rsidRPr="0026576D">
        <w:rPr>
          <w:b/>
        </w:rPr>
        <w:tab/>
      </w:r>
      <w:r>
        <w:tab/>
        <w:t>=</w:t>
      </w:r>
      <w:r>
        <w:tab/>
        <w:t>Present value of benefits of an Illinois program or portfolio</w:t>
      </w:r>
    </w:p>
    <w:p w14:paraId="28429777" w14:textId="77777777" w:rsidR="001B5EAD" w:rsidRDefault="001B5EAD" w:rsidP="001B5EAD">
      <w:pPr>
        <w:pStyle w:val="BodyText"/>
      </w:pPr>
      <w:r w:rsidRPr="0026576D">
        <w:rPr>
          <w:b/>
        </w:rPr>
        <w:t>C</w:t>
      </w:r>
      <w:r w:rsidRPr="0026576D">
        <w:rPr>
          <w:b/>
          <w:i/>
          <w:vertAlign w:val="subscript"/>
        </w:rPr>
        <w:t>ILTRC</w:t>
      </w:r>
      <w:r>
        <w:tab/>
      </w:r>
      <w:r>
        <w:tab/>
        <w:t>=</w:t>
      </w:r>
      <w:r>
        <w:tab/>
        <w:t>Present value of costs of an Illinois program or portfolio</w:t>
      </w:r>
    </w:p>
    <w:p w14:paraId="1DB98BB8" w14:textId="1EC5D67A" w:rsidR="001B5EAD" w:rsidRPr="00FD10D7" w:rsidRDefault="008D2872" w:rsidP="001B5EAD">
      <w:pPr>
        <w:pStyle w:val="BodyText"/>
      </w:pPr>
      <w:r>
        <w:t>The evaluation team</w:t>
      </w:r>
      <w:r w:rsidR="001B5EAD">
        <w:t xml:space="preserve"> calculated the benefits of the Illinois TRC using </w:t>
      </w:r>
      <w:r w:rsidR="001B5EAD">
        <w:fldChar w:fldCharType="begin"/>
      </w:r>
      <w:r w:rsidR="001B5EAD">
        <w:instrText xml:space="preserve"> REF _Ref443666344 \h </w:instrText>
      </w:r>
      <w:r w:rsidR="001B5EAD">
        <w:fldChar w:fldCharType="separate"/>
      </w:r>
      <w:r w:rsidR="00427EE9">
        <w:t xml:space="preserve">Equation </w:t>
      </w:r>
      <w:r w:rsidR="00427EE9">
        <w:rPr>
          <w:noProof/>
        </w:rPr>
        <w:t>2</w:t>
      </w:r>
      <w:r w:rsidR="001B5EAD">
        <w:fldChar w:fldCharType="end"/>
      </w:r>
      <w:r>
        <w:t>.</w:t>
      </w:r>
    </w:p>
    <w:p w14:paraId="7231E35D" w14:textId="03788B58" w:rsidR="001B5EAD" w:rsidRPr="00893D83" w:rsidRDefault="001B5EAD" w:rsidP="001B5EAD">
      <w:pPr>
        <w:pStyle w:val="Caption"/>
      </w:pPr>
      <w:bookmarkStart w:id="25" w:name="_Ref443666344"/>
      <w:bookmarkStart w:id="26" w:name="_Ref443666339"/>
      <w:bookmarkStart w:id="27" w:name="_Toc196905258"/>
      <w:r>
        <w:t xml:space="preserve">Equation </w:t>
      </w:r>
      <w:r>
        <w:rPr>
          <w:noProof/>
        </w:rPr>
        <w:fldChar w:fldCharType="begin"/>
      </w:r>
      <w:r>
        <w:rPr>
          <w:noProof/>
        </w:rPr>
        <w:instrText xml:space="preserve"> SEQ Equation \* ARABIC </w:instrText>
      </w:r>
      <w:r>
        <w:rPr>
          <w:noProof/>
        </w:rPr>
        <w:fldChar w:fldCharType="separate"/>
      </w:r>
      <w:r w:rsidR="00427EE9">
        <w:rPr>
          <w:noProof/>
        </w:rPr>
        <w:t>2</w:t>
      </w:r>
      <w:r>
        <w:rPr>
          <w:noProof/>
        </w:rPr>
        <w:fldChar w:fldCharType="end"/>
      </w:r>
      <w:bookmarkEnd w:id="25"/>
      <w:r>
        <w:rPr>
          <w:noProof/>
        </w:rPr>
        <w:t>.</w:t>
      </w:r>
      <w:r>
        <w:t xml:space="preserve"> Illinois TRC Benefits</w:t>
      </w:r>
      <w:bookmarkEnd w:id="26"/>
      <w:bookmarkEnd w:id="27"/>
    </w:p>
    <w:p w14:paraId="7EEC5899" w14:textId="77777777" w:rsidR="001B5EAD" w:rsidRDefault="005459AB" w:rsidP="00C955CB">
      <w:pPr>
        <w:pStyle w:val="BodyText"/>
      </w:pPr>
      <m:oMathPara>
        <m:oMath>
          <m:sSub>
            <m:sSubPr>
              <m:ctrlPr>
                <w:rPr>
                  <w:rFonts w:ascii="Cambria Math" w:hAnsi="Cambria Math"/>
                </w:rPr>
              </m:ctrlPr>
            </m:sSubPr>
            <m:e>
              <m:r>
                <w:rPr>
                  <w:rFonts w:ascii="Cambria Math" w:hAnsi="Cambria Math"/>
                </w:rPr>
                <m:t>B</m:t>
              </m:r>
            </m:e>
            <m:sub>
              <m:r>
                <w:rPr>
                  <w:rFonts w:ascii="Cambria Math" w:hAnsi="Cambria Math"/>
                </w:rPr>
                <m:t>ILTRC</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UAEP</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UATD</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UAA</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EB</m:t>
                      </m:r>
                    </m:e>
                    <m:sub>
                      <m:r>
                        <w:rPr>
                          <w:rFonts w:ascii="Cambria Math" w:hAnsi="Cambria Math"/>
                        </w:rPr>
                        <m:t>t</m:t>
                      </m:r>
                    </m:sub>
                  </m:sSub>
                  <m:r>
                    <m:rPr>
                      <m:sty m:val="p"/>
                    </m:rPr>
                    <w:rPr>
                      <w:rFonts w:ascii="Cambria Math" w:hAnsi="Cambria Math"/>
                    </w:rPr>
                    <m:t>+</m:t>
                  </m:r>
                  <m:r>
                    <w:rPr>
                      <w:rFonts w:ascii="Cambria Math" w:hAnsi="Cambria Math"/>
                    </w:rPr>
                    <m:t>RC</m:t>
                  </m:r>
                  <m:r>
                    <m:rPr>
                      <m:sty m:val="p"/>
                    </m:rPr>
                    <w:rPr>
                      <w:rFonts w:ascii="Cambria Math" w:hAnsi="Cambria Math"/>
                    </w:rPr>
                    <m:t>+ S NEI</m:t>
                  </m:r>
                </m:num>
                <m:den>
                  <m:sSup>
                    <m:sSupPr>
                      <m:ctrlPr>
                        <w:rPr>
                          <w:rFonts w:ascii="Cambria Math" w:hAnsi="Cambria Math"/>
                        </w:rPr>
                      </m:ctrlPr>
                    </m:sSupPr>
                    <m:e>
                      <m:r>
                        <m:rPr>
                          <m:sty m:val="p"/>
                        </m:rPr>
                        <w:rPr>
                          <w:rFonts w:ascii="Cambria Math" w:hAnsi="Cambria Math"/>
                        </w:rPr>
                        <m:t>(1+</m:t>
                      </m:r>
                      <m:r>
                        <w:rPr>
                          <w:rFonts w:ascii="Cambria Math" w:hAnsi="Cambria Math"/>
                        </w:rPr>
                        <m:t>d</m:t>
                      </m:r>
                      <m:r>
                        <m:rPr>
                          <m:sty m:val="p"/>
                        </m:rPr>
                        <w:rPr>
                          <w:rFonts w:ascii="Cambria Math" w:hAnsi="Cambria Math"/>
                        </w:rPr>
                        <m:t>)</m:t>
                      </m:r>
                    </m:e>
                    <m:sup>
                      <m:r>
                        <w:rPr>
                          <w:rFonts w:ascii="Cambria Math" w:hAnsi="Cambria Math"/>
                        </w:rPr>
                        <m:t>t</m:t>
                      </m:r>
                      <m:r>
                        <m:rPr>
                          <m:sty m:val="p"/>
                        </m:rPr>
                        <w:rPr>
                          <w:rFonts w:ascii="Cambria Math" w:hAnsi="Cambria Math"/>
                        </w:rPr>
                        <m:t>-1</m:t>
                      </m:r>
                    </m:sup>
                  </m:sSup>
                </m:den>
              </m:f>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UAC</m:t>
                          </m:r>
                        </m:e>
                        <m:sub>
                          <m:r>
                            <w:rPr>
                              <w:rFonts w:ascii="Cambria Math" w:hAnsi="Cambria Math"/>
                            </w:rPr>
                            <m:t>at</m:t>
                          </m:r>
                        </m:sub>
                      </m:sSub>
                    </m:num>
                    <m:den>
                      <m:sSup>
                        <m:sSupPr>
                          <m:ctrlPr>
                            <w:rPr>
                              <w:rFonts w:ascii="Cambria Math" w:hAnsi="Cambria Math"/>
                            </w:rPr>
                          </m:ctrlPr>
                        </m:sSupPr>
                        <m:e>
                          <m:r>
                            <m:rPr>
                              <m:sty m:val="p"/>
                            </m:rPr>
                            <w:rPr>
                              <w:rFonts w:ascii="Cambria Math" w:hAnsi="Cambria Math"/>
                            </w:rPr>
                            <m:t>(1+</m:t>
                          </m:r>
                          <m:r>
                            <w:rPr>
                              <w:rFonts w:ascii="Cambria Math" w:hAnsi="Cambria Math"/>
                            </w:rPr>
                            <m:t>d</m:t>
                          </m:r>
                          <m:r>
                            <m:rPr>
                              <m:sty m:val="p"/>
                            </m:rPr>
                            <w:rPr>
                              <w:rFonts w:ascii="Cambria Math" w:hAnsi="Cambria Math"/>
                            </w:rPr>
                            <m:t>)</m:t>
                          </m:r>
                        </m:e>
                        <m:sup>
                          <m:r>
                            <w:rPr>
                              <w:rFonts w:ascii="Cambria Math" w:hAnsi="Cambria Math"/>
                            </w:rPr>
                            <m:t>t</m:t>
                          </m:r>
                          <m:r>
                            <m:rPr>
                              <m:sty m:val="p"/>
                            </m:rPr>
                            <w:rPr>
                              <w:rFonts w:ascii="Cambria Math" w:hAnsi="Cambria Math"/>
                            </w:rPr>
                            <m:t>-1</m:t>
                          </m:r>
                        </m:sup>
                      </m:sSup>
                    </m:den>
                  </m:f>
                </m:e>
              </m:nary>
            </m:e>
          </m:nary>
        </m:oMath>
      </m:oMathPara>
    </w:p>
    <w:p w14:paraId="4C0FE27D" w14:textId="63423DC4" w:rsidR="001B5EAD" w:rsidRDefault="008D2872" w:rsidP="001B5EAD">
      <w:pPr>
        <w:pStyle w:val="BodyText"/>
      </w:pPr>
      <w:r>
        <w:t>Guidehouse</w:t>
      </w:r>
      <w:r w:rsidR="001B5EAD">
        <w:t xml:space="preserve"> calculated the costs of the Illinois TRC using </w:t>
      </w:r>
      <w:r w:rsidR="001B5EAD">
        <w:fldChar w:fldCharType="begin"/>
      </w:r>
      <w:r w:rsidR="001B5EAD">
        <w:instrText xml:space="preserve"> REF _Ref443666392 \h </w:instrText>
      </w:r>
      <w:r w:rsidR="001B5EAD">
        <w:fldChar w:fldCharType="separate"/>
      </w:r>
      <w:r w:rsidR="00427EE9">
        <w:t xml:space="preserve">Equation </w:t>
      </w:r>
      <w:r w:rsidR="00427EE9">
        <w:rPr>
          <w:noProof/>
        </w:rPr>
        <w:t>3</w:t>
      </w:r>
      <w:r w:rsidR="001B5EAD">
        <w:fldChar w:fldCharType="end"/>
      </w:r>
      <w:r>
        <w:t>.</w:t>
      </w:r>
    </w:p>
    <w:p w14:paraId="1870A776" w14:textId="04868A74" w:rsidR="001B5EAD" w:rsidRDefault="001B5EAD" w:rsidP="001B5EAD">
      <w:pPr>
        <w:pStyle w:val="Caption"/>
      </w:pPr>
      <w:bookmarkStart w:id="28" w:name="_Ref443666392"/>
      <w:bookmarkStart w:id="29" w:name="_Toc196905259"/>
      <w:r>
        <w:t xml:space="preserve">Equation </w:t>
      </w:r>
      <w:r>
        <w:rPr>
          <w:noProof/>
        </w:rPr>
        <w:fldChar w:fldCharType="begin"/>
      </w:r>
      <w:r>
        <w:rPr>
          <w:noProof/>
        </w:rPr>
        <w:instrText xml:space="preserve"> SEQ Equation \* ARABIC </w:instrText>
      </w:r>
      <w:r>
        <w:rPr>
          <w:noProof/>
        </w:rPr>
        <w:fldChar w:fldCharType="separate"/>
      </w:r>
      <w:r w:rsidR="00427EE9">
        <w:rPr>
          <w:noProof/>
        </w:rPr>
        <w:t>3</w:t>
      </w:r>
      <w:r>
        <w:rPr>
          <w:noProof/>
        </w:rPr>
        <w:fldChar w:fldCharType="end"/>
      </w:r>
      <w:bookmarkEnd w:id="28"/>
      <w:r>
        <w:rPr>
          <w:noProof/>
        </w:rPr>
        <w:t>.</w:t>
      </w:r>
      <w:r>
        <w:t xml:space="preserve"> Illinois TRC Costs</w:t>
      </w:r>
      <w:bookmarkEnd w:id="29"/>
    </w:p>
    <w:p w14:paraId="34D5095F" w14:textId="77777777" w:rsidR="001B5EAD" w:rsidRDefault="005459AB" w:rsidP="001B5EAD">
      <w:pPr>
        <w:pStyle w:val="BodyText"/>
      </w:pPr>
      <m:oMathPara>
        <m:oMath>
          <m:sSub>
            <m:sSubPr>
              <m:ctrlPr>
                <w:rPr>
                  <w:rFonts w:ascii="Cambria Math" w:hAnsi="Cambria Math"/>
                </w:rPr>
              </m:ctrlPr>
            </m:sSubPr>
            <m:e>
              <m:r>
                <w:rPr>
                  <w:rFonts w:ascii="Cambria Math" w:hAnsi="Cambria Math"/>
                </w:rPr>
                <m:t>C</m:t>
              </m:r>
            </m:e>
            <m:sub>
              <m:r>
                <w:rPr>
                  <w:rFonts w:ascii="Cambria Math" w:hAnsi="Cambria Math"/>
                </w:rPr>
                <m:t>ILTRC</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PNIC</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IMCN</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UIC</m:t>
                      </m:r>
                    </m:e>
                    <m:sub>
                      <m:r>
                        <w:rPr>
                          <w:rFonts w:ascii="Cambria Math" w:hAnsi="Cambria Math"/>
                        </w:rPr>
                        <m:t>t</m:t>
                      </m:r>
                    </m:sub>
                  </m:sSub>
                </m:num>
                <m:den>
                  <m:sSup>
                    <m:sSupPr>
                      <m:ctrlPr>
                        <w:rPr>
                          <w:rFonts w:ascii="Cambria Math" w:hAnsi="Cambria Math"/>
                        </w:rPr>
                      </m:ctrlPr>
                    </m:sSupPr>
                    <m:e>
                      <m:r>
                        <m:rPr>
                          <m:sty m:val="p"/>
                        </m:rPr>
                        <w:rPr>
                          <w:rFonts w:ascii="Cambria Math" w:hAnsi="Cambria Math"/>
                        </w:rPr>
                        <m:t>(1+</m:t>
                      </m:r>
                      <m:r>
                        <w:rPr>
                          <w:rFonts w:ascii="Cambria Math" w:hAnsi="Cambria Math"/>
                        </w:rPr>
                        <m:t>d</m:t>
                      </m:r>
                      <m:r>
                        <m:rPr>
                          <m:sty m:val="p"/>
                        </m:rPr>
                        <w:rPr>
                          <w:rFonts w:ascii="Cambria Math" w:hAnsi="Cambria Math"/>
                        </w:rPr>
                        <m:t>)</m:t>
                      </m:r>
                    </m:e>
                    <m:sup>
                      <m:r>
                        <w:rPr>
                          <w:rFonts w:ascii="Cambria Math" w:hAnsi="Cambria Math"/>
                        </w:rPr>
                        <m:t>t</m:t>
                      </m:r>
                      <m:r>
                        <m:rPr>
                          <m:sty m:val="p"/>
                        </m:rPr>
                        <w:rPr>
                          <w:rFonts w:ascii="Cambria Math" w:hAnsi="Cambria Math"/>
                        </w:rPr>
                        <m:t>-1</m:t>
                      </m:r>
                    </m:sup>
                  </m:sSup>
                </m:den>
              </m:f>
            </m:e>
          </m:nary>
        </m:oMath>
      </m:oMathPara>
    </w:p>
    <w:p w14:paraId="6BD5617E" w14:textId="77777777" w:rsidR="001B5EAD" w:rsidRDefault="001B5EAD" w:rsidP="001B5EAD">
      <w:pPr>
        <w:pStyle w:val="BodyText"/>
      </w:pPr>
      <w:r>
        <w:t>Where benefits are defined as:</w:t>
      </w:r>
    </w:p>
    <w:p w14:paraId="740A12C2" w14:textId="77777777" w:rsidR="001B5EAD" w:rsidRPr="00B17014" w:rsidRDefault="001B5EAD" w:rsidP="000D1B04">
      <w:pPr>
        <w:tabs>
          <w:tab w:val="left" w:pos="990"/>
          <w:tab w:val="left" w:pos="1710"/>
        </w:tabs>
      </w:pPr>
      <w:proofErr w:type="spellStart"/>
      <w:r w:rsidRPr="00B17014">
        <w:t>UAEPt</w:t>
      </w:r>
      <w:proofErr w:type="spellEnd"/>
      <w:r w:rsidRPr="00B17014">
        <w:tab/>
        <w:t>=</w:t>
      </w:r>
      <w:r w:rsidRPr="00B17014">
        <w:tab/>
        <w:t>Utility avoided electric and capacity production costs in year t</w:t>
      </w:r>
    </w:p>
    <w:p w14:paraId="417EA393" w14:textId="78DCEA0F" w:rsidR="001B5EAD" w:rsidRPr="00B17014" w:rsidRDefault="001B5EAD" w:rsidP="000D1B04">
      <w:pPr>
        <w:tabs>
          <w:tab w:val="left" w:pos="990"/>
          <w:tab w:val="left" w:pos="1710"/>
        </w:tabs>
      </w:pPr>
      <w:proofErr w:type="spellStart"/>
      <w:r w:rsidRPr="00B17014">
        <w:t>UATDt</w:t>
      </w:r>
      <w:proofErr w:type="spellEnd"/>
      <w:r w:rsidRPr="00B17014">
        <w:tab/>
        <w:t>=</w:t>
      </w:r>
      <w:r w:rsidRPr="00B17014">
        <w:tab/>
        <w:t xml:space="preserve">Utility avoided transmission and distribution </w:t>
      </w:r>
      <w:r w:rsidR="00735CD8">
        <w:t xml:space="preserve">(T&amp;D) </w:t>
      </w:r>
      <w:r w:rsidRPr="00B17014">
        <w:t>costs in year t</w:t>
      </w:r>
    </w:p>
    <w:p w14:paraId="32560510" w14:textId="77777777" w:rsidR="001B5EAD" w:rsidRPr="00B17014" w:rsidRDefault="001B5EAD" w:rsidP="000D1B04">
      <w:pPr>
        <w:tabs>
          <w:tab w:val="left" w:pos="990"/>
          <w:tab w:val="left" w:pos="1710"/>
        </w:tabs>
      </w:pPr>
      <w:proofErr w:type="spellStart"/>
      <w:r w:rsidRPr="00B17014">
        <w:t>UAAt</w:t>
      </w:r>
      <w:proofErr w:type="spellEnd"/>
      <w:r w:rsidRPr="00B17014">
        <w:tab/>
        <w:t>=</w:t>
      </w:r>
      <w:r w:rsidRPr="00B17014">
        <w:tab/>
        <w:t>Utility avoided ancillary costs in year t</w:t>
      </w:r>
    </w:p>
    <w:p w14:paraId="290CF54E" w14:textId="20ADD3C1" w:rsidR="001B5EAD" w:rsidRPr="00B17014" w:rsidRDefault="001B5EAD" w:rsidP="000D1B04">
      <w:pPr>
        <w:tabs>
          <w:tab w:val="left" w:pos="990"/>
          <w:tab w:val="left" w:pos="1710"/>
        </w:tabs>
      </w:pPr>
      <w:proofErr w:type="spellStart"/>
      <w:r w:rsidRPr="00B17014">
        <w:t>EBt</w:t>
      </w:r>
      <w:proofErr w:type="spellEnd"/>
      <w:r w:rsidRPr="00B17014">
        <w:tab/>
        <w:t>=</w:t>
      </w:r>
      <w:r w:rsidRPr="00B17014">
        <w:tab/>
        <w:t xml:space="preserve">Environmental </w:t>
      </w:r>
      <w:r>
        <w:t>b</w:t>
      </w:r>
      <w:r w:rsidRPr="00B17014">
        <w:t>enefits in year t</w:t>
      </w:r>
    </w:p>
    <w:p w14:paraId="712B778B" w14:textId="77777777" w:rsidR="001B5EAD" w:rsidRPr="00B17014" w:rsidRDefault="001B5EAD" w:rsidP="000D1B04">
      <w:pPr>
        <w:tabs>
          <w:tab w:val="left" w:pos="990"/>
          <w:tab w:val="left" w:pos="1710"/>
        </w:tabs>
      </w:pPr>
      <w:r w:rsidRPr="00B17014">
        <w:t>UACat</w:t>
      </w:r>
      <w:r w:rsidRPr="00B17014">
        <w:tab/>
        <w:t>=</w:t>
      </w:r>
      <w:r w:rsidRPr="00B17014">
        <w:tab/>
        <w:t>Utility avoided supply costs for the alternate fuel in year t</w:t>
      </w:r>
    </w:p>
    <w:p w14:paraId="2B95F0E8" w14:textId="6B5C5013" w:rsidR="001B5EAD" w:rsidRPr="00B17014" w:rsidRDefault="001B5EAD" w:rsidP="000D1B04">
      <w:pPr>
        <w:tabs>
          <w:tab w:val="left" w:pos="990"/>
          <w:tab w:val="left" w:pos="1710"/>
        </w:tabs>
      </w:pPr>
      <w:r w:rsidRPr="00B17014">
        <w:t>RC</w:t>
      </w:r>
      <w:r w:rsidRPr="00B17014">
        <w:tab/>
        <w:t>=</w:t>
      </w:r>
      <w:r w:rsidRPr="00B17014">
        <w:tab/>
      </w:r>
      <w:r>
        <w:t>N</w:t>
      </w:r>
      <w:r w:rsidRPr="00482B9A">
        <w:t>et present value (</w:t>
      </w:r>
      <w:r w:rsidRPr="00B17014">
        <w:t>NPV</w:t>
      </w:r>
      <w:r>
        <w:t>)</w:t>
      </w:r>
      <w:r w:rsidRPr="00B17014">
        <w:t xml:space="preserve"> of replacement costs of </w:t>
      </w:r>
      <w:r w:rsidR="00CF4836">
        <w:t>baseline bulbs</w:t>
      </w:r>
    </w:p>
    <w:p w14:paraId="4DFA1220" w14:textId="0B001617" w:rsidR="00483985" w:rsidRPr="00483985" w:rsidRDefault="001B5EAD" w:rsidP="000D1B04">
      <w:pPr>
        <w:tabs>
          <w:tab w:val="left" w:pos="990"/>
          <w:tab w:val="left" w:pos="1710"/>
        </w:tabs>
      </w:pPr>
      <w:r>
        <w:t xml:space="preserve">S </w:t>
      </w:r>
      <w:r w:rsidRPr="00B17014">
        <w:t xml:space="preserve">NEI </w:t>
      </w:r>
      <w:r w:rsidRPr="00B17014">
        <w:tab/>
        <w:t>=</w:t>
      </w:r>
      <w:r w:rsidR="00483985" w:rsidRPr="00483985">
        <w:tab/>
      </w:r>
      <w:r w:rsidRPr="00B17014">
        <w:t xml:space="preserve">NPV </w:t>
      </w:r>
      <w:r>
        <w:t>s</w:t>
      </w:r>
      <w:r w:rsidRPr="00B17014">
        <w:t xml:space="preserve">ocietal </w:t>
      </w:r>
      <w:r>
        <w:t>NEI</w:t>
      </w:r>
      <w:r w:rsidRPr="00B17014">
        <w:t xml:space="preserve"> benefit</w:t>
      </w:r>
    </w:p>
    <w:p w14:paraId="75226C63" w14:textId="77777777" w:rsidR="0048400A" w:rsidRDefault="0048400A" w:rsidP="0048400A"/>
    <w:p w14:paraId="3EEE79A9" w14:textId="10826326" w:rsidR="001B5EAD" w:rsidRPr="00B17014" w:rsidRDefault="001B5EAD" w:rsidP="0048400A">
      <w:r w:rsidRPr="00307330">
        <w:t>And costs are defined as:</w:t>
      </w:r>
    </w:p>
    <w:p w14:paraId="7D37DFAA" w14:textId="77777777" w:rsidR="0048400A" w:rsidRPr="00B17014" w:rsidRDefault="0048400A" w:rsidP="0048400A"/>
    <w:p w14:paraId="3FFE6CB6" w14:textId="77777777" w:rsidR="009920A3" w:rsidRPr="00483985" w:rsidRDefault="001B5EAD" w:rsidP="009920A3">
      <w:pPr>
        <w:tabs>
          <w:tab w:val="left" w:pos="990"/>
          <w:tab w:val="left" w:pos="1710"/>
        </w:tabs>
      </w:pPr>
      <w:proofErr w:type="spellStart"/>
      <w:r w:rsidRPr="00B17014">
        <w:rPr>
          <w:rFonts w:cs="Arial"/>
          <w:szCs w:val="22"/>
        </w:rPr>
        <w:t>PNICt</w:t>
      </w:r>
      <w:proofErr w:type="spellEnd"/>
      <w:r w:rsidRPr="00B17014">
        <w:rPr>
          <w:rFonts w:cs="Arial"/>
          <w:szCs w:val="22"/>
        </w:rPr>
        <w:t xml:space="preserve"> </w:t>
      </w:r>
      <w:r w:rsidRPr="00B17014">
        <w:rPr>
          <w:rFonts w:cs="Arial"/>
          <w:szCs w:val="22"/>
        </w:rPr>
        <w:tab/>
        <w:t>=</w:t>
      </w:r>
      <w:r w:rsidRPr="00B17014">
        <w:rPr>
          <w:rFonts w:cs="Arial"/>
          <w:szCs w:val="22"/>
        </w:rPr>
        <w:tab/>
        <w:t xml:space="preserve">Program </w:t>
      </w:r>
      <w:r>
        <w:rPr>
          <w:rFonts w:cs="Arial"/>
          <w:szCs w:val="22"/>
        </w:rPr>
        <w:t>n</w:t>
      </w:r>
      <w:r w:rsidRPr="00B17014">
        <w:rPr>
          <w:rFonts w:cs="Arial"/>
          <w:szCs w:val="22"/>
        </w:rPr>
        <w:t>on-</w:t>
      </w:r>
      <w:r>
        <w:rPr>
          <w:rFonts w:cs="Arial"/>
          <w:szCs w:val="22"/>
        </w:rPr>
        <w:t>i</w:t>
      </w:r>
      <w:r w:rsidRPr="00B17014">
        <w:rPr>
          <w:rFonts w:cs="Arial"/>
          <w:szCs w:val="22"/>
        </w:rPr>
        <w:t>ncentive costs in year t</w:t>
      </w:r>
    </w:p>
    <w:p w14:paraId="6B04101B" w14:textId="77777777" w:rsidR="001B5EAD" w:rsidRPr="00483985" w:rsidRDefault="001B5EAD" w:rsidP="009920A3">
      <w:pPr>
        <w:tabs>
          <w:tab w:val="left" w:pos="990"/>
          <w:tab w:val="left" w:pos="1710"/>
        </w:tabs>
      </w:pPr>
      <w:proofErr w:type="spellStart"/>
      <w:r w:rsidRPr="00B17014">
        <w:rPr>
          <w:rFonts w:cs="Arial"/>
          <w:szCs w:val="22"/>
        </w:rPr>
        <w:t>IMCNt</w:t>
      </w:r>
      <w:proofErr w:type="spellEnd"/>
      <w:r w:rsidRPr="00B17014">
        <w:rPr>
          <w:rFonts w:cs="Arial"/>
          <w:szCs w:val="22"/>
        </w:rPr>
        <w:t xml:space="preserve"> </w:t>
      </w:r>
      <w:r w:rsidRPr="00B17014">
        <w:rPr>
          <w:rFonts w:cs="Arial"/>
          <w:szCs w:val="22"/>
        </w:rPr>
        <w:tab/>
        <w:t>=</w:t>
      </w:r>
      <w:r w:rsidRPr="00B17014">
        <w:rPr>
          <w:rFonts w:cs="Arial"/>
          <w:szCs w:val="22"/>
        </w:rPr>
        <w:tab/>
        <w:t xml:space="preserve">Net </w:t>
      </w:r>
      <w:r>
        <w:rPr>
          <w:rFonts w:cs="Arial"/>
          <w:szCs w:val="22"/>
        </w:rPr>
        <w:t>i</w:t>
      </w:r>
      <w:r w:rsidRPr="00B17014">
        <w:rPr>
          <w:rFonts w:cs="Arial"/>
          <w:szCs w:val="22"/>
        </w:rPr>
        <w:t>ncremental costs in year t</w:t>
      </w:r>
    </w:p>
    <w:p w14:paraId="338F81D3" w14:textId="77777777" w:rsidR="001B5EAD" w:rsidRPr="00B17014" w:rsidRDefault="001B5EAD" w:rsidP="009920A3">
      <w:pPr>
        <w:tabs>
          <w:tab w:val="left" w:pos="990"/>
          <w:tab w:val="left" w:pos="1710"/>
        </w:tabs>
      </w:pPr>
      <w:proofErr w:type="spellStart"/>
      <w:r w:rsidRPr="00B17014">
        <w:t>UICt</w:t>
      </w:r>
      <w:proofErr w:type="spellEnd"/>
      <w:r w:rsidRPr="00B17014">
        <w:tab/>
        <w:t>=</w:t>
      </w:r>
      <w:r w:rsidR="00F73C72" w:rsidRPr="00B17014">
        <w:rPr>
          <w:rFonts w:cs="Arial"/>
          <w:szCs w:val="22"/>
        </w:rPr>
        <w:tab/>
      </w:r>
      <w:r w:rsidRPr="00B17014">
        <w:t>Utility increased supply costs in year t</w:t>
      </w:r>
    </w:p>
    <w:p w14:paraId="0F5FD96A" w14:textId="69FA6991" w:rsidR="001B5EAD" w:rsidRPr="00307330" w:rsidRDefault="001B5EAD" w:rsidP="005679F3">
      <w:pPr>
        <w:pStyle w:val="BodyText"/>
        <w:spacing w:before="240"/>
      </w:pPr>
      <w:r w:rsidRPr="00307330">
        <w:t>And:</w:t>
      </w:r>
    </w:p>
    <w:p w14:paraId="17C381CC" w14:textId="3211AFAF" w:rsidR="00A82916" w:rsidRPr="00483985" w:rsidRDefault="001B5EAD" w:rsidP="00A82916">
      <w:pPr>
        <w:tabs>
          <w:tab w:val="left" w:pos="990"/>
          <w:tab w:val="left" w:pos="1710"/>
        </w:tabs>
      </w:pPr>
      <w:r w:rsidRPr="00B17014">
        <w:t>d</w:t>
      </w:r>
      <w:r w:rsidRPr="00B17014">
        <w:tab/>
        <w:t>=</w:t>
      </w:r>
      <w:r w:rsidR="007E17C2" w:rsidRPr="00B17014">
        <w:tab/>
      </w:r>
      <w:r w:rsidRPr="00B17014">
        <w:t>Societal discount rate</w:t>
      </w:r>
    </w:p>
    <w:p w14:paraId="71903B8A" w14:textId="37C8C84C" w:rsidR="001B5EAD" w:rsidRDefault="001B5EAD" w:rsidP="00973DC8">
      <w:pPr>
        <w:pStyle w:val="BodyText"/>
        <w:spacing w:before="240"/>
      </w:pPr>
      <w:r>
        <w:t xml:space="preserve">The Illinois TRC test </w:t>
      </w:r>
      <w:proofErr w:type="gramStart"/>
      <w:r>
        <w:t>allows for</w:t>
      </w:r>
      <w:proofErr w:type="gramEnd"/>
      <w:r>
        <w:t xml:space="preserve"> utilities to account for the NPV of the avoided cost of purchasing </w:t>
      </w:r>
      <w:r w:rsidR="00DC4FD0">
        <w:t xml:space="preserve">shorter lifetime </w:t>
      </w:r>
      <w:r w:rsidRPr="009D02A6">
        <w:t>bulbs</w:t>
      </w:r>
      <w:r>
        <w:t>,</w:t>
      </w:r>
      <w:r w:rsidRPr="009D02A6">
        <w:t xml:space="preserve"> </w:t>
      </w:r>
      <w:r>
        <w:t>which</w:t>
      </w:r>
      <w:r w:rsidRPr="009D02A6">
        <w:t xml:space="preserve"> accrue to program participants because of the significantly longer </w:t>
      </w:r>
      <w:r w:rsidRPr="009D02A6">
        <w:lastRenderedPageBreak/>
        <w:t>lifetimes of efficient LED light bulbs.</w:t>
      </w:r>
      <w:r>
        <w:t xml:space="preserve"> In general, the avoided cost per bulb is determined by comparing the estimated useful life of efficient and baseline bulbs to determine the number of baseline bulb purchases that are avoided. Based on the average purchase price of baseline bulbs, NPV is determined by discounting the value of these avoided purchases over the course of the lifetime of the efficient bulb. </w:t>
      </w:r>
      <w:r w:rsidRPr="00F06835">
        <w:t>Illinois Technical Reference Manual v</w:t>
      </w:r>
      <w:r w:rsidR="00072549">
        <w:t xml:space="preserve">ersion </w:t>
      </w:r>
      <w:r w:rsidR="004761AD">
        <w:t>1</w:t>
      </w:r>
      <w:r w:rsidR="5ACE7A52">
        <w:t>2</w:t>
      </w:r>
      <w:r w:rsidRPr="00F06835">
        <w:t>.0 (</w:t>
      </w:r>
      <w:r w:rsidR="00072549">
        <w:t xml:space="preserve">IL </w:t>
      </w:r>
      <w:r w:rsidRPr="00F06835">
        <w:t xml:space="preserve">TRM </w:t>
      </w:r>
      <w:r w:rsidR="60CBB78A">
        <w:t>v12</w:t>
      </w:r>
      <w:r w:rsidRPr="00F06835">
        <w:t>.0)</w:t>
      </w:r>
      <w:r>
        <w:t xml:space="preserve"> provides deemed NPVs per bulb based on efficient bulb type, socket type (commercial or residential), and lumen range. These benefits were included in the program calculations.</w:t>
      </w:r>
    </w:p>
    <w:p w14:paraId="2BF77728" w14:textId="00740E4E" w:rsidR="009F3428" w:rsidRDefault="00CF6549" w:rsidP="001B5EAD">
      <w:pPr>
        <w:pStyle w:val="BodyText"/>
      </w:pPr>
      <w:r>
        <w:t xml:space="preserve">Policy Manual </w:t>
      </w:r>
      <w:r w:rsidR="00F85DBB">
        <w:t xml:space="preserve">Version </w:t>
      </w:r>
      <w:r w:rsidR="00A242C3">
        <w:t>3</w:t>
      </w:r>
      <w:r w:rsidR="0061380C">
        <w:t>.0</w:t>
      </w:r>
      <w:r w:rsidR="00B3092C">
        <w:rPr>
          <w:rStyle w:val="FootnoteReference"/>
        </w:rPr>
        <w:footnoteReference w:id="4"/>
      </w:r>
      <w:r w:rsidR="000C74B3">
        <w:t xml:space="preserve"> </w:t>
      </w:r>
      <w:r w:rsidR="00F06426">
        <w:t>asserts that negative avoided cost</w:t>
      </w:r>
      <w:r w:rsidR="001A016F">
        <w:t>s</w:t>
      </w:r>
      <w:r w:rsidR="009D720A">
        <w:t xml:space="preserve"> (accrued through electrification or other impacts) be treated as</w:t>
      </w:r>
      <w:r w:rsidR="00FF426B">
        <w:t xml:space="preserve"> </w:t>
      </w:r>
      <w:r w:rsidR="00DD3402">
        <w:t xml:space="preserve">increases in </w:t>
      </w:r>
      <w:r w:rsidR="004836FC">
        <w:t xml:space="preserve">TRC </w:t>
      </w:r>
      <w:r w:rsidR="00E8470D">
        <w:t xml:space="preserve">costs rather than decreases in TRC benefits, as was previously </w:t>
      </w:r>
      <w:r w:rsidR="00880A20">
        <w:t xml:space="preserve">treated. </w:t>
      </w:r>
      <w:r w:rsidR="00197BC3" w:rsidRPr="002D421F">
        <w:t>Addi</w:t>
      </w:r>
      <w:r w:rsidR="002D421F">
        <w:t>ti</w:t>
      </w:r>
      <w:r w:rsidR="00197BC3" w:rsidRPr="002D421F">
        <w:t>onally</w:t>
      </w:r>
      <w:r w:rsidR="00197BC3">
        <w:t xml:space="preserve">, </w:t>
      </w:r>
      <w:r w:rsidR="00F71624">
        <w:t xml:space="preserve">electricity avoided cost impacts (energy and demand) </w:t>
      </w:r>
      <w:r w:rsidR="004D74EC">
        <w:t xml:space="preserve">are grouped to create a net </w:t>
      </w:r>
      <w:r w:rsidR="00896C6D">
        <w:t>cost change due to electricity</w:t>
      </w:r>
      <w:r w:rsidR="008D17E3">
        <w:t xml:space="preserve">. These updates are reflected in the TRC </w:t>
      </w:r>
      <w:r w:rsidR="005E2FBA">
        <w:t xml:space="preserve">ratios and </w:t>
      </w:r>
      <w:r w:rsidR="00D30737">
        <w:t>report tables.</w:t>
      </w:r>
    </w:p>
    <w:p w14:paraId="45491D56" w14:textId="27538ADF" w:rsidR="001B5EAD" w:rsidRDefault="001B5EAD" w:rsidP="001B5EAD">
      <w:pPr>
        <w:pStyle w:val="Heading2"/>
        <w:ind w:left="360" w:hanging="360"/>
      </w:pPr>
      <w:bookmarkStart w:id="30" w:name="_Toc508267201"/>
      <w:bookmarkStart w:id="31" w:name="_Toc196925660"/>
      <w:r>
        <w:t>U</w:t>
      </w:r>
      <w:r w:rsidR="005459AB">
        <w:t>tility Cost Test</w:t>
      </w:r>
      <w:r>
        <w:t xml:space="preserve"> Equation</w:t>
      </w:r>
      <w:bookmarkEnd w:id="22"/>
      <w:bookmarkEnd w:id="30"/>
      <w:bookmarkEnd w:id="31"/>
    </w:p>
    <w:p w14:paraId="20F73DFE" w14:textId="2A27C1D4" w:rsidR="001B5EAD" w:rsidRDefault="001B5EAD" w:rsidP="001B5EAD">
      <w:pPr>
        <w:pStyle w:val="BodyText"/>
      </w:pPr>
      <w:r>
        <w:t xml:space="preserve">The </w:t>
      </w:r>
      <w:r w:rsidR="00606E6E">
        <w:t>Utility Cost Test (</w:t>
      </w:r>
      <w:r>
        <w:t>UCT</w:t>
      </w:r>
      <w:r w:rsidR="00606E6E">
        <w:t>)</w:t>
      </w:r>
      <w:r>
        <w:t xml:space="preserve"> approaches cost-effectiveness from the perspective of the utility, in this case ComEd. The UCT determines whether the energy supply and capacity costs avoided by the utility exceed the overhead and cost outlays that the utility incurred to implement energy efficiency programs. The structure of the calculation is </w:t>
      </w:r>
      <w:proofErr w:type="gramStart"/>
      <w:r>
        <w:t>similar to</w:t>
      </w:r>
      <w:proofErr w:type="gramEnd"/>
      <w:r>
        <w:t xml:space="preserve"> the Illinois TRC with a few key changes. </w:t>
      </w:r>
      <w:r w:rsidR="007532D9">
        <w:t>As</w:t>
      </w:r>
      <w:r>
        <w:t xml:space="preserve"> the UCT is primarily focused on utility outlays, incentives paid by the utility to either participants or third-party implementers are included in </w:t>
      </w:r>
      <w:r w:rsidRPr="00B17014">
        <w:t>the</w:t>
      </w:r>
      <w:r>
        <w:t xml:space="preserve"> calculation in place of incremental or participant costs. Additionally, </w:t>
      </w:r>
      <w:r w:rsidR="00151DE8">
        <w:t>as</w:t>
      </w:r>
      <w:r>
        <w:t xml:space="preserve"> non-energy benefits accrue to society rather than to the utility implementing energy efficiency programs, these benefits are not included in the UCT formula. </w:t>
      </w:r>
      <w:r w:rsidR="001F0798">
        <w:t xml:space="preserve">The UCT, however, </w:t>
      </w:r>
      <w:r w:rsidR="00DE5734">
        <w:t>accounts for</w:t>
      </w:r>
      <w:r w:rsidR="001F0798">
        <w:t xml:space="preserve"> </w:t>
      </w:r>
      <w:r w:rsidR="001F0798" w:rsidRPr="001F0798">
        <w:t>water benefits defined in the IL TRM</w:t>
      </w:r>
      <w:r w:rsidR="00B338CE">
        <w:t>.</w:t>
      </w:r>
    </w:p>
    <w:p w14:paraId="4811F345" w14:textId="7A97BBAA" w:rsidR="001B5EAD" w:rsidRDefault="001B5EAD" w:rsidP="001B5EAD">
      <w:pPr>
        <w:pStyle w:val="BodyText"/>
      </w:pPr>
      <w:r>
        <w:t xml:space="preserve">Using the equation terms previously defined for the Illinois TRC equation, </w:t>
      </w:r>
      <w:r w:rsidR="00961E10">
        <w:fldChar w:fldCharType="begin"/>
      </w:r>
      <w:r w:rsidR="00961E10">
        <w:instrText xml:space="preserve"> REF _Ref168309089 \h </w:instrText>
      </w:r>
      <w:r w:rsidR="00961E10">
        <w:fldChar w:fldCharType="separate"/>
      </w:r>
      <w:r w:rsidR="00427EE9" w:rsidRPr="002D421F">
        <w:t xml:space="preserve">Equation </w:t>
      </w:r>
      <w:r w:rsidR="00427EE9">
        <w:rPr>
          <w:noProof/>
        </w:rPr>
        <w:t>4</w:t>
      </w:r>
      <w:r w:rsidR="00961E10">
        <w:fldChar w:fldCharType="end"/>
      </w:r>
      <w:r w:rsidR="00961E10">
        <w:t xml:space="preserve"> </w:t>
      </w:r>
      <w:r w:rsidR="00425AC5">
        <w:t xml:space="preserve">shows </w:t>
      </w:r>
      <w:r>
        <w:t>the UCT equation</w:t>
      </w:r>
      <w:r w:rsidR="005C4E8A">
        <w:t>.</w:t>
      </w:r>
    </w:p>
    <w:p w14:paraId="73AE682B" w14:textId="6E164094" w:rsidR="001B5EAD" w:rsidRPr="002D421F" w:rsidRDefault="001B5EAD" w:rsidP="001B5EAD">
      <w:pPr>
        <w:pStyle w:val="Caption"/>
      </w:pPr>
      <w:bookmarkStart w:id="32" w:name="_Ref168309089"/>
      <w:bookmarkStart w:id="33" w:name="_Toc196905260"/>
      <w:r w:rsidRPr="002D421F">
        <w:t xml:space="preserve">Equation </w:t>
      </w:r>
      <w:r w:rsidR="00427EE9">
        <w:fldChar w:fldCharType="begin"/>
      </w:r>
      <w:r w:rsidR="00427EE9">
        <w:instrText xml:space="preserve"> SEQ Equation \* ARABIC </w:instrText>
      </w:r>
      <w:r w:rsidR="00427EE9">
        <w:fldChar w:fldCharType="separate"/>
      </w:r>
      <w:r w:rsidR="00427EE9">
        <w:rPr>
          <w:noProof/>
        </w:rPr>
        <w:t>4</w:t>
      </w:r>
      <w:r w:rsidR="00427EE9">
        <w:rPr>
          <w:noProof/>
        </w:rPr>
        <w:fldChar w:fldCharType="end"/>
      </w:r>
      <w:bookmarkEnd w:id="32"/>
      <w:r w:rsidRPr="002D421F">
        <w:t>. UCT</w:t>
      </w:r>
      <w:bookmarkEnd w:id="33"/>
    </w:p>
    <w:p w14:paraId="04DF2C1E" w14:textId="77777777" w:rsidR="001B5EAD" w:rsidRPr="002D421F" w:rsidRDefault="001B5EAD" w:rsidP="001B5EAD">
      <w:pPr>
        <w:pStyle w:val="BodyText"/>
        <w:jc w:val="center"/>
        <w:rPr>
          <w:i/>
        </w:rPr>
      </w:pPr>
      <w:r w:rsidRPr="002D421F">
        <w:rPr>
          <w:i/>
        </w:rPr>
        <w:t>BCR</w:t>
      </w:r>
      <w:r w:rsidRPr="002D421F">
        <w:rPr>
          <w:i/>
          <w:vertAlign w:val="subscript"/>
        </w:rPr>
        <w:t>UCT</w:t>
      </w:r>
      <w:r w:rsidRPr="002D421F">
        <w:rPr>
          <w:i/>
        </w:rPr>
        <w:tab/>
        <w:t>=</w:t>
      </w:r>
      <w:r w:rsidRPr="002D421F">
        <w:rPr>
          <w:i/>
        </w:rPr>
        <w:tab/>
        <w:t>B</w:t>
      </w:r>
      <w:r w:rsidRPr="002D421F">
        <w:rPr>
          <w:i/>
          <w:vertAlign w:val="subscript"/>
        </w:rPr>
        <w:t>UCT</w:t>
      </w:r>
      <w:r w:rsidRPr="002D421F">
        <w:rPr>
          <w:i/>
        </w:rPr>
        <w:t xml:space="preserve"> / C</w:t>
      </w:r>
      <w:r w:rsidRPr="002D421F">
        <w:rPr>
          <w:i/>
          <w:vertAlign w:val="subscript"/>
        </w:rPr>
        <w:t>UCT</w:t>
      </w:r>
    </w:p>
    <w:p w14:paraId="00AC1CFF" w14:textId="783F9C04" w:rsidR="001B5EAD" w:rsidRDefault="001B5EAD" w:rsidP="001B5EAD">
      <w:pPr>
        <w:pStyle w:val="BodyText"/>
      </w:pPr>
      <w:r>
        <w:t>Where</w:t>
      </w:r>
      <w:r w:rsidR="005C4E8A">
        <w:t>:</w:t>
      </w:r>
    </w:p>
    <w:p w14:paraId="65E1088C" w14:textId="77777777" w:rsidR="001B5EAD" w:rsidRDefault="001B5EAD" w:rsidP="001B5EAD">
      <w:pPr>
        <w:keepNext/>
      </w:pPr>
      <w:r w:rsidRPr="0026576D">
        <w:rPr>
          <w:b/>
        </w:rPr>
        <w:t>BCR</w:t>
      </w:r>
      <w:r>
        <w:rPr>
          <w:b/>
          <w:i/>
          <w:vertAlign w:val="subscript"/>
        </w:rPr>
        <w:t>UCT</w:t>
      </w:r>
      <w:r>
        <w:rPr>
          <w:b/>
          <w:i/>
          <w:vertAlign w:val="subscript"/>
        </w:rPr>
        <w:tab/>
      </w:r>
      <w:r>
        <w:t>=</w:t>
      </w:r>
      <w:r>
        <w:tab/>
        <w:t xml:space="preserve">Benefit-cost ratio of the UCT </w:t>
      </w:r>
    </w:p>
    <w:p w14:paraId="0511DF9F" w14:textId="77777777" w:rsidR="001B5EAD" w:rsidRDefault="001B5EAD" w:rsidP="001B5EAD">
      <w:r w:rsidRPr="0026576D">
        <w:rPr>
          <w:b/>
        </w:rPr>
        <w:t>B</w:t>
      </w:r>
      <w:r>
        <w:rPr>
          <w:b/>
          <w:i/>
          <w:vertAlign w:val="subscript"/>
        </w:rPr>
        <w:t>UCT</w:t>
      </w:r>
      <w:r w:rsidRPr="0026576D">
        <w:rPr>
          <w:b/>
        </w:rPr>
        <w:tab/>
      </w:r>
      <w:r>
        <w:tab/>
        <w:t>=</w:t>
      </w:r>
      <w:r>
        <w:tab/>
        <w:t>Present value of benefits to a utility of a program or portfolio</w:t>
      </w:r>
    </w:p>
    <w:p w14:paraId="19BC7FE6" w14:textId="77777777" w:rsidR="001B5EAD" w:rsidRDefault="001B5EAD" w:rsidP="001B5EAD">
      <w:pPr>
        <w:pStyle w:val="BodyText"/>
      </w:pPr>
      <w:r w:rsidRPr="0026576D">
        <w:rPr>
          <w:b/>
        </w:rPr>
        <w:t>C</w:t>
      </w:r>
      <w:r>
        <w:rPr>
          <w:b/>
          <w:i/>
          <w:vertAlign w:val="subscript"/>
        </w:rPr>
        <w:t>UCT</w:t>
      </w:r>
      <w:r>
        <w:tab/>
      </w:r>
      <w:r>
        <w:tab/>
        <w:t>=</w:t>
      </w:r>
      <w:r>
        <w:tab/>
        <w:t>Present value of costs to a utility of a program or portfolio</w:t>
      </w:r>
    </w:p>
    <w:p w14:paraId="6F8369AD" w14:textId="3FB11946" w:rsidR="001B5EAD" w:rsidRPr="00E719C4" w:rsidRDefault="001B5EAD" w:rsidP="001B5EAD">
      <w:pPr>
        <w:pStyle w:val="BodyText"/>
        <w:rPr>
          <w:b/>
        </w:rPr>
      </w:pPr>
      <w:r>
        <w:t xml:space="preserve">The benefits of the UCT are calculated using </w:t>
      </w:r>
      <w:r>
        <w:fldChar w:fldCharType="begin"/>
      </w:r>
      <w:r>
        <w:instrText xml:space="preserve"> REF _Ref73098056 \h </w:instrText>
      </w:r>
      <w:r>
        <w:fldChar w:fldCharType="separate"/>
      </w:r>
      <w:r w:rsidR="00427EE9">
        <w:t xml:space="preserve">Equation </w:t>
      </w:r>
      <w:r w:rsidR="00427EE9">
        <w:rPr>
          <w:noProof/>
        </w:rPr>
        <w:t>5</w:t>
      </w:r>
      <w:r>
        <w:fldChar w:fldCharType="end"/>
      </w:r>
      <w:r w:rsidR="00272617">
        <w:t>.</w:t>
      </w:r>
    </w:p>
    <w:p w14:paraId="1F7A0ADC" w14:textId="3D5E22FE" w:rsidR="001B5EAD" w:rsidRPr="00893D83" w:rsidRDefault="001B5EAD" w:rsidP="001B5EAD">
      <w:pPr>
        <w:pStyle w:val="Caption"/>
      </w:pPr>
      <w:bookmarkStart w:id="34" w:name="_Ref73098056"/>
      <w:bookmarkStart w:id="35" w:name="_Toc196905261"/>
      <w:r>
        <w:t xml:space="preserve">Equation </w:t>
      </w:r>
      <w:r>
        <w:rPr>
          <w:noProof/>
        </w:rPr>
        <w:fldChar w:fldCharType="begin"/>
      </w:r>
      <w:r>
        <w:rPr>
          <w:noProof/>
        </w:rPr>
        <w:instrText xml:space="preserve"> SEQ Equation \* ARABIC </w:instrText>
      </w:r>
      <w:r>
        <w:rPr>
          <w:noProof/>
        </w:rPr>
        <w:fldChar w:fldCharType="separate"/>
      </w:r>
      <w:r w:rsidR="00427EE9">
        <w:rPr>
          <w:noProof/>
        </w:rPr>
        <w:t>5</w:t>
      </w:r>
      <w:r>
        <w:rPr>
          <w:noProof/>
        </w:rPr>
        <w:fldChar w:fldCharType="end"/>
      </w:r>
      <w:bookmarkEnd w:id="34"/>
      <w:r>
        <w:rPr>
          <w:noProof/>
        </w:rPr>
        <w:t>.</w:t>
      </w:r>
      <w:r>
        <w:t xml:space="preserve"> UCT Benefits</w:t>
      </w:r>
      <w:bookmarkEnd w:id="35"/>
    </w:p>
    <w:p w14:paraId="27FF5AE3" w14:textId="77777777" w:rsidR="001B5EAD" w:rsidRPr="00B17014" w:rsidRDefault="005459AB" w:rsidP="001B5EAD">
      <w:pPr>
        <w:pStyle w:val="BodyText"/>
      </w:pPr>
      <m:oMathPara>
        <m:oMath>
          <m:sSub>
            <m:sSubPr>
              <m:ctrlPr>
                <w:rPr>
                  <w:rFonts w:ascii="Cambria Math" w:hAnsi="Cambria Math"/>
                </w:rPr>
              </m:ctrlPr>
            </m:sSubPr>
            <m:e>
              <m:r>
                <w:rPr>
                  <w:rFonts w:ascii="Cambria Math" w:hAnsi="Cambria Math"/>
                </w:rPr>
                <m:t>B</m:t>
              </m:r>
            </m:e>
            <m:sub>
              <m:r>
                <w:rPr>
                  <w:rFonts w:ascii="Cambria Math" w:hAnsi="Cambria Math"/>
                </w:rPr>
                <m:t>UCT</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UAEP</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UATD</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UAA</m:t>
                      </m:r>
                    </m:e>
                    <m:sub>
                      <m:r>
                        <w:rPr>
                          <w:rFonts w:ascii="Cambria Math" w:hAnsi="Cambria Math"/>
                        </w:rPr>
                        <m:t>t</m:t>
                      </m:r>
                    </m:sub>
                  </m:sSub>
                </m:num>
                <m:den>
                  <m:sSup>
                    <m:sSupPr>
                      <m:ctrlPr>
                        <w:rPr>
                          <w:rFonts w:ascii="Cambria Math" w:hAnsi="Cambria Math"/>
                        </w:rPr>
                      </m:ctrlPr>
                    </m:sSupPr>
                    <m:e>
                      <m:r>
                        <m:rPr>
                          <m:sty m:val="p"/>
                        </m:rPr>
                        <w:rPr>
                          <w:rFonts w:ascii="Cambria Math" w:hAnsi="Cambria Math"/>
                        </w:rPr>
                        <m:t>(1+</m:t>
                      </m:r>
                      <m:r>
                        <w:rPr>
                          <w:rFonts w:ascii="Cambria Math" w:hAnsi="Cambria Math"/>
                        </w:rPr>
                        <m:t>d</m:t>
                      </m:r>
                      <m:r>
                        <m:rPr>
                          <m:sty m:val="p"/>
                        </m:rPr>
                        <w:rPr>
                          <w:rFonts w:ascii="Cambria Math" w:hAnsi="Cambria Math"/>
                        </w:rPr>
                        <m:t>)</m:t>
                      </m:r>
                    </m:e>
                    <m:sup>
                      <m:r>
                        <w:rPr>
                          <w:rFonts w:ascii="Cambria Math" w:hAnsi="Cambria Math"/>
                        </w:rPr>
                        <m:t>t</m:t>
                      </m:r>
                      <m:r>
                        <m:rPr>
                          <m:sty m:val="p"/>
                        </m:rPr>
                        <w:rPr>
                          <w:rFonts w:ascii="Cambria Math" w:hAnsi="Cambria Math"/>
                        </w:rPr>
                        <m:t>-1</m:t>
                      </m:r>
                    </m:sup>
                  </m:sSup>
                </m:den>
              </m:f>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UAC</m:t>
                          </m:r>
                        </m:e>
                        <m:sub>
                          <m:r>
                            <w:rPr>
                              <w:rFonts w:ascii="Cambria Math" w:hAnsi="Cambria Math"/>
                            </w:rPr>
                            <m:t>at</m:t>
                          </m:r>
                        </m:sub>
                      </m:sSub>
                    </m:num>
                    <m:den>
                      <m:sSup>
                        <m:sSupPr>
                          <m:ctrlPr>
                            <w:rPr>
                              <w:rFonts w:ascii="Cambria Math" w:hAnsi="Cambria Math"/>
                            </w:rPr>
                          </m:ctrlPr>
                        </m:sSupPr>
                        <m:e>
                          <m:r>
                            <m:rPr>
                              <m:sty m:val="p"/>
                            </m:rPr>
                            <w:rPr>
                              <w:rFonts w:ascii="Cambria Math" w:hAnsi="Cambria Math"/>
                            </w:rPr>
                            <m:t>(1+</m:t>
                          </m:r>
                          <m:r>
                            <w:rPr>
                              <w:rFonts w:ascii="Cambria Math" w:hAnsi="Cambria Math"/>
                            </w:rPr>
                            <m:t>d</m:t>
                          </m:r>
                          <m:r>
                            <m:rPr>
                              <m:sty m:val="p"/>
                            </m:rPr>
                            <w:rPr>
                              <w:rFonts w:ascii="Cambria Math" w:hAnsi="Cambria Math"/>
                            </w:rPr>
                            <m:t>)</m:t>
                          </m:r>
                        </m:e>
                        <m:sup>
                          <m:r>
                            <w:rPr>
                              <w:rFonts w:ascii="Cambria Math" w:hAnsi="Cambria Math"/>
                            </w:rPr>
                            <m:t>t</m:t>
                          </m:r>
                          <m:r>
                            <m:rPr>
                              <m:sty m:val="p"/>
                            </m:rPr>
                            <w:rPr>
                              <w:rFonts w:ascii="Cambria Math" w:hAnsi="Cambria Math"/>
                            </w:rPr>
                            <m:t>-1</m:t>
                          </m:r>
                        </m:sup>
                      </m:sSup>
                    </m:den>
                  </m:f>
                </m:e>
              </m:nary>
            </m:e>
          </m:nary>
        </m:oMath>
      </m:oMathPara>
    </w:p>
    <w:p w14:paraId="0A4E7C74" w14:textId="3402CDDF" w:rsidR="001B5EAD" w:rsidRDefault="001B5EAD" w:rsidP="001B5EAD">
      <w:pPr>
        <w:pStyle w:val="BodyText"/>
      </w:pPr>
      <w:r>
        <w:t xml:space="preserve">The costs of the UCT are calculated using </w:t>
      </w:r>
      <w:r>
        <w:fldChar w:fldCharType="begin"/>
      </w:r>
      <w:r>
        <w:instrText xml:space="preserve"> REF _Ref73098059 \h </w:instrText>
      </w:r>
      <w:r>
        <w:fldChar w:fldCharType="separate"/>
      </w:r>
      <w:r w:rsidR="00427EE9">
        <w:t xml:space="preserve">Equation </w:t>
      </w:r>
      <w:r w:rsidR="00427EE9">
        <w:rPr>
          <w:noProof/>
        </w:rPr>
        <w:t>6</w:t>
      </w:r>
      <w:r>
        <w:fldChar w:fldCharType="end"/>
      </w:r>
      <w:r w:rsidR="00272617">
        <w:t>.</w:t>
      </w:r>
    </w:p>
    <w:p w14:paraId="00091449" w14:textId="71C556C0" w:rsidR="001B5EAD" w:rsidRDefault="001B5EAD" w:rsidP="001B5EAD">
      <w:pPr>
        <w:pStyle w:val="Caption"/>
      </w:pPr>
      <w:bookmarkStart w:id="36" w:name="_Ref73098059"/>
      <w:bookmarkStart w:id="37" w:name="_Toc196905262"/>
      <w:r>
        <w:lastRenderedPageBreak/>
        <w:t xml:space="preserve">Equation </w:t>
      </w:r>
      <w:r>
        <w:rPr>
          <w:noProof/>
        </w:rPr>
        <w:fldChar w:fldCharType="begin"/>
      </w:r>
      <w:r>
        <w:rPr>
          <w:noProof/>
        </w:rPr>
        <w:instrText xml:space="preserve"> SEQ Equation \* ARABIC </w:instrText>
      </w:r>
      <w:r>
        <w:rPr>
          <w:noProof/>
        </w:rPr>
        <w:fldChar w:fldCharType="separate"/>
      </w:r>
      <w:r w:rsidR="00427EE9">
        <w:rPr>
          <w:noProof/>
        </w:rPr>
        <w:t>6</w:t>
      </w:r>
      <w:r>
        <w:rPr>
          <w:noProof/>
        </w:rPr>
        <w:fldChar w:fldCharType="end"/>
      </w:r>
      <w:bookmarkEnd w:id="36"/>
      <w:r>
        <w:rPr>
          <w:noProof/>
        </w:rPr>
        <w:t>.</w:t>
      </w:r>
      <w:r>
        <w:t xml:space="preserve"> UCT Costs</w:t>
      </w:r>
      <w:bookmarkEnd w:id="37"/>
    </w:p>
    <w:p w14:paraId="775BD316" w14:textId="77777777" w:rsidR="001B5EAD" w:rsidRDefault="005459AB" w:rsidP="001B5EAD">
      <w:pPr>
        <w:pStyle w:val="BodyText"/>
      </w:pPr>
      <m:oMathPara>
        <m:oMath>
          <m:sSub>
            <m:sSubPr>
              <m:ctrlPr>
                <w:rPr>
                  <w:rFonts w:ascii="Cambria Math" w:hAnsi="Cambria Math"/>
                </w:rPr>
              </m:ctrlPr>
            </m:sSubPr>
            <m:e>
              <m:r>
                <w:rPr>
                  <w:rFonts w:ascii="Cambria Math" w:hAnsi="Cambria Math"/>
                </w:rPr>
                <m:t>C</m:t>
              </m:r>
            </m:e>
            <m:sub>
              <m:r>
                <w:rPr>
                  <w:rFonts w:ascii="Cambria Math" w:hAnsi="Cambria Math"/>
                </w:rPr>
                <m:t>UCT</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PNIC</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UIC</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PIN</m:t>
                      </m:r>
                    </m:e>
                    <m:sub>
                      <m:r>
                        <w:rPr>
                          <w:rFonts w:ascii="Cambria Math" w:hAnsi="Cambria Math"/>
                        </w:rPr>
                        <m:t>t</m:t>
                      </m:r>
                    </m:sub>
                  </m:sSub>
                </m:num>
                <m:den>
                  <m:sSup>
                    <m:sSupPr>
                      <m:ctrlPr>
                        <w:rPr>
                          <w:rFonts w:ascii="Cambria Math" w:hAnsi="Cambria Math"/>
                        </w:rPr>
                      </m:ctrlPr>
                    </m:sSupPr>
                    <m:e>
                      <m:r>
                        <m:rPr>
                          <m:sty m:val="p"/>
                        </m:rPr>
                        <w:rPr>
                          <w:rFonts w:ascii="Cambria Math" w:hAnsi="Cambria Math"/>
                        </w:rPr>
                        <m:t>(1+</m:t>
                      </m:r>
                      <m:r>
                        <w:rPr>
                          <w:rFonts w:ascii="Cambria Math" w:hAnsi="Cambria Math"/>
                        </w:rPr>
                        <m:t>d</m:t>
                      </m:r>
                      <m:r>
                        <m:rPr>
                          <m:sty m:val="p"/>
                        </m:rPr>
                        <w:rPr>
                          <w:rFonts w:ascii="Cambria Math" w:hAnsi="Cambria Math"/>
                        </w:rPr>
                        <m:t>)</m:t>
                      </m:r>
                    </m:e>
                    <m:sup>
                      <m:r>
                        <w:rPr>
                          <w:rFonts w:ascii="Cambria Math" w:hAnsi="Cambria Math"/>
                        </w:rPr>
                        <m:t>t</m:t>
                      </m:r>
                      <m:r>
                        <m:rPr>
                          <m:sty m:val="p"/>
                        </m:rPr>
                        <w:rPr>
                          <w:rFonts w:ascii="Cambria Math" w:hAnsi="Cambria Math"/>
                        </w:rPr>
                        <m:t>-1</m:t>
                      </m:r>
                    </m:sup>
                  </m:sSup>
                </m:den>
              </m:f>
            </m:e>
          </m:nary>
        </m:oMath>
      </m:oMathPara>
    </w:p>
    <w:p w14:paraId="18BDF765" w14:textId="77777777" w:rsidR="001B5EAD" w:rsidRDefault="001B5EAD" w:rsidP="001B5EAD">
      <w:pPr>
        <w:pStyle w:val="BodyText"/>
      </w:pPr>
      <w:r>
        <w:t xml:space="preserve">Where the new term, </w:t>
      </w:r>
      <w:proofErr w:type="spellStart"/>
      <w:r w:rsidRPr="00597A79">
        <w:rPr>
          <w:i/>
        </w:rPr>
        <w:t>PIN</w:t>
      </w:r>
      <w:r w:rsidRPr="00D328A8">
        <w:rPr>
          <w:i/>
          <w:vertAlign w:val="subscript"/>
        </w:rPr>
        <w:t>t</w:t>
      </w:r>
      <w:proofErr w:type="spellEnd"/>
      <w:r>
        <w:t>, is defined as the program incentives provided by the utility in year t.</w:t>
      </w:r>
    </w:p>
    <w:p w14:paraId="314E74B9" w14:textId="3205185D" w:rsidR="00D30737" w:rsidRPr="00A55CAB" w:rsidRDefault="00D30737" w:rsidP="001B5EAD">
      <w:pPr>
        <w:pStyle w:val="BodyText"/>
        <w:rPr>
          <w:rFonts w:cs="Arial"/>
        </w:rPr>
      </w:pPr>
      <w:r>
        <w:t xml:space="preserve">Similar </w:t>
      </w:r>
      <w:r w:rsidR="00891AF4">
        <w:t xml:space="preserve">cost test changes from </w:t>
      </w:r>
      <w:r w:rsidR="00C23F7E">
        <w:t>the final draft policy in</w:t>
      </w:r>
      <w:r w:rsidR="00891AF4">
        <w:t xml:space="preserve"> Policy Manual Version </w:t>
      </w:r>
      <w:r w:rsidR="00C23F7E">
        <w:t>3.0</w:t>
      </w:r>
      <w:r w:rsidR="00891AF4">
        <w:t xml:space="preserve"> apply to the UCT as described in Section </w:t>
      </w:r>
      <w:r w:rsidR="00F06B48">
        <w:fldChar w:fldCharType="begin"/>
      </w:r>
      <w:r w:rsidR="00F06B48">
        <w:instrText xml:space="preserve"> REF _Ref168309184 \r \h </w:instrText>
      </w:r>
      <w:r w:rsidR="00F06B48">
        <w:fldChar w:fldCharType="separate"/>
      </w:r>
      <w:r w:rsidR="00427EE9">
        <w:t>1.1</w:t>
      </w:r>
      <w:r w:rsidR="00F06B48">
        <w:fldChar w:fldCharType="end"/>
      </w:r>
      <w:r w:rsidR="00891AF4">
        <w:t>.</w:t>
      </w:r>
    </w:p>
    <w:p w14:paraId="4AC89D4E" w14:textId="77777777" w:rsidR="001B5EAD" w:rsidRPr="003C74A3" w:rsidRDefault="001B5EAD" w:rsidP="001B5EAD">
      <w:pPr>
        <w:pStyle w:val="Heading2"/>
        <w:ind w:left="360" w:hanging="360"/>
      </w:pPr>
      <w:bookmarkStart w:id="38" w:name="_Toc441844533"/>
      <w:bookmarkStart w:id="39" w:name="_Toc508267202"/>
      <w:bookmarkStart w:id="40" w:name="_Ref104391998"/>
      <w:bookmarkStart w:id="41" w:name="_Toc196925661"/>
      <w:r>
        <w:t>Cost-Effectiveness Data Requirements</w:t>
      </w:r>
      <w:bookmarkEnd w:id="38"/>
      <w:bookmarkEnd w:id="39"/>
      <w:bookmarkEnd w:id="40"/>
      <w:bookmarkEnd w:id="41"/>
    </w:p>
    <w:p w14:paraId="0D479B58" w14:textId="157EE0D3" w:rsidR="001B5EAD" w:rsidRDefault="001B5EAD" w:rsidP="001B5EAD">
      <w:pPr>
        <w:pStyle w:val="BodyText"/>
      </w:pPr>
      <w:r>
        <w:fldChar w:fldCharType="begin"/>
      </w:r>
      <w:r>
        <w:instrText xml:space="preserve"> REF _Ref322337452 \h </w:instrText>
      </w:r>
      <w:r>
        <w:fldChar w:fldCharType="separate"/>
      </w:r>
      <w:r w:rsidR="00427EE9" w:rsidRPr="00320842">
        <w:t xml:space="preserve">Table </w:t>
      </w:r>
      <w:r w:rsidR="00427EE9">
        <w:rPr>
          <w:noProof/>
        </w:rPr>
        <w:t>1</w:t>
      </w:r>
      <w:r w:rsidR="00427EE9">
        <w:noBreakHyphen/>
      </w:r>
      <w:r w:rsidR="00427EE9">
        <w:rPr>
          <w:noProof/>
        </w:rPr>
        <w:t>2</w:t>
      </w:r>
      <w:r>
        <w:fldChar w:fldCharType="end"/>
      </w:r>
      <w:r>
        <w:t xml:space="preserve"> </w:t>
      </w:r>
      <w:r w:rsidR="00C708CF">
        <w:t>outlines</w:t>
      </w:r>
      <w:r>
        <w:t xml:space="preserve"> the data points </w:t>
      </w:r>
      <w:r w:rsidR="00C708CF">
        <w:t xml:space="preserve">collected from </w:t>
      </w:r>
      <w:r w:rsidR="008C6C92">
        <w:t>different stakeholders</w:t>
      </w:r>
      <w:r>
        <w:t xml:space="preserve"> to conduct </w:t>
      </w:r>
      <w:r w:rsidR="00D76198">
        <w:t>cost-effectiveness</w:t>
      </w:r>
      <w:r w:rsidR="0081499E">
        <w:t xml:space="preserve"> analysis</w:t>
      </w:r>
      <w:r w:rsidR="008C6C92">
        <w:t xml:space="preserve">. </w:t>
      </w:r>
      <w:r w:rsidR="00443600">
        <w:t>The data is categorized</w:t>
      </w:r>
      <w:r>
        <w:t xml:space="preserve"> into generic and program-specific categories.</w:t>
      </w:r>
    </w:p>
    <w:p w14:paraId="0F1F48ED" w14:textId="1CF46E4A" w:rsidR="001B5EAD" w:rsidRDefault="001B5EAD" w:rsidP="001B5EAD">
      <w:pPr>
        <w:pStyle w:val="Caption"/>
      </w:pPr>
      <w:bookmarkStart w:id="42" w:name="_Ref322337452"/>
      <w:bookmarkStart w:id="43" w:name="_Toc441844558"/>
      <w:bookmarkStart w:id="44" w:name="_Toc508267221"/>
      <w:bookmarkStart w:id="45" w:name="_Toc196925425"/>
      <w:r w:rsidRPr="00320842">
        <w:t xml:space="preserve">Table </w:t>
      </w:r>
      <w:r>
        <w:fldChar w:fldCharType="begin"/>
      </w:r>
      <w:r>
        <w:instrText>STYLEREF 1 \s</w:instrText>
      </w:r>
      <w:r>
        <w:fldChar w:fldCharType="separate"/>
      </w:r>
      <w:r w:rsidR="00427EE9">
        <w:rPr>
          <w:noProof/>
        </w:rPr>
        <w:t>1</w:t>
      </w:r>
      <w:r>
        <w:fldChar w:fldCharType="end"/>
      </w:r>
      <w:r>
        <w:noBreakHyphen/>
      </w:r>
      <w:r>
        <w:fldChar w:fldCharType="begin"/>
      </w:r>
      <w:r>
        <w:instrText>SEQ Table \* ARABIC \s 1</w:instrText>
      </w:r>
      <w:r>
        <w:fldChar w:fldCharType="separate"/>
      </w:r>
      <w:r w:rsidR="00427EE9">
        <w:rPr>
          <w:noProof/>
        </w:rPr>
        <w:t>2</w:t>
      </w:r>
      <w:r>
        <w:fldChar w:fldCharType="end"/>
      </w:r>
      <w:bookmarkEnd w:id="42"/>
      <w:r>
        <w:rPr>
          <w:noProof/>
        </w:rPr>
        <w:t>.</w:t>
      </w:r>
      <w:r>
        <w:t xml:space="preserve"> </w:t>
      </w:r>
      <w:r w:rsidRPr="00320842">
        <w:t xml:space="preserve">Data </w:t>
      </w:r>
      <w:r>
        <w:t>P</w:t>
      </w:r>
      <w:r w:rsidRPr="00320842">
        <w:t xml:space="preserve">oints </w:t>
      </w:r>
      <w:r>
        <w:t>N</w:t>
      </w:r>
      <w:r w:rsidRPr="00320842">
        <w:t xml:space="preserve">eeded to </w:t>
      </w:r>
      <w:r>
        <w:t>C</w:t>
      </w:r>
      <w:r w:rsidRPr="00320842">
        <w:t xml:space="preserve">onduct </w:t>
      </w:r>
      <w:r>
        <w:t xml:space="preserve">EEPS </w:t>
      </w:r>
      <w:bookmarkEnd w:id="43"/>
      <w:bookmarkEnd w:id="44"/>
      <w:r w:rsidR="00155F42">
        <w:t>Cost-Effectiveness</w:t>
      </w:r>
      <w:bookmarkEnd w:id="45"/>
    </w:p>
    <w:tbl>
      <w:tblPr>
        <w:tblStyle w:val="ESITable1"/>
        <w:tblW w:w="5000" w:type="pct"/>
        <w:tblLayout w:type="fixed"/>
        <w:tblLook w:val="04A0" w:firstRow="1" w:lastRow="0" w:firstColumn="1" w:lastColumn="0" w:noHBand="0" w:noVBand="1"/>
      </w:tblPr>
      <w:tblGrid>
        <w:gridCol w:w="1653"/>
        <w:gridCol w:w="5828"/>
        <w:gridCol w:w="1879"/>
      </w:tblGrid>
      <w:tr w:rsidR="001B5EAD" w:rsidRPr="002D2C35" w14:paraId="01D4BE79" w14:textId="77777777" w:rsidTr="00823C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3" w:type="pct"/>
            <w:tcBorders>
              <w:top w:val="nil"/>
              <w:bottom w:val="single" w:sz="12" w:space="0" w:color="93D500" w:themeColor="accent1"/>
              <w:right w:val="nil"/>
            </w:tcBorders>
            <w:shd w:val="clear" w:color="auto" w:fill="036479" w:themeFill="accent3"/>
          </w:tcPr>
          <w:p w14:paraId="3E3D6A4A" w14:textId="77777777" w:rsidR="001B5EAD" w:rsidRPr="002D2C35" w:rsidRDefault="001B5EAD" w:rsidP="002F3AF5">
            <w:pPr>
              <w:rPr>
                <w:rFonts w:eastAsia="Calibri" w:cs="Arial"/>
                <w:color w:val="FFFFFF" w:themeColor="background1"/>
                <w:sz w:val="18"/>
                <w:szCs w:val="18"/>
              </w:rPr>
            </w:pPr>
            <w:bookmarkStart w:id="46" w:name="_Hlk508991688"/>
            <w:r w:rsidRPr="002D2C35">
              <w:rPr>
                <w:rFonts w:eastAsia="Calibri" w:cs="Arial"/>
                <w:color w:val="FFFFFF" w:themeColor="background1"/>
                <w:sz w:val="18"/>
                <w:szCs w:val="18"/>
              </w:rPr>
              <w:t>Category</w:t>
            </w:r>
          </w:p>
        </w:tc>
        <w:tc>
          <w:tcPr>
            <w:tcW w:w="3113" w:type="pct"/>
            <w:tcBorders>
              <w:top w:val="nil"/>
              <w:left w:val="nil"/>
              <w:bottom w:val="single" w:sz="12" w:space="0" w:color="93D500" w:themeColor="accent1"/>
              <w:right w:val="nil"/>
            </w:tcBorders>
            <w:shd w:val="clear" w:color="auto" w:fill="036479" w:themeFill="accent3"/>
          </w:tcPr>
          <w:p w14:paraId="55236994" w14:textId="77777777" w:rsidR="001B5EAD" w:rsidRPr="002D2C35" w:rsidRDefault="001B5EAD" w:rsidP="002F3AF5">
            <w:pP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 w:val="18"/>
                <w:szCs w:val="18"/>
              </w:rPr>
            </w:pPr>
            <w:r w:rsidRPr="002D2C35">
              <w:rPr>
                <w:rFonts w:eastAsia="Calibri" w:cs="Arial"/>
                <w:color w:val="FFFFFF" w:themeColor="background1"/>
                <w:sz w:val="18"/>
                <w:szCs w:val="18"/>
              </w:rPr>
              <w:t>Data Point</w:t>
            </w:r>
          </w:p>
        </w:tc>
        <w:tc>
          <w:tcPr>
            <w:tcW w:w="1004" w:type="pct"/>
            <w:tcBorders>
              <w:top w:val="nil"/>
              <w:left w:val="nil"/>
              <w:bottom w:val="single" w:sz="12" w:space="0" w:color="93D500" w:themeColor="accent1"/>
            </w:tcBorders>
            <w:shd w:val="clear" w:color="auto" w:fill="036479" w:themeFill="accent3"/>
          </w:tcPr>
          <w:p w14:paraId="4A9644A8" w14:textId="77777777" w:rsidR="001B5EAD" w:rsidRPr="002D2C35" w:rsidRDefault="001B5EAD" w:rsidP="002F3AF5">
            <w:pP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 w:val="18"/>
                <w:szCs w:val="18"/>
              </w:rPr>
            </w:pPr>
            <w:r w:rsidRPr="002D2C35">
              <w:rPr>
                <w:rFonts w:eastAsia="Calibri" w:cs="Arial"/>
                <w:color w:val="FFFFFF" w:themeColor="background1"/>
                <w:sz w:val="18"/>
                <w:szCs w:val="18"/>
              </w:rPr>
              <w:t>Source</w:t>
            </w:r>
          </w:p>
        </w:tc>
      </w:tr>
      <w:tr w:rsidR="004F53EF" w:rsidRPr="00627713" w14:paraId="451AAD10" w14:textId="77777777" w:rsidTr="00273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pct"/>
            <w:tcBorders>
              <w:top w:val="single" w:sz="12" w:space="0" w:color="93D500" w:themeColor="accent1"/>
              <w:bottom w:val="single" w:sz="4" w:space="0" w:color="60B8CC" w:themeColor="accent4"/>
            </w:tcBorders>
          </w:tcPr>
          <w:p w14:paraId="599BC87A" w14:textId="77777777" w:rsidR="004F53EF" w:rsidRPr="00627713" w:rsidRDefault="004F53EF" w:rsidP="002F3AF5">
            <w:pPr>
              <w:rPr>
                <w:rFonts w:eastAsia="Calibri" w:cs="Arial"/>
                <w:sz w:val="18"/>
                <w:szCs w:val="18"/>
              </w:rPr>
            </w:pPr>
            <w:r w:rsidRPr="00627713">
              <w:rPr>
                <w:rFonts w:eastAsia="Calibri" w:cs="Arial"/>
                <w:sz w:val="18"/>
                <w:szCs w:val="18"/>
              </w:rPr>
              <w:t>Generic</w:t>
            </w:r>
          </w:p>
        </w:tc>
        <w:tc>
          <w:tcPr>
            <w:tcW w:w="3113" w:type="pct"/>
            <w:tcBorders>
              <w:top w:val="single" w:sz="12" w:space="0" w:color="93D500" w:themeColor="accent1"/>
              <w:bottom w:val="single" w:sz="4" w:space="0" w:color="60B8CC" w:themeColor="accent4"/>
            </w:tcBorders>
          </w:tcPr>
          <w:p w14:paraId="4866C3B8" w14:textId="77777777" w:rsidR="004F53EF" w:rsidRPr="00627713" w:rsidRDefault="004F53EF" w:rsidP="006460B6">
            <w:pPr>
              <w:numPr>
                <w:ilvl w:val="0"/>
                <w:numId w:val="37"/>
              </w:numP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627713">
              <w:rPr>
                <w:rFonts w:eastAsia="Calibri" w:cs="Arial"/>
                <w:sz w:val="18"/>
                <w:szCs w:val="18"/>
              </w:rPr>
              <w:t xml:space="preserve">Avoided Energy Costs ($/kWh) </w:t>
            </w:r>
          </w:p>
          <w:p w14:paraId="296F3AB1" w14:textId="77777777" w:rsidR="004F53EF" w:rsidRPr="00627713" w:rsidRDefault="004F53EF" w:rsidP="006460B6">
            <w:pPr>
              <w:numPr>
                <w:ilvl w:val="0"/>
                <w:numId w:val="37"/>
              </w:numP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proofErr w:type="gramStart"/>
            <w:r w:rsidRPr="00627713">
              <w:rPr>
                <w:rFonts w:eastAsia="Calibri" w:cs="Arial"/>
                <w:sz w:val="18"/>
                <w:szCs w:val="18"/>
              </w:rPr>
              <w:t>Avoided Capacity</w:t>
            </w:r>
            <w:proofErr w:type="gramEnd"/>
            <w:r w:rsidRPr="00627713">
              <w:rPr>
                <w:rFonts w:eastAsia="Calibri" w:cs="Arial"/>
                <w:sz w:val="18"/>
                <w:szCs w:val="18"/>
              </w:rPr>
              <w:t xml:space="preserve"> Costs ($/kW)</w:t>
            </w:r>
          </w:p>
          <w:p w14:paraId="2B2B71C4" w14:textId="77777777" w:rsidR="004F53EF" w:rsidRPr="00627713" w:rsidRDefault="004F53EF" w:rsidP="006460B6">
            <w:pPr>
              <w:numPr>
                <w:ilvl w:val="0"/>
                <w:numId w:val="37"/>
              </w:numP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627713">
              <w:rPr>
                <w:rFonts w:eastAsia="Calibri" w:cs="Arial"/>
                <w:sz w:val="18"/>
                <w:szCs w:val="18"/>
              </w:rPr>
              <w:t>Avoided T&amp;D Electric ($/kWh)</w:t>
            </w:r>
          </w:p>
          <w:p w14:paraId="3CB84166" w14:textId="7639BA2B" w:rsidR="004F53EF" w:rsidRPr="00627713" w:rsidRDefault="004F53EF" w:rsidP="006460B6">
            <w:pPr>
              <w:numPr>
                <w:ilvl w:val="0"/>
                <w:numId w:val="37"/>
              </w:numP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627713">
              <w:rPr>
                <w:rFonts w:eastAsia="Calibri" w:cs="Arial"/>
                <w:sz w:val="18"/>
                <w:szCs w:val="18"/>
              </w:rPr>
              <w:t>Avoided Gas Production ($/</w:t>
            </w:r>
            <w:r w:rsidR="00217702">
              <w:rPr>
                <w:rFonts w:eastAsia="Calibri" w:cs="Arial"/>
                <w:sz w:val="18"/>
                <w:szCs w:val="18"/>
              </w:rPr>
              <w:t>t</w:t>
            </w:r>
            <w:r w:rsidR="00217702" w:rsidRPr="002D421F">
              <w:rPr>
                <w:rFonts w:eastAsia="Calibri" w:cs="Arial"/>
                <w:sz w:val="18"/>
                <w:szCs w:val="18"/>
              </w:rPr>
              <w:t>herm</w:t>
            </w:r>
            <w:r w:rsidRPr="00627713">
              <w:rPr>
                <w:rFonts w:eastAsia="Calibri" w:cs="Arial"/>
                <w:sz w:val="18"/>
                <w:szCs w:val="18"/>
              </w:rPr>
              <w:t>)</w:t>
            </w:r>
            <w:r w:rsidRPr="00627713">
              <w:rPr>
                <w:rStyle w:val="FootnoteReference"/>
                <w:rFonts w:eastAsia="Calibri" w:cs="Arial"/>
                <w:sz w:val="18"/>
                <w:szCs w:val="18"/>
              </w:rPr>
              <w:footnoteReference w:id="5"/>
            </w:r>
          </w:p>
          <w:p w14:paraId="03B1ADB1" w14:textId="77777777" w:rsidR="004F53EF" w:rsidRPr="00627713" w:rsidRDefault="004F53EF" w:rsidP="006460B6">
            <w:pPr>
              <w:numPr>
                <w:ilvl w:val="0"/>
                <w:numId w:val="37"/>
              </w:numP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627713">
              <w:rPr>
                <w:rFonts w:eastAsia="Calibri" w:cs="Arial"/>
                <w:sz w:val="18"/>
                <w:szCs w:val="18"/>
              </w:rPr>
              <w:t>Avoided Water Costs ($/gallon)</w:t>
            </w:r>
          </w:p>
          <w:p w14:paraId="5261054A" w14:textId="77777777" w:rsidR="004F53EF" w:rsidRPr="00627713" w:rsidRDefault="004F53EF" w:rsidP="006460B6">
            <w:pPr>
              <w:numPr>
                <w:ilvl w:val="0"/>
                <w:numId w:val="37"/>
              </w:numP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627713">
              <w:rPr>
                <w:rFonts w:eastAsia="Calibri" w:cs="Arial"/>
                <w:sz w:val="18"/>
                <w:szCs w:val="18"/>
              </w:rPr>
              <w:t>Escalation Rates</w:t>
            </w:r>
          </w:p>
          <w:p w14:paraId="19756276" w14:textId="77777777" w:rsidR="004F53EF" w:rsidRPr="00627713" w:rsidRDefault="004F53EF" w:rsidP="006460B6">
            <w:pPr>
              <w:numPr>
                <w:ilvl w:val="0"/>
                <w:numId w:val="37"/>
              </w:numP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627713">
              <w:rPr>
                <w:rFonts w:eastAsia="Calibri" w:cs="Arial"/>
                <w:sz w:val="18"/>
                <w:szCs w:val="18"/>
              </w:rPr>
              <w:t>Environmental Damages (GHG Adders)</w:t>
            </w:r>
          </w:p>
          <w:p w14:paraId="6F14C53E" w14:textId="474EF6F3" w:rsidR="004F53EF" w:rsidRPr="00627713" w:rsidRDefault="004F53EF" w:rsidP="006460B6">
            <w:pPr>
              <w:numPr>
                <w:ilvl w:val="0"/>
                <w:numId w:val="37"/>
              </w:numP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627713">
              <w:rPr>
                <w:rFonts w:eastAsia="Calibri" w:cs="Arial"/>
                <w:sz w:val="18"/>
                <w:szCs w:val="18"/>
              </w:rPr>
              <w:t>Discount Rate</w:t>
            </w:r>
          </w:p>
        </w:tc>
        <w:tc>
          <w:tcPr>
            <w:tcW w:w="1004" w:type="pct"/>
            <w:tcBorders>
              <w:top w:val="single" w:sz="12" w:space="0" w:color="93D500" w:themeColor="accent1"/>
              <w:bottom w:val="single" w:sz="4" w:space="0" w:color="60B8CC" w:themeColor="accent4"/>
            </w:tcBorders>
          </w:tcPr>
          <w:p w14:paraId="0ADFC1CE" w14:textId="67AA918D" w:rsidR="004F53EF" w:rsidRPr="00627713" w:rsidRDefault="004F53EF" w:rsidP="002F3AF5">
            <w:pP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627713">
              <w:rPr>
                <w:rFonts w:eastAsia="Calibri" w:cs="Arial"/>
                <w:sz w:val="18"/>
                <w:szCs w:val="18"/>
              </w:rPr>
              <w:t>ComEd</w:t>
            </w:r>
          </w:p>
        </w:tc>
      </w:tr>
      <w:tr w:rsidR="001B5EAD" w:rsidRPr="00627713" w14:paraId="2A99A172" w14:textId="77777777" w:rsidTr="00823C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pct"/>
            <w:vMerge w:val="restart"/>
            <w:tcBorders>
              <w:top w:val="single" w:sz="4" w:space="0" w:color="60B8CC" w:themeColor="accent4"/>
              <w:bottom w:val="single" w:sz="4" w:space="0" w:color="60B8CC" w:themeColor="accent4"/>
            </w:tcBorders>
          </w:tcPr>
          <w:p w14:paraId="6C332ADF" w14:textId="77777777" w:rsidR="001B5EAD" w:rsidRPr="00627713" w:rsidRDefault="001B5EAD" w:rsidP="002F3AF5">
            <w:pPr>
              <w:rPr>
                <w:rFonts w:eastAsia="Calibri" w:cs="Arial"/>
                <w:sz w:val="18"/>
                <w:szCs w:val="18"/>
              </w:rPr>
            </w:pPr>
            <w:r w:rsidRPr="00627713">
              <w:rPr>
                <w:rFonts w:eastAsia="Calibri" w:cs="Arial"/>
                <w:sz w:val="18"/>
                <w:szCs w:val="18"/>
              </w:rPr>
              <w:t>Program Specific</w:t>
            </w:r>
          </w:p>
        </w:tc>
        <w:tc>
          <w:tcPr>
            <w:tcW w:w="3113" w:type="pct"/>
            <w:tcBorders>
              <w:top w:val="single" w:sz="4" w:space="0" w:color="60B8CC" w:themeColor="accent4"/>
              <w:bottom w:val="single" w:sz="4" w:space="0" w:color="60B8CC" w:themeColor="accent4"/>
            </w:tcBorders>
          </w:tcPr>
          <w:p w14:paraId="0200A26E" w14:textId="77777777" w:rsidR="001B5EAD" w:rsidRPr="00627713" w:rsidRDefault="001B5EAD" w:rsidP="006460B6">
            <w:pPr>
              <w:numPr>
                <w:ilvl w:val="0"/>
                <w:numId w:val="37"/>
              </w:numPr>
              <w:cnfStyle w:val="000000010000" w:firstRow="0" w:lastRow="0" w:firstColumn="0" w:lastColumn="0" w:oddVBand="0" w:evenVBand="0" w:oddHBand="0" w:evenHBand="1" w:firstRowFirstColumn="0" w:firstRowLastColumn="0" w:lastRowFirstColumn="0" w:lastRowLastColumn="0"/>
              <w:rPr>
                <w:rFonts w:eastAsia="Calibri" w:cs="Arial"/>
                <w:sz w:val="18"/>
                <w:szCs w:val="18"/>
              </w:rPr>
            </w:pPr>
            <w:r w:rsidRPr="00627713">
              <w:rPr>
                <w:rFonts w:eastAsia="Calibri" w:cs="Arial"/>
                <w:sz w:val="18"/>
                <w:szCs w:val="18"/>
              </w:rPr>
              <w:t>Participants/Measure Count</w:t>
            </w:r>
          </w:p>
          <w:p w14:paraId="6D63FB59" w14:textId="04A39F45" w:rsidR="001B5EAD" w:rsidRPr="00627713" w:rsidRDefault="001B5EAD" w:rsidP="006460B6">
            <w:pPr>
              <w:numPr>
                <w:ilvl w:val="0"/>
                <w:numId w:val="37"/>
              </w:numPr>
              <w:cnfStyle w:val="000000010000" w:firstRow="0" w:lastRow="0" w:firstColumn="0" w:lastColumn="0" w:oddVBand="0" w:evenVBand="0" w:oddHBand="0" w:evenHBand="1" w:firstRowFirstColumn="0" w:firstRowLastColumn="0" w:lastRowFirstColumn="0" w:lastRowLastColumn="0"/>
              <w:rPr>
                <w:rFonts w:eastAsia="Calibri" w:cs="Arial"/>
                <w:sz w:val="18"/>
                <w:szCs w:val="18"/>
              </w:rPr>
            </w:pPr>
            <w:r w:rsidRPr="00627713">
              <w:rPr>
                <w:rFonts w:eastAsia="Calibri" w:cs="Arial"/>
                <w:sz w:val="18"/>
                <w:szCs w:val="18"/>
              </w:rPr>
              <w:t>Verified Energy and Demand Savings</w:t>
            </w:r>
          </w:p>
          <w:p w14:paraId="2FAE77AD" w14:textId="77777777" w:rsidR="001B5EAD" w:rsidRPr="00627713" w:rsidRDefault="001B5EAD" w:rsidP="006460B6">
            <w:pPr>
              <w:numPr>
                <w:ilvl w:val="0"/>
                <w:numId w:val="37"/>
              </w:numPr>
              <w:cnfStyle w:val="000000010000" w:firstRow="0" w:lastRow="0" w:firstColumn="0" w:lastColumn="0" w:oddVBand="0" w:evenVBand="0" w:oddHBand="0" w:evenHBand="1" w:firstRowFirstColumn="0" w:firstRowLastColumn="0" w:lastRowFirstColumn="0" w:lastRowLastColumn="0"/>
              <w:rPr>
                <w:rFonts w:eastAsia="Calibri" w:cs="Arial"/>
                <w:sz w:val="18"/>
                <w:szCs w:val="18"/>
              </w:rPr>
            </w:pPr>
            <w:r w:rsidRPr="00627713">
              <w:rPr>
                <w:rFonts w:eastAsia="Calibri" w:cs="Arial"/>
                <w:sz w:val="18"/>
                <w:szCs w:val="18"/>
              </w:rPr>
              <w:t>Realization Rate</w:t>
            </w:r>
          </w:p>
          <w:p w14:paraId="5331F972" w14:textId="77777777" w:rsidR="001B5EAD" w:rsidRPr="00627713" w:rsidRDefault="001B5EAD" w:rsidP="006460B6">
            <w:pPr>
              <w:numPr>
                <w:ilvl w:val="0"/>
                <w:numId w:val="37"/>
              </w:numPr>
              <w:cnfStyle w:val="000000010000" w:firstRow="0" w:lastRow="0" w:firstColumn="0" w:lastColumn="0" w:oddVBand="0" w:evenVBand="0" w:oddHBand="0" w:evenHBand="1" w:firstRowFirstColumn="0" w:firstRowLastColumn="0" w:lastRowFirstColumn="0" w:lastRowLastColumn="0"/>
              <w:rPr>
                <w:rFonts w:eastAsia="Calibri" w:cs="Arial"/>
                <w:sz w:val="18"/>
                <w:szCs w:val="18"/>
              </w:rPr>
            </w:pPr>
            <w:r w:rsidRPr="00627713">
              <w:rPr>
                <w:rFonts w:eastAsia="Calibri" w:cs="Arial"/>
                <w:sz w:val="18"/>
                <w:szCs w:val="18"/>
              </w:rPr>
              <w:t>Net-to-Gross Ratio</w:t>
            </w:r>
          </w:p>
          <w:p w14:paraId="3F3B5CD6" w14:textId="77777777" w:rsidR="001B5EAD" w:rsidRPr="00627713" w:rsidRDefault="001B5EAD" w:rsidP="006460B6">
            <w:pPr>
              <w:numPr>
                <w:ilvl w:val="0"/>
                <w:numId w:val="37"/>
              </w:numPr>
              <w:cnfStyle w:val="000000010000" w:firstRow="0" w:lastRow="0" w:firstColumn="0" w:lastColumn="0" w:oddVBand="0" w:evenVBand="0" w:oddHBand="0" w:evenHBand="1" w:firstRowFirstColumn="0" w:firstRowLastColumn="0" w:lastRowFirstColumn="0" w:lastRowLastColumn="0"/>
              <w:rPr>
                <w:rFonts w:eastAsia="Calibri" w:cs="Arial"/>
                <w:sz w:val="18"/>
                <w:szCs w:val="18"/>
              </w:rPr>
            </w:pPr>
            <w:r w:rsidRPr="00627713">
              <w:rPr>
                <w:rFonts w:eastAsia="Calibri" w:cs="Arial"/>
                <w:sz w:val="18"/>
                <w:szCs w:val="18"/>
              </w:rPr>
              <w:t>Measure Life</w:t>
            </w:r>
          </w:p>
          <w:p w14:paraId="63655016" w14:textId="77777777" w:rsidR="001B5EAD" w:rsidRPr="00627713" w:rsidRDefault="001B5EAD" w:rsidP="006460B6">
            <w:pPr>
              <w:numPr>
                <w:ilvl w:val="0"/>
                <w:numId w:val="37"/>
              </w:numPr>
              <w:cnfStyle w:val="000000010000" w:firstRow="0" w:lastRow="0" w:firstColumn="0" w:lastColumn="0" w:oddVBand="0" w:evenVBand="0" w:oddHBand="0" w:evenHBand="1" w:firstRowFirstColumn="0" w:firstRowLastColumn="0" w:lastRowFirstColumn="0" w:lastRowLastColumn="0"/>
              <w:rPr>
                <w:rFonts w:eastAsia="Calibri" w:cs="Arial"/>
                <w:sz w:val="18"/>
                <w:szCs w:val="18"/>
              </w:rPr>
            </w:pPr>
            <w:r w:rsidRPr="00627713">
              <w:rPr>
                <w:rFonts w:eastAsia="Calibri" w:cs="Arial"/>
                <w:sz w:val="18"/>
                <w:szCs w:val="18"/>
              </w:rPr>
              <w:t>Incremental Measure Costs</w:t>
            </w:r>
            <w:r w:rsidRPr="00627713">
              <w:rPr>
                <w:rStyle w:val="FootnoteReference"/>
                <w:rFonts w:eastAsia="Calibri" w:cs="Arial"/>
                <w:sz w:val="18"/>
                <w:szCs w:val="18"/>
              </w:rPr>
              <w:footnoteReference w:id="6"/>
            </w:r>
          </w:p>
          <w:p w14:paraId="40BE4DBC" w14:textId="77777777" w:rsidR="001B5EAD" w:rsidRPr="00627713" w:rsidRDefault="001B5EAD" w:rsidP="006460B6">
            <w:pPr>
              <w:numPr>
                <w:ilvl w:val="0"/>
                <w:numId w:val="37"/>
              </w:numPr>
              <w:cnfStyle w:val="000000010000" w:firstRow="0" w:lastRow="0" w:firstColumn="0" w:lastColumn="0" w:oddVBand="0" w:evenVBand="0" w:oddHBand="0" w:evenHBand="1" w:firstRowFirstColumn="0" w:firstRowLastColumn="0" w:lastRowFirstColumn="0" w:lastRowLastColumn="0"/>
              <w:rPr>
                <w:rFonts w:eastAsia="Calibri" w:cs="Arial"/>
                <w:sz w:val="18"/>
                <w:szCs w:val="18"/>
              </w:rPr>
            </w:pPr>
            <w:r w:rsidRPr="00627713">
              <w:rPr>
                <w:rFonts w:eastAsia="Calibri" w:cs="Arial"/>
                <w:sz w:val="18"/>
                <w:szCs w:val="18"/>
              </w:rPr>
              <w:t>NPV Replacement Costs</w:t>
            </w:r>
          </w:p>
          <w:p w14:paraId="5FB8F4CB" w14:textId="35A3AB8A" w:rsidR="001B5EAD" w:rsidRPr="00627713" w:rsidRDefault="001B5EAD" w:rsidP="006460B6">
            <w:pPr>
              <w:numPr>
                <w:ilvl w:val="0"/>
                <w:numId w:val="37"/>
              </w:numPr>
              <w:cnfStyle w:val="000000010000" w:firstRow="0" w:lastRow="0" w:firstColumn="0" w:lastColumn="0" w:oddVBand="0" w:evenVBand="0" w:oddHBand="0" w:evenHBand="1" w:firstRowFirstColumn="0" w:firstRowLastColumn="0" w:lastRowFirstColumn="0" w:lastRowLastColumn="0"/>
              <w:rPr>
                <w:rFonts w:eastAsia="Calibri" w:cs="Arial"/>
                <w:sz w:val="18"/>
                <w:szCs w:val="18"/>
              </w:rPr>
            </w:pPr>
            <w:r w:rsidRPr="00627713">
              <w:rPr>
                <w:rFonts w:eastAsia="Calibri" w:cs="Arial"/>
                <w:sz w:val="18"/>
                <w:szCs w:val="18"/>
              </w:rPr>
              <w:t xml:space="preserve">Societal NEI </w:t>
            </w:r>
            <w:r w:rsidR="00DA6DB0">
              <w:rPr>
                <w:rFonts w:eastAsia="Calibri" w:cs="Arial"/>
                <w:sz w:val="18"/>
                <w:szCs w:val="18"/>
              </w:rPr>
              <w:t>B</w:t>
            </w:r>
            <w:r w:rsidR="00DA6DB0" w:rsidRPr="00627713">
              <w:rPr>
                <w:rFonts w:eastAsia="Calibri" w:cs="Arial"/>
                <w:sz w:val="18"/>
                <w:szCs w:val="18"/>
              </w:rPr>
              <w:t>enefit</w:t>
            </w:r>
          </w:p>
        </w:tc>
        <w:tc>
          <w:tcPr>
            <w:tcW w:w="1004" w:type="pct"/>
            <w:tcBorders>
              <w:top w:val="single" w:sz="4" w:space="0" w:color="60B8CC" w:themeColor="accent4"/>
              <w:bottom w:val="single" w:sz="4" w:space="0" w:color="60B8CC" w:themeColor="accent4"/>
            </w:tcBorders>
          </w:tcPr>
          <w:p w14:paraId="5594053C" w14:textId="38487D25" w:rsidR="001B5EAD" w:rsidRPr="00627713" w:rsidRDefault="001B5EAD" w:rsidP="002F3AF5">
            <w:pPr>
              <w:cnfStyle w:val="000000010000" w:firstRow="0" w:lastRow="0" w:firstColumn="0" w:lastColumn="0" w:oddVBand="0" w:evenVBand="0" w:oddHBand="0" w:evenHBand="1" w:firstRowFirstColumn="0" w:firstRowLastColumn="0" w:lastRowFirstColumn="0" w:lastRowLastColumn="0"/>
              <w:rPr>
                <w:rFonts w:eastAsia="Calibri" w:cs="Arial"/>
                <w:sz w:val="18"/>
                <w:szCs w:val="18"/>
              </w:rPr>
            </w:pPr>
            <w:r w:rsidRPr="00627713">
              <w:rPr>
                <w:rFonts w:eastAsia="Calibri" w:cs="Arial"/>
                <w:sz w:val="18"/>
                <w:szCs w:val="18"/>
              </w:rPr>
              <w:t>Guidehouse</w:t>
            </w:r>
            <w:r w:rsidR="00B4649F">
              <w:rPr>
                <w:rFonts w:eastAsia="Calibri" w:cs="Arial"/>
                <w:sz w:val="18"/>
                <w:szCs w:val="18"/>
              </w:rPr>
              <w:t xml:space="preserve"> Evaluation </w:t>
            </w:r>
            <w:r w:rsidR="00BD3636">
              <w:rPr>
                <w:rFonts w:eastAsia="Calibri" w:cs="Arial"/>
                <w:sz w:val="18"/>
                <w:szCs w:val="18"/>
              </w:rPr>
              <w:t>of ComEd</w:t>
            </w:r>
            <w:r w:rsidR="00727EB1">
              <w:rPr>
                <w:rFonts w:eastAsia="Calibri" w:cs="Arial"/>
                <w:sz w:val="18"/>
                <w:szCs w:val="18"/>
              </w:rPr>
              <w:t xml:space="preserve"> </w:t>
            </w:r>
            <w:r w:rsidR="00B4649F">
              <w:rPr>
                <w:rFonts w:eastAsia="Calibri" w:cs="Arial"/>
                <w:sz w:val="18"/>
                <w:szCs w:val="18"/>
              </w:rPr>
              <w:t>Report</w:t>
            </w:r>
            <w:r w:rsidR="002B3297">
              <w:rPr>
                <w:rFonts w:eastAsia="Calibri" w:cs="Arial"/>
                <w:sz w:val="18"/>
                <w:szCs w:val="18"/>
              </w:rPr>
              <w:t>s</w:t>
            </w:r>
          </w:p>
        </w:tc>
      </w:tr>
      <w:tr w:rsidR="001B5EAD" w:rsidRPr="00627713" w14:paraId="0A3A36E8" w14:textId="77777777" w:rsidTr="2C69FB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pct"/>
            <w:vMerge/>
          </w:tcPr>
          <w:p w14:paraId="62D3534D" w14:textId="77777777" w:rsidR="001B5EAD" w:rsidRPr="00627713" w:rsidRDefault="001B5EAD" w:rsidP="002F3AF5">
            <w:pPr>
              <w:rPr>
                <w:rFonts w:eastAsia="Calibri" w:cs="Arial"/>
                <w:sz w:val="18"/>
                <w:szCs w:val="18"/>
              </w:rPr>
            </w:pPr>
          </w:p>
        </w:tc>
        <w:tc>
          <w:tcPr>
            <w:tcW w:w="3113" w:type="pct"/>
            <w:tcBorders>
              <w:top w:val="single" w:sz="4" w:space="0" w:color="60B8CC" w:themeColor="accent4"/>
              <w:bottom w:val="single" w:sz="12" w:space="0" w:color="036479" w:themeColor="accent3"/>
            </w:tcBorders>
          </w:tcPr>
          <w:p w14:paraId="602F9659" w14:textId="77777777" w:rsidR="001B5EAD" w:rsidRPr="00627713" w:rsidRDefault="001B5EAD" w:rsidP="006460B6">
            <w:pPr>
              <w:numPr>
                <w:ilvl w:val="0"/>
                <w:numId w:val="37"/>
              </w:numP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627713">
              <w:rPr>
                <w:rFonts w:eastAsia="Calibri" w:cs="Arial"/>
                <w:sz w:val="18"/>
                <w:szCs w:val="18"/>
              </w:rPr>
              <w:t>Non-Incentive Costs</w:t>
            </w:r>
          </w:p>
          <w:p w14:paraId="1CA7CB52" w14:textId="77777777" w:rsidR="001B5EAD" w:rsidRPr="00627713" w:rsidRDefault="001B5EAD" w:rsidP="006460B6">
            <w:pPr>
              <w:numPr>
                <w:ilvl w:val="0"/>
                <w:numId w:val="37"/>
              </w:numP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627713">
              <w:rPr>
                <w:rFonts w:eastAsia="Calibri" w:cs="Arial"/>
                <w:sz w:val="18"/>
                <w:szCs w:val="18"/>
              </w:rPr>
              <w:t>Utility Incentive Costs</w:t>
            </w:r>
          </w:p>
          <w:p w14:paraId="6C2FCD59" w14:textId="77777777" w:rsidR="001B5EAD" w:rsidRPr="00627713" w:rsidRDefault="001B5EAD" w:rsidP="006460B6">
            <w:pPr>
              <w:numPr>
                <w:ilvl w:val="0"/>
                <w:numId w:val="37"/>
              </w:numP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627713">
              <w:rPr>
                <w:rFonts w:eastAsia="Calibri" w:cs="Arial"/>
                <w:sz w:val="18"/>
                <w:szCs w:val="18"/>
              </w:rPr>
              <w:t>Direct Install Costs</w:t>
            </w:r>
          </w:p>
          <w:p w14:paraId="00E5B0E5" w14:textId="77777777" w:rsidR="001B5EAD" w:rsidRPr="00627713" w:rsidRDefault="001B5EAD" w:rsidP="006460B6">
            <w:pPr>
              <w:numPr>
                <w:ilvl w:val="0"/>
                <w:numId w:val="37"/>
              </w:numP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627713">
              <w:rPr>
                <w:rFonts w:eastAsia="Calibri" w:cs="Arial"/>
                <w:sz w:val="18"/>
                <w:szCs w:val="18"/>
              </w:rPr>
              <w:t xml:space="preserve">Incremental Measure Costs </w:t>
            </w:r>
          </w:p>
        </w:tc>
        <w:tc>
          <w:tcPr>
            <w:tcW w:w="1004" w:type="pct"/>
            <w:tcBorders>
              <w:top w:val="single" w:sz="4" w:space="0" w:color="60B8CC" w:themeColor="accent4"/>
              <w:bottom w:val="single" w:sz="12" w:space="0" w:color="036479" w:themeColor="accent3"/>
            </w:tcBorders>
          </w:tcPr>
          <w:p w14:paraId="06BFE17D" w14:textId="77777777" w:rsidR="001B5EAD" w:rsidRPr="00627713" w:rsidRDefault="001B5EAD" w:rsidP="002F3AF5">
            <w:pP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627713">
              <w:rPr>
                <w:rFonts w:eastAsia="Calibri" w:cs="Arial"/>
                <w:sz w:val="18"/>
                <w:szCs w:val="18"/>
              </w:rPr>
              <w:t>ComEd</w:t>
            </w:r>
          </w:p>
        </w:tc>
      </w:tr>
    </w:tbl>
    <w:bookmarkEnd w:id="46"/>
    <w:p w14:paraId="76590DA0" w14:textId="77777777" w:rsidR="001B5EAD" w:rsidRDefault="001B5EAD" w:rsidP="007B67BA">
      <w:pPr>
        <w:pStyle w:val="Source"/>
      </w:pPr>
      <w:r>
        <w:t>Source: Guidehouse analysis</w:t>
      </w:r>
    </w:p>
    <w:p w14:paraId="0566E5F1" w14:textId="77777777" w:rsidR="007B67BA" w:rsidRDefault="007B67BA" w:rsidP="007B67BA">
      <w:pPr>
        <w:pStyle w:val="Source"/>
      </w:pPr>
    </w:p>
    <w:p w14:paraId="4FBCFB18" w14:textId="50148166" w:rsidR="001B5EAD" w:rsidRPr="00B3164A" w:rsidRDefault="001B5EAD" w:rsidP="001B5EAD">
      <w:pPr>
        <w:pStyle w:val="Heading1"/>
        <w:ind w:left="360" w:hanging="360"/>
      </w:pPr>
      <w:bookmarkStart w:id="47" w:name="_Toc322339902"/>
      <w:bookmarkStart w:id="48" w:name="_Toc322347118"/>
      <w:bookmarkStart w:id="49" w:name="_Toc322347148"/>
      <w:bookmarkStart w:id="50" w:name="_Toc322360262"/>
      <w:bookmarkStart w:id="51" w:name="_Toc322361388"/>
      <w:bookmarkStart w:id="52" w:name="_Toc322361443"/>
      <w:bookmarkStart w:id="53" w:name="_Toc314911366"/>
      <w:bookmarkStart w:id="54" w:name="_Toc441844534"/>
      <w:bookmarkStart w:id="55" w:name="_Toc508267203"/>
      <w:bookmarkStart w:id="56" w:name="_Ref44069055"/>
      <w:bookmarkStart w:id="57" w:name="_Ref68699097"/>
      <w:bookmarkStart w:id="58" w:name="_Ref72835346"/>
      <w:bookmarkStart w:id="59" w:name="_Toc196925662"/>
      <w:bookmarkEnd w:id="47"/>
      <w:bookmarkEnd w:id="48"/>
      <w:bookmarkEnd w:id="49"/>
      <w:bookmarkEnd w:id="50"/>
      <w:bookmarkEnd w:id="51"/>
      <w:bookmarkEnd w:id="52"/>
      <w:r>
        <w:lastRenderedPageBreak/>
        <w:t>Summary of Results and Portfolio-Level Data Inputs</w:t>
      </w:r>
      <w:bookmarkEnd w:id="53"/>
      <w:bookmarkEnd w:id="54"/>
      <w:bookmarkEnd w:id="55"/>
      <w:bookmarkEnd w:id="56"/>
      <w:bookmarkEnd w:id="57"/>
      <w:bookmarkEnd w:id="58"/>
      <w:bookmarkEnd w:id="59"/>
      <w:r>
        <w:t xml:space="preserve"> </w:t>
      </w:r>
    </w:p>
    <w:bookmarkStart w:id="60" w:name="_Toc314911367"/>
    <w:p w14:paraId="1FF9AA54" w14:textId="688A2377" w:rsidR="001B5EAD" w:rsidRPr="006962C7" w:rsidRDefault="001B5EAD" w:rsidP="001B5EAD">
      <w:pPr>
        <w:pStyle w:val="BodyText"/>
        <w:keepNext/>
        <w:keepLines/>
      </w:pPr>
      <w:r>
        <w:fldChar w:fldCharType="begin"/>
      </w:r>
      <w:r>
        <w:instrText xml:space="preserve"> REF _Ref322260124 \h  \* MERGEFORMAT </w:instrText>
      </w:r>
      <w:r>
        <w:fldChar w:fldCharType="separate"/>
      </w:r>
      <w:r w:rsidR="00427EE9" w:rsidRPr="003910C1">
        <w:t xml:space="preserve">Table </w:t>
      </w:r>
      <w:r w:rsidR="00427EE9">
        <w:rPr>
          <w:noProof/>
        </w:rPr>
        <w:t>2</w:t>
      </w:r>
      <w:r w:rsidR="00427EE9" w:rsidRPr="003910C1">
        <w:rPr>
          <w:noProof/>
        </w:rPr>
        <w:noBreakHyphen/>
      </w:r>
      <w:r w:rsidR="00427EE9">
        <w:rPr>
          <w:noProof/>
        </w:rPr>
        <w:t>1</w:t>
      </w:r>
      <w:r>
        <w:fldChar w:fldCharType="end"/>
      </w:r>
      <w:r>
        <w:t xml:space="preserve"> summarizes the </w:t>
      </w:r>
      <w:r w:rsidR="00EC017C" w:rsidRPr="002D421F">
        <w:t>CY202</w:t>
      </w:r>
      <w:r w:rsidR="0064769F">
        <w:t>4</w:t>
      </w:r>
      <w:r w:rsidR="00EC017C" w:rsidRPr="002D421F">
        <w:t xml:space="preserve"> </w:t>
      </w:r>
      <w:r w:rsidR="00B07E5B">
        <w:t>cost-effectiveness</w:t>
      </w:r>
      <w:r>
        <w:t xml:space="preserve"> </w:t>
      </w:r>
      <w:r w:rsidR="00DD087A">
        <w:t xml:space="preserve">analysis </w:t>
      </w:r>
      <w:r>
        <w:t>results by benefit and cost components</w:t>
      </w:r>
      <w:r w:rsidR="00E50193">
        <w:t xml:space="preserve"> relevant </w:t>
      </w:r>
      <w:r w:rsidR="00D93D4C">
        <w:t xml:space="preserve">to each </w:t>
      </w:r>
      <w:r w:rsidR="00E50193">
        <w:t>cost test</w:t>
      </w:r>
      <w:r w:rsidR="00DB3582">
        <w:t xml:space="preserve"> for the portfolio without the inclusion of income eligible components, </w:t>
      </w:r>
      <w:r w:rsidR="00DB3582" w:rsidRPr="006962C7">
        <w:t>or voltage optimization</w:t>
      </w:r>
      <w:r w:rsidRPr="006962C7">
        <w:t xml:space="preserve">. The results </w:t>
      </w:r>
      <w:r w:rsidR="00834194" w:rsidRPr="006962C7">
        <w:t>indicate</w:t>
      </w:r>
      <w:r w:rsidR="00066748" w:rsidRPr="006962C7">
        <w:t xml:space="preserve"> that</w:t>
      </w:r>
      <w:r w:rsidRPr="006962C7">
        <w:t xml:space="preserve"> ComEd’s </w:t>
      </w:r>
      <w:r w:rsidR="00EC017C" w:rsidRPr="006962C7">
        <w:t>CY202</w:t>
      </w:r>
      <w:r w:rsidR="0064769F" w:rsidRPr="006962C7">
        <w:t>4</w:t>
      </w:r>
      <w:r w:rsidR="00EC017C" w:rsidRPr="006962C7">
        <w:t xml:space="preserve"> </w:t>
      </w:r>
      <w:r w:rsidRPr="006962C7">
        <w:t xml:space="preserve">EEPS portfolio is cost-effective under </w:t>
      </w:r>
      <w:r w:rsidR="00834194" w:rsidRPr="006962C7">
        <w:t>both the UCT and the TR</w:t>
      </w:r>
      <w:r w:rsidR="00BE7BDF" w:rsidRPr="006962C7">
        <w:t>C tests</w:t>
      </w:r>
      <w:r w:rsidR="00DB3582" w:rsidRPr="006962C7">
        <w:t xml:space="preserve"> for the Residential and Business sectors</w:t>
      </w:r>
      <w:r w:rsidR="00BE7BDF" w:rsidRPr="006962C7">
        <w:t>.</w:t>
      </w:r>
    </w:p>
    <w:p w14:paraId="48080D7D" w14:textId="0EC79EAC" w:rsidR="001B5EAD" w:rsidRDefault="001B5EAD" w:rsidP="001B5EAD">
      <w:pPr>
        <w:pStyle w:val="Caption"/>
        <w:keepLines/>
        <w:rPr>
          <w:b w:val="0"/>
          <w:bCs w:val="0"/>
          <w:color w:val="FFFFFF"/>
          <w:sz w:val="18"/>
          <w:szCs w:val="18"/>
        </w:rPr>
      </w:pPr>
      <w:bookmarkStart w:id="61" w:name="_Ref322260124"/>
      <w:bookmarkStart w:id="62" w:name="_Ref322260114"/>
      <w:bookmarkStart w:id="63" w:name="_Toc441844559"/>
      <w:bookmarkStart w:id="64" w:name="_Toc508267222"/>
      <w:bookmarkStart w:id="65" w:name="_Toc196925426"/>
      <w:r w:rsidRPr="006962C7">
        <w:t xml:space="preserve">Table </w:t>
      </w:r>
      <w:r w:rsidRPr="006962C7">
        <w:rPr>
          <w:b w:val="0"/>
          <w:bCs w:val="0"/>
        </w:rPr>
        <w:fldChar w:fldCharType="begin"/>
      </w:r>
      <w:r w:rsidRPr="006962C7">
        <w:instrText>STYLEREF 1 \s</w:instrText>
      </w:r>
      <w:r w:rsidRPr="006962C7">
        <w:rPr>
          <w:b w:val="0"/>
          <w:bCs w:val="0"/>
        </w:rPr>
        <w:fldChar w:fldCharType="separate"/>
      </w:r>
      <w:r w:rsidR="00427EE9" w:rsidRPr="006962C7">
        <w:rPr>
          <w:noProof/>
        </w:rPr>
        <w:t>2</w:t>
      </w:r>
      <w:r w:rsidRPr="006962C7">
        <w:rPr>
          <w:b w:val="0"/>
          <w:bCs w:val="0"/>
        </w:rPr>
        <w:fldChar w:fldCharType="end"/>
      </w:r>
      <w:r w:rsidRPr="006962C7">
        <w:noBreakHyphen/>
      </w:r>
      <w:r w:rsidRPr="006962C7">
        <w:rPr>
          <w:b w:val="0"/>
          <w:bCs w:val="0"/>
        </w:rPr>
        <w:fldChar w:fldCharType="begin"/>
      </w:r>
      <w:r w:rsidRPr="006962C7">
        <w:instrText>SEQ Table \* ARABIC \s 1</w:instrText>
      </w:r>
      <w:r w:rsidRPr="006962C7">
        <w:rPr>
          <w:b w:val="0"/>
          <w:bCs w:val="0"/>
        </w:rPr>
        <w:fldChar w:fldCharType="separate"/>
      </w:r>
      <w:r w:rsidR="00427EE9" w:rsidRPr="006962C7">
        <w:rPr>
          <w:noProof/>
        </w:rPr>
        <w:t>1</w:t>
      </w:r>
      <w:r w:rsidRPr="006962C7">
        <w:rPr>
          <w:b w:val="0"/>
          <w:bCs w:val="0"/>
        </w:rPr>
        <w:fldChar w:fldCharType="end"/>
      </w:r>
      <w:bookmarkEnd w:id="61"/>
      <w:r w:rsidRPr="006962C7">
        <w:t>. Summary of ComEd CY202</w:t>
      </w:r>
      <w:r w:rsidR="0064769F" w:rsidRPr="006962C7">
        <w:t>4</w:t>
      </w:r>
      <w:r w:rsidRPr="006962C7">
        <w:t xml:space="preserve"> Residential and Business Sectors’ </w:t>
      </w:r>
      <w:bookmarkEnd w:id="62"/>
      <w:bookmarkEnd w:id="63"/>
      <w:bookmarkEnd w:id="64"/>
      <w:r w:rsidRPr="006962C7">
        <w:t>Cost-Effectiveness Test Values ($ Thousands)</w:t>
      </w:r>
      <w:bookmarkEnd w:id="65"/>
      <w:r w:rsidR="0064246B" w:rsidRPr="003910C1" w:rsidDel="0064246B">
        <w:t xml:space="preserve"> </w:t>
      </w:r>
      <w:bookmarkEnd w:id="60"/>
    </w:p>
    <w:tbl>
      <w:tblPr>
        <w:tblW w:w="5000" w:type="pct"/>
        <w:jc w:val="center"/>
        <w:tblLook w:val="04A0" w:firstRow="1" w:lastRow="0" w:firstColumn="1" w:lastColumn="0" w:noHBand="0" w:noVBand="1"/>
      </w:tblPr>
      <w:tblGrid>
        <w:gridCol w:w="4383"/>
        <w:gridCol w:w="1134"/>
        <w:gridCol w:w="1134"/>
        <w:gridCol w:w="1441"/>
        <w:gridCol w:w="1263"/>
      </w:tblGrid>
      <w:tr w:rsidR="000A1518" w:rsidRPr="00823C7C" w14:paraId="6CBC9784" w14:textId="77777777" w:rsidTr="006D4631">
        <w:trPr>
          <w:trHeight w:val="330"/>
          <w:jc w:val="center"/>
        </w:trPr>
        <w:tc>
          <w:tcPr>
            <w:tcW w:w="2343" w:type="pct"/>
            <w:vMerge w:val="restart"/>
            <w:tcBorders>
              <w:bottom w:val="single" w:sz="12" w:space="0" w:color="93D500" w:themeColor="accent1"/>
            </w:tcBorders>
            <w:shd w:val="clear" w:color="auto" w:fill="036479" w:themeFill="accent3"/>
            <w:noWrap/>
            <w:vAlign w:val="center"/>
            <w:hideMark/>
          </w:tcPr>
          <w:p w14:paraId="5D78582F" w14:textId="77777777" w:rsidR="004E6AE3" w:rsidRPr="00823C7C" w:rsidRDefault="004E6AE3" w:rsidP="00823C7C">
            <w:pPr>
              <w:rPr>
                <w:rFonts w:cs="Arial"/>
                <w:b/>
                <w:color w:val="FFFFFF" w:themeColor="background1"/>
                <w:sz w:val="18"/>
                <w:szCs w:val="18"/>
              </w:rPr>
            </w:pPr>
            <w:bookmarkStart w:id="66" w:name="_Hlk12523924"/>
            <w:r w:rsidRPr="00823C7C">
              <w:rPr>
                <w:rFonts w:cs="Arial"/>
                <w:b/>
                <w:color w:val="FFFFFF" w:themeColor="background1"/>
                <w:sz w:val="18"/>
                <w:szCs w:val="18"/>
              </w:rPr>
              <w:t>Data Point</w:t>
            </w:r>
          </w:p>
        </w:tc>
        <w:tc>
          <w:tcPr>
            <w:tcW w:w="1212" w:type="pct"/>
            <w:gridSpan w:val="2"/>
            <w:shd w:val="clear" w:color="auto" w:fill="036479" w:themeFill="accent3"/>
            <w:noWrap/>
            <w:vAlign w:val="center"/>
            <w:hideMark/>
          </w:tcPr>
          <w:p w14:paraId="6CDBFBDB" w14:textId="77777777" w:rsidR="004E6AE3" w:rsidRPr="00823C7C" w:rsidRDefault="004E6AE3" w:rsidP="004E6AE3">
            <w:pPr>
              <w:jc w:val="center"/>
              <w:rPr>
                <w:rFonts w:cs="Arial"/>
                <w:b/>
                <w:color w:val="FFFFFF" w:themeColor="background1"/>
                <w:sz w:val="18"/>
                <w:szCs w:val="18"/>
              </w:rPr>
            </w:pPr>
            <w:r w:rsidRPr="00823C7C">
              <w:rPr>
                <w:rFonts w:cs="Arial"/>
                <w:b/>
                <w:color w:val="FFFFFF" w:themeColor="background1"/>
                <w:sz w:val="18"/>
                <w:szCs w:val="18"/>
              </w:rPr>
              <w:t>UCT</w:t>
            </w:r>
          </w:p>
        </w:tc>
        <w:tc>
          <w:tcPr>
            <w:tcW w:w="1445" w:type="pct"/>
            <w:gridSpan w:val="2"/>
            <w:tcBorders>
              <w:top w:val="single" w:sz="4" w:space="0" w:color="036479" w:themeColor="accent3"/>
              <w:right w:val="single" w:sz="4" w:space="0" w:color="F2F2F2"/>
            </w:tcBorders>
            <w:shd w:val="clear" w:color="auto" w:fill="036479" w:themeFill="accent3"/>
            <w:noWrap/>
            <w:vAlign w:val="center"/>
            <w:hideMark/>
          </w:tcPr>
          <w:p w14:paraId="4E59F944" w14:textId="77777777" w:rsidR="004E6AE3" w:rsidRPr="00823C7C" w:rsidRDefault="004E6AE3" w:rsidP="004E6AE3">
            <w:pPr>
              <w:jc w:val="center"/>
              <w:rPr>
                <w:rFonts w:cs="Arial"/>
                <w:b/>
                <w:color w:val="FFFFFF" w:themeColor="background1"/>
                <w:sz w:val="18"/>
                <w:szCs w:val="18"/>
              </w:rPr>
            </w:pPr>
            <w:r w:rsidRPr="00823C7C">
              <w:rPr>
                <w:rFonts w:cs="Arial"/>
                <w:b/>
                <w:color w:val="FFFFFF" w:themeColor="background1"/>
                <w:sz w:val="18"/>
                <w:szCs w:val="18"/>
              </w:rPr>
              <w:t>Illinois TRC Test</w:t>
            </w:r>
          </w:p>
        </w:tc>
      </w:tr>
      <w:tr w:rsidR="00C15BB7" w:rsidRPr="00823C7C" w14:paraId="60482CDA" w14:textId="77777777" w:rsidTr="003F3FD9">
        <w:trPr>
          <w:trHeight w:val="714"/>
          <w:jc w:val="center"/>
        </w:trPr>
        <w:tc>
          <w:tcPr>
            <w:tcW w:w="2343" w:type="pct"/>
            <w:vMerge/>
            <w:tcBorders>
              <w:bottom w:val="single" w:sz="12" w:space="0" w:color="93D500" w:themeColor="accent1"/>
            </w:tcBorders>
            <w:shd w:val="clear" w:color="auto" w:fill="036479" w:themeFill="accent3"/>
            <w:vAlign w:val="center"/>
            <w:hideMark/>
          </w:tcPr>
          <w:p w14:paraId="1A0D9FC9" w14:textId="77777777" w:rsidR="00C15BB7" w:rsidRPr="00823C7C" w:rsidRDefault="00C15BB7" w:rsidP="004E6AE3">
            <w:pPr>
              <w:rPr>
                <w:rFonts w:cs="Arial"/>
                <w:b/>
                <w:color w:val="FFFFFF" w:themeColor="background1"/>
                <w:sz w:val="18"/>
                <w:szCs w:val="18"/>
              </w:rPr>
            </w:pPr>
          </w:p>
        </w:tc>
        <w:tc>
          <w:tcPr>
            <w:tcW w:w="606" w:type="pct"/>
            <w:tcBorders>
              <w:bottom w:val="single" w:sz="12" w:space="0" w:color="93D500" w:themeColor="accent1"/>
            </w:tcBorders>
            <w:shd w:val="clear" w:color="auto" w:fill="036479" w:themeFill="accent3"/>
            <w:vAlign w:val="center"/>
            <w:hideMark/>
          </w:tcPr>
          <w:p w14:paraId="17B7AD2D" w14:textId="77777777" w:rsidR="00C15BB7" w:rsidRPr="00823C7C" w:rsidRDefault="00C15BB7" w:rsidP="006D4631">
            <w:pPr>
              <w:jc w:val="right"/>
              <w:rPr>
                <w:rFonts w:cs="Arial"/>
                <w:b/>
                <w:color w:val="FFFFFF" w:themeColor="background1"/>
                <w:sz w:val="18"/>
                <w:szCs w:val="18"/>
              </w:rPr>
            </w:pPr>
            <w:r w:rsidRPr="00823C7C">
              <w:rPr>
                <w:rFonts w:cs="Arial"/>
                <w:b/>
                <w:color w:val="FFFFFF" w:themeColor="background1"/>
                <w:sz w:val="18"/>
                <w:szCs w:val="18"/>
              </w:rPr>
              <w:t>UCT Benefits</w:t>
            </w:r>
          </w:p>
        </w:tc>
        <w:tc>
          <w:tcPr>
            <w:tcW w:w="606" w:type="pct"/>
            <w:tcBorders>
              <w:bottom w:val="single" w:sz="12" w:space="0" w:color="93D500" w:themeColor="accent1"/>
            </w:tcBorders>
            <w:shd w:val="clear" w:color="auto" w:fill="036479" w:themeFill="accent3"/>
            <w:noWrap/>
            <w:vAlign w:val="center"/>
            <w:hideMark/>
          </w:tcPr>
          <w:p w14:paraId="70BC4B61" w14:textId="77777777" w:rsidR="006B57AF" w:rsidRDefault="00C15BB7" w:rsidP="006D4631">
            <w:pPr>
              <w:jc w:val="right"/>
              <w:rPr>
                <w:rFonts w:cs="Arial"/>
                <w:b/>
                <w:color w:val="FFFFFF" w:themeColor="background1"/>
                <w:sz w:val="18"/>
                <w:szCs w:val="18"/>
              </w:rPr>
            </w:pPr>
            <w:r w:rsidRPr="00823C7C">
              <w:rPr>
                <w:rFonts w:cs="Arial"/>
                <w:b/>
                <w:color w:val="FFFFFF" w:themeColor="background1"/>
                <w:sz w:val="18"/>
                <w:szCs w:val="18"/>
              </w:rPr>
              <w:t xml:space="preserve">UCT </w:t>
            </w:r>
          </w:p>
          <w:p w14:paraId="7C7B51F0" w14:textId="5C20C898" w:rsidR="00C15BB7" w:rsidRPr="00823C7C" w:rsidRDefault="00C15BB7" w:rsidP="006D4631">
            <w:pPr>
              <w:jc w:val="right"/>
              <w:rPr>
                <w:rFonts w:cs="Arial"/>
                <w:b/>
                <w:color w:val="FFFFFF" w:themeColor="background1"/>
                <w:sz w:val="18"/>
                <w:szCs w:val="18"/>
              </w:rPr>
            </w:pPr>
            <w:r w:rsidRPr="00823C7C">
              <w:rPr>
                <w:rFonts w:cs="Arial"/>
                <w:b/>
                <w:color w:val="FFFFFF" w:themeColor="background1"/>
                <w:sz w:val="18"/>
                <w:szCs w:val="18"/>
              </w:rPr>
              <w:t>Costs</w:t>
            </w:r>
          </w:p>
        </w:tc>
        <w:tc>
          <w:tcPr>
            <w:tcW w:w="770" w:type="pct"/>
            <w:tcBorders>
              <w:top w:val="nil"/>
              <w:bottom w:val="single" w:sz="12" w:space="0" w:color="93D500" w:themeColor="accent1"/>
            </w:tcBorders>
            <w:shd w:val="clear" w:color="auto" w:fill="036479" w:themeFill="accent3"/>
            <w:vAlign w:val="center"/>
            <w:hideMark/>
          </w:tcPr>
          <w:p w14:paraId="2203660A" w14:textId="77777777" w:rsidR="00C15BB7" w:rsidRPr="00823C7C" w:rsidRDefault="00C15BB7" w:rsidP="006D4631">
            <w:pPr>
              <w:jc w:val="right"/>
              <w:rPr>
                <w:rFonts w:cs="Arial"/>
                <w:b/>
                <w:color w:val="FFFFFF" w:themeColor="background1"/>
                <w:sz w:val="18"/>
                <w:szCs w:val="18"/>
              </w:rPr>
            </w:pPr>
            <w:r w:rsidRPr="00823C7C">
              <w:rPr>
                <w:rFonts w:cs="Arial"/>
                <w:b/>
                <w:color w:val="FFFFFF" w:themeColor="background1"/>
                <w:sz w:val="18"/>
                <w:szCs w:val="18"/>
              </w:rPr>
              <w:t>Illinois TRC Benefits</w:t>
            </w:r>
          </w:p>
        </w:tc>
        <w:tc>
          <w:tcPr>
            <w:tcW w:w="675" w:type="pct"/>
            <w:tcBorders>
              <w:top w:val="nil"/>
              <w:bottom w:val="single" w:sz="12" w:space="0" w:color="93D500" w:themeColor="accent1"/>
              <w:right w:val="single" w:sz="4" w:space="0" w:color="F2F2F2"/>
            </w:tcBorders>
            <w:shd w:val="clear" w:color="auto" w:fill="036479" w:themeFill="accent3"/>
            <w:vAlign w:val="center"/>
            <w:hideMark/>
          </w:tcPr>
          <w:p w14:paraId="776E5F3A" w14:textId="77777777" w:rsidR="00C15BB7" w:rsidRPr="00823C7C" w:rsidRDefault="00C15BB7" w:rsidP="006D4631">
            <w:pPr>
              <w:jc w:val="right"/>
              <w:rPr>
                <w:rFonts w:cs="Arial"/>
                <w:b/>
                <w:color w:val="FFFFFF" w:themeColor="background1"/>
                <w:sz w:val="18"/>
                <w:szCs w:val="18"/>
              </w:rPr>
            </w:pPr>
            <w:r w:rsidRPr="00823C7C">
              <w:rPr>
                <w:rFonts w:cs="Arial"/>
                <w:b/>
                <w:color w:val="FFFFFF" w:themeColor="background1"/>
                <w:sz w:val="18"/>
                <w:szCs w:val="18"/>
              </w:rPr>
              <w:t>Illinois TRC Costs</w:t>
            </w:r>
          </w:p>
        </w:tc>
      </w:tr>
      <w:tr w:rsidR="003F7586" w:rsidRPr="000A46CD" w14:paraId="17088287" w14:textId="77777777">
        <w:trPr>
          <w:trHeight w:val="330"/>
          <w:jc w:val="center"/>
        </w:trPr>
        <w:tc>
          <w:tcPr>
            <w:tcW w:w="2343" w:type="pct"/>
            <w:tcBorders>
              <w:top w:val="single" w:sz="12" w:space="0" w:color="93D500" w:themeColor="accent1"/>
              <w:left w:val="nil"/>
              <w:bottom w:val="single" w:sz="4" w:space="0" w:color="60B8CC" w:themeColor="accent4"/>
              <w:right w:val="nil"/>
            </w:tcBorders>
            <w:shd w:val="clear" w:color="auto" w:fill="auto"/>
            <w:noWrap/>
            <w:vAlign w:val="center"/>
            <w:hideMark/>
          </w:tcPr>
          <w:p w14:paraId="2898ADD6" w14:textId="77777777" w:rsidR="003F7586" w:rsidRPr="008409B5" w:rsidRDefault="003F7586" w:rsidP="003F7586">
            <w:pPr>
              <w:rPr>
                <w:rFonts w:cs="Arial"/>
                <w:color w:val="000000"/>
                <w:sz w:val="18"/>
                <w:szCs w:val="18"/>
              </w:rPr>
            </w:pPr>
            <w:r w:rsidRPr="008409B5">
              <w:rPr>
                <w:rFonts w:cs="Arial"/>
                <w:color w:val="000000"/>
                <w:sz w:val="18"/>
                <w:szCs w:val="18"/>
              </w:rPr>
              <w:t xml:space="preserve">Electricity Cost Changes </w:t>
            </w:r>
          </w:p>
        </w:tc>
        <w:tc>
          <w:tcPr>
            <w:tcW w:w="606" w:type="pct"/>
            <w:tcBorders>
              <w:top w:val="single" w:sz="12" w:space="0" w:color="93D500" w:themeColor="accent1"/>
              <w:left w:val="nil"/>
              <w:bottom w:val="single" w:sz="4" w:space="0" w:color="60B8CC" w:themeColor="accent4"/>
              <w:right w:val="nil"/>
            </w:tcBorders>
            <w:shd w:val="clear" w:color="auto" w:fill="auto"/>
            <w:noWrap/>
            <w:hideMark/>
          </w:tcPr>
          <w:p w14:paraId="0451B1B4" w14:textId="28A107C0" w:rsidR="003F7586" w:rsidRPr="008409B5" w:rsidRDefault="003F7586" w:rsidP="003F7586">
            <w:pPr>
              <w:jc w:val="right"/>
              <w:rPr>
                <w:rFonts w:cs="Arial"/>
                <w:color w:val="000000"/>
                <w:sz w:val="18"/>
                <w:szCs w:val="18"/>
              </w:rPr>
            </w:pPr>
            <w:r w:rsidRPr="00193542">
              <w:rPr>
                <w:sz w:val="18"/>
                <w:szCs w:val="18"/>
              </w:rPr>
              <w:t xml:space="preserve">$566,009 </w:t>
            </w:r>
          </w:p>
        </w:tc>
        <w:tc>
          <w:tcPr>
            <w:tcW w:w="606" w:type="pct"/>
            <w:tcBorders>
              <w:top w:val="single" w:sz="12" w:space="0" w:color="93D500" w:themeColor="accent1"/>
              <w:left w:val="nil"/>
              <w:bottom w:val="single" w:sz="4" w:space="0" w:color="60B8CC" w:themeColor="accent4"/>
              <w:right w:val="nil"/>
            </w:tcBorders>
            <w:shd w:val="clear" w:color="auto" w:fill="auto"/>
            <w:noWrap/>
            <w:hideMark/>
          </w:tcPr>
          <w:p w14:paraId="4D1AFA64" w14:textId="2858F5D3" w:rsidR="003F7586" w:rsidRPr="008409B5" w:rsidRDefault="003F7586" w:rsidP="003F7586">
            <w:pPr>
              <w:jc w:val="right"/>
              <w:rPr>
                <w:rFonts w:cs="Arial"/>
                <w:color w:val="000000"/>
                <w:sz w:val="18"/>
                <w:szCs w:val="18"/>
              </w:rPr>
            </w:pPr>
            <w:r w:rsidRPr="00193542">
              <w:rPr>
                <w:sz w:val="18"/>
                <w:szCs w:val="18"/>
              </w:rPr>
              <w:t xml:space="preserve">$15 </w:t>
            </w:r>
          </w:p>
        </w:tc>
        <w:tc>
          <w:tcPr>
            <w:tcW w:w="770" w:type="pct"/>
            <w:tcBorders>
              <w:top w:val="single" w:sz="12" w:space="0" w:color="93D500" w:themeColor="accent1"/>
              <w:left w:val="nil"/>
              <w:bottom w:val="single" w:sz="4" w:space="0" w:color="60B8CC" w:themeColor="accent4"/>
              <w:right w:val="nil"/>
            </w:tcBorders>
            <w:shd w:val="clear" w:color="auto" w:fill="auto"/>
            <w:noWrap/>
            <w:hideMark/>
          </w:tcPr>
          <w:p w14:paraId="1F04AA6B" w14:textId="346CE686" w:rsidR="003F7586" w:rsidRPr="008409B5" w:rsidRDefault="003F7586" w:rsidP="003F7586">
            <w:pPr>
              <w:jc w:val="right"/>
              <w:rPr>
                <w:rFonts w:cs="Arial"/>
                <w:color w:val="000000"/>
                <w:sz w:val="18"/>
                <w:szCs w:val="18"/>
              </w:rPr>
            </w:pPr>
            <w:r w:rsidRPr="00193542">
              <w:rPr>
                <w:sz w:val="18"/>
                <w:szCs w:val="18"/>
              </w:rPr>
              <w:t xml:space="preserve">$566,009 </w:t>
            </w:r>
          </w:p>
        </w:tc>
        <w:tc>
          <w:tcPr>
            <w:tcW w:w="675" w:type="pct"/>
            <w:tcBorders>
              <w:top w:val="single" w:sz="12" w:space="0" w:color="93D500" w:themeColor="accent1"/>
              <w:left w:val="nil"/>
              <w:bottom w:val="single" w:sz="4" w:space="0" w:color="60B8CC" w:themeColor="accent4"/>
              <w:right w:val="nil"/>
            </w:tcBorders>
            <w:shd w:val="clear" w:color="auto" w:fill="auto"/>
            <w:noWrap/>
            <w:hideMark/>
          </w:tcPr>
          <w:p w14:paraId="110A876B" w14:textId="002A697B" w:rsidR="003F7586" w:rsidRPr="008409B5" w:rsidRDefault="003F7586" w:rsidP="003F7586">
            <w:pPr>
              <w:jc w:val="right"/>
              <w:rPr>
                <w:rFonts w:cs="Arial"/>
                <w:color w:val="000000"/>
                <w:sz w:val="18"/>
                <w:szCs w:val="18"/>
              </w:rPr>
            </w:pPr>
            <w:r w:rsidRPr="00193542">
              <w:rPr>
                <w:sz w:val="18"/>
                <w:szCs w:val="18"/>
              </w:rPr>
              <w:t xml:space="preserve">$15 </w:t>
            </w:r>
          </w:p>
        </w:tc>
      </w:tr>
      <w:tr w:rsidR="003F7586" w:rsidRPr="000A46CD" w14:paraId="2FB983A9" w14:textId="77777777">
        <w:trPr>
          <w:trHeight w:val="330"/>
          <w:jc w:val="center"/>
        </w:trPr>
        <w:tc>
          <w:tcPr>
            <w:tcW w:w="2343" w:type="pct"/>
            <w:tcBorders>
              <w:top w:val="single" w:sz="4" w:space="0" w:color="60B8CC" w:themeColor="accent4"/>
              <w:left w:val="nil"/>
              <w:bottom w:val="single" w:sz="4" w:space="0" w:color="60B8CC" w:themeColor="accent4"/>
              <w:right w:val="nil"/>
            </w:tcBorders>
            <w:shd w:val="clear" w:color="auto" w:fill="auto"/>
            <w:noWrap/>
            <w:vAlign w:val="center"/>
            <w:hideMark/>
          </w:tcPr>
          <w:p w14:paraId="3C8423E0" w14:textId="77777777" w:rsidR="003F7586" w:rsidRPr="008409B5" w:rsidRDefault="003F7586" w:rsidP="003F7586">
            <w:pPr>
              <w:rPr>
                <w:rFonts w:cs="Arial"/>
                <w:color w:val="000000"/>
                <w:sz w:val="18"/>
                <w:szCs w:val="18"/>
              </w:rPr>
            </w:pPr>
            <w:r w:rsidRPr="008409B5">
              <w:rPr>
                <w:rFonts w:cs="Arial"/>
                <w:color w:val="000000"/>
                <w:sz w:val="18"/>
                <w:szCs w:val="18"/>
              </w:rPr>
              <w:t>Fossil Fuel Cost Changes</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34611002" w14:textId="594323F8" w:rsidR="003F7586" w:rsidRPr="008409B5" w:rsidRDefault="003F7586" w:rsidP="003F7586">
            <w:pPr>
              <w:jc w:val="right"/>
              <w:rPr>
                <w:rFonts w:cs="Arial"/>
                <w:color w:val="000000"/>
                <w:sz w:val="18"/>
                <w:szCs w:val="18"/>
              </w:rPr>
            </w:pPr>
            <w:r w:rsidRPr="00193542">
              <w:rPr>
                <w:sz w:val="18"/>
                <w:szCs w:val="18"/>
              </w:rPr>
              <w:t xml:space="preserve">$114,054 </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0AAFE915" w14:textId="2BFF38A3" w:rsidR="003F7586" w:rsidRPr="008409B5" w:rsidRDefault="003F7586" w:rsidP="003F7586">
            <w:pPr>
              <w:jc w:val="right"/>
              <w:rPr>
                <w:rFonts w:cs="Arial"/>
                <w:color w:val="000000"/>
                <w:sz w:val="18"/>
                <w:szCs w:val="18"/>
              </w:rPr>
            </w:pPr>
            <w:r w:rsidRPr="00193542">
              <w:rPr>
                <w:sz w:val="18"/>
                <w:szCs w:val="18"/>
              </w:rPr>
              <w:t xml:space="preserve">$4,037 </w:t>
            </w:r>
          </w:p>
        </w:tc>
        <w:tc>
          <w:tcPr>
            <w:tcW w:w="770" w:type="pct"/>
            <w:tcBorders>
              <w:top w:val="single" w:sz="4" w:space="0" w:color="60B8CC" w:themeColor="accent4"/>
              <w:left w:val="nil"/>
              <w:bottom w:val="single" w:sz="4" w:space="0" w:color="60B8CC" w:themeColor="accent4"/>
              <w:right w:val="nil"/>
            </w:tcBorders>
            <w:shd w:val="clear" w:color="auto" w:fill="auto"/>
            <w:noWrap/>
            <w:hideMark/>
          </w:tcPr>
          <w:p w14:paraId="198D81A1" w14:textId="3C975385" w:rsidR="003F7586" w:rsidRPr="008409B5" w:rsidRDefault="003F7586" w:rsidP="003F7586">
            <w:pPr>
              <w:jc w:val="right"/>
              <w:rPr>
                <w:rFonts w:cs="Arial"/>
                <w:color w:val="000000"/>
                <w:sz w:val="18"/>
                <w:szCs w:val="18"/>
              </w:rPr>
            </w:pPr>
            <w:r w:rsidRPr="00193542">
              <w:rPr>
                <w:sz w:val="18"/>
                <w:szCs w:val="18"/>
              </w:rPr>
              <w:t xml:space="preserve">$114,054 </w:t>
            </w:r>
          </w:p>
        </w:tc>
        <w:tc>
          <w:tcPr>
            <w:tcW w:w="675" w:type="pct"/>
            <w:tcBorders>
              <w:top w:val="single" w:sz="4" w:space="0" w:color="60B8CC" w:themeColor="accent4"/>
              <w:left w:val="nil"/>
              <w:bottom w:val="single" w:sz="4" w:space="0" w:color="60B8CC" w:themeColor="accent4"/>
              <w:right w:val="nil"/>
            </w:tcBorders>
            <w:shd w:val="clear" w:color="auto" w:fill="auto"/>
            <w:noWrap/>
            <w:hideMark/>
          </w:tcPr>
          <w:p w14:paraId="64B2BD66" w14:textId="0DD38B69" w:rsidR="003F7586" w:rsidRPr="008409B5" w:rsidRDefault="003F7586" w:rsidP="003F7586">
            <w:pPr>
              <w:jc w:val="right"/>
              <w:rPr>
                <w:rFonts w:cs="Arial"/>
                <w:color w:val="000000"/>
                <w:sz w:val="18"/>
                <w:szCs w:val="18"/>
              </w:rPr>
            </w:pPr>
            <w:r w:rsidRPr="00193542">
              <w:rPr>
                <w:sz w:val="18"/>
                <w:szCs w:val="18"/>
              </w:rPr>
              <w:t xml:space="preserve">$4,037 </w:t>
            </w:r>
          </w:p>
        </w:tc>
      </w:tr>
      <w:tr w:rsidR="003F7586" w:rsidRPr="000A46CD" w14:paraId="0C75D392" w14:textId="77777777">
        <w:trPr>
          <w:trHeight w:val="330"/>
          <w:jc w:val="center"/>
        </w:trPr>
        <w:tc>
          <w:tcPr>
            <w:tcW w:w="2343" w:type="pct"/>
            <w:tcBorders>
              <w:top w:val="single" w:sz="4" w:space="0" w:color="60B8CC" w:themeColor="accent4"/>
              <w:left w:val="nil"/>
              <w:bottom w:val="single" w:sz="4" w:space="0" w:color="60B8CC" w:themeColor="accent4"/>
              <w:right w:val="nil"/>
            </w:tcBorders>
            <w:shd w:val="clear" w:color="auto" w:fill="auto"/>
            <w:noWrap/>
            <w:vAlign w:val="center"/>
            <w:hideMark/>
          </w:tcPr>
          <w:p w14:paraId="7AFCAA15" w14:textId="77777777" w:rsidR="003F7586" w:rsidRPr="008409B5" w:rsidRDefault="003F7586" w:rsidP="003F7586">
            <w:pPr>
              <w:rPr>
                <w:rFonts w:cs="Arial"/>
                <w:color w:val="000000"/>
                <w:sz w:val="18"/>
                <w:szCs w:val="18"/>
              </w:rPr>
            </w:pPr>
            <w:r w:rsidRPr="008409B5">
              <w:rPr>
                <w:rFonts w:cs="Arial"/>
                <w:color w:val="000000"/>
                <w:sz w:val="18"/>
                <w:szCs w:val="18"/>
              </w:rPr>
              <w:t>Water Cost Changes</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4A15D09A" w14:textId="6BF1CCB0" w:rsidR="003F7586" w:rsidRPr="008409B5" w:rsidRDefault="003F7586" w:rsidP="003F7586">
            <w:pPr>
              <w:jc w:val="right"/>
              <w:rPr>
                <w:rFonts w:cs="Arial"/>
                <w:color w:val="000000"/>
                <w:sz w:val="18"/>
                <w:szCs w:val="18"/>
              </w:rPr>
            </w:pPr>
            <w:r w:rsidRPr="00193542">
              <w:rPr>
                <w:sz w:val="18"/>
                <w:szCs w:val="18"/>
              </w:rPr>
              <w:t>N/A</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41F09038" w14:textId="4799D3E5" w:rsidR="003F7586" w:rsidRPr="008409B5" w:rsidRDefault="003F7586" w:rsidP="003F7586">
            <w:pPr>
              <w:jc w:val="right"/>
              <w:rPr>
                <w:rFonts w:cs="Arial"/>
                <w:color w:val="000000"/>
                <w:sz w:val="18"/>
                <w:szCs w:val="18"/>
              </w:rPr>
            </w:pPr>
            <w:r w:rsidRPr="00193542">
              <w:rPr>
                <w:sz w:val="18"/>
                <w:szCs w:val="18"/>
              </w:rPr>
              <w:t>N/A</w:t>
            </w:r>
          </w:p>
        </w:tc>
        <w:tc>
          <w:tcPr>
            <w:tcW w:w="770" w:type="pct"/>
            <w:tcBorders>
              <w:top w:val="single" w:sz="4" w:space="0" w:color="60B8CC" w:themeColor="accent4"/>
              <w:left w:val="nil"/>
              <w:bottom w:val="single" w:sz="4" w:space="0" w:color="60B8CC" w:themeColor="accent4"/>
              <w:right w:val="nil"/>
            </w:tcBorders>
            <w:shd w:val="clear" w:color="auto" w:fill="auto"/>
            <w:noWrap/>
            <w:hideMark/>
          </w:tcPr>
          <w:p w14:paraId="44D979E1" w14:textId="3322D76E" w:rsidR="003F7586" w:rsidRPr="008409B5" w:rsidRDefault="003F7586" w:rsidP="003F7586">
            <w:pPr>
              <w:jc w:val="right"/>
              <w:rPr>
                <w:rFonts w:cs="Arial"/>
                <w:color w:val="000000"/>
                <w:sz w:val="18"/>
                <w:szCs w:val="18"/>
              </w:rPr>
            </w:pPr>
            <w:r w:rsidRPr="00193542">
              <w:rPr>
                <w:sz w:val="18"/>
                <w:szCs w:val="18"/>
              </w:rPr>
              <w:t xml:space="preserve">$27,632 </w:t>
            </w:r>
          </w:p>
        </w:tc>
        <w:tc>
          <w:tcPr>
            <w:tcW w:w="675" w:type="pct"/>
            <w:tcBorders>
              <w:top w:val="single" w:sz="4" w:space="0" w:color="60B8CC" w:themeColor="accent4"/>
              <w:left w:val="nil"/>
              <w:bottom w:val="single" w:sz="4" w:space="0" w:color="60B8CC" w:themeColor="accent4"/>
              <w:right w:val="nil"/>
            </w:tcBorders>
            <w:shd w:val="clear" w:color="auto" w:fill="auto"/>
            <w:noWrap/>
            <w:hideMark/>
          </w:tcPr>
          <w:p w14:paraId="662575CB" w14:textId="162889ED" w:rsidR="003F7586" w:rsidRPr="008409B5" w:rsidRDefault="003F7586" w:rsidP="003F7586">
            <w:pPr>
              <w:jc w:val="right"/>
              <w:rPr>
                <w:rFonts w:cs="Arial"/>
                <w:color w:val="000000"/>
                <w:sz w:val="18"/>
                <w:szCs w:val="18"/>
              </w:rPr>
            </w:pPr>
            <w:r w:rsidRPr="00193542">
              <w:rPr>
                <w:sz w:val="18"/>
                <w:szCs w:val="18"/>
              </w:rPr>
              <w:t xml:space="preserve">$0 </w:t>
            </w:r>
          </w:p>
        </w:tc>
      </w:tr>
      <w:tr w:rsidR="003F7586" w:rsidRPr="000A46CD" w14:paraId="21620074" w14:textId="77777777">
        <w:trPr>
          <w:trHeight w:val="330"/>
          <w:jc w:val="center"/>
        </w:trPr>
        <w:tc>
          <w:tcPr>
            <w:tcW w:w="2343" w:type="pct"/>
            <w:tcBorders>
              <w:top w:val="single" w:sz="4" w:space="0" w:color="60B8CC" w:themeColor="accent4"/>
              <w:left w:val="nil"/>
              <w:bottom w:val="single" w:sz="4" w:space="0" w:color="60B8CC" w:themeColor="accent4"/>
              <w:right w:val="nil"/>
            </w:tcBorders>
            <w:shd w:val="clear" w:color="auto" w:fill="auto"/>
            <w:noWrap/>
            <w:vAlign w:val="center"/>
            <w:hideMark/>
          </w:tcPr>
          <w:p w14:paraId="1F424F13" w14:textId="77777777" w:rsidR="003F7586" w:rsidRPr="008409B5" w:rsidRDefault="003F7586" w:rsidP="003F7586">
            <w:pPr>
              <w:rPr>
                <w:rFonts w:cs="Arial"/>
                <w:color w:val="000000"/>
                <w:sz w:val="18"/>
                <w:szCs w:val="18"/>
              </w:rPr>
            </w:pPr>
            <w:r w:rsidRPr="008409B5">
              <w:rPr>
                <w:rFonts w:cs="Arial"/>
                <w:color w:val="000000"/>
                <w:sz w:val="18"/>
                <w:szCs w:val="18"/>
              </w:rPr>
              <w:t>Environmental Adder (GHGs)</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4DE046DF" w14:textId="2E535EDE" w:rsidR="003F7586" w:rsidRPr="008409B5" w:rsidRDefault="003F7586" w:rsidP="003F7586">
            <w:pPr>
              <w:jc w:val="right"/>
              <w:rPr>
                <w:rFonts w:cs="Arial"/>
                <w:color w:val="000000"/>
                <w:sz w:val="18"/>
                <w:szCs w:val="18"/>
              </w:rPr>
            </w:pPr>
            <w:r w:rsidRPr="00193542">
              <w:rPr>
                <w:sz w:val="18"/>
                <w:szCs w:val="18"/>
              </w:rPr>
              <w:t>N/A</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300BB0FB" w14:textId="60380C34" w:rsidR="003F7586" w:rsidRPr="008409B5" w:rsidRDefault="003F7586" w:rsidP="003F7586">
            <w:pPr>
              <w:jc w:val="right"/>
              <w:rPr>
                <w:rFonts w:cs="Arial"/>
                <w:color w:val="000000"/>
                <w:sz w:val="18"/>
                <w:szCs w:val="18"/>
              </w:rPr>
            </w:pPr>
            <w:r w:rsidRPr="00193542">
              <w:rPr>
                <w:sz w:val="18"/>
                <w:szCs w:val="18"/>
              </w:rPr>
              <w:t>N/A</w:t>
            </w:r>
          </w:p>
        </w:tc>
        <w:tc>
          <w:tcPr>
            <w:tcW w:w="770" w:type="pct"/>
            <w:tcBorders>
              <w:top w:val="single" w:sz="4" w:space="0" w:color="60B8CC" w:themeColor="accent4"/>
              <w:left w:val="nil"/>
              <w:bottom w:val="single" w:sz="4" w:space="0" w:color="60B8CC" w:themeColor="accent4"/>
              <w:right w:val="nil"/>
            </w:tcBorders>
            <w:shd w:val="clear" w:color="auto" w:fill="auto"/>
            <w:noWrap/>
            <w:hideMark/>
          </w:tcPr>
          <w:p w14:paraId="4B914A1A" w14:textId="642B489A" w:rsidR="003F7586" w:rsidRPr="008409B5" w:rsidRDefault="003F7586" w:rsidP="003F7586">
            <w:pPr>
              <w:jc w:val="right"/>
              <w:rPr>
                <w:rFonts w:cs="Arial"/>
                <w:color w:val="000000"/>
                <w:sz w:val="18"/>
                <w:szCs w:val="18"/>
              </w:rPr>
            </w:pPr>
            <w:r w:rsidRPr="00193542">
              <w:rPr>
                <w:sz w:val="18"/>
                <w:szCs w:val="18"/>
              </w:rPr>
              <w:t xml:space="preserve">$384,820 </w:t>
            </w:r>
          </w:p>
        </w:tc>
        <w:tc>
          <w:tcPr>
            <w:tcW w:w="675" w:type="pct"/>
            <w:tcBorders>
              <w:top w:val="single" w:sz="4" w:space="0" w:color="60B8CC" w:themeColor="accent4"/>
              <w:left w:val="nil"/>
              <w:bottom w:val="single" w:sz="4" w:space="0" w:color="60B8CC" w:themeColor="accent4"/>
              <w:right w:val="nil"/>
            </w:tcBorders>
            <w:shd w:val="clear" w:color="auto" w:fill="auto"/>
            <w:noWrap/>
            <w:hideMark/>
          </w:tcPr>
          <w:p w14:paraId="1FD494C6" w14:textId="2191AEC7" w:rsidR="003F7586" w:rsidRPr="008409B5" w:rsidRDefault="003F7586" w:rsidP="003F7586">
            <w:pPr>
              <w:jc w:val="right"/>
              <w:rPr>
                <w:rFonts w:cs="Arial"/>
                <w:color w:val="000000"/>
                <w:sz w:val="18"/>
                <w:szCs w:val="18"/>
              </w:rPr>
            </w:pPr>
            <w:r w:rsidRPr="00193542">
              <w:rPr>
                <w:sz w:val="18"/>
                <w:szCs w:val="18"/>
              </w:rPr>
              <w:t xml:space="preserve">$0 </w:t>
            </w:r>
          </w:p>
        </w:tc>
      </w:tr>
      <w:tr w:rsidR="003F7586" w:rsidRPr="000A46CD" w14:paraId="3D815A34" w14:textId="77777777">
        <w:trPr>
          <w:trHeight w:val="330"/>
          <w:jc w:val="center"/>
        </w:trPr>
        <w:tc>
          <w:tcPr>
            <w:tcW w:w="2343" w:type="pct"/>
            <w:tcBorders>
              <w:top w:val="single" w:sz="4" w:space="0" w:color="60B8CC" w:themeColor="accent4"/>
              <w:left w:val="nil"/>
              <w:bottom w:val="single" w:sz="4" w:space="0" w:color="60B8CC" w:themeColor="accent4"/>
              <w:right w:val="nil"/>
            </w:tcBorders>
            <w:shd w:val="clear" w:color="auto" w:fill="auto"/>
            <w:noWrap/>
            <w:vAlign w:val="center"/>
            <w:hideMark/>
          </w:tcPr>
          <w:p w14:paraId="47B8182A" w14:textId="77777777" w:rsidR="003F7586" w:rsidRPr="008409B5" w:rsidRDefault="003F7586" w:rsidP="003F7586">
            <w:pPr>
              <w:rPr>
                <w:rFonts w:cs="Arial"/>
                <w:color w:val="000000"/>
                <w:sz w:val="18"/>
                <w:szCs w:val="18"/>
              </w:rPr>
            </w:pPr>
            <w:r w:rsidRPr="008409B5">
              <w:rPr>
                <w:rFonts w:cs="Arial"/>
                <w:color w:val="000000"/>
                <w:sz w:val="18"/>
                <w:szCs w:val="18"/>
              </w:rPr>
              <w:t>Societal NEI Benefit</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7C83DBAB" w14:textId="041B4747" w:rsidR="003F7586" w:rsidRPr="008409B5" w:rsidRDefault="003F7586" w:rsidP="003F7586">
            <w:pPr>
              <w:jc w:val="right"/>
              <w:rPr>
                <w:rFonts w:cs="Arial"/>
                <w:color w:val="000000"/>
                <w:sz w:val="18"/>
                <w:szCs w:val="18"/>
              </w:rPr>
            </w:pPr>
            <w:r w:rsidRPr="00193542">
              <w:rPr>
                <w:sz w:val="18"/>
                <w:szCs w:val="18"/>
              </w:rPr>
              <w:t>N/A</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698F3C35" w14:textId="3E770C91" w:rsidR="003F7586" w:rsidRPr="008409B5" w:rsidRDefault="003F7586" w:rsidP="003F7586">
            <w:pPr>
              <w:jc w:val="right"/>
              <w:rPr>
                <w:rFonts w:cs="Arial"/>
                <w:color w:val="000000"/>
                <w:sz w:val="18"/>
                <w:szCs w:val="18"/>
              </w:rPr>
            </w:pPr>
            <w:r w:rsidRPr="00193542">
              <w:rPr>
                <w:sz w:val="18"/>
                <w:szCs w:val="18"/>
              </w:rPr>
              <w:t>N/A</w:t>
            </w:r>
          </w:p>
        </w:tc>
        <w:tc>
          <w:tcPr>
            <w:tcW w:w="770" w:type="pct"/>
            <w:tcBorders>
              <w:top w:val="single" w:sz="4" w:space="0" w:color="60B8CC" w:themeColor="accent4"/>
              <w:left w:val="nil"/>
              <w:bottom w:val="single" w:sz="4" w:space="0" w:color="60B8CC" w:themeColor="accent4"/>
              <w:right w:val="nil"/>
            </w:tcBorders>
            <w:shd w:val="clear" w:color="auto" w:fill="auto"/>
            <w:noWrap/>
            <w:hideMark/>
          </w:tcPr>
          <w:p w14:paraId="3705BEA8" w14:textId="7CDCFF89" w:rsidR="003F7586" w:rsidRPr="008409B5" w:rsidRDefault="003F7586" w:rsidP="003F7586">
            <w:pPr>
              <w:jc w:val="right"/>
              <w:rPr>
                <w:rFonts w:cs="Arial"/>
                <w:color w:val="000000"/>
                <w:sz w:val="18"/>
                <w:szCs w:val="18"/>
              </w:rPr>
            </w:pPr>
            <w:r w:rsidRPr="00193542">
              <w:rPr>
                <w:sz w:val="18"/>
                <w:szCs w:val="18"/>
              </w:rPr>
              <w:t xml:space="preserve">$1,127,862 </w:t>
            </w:r>
          </w:p>
        </w:tc>
        <w:tc>
          <w:tcPr>
            <w:tcW w:w="675" w:type="pct"/>
            <w:tcBorders>
              <w:top w:val="single" w:sz="4" w:space="0" w:color="60B8CC" w:themeColor="accent4"/>
              <w:left w:val="nil"/>
              <w:bottom w:val="single" w:sz="4" w:space="0" w:color="60B8CC" w:themeColor="accent4"/>
              <w:right w:val="nil"/>
            </w:tcBorders>
            <w:shd w:val="clear" w:color="auto" w:fill="auto"/>
            <w:noWrap/>
            <w:hideMark/>
          </w:tcPr>
          <w:p w14:paraId="7270011B" w14:textId="60F27E11" w:rsidR="003F7586" w:rsidRPr="008409B5" w:rsidRDefault="003F7586" w:rsidP="003F7586">
            <w:pPr>
              <w:jc w:val="right"/>
              <w:rPr>
                <w:rFonts w:cs="Arial"/>
                <w:color w:val="000000"/>
                <w:sz w:val="18"/>
                <w:szCs w:val="18"/>
              </w:rPr>
            </w:pPr>
            <w:r w:rsidRPr="00193542">
              <w:rPr>
                <w:sz w:val="18"/>
                <w:szCs w:val="18"/>
              </w:rPr>
              <w:t xml:space="preserve">$0 </w:t>
            </w:r>
          </w:p>
        </w:tc>
      </w:tr>
      <w:tr w:rsidR="003F7586" w:rsidRPr="000A46CD" w14:paraId="4629EC40" w14:textId="77777777">
        <w:trPr>
          <w:trHeight w:val="330"/>
          <w:jc w:val="center"/>
        </w:trPr>
        <w:tc>
          <w:tcPr>
            <w:tcW w:w="2343" w:type="pct"/>
            <w:tcBorders>
              <w:top w:val="single" w:sz="4" w:space="0" w:color="60B8CC" w:themeColor="accent4"/>
              <w:left w:val="nil"/>
              <w:bottom w:val="single" w:sz="4" w:space="0" w:color="60B8CC" w:themeColor="accent4"/>
              <w:right w:val="nil"/>
            </w:tcBorders>
            <w:shd w:val="clear" w:color="auto" w:fill="auto"/>
            <w:noWrap/>
            <w:vAlign w:val="center"/>
            <w:hideMark/>
          </w:tcPr>
          <w:p w14:paraId="266E63FE" w14:textId="089A92AD" w:rsidR="003F7586" w:rsidRPr="008409B5" w:rsidRDefault="003F7586" w:rsidP="003F7586">
            <w:pPr>
              <w:rPr>
                <w:rFonts w:cs="Arial"/>
                <w:color w:val="000000"/>
                <w:sz w:val="18"/>
                <w:szCs w:val="18"/>
              </w:rPr>
            </w:pPr>
            <w:r w:rsidRPr="008409B5">
              <w:rPr>
                <w:rFonts w:cs="Arial"/>
                <w:color w:val="000000"/>
                <w:sz w:val="18"/>
                <w:szCs w:val="18"/>
              </w:rPr>
              <w:t>NPV Replacement Costs</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73FEDEB6" w14:textId="63F75BCD" w:rsidR="003F7586" w:rsidRPr="008409B5" w:rsidRDefault="003F7586" w:rsidP="003F7586">
            <w:pPr>
              <w:jc w:val="right"/>
              <w:rPr>
                <w:rFonts w:cs="Arial"/>
                <w:color w:val="000000"/>
                <w:sz w:val="18"/>
                <w:szCs w:val="18"/>
              </w:rPr>
            </w:pPr>
            <w:r w:rsidRPr="00193542">
              <w:rPr>
                <w:sz w:val="18"/>
                <w:szCs w:val="18"/>
              </w:rPr>
              <w:t>N/A</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13B2EB59" w14:textId="72012B9A" w:rsidR="003F7586" w:rsidRPr="008409B5" w:rsidRDefault="003F7586" w:rsidP="003F7586">
            <w:pPr>
              <w:jc w:val="right"/>
              <w:rPr>
                <w:rFonts w:cs="Arial"/>
                <w:color w:val="000000"/>
                <w:sz w:val="18"/>
                <w:szCs w:val="18"/>
              </w:rPr>
            </w:pPr>
            <w:r w:rsidRPr="00193542">
              <w:rPr>
                <w:sz w:val="18"/>
                <w:szCs w:val="18"/>
              </w:rPr>
              <w:t>N/A</w:t>
            </w:r>
          </w:p>
        </w:tc>
        <w:tc>
          <w:tcPr>
            <w:tcW w:w="770" w:type="pct"/>
            <w:tcBorders>
              <w:top w:val="single" w:sz="4" w:space="0" w:color="60B8CC" w:themeColor="accent4"/>
              <w:left w:val="nil"/>
              <w:bottom w:val="single" w:sz="4" w:space="0" w:color="60B8CC" w:themeColor="accent4"/>
              <w:right w:val="nil"/>
            </w:tcBorders>
            <w:shd w:val="clear" w:color="auto" w:fill="auto"/>
            <w:noWrap/>
            <w:hideMark/>
          </w:tcPr>
          <w:p w14:paraId="51FB794B" w14:textId="46203284" w:rsidR="003F7586" w:rsidRPr="008409B5" w:rsidRDefault="003F7586" w:rsidP="003F7586">
            <w:pPr>
              <w:jc w:val="right"/>
              <w:rPr>
                <w:rFonts w:cs="Arial"/>
                <w:color w:val="000000"/>
                <w:sz w:val="18"/>
                <w:szCs w:val="18"/>
              </w:rPr>
            </w:pPr>
            <w:r w:rsidRPr="00193542">
              <w:rPr>
                <w:sz w:val="18"/>
                <w:szCs w:val="18"/>
              </w:rPr>
              <w:t xml:space="preserve">$0 </w:t>
            </w:r>
          </w:p>
        </w:tc>
        <w:tc>
          <w:tcPr>
            <w:tcW w:w="675" w:type="pct"/>
            <w:tcBorders>
              <w:top w:val="single" w:sz="4" w:space="0" w:color="60B8CC" w:themeColor="accent4"/>
              <w:left w:val="nil"/>
              <w:bottom w:val="single" w:sz="4" w:space="0" w:color="60B8CC" w:themeColor="accent4"/>
              <w:right w:val="nil"/>
            </w:tcBorders>
            <w:shd w:val="clear" w:color="auto" w:fill="auto"/>
            <w:noWrap/>
            <w:hideMark/>
          </w:tcPr>
          <w:p w14:paraId="3769026C" w14:textId="6F9022C1" w:rsidR="003F7586" w:rsidRPr="008409B5" w:rsidRDefault="003F7586" w:rsidP="003F7586">
            <w:pPr>
              <w:jc w:val="right"/>
              <w:rPr>
                <w:rFonts w:cs="Arial"/>
                <w:color w:val="000000"/>
                <w:sz w:val="18"/>
                <w:szCs w:val="18"/>
              </w:rPr>
            </w:pPr>
            <w:r w:rsidRPr="00193542">
              <w:rPr>
                <w:sz w:val="18"/>
                <w:szCs w:val="18"/>
              </w:rPr>
              <w:t xml:space="preserve">$0 </w:t>
            </w:r>
          </w:p>
        </w:tc>
      </w:tr>
      <w:tr w:rsidR="003F7586" w:rsidRPr="000A46CD" w14:paraId="05464218" w14:textId="77777777">
        <w:trPr>
          <w:trHeight w:val="330"/>
          <w:jc w:val="center"/>
        </w:trPr>
        <w:tc>
          <w:tcPr>
            <w:tcW w:w="2343" w:type="pct"/>
            <w:tcBorders>
              <w:top w:val="single" w:sz="4" w:space="0" w:color="60B8CC" w:themeColor="accent4"/>
              <w:left w:val="nil"/>
              <w:bottom w:val="single" w:sz="4" w:space="0" w:color="60B8CC" w:themeColor="accent4"/>
              <w:right w:val="nil"/>
            </w:tcBorders>
            <w:shd w:val="clear" w:color="auto" w:fill="auto"/>
            <w:noWrap/>
            <w:vAlign w:val="center"/>
            <w:hideMark/>
          </w:tcPr>
          <w:p w14:paraId="51593DDF" w14:textId="77777777" w:rsidR="003F7586" w:rsidRPr="008409B5" w:rsidRDefault="003F7586" w:rsidP="003F7586">
            <w:pPr>
              <w:rPr>
                <w:rFonts w:cs="Arial"/>
                <w:color w:val="000000"/>
                <w:sz w:val="18"/>
                <w:szCs w:val="18"/>
              </w:rPr>
            </w:pPr>
            <w:r w:rsidRPr="008409B5">
              <w:rPr>
                <w:rFonts w:cs="Arial"/>
                <w:color w:val="000000"/>
                <w:sz w:val="18"/>
                <w:szCs w:val="18"/>
              </w:rPr>
              <w:t>Non-Incentive Costs</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67A7800E" w14:textId="0D5374A2" w:rsidR="003F7586" w:rsidRPr="008409B5" w:rsidRDefault="003F7586" w:rsidP="003F7586">
            <w:pPr>
              <w:jc w:val="right"/>
              <w:rPr>
                <w:rFonts w:cs="Arial"/>
                <w:color w:val="000000"/>
                <w:sz w:val="18"/>
                <w:szCs w:val="18"/>
              </w:rPr>
            </w:pPr>
            <w:r w:rsidRPr="00193542">
              <w:rPr>
                <w:sz w:val="18"/>
                <w:szCs w:val="18"/>
              </w:rPr>
              <w:t>N/A</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1FE89671" w14:textId="148EE587" w:rsidR="003F7586" w:rsidRPr="008409B5" w:rsidRDefault="003F7586" w:rsidP="003F7586">
            <w:pPr>
              <w:jc w:val="right"/>
              <w:rPr>
                <w:rFonts w:cs="Arial"/>
                <w:color w:val="000000"/>
                <w:sz w:val="18"/>
                <w:szCs w:val="18"/>
              </w:rPr>
            </w:pPr>
            <w:r w:rsidRPr="00193542">
              <w:rPr>
                <w:sz w:val="18"/>
                <w:szCs w:val="18"/>
              </w:rPr>
              <w:t xml:space="preserve">$130,589 </w:t>
            </w:r>
          </w:p>
        </w:tc>
        <w:tc>
          <w:tcPr>
            <w:tcW w:w="770" w:type="pct"/>
            <w:tcBorders>
              <w:top w:val="single" w:sz="4" w:space="0" w:color="60B8CC" w:themeColor="accent4"/>
              <w:left w:val="nil"/>
              <w:bottom w:val="single" w:sz="4" w:space="0" w:color="60B8CC" w:themeColor="accent4"/>
              <w:right w:val="nil"/>
            </w:tcBorders>
            <w:shd w:val="clear" w:color="auto" w:fill="auto"/>
            <w:noWrap/>
            <w:hideMark/>
          </w:tcPr>
          <w:p w14:paraId="38E04278" w14:textId="567A70D3" w:rsidR="003F7586" w:rsidRPr="008409B5" w:rsidRDefault="003F7586" w:rsidP="003F7586">
            <w:pPr>
              <w:jc w:val="right"/>
              <w:rPr>
                <w:rFonts w:cs="Arial"/>
                <w:color w:val="000000"/>
                <w:sz w:val="18"/>
                <w:szCs w:val="18"/>
              </w:rPr>
            </w:pPr>
            <w:r w:rsidRPr="00193542">
              <w:rPr>
                <w:sz w:val="18"/>
                <w:szCs w:val="18"/>
              </w:rPr>
              <w:t>N/A</w:t>
            </w:r>
          </w:p>
        </w:tc>
        <w:tc>
          <w:tcPr>
            <w:tcW w:w="675" w:type="pct"/>
            <w:tcBorders>
              <w:top w:val="single" w:sz="4" w:space="0" w:color="60B8CC" w:themeColor="accent4"/>
              <w:left w:val="nil"/>
              <w:bottom w:val="single" w:sz="4" w:space="0" w:color="60B8CC" w:themeColor="accent4"/>
              <w:right w:val="nil"/>
            </w:tcBorders>
            <w:shd w:val="clear" w:color="auto" w:fill="auto"/>
            <w:noWrap/>
            <w:hideMark/>
          </w:tcPr>
          <w:p w14:paraId="0E62D222" w14:textId="71AF3B80" w:rsidR="003F7586" w:rsidRPr="008409B5" w:rsidRDefault="003F7586" w:rsidP="003F7586">
            <w:pPr>
              <w:jc w:val="right"/>
              <w:rPr>
                <w:rFonts w:cs="Arial"/>
                <w:color w:val="000000"/>
                <w:sz w:val="18"/>
                <w:szCs w:val="18"/>
              </w:rPr>
            </w:pPr>
            <w:r w:rsidRPr="00193542">
              <w:rPr>
                <w:sz w:val="18"/>
                <w:szCs w:val="18"/>
              </w:rPr>
              <w:t xml:space="preserve">$130,589 </w:t>
            </w:r>
          </w:p>
        </w:tc>
      </w:tr>
      <w:tr w:rsidR="003F7586" w:rsidRPr="000A46CD" w14:paraId="407AA6B5" w14:textId="77777777">
        <w:trPr>
          <w:trHeight w:val="330"/>
          <w:jc w:val="center"/>
        </w:trPr>
        <w:tc>
          <w:tcPr>
            <w:tcW w:w="2343" w:type="pct"/>
            <w:tcBorders>
              <w:top w:val="single" w:sz="4" w:space="0" w:color="60B8CC" w:themeColor="accent4"/>
              <w:left w:val="nil"/>
              <w:bottom w:val="single" w:sz="4" w:space="0" w:color="60B8CC" w:themeColor="accent4"/>
              <w:right w:val="nil"/>
            </w:tcBorders>
            <w:shd w:val="clear" w:color="auto" w:fill="auto"/>
            <w:noWrap/>
            <w:vAlign w:val="center"/>
            <w:hideMark/>
          </w:tcPr>
          <w:p w14:paraId="73624811" w14:textId="77777777" w:rsidR="003F7586" w:rsidRPr="008409B5" w:rsidRDefault="003F7586" w:rsidP="003F7586">
            <w:pPr>
              <w:rPr>
                <w:rFonts w:cs="Arial"/>
                <w:color w:val="000000"/>
                <w:sz w:val="18"/>
                <w:szCs w:val="18"/>
              </w:rPr>
            </w:pPr>
            <w:r w:rsidRPr="008409B5">
              <w:rPr>
                <w:rFonts w:cs="Arial"/>
                <w:color w:val="000000"/>
                <w:sz w:val="18"/>
                <w:szCs w:val="18"/>
              </w:rPr>
              <w:t>Incentive Costs</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1C73A8FA" w14:textId="5FAED825" w:rsidR="003F7586" w:rsidRPr="008409B5" w:rsidRDefault="003F7586" w:rsidP="003F7586">
            <w:pPr>
              <w:jc w:val="right"/>
              <w:rPr>
                <w:rFonts w:cs="Arial"/>
                <w:color w:val="000000"/>
                <w:sz w:val="18"/>
                <w:szCs w:val="18"/>
              </w:rPr>
            </w:pPr>
            <w:r w:rsidRPr="00193542">
              <w:rPr>
                <w:sz w:val="18"/>
                <w:szCs w:val="18"/>
              </w:rPr>
              <w:t>N/A</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1C2648A1" w14:textId="0947878C" w:rsidR="003F7586" w:rsidRPr="008409B5" w:rsidRDefault="003F7586" w:rsidP="003F7586">
            <w:pPr>
              <w:jc w:val="right"/>
              <w:rPr>
                <w:rFonts w:cs="Arial"/>
                <w:color w:val="000000"/>
                <w:sz w:val="18"/>
                <w:szCs w:val="18"/>
              </w:rPr>
            </w:pPr>
            <w:r w:rsidRPr="00193542">
              <w:rPr>
                <w:sz w:val="18"/>
                <w:szCs w:val="18"/>
              </w:rPr>
              <w:t xml:space="preserve">$0 </w:t>
            </w:r>
          </w:p>
        </w:tc>
        <w:tc>
          <w:tcPr>
            <w:tcW w:w="770" w:type="pct"/>
            <w:tcBorders>
              <w:top w:val="single" w:sz="4" w:space="0" w:color="60B8CC" w:themeColor="accent4"/>
              <w:left w:val="nil"/>
              <w:bottom w:val="single" w:sz="4" w:space="0" w:color="60B8CC" w:themeColor="accent4"/>
              <w:right w:val="nil"/>
            </w:tcBorders>
            <w:shd w:val="clear" w:color="auto" w:fill="auto"/>
            <w:noWrap/>
            <w:hideMark/>
          </w:tcPr>
          <w:p w14:paraId="03BCF8BF" w14:textId="486539C0" w:rsidR="003F7586" w:rsidRPr="008409B5" w:rsidRDefault="003F7586" w:rsidP="003F7586">
            <w:pPr>
              <w:jc w:val="right"/>
              <w:rPr>
                <w:rFonts w:cs="Arial"/>
                <w:color w:val="000000"/>
                <w:sz w:val="18"/>
                <w:szCs w:val="18"/>
              </w:rPr>
            </w:pPr>
            <w:r w:rsidRPr="00193542">
              <w:rPr>
                <w:sz w:val="18"/>
                <w:szCs w:val="18"/>
              </w:rPr>
              <w:t>N/A</w:t>
            </w:r>
          </w:p>
        </w:tc>
        <w:tc>
          <w:tcPr>
            <w:tcW w:w="675" w:type="pct"/>
            <w:tcBorders>
              <w:top w:val="single" w:sz="4" w:space="0" w:color="60B8CC" w:themeColor="accent4"/>
              <w:left w:val="nil"/>
              <w:bottom w:val="single" w:sz="4" w:space="0" w:color="60B8CC" w:themeColor="accent4"/>
              <w:right w:val="nil"/>
            </w:tcBorders>
            <w:shd w:val="clear" w:color="auto" w:fill="auto"/>
            <w:noWrap/>
            <w:hideMark/>
          </w:tcPr>
          <w:p w14:paraId="039F69F8" w14:textId="3DE433A0" w:rsidR="003F7586" w:rsidRPr="008409B5" w:rsidRDefault="003F7586" w:rsidP="003F7586">
            <w:pPr>
              <w:jc w:val="right"/>
              <w:rPr>
                <w:rFonts w:cs="Arial"/>
                <w:color w:val="000000"/>
                <w:sz w:val="18"/>
                <w:szCs w:val="18"/>
              </w:rPr>
            </w:pPr>
            <w:r w:rsidRPr="00193542">
              <w:rPr>
                <w:sz w:val="18"/>
                <w:szCs w:val="18"/>
              </w:rPr>
              <w:t>N/A</w:t>
            </w:r>
          </w:p>
        </w:tc>
      </w:tr>
      <w:tr w:rsidR="003F7586" w:rsidRPr="000A46CD" w14:paraId="22D1B892" w14:textId="77777777">
        <w:trPr>
          <w:trHeight w:val="330"/>
          <w:jc w:val="center"/>
        </w:trPr>
        <w:tc>
          <w:tcPr>
            <w:tcW w:w="2343" w:type="pct"/>
            <w:tcBorders>
              <w:top w:val="single" w:sz="4" w:space="0" w:color="60B8CC" w:themeColor="accent4"/>
              <w:left w:val="nil"/>
              <w:bottom w:val="single" w:sz="4" w:space="0" w:color="60B8CC" w:themeColor="accent4"/>
              <w:right w:val="nil"/>
            </w:tcBorders>
            <w:shd w:val="clear" w:color="auto" w:fill="auto"/>
            <w:noWrap/>
            <w:vAlign w:val="center"/>
          </w:tcPr>
          <w:p w14:paraId="73133F19" w14:textId="6FD2A86B" w:rsidR="003F7586" w:rsidRPr="008409B5" w:rsidRDefault="003F7586" w:rsidP="003F7586">
            <w:pPr>
              <w:rPr>
                <w:rFonts w:cs="Arial"/>
                <w:color w:val="000000"/>
                <w:sz w:val="18"/>
                <w:szCs w:val="18"/>
              </w:rPr>
            </w:pPr>
            <w:r w:rsidRPr="008409B5">
              <w:rPr>
                <w:rFonts w:cs="Arial"/>
                <w:color w:val="000000"/>
                <w:sz w:val="18"/>
                <w:szCs w:val="18"/>
              </w:rPr>
              <w:t>Net Participant Costs</w:t>
            </w:r>
          </w:p>
        </w:tc>
        <w:tc>
          <w:tcPr>
            <w:tcW w:w="606" w:type="pct"/>
            <w:tcBorders>
              <w:top w:val="single" w:sz="4" w:space="0" w:color="60B8CC" w:themeColor="accent4"/>
              <w:left w:val="nil"/>
              <w:bottom w:val="single" w:sz="4" w:space="0" w:color="60B8CC" w:themeColor="accent4"/>
              <w:right w:val="nil"/>
            </w:tcBorders>
            <w:shd w:val="clear" w:color="auto" w:fill="auto"/>
            <w:noWrap/>
          </w:tcPr>
          <w:p w14:paraId="4468A488" w14:textId="0EA33CCD" w:rsidR="003F7586" w:rsidRPr="008409B5" w:rsidRDefault="003F7586" w:rsidP="003F7586">
            <w:pPr>
              <w:jc w:val="right"/>
              <w:rPr>
                <w:rFonts w:cs="Arial"/>
                <w:sz w:val="18"/>
                <w:szCs w:val="18"/>
              </w:rPr>
            </w:pPr>
            <w:r w:rsidRPr="00193542">
              <w:rPr>
                <w:sz w:val="18"/>
                <w:szCs w:val="18"/>
              </w:rPr>
              <w:t>N/A</w:t>
            </w:r>
          </w:p>
        </w:tc>
        <w:tc>
          <w:tcPr>
            <w:tcW w:w="606" w:type="pct"/>
            <w:tcBorders>
              <w:top w:val="single" w:sz="4" w:space="0" w:color="60B8CC" w:themeColor="accent4"/>
              <w:left w:val="nil"/>
              <w:bottom w:val="single" w:sz="4" w:space="0" w:color="60B8CC" w:themeColor="accent4"/>
              <w:right w:val="nil"/>
            </w:tcBorders>
            <w:shd w:val="clear" w:color="auto" w:fill="auto"/>
            <w:noWrap/>
          </w:tcPr>
          <w:p w14:paraId="7D7CD862" w14:textId="3257AB0D" w:rsidR="003F7586" w:rsidRPr="008409B5" w:rsidRDefault="003F7586" w:rsidP="003F7586">
            <w:pPr>
              <w:jc w:val="right"/>
              <w:rPr>
                <w:rFonts w:cs="Arial"/>
                <w:sz w:val="18"/>
                <w:szCs w:val="18"/>
              </w:rPr>
            </w:pPr>
            <w:r w:rsidRPr="00193542">
              <w:rPr>
                <w:sz w:val="18"/>
                <w:szCs w:val="18"/>
              </w:rPr>
              <w:t>N/A</w:t>
            </w:r>
          </w:p>
        </w:tc>
        <w:tc>
          <w:tcPr>
            <w:tcW w:w="770" w:type="pct"/>
            <w:tcBorders>
              <w:top w:val="single" w:sz="4" w:space="0" w:color="60B8CC" w:themeColor="accent4"/>
              <w:left w:val="nil"/>
              <w:bottom w:val="single" w:sz="4" w:space="0" w:color="60B8CC" w:themeColor="accent4"/>
              <w:right w:val="nil"/>
            </w:tcBorders>
            <w:shd w:val="clear" w:color="auto" w:fill="auto"/>
            <w:noWrap/>
          </w:tcPr>
          <w:p w14:paraId="398625C8" w14:textId="7779FDFF" w:rsidR="003F7586" w:rsidRPr="008409B5" w:rsidRDefault="003F7586" w:rsidP="003F7586">
            <w:pPr>
              <w:jc w:val="right"/>
              <w:rPr>
                <w:rFonts w:cs="Arial"/>
                <w:sz w:val="18"/>
                <w:szCs w:val="18"/>
              </w:rPr>
            </w:pPr>
            <w:r w:rsidRPr="00193542">
              <w:rPr>
                <w:sz w:val="18"/>
                <w:szCs w:val="18"/>
              </w:rPr>
              <w:t xml:space="preserve">$0 </w:t>
            </w:r>
          </w:p>
        </w:tc>
        <w:tc>
          <w:tcPr>
            <w:tcW w:w="675" w:type="pct"/>
            <w:tcBorders>
              <w:top w:val="single" w:sz="4" w:space="0" w:color="60B8CC" w:themeColor="accent4"/>
              <w:left w:val="nil"/>
              <w:bottom w:val="single" w:sz="4" w:space="0" w:color="60B8CC" w:themeColor="accent4"/>
              <w:right w:val="nil"/>
            </w:tcBorders>
            <w:shd w:val="clear" w:color="auto" w:fill="auto"/>
            <w:noWrap/>
          </w:tcPr>
          <w:p w14:paraId="6A643EFF" w14:textId="39704070" w:rsidR="003F7586" w:rsidRPr="008409B5" w:rsidRDefault="003F7586" w:rsidP="003F7586">
            <w:pPr>
              <w:jc w:val="right"/>
              <w:rPr>
                <w:rFonts w:cs="Arial"/>
                <w:sz w:val="18"/>
                <w:szCs w:val="18"/>
              </w:rPr>
            </w:pPr>
            <w:r w:rsidRPr="00193542">
              <w:rPr>
                <w:sz w:val="18"/>
                <w:szCs w:val="18"/>
              </w:rPr>
              <w:t xml:space="preserve">$238,447 </w:t>
            </w:r>
          </w:p>
        </w:tc>
      </w:tr>
      <w:tr w:rsidR="003F7586" w:rsidRPr="000A46CD" w14:paraId="444820DA" w14:textId="77777777">
        <w:trPr>
          <w:trHeight w:val="330"/>
          <w:jc w:val="center"/>
        </w:trPr>
        <w:tc>
          <w:tcPr>
            <w:tcW w:w="2343" w:type="pct"/>
            <w:tcBorders>
              <w:top w:val="single" w:sz="4" w:space="0" w:color="60B8CC" w:themeColor="accent4"/>
              <w:left w:val="nil"/>
              <w:bottom w:val="single" w:sz="4" w:space="0" w:color="60B8CC" w:themeColor="accent4"/>
              <w:right w:val="nil"/>
            </w:tcBorders>
            <w:shd w:val="clear" w:color="auto" w:fill="auto"/>
            <w:noWrap/>
            <w:vAlign w:val="center"/>
            <w:hideMark/>
          </w:tcPr>
          <w:p w14:paraId="50876925" w14:textId="77777777" w:rsidR="003F7586" w:rsidRPr="008409B5" w:rsidRDefault="003F7586" w:rsidP="003F7586">
            <w:pPr>
              <w:rPr>
                <w:rFonts w:cs="Arial"/>
                <w:color w:val="000000"/>
                <w:sz w:val="18"/>
                <w:szCs w:val="18"/>
              </w:rPr>
            </w:pPr>
            <w:r w:rsidRPr="008409B5">
              <w:rPr>
                <w:rFonts w:cs="Arial"/>
                <w:color w:val="000000"/>
                <w:sz w:val="18"/>
                <w:szCs w:val="18"/>
              </w:rPr>
              <w:t>Present Value Totals (with Societal NEI)</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75D9924B" w14:textId="12815029" w:rsidR="003F7586" w:rsidRPr="008409B5" w:rsidRDefault="003F7586" w:rsidP="003F7586">
            <w:pPr>
              <w:jc w:val="right"/>
              <w:rPr>
                <w:rFonts w:cs="Arial"/>
                <w:color w:val="000000"/>
                <w:sz w:val="18"/>
                <w:szCs w:val="18"/>
              </w:rPr>
            </w:pPr>
            <w:r w:rsidRPr="00193542">
              <w:rPr>
                <w:sz w:val="18"/>
                <w:szCs w:val="18"/>
              </w:rPr>
              <w:t xml:space="preserve">$680,063 </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36CE4FFE" w14:textId="6BA1416F" w:rsidR="003F7586" w:rsidRPr="008409B5" w:rsidRDefault="003F7586" w:rsidP="003F7586">
            <w:pPr>
              <w:jc w:val="right"/>
              <w:rPr>
                <w:rFonts w:cs="Arial"/>
                <w:color w:val="000000"/>
                <w:sz w:val="18"/>
                <w:szCs w:val="18"/>
              </w:rPr>
            </w:pPr>
            <w:r w:rsidRPr="00193542">
              <w:rPr>
                <w:sz w:val="18"/>
                <w:szCs w:val="18"/>
              </w:rPr>
              <w:t xml:space="preserve">$134,641 </w:t>
            </w:r>
          </w:p>
        </w:tc>
        <w:tc>
          <w:tcPr>
            <w:tcW w:w="770" w:type="pct"/>
            <w:tcBorders>
              <w:top w:val="single" w:sz="4" w:space="0" w:color="60B8CC" w:themeColor="accent4"/>
              <w:left w:val="nil"/>
              <w:bottom w:val="single" w:sz="4" w:space="0" w:color="60B8CC" w:themeColor="accent4"/>
              <w:right w:val="nil"/>
            </w:tcBorders>
            <w:shd w:val="clear" w:color="auto" w:fill="auto"/>
            <w:noWrap/>
            <w:hideMark/>
          </w:tcPr>
          <w:p w14:paraId="23DF89C8" w14:textId="64B5BBF6" w:rsidR="003F7586" w:rsidRPr="008409B5" w:rsidRDefault="003F7586" w:rsidP="003F7586">
            <w:pPr>
              <w:jc w:val="right"/>
              <w:rPr>
                <w:rFonts w:cs="Arial"/>
                <w:color w:val="000000"/>
                <w:sz w:val="18"/>
                <w:szCs w:val="18"/>
              </w:rPr>
            </w:pPr>
            <w:r w:rsidRPr="00193542">
              <w:rPr>
                <w:sz w:val="18"/>
                <w:szCs w:val="18"/>
              </w:rPr>
              <w:t xml:space="preserve">$2,220,376 </w:t>
            </w:r>
          </w:p>
        </w:tc>
        <w:tc>
          <w:tcPr>
            <w:tcW w:w="675" w:type="pct"/>
            <w:tcBorders>
              <w:top w:val="single" w:sz="4" w:space="0" w:color="60B8CC" w:themeColor="accent4"/>
              <w:left w:val="nil"/>
              <w:bottom w:val="single" w:sz="4" w:space="0" w:color="60B8CC" w:themeColor="accent4"/>
              <w:right w:val="nil"/>
            </w:tcBorders>
            <w:shd w:val="clear" w:color="auto" w:fill="auto"/>
            <w:noWrap/>
            <w:hideMark/>
          </w:tcPr>
          <w:p w14:paraId="51B59493" w14:textId="25B2EFE0" w:rsidR="003F7586" w:rsidRPr="008409B5" w:rsidRDefault="003F7586" w:rsidP="003F7586">
            <w:pPr>
              <w:jc w:val="right"/>
              <w:rPr>
                <w:rFonts w:cs="Arial"/>
                <w:color w:val="000000"/>
                <w:sz w:val="18"/>
                <w:szCs w:val="18"/>
              </w:rPr>
            </w:pPr>
            <w:r w:rsidRPr="00193542">
              <w:rPr>
                <w:sz w:val="18"/>
                <w:szCs w:val="18"/>
              </w:rPr>
              <w:t xml:space="preserve">$373,089 </w:t>
            </w:r>
          </w:p>
        </w:tc>
      </w:tr>
      <w:tr w:rsidR="003F7586" w:rsidRPr="000A46CD" w14:paraId="5B41DF59" w14:textId="77777777">
        <w:trPr>
          <w:trHeight w:val="330"/>
          <w:jc w:val="center"/>
        </w:trPr>
        <w:tc>
          <w:tcPr>
            <w:tcW w:w="2343" w:type="pct"/>
            <w:tcBorders>
              <w:top w:val="single" w:sz="4" w:space="0" w:color="60B8CC" w:themeColor="accent4"/>
              <w:left w:val="nil"/>
              <w:bottom w:val="single" w:sz="4" w:space="0" w:color="60B8CC" w:themeColor="accent4"/>
              <w:right w:val="nil"/>
            </w:tcBorders>
            <w:shd w:val="clear" w:color="auto" w:fill="auto"/>
            <w:noWrap/>
            <w:vAlign w:val="center"/>
            <w:hideMark/>
          </w:tcPr>
          <w:p w14:paraId="1E21312D" w14:textId="77777777" w:rsidR="003F7586" w:rsidRPr="008409B5" w:rsidRDefault="003F7586" w:rsidP="003F7586">
            <w:pPr>
              <w:rPr>
                <w:rFonts w:cs="Arial"/>
                <w:color w:val="000000"/>
                <w:sz w:val="18"/>
                <w:szCs w:val="18"/>
              </w:rPr>
            </w:pPr>
            <w:r w:rsidRPr="008409B5">
              <w:rPr>
                <w:rFonts w:cs="Arial"/>
                <w:color w:val="000000"/>
                <w:sz w:val="18"/>
                <w:szCs w:val="18"/>
              </w:rPr>
              <w:t>Present Value Totals (without Societal NEI)</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7A6846FD" w14:textId="638278A0" w:rsidR="003F7586" w:rsidRPr="008409B5" w:rsidRDefault="003F7586" w:rsidP="003F7586">
            <w:pPr>
              <w:jc w:val="right"/>
              <w:rPr>
                <w:rFonts w:cs="Arial"/>
                <w:color w:val="000000"/>
                <w:sz w:val="18"/>
                <w:szCs w:val="18"/>
              </w:rPr>
            </w:pPr>
            <w:r w:rsidRPr="00193542">
              <w:rPr>
                <w:sz w:val="18"/>
                <w:szCs w:val="18"/>
              </w:rPr>
              <w:t xml:space="preserve">$680,063 </w:t>
            </w:r>
          </w:p>
        </w:tc>
        <w:tc>
          <w:tcPr>
            <w:tcW w:w="606" w:type="pct"/>
            <w:tcBorders>
              <w:top w:val="single" w:sz="4" w:space="0" w:color="60B8CC" w:themeColor="accent4"/>
              <w:left w:val="nil"/>
              <w:bottom w:val="single" w:sz="4" w:space="0" w:color="60B8CC" w:themeColor="accent4"/>
              <w:right w:val="nil"/>
            </w:tcBorders>
            <w:shd w:val="clear" w:color="auto" w:fill="auto"/>
            <w:noWrap/>
            <w:hideMark/>
          </w:tcPr>
          <w:p w14:paraId="0D78483B" w14:textId="6D903602" w:rsidR="003F7586" w:rsidRPr="008409B5" w:rsidRDefault="003F7586" w:rsidP="003F7586">
            <w:pPr>
              <w:jc w:val="right"/>
              <w:rPr>
                <w:rFonts w:cs="Arial"/>
                <w:color w:val="000000"/>
                <w:sz w:val="18"/>
                <w:szCs w:val="18"/>
              </w:rPr>
            </w:pPr>
            <w:r w:rsidRPr="00193542">
              <w:rPr>
                <w:sz w:val="18"/>
                <w:szCs w:val="18"/>
              </w:rPr>
              <w:t xml:space="preserve">$134,641 </w:t>
            </w:r>
          </w:p>
        </w:tc>
        <w:tc>
          <w:tcPr>
            <w:tcW w:w="770" w:type="pct"/>
            <w:tcBorders>
              <w:top w:val="single" w:sz="4" w:space="0" w:color="60B8CC" w:themeColor="accent4"/>
              <w:left w:val="nil"/>
              <w:bottom w:val="single" w:sz="4" w:space="0" w:color="60B8CC" w:themeColor="accent4"/>
              <w:right w:val="nil"/>
            </w:tcBorders>
            <w:shd w:val="clear" w:color="auto" w:fill="auto"/>
            <w:noWrap/>
            <w:hideMark/>
          </w:tcPr>
          <w:p w14:paraId="5A77BDB3" w14:textId="2EECEF13" w:rsidR="003F7586" w:rsidRPr="008409B5" w:rsidRDefault="003F7586" w:rsidP="003F7586">
            <w:pPr>
              <w:jc w:val="right"/>
              <w:rPr>
                <w:rFonts w:cs="Arial"/>
                <w:color w:val="000000"/>
                <w:sz w:val="18"/>
                <w:szCs w:val="18"/>
              </w:rPr>
            </w:pPr>
            <w:r w:rsidRPr="00193542">
              <w:rPr>
                <w:sz w:val="18"/>
                <w:szCs w:val="18"/>
              </w:rPr>
              <w:t xml:space="preserve">$1,092,515 </w:t>
            </w:r>
          </w:p>
        </w:tc>
        <w:tc>
          <w:tcPr>
            <w:tcW w:w="675" w:type="pct"/>
            <w:tcBorders>
              <w:top w:val="single" w:sz="4" w:space="0" w:color="60B8CC" w:themeColor="accent4"/>
              <w:left w:val="nil"/>
              <w:bottom w:val="single" w:sz="4" w:space="0" w:color="60B8CC" w:themeColor="accent4"/>
              <w:right w:val="nil"/>
            </w:tcBorders>
            <w:shd w:val="clear" w:color="auto" w:fill="auto"/>
            <w:noWrap/>
            <w:hideMark/>
          </w:tcPr>
          <w:p w14:paraId="3EB553B2" w14:textId="5A1CB7AF" w:rsidR="003F7586" w:rsidRPr="008409B5" w:rsidRDefault="003F7586" w:rsidP="003F7586">
            <w:pPr>
              <w:jc w:val="right"/>
              <w:rPr>
                <w:rFonts w:cs="Arial"/>
                <w:color w:val="000000"/>
                <w:sz w:val="18"/>
                <w:szCs w:val="18"/>
              </w:rPr>
            </w:pPr>
            <w:r w:rsidRPr="00193542">
              <w:rPr>
                <w:sz w:val="18"/>
                <w:szCs w:val="18"/>
              </w:rPr>
              <w:t xml:space="preserve">$373,089 </w:t>
            </w:r>
          </w:p>
        </w:tc>
      </w:tr>
      <w:tr w:rsidR="00C12C5C" w:rsidRPr="000A46CD" w14:paraId="70893AD9" w14:textId="77777777">
        <w:trPr>
          <w:trHeight w:val="330"/>
          <w:jc w:val="center"/>
        </w:trPr>
        <w:tc>
          <w:tcPr>
            <w:tcW w:w="2343" w:type="pct"/>
            <w:tcBorders>
              <w:top w:val="single" w:sz="4" w:space="0" w:color="60B8CC" w:themeColor="accent4"/>
              <w:left w:val="nil"/>
              <w:bottom w:val="single" w:sz="4" w:space="0" w:color="60B8CC" w:themeColor="accent4"/>
              <w:right w:val="nil"/>
            </w:tcBorders>
            <w:shd w:val="clear" w:color="auto" w:fill="auto"/>
            <w:noWrap/>
            <w:vAlign w:val="center"/>
            <w:hideMark/>
          </w:tcPr>
          <w:p w14:paraId="0922430F" w14:textId="77777777" w:rsidR="00C12C5C" w:rsidRPr="008409B5" w:rsidRDefault="00C12C5C" w:rsidP="00C12C5C">
            <w:pPr>
              <w:rPr>
                <w:rFonts w:cs="Arial"/>
                <w:color w:val="000000"/>
                <w:sz w:val="18"/>
                <w:szCs w:val="18"/>
              </w:rPr>
            </w:pPr>
            <w:r w:rsidRPr="008409B5">
              <w:rPr>
                <w:rFonts w:cs="Arial"/>
                <w:color w:val="000000"/>
                <w:sz w:val="18"/>
                <w:szCs w:val="18"/>
              </w:rPr>
              <w:t>Ratio (with Societal NEI)</w:t>
            </w:r>
          </w:p>
        </w:tc>
        <w:tc>
          <w:tcPr>
            <w:tcW w:w="1212" w:type="pct"/>
            <w:gridSpan w:val="2"/>
            <w:tcBorders>
              <w:top w:val="single" w:sz="4" w:space="0" w:color="60B8CC" w:themeColor="accent4"/>
              <w:left w:val="nil"/>
              <w:bottom w:val="single" w:sz="4" w:space="0" w:color="60B8CC" w:themeColor="accent4"/>
              <w:right w:val="nil"/>
            </w:tcBorders>
            <w:shd w:val="clear" w:color="auto" w:fill="auto"/>
            <w:noWrap/>
            <w:hideMark/>
          </w:tcPr>
          <w:p w14:paraId="0273553E" w14:textId="0456F067" w:rsidR="00C12C5C" w:rsidRPr="008409B5" w:rsidRDefault="00C12C5C" w:rsidP="00C12C5C">
            <w:pPr>
              <w:jc w:val="center"/>
              <w:rPr>
                <w:rFonts w:cs="Arial"/>
                <w:color w:val="000000"/>
                <w:sz w:val="18"/>
                <w:szCs w:val="18"/>
              </w:rPr>
            </w:pPr>
            <w:r w:rsidRPr="00193542">
              <w:rPr>
                <w:sz w:val="18"/>
                <w:szCs w:val="18"/>
              </w:rPr>
              <w:t>5.05</w:t>
            </w:r>
          </w:p>
        </w:tc>
        <w:tc>
          <w:tcPr>
            <w:tcW w:w="1445" w:type="pct"/>
            <w:gridSpan w:val="2"/>
            <w:tcBorders>
              <w:top w:val="single" w:sz="4" w:space="0" w:color="60B8CC" w:themeColor="accent4"/>
              <w:left w:val="nil"/>
              <w:bottom w:val="single" w:sz="4" w:space="0" w:color="60B8CC" w:themeColor="accent4"/>
              <w:right w:val="nil"/>
            </w:tcBorders>
            <w:shd w:val="clear" w:color="auto" w:fill="auto"/>
            <w:noWrap/>
            <w:hideMark/>
          </w:tcPr>
          <w:p w14:paraId="1D99E73E" w14:textId="387F244B" w:rsidR="00C12C5C" w:rsidRPr="008409B5" w:rsidRDefault="00193542" w:rsidP="00C12C5C">
            <w:pPr>
              <w:jc w:val="center"/>
              <w:rPr>
                <w:rFonts w:cs="Arial"/>
                <w:color w:val="000000"/>
                <w:sz w:val="18"/>
                <w:szCs w:val="18"/>
              </w:rPr>
            </w:pPr>
            <w:r w:rsidRPr="00193542">
              <w:rPr>
                <w:sz w:val="18"/>
                <w:szCs w:val="18"/>
              </w:rPr>
              <w:t>5.95</w:t>
            </w:r>
          </w:p>
        </w:tc>
      </w:tr>
      <w:tr w:rsidR="00C12C5C" w:rsidRPr="000A46CD" w14:paraId="5A0B526D" w14:textId="77777777">
        <w:trPr>
          <w:trHeight w:val="330"/>
          <w:jc w:val="center"/>
        </w:trPr>
        <w:tc>
          <w:tcPr>
            <w:tcW w:w="2343" w:type="pct"/>
            <w:tcBorders>
              <w:top w:val="single" w:sz="4" w:space="0" w:color="60B8CC" w:themeColor="accent4"/>
              <w:left w:val="nil"/>
              <w:bottom w:val="single" w:sz="12" w:space="0" w:color="036479" w:themeColor="accent3"/>
              <w:right w:val="nil"/>
            </w:tcBorders>
            <w:shd w:val="clear" w:color="auto" w:fill="auto"/>
            <w:noWrap/>
            <w:vAlign w:val="center"/>
            <w:hideMark/>
          </w:tcPr>
          <w:p w14:paraId="5BA38533" w14:textId="77777777" w:rsidR="00C12C5C" w:rsidRPr="008409B5" w:rsidRDefault="00C12C5C" w:rsidP="00C12C5C">
            <w:pPr>
              <w:rPr>
                <w:rFonts w:cs="Arial"/>
                <w:color w:val="000000"/>
                <w:sz w:val="18"/>
                <w:szCs w:val="18"/>
              </w:rPr>
            </w:pPr>
            <w:r w:rsidRPr="008409B5">
              <w:rPr>
                <w:rFonts w:cs="Arial"/>
                <w:color w:val="000000"/>
                <w:sz w:val="18"/>
                <w:szCs w:val="18"/>
              </w:rPr>
              <w:t>Ratio (without Societal NEI)</w:t>
            </w:r>
          </w:p>
        </w:tc>
        <w:tc>
          <w:tcPr>
            <w:tcW w:w="1212" w:type="pct"/>
            <w:gridSpan w:val="2"/>
            <w:tcBorders>
              <w:top w:val="single" w:sz="4" w:space="0" w:color="60B8CC" w:themeColor="accent4"/>
              <w:left w:val="nil"/>
              <w:bottom w:val="single" w:sz="12" w:space="0" w:color="036479" w:themeColor="accent3"/>
              <w:right w:val="nil"/>
            </w:tcBorders>
            <w:shd w:val="clear" w:color="auto" w:fill="auto"/>
            <w:noWrap/>
            <w:hideMark/>
          </w:tcPr>
          <w:p w14:paraId="2B39E4CC" w14:textId="46ACC678" w:rsidR="00C12C5C" w:rsidRPr="008409B5" w:rsidRDefault="00C12C5C" w:rsidP="00C12C5C">
            <w:pPr>
              <w:jc w:val="center"/>
              <w:rPr>
                <w:rFonts w:cs="Arial"/>
                <w:color w:val="000000"/>
                <w:sz w:val="18"/>
                <w:szCs w:val="18"/>
              </w:rPr>
            </w:pPr>
            <w:r w:rsidRPr="00193542">
              <w:rPr>
                <w:sz w:val="18"/>
                <w:szCs w:val="18"/>
              </w:rPr>
              <w:t>5.05</w:t>
            </w:r>
          </w:p>
        </w:tc>
        <w:tc>
          <w:tcPr>
            <w:tcW w:w="1445" w:type="pct"/>
            <w:gridSpan w:val="2"/>
            <w:tcBorders>
              <w:top w:val="single" w:sz="4" w:space="0" w:color="60B8CC" w:themeColor="accent4"/>
              <w:left w:val="nil"/>
              <w:bottom w:val="single" w:sz="12" w:space="0" w:color="036479" w:themeColor="accent3"/>
              <w:right w:val="nil"/>
            </w:tcBorders>
            <w:shd w:val="clear" w:color="auto" w:fill="auto"/>
            <w:noWrap/>
            <w:hideMark/>
          </w:tcPr>
          <w:p w14:paraId="670B35D5" w14:textId="1EC4382B" w:rsidR="00C12C5C" w:rsidRPr="008409B5" w:rsidRDefault="00C12C5C" w:rsidP="00C12C5C">
            <w:pPr>
              <w:jc w:val="center"/>
              <w:rPr>
                <w:rFonts w:cs="Arial"/>
                <w:color w:val="000000"/>
                <w:sz w:val="18"/>
                <w:szCs w:val="18"/>
              </w:rPr>
            </w:pPr>
            <w:r w:rsidRPr="008409B5">
              <w:rPr>
                <w:rFonts w:cs="Arial"/>
                <w:sz w:val="18"/>
                <w:szCs w:val="18"/>
              </w:rPr>
              <w:t>2.93</w:t>
            </w:r>
          </w:p>
        </w:tc>
      </w:tr>
    </w:tbl>
    <w:p w14:paraId="010A190C" w14:textId="6FE74389" w:rsidR="001B5EAD" w:rsidRPr="00247265" w:rsidRDefault="00F433E0" w:rsidP="000C0DA6">
      <w:pPr>
        <w:pStyle w:val="TableFigureNote"/>
      </w:pPr>
      <w:r w:rsidRPr="00247265">
        <w:t>Note: All categories e</w:t>
      </w:r>
      <w:r w:rsidR="001B5EAD" w:rsidRPr="00247265">
        <w:t>xclud</w:t>
      </w:r>
      <w:r w:rsidR="00971426" w:rsidRPr="00247265">
        <w:t>e</w:t>
      </w:r>
      <w:r w:rsidR="001B5EAD" w:rsidRPr="00247265">
        <w:t xml:space="preserve"> income eligible and voltage optimization</w:t>
      </w:r>
      <w:r w:rsidR="00751FEE" w:rsidRPr="00247265">
        <w:t>.</w:t>
      </w:r>
    </w:p>
    <w:bookmarkEnd w:id="10"/>
    <w:bookmarkEnd w:id="66"/>
    <w:p w14:paraId="7B6F913C" w14:textId="77777777" w:rsidR="001B5EAD" w:rsidRDefault="001B5EAD" w:rsidP="006D2300">
      <w:pPr>
        <w:pStyle w:val="Source"/>
      </w:pPr>
      <w:r w:rsidRPr="00022C92">
        <w:t xml:space="preserve">Source: </w:t>
      </w:r>
      <w:r>
        <w:t xml:space="preserve">Guidehouse </w:t>
      </w:r>
      <w:r w:rsidRPr="00022C92">
        <w:t>analysis</w:t>
      </w:r>
    </w:p>
    <w:p w14:paraId="62CBCE10" w14:textId="77777777" w:rsidR="006D2300" w:rsidRDefault="006D2300" w:rsidP="00B70BB0"/>
    <w:p w14:paraId="0223ADA0" w14:textId="77777777" w:rsidR="001B5EAD" w:rsidRDefault="001B5EAD" w:rsidP="001B5EAD">
      <w:pPr>
        <w:pStyle w:val="BodyText"/>
      </w:pPr>
      <w:bookmarkStart w:id="67" w:name="_Ref321770533"/>
      <w:r w:rsidRPr="000600EE">
        <w:t>On the cost side, net participant costs represent the largest component followed by the incentive costs of program implementation. For the UCT, the sum of all incentives provided is used in place of net participant costs. The sum of all incentives is less than the sum of all incremental costs.</w:t>
      </w:r>
    </w:p>
    <w:p w14:paraId="2DC897B0" w14:textId="262E98C6" w:rsidR="001B5EAD" w:rsidRPr="00893D83" w:rsidRDefault="001B5EAD" w:rsidP="001B5EAD">
      <w:pPr>
        <w:pStyle w:val="Heading2"/>
      </w:pPr>
      <w:bookmarkStart w:id="68" w:name="_Toc196925663"/>
      <w:r>
        <w:t>Avoided Costs</w:t>
      </w:r>
      <w:bookmarkEnd w:id="68"/>
    </w:p>
    <w:p w14:paraId="036FF623" w14:textId="313D0610" w:rsidR="001B5EAD" w:rsidRDefault="003F69E5" w:rsidP="001B5EAD">
      <w:pPr>
        <w:pStyle w:val="BodyText"/>
      </w:pPr>
      <w:r>
        <w:t xml:space="preserve">As discussed in Section </w:t>
      </w:r>
      <w:r>
        <w:fldChar w:fldCharType="begin"/>
      </w:r>
      <w:r>
        <w:instrText xml:space="preserve"> REF _Ref104391998 \w \h </w:instrText>
      </w:r>
      <w:r>
        <w:fldChar w:fldCharType="separate"/>
      </w:r>
      <w:r w:rsidR="00427EE9">
        <w:t>1.3</w:t>
      </w:r>
      <w:r>
        <w:fldChar w:fldCharType="end"/>
      </w:r>
      <w:r>
        <w:t xml:space="preserve">, </w:t>
      </w:r>
      <w:r w:rsidR="001179CB">
        <w:t xml:space="preserve">avoided cost data is </w:t>
      </w:r>
      <w:r w:rsidR="00367877">
        <w:t>provided by</w:t>
      </w:r>
      <w:r w:rsidR="001179CB">
        <w:t xml:space="preserve"> ComEd and </w:t>
      </w:r>
      <w:r w:rsidR="00367877">
        <w:t>is</w:t>
      </w:r>
      <w:r w:rsidR="001B5EAD">
        <w:t xml:space="preserve"> typically updated annually. The definitions of each </w:t>
      </w:r>
      <w:r w:rsidR="00367877">
        <w:t>avoided cost data point</w:t>
      </w:r>
      <w:r w:rsidR="00285F1D">
        <w:t xml:space="preserve"> used in the analysis</w:t>
      </w:r>
      <w:r w:rsidR="001B5EAD">
        <w:t xml:space="preserve"> and their </w:t>
      </w:r>
      <w:r w:rsidR="00285F1D">
        <w:t xml:space="preserve">respective </w:t>
      </w:r>
      <w:r w:rsidR="001B5EAD">
        <w:t xml:space="preserve">sources </w:t>
      </w:r>
      <w:r w:rsidR="00285F1D">
        <w:t>are as follows:</w:t>
      </w:r>
      <w:r w:rsidR="001B5EAD">
        <w:t xml:space="preserve"> </w:t>
      </w:r>
    </w:p>
    <w:p w14:paraId="794253DC" w14:textId="1CE77125" w:rsidR="001B5EAD" w:rsidRDefault="001B5EAD" w:rsidP="006460B6">
      <w:pPr>
        <w:pStyle w:val="BodyText"/>
        <w:numPr>
          <w:ilvl w:val="0"/>
          <w:numId w:val="42"/>
        </w:numPr>
      </w:pPr>
      <w:bookmarkStart w:id="69" w:name="_Toc403223183"/>
      <w:bookmarkStart w:id="70" w:name="_Toc508267205"/>
      <w:bookmarkStart w:id="71" w:name="_Toc441844538"/>
      <w:bookmarkStart w:id="72" w:name="_Toc314911369"/>
      <w:bookmarkEnd w:id="67"/>
      <w:r w:rsidRPr="00FF2C85">
        <w:rPr>
          <w:b/>
        </w:rPr>
        <w:t xml:space="preserve">Avoided </w:t>
      </w:r>
      <w:r w:rsidR="00796C01">
        <w:rPr>
          <w:b/>
        </w:rPr>
        <w:t>Energy</w:t>
      </w:r>
      <w:r w:rsidRPr="00FF2C85">
        <w:rPr>
          <w:b/>
        </w:rPr>
        <w:t xml:space="preserve"> Costs ($/</w:t>
      </w:r>
      <w:r w:rsidR="00796C01">
        <w:rPr>
          <w:b/>
        </w:rPr>
        <w:t>k</w:t>
      </w:r>
      <w:r w:rsidRPr="00FF2C85">
        <w:rPr>
          <w:b/>
        </w:rPr>
        <w:t>Wh)</w:t>
      </w:r>
      <w:bookmarkEnd w:id="69"/>
      <w:bookmarkEnd w:id="70"/>
      <w:r>
        <w:rPr>
          <w:b/>
        </w:rPr>
        <w:t>:</w:t>
      </w:r>
      <w:r w:rsidRPr="00FF2C85">
        <w:rPr>
          <w:b/>
        </w:rPr>
        <w:t xml:space="preserve"> </w:t>
      </w:r>
      <w:r>
        <w:t xml:space="preserve">Avoided electric production costs are those associated with purchasing energy from </w:t>
      </w:r>
      <w:r w:rsidR="00B4051C">
        <w:t>Pennsylvania-New Jersey-Maryland Interconnection (</w:t>
      </w:r>
      <w:r>
        <w:t>PJM</w:t>
      </w:r>
      <w:r w:rsidR="00B4051C">
        <w:t>)</w:t>
      </w:r>
      <w:r>
        <w:t xml:space="preserve">. </w:t>
      </w:r>
      <w:bookmarkStart w:id="73" w:name="_Toc403223184"/>
      <w:bookmarkStart w:id="74" w:name="_Toc508267206"/>
    </w:p>
    <w:p w14:paraId="00981324" w14:textId="3BEDE563" w:rsidR="001B5EAD" w:rsidRDefault="001B5EAD" w:rsidP="006460B6">
      <w:pPr>
        <w:pStyle w:val="BodyText"/>
        <w:numPr>
          <w:ilvl w:val="0"/>
          <w:numId w:val="42"/>
        </w:numPr>
      </w:pPr>
      <w:r w:rsidRPr="00FF2C85">
        <w:rPr>
          <w:b/>
        </w:rPr>
        <w:lastRenderedPageBreak/>
        <w:t>Avoided Electric Capacity Costs ($/kW)</w:t>
      </w:r>
      <w:bookmarkEnd w:id="73"/>
      <w:bookmarkEnd w:id="74"/>
      <w:r>
        <w:rPr>
          <w:b/>
        </w:rPr>
        <w:t>:</w:t>
      </w:r>
      <w:r w:rsidRPr="00FF2C85">
        <w:t xml:space="preserve"> </w:t>
      </w:r>
      <w:r>
        <w:t xml:space="preserve">Avoided electric capacity costs are those associated with the construction of additional electricity generation facilities to meet peak demand. Incremental reductions in the amount of electricity demand during peak hours can delay or eliminate the need to build additional generation. ComEd </w:t>
      </w:r>
      <w:r w:rsidRPr="00C55251">
        <w:t xml:space="preserve">is a participant in the Reliability Pricing Model, which is PJM’s forward capacity market. </w:t>
      </w:r>
      <w:bookmarkStart w:id="75" w:name="_Toc314911368"/>
      <w:bookmarkStart w:id="76" w:name="_Toc403223185"/>
      <w:bookmarkStart w:id="77" w:name="_Toc508267207"/>
    </w:p>
    <w:p w14:paraId="6522F510" w14:textId="307EA0EC" w:rsidR="001B5EAD" w:rsidRPr="004B3146" w:rsidRDefault="001B5EAD" w:rsidP="006460B6">
      <w:pPr>
        <w:pStyle w:val="BodyText"/>
        <w:numPr>
          <w:ilvl w:val="0"/>
          <w:numId w:val="42"/>
        </w:numPr>
        <w:rPr>
          <w:b/>
        </w:rPr>
      </w:pPr>
      <w:r w:rsidRPr="004B3146">
        <w:rPr>
          <w:b/>
        </w:rPr>
        <w:t xml:space="preserve">Avoided </w:t>
      </w:r>
      <w:r>
        <w:rPr>
          <w:b/>
        </w:rPr>
        <w:t>T&amp;D</w:t>
      </w:r>
      <w:r w:rsidRPr="004B3146">
        <w:rPr>
          <w:b/>
        </w:rPr>
        <w:t xml:space="preserve"> Electric ($/kW)</w:t>
      </w:r>
      <w:bookmarkEnd w:id="75"/>
      <w:bookmarkEnd w:id="76"/>
      <w:bookmarkEnd w:id="77"/>
      <w:r>
        <w:rPr>
          <w:b/>
        </w:rPr>
        <w:t>:</w:t>
      </w:r>
      <w:r w:rsidRPr="004B3146">
        <w:rPr>
          <w:b/>
        </w:rPr>
        <w:t xml:space="preserve"> </w:t>
      </w:r>
      <w:r w:rsidRPr="004B3146">
        <w:t xml:space="preserve">Avoided </w:t>
      </w:r>
      <w:r>
        <w:t>T&amp;D</w:t>
      </w:r>
      <w:r w:rsidRPr="004B3146">
        <w:t xml:space="preserve"> costs are a benefit associated with not needing to build </w:t>
      </w:r>
      <w:r>
        <w:t>T&amp;D</w:t>
      </w:r>
      <w:r w:rsidRPr="004B3146">
        <w:t xml:space="preserve"> infrastructure to meet demand at peak times.</w:t>
      </w:r>
      <w:r w:rsidRPr="004B3146">
        <w:rPr>
          <w:b/>
        </w:rPr>
        <w:t xml:space="preserve"> </w:t>
      </w:r>
      <w:bookmarkStart w:id="78" w:name="_Toc403223186"/>
      <w:bookmarkStart w:id="79" w:name="_Toc508267208"/>
    </w:p>
    <w:p w14:paraId="09204E5E" w14:textId="77A27842" w:rsidR="001B5EAD" w:rsidRDefault="001B5EAD" w:rsidP="006460B6">
      <w:pPr>
        <w:pStyle w:val="BodyText"/>
        <w:numPr>
          <w:ilvl w:val="0"/>
          <w:numId w:val="42"/>
        </w:numPr>
      </w:pPr>
      <w:r w:rsidRPr="004B3146">
        <w:rPr>
          <w:b/>
        </w:rPr>
        <w:t xml:space="preserve">Avoided </w:t>
      </w:r>
      <w:r w:rsidR="00AB3881">
        <w:rPr>
          <w:b/>
        </w:rPr>
        <w:t xml:space="preserve">Electric </w:t>
      </w:r>
      <w:r w:rsidRPr="004B3146">
        <w:rPr>
          <w:b/>
        </w:rPr>
        <w:t>Ancillary ($/kW</w:t>
      </w:r>
      <w:r>
        <w:rPr>
          <w:b/>
        </w:rPr>
        <w:t>h</w:t>
      </w:r>
      <w:r w:rsidRPr="004B3146">
        <w:rPr>
          <w:b/>
        </w:rPr>
        <w:t>)</w:t>
      </w:r>
      <w:bookmarkEnd w:id="78"/>
      <w:bookmarkEnd w:id="79"/>
      <w:r>
        <w:rPr>
          <w:b/>
        </w:rPr>
        <w:t>:</w:t>
      </w:r>
      <w:r w:rsidRPr="004B3146">
        <w:rPr>
          <w:b/>
        </w:rPr>
        <w:t xml:space="preserve"> </w:t>
      </w:r>
      <w:r w:rsidRPr="004B3146">
        <w:t xml:space="preserve">Avoided </w:t>
      </w:r>
      <w:r>
        <w:t>a</w:t>
      </w:r>
      <w:r w:rsidRPr="004B3146">
        <w:t>ncillary is a benefit associated with avoided costs attributable to the Open Access Transmission Tariff that</w:t>
      </w:r>
      <w:r w:rsidR="004279F4">
        <w:t xml:space="preserve"> applies to</w:t>
      </w:r>
      <w:r w:rsidRPr="004B3146">
        <w:t xml:space="preserve"> utilities </w:t>
      </w:r>
      <w:r w:rsidR="004279F4">
        <w:t xml:space="preserve">that </w:t>
      </w:r>
      <w:r w:rsidRPr="004B3146">
        <w:t>participat</w:t>
      </w:r>
      <w:r w:rsidR="00AB3881">
        <w:t>e</w:t>
      </w:r>
      <w:r w:rsidRPr="004B3146">
        <w:t xml:space="preserve"> in the PJM market.</w:t>
      </w:r>
    </w:p>
    <w:p w14:paraId="376B2C23" w14:textId="4CD24367" w:rsidR="001B5EAD" w:rsidRDefault="001B5EAD" w:rsidP="006460B6">
      <w:pPr>
        <w:pStyle w:val="BodyText"/>
        <w:numPr>
          <w:ilvl w:val="0"/>
          <w:numId w:val="42"/>
        </w:numPr>
      </w:pPr>
      <w:r>
        <w:rPr>
          <w:b/>
        </w:rPr>
        <w:t>Avoided Gas Costs ($/therm):</w:t>
      </w:r>
      <w:r>
        <w:t xml:space="preserve"> This value is from Nicor Gas and </w:t>
      </w:r>
      <w:r w:rsidR="00F944E2">
        <w:t xml:space="preserve">is </w:t>
      </w:r>
      <w:r>
        <w:t>used to account for gas interactive effects due to lighting.</w:t>
      </w:r>
    </w:p>
    <w:p w14:paraId="25891934" w14:textId="597D735E" w:rsidR="001B5EAD" w:rsidRDefault="001B5EAD" w:rsidP="006460B6">
      <w:pPr>
        <w:pStyle w:val="BodyText"/>
        <w:numPr>
          <w:ilvl w:val="0"/>
          <w:numId w:val="42"/>
        </w:numPr>
      </w:pPr>
      <w:r>
        <w:rPr>
          <w:b/>
        </w:rPr>
        <w:t xml:space="preserve">Avoided Water Costs ($/gal): </w:t>
      </w:r>
      <w:r w:rsidRPr="005544DE">
        <w:t xml:space="preserve">This </w:t>
      </w:r>
      <w:r w:rsidR="00106F0C">
        <w:t>value</w:t>
      </w:r>
      <w:r w:rsidRPr="005544DE">
        <w:t xml:space="preserve"> account</w:t>
      </w:r>
      <w:r w:rsidR="000623A9">
        <w:t>s</w:t>
      </w:r>
      <w:r w:rsidRPr="005544DE">
        <w:t xml:space="preserve"> for savings associated with efficient water fixtures and clothes washers. The avoided water costs of $8.</w:t>
      </w:r>
      <w:r w:rsidR="008C4969">
        <w:t>59</w:t>
      </w:r>
      <w:r w:rsidRPr="005544DE">
        <w:t>/1,000 gallons</w:t>
      </w:r>
      <w:r w:rsidRPr="005544DE">
        <w:rPr>
          <w:rStyle w:val="FootnoteReference"/>
        </w:rPr>
        <w:t xml:space="preserve"> </w:t>
      </w:r>
      <w:r w:rsidRPr="005544DE">
        <w:t xml:space="preserve">(as provided by ComEd) </w:t>
      </w:r>
      <w:proofErr w:type="gramStart"/>
      <w:r w:rsidRPr="005544DE">
        <w:t>was</w:t>
      </w:r>
      <w:proofErr w:type="gramEnd"/>
      <w:r w:rsidRPr="005544DE">
        <w:t xml:space="preserve"> used for the analysis.</w:t>
      </w:r>
    </w:p>
    <w:p w14:paraId="1798953E" w14:textId="77777777" w:rsidR="001B5EAD" w:rsidRPr="00F6107E" w:rsidRDefault="001B5EAD" w:rsidP="001B5EAD">
      <w:pPr>
        <w:pStyle w:val="Heading2"/>
      </w:pPr>
      <w:bookmarkStart w:id="80" w:name="_Toc508267209"/>
      <w:bookmarkStart w:id="81" w:name="_Toc196925664"/>
      <w:r w:rsidRPr="00F6107E">
        <w:t>Non-Incentive Costs</w:t>
      </w:r>
      <w:bookmarkEnd w:id="71"/>
      <w:bookmarkEnd w:id="80"/>
      <w:bookmarkEnd w:id="81"/>
      <w:r w:rsidRPr="00F6107E">
        <w:t xml:space="preserve"> </w:t>
      </w:r>
    </w:p>
    <w:p w14:paraId="53A22B96" w14:textId="77777777" w:rsidR="001B5EAD" w:rsidRPr="00296C6D" w:rsidRDefault="001B5EAD" w:rsidP="001B5EAD">
      <w:pPr>
        <w:pStyle w:val="BodyText"/>
      </w:pPr>
      <w:r>
        <w:t>Non-incentive costs are p</w:t>
      </w:r>
      <w:r w:rsidRPr="00C406D7">
        <w:t xml:space="preserve">rogram </w:t>
      </w:r>
      <w:r>
        <w:t>a</w:t>
      </w:r>
      <w:r w:rsidRPr="00C406D7">
        <w:t>dministrator costs (related to energy efficiency) that a</w:t>
      </w:r>
      <w:r>
        <w:t>re not otherwise classified as financial incentives paid to customers or incentives paid to third p</w:t>
      </w:r>
      <w:r w:rsidRPr="00C406D7">
        <w:t>arties</w:t>
      </w:r>
      <w:r>
        <w:t>. In other words, non-i</w:t>
      </w:r>
      <w:r w:rsidRPr="009E34FA">
        <w:t>nce</w:t>
      </w:r>
      <w:r>
        <w:t>ntive costs are equal to all program a</w:t>
      </w:r>
      <w:r w:rsidRPr="009E34FA">
        <w:t xml:space="preserve">dministrator </w:t>
      </w:r>
      <w:r>
        <w:t>c</w:t>
      </w:r>
      <w:r w:rsidRPr="009E34FA">
        <w:t xml:space="preserve">osts </w:t>
      </w:r>
      <w:r>
        <w:t>minus i</w:t>
      </w:r>
      <w:r w:rsidRPr="009E34FA">
        <w:t>ncentives</w:t>
      </w:r>
      <w:r>
        <w:t>.</w:t>
      </w:r>
      <w:r w:rsidRPr="009E34FA">
        <w:t xml:space="preserve"> </w:t>
      </w:r>
    </w:p>
    <w:p w14:paraId="0F6EFEF3" w14:textId="77777777" w:rsidR="001B5EAD" w:rsidRDefault="001B5EAD" w:rsidP="001B5EAD">
      <w:pPr>
        <w:pStyle w:val="BodyText"/>
      </w:pPr>
      <w:r>
        <w:t>Examples of non-incentive c</w:t>
      </w:r>
      <w:r w:rsidRPr="009E34FA">
        <w:t>osts include:</w:t>
      </w:r>
    </w:p>
    <w:p w14:paraId="30376182" w14:textId="605978A8" w:rsidR="001B5EAD" w:rsidRDefault="001B5EAD" w:rsidP="006460B6">
      <w:pPr>
        <w:pStyle w:val="BodyText"/>
        <w:numPr>
          <w:ilvl w:val="0"/>
          <w:numId w:val="43"/>
        </w:numPr>
      </w:pPr>
      <w:r>
        <w:t>Costs for overhead,</w:t>
      </w:r>
      <w:r w:rsidRPr="001A36E3">
        <w:t xml:space="preserve"> labor</w:t>
      </w:r>
      <w:r>
        <w:t>,</w:t>
      </w:r>
      <w:r w:rsidRPr="001A36E3">
        <w:t xml:space="preserve"> an</w:t>
      </w:r>
      <w:r>
        <w:t xml:space="preserve">d materials required to </w:t>
      </w:r>
      <w:r w:rsidRPr="001A36E3">
        <w:t xml:space="preserve">develop, deliver, </w:t>
      </w:r>
      <w:r>
        <w:t xml:space="preserve">and </w:t>
      </w:r>
      <w:r w:rsidRPr="001A36E3">
        <w:t xml:space="preserve">administer functions related to </w:t>
      </w:r>
      <w:r>
        <w:t>the implementation of energy efficiency programs or portfolio</w:t>
      </w:r>
      <w:r w:rsidR="00EC245A">
        <w:t>s</w:t>
      </w:r>
      <w:r>
        <w:t xml:space="preserve"> such as rebate processing, measurement and verification</w:t>
      </w:r>
      <w:r w:rsidR="00AA0243">
        <w:t xml:space="preserve"> (M&amp;V)</w:t>
      </w:r>
      <w:r>
        <w:t>, quality assurance, advertising and marketing, and customer relations</w:t>
      </w:r>
    </w:p>
    <w:p w14:paraId="57A478AA" w14:textId="33FBA973" w:rsidR="001B5EAD" w:rsidRDefault="001B5EAD" w:rsidP="006460B6">
      <w:pPr>
        <w:pStyle w:val="BodyText"/>
        <w:numPr>
          <w:ilvl w:val="0"/>
          <w:numId w:val="43"/>
        </w:numPr>
      </w:pPr>
      <w:r>
        <w:t>Program a</w:t>
      </w:r>
      <w:r w:rsidRPr="001A36E3">
        <w:t xml:space="preserve">dministrator payment to a third party whose principal purpose is not to reduce the cost of the efficient </w:t>
      </w:r>
      <w:r>
        <w:t>m</w:t>
      </w:r>
      <w:r w:rsidRPr="001A36E3">
        <w:t>ea</w:t>
      </w:r>
      <w:r>
        <w:t>sure to the c</w:t>
      </w:r>
      <w:r w:rsidRPr="001A36E3">
        <w:t>ustomer</w:t>
      </w:r>
    </w:p>
    <w:p w14:paraId="5BB5F3B0" w14:textId="5E598511" w:rsidR="001B5EAD" w:rsidRDefault="001B5EAD" w:rsidP="006460B6">
      <w:pPr>
        <w:pStyle w:val="BodyText"/>
        <w:numPr>
          <w:ilvl w:val="0"/>
          <w:numId w:val="43"/>
        </w:numPr>
      </w:pPr>
      <w:r>
        <w:t>Program a</w:t>
      </w:r>
      <w:r w:rsidRPr="001A36E3">
        <w:t>dministrator payment to a third party to cover the cost of services that are principally intended to be a form of marketing, as opposed to being truly necessary for a</w:t>
      </w:r>
      <w:r>
        <w:t>ny c</w:t>
      </w:r>
      <w:r w:rsidRPr="001A36E3">
        <w:t>ustom</w:t>
      </w:r>
      <w:r>
        <w:t>er implementation of efficient m</w:t>
      </w:r>
      <w:r w:rsidRPr="001A36E3">
        <w:t>easures</w:t>
      </w:r>
    </w:p>
    <w:p w14:paraId="691621A9" w14:textId="7B8571FA" w:rsidR="001B5EAD" w:rsidRDefault="005A2A37" w:rsidP="006460B6">
      <w:pPr>
        <w:pStyle w:val="BodyText"/>
        <w:numPr>
          <w:ilvl w:val="0"/>
          <w:numId w:val="43"/>
        </w:numPr>
      </w:pPr>
      <w:r>
        <w:t>Sales performance incentive fund formula (</w:t>
      </w:r>
      <w:r w:rsidR="001B5EAD">
        <w:t>SPIFF</w:t>
      </w:r>
      <w:r>
        <w:t>)</w:t>
      </w:r>
      <w:r w:rsidR="001B5EAD">
        <w:t xml:space="preserve"> paid out to a third party</w:t>
      </w:r>
    </w:p>
    <w:p w14:paraId="70762931" w14:textId="77777777" w:rsidR="001B5EAD" w:rsidRDefault="001B5EAD" w:rsidP="001B5EAD">
      <w:pPr>
        <w:pStyle w:val="BodyText"/>
      </w:pPr>
      <w:r>
        <w:t>There are currently some performance-based programs where the third-party program implementer is paid an amount per kilowatt-hour that includes incentives and non-incentives. Guidehouse worked with ComEd to separate out the costs appropriately.</w:t>
      </w:r>
      <w:bookmarkStart w:id="82" w:name="_Toc441844539"/>
      <w:bookmarkStart w:id="83" w:name="_Toc508267210"/>
    </w:p>
    <w:p w14:paraId="00173391" w14:textId="77777777" w:rsidR="001B5EAD" w:rsidRPr="000A6310" w:rsidRDefault="001B5EAD" w:rsidP="001B5EAD">
      <w:pPr>
        <w:pStyle w:val="Heading2"/>
      </w:pPr>
      <w:bookmarkStart w:id="84" w:name="_Toc196925665"/>
      <w:r w:rsidRPr="004671A6">
        <w:lastRenderedPageBreak/>
        <w:t>Incentives</w:t>
      </w:r>
      <w:bookmarkEnd w:id="82"/>
      <w:bookmarkEnd w:id="83"/>
      <w:bookmarkEnd w:id="84"/>
      <w:r w:rsidRPr="000A6310">
        <w:t xml:space="preserve"> </w:t>
      </w:r>
    </w:p>
    <w:p w14:paraId="1521F168" w14:textId="6C168FD3" w:rsidR="001B5EAD" w:rsidRPr="009E34FA" w:rsidRDefault="001B5EAD" w:rsidP="001B5EAD">
      <w:pPr>
        <w:pStyle w:val="BodyText"/>
      </w:pPr>
      <w:r>
        <w:t>Incentives</w:t>
      </w:r>
      <w:r>
        <w:rPr>
          <w:rStyle w:val="FootnoteReference"/>
        </w:rPr>
        <w:footnoteReference w:id="7"/>
      </w:r>
      <w:r>
        <w:t xml:space="preserve"> include f</w:t>
      </w:r>
      <w:r w:rsidRPr="00A60CCB">
        <w:t xml:space="preserve">inancial </w:t>
      </w:r>
      <w:r>
        <w:t>i</w:t>
      </w:r>
      <w:r w:rsidRPr="00A60CCB">
        <w:t xml:space="preserve">ncentives </w:t>
      </w:r>
      <w:r>
        <w:t>p</w:t>
      </w:r>
      <w:r w:rsidRPr="00A60CCB">
        <w:t xml:space="preserve">aid to </w:t>
      </w:r>
      <w:r>
        <w:t>c</w:t>
      </w:r>
      <w:r w:rsidRPr="00A60CCB">
        <w:t xml:space="preserve">ustomers </w:t>
      </w:r>
      <w:r>
        <w:t>plus</w:t>
      </w:r>
      <w:r w:rsidRPr="00A60CCB">
        <w:t xml:space="preserve"> </w:t>
      </w:r>
      <w:r>
        <w:t>i</w:t>
      </w:r>
      <w:r w:rsidRPr="00A60CCB">
        <w:t xml:space="preserve">ncentives </w:t>
      </w:r>
      <w:r>
        <w:t>p</w:t>
      </w:r>
      <w:r w:rsidRPr="00A60CCB">
        <w:t xml:space="preserve">aid to </w:t>
      </w:r>
      <w:r>
        <w:t>t</w:t>
      </w:r>
      <w:r w:rsidRPr="00A60CCB">
        <w:t xml:space="preserve">hird </w:t>
      </w:r>
      <w:r>
        <w:t>p</w:t>
      </w:r>
      <w:r w:rsidRPr="00A60CCB">
        <w:t>arties.</w:t>
      </w:r>
      <w:r>
        <w:t xml:space="preserve"> </w:t>
      </w:r>
      <w:r w:rsidRPr="001A36E3">
        <w:t xml:space="preserve">Financial </w:t>
      </w:r>
      <w:r>
        <w:t>i</w:t>
      </w:r>
      <w:r w:rsidRPr="001A36E3">
        <w:t xml:space="preserve">ncentives </w:t>
      </w:r>
      <w:r>
        <w:t>p</w:t>
      </w:r>
      <w:r w:rsidRPr="001A36E3">
        <w:t xml:space="preserve">aid to </w:t>
      </w:r>
      <w:r>
        <w:t>c</w:t>
      </w:r>
      <w:r w:rsidRPr="001A36E3">
        <w:t xml:space="preserve">ustomers </w:t>
      </w:r>
      <w:r>
        <w:t>are</w:t>
      </w:r>
      <w:r w:rsidRPr="009E34FA">
        <w:t xml:space="preserve"> payment</w:t>
      </w:r>
      <w:r>
        <w:t>s</w:t>
      </w:r>
      <w:r>
        <w:rPr>
          <w:rStyle w:val="FootnoteReference"/>
          <w:rFonts w:cs="Arial"/>
        </w:rPr>
        <w:footnoteReference w:id="8"/>
      </w:r>
      <w:r>
        <w:t xml:space="preserve"> made by a program a</w:t>
      </w:r>
      <w:r w:rsidRPr="009E34FA">
        <w:t xml:space="preserve">dministrator directly to an end-use </w:t>
      </w:r>
      <w:r>
        <w:t>c</w:t>
      </w:r>
      <w:r w:rsidRPr="009E34FA">
        <w:t xml:space="preserve">ustomer to encourage the </w:t>
      </w:r>
      <w:r>
        <w:t>c</w:t>
      </w:r>
      <w:r w:rsidRPr="009E34FA">
        <w:t xml:space="preserve">ustomer to participate in an efficiency </w:t>
      </w:r>
      <w:r>
        <w:t>p</w:t>
      </w:r>
      <w:r w:rsidRPr="009E34FA">
        <w:t xml:space="preserve">rogram and offset some or </w:t>
      </w:r>
      <w:r w:rsidR="00D93180" w:rsidRPr="009E34FA">
        <w:t>all</w:t>
      </w:r>
      <w:r w:rsidRPr="009E34FA">
        <w:t xml:space="preserve"> the </w:t>
      </w:r>
      <w:r>
        <w:t>c</w:t>
      </w:r>
      <w:r w:rsidRPr="009E34FA">
        <w:t xml:space="preserve">ustomer’s costs to purchase and install a qualifying efficient </w:t>
      </w:r>
      <w:r>
        <w:t>m</w:t>
      </w:r>
      <w:r w:rsidRPr="009E34FA">
        <w:t>easure</w:t>
      </w:r>
      <w:r>
        <w:t>, ultimately resulting</w:t>
      </w:r>
      <w:r w:rsidRPr="009E34FA">
        <w:t xml:space="preserve"> in a reduction in the net price paid by the </w:t>
      </w:r>
      <w:r>
        <w:t>c</w:t>
      </w:r>
      <w:r w:rsidRPr="009E34FA">
        <w:t xml:space="preserve">ustomer for the efficient </w:t>
      </w:r>
      <w:r>
        <w:t>m</w:t>
      </w:r>
      <w:r w:rsidRPr="009E34FA">
        <w:t xml:space="preserve">easure. This rebate type of </w:t>
      </w:r>
      <w:r>
        <w:t>i</w:t>
      </w:r>
      <w:r w:rsidRPr="009E34FA">
        <w:t>ncentive is often referred to as a downstream incentive</w:t>
      </w:r>
      <w:r>
        <w:t>,</w:t>
      </w:r>
      <w:r w:rsidRPr="009E34FA">
        <w:t xml:space="preserve"> which has the result that the net price to the </w:t>
      </w:r>
      <w:r>
        <w:t>c</w:t>
      </w:r>
      <w:r w:rsidRPr="009E34FA">
        <w:t xml:space="preserve">ustomer of an </w:t>
      </w:r>
      <w:r>
        <w:t>e</w:t>
      </w:r>
      <w:r w:rsidRPr="009E34FA">
        <w:t xml:space="preserve">nergy </w:t>
      </w:r>
      <w:r>
        <w:t>e</w:t>
      </w:r>
      <w:r w:rsidRPr="009E34FA">
        <w:t xml:space="preserve">fficiency </w:t>
      </w:r>
      <w:r>
        <w:t>p</w:t>
      </w:r>
      <w:r w:rsidRPr="009E34FA">
        <w:t xml:space="preserve">rogram-sponsored </w:t>
      </w:r>
      <w:r>
        <w:t>m</w:t>
      </w:r>
      <w:r w:rsidRPr="009E34FA">
        <w:t xml:space="preserve">easure is reduced by the amount of the </w:t>
      </w:r>
      <w:r>
        <w:t>i</w:t>
      </w:r>
      <w:r w:rsidRPr="009E34FA">
        <w:t>ncentive.</w:t>
      </w:r>
    </w:p>
    <w:p w14:paraId="5236F14F" w14:textId="4095B1A9" w:rsidR="001B5EAD" w:rsidRPr="00C406D7" w:rsidRDefault="001B5EAD" w:rsidP="001B5EAD">
      <w:pPr>
        <w:pStyle w:val="BodyText"/>
      </w:pPr>
      <w:r w:rsidRPr="001A36E3">
        <w:t xml:space="preserve">Incentives </w:t>
      </w:r>
      <w:r>
        <w:t>paid to third p</w:t>
      </w:r>
      <w:r w:rsidRPr="001A36E3">
        <w:t>artie</w:t>
      </w:r>
      <w:r w:rsidRPr="00DC3997">
        <w:t xml:space="preserve">s </w:t>
      </w:r>
      <w:r>
        <w:t>are</w:t>
      </w:r>
      <w:r w:rsidRPr="00DC3997">
        <w:t xml:space="preserve"> payment</w:t>
      </w:r>
      <w:r>
        <w:t>s</w:t>
      </w:r>
      <w:r w:rsidRPr="00DC3997">
        <w:t xml:space="preserve"> made by a program administrator to a third party that is principally intended to reduce the net price to the c</w:t>
      </w:r>
      <w:r w:rsidRPr="00E413E5">
        <w:t xml:space="preserve">ustomer of purchasing and installing a qualifying efficient measure. </w:t>
      </w:r>
      <w:r>
        <w:t>These incentives</w:t>
      </w:r>
      <w:r w:rsidRPr="00E413E5">
        <w:t xml:space="preserve"> include payments made by a program administrator to </w:t>
      </w:r>
      <w:r>
        <w:t>service providers</w:t>
      </w:r>
      <w:r w:rsidRPr="00E413E5">
        <w:t xml:space="preserve">, manufacturers, wholesalers, distributors, contractors, builders, retailers, implementation contractors, or other non-customer stakeholders that are principally intended to defray the incremental cost to the customer of purchasing and installing an efficient measure. </w:t>
      </w:r>
      <w:r>
        <w:t>They</w:t>
      </w:r>
      <w:r w:rsidRPr="00E413E5">
        <w:t xml:space="preserve"> also include payments made by a program administrator to an implementation contractor </w:t>
      </w:r>
      <w:proofErr w:type="gramStart"/>
      <w:r w:rsidRPr="00E413E5">
        <w:t>to cover</w:t>
      </w:r>
      <w:proofErr w:type="gramEnd"/>
      <w:r w:rsidRPr="00E413E5">
        <w:t xml:space="preserve"> the full cost of direct installation measures (materials and labor) for the portion not covered by the customer. Incentives paid to third parties also include</w:t>
      </w:r>
      <w:r w:rsidRPr="008F105F">
        <w:t xml:space="preserve"> </w:t>
      </w:r>
      <w:r w:rsidR="00D93180" w:rsidRPr="00DC3997">
        <w:t>payment</w:t>
      </w:r>
      <w:r>
        <w:t xml:space="preserve"> by a program administrator to a third party to cover </w:t>
      </w:r>
      <w:r w:rsidRPr="009E34FA">
        <w:t xml:space="preserve">the full cost of study-based </w:t>
      </w:r>
      <w:r>
        <w:t xml:space="preserve">services </w:t>
      </w:r>
      <w:r w:rsidRPr="00AD15A4">
        <w:t>(e.g.</w:t>
      </w:r>
      <w:proofErr w:type="gramStart"/>
      <w:r w:rsidRPr="00AD15A4">
        <w:t>,</w:t>
      </w:r>
      <w:r w:rsidR="00D93180">
        <w:t xml:space="preserve"> </w:t>
      </w:r>
      <w:r w:rsidRPr="00AD15A4">
        <w:t>facility</w:t>
      </w:r>
      <w:proofErr w:type="gramEnd"/>
      <w:r w:rsidRPr="00AD15A4">
        <w:t xml:space="preserve"> energy audits, energy surveys, energy assessments, retro-commissioning)</w:t>
      </w:r>
      <w:r>
        <w:t xml:space="preserve"> that are truly necessary for a customer to implement efficient m</w:t>
      </w:r>
      <w:r w:rsidRPr="009E34FA">
        <w:t xml:space="preserve">easures, as opposed to being principally </w:t>
      </w:r>
      <w:r>
        <w:t>a form of marketing</w:t>
      </w:r>
      <w:r w:rsidRPr="00C406D7">
        <w:t xml:space="preserve">. </w:t>
      </w:r>
      <w:r w:rsidRPr="00AD15A4">
        <w:t xml:space="preserve">Incentives </w:t>
      </w:r>
      <w:r>
        <w:t>p</w:t>
      </w:r>
      <w:r w:rsidRPr="00AD15A4">
        <w:t xml:space="preserve">aid to </w:t>
      </w:r>
      <w:r>
        <w:t>t</w:t>
      </w:r>
      <w:r w:rsidRPr="00AD15A4">
        <w:t xml:space="preserve">hird </w:t>
      </w:r>
      <w:r>
        <w:t>p</w:t>
      </w:r>
      <w:r w:rsidRPr="00AD15A4">
        <w:t xml:space="preserve">arties also include payment made by a </w:t>
      </w:r>
      <w:r>
        <w:t>p</w:t>
      </w:r>
      <w:r w:rsidRPr="00AD15A4">
        <w:t xml:space="preserve">rogram </w:t>
      </w:r>
      <w:r>
        <w:t>a</w:t>
      </w:r>
      <w:r w:rsidRPr="00AD15A4">
        <w:t xml:space="preserve">dministrator to an implementation contractor to cover the cost of pickup and recycling of duplicative functioning equipment before its expected life is over (e.g., </w:t>
      </w:r>
      <w:r>
        <w:t>a</w:t>
      </w:r>
      <w:r w:rsidRPr="00AD15A4">
        <w:t xml:space="preserve">ppliance </w:t>
      </w:r>
      <w:r>
        <w:t>r</w:t>
      </w:r>
      <w:r w:rsidRPr="00AD15A4">
        <w:t xml:space="preserve">ecycling </w:t>
      </w:r>
      <w:r>
        <w:t>p</w:t>
      </w:r>
      <w:r w:rsidRPr="00AD15A4">
        <w:t>rograms)</w:t>
      </w:r>
      <w:r>
        <w:t>. The portion of the payments covered by the customers are</w:t>
      </w:r>
      <w:r w:rsidR="004726B3">
        <w:t xml:space="preserve"> not</w:t>
      </w:r>
      <w:r>
        <w:t xml:space="preserve"> included in the incentives paid to third parties.</w:t>
      </w:r>
      <w:r w:rsidRPr="00AD15A4" w:rsidDel="00A603AD">
        <w:t xml:space="preserve"> </w:t>
      </w:r>
    </w:p>
    <w:p w14:paraId="20D4329F" w14:textId="77777777" w:rsidR="001B5EAD" w:rsidRPr="00C36DCC" w:rsidRDefault="001B5EAD" w:rsidP="001B5EAD">
      <w:pPr>
        <w:pStyle w:val="Heading2"/>
      </w:pPr>
      <w:bookmarkStart w:id="85" w:name="_Toc441844540"/>
      <w:bookmarkStart w:id="86" w:name="_Toc508267211"/>
      <w:bookmarkStart w:id="87" w:name="_Toc196925666"/>
      <w:r w:rsidRPr="00C36DCC">
        <w:t>Incremental Costs</w:t>
      </w:r>
      <w:bookmarkEnd w:id="85"/>
      <w:bookmarkEnd w:id="86"/>
      <w:bookmarkEnd w:id="87"/>
      <w:r w:rsidRPr="00C36DCC">
        <w:t xml:space="preserve"> </w:t>
      </w:r>
    </w:p>
    <w:p w14:paraId="07A6B3A4" w14:textId="02325BB4" w:rsidR="001B5EAD" w:rsidRPr="009E34FA" w:rsidRDefault="001B5EAD" w:rsidP="001B5EAD">
      <w:pPr>
        <w:pStyle w:val="BodyText"/>
      </w:pPr>
      <w:r w:rsidRPr="009E34FA">
        <w:t xml:space="preserve">Incremental costs </w:t>
      </w:r>
      <w:r>
        <w:t>are</w:t>
      </w:r>
      <w:r w:rsidRPr="00C406D7">
        <w:t xml:space="preserve"> the difference bet</w:t>
      </w:r>
      <w:r>
        <w:t>ween the cost of the efficient m</w:t>
      </w:r>
      <w:r w:rsidRPr="00C406D7">
        <w:t>easure and the cost of the most relevant baseline measure that would ha</w:t>
      </w:r>
      <w:r w:rsidRPr="000B2ADC">
        <w:t xml:space="preserve">ve been installed (if any) in the absence of the efficiency </w:t>
      </w:r>
      <w:r>
        <w:t>p</w:t>
      </w:r>
      <w:r w:rsidRPr="000B2ADC">
        <w:t xml:space="preserve">rogram. Installation costs (material and labor) and </w:t>
      </w:r>
      <w:r>
        <w:t>o</w:t>
      </w:r>
      <w:r w:rsidRPr="000B2ADC">
        <w:t xml:space="preserve">perations and </w:t>
      </w:r>
      <w:r>
        <w:t>m</w:t>
      </w:r>
      <w:r w:rsidRPr="000B2ADC">
        <w:t xml:space="preserve">aintenance (O&amp;M) costs </w:t>
      </w:r>
      <w:r>
        <w:t>are</w:t>
      </w:r>
      <w:r w:rsidRPr="000B2ADC">
        <w:t xml:space="preserve"> included if there is a di</w:t>
      </w:r>
      <w:r>
        <w:t>fference between the efficient m</w:t>
      </w:r>
      <w:r w:rsidRPr="000B2ADC">
        <w:t>easure and the baseline measure. In ca</w:t>
      </w:r>
      <w:r w:rsidRPr="009E34FA">
        <w:t xml:space="preserve">ses where </w:t>
      </w:r>
      <w:r>
        <w:t>the efficient m</w:t>
      </w:r>
      <w:r w:rsidRPr="009E34FA">
        <w:t xml:space="preserve">easure has a significantly shorter or longer life than the relevant baseline measure (e.g., LEDs versus halogens), the avoided baseline replacement </w:t>
      </w:r>
      <w:r w:rsidRPr="009E34FA">
        <w:lastRenderedPageBreak/>
        <w:t xml:space="preserve">measure costs </w:t>
      </w:r>
      <w:r>
        <w:t xml:space="preserve">are </w:t>
      </w:r>
      <w:r w:rsidRPr="009E34FA">
        <w:t>accounted for in the TRC analysis</w:t>
      </w:r>
      <w:r>
        <w:t xml:space="preserve"> as a benefit</w:t>
      </w:r>
      <w:r w:rsidRPr="009E34FA">
        <w:t>. Th</w:t>
      </w:r>
      <w:r>
        <w:t>e</w:t>
      </w:r>
      <w:r w:rsidRPr="009E34FA">
        <w:t xml:space="preserve"> </w:t>
      </w:r>
      <w:r>
        <w:t>incremental c</w:t>
      </w:r>
      <w:r w:rsidRPr="009E34FA">
        <w:t xml:space="preserve">ost input in the TRC analysis is </w:t>
      </w:r>
      <w:r w:rsidRPr="00957C37">
        <w:t xml:space="preserve">not </w:t>
      </w:r>
      <w:r w:rsidRPr="009E34FA">
        <w:t xml:space="preserve">reduced </w:t>
      </w:r>
      <w:r>
        <w:t xml:space="preserve">by the amount of </w:t>
      </w:r>
      <w:r w:rsidR="00D93180">
        <w:t>incentives</w:t>
      </w:r>
      <w:r>
        <w:t>.</w:t>
      </w:r>
    </w:p>
    <w:p w14:paraId="21463EB2" w14:textId="77777777" w:rsidR="001B5EAD" w:rsidRDefault="001B5EAD" w:rsidP="001B5EAD">
      <w:pPr>
        <w:pStyle w:val="BodyText"/>
      </w:pPr>
      <w:r>
        <w:t>Examples of incremental c</w:t>
      </w:r>
      <w:r w:rsidRPr="009E34FA">
        <w:t>ost calculations include:</w:t>
      </w:r>
    </w:p>
    <w:p w14:paraId="1EDFFB46" w14:textId="77777777" w:rsidR="001B5EAD" w:rsidRDefault="001B5EAD" w:rsidP="006460B6">
      <w:pPr>
        <w:pStyle w:val="BodyText"/>
        <w:numPr>
          <w:ilvl w:val="0"/>
          <w:numId w:val="44"/>
        </w:numPr>
      </w:pPr>
      <w:r>
        <w:t>The i</w:t>
      </w:r>
      <w:r w:rsidRPr="00957C37">
        <w:t>nc</w:t>
      </w:r>
      <w:r>
        <w:t>remental c</w:t>
      </w:r>
      <w:r w:rsidRPr="00957C37">
        <w:t>ost for an efficient measure that is installed in new construction or is being purchased at the time of natural installation, investment, or replacement is the additional cost incurred to purchase an efficient measure over and above the cost of the baseline</w:t>
      </w:r>
      <w:r>
        <w:t xml:space="preserve"> or </w:t>
      </w:r>
      <w:r w:rsidRPr="00957C37">
        <w:t>standard (i.e., less efficient) measure (including any incremental installation, replacement, or O&amp;M costs if there is a di</w:t>
      </w:r>
      <w:r>
        <w:t>fference between the efficient m</w:t>
      </w:r>
      <w:r w:rsidRPr="00957C37">
        <w:t xml:space="preserve">easure and baseline measure). </w:t>
      </w:r>
    </w:p>
    <w:p w14:paraId="11B76049" w14:textId="4635A806" w:rsidR="001B5EAD" w:rsidRDefault="001B5EAD" w:rsidP="006460B6">
      <w:pPr>
        <w:pStyle w:val="BodyText"/>
        <w:numPr>
          <w:ilvl w:val="0"/>
          <w:numId w:val="44"/>
        </w:numPr>
      </w:pPr>
      <w:r w:rsidRPr="00957C37">
        <w:t xml:space="preserve">For a retrofit measure where the efficiency program caused the customer to update their existing equipment, facility, or processes, where the customer would not </w:t>
      </w:r>
      <w:proofErr w:type="gramStart"/>
      <w:r w:rsidRPr="00957C37">
        <w:t>have otherwise</w:t>
      </w:r>
      <w:proofErr w:type="gramEnd"/>
      <w:r w:rsidRPr="00957C37">
        <w:t xml:space="preserve"> made a purchase, the appropriate baseline is zero </w:t>
      </w:r>
      <w:proofErr w:type="gramStart"/>
      <w:r w:rsidRPr="00957C37">
        <w:t>expenditure</w:t>
      </w:r>
      <w:proofErr w:type="gramEnd"/>
      <w:r w:rsidRPr="00957C37">
        <w:t xml:space="preserve"> and the incremental cost is the full cost of the new retrofit measure (including installation costs).</w:t>
      </w:r>
    </w:p>
    <w:p w14:paraId="42F5784E" w14:textId="59DEBBE7" w:rsidR="001B5EAD" w:rsidRPr="00957C37" w:rsidRDefault="001B5EAD" w:rsidP="006460B6">
      <w:pPr>
        <w:pStyle w:val="BodyText"/>
        <w:numPr>
          <w:ilvl w:val="0"/>
          <w:numId w:val="44"/>
        </w:numPr>
      </w:pPr>
      <w:r>
        <w:t xml:space="preserve">For the early replacement of a functioning measure with a new efficient measure, where the customer would not have otherwise made a purchase for </w:t>
      </w:r>
      <w:r w:rsidR="007A32C2">
        <w:t>several</w:t>
      </w:r>
      <w:r>
        <w:t xml:space="preserve"> years, the appropriate baseline is a dual baseline that begins as the existing measure and shifts to the new standard measure after the expected remaining useful life of the existing measure ends. The incremental cost is the full cost of the new efficient measure (including installation costs) being purchased to replace a still-functioning measure </w:t>
      </w:r>
      <w:proofErr w:type="gramStart"/>
      <w:r>
        <w:t>less</w:t>
      </w:r>
      <w:proofErr w:type="gramEnd"/>
      <w:r>
        <w:t xml:space="preserve"> the present value of the assumed deferred replacement cost of replacing the existing measure with a new baseline measure at the end of the existing measure’s life. </w:t>
      </w:r>
    </w:p>
    <w:p w14:paraId="5E15337B" w14:textId="77777777" w:rsidR="001B5EAD" w:rsidRPr="009E34FA" w:rsidRDefault="001B5EAD" w:rsidP="006460B6">
      <w:pPr>
        <w:pStyle w:val="BodyText"/>
        <w:numPr>
          <w:ilvl w:val="0"/>
          <w:numId w:val="44"/>
        </w:numPr>
      </w:pPr>
      <w:r>
        <w:t>For study-based services</w:t>
      </w:r>
      <w:r w:rsidRPr="009E34FA">
        <w:t xml:space="preserve"> </w:t>
      </w:r>
      <w:r>
        <w:t>that are truly necessary for a customer to implement efficient m</w:t>
      </w:r>
      <w:r w:rsidRPr="009E34FA">
        <w:t xml:space="preserve">easures, as opposed to being principally intended </w:t>
      </w:r>
      <w:r>
        <w:t>to be a form of marketing, the incremental c</w:t>
      </w:r>
      <w:r w:rsidRPr="009E34FA">
        <w:t xml:space="preserve">ost is the full cost of the study-based service. </w:t>
      </w:r>
    </w:p>
    <w:p w14:paraId="30C427F3" w14:textId="77777777" w:rsidR="001B5EAD" w:rsidRPr="00C36DCC" w:rsidRDefault="001B5EAD" w:rsidP="001B5EAD">
      <w:pPr>
        <w:pStyle w:val="Heading2"/>
      </w:pPr>
      <w:bookmarkStart w:id="88" w:name="_Toc441844541"/>
      <w:bookmarkStart w:id="89" w:name="_Toc508267212"/>
      <w:bookmarkStart w:id="90" w:name="_Toc196925667"/>
      <w:r w:rsidRPr="00C36DCC">
        <w:t>Discount Rate</w:t>
      </w:r>
      <w:bookmarkEnd w:id="72"/>
      <w:bookmarkEnd w:id="88"/>
      <w:bookmarkEnd w:id="89"/>
      <w:bookmarkEnd w:id="90"/>
    </w:p>
    <w:p w14:paraId="703D6D51" w14:textId="1CAF1EBC" w:rsidR="001B5EAD" w:rsidRDefault="004B7596" w:rsidP="001B5EAD">
      <w:pPr>
        <w:pStyle w:val="BodyText"/>
      </w:pPr>
      <w:r>
        <w:t>Guidehouse applied t</w:t>
      </w:r>
      <w:r w:rsidRPr="0058425E">
        <w:t>he</w:t>
      </w:r>
      <w:r w:rsidR="001B5EAD" w:rsidRPr="0058425E">
        <w:t xml:space="preserve"> discount rate </w:t>
      </w:r>
      <w:r w:rsidR="00867C26" w:rsidRPr="0058425E">
        <w:t xml:space="preserve">to </w:t>
      </w:r>
      <w:r w:rsidR="0058425E" w:rsidRPr="0058425E">
        <w:t xml:space="preserve">determine the present value of the cumulative </w:t>
      </w:r>
      <w:r w:rsidR="00867C26" w:rsidRPr="0058425E">
        <w:t xml:space="preserve">benefits (e.g., </w:t>
      </w:r>
      <w:r w:rsidR="001B5EAD" w:rsidRPr="0058425E">
        <w:t>avoided electric production, capacity</w:t>
      </w:r>
      <w:r w:rsidR="00BE06B6">
        <w:t>,</w:t>
      </w:r>
      <w:r w:rsidR="001B5EAD" w:rsidRPr="0058425E">
        <w:t xml:space="preserve"> T&amp;D, and ancillary</w:t>
      </w:r>
      <w:r w:rsidR="00867C26" w:rsidRPr="0058425E">
        <w:t>)</w:t>
      </w:r>
      <w:r w:rsidR="001B5EAD" w:rsidRPr="0058425E">
        <w:t xml:space="preserve"> </w:t>
      </w:r>
      <w:r w:rsidR="00867C26" w:rsidRPr="0058425E">
        <w:t>that</w:t>
      </w:r>
      <w:r w:rsidR="001B5EAD" w:rsidRPr="0058425E">
        <w:t xml:space="preserve"> accrue over the life of the measures included in each program. The discount rate should reflect the societal discount rate as defined in the legislation </w:t>
      </w:r>
      <w:proofErr w:type="gramStart"/>
      <w:r w:rsidR="001B5EAD" w:rsidRPr="0058425E">
        <w:t>to be</w:t>
      </w:r>
      <w:proofErr w:type="gramEnd"/>
      <w:r w:rsidR="001B5EAD" w:rsidRPr="0058425E">
        <w:t xml:space="preserve"> the actual, long-term treasury bond yields. The societal discount rate of 2.</w:t>
      </w:r>
      <w:r w:rsidR="008F2C8E">
        <w:t>40</w:t>
      </w:r>
      <w:r w:rsidR="001B5EAD" w:rsidRPr="0058425E">
        <w:t>% is used to calculate the TRC and UCT values.</w:t>
      </w:r>
    </w:p>
    <w:p w14:paraId="7F97A6AC" w14:textId="77777777" w:rsidR="001B5EAD" w:rsidRDefault="001B5EAD" w:rsidP="001B5EAD">
      <w:pPr>
        <w:pStyle w:val="Heading2"/>
      </w:pPr>
      <w:bookmarkStart w:id="91" w:name="_Toc314911370"/>
      <w:bookmarkStart w:id="92" w:name="_Toc403223193"/>
      <w:bookmarkStart w:id="93" w:name="_Toc508267213"/>
      <w:bookmarkStart w:id="94" w:name="_Hlk75158994"/>
      <w:bookmarkStart w:id="95" w:name="_Toc196925668"/>
      <w:proofErr w:type="gramStart"/>
      <w:r>
        <w:t>Line Losses</w:t>
      </w:r>
      <w:bookmarkEnd w:id="91"/>
      <w:bookmarkEnd w:id="92"/>
      <w:bookmarkEnd w:id="93"/>
      <w:bookmarkEnd w:id="95"/>
      <w:proofErr w:type="gramEnd"/>
    </w:p>
    <w:p w14:paraId="77E20433" w14:textId="053D43AF" w:rsidR="001B5EAD" w:rsidRDefault="001B5EAD" w:rsidP="001B5EAD">
      <w:pPr>
        <w:pStyle w:val="BodyText"/>
      </w:pPr>
      <w:r w:rsidRPr="00514F87">
        <w:t xml:space="preserve">Line losses </w:t>
      </w:r>
      <w:r w:rsidR="00100894" w:rsidRPr="00514F87">
        <w:t>were</w:t>
      </w:r>
      <w:r w:rsidRPr="00514F87">
        <w:t xml:space="preserve"> incorporate</w:t>
      </w:r>
      <w:r w:rsidR="00100894" w:rsidRPr="00514F87">
        <w:t>d</w:t>
      </w:r>
      <w:r w:rsidRPr="00514F87">
        <w:t xml:space="preserve"> in the calculation of </w:t>
      </w:r>
      <w:r w:rsidR="00100894" w:rsidRPr="00514F87">
        <w:t>the</w:t>
      </w:r>
      <w:r w:rsidRPr="00514F87">
        <w:t xml:space="preserve"> benefits. The energy and demand savings calculated by the evaluation are estimated at the customer or meter level. The savings that </w:t>
      </w:r>
      <w:r w:rsidR="00BE06B6" w:rsidRPr="00514F87">
        <w:t>are accrued</w:t>
      </w:r>
      <w:r w:rsidRPr="00514F87">
        <w:t xml:space="preserve"> to ComEd ratepayers </w:t>
      </w:r>
      <w:proofErr w:type="gramStart"/>
      <w:r w:rsidRPr="00514F87">
        <w:t>are those</w:t>
      </w:r>
      <w:proofErr w:type="gramEnd"/>
      <w:r w:rsidRPr="00514F87">
        <w:t xml:space="preserve"> at the generator level and so the estimated savings are increased by the line losses within ComEd’s T&amp;D network. Guidehouse calculated total benefits using the energy line losses of </w:t>
      </w:r>
      <w:r w:rsidR="005F2F8F" w:rsidRPr="00514F87">
        <w:t>10.</w:t>
      </w:r>
      <w:r w:rsidR="00611B03" w:rsidRPr="00514F87">
        <w:t>07</w:t>
      </w:r>
      <w:r w:rsidRPr="00514F87">
        <w:t xml:space="preserve">% and the peak line losses of </w:t>
      </w:r>
      <w:r w:rsidR="005F2F8F" w:rsidRPr="00514F87">
        <w:t>1</w:t>
      </w:r>
      <w:r w:rsidR="000D225B" w:rsidRPr="00514F87">
        <w:t>0.66</w:t>
      </w:r>
      <w:r w:rsidRPr="00514F87">
        <w:t>% as provided by ComEd.</w:t>
      </w:r>
    </w:p>
    <w:p w14:paraId="34C81223" w14:textId="77777777" w:rsidR="001B5EAD" w:rsidRPr="00C36DCC" w:rsidRDefault="001B5EAD" w:rsidP="001B5EAD">
      <w:pPr>
        <w:pStyle w:val="Heading2"/>
        <w:ind w:left="360" w:hanging="360"/>
        <w:rPr>
          <w:bCs w:val="0"/>
          <w:iCs w:val="0"/>
        </w:rPr>
      </w:pPr>
      <w:bookmarkStart w:id="96" w:name="_Toc441844543"/>
      <w:bookmarkStart w:id="97" w:name="_Toc508267214"/>
      <w:bookmarkStart w:id="98" w:name="_Toc12447690"/>
      <w:bookmarkStart w:id="99" w:name="_Toc12451535"/>
      <w:bookmarkStart w:id="100" w:name="_Toc196925669"/>
      <w:bookmarkEnd w:id="94"/>
      <w:r w:rsidRPr="00C36DCC">
        <w:rPr>
          <w:bCs w:val="0"/>
          <w:iCs w:val="0"/>
        </w:rPr>
        <w:lastRenderedPageBreak/>
        <w:t xml:space="preserve">Miscellaneous </w:t>
      </w:r>
      <w:r>
        <w:rPr>
          <w:bCs w:val="0"/>
          <w:iCs w:val="0"/>
        </w:rPr>
        <w:t xml:space="preserve">EEPS </w:t>
      </w:r>
      <w:r w:rsidRPr="00C36DCC">
        <w:rPr>
          <w:bCs w:val="0"/>
          <w:iCs w:val="0"/>
        </w:rPr>
        <w:t>Portfolio Costs</w:t>
      </w:r>
      <w:bookmarkEnd w:id="96"/>
      <w:bookmarkEnd w:id="97"/>
      <w:bookmarkEnd w:id="98"/>
      <w:bookmarkEnd w:id="99"/>
      <w:bookmarkEnd w:id="100"/>
    </w:p>
    <w:p w14:paraId="7A6C9B0F" w14:textId="4828ECBC" w:rsidR="001B5EAD" w:rsidRDefault="001B5EAD" w:rsidP="001B5EAD">
      <w:pPr>
        <w:pStyle w:val="BodyText"/>
      </w:pPr>
      <w:r>
        <w:t xml:space="preserve">In addition to costs allocated directly to energy efficiency programs, </w:t>
      </w:r>
      <w:r w:rsidR="008456B1">
        <w:t xml:space="preserve">the cost-effectiveness analysis </w:t>
      </w:r>
      <w:r w:rsidR="003E40B9">
        <w:t>include</w:t>
      </w:r>
      <w:r w:rsidR="00D264B2">
        <w:t>d</w:t>
      </w:r>
      <w:r w:rsidR="003E40B9">
        <w:t xml:space="preserve"> </w:t>
      </w:r>
      <w:r>
        <w:t xml:space="preserve">portfolio-level costs </w:t>
      </w:r>
      <w:r w:rsidR="003177CF">
        <w:t xml:space="preserve">that are </w:t>
      </w:r>
      <w:r>
        <w:t xml:space="preserve">not directly incurred by specific programs. These costs may include administrative, R&amp;D, outreach, advertising, evaluation, </w:t>
      </w:r>
      <w:r w:rsidR="00AA0243">
        <w:t>M&amp;V</w:t>
      </w:r>
      <w:r>
        <w:t xml:space="preserve">, legal, and other expenses. </w:t>
      </w:r>
      <w:r w:rsidR="005C1D18">
        <w:t>As</w:t>
      </w:r>
      <w:r>
        <w:t xml:space="preserve"> statutory </w:t>
      </w:r>
      <w:r w:rsidR="002D1C65">
        <w:t>cost-</w:t>
      </w:r>
      <w:r>
        <w:t xml:space="preserve">effectiveness is measured at the portfolio level, ComEd does not allocate these costs to individual programs. </w:t>
      </w:r>
      <w:r>
        <w:fldChar w:fldCharType="begin"/>
      </w:r>
      <w:r>
        <w:instrText xml:space="preserve"> REF _Ref13760575 \h </w:instrText>
      </w:r>
      <w:r>
        <w:fldChar w:fldCharType="separate"/>
      </w:r>
      <w:r w:rsidR="00427EE9" w:rsidRPr="00025122">
        <w:t xml:space="preserve">Table </w:t>
      </w:r>
      <w:r w:rsidR="00427EE9">
        <w:rPr>
          <w:noProof/>
        </w:rPr>
        <w:t>2</w:t>
      </w:r>
      <w:r w:rsidR="00427EE9" w:rsidRPr="00025122">
        <w:noBreakHyphen/>
      </w:r>
      <w:r w:rsidR="00427EE9">
        <w:rPr>
          <w:noProof/>
        </w:rPr>
        <w:t>2</w:t>
      </w:r>
      <w:r>
        <w:fldChar w:fldCharType="end"/>
      </w:r>
      <w:r>
        <w:t xml:space="preserve"> </w:t>
      </w:r>
      <w:r w:rsidR="003E40B9">
        <w:t>outlines</w:t>
      </w:r>
      <w:r>
        <w:t xml:space="preserve"> the portfolio-level costs included in the analysis.</w:t>
      </w:r>
    </w:p>
    <w:p w14:paraId="33858031" w14:textId="5B8F8524" w:rsidR="001B5EAD" w:rsidRDefault="001B5EAD" w:rsidP="001B5EAD">
      <w:pPr>
        <w:pStyle w:val="Caption"/>
        <w:rPr>
          <w:b w:val="0"/>
          <w:bCs w:val="0"/>
          <w:color w:val="FFFFFF"/>
          <w:sz w:val="18"/>
          <w:szCs w:val="18"/>
        </w:rPr>
      </w:pPr>
      <w:bookmarkStart w:id="101" w:name="_Ref13760575"/>
      <w:bookmarkStart w:id="102" w:name="_Ref13760564"/>
      <w:bookmarkStart w:id="103" w:name="_Toc196925427"/>
      <w:r w:rsidRPr="006962C7">
        <w:t xml:space="preserve">Table </w:t>
      </w:r>
      <w:r w:rsidRPr="006962C7">
        <w:fldChar w:fldCharType="begin"/>
      </w:r>
      <w:r w:rsidRPr="006962C7">
        <w:instrText>STYLEREF 1 \s</w:instrText>
      </w:r>
      <w:r w:rsidRPr="006962C7">
        <w:fldChar w:fldCharType="separate"/>
      </w:r>
      <w:r w:rsidR="00427EE9" w:rsidRPr="006962C7">
        <w:rPr>
          <w:noProof/>
        </w:rPr>
        <w:t>2</w:t>
      </w:r>
      <w:r w:rsidRPr="006962C7">
        <w:fldChar w:fldCharType="end"/>
      </w:r>
      <w:r w:rsidRPr="006962C7">
        <w:noBreakHyphen/>
      </w:r>
      <w:r w:rsidRPr="006962C7">
        <w:fldChar w:fldCharType="begin"/>
      </w:r>
      <w:r w:rsidRPr="006962C7">
        <w:instrText>SEQ Table \* ARABIC \s 1</w:instrText>
      </w:r>
      <w:r w:rsidRPr="006962C7">
        <w:fldChar w:fldCharType="separate"/>
      </w:r>
      <w:r w:rsidR="00427EE9" w:rsidRPr="006962C7">
        <w:rPr>
          <w:noProof/>
        </w:rPr>
        <w:t>2</w:t>
      </w:r>
      <w:r w:rsidRPr="006962C7">
        <w:fldChar w:fldCharType="end"/>
      </w:r>
      <w:bookmarkEnd w:id="101"/>
      <w:r w:rsidRPr="006962C7">
        <w:t>. Breakdown of Portfolio-Level Costs</w:t>
      </w:r>
      <w:bookmarkEnd w:id="102"/>
      <w:bookmarkEnd w:id="103"/>
      <w:r w:rsidRPr="00523656">
        <w:rPr>
          <w:b w:val="0"/>
          <w:bCs w:val="0"/>
          <w:color w:val="FFFFFF"/>
          <w:sz w:val="18"/>
          <w:szCs w:val="18"/>
        </w:rPr>
        <w:t> </w:t>
      </w:r>
    </w:p>
    <w:tbl>
      <w:tblPr>
        <w:tblStyle w:val="ESITable1"/>
        <w:tblW w:w="5000" w:type="pct"/>
        <w:tblLayout w:type="fixed"/>
        <w:tblLook w:val="04A0" w:firstRow="1" w:lastRow="0" w:firstColumn="1" w:lastColumn="0" w:noHBand="0" w:noVBand="1"/>
      </w:tblPr>
      <w:tblGrid>
        <w:gridCol w:w="7170"/>
        <w:gridCol w:w="2190"/>
      </w:tblGrid>
      <w:tr w:rsidR="000B55E0" w:rsidRPr="007826CD" w14:paraId="76E4D982" w14:textId="77777777" w:rsidTr="007826C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30" w:type="pct"/>
            <w:tcBorders>
              <w:top w:val="nil"/>
              <w:bottom w:val="single" w:sz="12" w:space="0" w:color="93D500" w:themeColor="accent1"/>
              <w:right w:val="nil"/>
            </w:tcBorders>
            <w:shd w:val="clear" w:color="auto" w:fill="036479" w:themeFill="accent3"/>
            <w:hideMark/>
          </w:tcPr>
          <w:p w14:paraId="2393A774" w14:textId="2BC0EDDD" w:rsidR="000B55E0" w:rsidRPr="007826CD" w:rsidRDefault="000B55E0" w:rsidP="000B55E0">
            <w:pPr>
              <w:rPr>
                <w:rFonts w:cs="Arial"/>
                <w:b w:val="0"/>
                <w:color w:val="FFFFFF" w:themeColor="background1"/>
                <w:sz w:val="18"/>
                <w:szCs w:val="18"/>
              </w:rPr>
            </w:pPr>
            <w:r w:rsidRPr="007826CD">
              <w:rPr>
                <w:rFonts w:cs="Arial"/>
                <w:color w:val="FFFFFF" w:themeColor="background1"/>
                <w:sz w:val="18"/>
                <w:szCs w:val="18"/>
              </w:rPr>
              <w:t>Portfolio-Level Cost Component</w:t>
            </w:r>
          </w:p>
        </w:tc>
        <w:tc>
          <w:tcPr>
            <w:tcW w:w="1170" w:type="pct"/>
            <w:tcBorders>
              <w:top w:val="nil"/>
              <w:left w:val="nil"/>
              <w:bottom w:val="single" w:sz="12" w:space="0" w:color="93D500" w:themeColor="accent1"/>
            </w:tcBorders>
            <w:shd w:val="clear" w:color="auto" w:fill="036479" w:themeFill="accent3"/>
            <w:hideMark/>
          </w:tcPr>
          <w:p w14:paraId="728BC3D6" w14:textId="64E90544" w:rsidR="000B55E0" w:rsidRPr="007826CD" w:rsidRDefault="000B55E0" w:rsidP="000B55E0">
            <w:pPr>
              <w:jc w:val="right"/>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7826CD">
              <w:rPr>
                <w:rFonts w:cs="Arial"/>
                <w:color w:val="FFFFFF" w:themeColor="background1"/>
                <w:sz w:val="18"/>
                <w:szCs w:val="18"/>
              </w:rPr>
              <w:t>Value ($)</w:t>
            </w:r>
          </w:p>
        </w:tc>
      </w:tr>
      <w:tr w:rsidR="00BE2741" w:rsidRPr="00A02600" w14:paraId="1CF99852"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30" w:type="pct"/>
            <w:tcBorders>
              <w:top w:val="single" w:sz="12" w:space="0" w:color="93D500" w:themeColor="accent1"/>
              <w:bottom w:val="single" w:sz="4" w:space="0" w:color="60B8CC" w:themeColor="accent4"/>
            </w:tcBorders>
            <w:vAlign w:val="bottom"/>
          </w:tcPr>
          <w:p w14:paraId="4479384D" w14:textId="5FB17F96" w:rsidR="00BE2741" w:rsidRPr="00A02600" w:rsidRDefault="00BE2741" w:rsidP="00BE2741">
            <w:pPr>
              <w:rPr>
                <w:rFonts w:cs="Arial"/>
                <w:color w:val="000000"/>
                <w:sz w:val="18"/>
                <w:szCs w:val="18"/>
              </w:rPr>
            </w:pPr>
            <w:r w:rsidRPr="00A02600">
              <w:rPr>
                <w:rFonts w:cs="Arial"/>
                <w:color w:val="000000"/>
                <w:sz w:val="18"/>
                <w:szCs w:val="18"/>
              </w:rPr>
              <w:t>M&amp;V</w:t>
            </w:r>
          </w:p>
        </w:tc>
        <w:tc>
          <w:tcPr>
            <w:tcW w:w="1170" w:type="pct"/>
            <w:tcBorders>
              <w:top w:val="single" w:sz="12" w:space="0" w:color="93D500" w:themeColor="accent1"/>
              <w:bottom w:val="single" w:sz="4" w:space="0" w:color="60B8CC" w:themeColor="accent4"/>
            </w:tcBorders>
            <w:noWrap/>
          </w:tcPr>
          <w:p w14:paraId="7971C759" w14:textId="33AE6205" w:rsidR="00BE2741" w:rsidRPr="00BE2741" w:rsidRDefault="00BE2741" w:rsidP="00BE2741">
            <w:pPr>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highlight w:val="yellow"/>
              </w:rPr>
            </w:pPr>
            <w:r w:rsidRPr="00BE2741">
              <w:rPr>
                <w:sz w:val="18"/>
                <w:szCs w:val="18"/>
              </w:rPr>
              <w:t xml:space="preserve">$8,390,062 </w:t>
            </w:r>
          </w:p>
        </w:tc>
      </w:tr>
      <w:tr w:rsidR="00BE2741" w:rsidRPr="00A02600" w14:paraId="69F34E18" w14:textId="7777777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30" w:type="pct"/>
            <w:tcBorders>
              <w:top w:val="single" w:sz="4" w:space="0" w:color="60B8CC" w:themeColor="accent4"/>
              <w:bottom w:val="single" w:sz="4" w:space="0" w:color="60B8CC" w:themeColor="accent4"/>
            </w:tcBorders>
            <w:vAlign w:val="bottom"/>
            <w:hideMark/>
          </w:tcPr>
          <w:p w14:paraId="683B9F1A" w14:textId="38EA3A8A" w:rsidR="00BE2741" w:rsidRPr="00A02600" w:rsidRDefault="00BE2741" w:rsidP="00BE2741">
            <w:pPr>
              <w:rPr>
                <w:rFonts w:cs="Arial"/>
                <w:color w:val="000000"/>
                <w:sz w:val="18"/>
                <w:szCs w:val="18"/>
              </w:rPr>
            </w:pPr>
            <w:r w:rsidRPr="00A02600">
              <w:rPr>
                <w:rFonts w:cs="Arial"/>
                <w:color w:val="000000"/>
                <w:sz w:val="18"/>
                <w:szCs w:val="18"/>
              </w:rPr>
              <w:t>R&amp;D</w:t>
            </w:r>
          </w:p>
        </w:tc>
        <w:tc>
          <w:tcPr>
            <w:tcW w:w="1170" w:type="pct"/>
            <w:tcBorders>
              <w:top w:val="single" w:sz="4" w:space="0" w:color="60B8CC" w:themeColor="accent4"/>
              <w:bottom w:val="single" w:sz="4" w:space="0" w:color="60B8CC" w:themeColor="accent4"/>
            </w:tcBorders>
            <w:noWrap/>
            <w:hideMark/>
          </w:tcPr>
          <w:p w14:paraId="52538A73" w14:textId="618DA2AC" w:rsidR="00BE2741" w:rsidRPr="00BE2741" w:rsidRDefault="00BE2741" w:rsidP="00BE2741">
            <w:pPr>
              <w:jc w:val="right"/>
              <w:cnfStyle w:val="000000010000" w:firstRow="0" w:lastRow="0" w:firstColumn="0" w:lastColumn="0" w:oddVBand="0" w:evenVBand="0" w:oddHBand="0" w:evenHBand="1" w:firstRowFirstColumn="0" w:firstRowLastColumn="0" w:lastRowFirstColumn="0" w:lastRowLastColumn="0"/>
              <w:rPr>
                <w:rFonts w:cs="Arial"/>
                <w:color w:val="000000"/>
                <w:sz w:val="18"/>
                <w:szCs w:val="18"/>
                <w:highlight w:val="yellow"/>
              </w:rPr>
            </w:pPr>
            <w:r w:rsidRPr="00BE2741">
              <w:rPr>
                <w:sz w:val="18"/>
                <w:szCs w:val="18"/>
              </w:rPr>
              <w:t xml:space="preserve">$7,196,231 </w:t>
            </w:r>
          </w:p>
        </w:tc>
      </w:tr>
      <w:tr w:rsidR="00BE2741" w:rsidRPr="00A02600" w14:paraId="0808BE85"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30" w:type="pct"/>
            <w:tcBorders>
              <w:top w:val="single" w:sz="4" w:space="0" w:color="60B8CC" w:themeColor="accent4"/>
              <w:bottom w:val="single" w:sz="4" w:space="0" w:color="60B8CC" w:themeColor="accent4"/>
            </w:tcBorders>
            <w:vAlign w:val="bottom"/>
            <w:hideMark/>
          </w:tcPr>
          <w:p w14:paraId="3607D346" w14:textId="6A98C08F" w:rsidR="00BE2741" w:rsidRPr="00A02600" w:rsidRDefault="00BE2741" w:rsidP="00BE2741">
            <w:pPr>
              <w:rPr>
                <w:rFonts w:cs="Arial"/>
                <w:color w:val="000000"/>
                <w:sz w:val="18"/>
                <w:szCs w:val="18"/>
              </w:rPr>
            </w:pPr>
            <w:r w:rsidRPr="00A02600">
              <w:rPr>
                <w:rFonts w:cs="Arial"/>
                <w:color w:val="000000"/>
                <w:sz w:val="18"/>
                <w:szCs w:val="18"/>
              </w:rPr>
              <w:t>Market Development</w:t>
            </w:r>
          </w:p>
        </w:tc>
        <w:tc>
          <w:tcPr>
            <w:tcW w:w="1170" w:type="pct"/>
            <w:tcBorders>
              <w:top w:val="single" w:sz="4" w:space="0" w:color="60B8CC" w:themeColor="accent4"/>
              <w:bottom w:val="single" w:sz="4" w:space="0" w:color="60B8CC" w:themeColor="accent4"/>
            </w:tcBorders>
            <w:noWrap/>
            <w:hideMark/>
          </w:tcPr>
          <w:p w14:paraId="6540F520" w14:textId="3AFA5076" w:rsidR="00BE2741" w:rsidRPr="00BE2741" w:rsidRDefault="00BE2741" w:rsidP="00BE2741">
            <w:pPr>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highlight w:val="yellow"/>
              </w:rPr>
            </w:pPr>
            <w:r w:rsidRPr="00BE2741">
              <w:rPr>
                <w:sz w:val="18"/>
                <w:szCs w:val="18"/>
              </w:rPr>
              <w:t xml:space="preserve">$5,148,628 </w:t>
            </w:r>
          </w:p>
        </w:tc>
      </w:tr>
      <w:tr w:rsidR="00BE2741" w:rsidRPr="00A02600" w14:paraId="2B2B0504" w14:textId="7777777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30" w:type="pct"/>
            <w:tcBorders>
              <w:top w:val="single" w:sz="4" w:space="0" w:color="60B8CC" w:themeColor="accent4"/>
              <w:bottom w:val="single" w:sz="4" w:space="0" w:color="60B8CC" w:themeColor="accent4"/>
            </w:tcBorders>
            <w:vAlign w:val="bottom"/>
            <w:hideMark/>
          </w:tcPr>
          <w:p w14:paraId="5281AB63" w14:textId="033FC14B" w:rsidR="00BE2741" w:rsidRPr="00A02600" w:rsidRDefault="00BE2741" w:rsidP="00BE2741">
            <w:pPr>
              <w:rPr>
                <w:rFonts w:cs="Arial"/>
                <w:color w:val="000000"/>
                <w:sz w:val="18"/>
                <w:szCs w:val="18"/>
              </w:rPr>
            </w:pPr>
            <w:r w:rsidRPr="00A02600">
              <w:rPr>
                <w:rFonts w:cs="Arial"/>
                <w:color w:val="000000"/>
                <w:sz w:val="18"/>
                <w:szCs w:val="18"/>
              </w:rPr>
              <w:t>Legal</w:t>
            </w:r>
          </w:p>
        </w:tc>
        <w:tc>
          <w:tcPr>
            <w:tcW w:w="1170" w:type="pct"/>
            <w:tcBorders>
              <w:top w:val="single" w:sz="4" w:space="0" w:color="60B8CC" w:themeColor="accent4"/>
              <w:bottom w:val="single" w:sz="4" w:space="0" w:color="60B8CC" w:themeColor="accent4"/>
            </w:tcBorders>
            <w:noWrap/>
            <w:hideMark/>
          </w:tcPr>
          <w:p w14:paraId="5398E236" w14:textId="4A279C7E" w:rsidR="00BE2741" w:rsidRPr="00BE2741" w:rsidRDefault="00BE2741" w:rsidP="00BE2741">
            <w:pPr>
              <w:jc w:val="right"/>
              <w:cnfStyle w:val="000000010000" w:firstRow="0" w:lastRow="0" w:firstColumn="0" w:lastColumn="0" w:oddVBand="0" w:evenVBand="0" w:oddHBand="0" w:evenHBand="1" w:firstRowFirstColumn="0" w:firstRowLastColumn="0" w:lastRowFirstColumn="0" w:lastRowLastColumn="0"/>
              <w:rPr>
                <w:rFonts w:cs="Arial"/>
                <w:color w:val="000000"/>
                <w:sz w:val="18"/>
                <w:szCs w:val="18"/>
                <w:highlight w:val="yellow"/>
              </w:rPr>
            </w:pPr>
            <w:r w:rsidRPr="00BE2741">
              <w:rPr>
                <w:sz w:val="18"/>
                <w:szCs w:val="18"/>
              </w:rPr>
              <w:t xml:space="preserve">$22,387 </w:t>
            </w:r>
          </w:p>
        </w:tc>
      </w:tr>
      <w:tr w:rsidR="00BE2741" w:rsidRPr="00A02600" w14:paraId="20C3EB73" w14:textId="7777777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830" w:type="pct"/>
            <w:tcBorders>
              <w:top w:val="single" w:sz="4" w:space="0" w:color="60B8CC" w:themeColor="accent4"/>
              <w:bottom w:val="single" w:sz="4" w:space="0" w:color="60B8CC" w:themeColor="accent4"/>
            </w:tcBorders>
            <w:vAlign w:val="bottom"/>
            <w:hideMark/>
          </w:tcPr>
          <w:p w14:paraId="2C6C244D" w14:textId="1132DF5A" w:rsidR="00BE2741" w:rsidRPr="00A02600" w:rsidRDefault="00BE2741" w:rsidP="00BE2741">
            <w:pPr>
              <w:rPr>
                <w:rFonts w:cs="Arial"/>
                <w:color w:val="000000"/>
                <w:sz w:val="18"/>
                <w:szCs w:val="18"/>
              </w:rPr>
            </w:pPr>
            <w:r w:rsidRPr="00A02600">
              <w:rPr>
                <w:rFonts w:cs="Arial"/>
                <w:color w:val="000000"/>
                <w:sz w:val="18"/>
                <w:szCs w:val="18"/>
              </w:rPr>
              <w:t>Tracking System</w:t>
            </w:r>
          </w:p>
        </w:tc>
        <w:tc>
          <w:tcPr>
            <w:tcW w:w="1170" w:type="pct"/>
            <w:tcBorders>
              <w:top w:val="single" w:sz="4" w:space="0" w:color="60B8CC" w:themeColor="accent4"/>
              <w:bottom w:val="single" w:sz="4" w:space="0" w:color="60B8CC" w:themeColor="accent4"/>
            </w:tcBorders>
            <w:noWrap/>
            <w:hideMark/>
          </w:tcPr>
          <w:p w14:paraId="4BB95A24" w14:textId="081CF36A" w:rsidR="00BE2741" w:rsidRPr="00BE2741" w:rsidRDefault="00BE2741" w:rsidP="00BE2741">
            <w:pPr>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highlight w:val="yellow"/>
              </w:rPr>
            </w:pPr>
            <w:r w:rsidRPr="00BE2741">
              <w:rPr>
                <w:sz w:val="18"/>
                <w:szCs w:val="18"/>
              </w:rPr>
              <w:t xml:space="preserve">$998,194 </w:t>
            </w:r>
          </w:p>
        </w:tc>
      </w:tr>
      <w:tr w:rsidR="00BE2741" w:rsidRPr="00A02600" w14:paraId="3326A964" w14:textId="7777777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30" w:type="pct"/>
            <w:tcBorders>
              <w:top w:val="single" w:sz="4" w:space="0" w:color="60B8CC" w:themeColor="accent4"/>
              <w:bottom w:val="single" w:sz="4" w:space="0" w:color="60B8CC" w:themeColor="accent4"/>
            </w:tcBorders>
            <w:vAlign w:val="bottom"/>
            <w:hideMark/>
          </w:tcPr>
          <w:p w14:paraId="172C627D" w14:textId="7ADB8C3D" w:rsidR="00BE2741" w:rsidRPr="00A02600" w:rsidRDefault="00BE2741" w:rsidP="00BE2741">
            <w:pPr>
              <w:rPr>
                <w:rFonts w:cs="Arial"/>
                <w:color w:val="000000"/>
                <w:sz w:val="18"/>
                <w:szCs w:val="18"/>
              </w:rPr>
            </w:pPr>
            <w:r w:rsidRPr="00A02600">
              <w:rPr>
                <w:rFonts w:cs="Arial"/>
                <w:color w:val="000000"/>
                <w:sz w:val="18"/>
                <w:szCs w:val="18"/>
              </w:rPr>
              <w:t>Labor (Non-Program</w:t>
            </w:r>
            <w:r>
              <w:rPr>
                <w:rFonts w:cs="Arial"/>
                <w:color w:val="000000"/>
                <w:sz w:val="18"/>
                <w:szCs w:val="18"/>
              </w:rPr>
              <w:t>-</w:t>
            </w:r>
            <w:r w:rsidRPr="00A02600">
              <w:rPr>
                <w:rFonts w:cs="Arial"/>
                <w:color w:val="000000"/>
                <w:sz w:val="18"/>
                <w:szCs w:val="18"/>
              </w:rPr>
              <w:t>Specific)</w:t>
            </w:r>
          </w:p>
        </w:tc>
        <w:tc>
          <w:tcPr>
            <w:tcW w:w="1170" w:type="pct"/>
            <w:tcBorders>
              <w:top w:val="single" w:sz="4" w:space="0" w:color="60B8CC" w:themeColor="accent4"/>
              <w:bottom w:val="single" w:sz="4" w:space="0" w:color="60B8CC" w:themeColor="accent4"/>
            </w:tcBorders>
            <w:noWrap/>
            <w:hideMark/>
          </w:tcPr>
          <w:p w14:paraId="1CCB025F" w14:textId="406F6337" w:rsidR="00BE2741" w:rsidRPr="00BE2741" w:rsidRDefault="00BE2741" w:rsidP="00BE2741">
            <w:pPr>
              <w:jc w:val="right"/>
              <w:cnfStyle w:val="000000010000" w:firstRow="0" w:lastRow="0" w:firstColumn="0" w:lastColumn="0" w:oddVBand="0" w:evenVBand="0" w:oddHBand="0" w:evenHBand="1" w:firstRowFirstColumn="0" w:firstRowLastColumn="0" w:lastRowFirstColumn="0" w:lastRowLastColumn="0"/>
              <w:rPr>
                <w:rFonts w:cs="Arial"/>
                <w:color w:val="000000"/>
                <w:sz w:val="18"/>
                <w:szCs w:val="18"/>
                <w:highlight w:val="yellow"/>
              </w:rPr>
            </w:pPr>
            <w:r w:rsidRPr="00BE2741">
              <w:rPr>
                <w:sz w:val="18"/>
                <w:szCs w:val="18"/>
              </w:rPr>
              <w:t xml:space="preserve">$5,060,348 </w:t>
            </w:r>
          </w:p>
        </w:tc>
      </w:tr>
      <w:tr w:rsidR="00BE2741" w:rsidRPr="00A02600" w14:paraId="67E0B3FE"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30" w:type="pct"/>
            <w:tcBorders>
              <w:top w:val="single" w:sz="4" w:space="0" w:color="60B8CC" w:themeColor="accent4"/>
              <w:bottom w:val="single" w:sz="4" w:space="0" w:color="60B8CC" w:themeColor="accent4"/>
            </w:tcBorders>
            <w:vAlign w:val="bottom"/>
            <w:hideMark/>
          </w:tcPr>
          <w:p w14:paraId="6D3D219D" w14:textId="02951412" w:rsidR="00BE2741" w:rsidRPr="00A02600" w:rsidRDefault="00BE2741" w:rsidP="00BE2741">
            <w:pPr>
              <w:rPr>
                <w:rFonts w:cs="Arial"/>
                <w:color w:val="000000"/>
                <w:sz w:val="18"/>
                <w:szCs w:val="18"/>
              </w:rPr>
            </w:pPr>
            <w:r w:rsidRPr="00A02600">
              <w:rPr>
                <w:rFonts w:cs="Arial"/>
                <w:color w:val="000000"/>
                <w:sz w:val="18"/>
                <w:szCs w:val="18"/>
              </w:rPr>
              <w:t>General Program Costs</w:t>
            </w:r>
          </w:p>
        </w:tc>
        <w:tc>
          <w:tcPr>
            <w:tcW w:w="1170" w:type="pct"/>
            <w:tcBorders>
              <w:top w:val="single" w:sz="4" w:space="0" w:color="60B8CC" w:themeColor="accent4"/>
              <w:bottom w:val="single" w:sz="4" w:space="0" w:color="60B8CC" w:themeColor="accent4"/>
            </w:tcBorders>
            <w:noWrap/>
            <w:hideMark/>
          </w:tcPr>
          <w:p w14:paraId="5D3F7E64" w14:textId="442D1B90" w:rsidR="00BE2741" w:rsidRPr="00BE2741" w:rsidRDefault="00BE2741" w:rsidP="00BE2741">
            <w:pPr>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highlight w:val="yellow"/>
              </w:rPr>
            </w:pPr>
            <w:r w:rsidRPr="00BE2741">
              <w:rPr>
                <w:sz w:val="18"/>
                <w:szCs w:val="18"/>
              </w:rPr>
              <w:t xml:space="preserve">$6,985,393 </w:t>
            </w:r>
          </w:p>
        </w:tc>
      </w:tr>
      <w:tr w:rsidR="00BE2741" w:rsidRPr="00A02600" w14:paraId="2BCE80EC" w14:textId="7777777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30" w:type="pct"/>
            <w:tcBorders>
              <w:top w:val="single" w:sz="4" w:space="0" w:color="60B8CC" w:themeColor="accent4"/>
              <w:bottom w:val="single" w:sz="4" w:space="0" w:color="60B8CC" w:themeColor="accent4"/>
            </w:tcBorders>
            <w:vAlign w:val="bottom"/>
          </w:tcPr>
          <w:p w14:paraId="3266062B" w14:textId="4D51A6C4" w:rsidR="00BE2741" w:rsidRPr="00A02600" w:rsidRDefault="00BE2741" w:rsidP="00BE2741">
            <w:pPr>
              <w:rPr>
                <w:rFonts w:cs="Arial"/>
                <w:color w:val="000000"/>
                <w:sz w:val="18"/>
                <w:szCs w:val="18"/>
              </w:rPr>
            </w:pPr>
            <w:r w:rsidRPr="00A02600">
              <w:rPr>
                <w:rFonts w:cs="Arial"/>
                <w:color w:val="000000"/>
                <w:sz w:val="18"/>
                <w:szCs w:val="18"/>
              </w:rPr>
              <w:t>Residential Outreach</w:t>
            </w:r>
          </w:p>
        </w:tc>
        <w:tc>
          <w:tcPr>
            <w:tcW w:w="1170" w:type="pct"/>
            <w:tcBorders>
              <w:top w:val="single" w:sz="4" w:space="0" w:color="60B8CC" w:themeColor="accent4"/>
              <w:bottom w:val="single" w:sz="4" w:space="0" w:color="60B8CC" w:themeColor="accent4"/>
            </w:tcBorders>
            <w:noWrap/>
          </w:tcPr>
          <w:p w14:paraId="0F0772DF" w14:textId="0E303C99" w:rsidR="00BE2741" w:rsidRPr="00BE2741" w:rsidRDefault="00BE2741" w:rsidP="00BE2741">
            <w:pPr>
              <w:jc w:val="right"/>
              <w:cnfStyle w:val="000000010000" w:firstRow="0" w:lastRow="0" w:firstColumn="0" w:lastColumn="0" w:oddVBand="0" w:evenVBand="0" w:oddHBand="0" w:evenHBand="1" w:firstRowFirstColumn="0" w:firstRowLastColumn="0" w:lastRowFirstColumn="0" w:lastRowLastColumn="0"/>
              <w:rPr>
                <w:rFonts w:cs="Arial"/>
                <w:color w:val="000000"/>
                <w:sz w:val="18"/>
                <w:szCs w:val="18"/>
                <w:highlight w:val="yellow"/>
              </w:rPr>
            </w:pPr>
            <w:r w:rsidRPr="00BE2741">
              <w:rPr>
                <w:sz w:val="18"/>
                <w:szCs w:val="18"/>
              </w:rPr>
              <w:t xml:space="preserve">$3,689,762 </w:t>
            </w:r>
          </w:p>
        </w:tc>
      </w:tr>
      <w:tr w:rsidR="00BE2741" w:rsidRPr="00A02600" w14:paraId="19C2E991"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30" w:type="pct"/>
            <w:tcBorders>
              <w:top w:val="single" w:sz="4" w:space="0" w:color="60B8CC" w:themeColor="accent4"/>
              <w:bottom w:val="single" w:sz="4" w:space="0" w:color="60B8CC" w:themeColor="accent4"/>
            </w:tcBorders>
            <w:vAlign w:val="bottom"/>
          </w:tcPr>
          <w:p w14:paraId="2C34A225" w14:textId="2A5AEEC8" w:rsidR="00BE2741" w:rsidRPr="00A02600" w:rsidRDefault="00BE2741" w:rsidP="00BE2741">
            <w:pPr>
              <w:rPr>
                <w:rFonts w:cs="Arial"/>
                <w:color w:val="000000"/>
                <w:sz w:val="18"/>
                <w:szCs w:val="18"/>
              </w:rPr>
            </w:pPr>
            <w:r w:rsidRPr="00A02600">
              <w:rPr>
                <w:rFonts w:cs="Arial"/>
                <w:color w:val="000000"/>
                <w:sz w:val="18"/>
                <w:szCs w:val="18"/>
              </w:rPr>
              <w:t>Business Outreach</w:t>
            </w:r>
          </w:p>
        </w:tc>
        <w:tc>
          <w:tcPr>
            <w:tcW w:w="1170" w:type="pct"/>
            <w:tcBorders>
              <w:top w:val="single" w:sz="4" w:space="0" w:color="60B8CC" w:themeColor="accent4"/>
              <w:bottom w:val="single" w:sz="4" w:space="0" w:color="60B8CC" w:themeColor="accent4"/>
            </w:tcBorders>
            <w:noWrap/>
          </w:tcPr>
          <w:p w14:paraId="7A3D390F" w14:textId="4802C83D" w:rsidR="00BE2741" w:rsidRPr="00BE2741" w:rsidRDefault="00BE2741" w:rsidP="00BE2741">
            <w:pPr>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highlight w:val="yellow"/>
              </w:rPr>
            </w:pPr>
            <w:r w:rsidRPr="00BE2741">
              <w:rPr>
                <w:sz w:val="18"/>
                <w:szCs w:val="18"/>
              </w:rPr>
              <w:t xml:space="preserve">$12,626,959 </w:t>
            </w:r>
          </w:p>
        </w:tc>
      </w:tr>
      <w:tr w:rsidR="00BE2741" w:rsidRPr="00A02600" w14:paraId="25EB86BF" w14:textId="7777777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30" w:type="pct"/>
            <w:tcBorders>
              <w:top w:val="single" w:sz="4" w:space="0" w:color="60B8CC" w:themeColor="accent4"/>
              <w:bottom w:val="single" w:sz="4" w:space="0" w:color="60B8CC" w:themeColor="accent4"/>
            </w:tcBorders>
            <w:vAlign w:val="bottom"/>
          </w:tcPr>
          <w:p w14:paraId="65870F8E" w14:textId="0BD6D4D4" w:rsidR="00BE2741" w:rsidRPr="00A02600" w:rsidRDefault="00BE2741" w:rsidP="00BE2741">
            <w:pPr>
              <w:rPr>
                <w:rFonts w:cs="Arial"/>
                <w:color w:val="000000"/>
                <w:sz w:val="18"/>
                <w:szCs w:val="18"/>
              </w:rPr>
            </w:pPr>
            <w:r w:rsidRPr="00A02600">
              <w:rPr>
                <w:rFonts w:cs="Arial"/>
                <w:color w:val="000000"/>
                <w:sz w:val="18"/>
                <w:szCs w:val="18"/>
              </w:rPr>
              <w:t>Income Eligible Outreach</w:t>
            </w:r>
          </w:p>
        </w:tc>
        <w:tc>
          <w:tcPr>
            <w:tcW w:w="1170" w:type="pct"/>
            <w:tcBorders>
              <w:top w:val="single" w:sz="4" w:space="0" w:color="60B8CC" w:themeColor="accent4"/>
              <w:bottom w:val="single" w:sz="4" w:space="0" w:color="60B8CC" w:themeColor="accent4"/>
            </w:tcBorders>
            <w:noWrap/>
          </w:tcPr>
          <w:p w14:paraId="096C970D" w14:textId="04AF2A06" w:rsidR="00BE2741" w:rsidRPr="00BE2741" w:rsidRDefault="00BE2741" w:rsidP="00BE2741">
            <w:pPr>
              <w:jc w:val="right"/>
              <w:cnfStyle w:val="000000010000" w:firstRow="0" w:lastRow="0" w:firstColumn="0" w:lastColumn="0" w:oddVBand="0" w:evenVBand="0" w:oddHBand="0" w:evenHBand="1" w:firstRowFirstColumn="0" w:firstRowLastColumn="0" w:lastRowFirstColumn="0" w:lastRowLastColumn="0"/>
              <w:rPr>
                <w:rFonts w:cs="Arial"/>
                <w:color w:val="000000"/>
                <w:sz w:val="18"/>
                <w:szCs w:val="18"/>
                <w:highlight w:val="yellow"/>
              </w:rPr>
            </w:pPr>
            <w:r w:rsidRPr="00BE2741">
              <w:rPr>
                <w:sz w:val="18"/>
                <w:szCs w:val="18"/>
              </w:rPr>
              <w:t xml:space="preserve">$300,461 </w:t>
            </w:r>
          </w:p>
        </w:tc>
      </w:tr>
      <w:tr w:rsidR="00BE2741" w:rsidRPr="00A02600" w14:paraId="65CEC899"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30" w:type="pct"/>
            <w:tcBorders>
              <w:top w:val="single" w:sz="4" w:space="0" w:color="60B8CC" w:themeColor="accent4"/>
              <w:bottom w:val="single" w:sz="4" w:space="0" w:color="60B8CC" w:themeColor="accent4"/>
            </w:tcBorders>
            <w:vAlign w:val="bottom"/>
          </w:tcPr>
          <w:p w14:paraId="579D09A1" w14:textId="7EA9AA51" w:rsidR="00BE2741" w:rsidRPr="00A02600" w:rsidRDefault="00BE2741" w:rsidP="00BE2741">
            <w:pPr>
              <w:rPr>
                <w:rFonts w:cs="Arial"/>
                <w:color w:val="000000"/>
                <w:sz w:val="18"/>
                <w:szCs w:val="18"/>
              </w:rPr>
            </w:pPr>
            <w:r w:rsidRPr="00A02600">
              <w:rPr>
                <w:rFonts w:cs="Arial"/>
                <w:color w:val="000000"/>
                <w:sz w:val="18"/>
                <w:szCs w:val="18"/>
              </w:rPr>
              <w:t>General Education &amp; Awareness</w:t>
            </w:r>
          </w:p>
        </w:tc>
        <w:tc>
          <w:tcPr>
            <w:tcW w:w="1170" w:type="pct"/>
            <w:tcBorders>
              <w:top w:val="single" w:sz="4" w:space="0" w:color="60B8CC" w:themeColor="accent4"/>
              <w:bottom w:val="single" w:sz="4" w:space="0" w:color="60B8CC" w:themeColor="accent4"/>
            </w:tcBorders>
            <w:noWrap/>
          </w:tcPr>
          <w:p w14:paraId="3E8740D4" w14:textId="46EF6961" w:rsidR="00BE2741" w:rsidRPr="00BE2741" w:rsidRDefault="00BE2741" w:rsidP="00BE2741">
            <w:pPr>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highlight w:val="yellow"/>
              </w:rPr>
            </w:pPr>
            <w:r w:rsidRPr="00BE2741">
              <w:rPr>
                <w:sz w:val="18"/>
                <w:szCs w:val="18"/>
              </w:rPr>
              <w:t xml:space="preserve">$5,517,138 </w:t>
            </w:r>
          </w:p>
        </w:tc>
      </w:tr>
      <w:tr w:rsidR="00BE2741" w:rsidRPr="00A02600" w14:paraId="104AA1A9" w14:textId="7777777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30" w:type="pct"/>
            <w:tcBorders>
              <w:top w:val="single" w:sz="4" w:space="0" w:color="60B8CC" w:themeColor="accent4"/>
              <w:bottom w:val="single" w:sz="12" w:space="0" w:color="036479" w:themeColor="accent3"/>
            </w:tcBorders>
            <w:noWrap/>
            <w:vAlign w:val="bottom"/>
            <w:hideMark/>
          </w:tcPr>
          <w:p w14:paraId="48F28FA4" w14:textId="5A997354" w:rsidR="00BE2741" w:rsidRPr="00A02600" w:rsidRDefault="00BE2741" w:rsidP="00BE2741">
            <w:pPr>
              <w:rPr>
                <w:rFonts w:cs="Arial"/>
                <w:b/>
                <w:color w:val="000000"/>
                <w:sz w:val="18"/>
                <w:szCs w:val="18"/>
              </w:rPr>
            </w:pPr>
            <w:r w:rsidRPr="00A02600">
              <w:rPr>
                <w:rFonts w:cs="Arial"/>
                <w:b/>
                <w:color w:val="000000"/>
                <w:sz w:val="18"/>
                <w:szCs w:val="18"/>
              </w:rPr>
              <w:t>Total</w:t>
            </w:r>
          </w:p>
        </w:tc>
        <w:tc>
          <w:tcPr>
            <w:tcW w:w="1170" w:type="pct"/>
            <w:tcBorders>
              <w:top w:val="single" w:sz="4" w:space="0" w:color="60B8CC" w:themeColor="accent4"/>
              <w:bottom w:val="single" w:sz="12" w:space="0" w:color="036479" w:themeColor="accent3"/>
            </w:tcBorders>
            <w:noWrap/>
            <w:hideMark/>
          </w:tcPr>
          <w:p w14:paraId="1C7D5C4C" w14:textId="4E10BA7D" w:rsidR="00BE2741" w:rsidRPr="00BE2741" w:rsidRDefault="00BE2741" w:rsidP="00BE2741">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8"/>
                <w:szCs w:val="18"/>
                <w:highlight w:val="yellow"/>
              </w:rPr>
            </w:pPr>
            <w:r w:rsidRPr="00BE2741">
              <w:rPr>
                <w:b/>
                <w:bCs/>
                <w:sz w:val="18"/>
                <w:szCs w:val="18"/>
              </w:rPr>
              <w:t xml:space="preserve">$55,935,563 </w:t>
            </w:r>
          </w:p>
        </w:tc>
      </w:tr>
    </w:tbl>
    <w:p w14:paraId="1EBF7A8A" w14:textId="41C63CE0" w:rsidR="001B5EAD" w:rsidRDefault="001465AB" w:rsidP="001B5EAD">
      <w:pPr>
        <w:pStyle w:val="Heading2"/>
      </w:pPr>
      <w:bookmarkStart w:id="104" w:name="_Toc508267216"/>
      <w:bookmarkStart w:id="105" w:name="_Toc196925670"/>
      <w:r>
        <w:t>Societal NEIs</w:t>
      </w:r>
      <w:bookmarkEnd w:id="105"/>
      <w:r>
        <w:rPr>
          <w:rStyle w:val="CommentReference"/>
          <w:rFonts w:cs="Times New Roman"/>
          <w:b w:val="0"/>
          <w:bCs w:val="0"/>
          <w:iCs w:val="0"/>
        </w:rPr>
        <w:t xml:space="preserve"> </w:t>
      </w:r>
    </w:p>
    <w:p w14:paraId="32CCCDC2" w14:textId="19257513" w:rsidR="001B5EAD" w:rsidRDefault="001B5EAD" w:rsidP="001B5EAD">
      <w:pPr>
        <w:pStyle w:val="BodyText"/>
      </w:pPr>
      <w:r w:rsidRPr="00F849F6">
        <w:t>Societal NEIs occur when energy efficiency programs reduce electricity generated from fossil fuels</w:t>
      </w:r>
      <w:r>
        <w:t>,</w:t>
      </w:r>
      <w:r w:rsidRPr="00F849F6">
        <w:t xml:space="preserve"> which reduces emissions including PM</w:t>
      </w:r>
      <w:r w:rsidRPr="00100CA3">
        <w:rPr>
          <w:vertAlign w:val="subscript"/>
        </w:rPr>
        <w:t>2.5</w:t>
      </w:r>
      <w:r w:rsidRPr="00F849F6">
        <w:t>, SO</w:t>
      </w:r>
      <w:r w:rsidRPr="00100CA3">
        <w:rPr>
          <w:vertAlign w:val="subscript"/>
        </w:rPr>
        <w:t>2</w:t>
      </w:r>
      <w:r w:rsidRPr="00F849F6">
        <w:t>, NO</w:t>
      </w:r>
      <w:r w:rsidRPr="00100CA3">
        <w:rPr>
          <w:vertAlign w:val="subscript"/>
        </w:rPr>
        <w:t>x</w:t>
      </w:r>
      <w:r w:rsidRPr="00F849F6">
        <w:t>, and CO</w:t>
      </w:r>
      <w:r w:rsidRPr="00100CA3">
        <w:rPr>
          <w:vertAlign w:val="subscript"/>
        </w:rPr>
        <w:t>2</w:t>
      </w:r>
      <w:r w:rsidRPr="00F849F6">
        <w:t>. This reduction in emissions causes reduced adverse health impacts, which are monetizable.</w:t>
      </w:r>
      <w:r>
        <w:t xml:space="preserve"> </w:t>
      </w:r>
      <w:r w:rsidR="0056770B">
        <w:t>The Societal NEIs were incorporated in the CY202</w:t>
      </w:r>
      <w:r w:rsidR="00B20802">
        <w:t>4</w:t>
      </w:r>
      <w:r w:rsidR="0056770B">
        <w:t xml:space="preserve"> analysis </w:t>
      </w:r>
      <w:r w:rsidR="00461B16">
        <w:t xml:space="preserve">for </w:t>
      </w:r>
      <w:r w:rsidR="0056770B">
        <w:t xml:space="preserve">the TRC </w:t>
      </w:r>
      <w:r w:rsidR="000C2D78">
        <w:t xml:space="preserve">values </w:t>
      </w:r>
      <w:r w:rsidR="0056770B">
        <w:t>only. As discussed in previous sections, this report provides TRC results both with and without NEIs included.</w:t>
      </w:r>
    </w:p>
    <w:p w14:paraId="3C8A1A33" w14:textId="28617729" w:rsidR="001B5EAD" w:rsidRPr="005926A8" w:rsidRDefault="001B5EAD" w:rsidP="001B5EAD">
      <w:pPr>
        <w:pStyle w:val="BodyText"/>
      </w:pPr>
      <w:r>
        <w:t xml:space="preserve">Guidehouse quantified and monetized these Societal NEIs using the </w:t>
      </w:r>
      <w:r w:rsidRPr="00F849F6">
        <w:t xml:space="preserve">U.S. Environmental Protection Agency (EPA) </w:t>
      </w:r>
      <w:proofErr w:type="spellStart"/>
      <w:r w:rsidRPr="00F849F6">
        <w:t>AVoided</w:t>
      </w:r>
      <w:proofErr w:type="spellEnd"/>
      <w:r w:rsidRPr="00F849F6">
        <w:t xml:space="preserve"> Emissions and geneRation Tool (AVERT) and CO–Benefits Risk Assessment (COBRA) Health Impacts Screening and Mapping Tool</w:t>
      </w:r>
      <w:r>
        <w:t>.</w:t>
      </w:r>
      <w:r w:rsidR="00E131C8" w:rsidRPr="00E131C8">
        <w:t xml:space="preserve"> </w:t>
      </w:r>
      <w:r w:rsidR="00A819D1">
        <w:t xml:space="preserve">The EPA had updated </w:t>
      </w:r>
      <w:r w:rsidR="00E131C8" w:rsidRPr="00E131C8">
        <w:t>COBRA in 2024 to estimate changes in annual ambient concentrations of both particulate matter (PM</w:t>
      </w:r>
      <w:r w:rsidR="00E131C8" w:rsidRPr="00A819D1">
        <w:rPr>
          <w:vertAlign w:val="subscript"/>
        </w:rPr>
        <w:t>2.5</w:t>
      </w:r>
      <w:r w:rsidR="00E131C8" w:rsidRPr="00E131C8">
        <w:t>) and ozone. In previous years COBRA only estimated the health impacts of PM</w:t>
      </w:r>
      <w:r w:rsidR="00E131C8" w:rsidRPr="00A819D1">
        <w:rPr>
          <w:vertAlign w:val="subscript"/>
        </w:rPr>
        <w:t>2.5</w:t>
      </w:r>
      <w:r w:rsidR="00E131C8" w:rsidRPr="00E131C8">
        <w:t>. The COBRA update included additional health incidents (Hospital Admissions related to Alzheimer’s and Parkinson’s Disease, Incidence of Stroke and Lung Cancer, and Hay Fever/Rhinitis).</w:t>
      </w:r>
      <w:r w:rsidR="00E43CF9">
        <w:t xml:space="preserve"> </w:t>
      </w:r>
    </w:p>
    <w:p w14:paraId="60821094" w14:textId="26C352D8" w:rsidR="001B5EAD" w:rsidRPr="00A90B62" w:rsidRDefault="001B5EAD" w:rsidP="001B5EAD">
      <w:pPr>
        <w:pStyle w:val="Heading1"/>
      </w:pPr>
      <w:bookmarkStart w:id="106" w:name="_Toc196925671"/>
      <w:r>
        <w:lastRenderedPageBreak/>
        <w:t>Program-Speci</w:t>
      </w:r>
      <w:bookmarkStart w:id="107" w:name="x"/>
      <w:bookmarkEnd w:id="107"/>
      <w:r>
        <w:t>fic Data</w:t>
      </w:r>
      <w:bookmarkEnd w:id="104"/>
      <w:bookmarkEnd w:id="106"/>
    </w:p>
    <w:p w14:paraId="55F402EC" w14:textId="1BB6E8B7" w:rsidR="00FE25B8" w:rsidRDefault="00980339" w:rsidP="00A43F4E">
      <w:r>
        <w:fldChar w:fldCharType="begin"/>
      </w:r>
      <w:r>
        <w:instrText xml:space="preserve"> REF _Ref196838466 \h </w:instrText>
      </w:r>
      <w:r>
        <w:fldChar w:fldCharType="separate"/>
      </w:r>
      <w:r w:rsidRPr="00D17C51">
        <w:t xml:space="preserve">Table </w:t>
      </w:r>
      <w:r>
        <w:rPr>
          <w:noProof/>
        </w:rPr>
        <w:t>3</w:t>
      </w:r>
      <w:r w:rsidRPr="00D17C51">
        <w:noBreakHyphen/>
      </w:r>
      <w:r>
        <w:rPr>
          <w:noProof/>
        </w:rPr>
        <w:t>1</w:t>
      </w:r>
      <w:r>
        <w:fldChar w:fldCharType="end"/>
      </w:r>
      <w:r w:rsidR="00913891">
        <w:t xml:space="preserve"> and </w:t>
      </w:r>
      <w:r>
        <w:fldChar w:fldCharType="begin"/>
      </w:r>
      <w:r>
        <w:instrText xml:space="preserve"> REF _Ref168310612 \h </w:instrText>
      </w:r>
      <w:r>
        <w:fldChar w:fldCharType="separate"/>
      </w:r>
      <w:r w:rsidRPr="006857DE">
        <w:t xml:space="preserve">Table </w:t>
      </w:r>
      <w:r>
        <w:rPr>
          <w:noProof/>
        </w:rPr>
        <w:t>3</w:t>
      </w:r>
      <w:r w:rsidRPr="006857DE">
        <w:noBreakHyphen/>
      </w:r>
      <w:r>
        <w:rPr>
          <w:noProof/>
        </w:rPr>
        <w:t>2</w:t>
      </w:r>
      <w:r>
        <w:fldChar w:fldCharType="end"/>
      </w:r>
      <w:r w:rsidR="00025FFF">
        <w:t xml:space="preserve"> </w:t>
      </w:r>
      <w:r w:rsidR="001B5EAD" w:rsidRPr="00A139B7">
        <w:t>su</w:t>
      </w:r>
      <w:r w:rsidR="001B5EAD">
        <w:t xml:space="preserve">mmarize the </w:t>
      </w:r>
      <w:r w:rsidR="00936C5B">
        <w:t>CY202</w:t>
      </w:r>
      <w:r w:rsidR="00B20802">
        <w:t>4</w:t>
      </w:r>
      <w:r w:rsidR="00936C5B">
        <w:t xml:space="preserve"> </w:t>
      </w:r>
      <w:r w:rsidR="001B5EAD">
        <w:t>cost-effectiveness calculations</w:t>
      </w:r>
      <w:r w:rsidR="00604696">
        <w:t xml:space="preserve"> and results</w:t>
      </w:r>
      <w:r w:rsidR="001B5EAD">
        <w:t xml:space="preserve"> for each program. </w:t>
      </w:r>
      <w:r w:rsidR="00936C5B">
        <w:t>These tables include</w:t>
      </w:r>
      <w:r w:rsidR="001B5EAD">
        <w:t xml:space="preserve"> the value of each benefit and cost component for each program and EEPS totals for each sector</w:t>
      </w:r>
      <w:r w:rsidR="00936C5B">
        <w:t xml:space="preserve"> </w:t>
      </w:r>
      <w:r w:rsidR="00297C66">
        <w:t>(e.g., residential</w:t>
      </w:r>
      <w:r w:rsidR="006D58D3">
        <w:t xml:space="preserve"> &amp; income eligible</w:t>
      </w:r>
      <w:r w:rsidR="009D658C">
        <w:t xml:space="preserve"> [IE]</w:t>
      </w:r>
      <w:r w:rsidR="00B65214">
        <w:t xml:space="preserve"> and</w:t>
      </w:r>
      <w:r w:rsidR="00297C66">
        <w:t xml:space="preserve"> business)</w:t>
      </w:r>
      <w:r w:rsidR="001B5EAD">
        <w:t xml:space="preserve">. For programs jointly implemented by ComEd and one or more Illinois gas utility, the table includes </w:t>
      </w:r>
      <w:r w:rsidR="0090637C">
        <w:t xml:space="preserve">only </w:t>
      </w:r>
      <w:r w:rsidR="001B5EAD">
        <w:t>the electric portion of the program savings (unless ComEd claims the gas savings) and cost-benefit calculations.</w:t>
      </w:r>
    </w:p>
    <w:p w14:paraId="311DB326" w14:textId="77777777" w:rsidR="00E43CF9" w:rsidRDefault="00E43CF9" w:rsidP="00A43F4E"/>
    <w:p w14:paraId="5CDBE63D" w14:textId="069C8523" w:rsidR="00FE25B8" w:rsidRDefault="00DE53D1" w:rsidP="001B5EAD">
      <w:pPr>
        <w:pStyle w:val="BodyText"/>
      </w:pPr>
      <w:r>
        <w:fldChar w:fldCharType="begin"/>
      </w:r>
      <w:r>
        <w:instrText xml:space="preserve"> REF _Ref168310675 \h </w:instrText>
      </w:r>
      <w:r>
        <w:fldChar w:fldCharType="separate"/>
      </w:r>
      <w:r w:rsidR="00427EE9" w:rsidRPr="00937808">
        <w:t xml:space="preserve">Table </w:t>
      </w:r>
      <w:r w:rsidR="00427EE9">
        <w:rPr>
          <w:noProof/>
        </w:rPr>
        <w:t>3</w:t>
      </w:r>
      <w:r w:rsidR="00427EE9" w:rsidRPr="006857DE">
        <w:noBreakHyphen/>
      </w:r>
      <w:r w:rsidR="00427EE9">
        <w:rPr>
          <w:noProof/>
        </w:rPr>
        <w:t>3</w:t>
      </w:r>
      <w:r>
        <w:fldChar w:fldCharType="end"/>
      </w:r>
      <w:r>
        <w:t xml:space="preserve"> </w:t>
      </w:r>
      <w:r w:rsidR="00FE25B8">
        <w:t>summarize</w:t>
      </w:r>
      <w:r w:rsidR="00FF3636">
        <w:t>s</w:t>
      </w:r>
      <w:r w:rsidR="00FE25B8">
        <w:t xml:space="preserve"> the CY</w:t>
      </w:r>
      <w:r w:rsidR="635BBAFB">
        <w:t>20</w:t>
      </w:r>
      <w:r w:rsidR="00FE25B8">
        <w:t>2</w:t>
      </w:r>
      <w:r w:rsidR="00B20802">
        <w:t>4</w:t>
      </w:r>
      <w:r w:rsidR="005B0D16">
        <w:t xml:space="preserve"> ComEd</w:t>
      </w:r>
      <w:r w:rsidR="00FE25B8">
        <w:t xml:space="preserve"> Electri</w:t>
      </w:r>
      <w:r w:rsidR="005B0D16">
        <w:t>fi</w:t>
      </w:r>
      <w:r w:rsidR="00FE25B8">
        <w:t>cation</w:t>
      </w:r>
      <w:r w:rsidR="005B0D16">
        <w:t xml:space="preserve"> Measure</w:t>
      </w:r>
      <w:r w:rsidR="00F56C6C">
        <w:t xml:space="preserve">s’ </w:t>
      </w:r>
      <w:r w:rsidR="001072A6">
        <w:t>energy consumption</w:t>
      </w:r>
      <w:r w:rsidR="004344F6">
        <w:t>, savings</w:t>
      </w:r>
      <w:r w:rsidR="00F56C6C">
        <w:t>, and</w:t>
      </w:r>
      <w:r w:rsidR="00104AD7">
        <w:t xml:space="preserve"> costs</w:t>
      </w:r>
      <w:r w:rsidR="008A4571">
        <w:t xml:space="preserve"> (total</w:t>
      </w:r>
      <w:r w:rsidR="00E42252">
        <w:t xml:space="preserve"> cost</w:t>
      </w:r>
      <w:r w:rsidR="008A4571">
        <w:t xml:space="preserve">, </w:t>
      </w:r>
      <w:r w:rsidR="00D07A44">
        <w:t>total utility</w:t>
      </w:r>
      <w:r w:rsidR="00E42252">
        <w:t xml:space="preserve"> cost</w:t>
      </w:r>
      <w:r w:rsidR="00D07A44">
        <w:t>, average</w:t>
      </w:r>
      <w:r w:rsidR="00E42252">
        <w:t xml:space="preserve"> cost</w:t>
      </w:r>
      <w:r w:rsidR="00D07A44">
        <w:t xml:space="preserve">, </w:t>
      </w:r>
      <w:r w:rsidR="00E42252">
        <w:t>average utility</w:t>
      </w:r>
      <w:r w:rsidR="007549B4">
        <w:t xml:space="preserve"> cost)</w:t>
      </w:r>
      <w:r w:rsidR="00317EF1">
        <w:t>.</w:t>
      </w:r>
    </w:p>
    <w:p w14:paraId="5CEA608A" w14:textId="77777777" w:rsidR="00DE53D1" w:rsidRDefault="00DE53D1" w:rsidP="001B5EAD">
      <w:pPr>
        <w:pStyle w:val="BodyText"/>
      </w:pPr>
    </w:p>
    <w:p w14:paraId="78C2D68D" w14:textId="29330919" w:rsidR="00FE25B8" w:rsidRDefault="00FE25B8" w:rsidP="001B5EAD">
      <w:pPr>
        <w:pStyle w:val="BodyText"/>
        <w:sectPr w:rsidR="00FE25B8" w:rsidSect="002F3AF5">
          <w:headerReference w:type="even" r:id="rId23"/>
          <w:footerReference w:type="even" r:id="rId24"/>
          <w:headerReference w:type="first" r:id="rId25"/>
          <w:pgSz w:w="12240" w:h="15840"/>
          <w:pgMar w:top="1440" w:right="1440" w:bottom="1440" w:left="1440" w:header="432" w:footer="720" w:gutter="0"/>
          <w:pgNumType w:start="1"/>
          <w:cols w:space="720"/>
          <w:docGrid w:linePitch="360"/>
        </w:sectPr>
      </w:pPr>
    </w:p>
    <w:p w14:paraId="32DF3807" w14:textId="014C33AC" w:rsidR="005903EB" w:rsidRDefault="005903EB" w:rsidP="005903EB">
      <w:pPr>
        <w:pStyle w:val="Caption"/>
        <w:keepNext w:val="0"/>
        <w:widowControl w:val="0"/>
      </w:pPr>
      <w:bookmarkStart w:id="108" w:name="_Ref196838466"/>
      <w:bookmarkStart w:id="109" w:name="_Ref441711090"/>
      <w:bookmarkStart w:id="110" w:name="_Toc441844561"/>
      <w:bookmarkStart w:id="111" w:name="_Toc508267224"/>
      <w:bookmarkStart w:id="112" w:name="_Toc196925428"/>
      <w:r w:rsidRPr="00D17C51">
        <w:lastRenderedPageBreak/>
        <w:t xml:space="preserve">Table </w:t>
      </w:r>
      <w:r w:rsidRPr="00D17C51">
        <w:fldChar w:fldCharType="begin"/>
      </w:r>
      <w:r w:rsidRPr="00D17C51">
        <w:instrText>STYLEREF 1 \s</w:instrText>
      </w:r>
      <w:r w:rsidRPr="00D17C51">
        <w:fldChar w:fldCharType="separate"/>
      </w:r>
      <w:r w:rsidR="00427EE9">
        <w:rPr>
          <w:noProof/>
        </w:rPr>
        <w:t>3</w:t>
      </w:r>
      <w:r w:rsidRPr="00D17C51">
        <w:fldChar w:fldCharType="end"/>
      </w:r>
      <w:r w:rsidRPr="00D17C51">
        <w:noBreakHyphen/>
      </w:r>
      <w:r w:rsidRPr="00D17C51">
        <w:fldChar w:fldCharType="begin"/>
      </w:r>
      <w:r w:rsidRPr="00D17C51">
        <w:instrText>SEQ Table \* ARABIC \s 1</w:instrText>
      </w:r>
      <w:r w:rsidRPr="00D17C51">
        <w:fldChar w:fldCharType="separate"/>
      </w:r>
      <w:r w:rsidR="00427EE9">
        <w:rPr>
          <w:noProof/>
        </w:rPr>
        <w:t>1</w:t>
      </w:r>
      <w:r w:rsidRPr="00D17C51">
        <w:fldChar w:fldCharType="end"/>
      </w:r>
      <w:bookmarkEnd w:id="108"/>
      <w:r w:rsidRPr="00D17C51">
        <w:rPr>
          <w:noProof/>
        </w:rPr>
        <w:t>.</w:t>
      </w:r>
      <w:r w:rsidRPr="00D17C51">
        <w:t xml:space="preserve"> ComEd Program-Level Benefits, Costs, and Illinois TRC without Gas Data from Joint Programs ($ Thousands)</w:t>
      </w:r>
      <w:bookmarkEnd w:id="112"/>
    </w:p>
    <w:tbl>
      <w:tblPr>
        <w:tblW w:w="0" w:type="auto"/>
        <w:tblLayout w:type="fixed"/>
        <w:tblLook w:val="04A0" w:firstRow="1" w:lastRow="0" w:firstColumn="1" w:lastColumn="0" w:noHBand="0" w:noVBand="1"/>
      </w:tblPr>
      <w:tblGrid>
        <w:gridCol w:w="2155"/>
        <w:gridCol w:w="1175"/>
        <w:gridCol w:w="900"/>
        <w:gridCol w:w="769"/>
        <w:gridCol w:w="1121"/>
        <w:gridCol w:w="900"/>
        <w:gridCol w:w="887"/>
        <w:gridCol w:w="913"/>
        <w:gridCol w:w="810"/>
        <w:gridCol w:w="900"/>
        <w:gridCol w:w="810"/>
        <w:gridCol w:w="1080"/>
        <w:gridCol w:w="720"/>
        <w:gridCol w:w="990"/>
        <w:gridCol w:w="810"/>
        <w:gridCol w:w="810"/>
        <w:gridCol w:w="990"/>
        <w:gridCol w:w="1147"/>
        <w:gridCol w:w="1121"/>
        <w:gridCol w:w="972"/>
        <w:gridCol w:w="869"/>
        <w:gridCol w:w="741"/>
      </w:tblGrid>
      <w:tr w:rsidR="00B06390" w:rsidRPr="00531E36" w14:paraId="6A4A3B16" w14:textId="77777777" w:rsidTr="0017400B">
        <w:trPr>
          <w:trHeight w:val="405"/>
        </w:trPr>
        <w:tc>
          <w:tcPr>
            <w:tcW w:w="2155" w:type="dxa"/>
            <w:vMerge w:val="restart"/>
            <w:tcBorders>
              <w:bottom w:val="single" w:sz="12" w:space="0" w:color="93D500" w:themeColor="accent1"/>
              <w:right w:val="single" w:sz="2" w:space="0" w:color="FFFFFF" w:themeColor="background1"/>
            </w:tcBorders>
            <w:shd w:val="clear" w:color="auto" w:fill="036479" w:themeFill="accent3"/>
            <w:vAlign w:val="center"/>
            <w:hideMark/>
          </w:tcPr>
          <w:p w14:paraId="04DA6ADC" w14:textId="77777777" w:rsidR="00762019" w:rsidRPr="00531E36" w:rsidRDefault="00762019" w:rsidP="00762019">
            <w:pP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Program</w:t>
            </w:r>
          </w:p>
        </w:tc>
        <w:tc>
          <w:tcPr>
            <w:tcW w:w="6665"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36479" w:themeFill="accent3"/>
            <w:vAlign w:val="center"/>
            <w:hideMark/>
          </w:tcPr>
          <w:p w14:paraId="4A421A5E" w14:textId="77777777" w:rsidR="00762019" w:rsidRPr="00531E36" w:rsidRDefault="00762019" w:rsidP="00762019">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Benefits</w:t>
            </w:r>
          </w:p>
        </w:tc>
        <w:tc>
          <w:tcPr>
            <w:tcW w:w="7920"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36479" w:themeFill="accent3"/>
            <w:vAlign w:val="center"/>
            <w:hideMark/>
          </w:tcPr>
          <w:p w14:paraId="64FA5493" w14:textId="77777777" w:rsidR="00762019" w:rsidRPr="00531E36" w:rsidRDefault="00762019" w:rsidP="00762019">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Costs</w:t>
            </w:r>
          </w:p>
        </w:tc>
        <w:tc>
          <w:tcPr>
            <w:tcW w:w="4850"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36479" w:themeFill="accent3"/>
            <w:vAlign w:val="center"/>
            <w:hideMark/>
          </w:tcPr>
          <w:p w14:paraId="728B6FBB" w14:textId="7EF656E9" w:rsidR="00762019" w:rsidRPr="00531E36" w:rsidRDefault="00762019" w:rsidP="00762019">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IL TRC Test (NPV replacement cost as benefit)</w:t>
            </w:r>
          </w:p>
        </w:tc>
      </w:tr>
      <w:tr w:rsidR="009C20BC" w:rsidRPr="00531E36" w14:paraId="59185007" w14:textId="77777777" w:rsidTr="00C045C4">
        <w:trPr>
          <w:trHeight w:val="765"/>
        </w:trPr>
        <w:tc>
          <w:tcPr>
            <w:tcW w:w="2155" w:type="dxa"/>
            <w:vMerge/>
            <w:tcBorders>
              <w:bottom w:val="single" w:sz="12" w:space="0" w:color="93D500" w:themeColor="accent1"/>
            </w:tcBorders>
            <w:shd w:val="clear" w:color="auto" w:fill="036479" w:themeFill="accent3"/>
            <w:vAlign w:val="center"/>
            <w:hideMark/>
          </w:tcPr>
          <w:p w14:paraId="3CC9B966" w14:textId="77777777" w:rsidR="00762019" w:rsidRPr="00531E36" w:rsidRDefault="00762019" w:rsidP="00762019">
            <w:pPr>
              <w:rPr>
                <w:rFonts w:ascii="Arial Narrow" w:hAnsi="Arial Narrow" w:cs="Calibri"/>
                <w:b/>
                <w:color w:val="FFFFFF" w:themeColor="background1"/>
                <w:sz w:val="15"/>
                <w:szCs w:val="15"/>
              </w:rPr>
            </w:pPr>
          </w:p>
        </w:tc>
        <w:tc>
          <w:tcPr>
            <w:tcW w:w="1175"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21DA41F1"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Electricity Cost Changes</w:t>
            </w:r>
          </w:p>
        </w:tc>
        <w:tc>
          <w:tcPr>
            <w:tcW w:w="900"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4D2083C1"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Fossil Fuel Cost Changes</w:t>
            </w:r>
          </w:p>
        </w:tc>
        <w:tc>
          <w:tcPr>
            <w:tcW w:w="769"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736B6EB5"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Water Cost Changes</w:t>
            </w:r>
          </w:p>
        </w:tc>
        <w:tc>
          <w:tcPr>
            <w:tcW w:w="1121"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7B830FA9"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Environmental Adder (GHGs)</w:t>
            </w:r>
          </w:p>
        </w:tc>
        <w:tc>
          <w:tcPr>
            <w:tcW w:w="900"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6DFCB49D"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Societal NEI</w:t>
            </w:r>
          </w:p>
        </w:tc>
        <w:tc>
          <w:tcPr>
            <w:tcW w:w="887"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12A9CC5F" w14:textId="6B96C05E"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 xml:space="preserve">NPV Replacement </w:t>
            </w:r>
            <w:r w:rsidR="00531CD1">
              <w:rPr>
                <w:rFonts w:ascii="Arial Narrow" w:hAnsi="Arial Narrow" w:cs="Calibri"/>
                <w:b/>
                <w:color w:val="FFFFFF" w:themeColor="background1"/>
                <w:sz w:val="15"/>
                <w:szCs w:val="15"/>
              </w:rPr>
              <w:t>C</w:t>
            </w:r>
            <w:r w:rsidRPr="00531E36">
              <w:rPr>
                <w:rFonts w:ascii="Arial Narrow" w:hAnsi="Arial Narrow" w:cs="Calibri"/>
                <w:b/>
                <w:color w:val="FFFFFF" w:themeColor="background1"/>
                <w:sz w:val="15"/>
                <w:szCs w:val="15"/>
              </w:rPr>
              <w:t>osts</w:t>
            </w:r>
          </w:p>
        </w:tc>
        <w:tc>
          <w:tcPr>
            <w:tcW w:w="913"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17120A31"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Incremental Costs (Net)</w:t>
            </w:r>
          </w:p>
        </w:tc>
        <w:tc>
          <w:tcPr>
            <w:tcW w:w="810"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2A1DBDB0"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Electricity Cost Changes</w:t>
            </w:r>
          </w:p>
        </w:tc>
        <w:tc>
          <w:tcPr>
            <w:tcW w:w="900"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5202D224" w14:textId="6DB097FE"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Fossil Fuel Cost Changes</w:t>
            </w:r>
            <w:r w:rsidR="003541D2">
              <w:rPr>
                <w:rFonts w:ascii="Arial Narrow" w:hAnsi="Arial Narrow" w:cs="Calibri"/>
                <w:b/>
                <w:color w:val="FFFFFF" w:themeColor="background1"/>
                <w:sz w:val="15"/>
                <w:szCs w:val="15"/>
              </w:rPr>
              <w:t>‡</w:t>
            </w:r>
          </w:p>
        </w:tc>
        <w:tc>
          <w:tcPr>
            <w:tcW w:w="810"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51449AAD"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Water Cost Changes</w:t>
            </w:r>
          </w:p>
        </w:tc>
        <w:tc>
          <w:tcPr>
            <w:tcW w:w="1080"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4FEEB264"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Environmental Adder (GHGs)</w:t>
            </w:r>
          </w:p>
        </w:tc>
        <w:tc>
          <w:tcPr>
            <w:tcW w:w="720"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133E947A"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Societal NEI</w:t>
            </w:r>
          </w:p>
        </w:tc>
        <w:tc>
          <w:tcPr>
            <w:tcW w:w="990"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62D2C03E" w14:textId="0B263E02"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 xml:space="preserve">NPV Replacement </w:t>
            </w:r>
            <w:r w:rsidR="00074361" w:rsidRPr="00531E36">
              <w:rPr>
                <w:rFonts w:ascii="Arial Narrow" w:hAnsi="Arial Narrow" w:cs="Calibri"/>
                <w:b/>
                <w:color w:val="FFFFFF" w:themeColor="background1"/>
                <w:sz w:val="15"/>
                <w:szCs w:val="15"/>
              </w:rPr>
              <w:t>C</w:t>
            </w:r>
            <w:r w:rsidRPr="00531E36">
              <w:rPr>
                <w:rFonts w:ascii="Arial Narrow" w:hAnsi="Arial Narrow" w:cs="Calibri"/>
                <w:b/>
                <w:color w:val="FFFFFF" w:themeColor="background1"/>
                <w:sz w:val="15"/>
                <w:szCs w:val="15"/>
              </w:rPr>
              <w:t>osts</w:t>
            </w:r>
          </w:p>
        </w:tc>
        <w:tc>
          <w:tcPr>
            <w:tcW w:w="810"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4A260601"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Non-Incentive Costs</w:t>
            </w:r>
          </w:p>
        </w:tc>
        <w:tc>
          <w:tcPr>
            <w:tcW w:w="810"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2FC13B64"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Incentive Costs</w:t>
            </w:r>
          </w:p>
        </w:tc>
        <w:tc>
          <w:tcPr>
            <w:tcW w:w="990"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23103BCE"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Incremental Costs (Net)</w:t>
            </w:r>
          </w:p>
        </w:tc>
        <w:tc>
          <w:tcPr>
            <w:tcW w:w="1147"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40D30475"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IL TRC Benefits (w/o NEI)</w:t>
            </w:r>
          </w:p>
        </w:tc>
        <w:tc>
          <w:tcPr>
            <w:tcW w:w="1121"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7A5EE64D"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IL TRC Costs (w/o NEI)</w:t>
            </w:r>
          </w:p>
        </w:tc>
        <w:tc>
          <w:tcPr>
            <w:tcW w:w="972"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25B60419"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IL TRC Test Net Benefits (w/o NEI)</w:t>
            </w:r>
          </w:p>
        </w:tc>
        <w:tc>
          <w:tcPr>
            <w:tcW w:w="869"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52C7EAC1"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IL TRC Test (w/NEI)</w:t>
            </w:r>
          </w:p>
        </w:tc>
        <w:tc>
          <w:tcPr>
            <w:tcW w:w="741" w:type="dxa"/>
            <w:tcBorders>
              <w:top w:val="single" w:sz="2" w:space="0" w:color="FFFFFF" w:themeColor="background1"/>
              <w:left w:val="nil"/>
              <w:bottom w:val="single" w:sz="12" w:space="0" w:color="93D500" w:themeColor="accent1"/>
              <w:right w:val="single" w:sz="4" w:space="0" w:color="F2F2F2" w:themeColor="background1" w:themeShade="F2"/>
            </w:tcBorders>
            <w:shd w:val="clear" w:color="auto" w:fill="036479" w:themeFill="accent3"/>
            <w:vAlign w:val="center"/>
            <w:hideMark/>
          </w:tcPr>
          <w:p w14:paraId="5A85C661" w14:textId="77777777" w:rsidR="00762019" w:rsidRPr="00531E36" w:rsidRDefault="00762019" w:rsidP="004249A7">
            <w:pPr>
              <w:jc w:val="center"/>
              <w:rPr>
                <w:rFonts w:ascii="Arial Narrow" w:hAnsi="Arial Narrow" w:cs="Calibri"/>
                <w:b/>
                <w:color w:val="FFFFFF" w:themeColor="background1"/>
                <w:sz w:val="15"/>
                <w:szCs w:val="15"/>
              </w:rPr>
            </w:pPr>
            <w:r w:rsidRPr="00531E36">
              <w:rPr>
                <w:rFonts w:ascii="Arial Narrow" w:hAnsi="Arial Narrow" w:cs="Calibri"/>
                <w:b/>
                <w:color w:val="FFFFFF" w:themeColor="background1"/>
                <w:sz w:val="15"/>
                <w:szCs w:val="15"/>
              </w:rPr>
              <w:t>IL TRC Test (w/o NEI)</w:t>
            </w:r>
          </w:p>
        </w:tc>
      </w:tr>
      <w:tr w:rsidR="0017400B" w:rsidRPr="00EA4FBE" w14:paraId="39BA9666" w14:textId="77777777" w:rsidTr="00C045C4">
        <w:trPr>
          <w:trHeight w:val="480"/>
        </w:trPr>
        <w:tc>
          <w:tcPr>
            <w:tcW w:w="2155" w:type="dxa"/>
            <w:tcBorders>
              <w:top w:val="single" w:sz="12" w:space="0" w:color="93D500" w:themeColor="accent1"/>
              <w:left w:val="single" w:sz="4" w:space="0" w:color="FFFFFF" w:themeColor="background1"/>
              <w:bottom w:val="single" w:sz="4" w:space="0" w:color="60B8CC" w:themeColor="accent4"/>
              <w:right w:val="nil"/>
            </w:tcBorders>
            <w:shd w:val="clear" w:color="auto" w:fill="auto"/>
            <w:vAlign w:val="center"/>
            <w:hideMark/>
          </w:tcPr>
          <w:p w14:paraId="14C2FFC0" w14:textId="77777777" w:rsidR="00762019" w:rsidRPr="00EA4FBE" w:rsidRDefault="00762019" w:rsidP="00762019">
            <w:pPr>
              <w:jc w:val="center"/>
              <w:rPr>
                <w:rFonts w:ascii="Arial Narrow" w:hAnsi="Arial Narrow" w:cs="Calibri"/>
                <w:b/>
                <w:color w:val="FFFFFF"/>
                <w:sz w:val="15"/>
                <w:szCs w:val="15"/>
              </w:rPr>
            </w:pPr>
            <w:r w:rsidRPr="00EA4FBE">
              <w:rPr>
                <w:rFonts w:ascii="Arial Narrow" w:hAnsi="Arial Narrow" w:cs="Calibri"/>
                <w:b/>
                <w:color w:val="FFFFFF"/>
                <w:sz w:val="15"/>
                <w:szCs w:val="15"/>
              </w:rPr>
              <w:t> </w:t>
            </w:r>
          </w:p>
        </w:tc>
        <w:tc>
          <w:tcPr>
            <w:tcW w:w="1175" w:type="dxa"/>
            <w:tcBorders>
              <w:top w:val="single" w:sz="12" w:space="0" w:color="93D500" w:themeColor="accent1"/>
              <w:left w:val="nil"/>
              <w:bottom w:val="single" w:sz="4" w:space="0" w:color="60B8CC" w:themeColor="accent4"/>
              <w:right w:val="nil"/>
            </w:tcBorders>
            <w:shd w:val="clear" w:color="auto" w:fill="auto"/>
            <w:noWrap/>
            <w:vAlign w:val="center"/>
            <w:hideMark/>
          </w:tcPr>
          <w:p w14:paraId="17DA2F1C"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a</w:t>
            </w:r>
          </w:p>
        </w:tc>
        <w:tc>
          <w:tcPr>
            <w:tcW w:w="900" w:type="dxa"/>
            <w:tcBorders>
              <w:top w:val="single" w:sz="12" w:space="0" w:color="93D500" w:themeColor="accent1"/>
              <w:left w:val="nil"/>
              <w:bottom w:val="single" w:sz="4" w:space="0" w:color="60B8CC" w:themeColor="accent4"/>
              <w:right w:val="nil"/>
            </w:tcBorders>
            <w:shd w:val="clear" w:color="auto" w:fill="auto"/>
            <w:noWrap/>
            <w:vAlign w:val="center"/>
            <w:hideMark/>
          </w:tcPr>
          <w:p w14:paraId="284E0E27"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b</w:t>
            </w:r>
          </w:p>
        </w:tc>
        <w:tc>
          <w:tcPr>
            <w:tcW w:w="769" w:type="dxa"/>
            <w:tcBorders>
              <w:top w:val="single" w:sz="12" w:space="0" w:color="93D500" w:themeColor="accent1"/>
              <w:left w:val="nil"/>
              <w:bottom w:val="single" w:sz="4" w:space="0" w:color="60B8CC" w:themeColor="accent4"/>
              <w:right w:val="nil"/>
            </w:tcBorders>
            <w:shd w:val="clear" w:color="auto" w:fill="auto"/>
            <w:noWrap/>
            <w:vAlign w:val="center"/>
            <w:hideMark/>
          </w:tcPr>
          <w:p w14:paraId="5581C4DC"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c</w:t>
            </w:r>
          </w:p>
        </w:tc>
        <w:tc>
          <w:tcPr>
            <w:tcW w:w="1121" w:type="dxa"/>
            <w:tcBorders>
              <w:top w:val="single" w:sz="12" w:space="0" w:color="93D500" w:themeColor="accent1"/>
              <w:left w:val="nil"/>
              <w:bottom w:val="single" w:sz="4" w:space="0" w:color="60B8CC" w:themeColor="accent4"/>
              <w:right w:val="nil"/>
            </w:tcBorders>
            <w:shd w:val="clear" w:color="auto" w:fill="auto"/>
            <w:noWrap/>
            <w:vAlign w:val="center"/>
            <w:hideMark/>
          </w:tcPr>
          <w:p w14:paraId="6E6A0BD4"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d</w:t>
            </w:r>
          </w:p>
        </w:tc>
        <w:tc>
          <w:tcPr>
            <w:tcW w:w="900" w:type="dxa"/>
            <w:tcBorders>
              <w:top w:val="single" w:sz="12" w:space="0" w:color="93D500" w:themeColor="accent1"/>
              <w:left w:val="nil"/>
              <w:bottom w:val="single" w:sz="4" w:space="0" w:color="60B8CC" w:themeColor="accent4"/>
              <w:right w:val="nil"/>
            </w:tcBorders>
            <w:shd w:val="clear" w:color="auto" w:fill="auto"/>
            <w:noWrap/>
            <w:vAlign w:val="center"/>
            <w:hideMark/>
          </w:tcPr>
          <w:p w14:paraId="7554B109"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e</w:t>
            </w:r>
          </w:p>
        </w:tc>
        <w:tc>
          <w:tcPr>
            <w:tcW w:w="887" w:type="dxa"/>
            <w:tcBorders>
              <w:top w:val="single" w:sz="12" w:space="0" w:color="93D500" w:themeColor="accent1"/>
              <w:left w:val="nil"/>
              <w:bottom w:val="single" w:sz="4" w:space="0" w:color="60B8CC" w:themeColor="accent4"/>
              <w:right w:val="nil"/>
            </w:tcBorders>
            <w:shd w:val="clear" w:color="auto" w:fill="auto"/>
            <w:noWrap/>
            <w:vAlign w:val="center"/>
            <w:hideMark/>
          </w:tcPr>
          <w:p w14:paraId="4D188B33"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f</w:t>
            </w:r>
          </w:p>
        </w:tc>
        <w:tc>
          <w:tcPr>
            <w:tcW w:w="913" w:type="dxa"/>
            <w:tcBorders>
              <w:top w:val="single" w:sz="12" w:space="0" w:color="93D500" w:themeColor="accent1"/>
              <w:left w:val="nil"/>
              <w:bottom w:val="single" w:sz="4" w:space="0" w:color="60B8CC" w:themeColor="accent4"/>
              <w:right w:val="nil"/>
            </w:tcBorders>
            <w:shd w:val="clear" w:color="auto" w:fill="auto"/>
            <w:noWrap/>
            <w:vAlign w:val="center"/>
            <w:hideMark/>
          </w:tcPr>
          <w:p w14:paraId="41A0F0C7"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g</w:t>
            </w:r>
          </w:p>
        </w:tc>
        <w:tc>
          <w:tcPr>
            <w:tcW w:w="810" w:type="dxa"/>
            <w:tcBorders>
              <w:top w:val="single" w:sz="12" w:space="0" w:color="93D500" w:themeColor="accent1"/>
              <w:left w:val="nil"/>
              <w:bottom w:val="single" w:sz="4" w:space="0" w:color="60B8CC" w:themeColor="accent4"/>
              <w:right w:val="nil"/>
            </w:tcBorders>
            <w:shd w:val="clear" w:color="auto" w:fill="auto"/>
            <w:noWrap/>
            <w:vAlign w:val="center"/>
            <w:hideMark/>
          </w:tcPr>
          <w:p w14:paraId="5641E68C"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h</w:t>
            </w:r>
          </w:p>
        </w:tc>
        <w:tc>
          <w:tcPr>
            <w:tcW w:w="900" w:type="dxa"/>
            <w:tcBorders>
              <w:top w:val="single" w:sz="12" w:space="0" w:color="93D500" w:themeColor="accent1"/>
              <w:left w:val="nil"/>
              <w:bottom w:val="single" w:sz="4" w:space="0" w:color="60B8CC" w:themeColor="accent4"/>
              <w:right w:val="nil"/>
            </w:tcBorders>
            <w:shd w:val="clear" w:color="auto" w:fill="auto"/>
            <w:noWrap/>
            <w:vAlign w:val="center"/>
            <w:hideMark/>
          </w:tcPr>
          <w:p w14:paraId="3936640C" w14:textId="77777777" w:rsidR="00762019" w:rsidRPr="00EA4FBE" w:rsidRDefault="00762019" w:rsidP="00CC07B4">
            <w:pPr>
              <w:jc w:val="center"/>
              <w:rPr>
                <w:rFonts w:ascii="Arial Narrow" w:hAnsi="Arial Narrow" w:cs="Calibri"/>
                <w:sz w:val="15"/>
                <w:szCs w:val="15"/>
              </w:rPr>
            </w:pPr>
            <w:proofErr w:type="spellStart"/>
            <w:r w:rsidRPr="00EA4FBE">
              <w:rPr>
                <w:rFonts w:ascii="Arial Narrow" w:hAnsi="Arial Narrow" w:cs="Calibri"/>
                <w:sz w:val="15"/>
                <w:szCs w:val="15"/>
              </w:rPr>
              <w:t>i</w:t>
            </w:r>
            <w:proofErr w:type="spellEnd"/>
          </w:p>
        </w:tc>
        <w:tc>
          <w:tcPr>
            <w:tcW w:w="810" w:type="dxa"/>
            <w:tcBorders>
              <w:top w:val="single" w:sz="12" w:space="0" w:color="93D500" w:themeColor="accent1"/>
              <w:left w:val="nil"/>
              <w:bottom w:val="single" w:sz="4" w:space="0" w:color="60B8CC" w:themeColor="accent4"/>
              <w:right w:val="nil"/>
            </w:tcBorders>
            <w:shd w:val="clear" w:color="auto" w:fill="auto"/>
            <w:noWrap/>
            <w:vAlign w:val="center"/>
            <w:hideMark/>
          </w:tcPr>
          <w:p w14:paraId="76A8FC5E"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j</w:t>
            </w:r>
          </w:p>
        </w:tc>
        <w:tc>
          <w:tcPr>
            <w:tcW w:w="1080" w:type="dxa"/>
            <w:tcBorders>
              <w:top w:val="single" w:sz="12" w:space="0" w:color="93D500" w:themeColor="accent1"/>
              <w:left w:val="nil"/>
              <w:bottom w:val="single" w:sz="4" w:space="0" w:color="60B8CC" w:themeColor="accent4"/>
              <w:right w:val="nil"/>
            </w:tcBorders>
            <w:shd w:val="clear" w:color="auto" w:fill="auto"/>
            <w:noWrap/>
            <w:vAlign w:val="center"/>
            <w:hideMark/>
          </w:tcPr>
          <w:p w14:paraId="4BE6A473"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k</w:t>
            </w:r>
          </w:p>
        </w:tc>
        <w:tc>
          <w:tcPr>
            <w:tcW w:w="720" w:type="dxa"/>
            <w:tcBorders>
              <w:top w:val="single" w:sz="12" w:space="0" w:color="93D500" w:themeColor="accent1"/>
              <w:left w:val="nil"/>
              <w:bottom w:val="single" w:sz="4" w:space="0" w:color="60B8CC" w:themeColor="accent4"/>
              <w:right w:val="nil"/>
            </w:tcBorders>
            <w:shd w:val="clear" w:color="auto" w:fill="auto"/>
            <w:noWrap/>
            <w:vAlign w:val="center"/>
            <w:hideMark/>
          </w:tcPr>
          <w:p w14:paraId="6A3FA4D2"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l</w:t>
            </w:r>
          </w:p>
        </w:tc>
        <w:tc>
          <w:tcPr>
            <w:tcW w:w="990" w:type="dxa"/>
            <w:tcBorders>
              <w:top w:val="single" w:sz="12" w:space="0" w:color="93D500" w:themeColor="accent1"/>
              <w:left w:val="nil"/>
              <w:bottom w:val="single" w:sz="4" w:space="0" w:color="60B8CC" w:themeColor="accent4"/>
              <w:right w:val="nil"/>
            </w:tcBorders>
            <w:shd w:val="clear" w:color="auto" w:fill="auto"/>
            <w:noWrap/>
            <w:vAlign w:val="center"/>
            <w:hideMark/>
          </w:tcPr>
          <w:p w14:paraId="26A2EC59"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m</w:t>
            </w:r>
          </w:p>
        </w:tc>
        <w:tc>
          <w:tcPr>
            <w:tcW w:w="810" w:type="dxa"/>
            <w:tcBorders>
              <w:top w:val="single" w:sz="12" w:space="0" w:color="93D500" w:themeColor="accent1"/>
              <w:left w:val="nil"/>
              <w:bottom w:val="single" w:sz="4" w:space="0" w:color="60B8CC" w:themeColor="accent4"/>
              <w:right w:val="nil"/>
            </w:tcBorders>
            <w:shd w:val="clear" w:color="auto" w:fill="auto"/>
            <w:noWrap/>
            <w:vAlign w:val="center"/>
            <w:hideMark/>
          </w:tcPr>
          <w:p w14:paraId="5351E6ED"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n</w:t>
            </w:r>
          </w:p>
        </w:tc>
        <w:tc>
          <w:tcPr>
            <w:tcW w:w="810" w:type="dxa"/>
            <w:tcBorders>
              <w:top w:val="single" w:sz="12" w:space="0" w:color="93D500" w:themeColor="accent1"/>
              <w:left w:val="nil"/>
              <w:bottom w:val="single" w:sz="4" w:space="0" w:color="60B8CC" w:themeColor="accent4"/>
              <w:right w:val="nil"/>
            </w:tcBorders>
            <w:shd w:val="clear" w:color="auto" w:fill="auto"/>
            <w:noWrap/>
            <w:vAlign w:val="center"/>
            <w:hideMark/>
          </w:tcPr>
          <w:p w14:paraId="0814EEB6"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o</w:t>
            </w:r>
          </w:p>
        </w:tc>
        <w:tc>
          <w:tcPr>
            <w:tcW w:w="990" w:type="dxa"/>
            <w:tcBorders>
              <w:top w:val="single" w:sz="12" w:space="0" w:color="93D500" w:themeColor="accent1"/>
              <w:left w:val="nil"/>
              <w:bottom w:val="single" w:sz="4" w:space="0" w:color="60B8CC" w:themeColor="accent4"/>
              <w:right w:val="nil"/>
            </w:tcBorders>
            <w:shd w:val="clear" w:color="auto" w:fill="auto"/>
            <w:noWrap/>
            <w:vAlign w:val="center"/>
            <w:hideMark/>
          </w:tcPr>
          <w:p w14:paraId="26168314"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p</w:t>
            </w:r>
          </w:p>
        </w:tc>
        <w:tc>
          <w:tcPr>
            <w:tcW w:w="1147" w:type="dxa"/>
            <w:tcBorders>
              <w:top w:val="single" w:sz="12" w:space="0" w:color="93D500" w:themeColor="accent1"/>
              <w:left w:val="nil"/>
              <w:bottom w:val="single" w:sz="4" w:space="0" w:color="60B8CC" w:themeColor="accent4"/>
              <w:right w:val="nil"/>
            </w:tcBorders>
            <w:shd w:val="clear" w:color="auto" w:fill="auto"/>
            <w:vAlign w:val="center"/>
            <w:hideMark/>
          </w:tcPr>
          <w:p w14:paraId="48AF4A44" w14:textId="744F677E"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w:t>
            </w:r>
            <w:proofErr w:type="gramStart"/>
            <w:r w:rsidRPr="00EA4FBE">
              <w:rPr>
                <w:rFonts w:ascii="Arial Narrow" w:hAnsi="Arial Narrow" w:cs="Calibri"/>
                <w:sz w:val="15"/>
                <w:szCs w:val="15"/>
              </w:rPr>
              <w:t>q )</w:t>
            </w:r>
            <w:proofErr w:type="gramEnd"/>
            <w:r w:rsidRPr="00EA4FBE">
              <w:rPr>
                <w:rFonts w:ascii="Arial Narrow" w:hAnsi="Arial Narrow" w:cs="Calibri"/>
                <w:sz w:val="15"/>
                <w:szCs w:val="15"/>
              </w:rPr>
              <w:t>=</w:t>
            </w:r>
            <w:r w:rsidR="00074361" w:rsidRPr="00EA4FBE">
              <w:rPr>
                <w:rFonts w:ascii="Arial Narrow" w:hAnsi="Arial Narrow" w:cs="Calibri"/>
                <w:sz w:val="15"/>
                <w:szCs w:val="15"/>
              </w:rPr>
              <w:t xml:space="preserve"> </w:t>
            </w:r>
            <w:proofErr w:type="spellStart"/>
            <w:r w:rsidRPr="00EA4FBE">
              <w:rPr>
                <w:rFonts w:ascii="Arial Narrow" w:hAnsi="Arial Narrow" w:cs="Calibri"/>
                <w:sz w:val="15"/>
                <w:szCs w:val="15"/>
              </w:rPr>
              <w:t>a+b+c+d+f+g</w:t>
            </w:r>
            <w:proofErr w:type="spellEnd"/>
          </w:p>
        </w:tc>
        <w:tc>
          <w:tcPr>
            <w:tcW w:w="1121" w:type="dxa"/>
            <w:tcBorders>
              <w:top w:val="single" w:sz="12" w:space="0" w:color="93D500" w:themeColor="accent1"/>
              <w:left w:val="nil"/>
              <w:bottom w:val="single" w:sz="4" w:space="0" w:color="60B8CC" w:themeColor="accent4"/>
              <w:right w:val="nil"/>
            </w:tcBorders>
            <w:shd w:val="clear" w:color="auto" w:fill="auto"/>
            <w:vAlign w:val="center"/>
            <w:hideMark/>
          </w:tcPr>
          <w:p w14:paraId="07C0EECB"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 xml:space="preserve">(r) = </w:t>
            </w:r>
            <w:proofErr w:type="spellStart"/>
            <w:r w:rsidRPr="00EA4FBE">
              <w:rPr>
                <w:rFonts w:ascii="Arial Narrow" w:hAnsi="Arial Narrow" w:cs="Calibri"/>
                <w:sz w:val="15"/>
                <w:szCs w:val="15"/>
              </w:rPr>
              <w:t>h+i+j+k+m+n+p</w:t>
            </w:r>
            <w:proofErr w:type="spellEnd"/>
          </w:p>
        </w:tc>
        <w:tc>
          <w:tcPr>
            <w:tcW w:w="972" w:type="dxa"/>
            <w:tcBorders>
              <w:top w:val="single" w:sz="12" w:space="0" w:color="93D500" w:themeColor="accent1"/>
              <w:left w:val="nil"/>
              <w:bottom w:val="single" w:sz="4" w:space="0" w:color="60B8CC" w:themeColor="accent4"/>
              <w:right w:val="nil"/>
            </w:tcBorders>
            <w:shd w:val="clear" w:color="auto" w:fill="auto"/>
            <w:noWrap/>
            <w:vAlign w:val="center"/>
            <w:hideMark/>
          </w:tcPr>
          <w:p w14:paraId="0F959E4B"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(s) = q-r</w:t>
            </w:r>
          </w:p>
        </w:tc>
        <w:tc>
          <w:tcPr>
            <w:tcW w:w="869" w:type="dxa"/>
            <w:tcBorders>
              <w:top w:val="single" w:sz="12" w:space="0" w:color="93D500" w:themeColor="accent1"/>
              <w:left w:val="nil"/>
              <w:bottom w:val="single" w:sz="4" w:space="0" w:color="60B8CC" w:themeColor="accent4"/>
              <w:right w:val="nil"/>
            </w:tcBorders>
            <w:shd w:val="clear" w:color="auto" w:fill="auto"/>
            <w:noWrap/>
            <w:vAlign w:val="center"/>
            <w:hideMark/>
          </w:tcPr>
          <w:p w14:paraId="79E64DBA"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(t) = (</w:t>
            </w:r>
            <w:proofErr w:type="spellStart"/>
            <w:r w:rsidRPr="00EA4FBE">
              <w:rPr>
                <w:rFonts w:ascii="Arial Narrow" w:hAnsi="Arial Narrow" w:cs="Calibri"/>
                <w:sz w:val="15"/>
                <w:szCs w:val="15"/>
              </w:rPr>
              <w:t>q+e</w:t>
            </w:r>
            <w:proofErr w:type="spellEnd"/>
            <w:r w:rsidRPr="00EA4FBE">
              <w:rPr>
                <w:rFonts w:ascii="Arial Narrow" w:hAnsi="Arial Narrow" w:cs="Calibri"/>
                <w:sz w:val="15"/>
                <w:szCs w:val="15"/>
              </w:rPr>
              <w:t>)/(</w:t>
            </w:r>
            <w:proofErr w:type="spellStart"/>
            <w:r w:rsidRPr="00EA4FBE">
              <w:rPr>
                <w:rFonts w:ascii="Arial Narrow" w:hAnsi="Arial Narrow" w:cs="Calibri"/>
                <w:sz w:val="15"/>
                <w:szCs w:val="15"/>
              </w:rPr>
              <w:t>r+l</w:t>
            </w:r>
            <w:proofErr w:type="spellEnd"/>
            <w:r w:rsidRPr="00EA4FBE">
              <w:rPr>
                <w:rFonts w:ascii="Arial Narrow" w:hAnsi="Arial Narrow" w:cs="Calibri"/>
                <w:sz w:val="15"/>
                <w:szCs w:val="15"/>
              </w:rPr>
              <w:t>)</w:t>
            </w:r>
          </w:p>
        </w:tc>
        <w:tc>
          <w:tcPr>
            <w:tcW w:w="741" w:type="dxa"/>
            <w:tcBorders>
              <w:top w:val="single" w:sz="12" w:space="0" w:color="93D500" w:themeColor="accent1"/>
              <w:left w:val="nil"/>
              <w:bottom w:val="single" w:sz="4" w:space="0" w:color="60B8CC" w:themeColor="accent4"/>
              <w:right w:val="nil"/>
            </w:tcBorders>
            <w:shd w:val="clear" w:color="auto" w:fill="auto"/>
            <w:noWrap/>
            <w:vAlign w:val="center"/>
            <w:hideMark/>
          </w:tcPr>
          <w:p w14:paraId="1340D867" w14:textId="77777777" w:rsidR="00762019" w:rsidRPr="00EA4FBE" w:rsidRDefault="00762019" w:rsidP="00CC07B4">
            <w:pPr>
              <w:jc w:val="center"/>
              <w:rPr>
                <w:rFonts w:ascii="Arial Narrow" w:hAnsi="Arial Narrow" w:cs="Calibri"/>
                <w:sz w:val="15"/>
                <w:szCs w:val="15"/>
              </w:rPr>
            </w:pPr>
            <w:r w:rsidRPr="00EA4FBE">
              <w:rPr>
                <w:rFonts w:ascii="Arial Narrow" w:hAnsi="Arial Narrow" w:cs="Calibri"/>
                <w:sz w:val="15"/>
                <w:szCs w:val="15"/>
              </w:rPr>
              <w:t>(u) = r / s</w:t>
            </w:r>
          </w:p>
        </w:tc>
      </w:tr>
      <w:tr w:rsidR="001A5619" w:rsidRPr="00EA4FBE" w14:paraId="488B2870"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46289C9F" w14:textId="35AC4FC6" w:rsidR="001A5619" w:rsidRPr="00B77713" w:rsidRDefault="001A5619" w:rsidP="001A5619">
            <w:pPr>
              <w:rPr>
                <w:rFonts w:ascii="Arial Narrow" w:hAnsi="Arial Narrow" w:cs="Calibri"/>
                <w:sz w:val="15"/>
                <w:szCs w:val="15"/>
              </w:rPr>
            </w:pPr>
            <w:r w:rsidRPr="00B77713">
              <w:rPr>
                <w:rFonts w:ascii="Arial Narrow" w:hAnsi="Arial Narrow"/>
                <w:sz w:val="15"/>
                <w:szCs w:val="15"/>
              </w:rPr>
              <w:t>ASI kWh Purchase</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1F0D6A3D" w14:textId="15E084C4"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$1,062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0B15DE8" w14:textId="247D9FE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0F6C6C85" w14:textId="603B5AC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4D8BD89F" w14:textId="7E306E56"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$469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9022F58" w14:textId="332BB3E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w:t>
            </w:r>
            <w:r w:rsidR="00167A21" w:rsidRPr="00167A21">
              <w:rPr>
                <w:rFonts w:ascii="Arial Narrow" w:hAnsi="Arial Narrow"/>
                <w:sz w:val="15"/>
                <w:szCs w:val="15"/>
              </w:rPr>
              <w:t>850</w:t>
            </w:r>
            <w:r w:rsidRPr="00B77713">
              <w:rPr>
                <w:rFonts w:ascii="Arial Narrow" w:hAnsi="Arial Narrow"/>
                <w:sz w:val="15"/>
                <w:szCs w:val="15"/>
              </w:rPr>
              <w:t xml:space="preserve">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33DF05CE" w14:textId="697C01B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0DEE8A94" w14:textId="73238CEC"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34701F8" w14:textId="41852D24"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6235565" w14:textId="7C58095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48FD66A" w14:textId="29FCF2E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D21685E" w14:textId="255F766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55AD990B" w14:textId="7E9076D5"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FD50BFD" w14:textId="35DE4B15"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B39F6AD" w14:textId="2A94171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w:t>
            </w:r>
            <w:r w:rsidR="00167A21" w:rsidRPr="00167A21">
              <w:rPr>
                <w:rFonts w:ascii="Arial Narrow" w:hAnsi="Arial Narrow"/>
                <w:sz w:val="15"/>
                <w:szCs w:val="15"/>
              </w:rPr>
              <w:t>250</w:t>
            </w:r>
            <w:r w:rsidRPr="00B77713">
              <w:rPr>
                <w:rFonts w:ascii="Arial Narrow" w:hAnsi="Arial Narrow"/>
                <w:sz w:val="15"/>
                <w:szCs w:val="15"/>
              </w:rPr>
              <w:t xml:space="preserve">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9B917CC" w14:textId="46106BC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CD2DBDA" w14:textId="4656850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$240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404925DE" w14:textId="4138196C"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$1,531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513E903C" w14:textId="089B342C"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w:t>
            </w:r>
            <w:r w:rsidR="00167A21" w:rsidRPr="00167A21">
              <w:rPr>
                <w:rFonts w:ascii="Arial Narrow" w:hAnsi="Arial Narrow"/>
                <w:sz w:val="15"/>
                <w:szCs w:val="15"/>
              </w:rPr>
              <w:t>490</w:t>
            </w:r>
            <w:r w:rsidRPr="00B77713">
              <w:rPr>
                <w:rFonts w:ascii="Arial Narrow" w:hAnsi="Arial Narrow"/>
                <w:sz w:val="15"/>
                <w:szCs w:val="15"/>
              </w:rPr>
              <w:t xml:space="preserve">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68303EC9" w14:textId="7445B3B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$1,</w:t>
            </w:r>
            <w:r w:rsidR="00167A21" w:rsidRPr="00167A21">
              <w:rPr>
                <w:rFonts w:ascii="Arial Narrow" w:hAnsi="Arial Narrow"/>
                <w:sz w:val="15"/>
                <w:szCs w:val="15"/>
              </w:rPr>
              <w:t>041</w:t>
            </w:r>
            <w:r w:rsidRPr="00B77713">
              <w:rPr>
                <w:rFonts w:ascii="Arial Narrow" w:hAnsi="Arial Narrow"/>
                <w:sz w:val="15"/>
                <w:szCs w:val="15"/>
              </w:rPr>
              <w:t xml:space="preserve"> </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1DE5A1ED" w14:textId="4EBA6ADC"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4.86</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0D81D313" w14:textId="4FCA421F"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3.13</w:t>
            </w:r>
          </w:p>
        </w:tc>
      </w:tr>
      <w:tr w:rsidR="001A5619" w:rsidRPr="00EA4FBE" w14:paraId="55D3C5E1"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1D9B34CB" w14:textId="40FB7E8A" w:rsidR="001A5619" w:rsidRPr="00B77713" w:rsidRDefault="001A5619" w:rsidP="001A5619">
            <w:pPr>
              <w:rPr>
                <w:rFonts w:ascii="Arial Narrow" w:hAnsi="Arial Narrow" w:cs="Calibri"/>
                <w:sz w:val="15"/>
                <w:szCs w:val="15"/>
              </w:rPr>
            </w:pPr>
            <w:r w:rsidRPr="00B77713">
              <w:rPr>
                <w:rFonts w:ascii="Arial Narrow" w:hAnsi="Arial Narrow"/>
                <w:sz w:val="15"/>
                <w:szCs w:val="15"/>
              </w:rPr>
              <w:t>Behavior - Res/IE</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66451CFF" w14:textId="2239CE67"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$42,563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47646E5" w14:textId="5FE39B4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488A7404" w14:textId="40EA0F7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02919978" w14:textId="7880C44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$25,774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6B9462B" w14:textId="6A821C5D"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 xml:space="preserve">$26,219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2CC5B498" w14:textId="066C090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37ADF4F3" w14:textId="07C931F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79ADDEE" w14:textId="26BFCD1B"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B40AA28" w14:textId="6AE4A73C"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ACCB14C" w14:textId="09A1CCF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9BA98B0" w14:textId="40E90F9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268056F4" w14:textId="18304D7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4949F44" w14:textId="1E619BC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4AEB842" w14:textId="6BA85DB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$6,457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DDFC3E5" w14:textId="1893F6F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C6B1536" w14:textId="4C2721E6"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73199D8B" w14:textId="4D88147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$68,337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38BDD109" w14:textId="30E83BC2"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$6,457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650923B4" w14:textId="1016118D"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$61,879 </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2AAB9DA3" w14:textId="17B5B719"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14.64</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14CB499D" w14:textId="30D7CCB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10.58</w:t>
            </w:r>
          </w:p>
        </w:tc>
      </w:tr>
      <w:tr w:rsidR="001A5619" w:rsidRPr="00EA4FBE" w14:paraId="3398F09C"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385B2B45" w14:textId="5E446A0C" w:rsidR="001A5619" w:rsidRPr="00B77713" w:rsidRDefault="001A5619" w:rsidP="001A5619">
            <w:pPr>
              <w:rPr>
                <w:rFonts w:ascii="Arial Narrow" w:hAnsi="Arial Narrow" w:cs="Calibri"/>
                <w:sz w:val="15"/>
                <w:szCs w:val="15"/>
              </w:rPr>
            </w:pPr>
            <w:r w:rsidRPr="00B77713">
              <w:rPr>
                <w:rFonts w:ascii="Arial Narrow" w:hAnsi="Arial Narrow"/>
                <w:sz w:val="15"/>
                <w:szCs w:val="15"/>
              </w:rPr>
              <w:t>Contractor/Midstream Rebates</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1C97CA70" w14:textId="3917F1C9"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$32,643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63DF266" w14:textId="2875FB8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1188E004" w14:textId="00E0008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4B06AC54" w14:textId="5465C6A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$29,402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A0DF92B" w14:textId="4A9EFEF6"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 xml:space="preserve">$16,687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651CBA9D" w14:textId="5702F36D"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1A300AA1" w14:textId="16AB69E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014840D" w14:textId="0EAF2280"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E1ABE16" w14:textId="64CE2036"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2FB4A41" w14:textId="44BCDBB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D5C679E" w14:textId="48F9BF0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6D000797" w14:textId="1BF05AE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5301AFA" w14:textId="75E02D2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187AAAF" w14:textId="6CE4329D"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$2,520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CABC874" w14:textId="2A015CE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$9,747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535CB8F" w14:textId="28CCE71B"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$11,332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7BCED003" w14:textId="16E4CDD2"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$62,046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480F0397" w14:textId="62E8CA1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$13,852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0309A57B" w14:textId="2CC26D6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$48,194 </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241E0932" w14:textId="2734881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5.</w:t>
            </w:r>
            <w:r w:rsidR="00167A21" w:rsidRPr="00167A21">
              <w:rPr>
                <w:rFonts w:ascii="Arial Narrow" w:hAnsi="Arial Narrow"/>
                <w:sz w:val="15"/>
                <w:szCs w:val="15"/>
              </w:rPr>
              <w:t>68</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2F538EC5" w14:textId="659B009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4.48</w:t>
            </w:r>
          </w:p>
        </w:tc>
      </w:tr>
      <w:tr w:rsidR="001A5619" w:rsidRPr="00EA4FBE" w14:paraId="6611AA22"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0D5370BC" w14:textId="4E417ECA" w:rsidR="001A5619" w:rsidRPr="00B77713" w:rsidRDefault="001A5619" w:rsidP="001A5619">
            <w:pPr>
              <w:rPr>
                <w:rFonts w:ascii="Arial Narrow" w:hAnsi="Arial Narrow" w:cs="Calibri"/>
                <w:sz w:val="15"/>
                <w:szCs w:val="15"/>
              </w:rPr>
            </w:pPr>
            <w:r w:rsidRPr="00B77713">
              <w:rPr>
                <w:rFonts w:ascii="Arial Narrow" w:hAnsi="Arial Narrow"/>
                <w:sz w:val="15"/>
                <w:szCs w:val="15"/>
              </w:rPr>
              <w:t>Electric Home New Construction</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55188A87" w14:textId="2D89705B"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$639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98739A8" w14:textId="27B3090D"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43BBA8FD" w14:textId="308903ED"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$52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114ECC47" w14:textId="29B408D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$607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6FF7585" w14:textId="5AA0BA92"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w:t>
            </w:r>
            <w:r w:rsidR="00167A21" w:rsidRPr="00167A21">
              <w:rPr>
                <w:rFonts w:ascii="Arial Narrow" w:hAnsi="Arial Narrow"/>
                <w:sz w:val="15"/>
                <w:szCs w:val="15"/>
              </w:rPr>
              <w:t>943</w:t>
            </w:r>
            <w:r w:rsidRPr="00B77713">
              <w:rPr>
                <w:rFonts w:ascii="Arial Narrow" w:hAnsi="Arial Narrow"/>
                <w:sz w:val="15"/>
                <w:szCs w:val="15"/>
              </w:rPr>
              <w:t xml:space="preserve">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614C2BDB" w14:textId="3A75712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423B67C5" w14:textId="2FCA15E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C08CA07" w14:textId="77E1F381"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83B6A19" w14:textId="7FBC8F9C"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A622F28" w14:textId="0EAC310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3B7BE90" w14:textId="566EF7E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7B167A84" w14:textId="7970000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86722D9" w14:textId="7DFE854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7B0B347" w14:textId="170DFCA2"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$829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0DA7977" w14:textId="69D58635"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$80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872BFCC" w14:textId="3F1AB67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$498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3534A870" w14:textId="14D5F71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$1,298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402E946C" w14:textId="4B5E98A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$1,327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5600D4DD" w14:textId="6E307045"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($29)</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78F3161F" w14:textId="3D4E152E"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1.69</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20A49C6C" w14:textId="51A7DD86"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0.98</w:t>
            </w:r>
          </w:p>
        </w:tc>
      </w:tr>
      <w:tr w:rsidR="001A5619" w:rsidRPr="00EA4FBE" w14:paraId="4F053E44"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4EB8BE75" w14:textId="4943A543" w:rsidR="001A5619" w:rsidRPr="00B77713" w:rsidRDefault="001A5619" w:rsidP="001A5619">
            <w:pPr>
              <w:rPr>
                <w:rFonts w:ascii="Arial Narrow" w:hAnsi="Arial Narrow" w:cs="Calibri"/>
                <w:sz w:val="15"/>
                <w:szCs w:val="15"/>
              </w:rPr>
            </w:pPr>
            <w:r w:rsidRPr="00B77713">
              <w:rPr>
                <w:rFonts w:ascii="Arial Narrow" w:hAnsi="Arial Narrow"/>
                <w:sz w:val="15"/>
                <w:szCs w:val="15"/>
              </w:rPr>
              <w:t>Multifamily Upgrades</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206F5BC2" w14:textId="69D3DB43"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$17,828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B1FDF5D" w14:textId="3E78EF6B"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$2,253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40C8F456" w14:textId="6118012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$2,312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78526353" w14:textId="56C038E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$12,005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BB9706D" w14:textId="45A94BB0"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 xml:space="preserve">$24,263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641AB015" w14:textId="6DE07F5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6EE1EF17" w14:textId="7CBCEA4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C9E40E9" w14:textId="00B887B6"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E2D18B8" w14:textId="6ED579C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319F7DF" w14:textId="10093CF2"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6472C95" w14:textId="6CF646A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338632A9" w14:textId="5AA219E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E5251C4" w14:textId="19CBE2CD"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71793E8" w14:textId="53EF489C"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$11,875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E9224F7" w14:textId="1DCABA5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$23,847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7A0F0F9" w14:textId="08C7DBA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$28,209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644940BE" w14:textId="156DF6BC"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$34,397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6945B361" w14:textId="178755CB"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$40,083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31FF81D5" w14:textId="2E7EDAD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($5,686)</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322489F1" w14:textId="66A78725"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1.46</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3ECCB9EB" w14:textId="300628A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0.86</w:t>
            </w:r>
          </w:p>
        </w:tc>
      </w:tr>
      <w:tr w:rsidR="001A5619" w:rsidRPr="00EA4FBE" w14:paraId="4148F68F"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1732A500" w14:textId="2E2CE429" w:rsidR="001A5619" w:rsidRPr="00B77713" w:rsidRDefault="001A5619" w:rsidP="001A5619">
            <w:pPr>
              <w:rPr>
                <w:rFonts w:ascii="Arial Narrow" w:hAnsi="Arial Narrow" w:cs="Calibri"/>
                <w:sz w:val="15"/>
                <w:szCs w:val="15"/>
              </w:rPr>
            </w:pPr>
            <w:r w:rsidRPr="00B77713">
              <w:rPr>
                <w:rFonts w:ascii="Arial Narrow" w:hAnsi="Arial Narrow"/>
                <w:sz w:val="15"/>
                <w:szCs w:val="15"/>
              </w:rPr>
              <w:t>New Construction - IE</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0CF0B2DE" w14:textId="4267DE37"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$3,626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90A952A" w14:textId="049F5666"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$729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76092DAB" w14:textId="0BB92926"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$751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5929E8EA" w14:textId="29340BCC"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$3,038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7D93326" w14:textId="6479191B"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 xml:space="preserve">$2,799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228BFFFD" w14:textId="66F55FC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6FE855D0" w14:textId="1C21899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F3102A6" w14:textId="7277167C"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63F7E55" w14:textId="5997199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CDE6F86" w14:textId="256F56BD"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C69500E" w14:textId="5346C78C"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4F3103E6" w14:textId="1897C58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66F6E17" w14:textId="0E76058C"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BDF3289" w14:textId="2DEF332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$3,046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CA284DD" w14:textId="4B4F7FC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$4,284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1CFFCFB" w14:textId="6963AB2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$4,741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03291C34" w14:textId="2C35279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$8,145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5B2BA366" w14:textId="6D311F4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$7,787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342855DA" w14:textId="73783DAB"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$358 </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0A7255DA" w14:textId="21501525"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1.41</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5F5454E0" w14:textId="1C6DFD9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1.05</w:t>
            </w:r>
          </w:p>
        </w:tc>
      </w:tr>
      <w:tr w:rsidR="001A5619" w:rsidRPr="00EA4FBE" w14:paraId="051A23ED"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272795FB" w14:textId="2939ABFC" w:rsidR="001A5619" w:rsidRPr="00B77713" w:rsidRDefault="001A5619" w:rsidP="001A5619">
            <w:pPr>
              <w:rPr>
                <w:rFonts w:ascii="Arial Narrow" w:hAnsi="Arial Narrow" w:cs="Calibri"/>
                <w:sz w:val="15"/>
                <w:szCs w:val="15"/>
              </w:rPr>
            </w:pPr>
            <w:r w:rsidRPr="00B77713">
              <w:rPr>
                <w:rFonts w:ascii="Arial Narrow" w:hAnsi="Arial Narrow"/>
                <w:sz w:val="15"/>
                <w:szCs w:val="15"/>
              </w:rPr>
              <w:t>Product Distribution</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34B18358" w14:textId="0478A8FB"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$85,591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908938C" w14:textId="616A901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79112DC2" w14:textId="61BEF11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$10,943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23156BC2" w14:textId="679ABA36"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$57,839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7D3A3C2" w14:textId="6D192E71"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 xml:space="preserve">$161,079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5D3DF861" w14:textId="75A1DD96"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2D6E9634" w14:textId="773BB9E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6851120" w14:textId="23B62ECA"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9EEAFFF" w14:textId="39A4FC8C"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$1,230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4E2AC65" w14:textId="0FCA6CD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6FC619A" w14:textId="20D93A5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2B3932A7" w14:textId="213D779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C59051D" w14:textId="2160CAF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E25F837" w14:textId="15A6822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$3,988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1AFFED1" w14:textId="7E17233B"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$12,552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7CF718A" w14:textId="613F3D8D"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$12,966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2C439E44" w14:textId="106A5F3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$154,373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391B5618" w14:textId="47A9332D"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$18,184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68C2A3D1" w14:textId="14C0EBE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$136,189 </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0E13859C" w14:textId="3C423E6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17</w:t>
            </w:r>
            <w:r w:rsidR="00167A21" w:rsidRPr="00167A21">
              <w:rPr>
                <w:rFonts w:ascii="Arial Narrow" w:hAnsi="Arial Narrow"/>
                <w:sz w:val="15"/>
                <w:szCs w:val="15"/>
              </w:rPr>
              <w:t>.35</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1DF96EBE" w14:textId="30DF51A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8.49</w:t>
            </w:r>
          </w:p>
        </w:tc>
      </w:tr>
      <w:tr w:rsidR="001A5619" w:rsidRPr="00EA4FBE" w14:paraId="0906F35E"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56E0F7B7" w14:textId="443226CE" w:rsidR="001A5619" w:rsidRPr="00B77713" w:rsidRDefault="001A5619" w:rsidP="001A5619">
            <w:pPr>
              <w:rPr>
                <w:rFonts w:ascii="Arial Narrow" w:hAnsi="Arial Narrow" w:cs="Calibri"/>
                <w:sz w:val="15"/>
                <w:szCs w:val="15"/>
              </w:rPr>
            </w:pPr>
            <w:r w:rsidRPr="00B77713">
              <w:rPr>
                <w:rFonts w:ascii="Arial Narrow" w:hAnsi="Arial Narrow"/>
                <w:sz w:val="15"/>
                <w:szCs w:val="15"/>
              </w:rPr>
              <w:t>Retail/Online</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0F8BFF4D" w14:textId="614834B9"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$159,938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8CDDBF5" w14:textId="7AEC567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$198,170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5C7BF535" w14:textId="0E9232F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$25,123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1A7ADCBB" w14:textId="10A19F2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$133,610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672A9AD" w14:textId="1DC7FF39"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 xml:space="preserve">$303,476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27E45772" w14:textId="66FB4F32"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7DFB8528" w14:textId="4FDC6C3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5303A15" w14:textId="2AC6EDBD"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$15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630F67F" w14:textId="577362F6"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F6D28D2" w14:textId="563CF90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9C3F374" w14:textId="0B5AB8F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7D5F8A05" w14:textId="32A75A86"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553EDCB3" w14:textId="52DE190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7A594AB" w14:textId="0DB8312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$13,470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6455590" w14:textId="00725916"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$22,988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CF04F4D" w14:textId="7B3CDD2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$58,314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6A1F1C94" w14:textId="5E6F9BA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$516,841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46985147" w14:textId="473AFF8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$71,799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5C72DFC4" w14:textId="02D8899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$445,043 </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3DFF4D47" w14:textId="34FD8148"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11.43</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064465ED" w14:textId="7653F30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7.20</w:t>
            </w:r>
          </w:p>
        </w:tc>
      </w:tr>
      <w:tr w:rsidR="001A5619" w:rsidRPr="00EA4FBE" w14:paraId="0BC629F2"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6AB30E73" w14:textId="4511D7B2" w:rsidR="001A5619" w:rsidRPr="00B77713" w:rsidRDefault="001A5619" w:rsidP="001A5619">
            <w:pPr>
              <w:rPr>
                <w:rFonts w:ascii="Arial Narrow" w:hAnsi="Arial Narrow" w:cs="Calibri"/>
                <w:sz w:val="15"/>
                <w:szCs w:val="15"/>
              </w:rPr>
            </w:pPr>
            <w:r w:rsidRPr="00B77713">
              <w:rPr>
                <w:rFonts w:ascii="Arial Narrow" w:hAnsi="Arial Narrow"/>
                <w:sz w:val="15"/>
                <w:szCs w:val="15"/>
              </w:rPr>
              <w:t>Single Family Upgrades</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723E3F8B" w14:textId="27FCADF1"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$8,121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918BBAB" w14:textId="3F347CFB"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$6,279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24E478D9" w14:textId="5F8BDAC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$1,904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6BFCDB9F" w14:textId="640A0A25"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$4,571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E8244D7" w14:textId="195B2C0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w:t>
            </w:r>
            <w:r w:rsidR="00167A21" w:rsidRPr="00167A21">
              <w:rPr>
                <w:rFonts w:ascii="Arial Narrow" w:hAnsi="Arial Narrow"/>
                <w:sz w:val="15"/>
                <w:szCs w:val="15"/>
              </w:rPr>
              <w:t>9,785</w:t>
            </w:r>
            <w:r w:rsidRPr="00B77713">
              <w:rPr>
                <w:rFonts w:ascii="Arial Narrow" w:hAnsi="Arial Narrow"/>
                <w:sz w:val="15"/>
                <w:szCs w:val="15"/>
              </w:rPr>
              <w:t xml:space="preserve">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4697E377" w14:textId="37F159D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4BFE33A2" w14:textId="3BCBFC7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20F9ACD" w14:textId="4287144D"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BB29937" w14:textId="73BAA62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DACBECD" w14:textId="4E2A05FB"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720A6ED" w14:textId="1BB8A8F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5AB08DAA" w14:textId="4D2CC79B"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2379C1B" w14:textId="746F4CF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A6CA07B" w14:textId="604A7F6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$8,777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455855E" w14:textId="35B3236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$24,109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FEA5C90" w14:textId="32CCC65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$10,169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1CEDCBFE" w14:textId="71CB771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$20,876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69B79448" w14:textId="455C11A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$18,945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42C07329" w14:textId="5C56D4F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$1,931 </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6C0EC009" w14:textId="342437F5"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1.</w:t>
            </w:r>
            <w:r w:rsidR="00167A21" w:rsidRPr="00167A21">
              <w:rPr>
                <w:rFonts w:ascii="Arial Narrow" w:hAnsi="Arial Narrow"/>
                <w:sz w:val="15"/>
                <w:szCs w:val="15"/>
              </w:rPr>
              <w:t>62</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0CEA18CD" w14:textId="0ACFCF3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1.10</w:t>
            </w:r>
          </w:p>
        </w:tc>
      </w:tr>
      <w:tr w:rsidR="001B0BA8" w:rsidRPr="00EA4FBE" w14:paraId="22E4B5F2"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hideMark/>
          </w:tcPr>
          <w:p w14:paraId="4C43E89A" w14:textId="6B1FC446" w:rsidR="001A5619" w:rsidRPr="00B77713" w:rsidRDefault="001A5619" w:rsidP="001A5619">
            <w:pPr>
              <w:rPr>
                <w:rFonts w:ascii="Arial Narrow" w:hAnsi="Arial Narrow" w:cs="Calibri"/>
                <w:b/>
                <w:color w:val="000000"/>
                <w:sz w:val="15"/>
                <w:szCs w:val="15"/>
              </w:rPr>
            </w:pPr>
            <w:r w:rsidRPr="00B77713">
              <w:rPr>
                <w:rFonts w:ascii="Arial Narrow" w:hAnsi="Arial Narrow"/>
                <w:sz w:val="15"/>
                <w:szCs w:val="15"/>
              </w:rPr>
              <w:t>Whole Home Electric</w:t>
            </w:r>
          </w:p>
        </w:tc>
        <w:tc>
          <w:tcPr>
            <w:tcW w:w="1175" w:type="dxa"/>
            <w:tcBorders>
              <w:top w:val="single" w:sz="4" w:space="0" w:color="60B8CC" w:themeColor="accent4"/>
              <w:left w:val="nil"/>
              <w:bottom w:val="single" w:sz="4" w:space="0" w:color="60B8CC" w:themeColor="accent4"/>
              <w:right w:val="nil"/>
            </w:tcBorders>
            <w:shd w:val="clear" w:color="auto" w:fill="auto"/>
            <w:hideMark/>
          </w:tcPr>
          <w:p w14:paraId="643F44EB" w14:textId="362EDBA8"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$3,374 </w:t>
            </w:r>
          </w:p>
        </w:tc>
        <w:tc>
          <w:tcPr>
            <w:tcW w:w="900" w:type="dxa"/>
            <w:tcBorders>
              <w:top w:val="single" w:sz="4" w:space="0" w:color="60B8CC" w:themeColor="accent4"/>
              <w:left w:val="nil"/>
              <w:bottom w:val="single" w:sz="4" w:space="0" w:color="60B8CC" w:themeColor="accent4"/>
              <w:right w:val="nil"/>
            </w:tcBorders>
            <w:shd w:val="clear" w:color="auto" w:fill="auto"/>
            <w:hideMark/>
          </w:tcPr>
          <w:p w14:paraId="6A43D791" w14:textId="24C5B8E7"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769" w:type="dxa"/>
            <w:tcBorders>
              <w:top w:val="single" w:sz="4" w:space="0" w:color="60B8CC" w:themeColor="accent4"/>
              <w:left w:val="nil"/>
              <w:bottom w:val="single" w:sz="4" w:space="0" w:color="60B8CC" w:themeColor="accent4"/>
              <w:right w:val="nil"/>
            </w:tcBorders>
            <w:shd w:val="clear" w:color="auto" w:fill="auto"/>
            <w:hideMark/>
          </w:tcPr>
          <w:p w14:paraId="47B1BA9B" w14:textId="217BF876"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$10 </w:t>
            </w:r>
          </w:p>
        </w:tc>
        <w:tc>
          <w:tcPr>
            <w:tcW w:w="1121" w:type="dxa"/>
            <w:tcBorders>
              <w:top w:val="single" w:sz="4" w:space="0" w:color="60B8CC" w:themeColor="accent4"/>
              <w:left w:val="nil"/>
              <w:bottom w:val="single" w:sz="4" w:space="0" w:color="60B8CC" w:themeColor="accent4"/>
              <w:right w:val="nil"/>
            </w:tcBorders>
            <w:shd w:val="clear" w:color="auto" w:fill="auto"/>
            <w:hideMark/>
          </w:tcPr>
          <w:p w14:paraId="0850997D" w14:textId="517923FE"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$3,186 </w:t>
            </w:r>
          </w:p>
        </w:tc>
        <w:tc>
          <w:tcPr>
            <w:tcW w:w="900" w:type="dxa"/>
            <w:tcBorders>
              <w:top w:val="single" w:sz="4" w:space="0" w:color="60B8CC" w:themeColor="accent4"/>
              <w:left w:val="nil"/>
              <w:bottom w:val="single" w:sz="4" w:space="0" w:color="60B8CC" w:themeColor="accent4"/>
              <w:right w:val="nil"/>
            </w:tcBorders>
            <w:shd w:val="clear" w:color="auto" w:fill="auto"/>
            <w:hideMark/>
          </w:tcPr>
          <w:p w14:paraId="171D0756" w14:textId="0F3147DB" w:rsidR="001A5619" w:rsidRPr="00B77713" w:rsidRDefault="00167A21" w:rsidP="001A5619">
            <w:pPr>
              <w:jc w:val="right"/>
              <w:rPr>
                <w:rFonts w:ascii="Arial Narrow" w:hAnsi="Arial Narrow" w:cs="Calibri"/>
                <w:b/>
                <w:bCs/>
                <w:color w:val="000000"/>
                <w:sz w:val="15"/>
                <w:szCs w:val="15"/>
              </w:rPr>
            </w:pPr>
            <w:r w:rsidRPr="00167A21">
              <w:rPr>
                <w:rFonts w:ascii="Arial Narrow" w:hAnsi="Arial Narrow"/>
                <w:sz w:val="15"/>
                <w:szCs w:val="15"/>
              </w:rPr>
              <w:t xml:space="preserve">$335 </w:t>
            </w:r>
          </w:p>
        </w:tc>
        <w:tc>
          <w:tcPr>
            <w:tcW w:w="887" w:type="dxa"/>
            <w:tcBorders>
              <w:top w:val="single" w:sz="4" w:space="0" w:color="60B8CC" w:themeColor="accent4"/>
              <w:left w:val="nil"/>
              <w:bottom w:val="single" w:sz="4" w:space="0" w:color="60B8CC" w:themeColor="accent4"/>
              <w:right w:val="nil"/>
            </w:tcBorders>
            <w:shd w:val="clear" w:color="auto" w:fill="auto"/>
            <w:hideMark/>
          </w:tcPr>
          <w:p w14:paraId="4FAF2730" w14:textId="07767828"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hideMark/>
          </w:tcPr>
          <w:p w14:paraId="0D7F3814" w14:textId="1269FA32"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hideMark/>
          </w:tcPr>
          <w:p w14:paraId="6497105C" w14:textId="28914760"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$64 </w:t>
            </w:r>
          </w:p>
        </w:tc>
        <w:tc>
          <w:tcPr>
            <w:tcW w:w="900" w:type="dxa"/>
            <w:tcBorders>
              <w:top w:val="single" w:sz="4" w:space="0" w:color="60B8CC" w:themeColor="accent4"/>
              <w:left w:val="nil"/>
              <w:bottom w:val="single" w:sz="4" w:space="0" w:color="60B8CC" w:themeColor="accent4"/>
              <w:right w:val="nil"/>
            </w:tcBorders>
            <w:shd w:val="clear" w:color="auto" w:fill="auto"/>
            <w:hideMark/>
          </w:tcPr>
          <w:p w14:paraId="125B8300" w14:textId="0EFE7C5E"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hideMark/>
          </w:tcPr>
          <w:p w14:paraId="5BBD47DA" w14:textId="1C1949E2"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hideMark/>
          </w:tcPr>
          <w:p w14:paraId="077A6086" w14:textId="163BFE7A"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hideMark/>
          </w:tcPr>
          <w:p w14:paraId="7CD59E7C" w14:textId="4F6ECADE"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hideMark/>
          </w:tcPr>
          <w:p w14:paraId="2A2E08E3" w14:textId="348F74C5"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hideMark/>
          </w:tcPr>
          <w:p w14:paraId="4317C076" w14:textId="7BB04C29"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$2,432 </w:t>
            </w:r>
          </w:p>
        </w:tc>
        <w:tc>
          <w:tcPr>
            <w:tcW w:w="810" w:type="dxa"/>
            <w:tcBorders>
              <w:top w:val="single" w:sz="4" w:space="0" w:color="60B8CC" w:themeColor="accent4"/>
              <w:left w:val="nil"/>
              <w:bottom w:val="single" w:sz="4" w:space="0" w:color="60B8CC" w:themeColor="accent4"/>
              <w:right w:val="nil"/>
            </w:tcBorders>
            <w:shd w:val="clear" w:color="auto" w:fill="auto"/>
            <w:hideMark/>
          </w:tcPr>
          <w:p w14:paraId="013F3A19" w14:textId="3E72D737"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$7,488 </w:t>
            </w:r>
          </w:p>
        </w:tc>
        <w:tc>
          <w:tcPr>
            <w:tcW w:w="990" w:type="dxa"/>
            <w:tcBorders>
              <w:top w:val="single" w:sz="4" w:space="0" w:color="60B8CC" w:themeColor="accent4"/>
              <w:left w:val="nil"/>
              <w:bottom w:val="single" w:sz="4" w:space="0" w:color="60B8CC" w:themeColor="accent4"/>
              <w:right w:val="nil"/>
            </w:tcBorders>
            <w:shd w:val="clear" w:color="auto" w:fill="auto"/>
            <w:hideMark/>
          </w:tcPr>
          <w:p w14:paraId="71A492A4" w14:textId="4A87B218"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$7,488 </w:t>
            </w:r>
          </w:p>
        </w:tc>
        <w:tc>
          <w:tcPr>
            <w:tcW w:w="1147" w:type="dxa"/>
            <w:tcBorders>
              <w:top w:val="single" w:sz="4" w:space="0" w:color="60B8CC" w:themeColor="accent4"/>
              <w:left w:val="nil"/>
              <w:bottom w:val="single" w:sz="4" w:space="0" w:color="60B8CC" w:themeColor="accent4"/>
              <w:right w:val="nil"/>
            </w:tcBorders>
            <w:shd w:val="clear" w:color="auto" w:fill="auto"/>
            <w:hideMark/>
          </w:tcPr>
          <w:p w14:paraId="519A9B4F" w14:textId="62164A75"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$6,570 </w:t>
            </w:r>
          </w:p>
        </w:tc>
        <w:tc>
          <w:tcPr>
            <w:tcW w:w="1121" w:type="dxa"/>
            <w:tcBorders>
              <w:top w:val="single" w:sz="4" w:space="0" w:color="60B8CC" w:themeColor="accent4"/>
              <w:left w:val="nil"/>
              <w:bottom w:val="single" w:sz="4" w:space="0" w:color="60B8CC" w:themeColor="accent4"/>
              <w:right w:val="nil"/>
            </w:tcBorders>
            <w:shd w:val="clear" w:color="auto" w:fill="auto"/>
            <w:hideMark/>
          </w:tcPr>
          <w:p w14:paraId="33450323" w14:textId="25F15438"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$9,984 </w:t>
            </w:r>
          </w:p>
        </w:tc>
        <w:tc>
          <w:tcPr>
            <w:tcW w:w="972" w:type="dxa"/>
            <w:tcBorders>
              <w:top w:val="single" w:sz="4" w:space="0" w:color="60B8CC" w:themeColor="accent4"/>
              <w:left w:val="nil"/>
              <w:bottom w:val="single" w:sz="4" w:space="0" w:color="60B8CC" w:themeColor="accent4"/>
              <w:right w:val="nil"/>
            </w:tcBorders>
            <w:shd w:val="clear" w:color="auto" w:fill="auto"/>
            <w:hideMark/>
          </w:tcPr>
          <w:p w14:paraId="79961C98" w14:textId="3961C38D"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($3,414)</w:t>
            </w:r>
          </w:p>
        </w:tc>
        <w:tc>
          <w:tcPr>
            <w:tcW w:w="869" w:type="dxa"/>
            <w:tcBorders>
              <w:top w:val="single" w:sz="4" w:space="0" w:color="60B8CC" w:themeColor="accent4"/>
              <w:left w:val="nil"/>
              <w:bottom w:val="single" w:sz="4" w:space="0" w:color="60B8CC" w:themeColor="accent4"/>
              <w:right w:val="nil"/>
            </w:tcBorders>
            <w:shd w:val="clear" w:color="auto" w:fill="auto"/>
            <w:hideMark/>
          </w:tcPr>
          <w:p w14:paraId="0ED3ECFB" w14:textId="3737BA72" w:rsidR="001A5619" w:rsidRPr="00B77713" w:rsidRDefault="00167A21" w:rsidP="001A5619">
            <w:pPr>
              <w:jc w:val="right"/>
              <w:rPr>
                <w:rFonts w:ascii="Arial Narrow" w:hAnsi="Arial Narrow" w:cs="Calibri"/>
                <w:b/>
                <w:bCs/>
                <w:color w:val="000000"/>
                <w:sz w:val="15"/>
                <w:szCs w:val="15"/>
              </w:rPr>
            </w:pPr>
            <w:r w:rsidRPr="00167A21">
              <w:rPr>
                <w:rFonts w:ascii="Arial Narrow" w:hAnsi="Arial Narrow"/>
                <w:sz w:val="15"/>
                <w:szCs w:val="15"/>
              </w:rPr>
              <w:t>0.69</w:t>
            </w:r>
          </w:p>
        </w:tc>
        <w:tc>
          <w:tcPr>
            <w:tcW w:w="741" w:type="dxa"/>
            <w:tcBorders>
              <w:top w:val="single" w:sz="4" w:space="0" w:color="60B8CC" w:themeColor="accent4"/>
              <w:left w:val="nil"/>
              <w:bottom w:val="single" w:sz="4" w:space="0" w:color="60B8CC" w:themeColor="accent4"/>
              <w:right w:val="nil"/>
            </w:tcBorders>
            <w:shd w:val="clear" w:color="auto" w:fill="auto"/>
            <w:hideMark/>
          </w:tcPr>
          <w:p w14:paraId="7337131A" w14:textId="29EB3EA7"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0.66</w:t>
            </w:r>
          </w:p>
        </w:tc>
      </w:tr>
      <w:tr w:rsidR="009C20BC" w:rsidRPr="00EA4FBE" w14:paraId="28BD21FD"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3B24D52A" w14:textId="6B410D13" w:rsidR="001A5619" w:rsidRPr="001B0BA8" w:rsidRDefault="001A5619" w:rsidP="001A5619">
            <w:pPr>
              <w:rPr>
                <w:rFonts w:ascii="Arial Narrow" w:hAnsi="Arial Narrow" w:cs="Calibri"/>
                <w:b/>
                <w:bCs/>
                <w:sz w:val="15"/>
                <w:szCs w:val="15"/>
              </w:rPr>
            </w:pPr>
            <w:r w:rsidRPr="001B0BA8">
              <w:rPr>
                <w:rFonts w:ascii="Arial Narrow" w:hAnsi="Arial Narrow"/>
                <w:b/>
                <w:bCs/>
                <w:sz w:val="15"/>
                <w:szCs w:val="15"/>
              </w:rPr>
              <w:t>Res &amp; IE Total</w:t>
            </w:r>
          </w:p>
        </w:tc>
        <w:tc>
          <w:tcPr>
            <w:tcW w:w="1175"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0F127458" w14:textId="37CC3D8B" w:rsidR="001A5619" w:rsidRPr="001B0BA8" w:rsidRDefault="001A5619" w:rsidP="001A5619">
            <w:pPr>
              <w:jc w:val="right"/>
              <w:rPr>
                <w:rFonts w:ascii="Arial Narrow" w:hAnsi="Arial Narrow" w:cs="Calibri"/>
                <w:b/>
                <w:bCs/>
                <w:sz w:val="15"/>
                <w:szCs w:val="15"/>
              </w:rPr>
            </w:pPr>
            <w:r w:rsidRPr="001B0BA8">
              <w:rPr>
                <w:rFonts w:ascii="Arial Narrow" w:hAnsi="Arial Narrow"/>
                <w:b/>
                <w:bCs/>
                <w:sz w:val="15"/>
                <w:szCs w:val="15"/>
              </w:rPr>
              <w:t xml:space="preserve">$355,387 </w:t>
            </w:r>
          </w:p>
        </w:tc>
        <w:tc>
          <w:tcPr>
            <w:tcW w:w="90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5205FD67" w14:textId="0E4A558D"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$207,432 </w:t>
            </w:r>
          </w:p>
        </w:tc>
        <w:tc>
          <w:tcPr>
            <w:tcW w:w="769"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AD7436A" w14:textId="01747547"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$41,094 </w:t>
            </w:r>
          </w:p>
        </w:tc>
        <w:tc>
          <w:tcPr>
            <w:tcW w:w="1121"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3F422208" w14:textId="554969D9"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$270,501 </w:t>
            </w:r>
          </w:p>
        </w:tc>
        <w:tc>
          <w:tcPr>
            <w:tcW w:w="90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72075A7" w14:textId="38565CCB" w:rsidR="001A5619" w:rsidRPr="001B0BA8" w:rsidRDefault="00167A21" w:rsidP="001A5619">
            <w:pPr>
              <w:jc w:val="right"/>
              <w:rPr>
                <w:rFonts w:ascii="Arial Narrow" w:hAnsi="Arial Narrow" w:cs="Calibri"/>
                <w:b/>
                <w:bCs/>
                <w:color w:val="000000"/>
                <w:sz w:val="15"/>
                <w:szCs w:val="15"/>
              </w:rPr>
            </w:pPr>
            <w:r w:rsidRPr="00167A21">
              <w:rPr>
                <w:rFonts w:ascii="Arial Narrow" w:hAnsi="Arial Narrow"/>
                <w:b/>
                <w:bCs/>
                <w:sz w:val="15"/>
                <w:szCs w:val="15"/>
              </w:rPr>
              <w:t xml:space="preserve">$546,435 </w:t>
            </w:r>
          </w:p>
        </w:tc>
        <w:tc>
          <w:tcPr>
            <w:tcW w:w="887"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34E8552" w14:textId="064CAAC2"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565D8C14" w14:textId="0BFF47F5"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5DD3CDAE" w14:textId="2E54F999" w:rsidR="001A5619" w:rsidRPr="001B0BA8" w:rsidRDefault="001A5619" w:rsidP="001A5619">
            <w:pPr>
              <w:jc w:val="right"/>
              <w:rPr>
                <w:rFonts w:ascii="Arial Narrow" w:hAnsi="Arial Narrow" w:cs="Calibri"/>
                <w:b/>
                <w:bCs/>
                <w:sz w:val="15"/>
                <w:szCs w:val="15"/>
              </w:rPr>
            </w:pPr>
            <w:r w:rsidRPr="001B0BA8">
              <w:rPr>
                <w:rFonts w:ascii="Arial Narrow" w:hAnsi="Arial Narrow"/>
                <w:b/>
                <w:bCs/>
                <w:sz w:val="15"/>
                <w:szCs w:val="15"/>
              </w:rPr>
              <w:t xml:space="preserve">$79 </w:t>
            </w:r>
          </w:p>
        </w:tc>
        <w:tc>
          <w:tcPr>
            <w:tcW w:w="90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1867410" w14:textId="27922B2C"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$1,230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3E1F5A36" w14:textId="5F7D7A43"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53D49FA2" w14:textId="7B7A0CE1"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1EFCF7C6" w14:textId="6A9E6655"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9BA2C50" w14:textId="0435780F"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642DA8C" w14:textId="7742D616"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$57,</w:t>
            </w:r>
            <w:r w:rsidR="00167A21" w:rsidRPr="00167A21">
              <w:rPr>
                <w:rFonts w:ascii="Arial Narrow" w:hAnsi="Arial Narrow"/>
                <w:b/>
                <w:bCs/>
                <w:sz w:val="15"/>
                <w:szCs w:val="15"/>
              </w:rPr>
              <w:t>634</w:t>
            </w:r>
            <w:r w:rsidRPr="001B0BA8">
              <w:rPr>
                <w:rFonts w:ascii="Arial Narrow" w:hAnsi="Arial Narrow"/>
                <w:b/>
                <w:bCs/>
                <w:sz w:val="15"/>
                <w:szCs w:val="15"/>
              </w:rPr>
              <w:t xml:space="preserve">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DC6EC65" w14:textId="7E672D03"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$105,095 </w:t>
            </w:r>
          </w:p>
        </w:tc>
        <w:tc>
          <w:tcPr>
            <w:tcW w:w="99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0367E019" w14:textId="6B25D821"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$133,956 </w:t>
            </w:r>
          </w:p>
        </w:tc>
        <w:tc>
          <w:tcPr>
            <w:tcW w:w="1147"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30CC6DE" w14:textId="4F1C0084"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$874,414 </w:t>
            </w:r>
          </w:p>
        </w:tc>
        <w:tc>
          <w:tcPr>
            <w:tcW w:w="1121"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5C361DCB" w14:textId="188E4769"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$188,</w:t>
            </w:r>
            <w:r w:rsidR="00167A21" w:rsidRPr="00167A21">
              <w:rPr>
                <w:rFonts w:ascii="Arial Narrow" w:hAnsi="Arial Narrow"/>
                <w:b/>
                <w:bCs/>
                <w:sz w:val="15"/>
                <w:szCs w:val="15"/>
              </w:rPr>
              <w:t>909</w:t>
            </w:r>
            <w:r w:rsidRPr="001B0BA8">
              <w:rPr>
                <w:rFonts w:ascii="Arial Narrow" w:hAnsi="Arial Narrow"/>
                <w:b/>
                <w:bCs/>
                <w:sz w:val="15"/>
                <w:szCs w:val="15"/>
              </w:rPr>
              <w:t xml:space="preserve"> </w:t>
            </w:r>
          </w:p>
        </w:tc>
        <w:tc>
          <w:tcPr>
            <w:tcW w:w="972"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321EB36" w14:textId="793618BC"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$685,</w:t>
            </w:r>
            <w:r w:rsidR="00167A21" w:rsidRPr="00167A21">
              <w:rPr>
                <w:rFonts w:ascii="Arial Narrow" w:hAnsi="Arial Narrow"/>
                <w:b/>
                <w:bCs/>
                <w:sz w:val="15"/>
                <w:szCs w:val="15"/>
              </w:rPr>
              <w:t>505</w:t>
            </w:r>
            <w:r w:rsidRPr="001B0BA8">
              <w:rPr>
                <w:rFonts w:ascii="Arial Narrow" w:hAnsi="Arial Narrow"/>
                <w:b/>
                <w:bCs/>
                <w:sz w:val="15"/>
                <w:szCs w:val="15"/>
              </w:rPr>
              <w:t xml:space="preserve"> </w:t>
            </w:r>
          </w:p>
        </w:tc>
        <w:tc>
          <w:tcPr>
            <w:tcW w:w="869"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74930C2" w14:textId="1A0FC5C4" w:rsidR="001A5619" w:rsidRPr="001B0BA8" w:rsidRDefault="00167A21" w:rsidP="001A5619">
            <w:pPr>
              <w:jc w:val="right"/>
              <w:rPr>
                <w:rFonts w:ascii="Arial Narrow" w:hAnsi="Arial Narrow" w:cs="Calibri"/>
                <w:b/>
                <w:bCs/>
                <w:color w:val="000000"/>
                <w:sz w:val="15"/>
                <w:szCs w:val="15"/>
              </w:rPr>
            </w:pPr>
            <w:r w:rsidRPr="00167A21">
              <w:rPr>
                <w:rFonts w:ascii="Arial Narrow" w:hAnsi="Arial Narrow"/>
                <w:b/>
                <w:bCs/>
                <w:sz w:val="15"/>
                <w:szCs w:val="15"/>
              </w:rPr>
              <w:t>7.52</w:t>
            </w:r>
          </w:p>
        </w:tc>
        <w:tc>
          <w:tcPr>
            <w:tcW w:w="741"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7DE080E1" w14:textId="4EBA32B3"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4.63</w:t>
            </w:r>
          </w:p>
        </w:tc>
      </w:tr>
      <w:tr w:rsidR="001A5619" w:rsidRPr="00EA4FBE" w14:paraId="063BEC99"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7ACDB043" w14:textId="734E9C64" w:rsidR="001A5619" w:rsidRPr="00B77713" w:rsidRDefault="001A5619" w:rsidP="001A5619">
            <w:pPr>
              <w:rPr>
                <w:rFonts w:ascii="Arial Narrow" w:hAnsi="Arial Narrow" w:cs="Calibri"/>
                <w:sz w:val="15"/>
                <w:szCs w:val="15"/>
              </w:rPr>
            </w:pPr>
            <w:r w:rsidRPr="00B77713">
              <w:rPr>
                <w:rFonts w:ascii="Arial Narrow" w:hAnsi="Arial Narrow"/>
                <w:sz w:val="15"/>
                <w:szCs w:val="15"/>
              </w:rPr>
              <w:t>Assessments</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3FEFF3E0" w14:textId="1241D39A"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36BA3D3" w14:textId="2230160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0378D27D" w14:textId="1A690C22"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4D2FAA33" w14:textId="57714FC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8A1477C" w14:textId="0127910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1E403B89" w14:textId="30D0662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2138C84B" w14:textId="07D76655"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A68B0B4" w14:textId="0170E5BA"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D4F997F" w14:textId="55050A0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1C06824" w14:textId="5B3EA89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D680019" w14:textId="2487675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59D8A2CF" w14:textId="44C6D44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6EAD655" w14:textId="130AED1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A2D73BD" w14:textId="597B03B2"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$1,431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CBDF2FA" w14:textId="27909F8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E1F2814" w14:textId="2BF3F04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4C515724" w14:textId="0463E9D5"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6788CBAE" w14:textId="27ACAA7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$1,431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05FAB69E" w14:textId="6756DF9D"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($1,431)</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7E3C8E28" w14:textId="06FB7D5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0.00</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74268EA9" w14:textId="3004BBF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0.00</w:t>
            </w:r>
          </w:p>
        </w:tc>
      </w:tr>
      <w:tr w:rsidR="001A5619" w:rsidRPr="00EA4FBE" w14:paraId="7F55DB1E"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43F05F28" w14:textId="3DCDB05A" w:rsidR="001A5619" w:rsidRPr="00B77713" w:rsidRDefault="001A5619" w:rsidP="001A5619">
            <w:pPr>
              <w:rPr>
                <w:rFonts w:ascii="Arial Narrow" w:hAnsi="Arial Narrow" w:cs="Calibri"/>
                <w:sz w:val="15"/>
                <w:szCs w:val="15"/>
              </w:rPr>
            </w:pPr>
            <w:r w:rsidRPr="00B77713">
              <w:rPr>
                <w:rFonts w:ascii="Arial Narrow" w:hAnsi="Arial Narrow"/>
                <w:sz w:val="15"/>
                <w:szCs w:val="15"/>
              </w:rPr>
              <w:t>Behavior Bus/Pub</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777F567F" w14:textId="0CCC141E"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$8,748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B264596" w14:textId="23BCF06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36488AA5" w14:textId="4759410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17FBBF39" w14:textId="48290B2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$8,047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FE3BB09" w14:textId="0A47D6FC"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 xml:space="preserve">$22,933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4E8B0D21" w14:textId="3EE7FF0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4783820E" w14:textId="1A88F67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B212F7A" w14:textId="685D3152"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3270D5F" w14:textId="7DBCAC0B"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C38DC3C" w14:textId="71F9496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C65EB1F" w14:textId="3C72A735"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4CF9F1E2" w14:textId="3B77EF3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BC13AFA" w14:textId="4D06AF52"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F00546D" w14:textId="2BC8263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$7,063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AB397A4" w14:textId="658674E2"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$2,546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16CD3158" w14:textId="71D02F7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$2,546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58EAAA60" w14:textId="38DA868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$16,795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3D970190" w14:textId="25B0C45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$9,609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6523BF3C" w14:textId="24136FC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$7,185 </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276C5D68" w14:textId="4D779FB4"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4.13</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034814E2" w14:textId="25BE0C2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1.75</w:t>
            </w:r>
          </w:p>
        </w:tc>
      </w:tr>
      <w:tr w:rsidR="001A5619" w:rsidRPr="00EA4FBE" w14:paraId="0E058661"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1BC416DF" w14:textId="179D1659" w:rsidR="001A5619" w:rsidRPr="00B77713" w:rsidRDefault="001A5619" w:rsidP="001A5619">
            <w:pPr>
              <w:rPr>
                <w:rFonts w:ascii="Arial Narrow" w:hAnsi="Arial Narrow" w:cs="Calibri"/>
                <w:sz w:val="15"/>
                <w:szCs w:val="15"/>
              </w:rPr>
            </w:pPr>
            <w:r w:rsidRPr="00B77713">
              <w:rPr>
                <w:rFonts w:ascii="Arial Narrow" w:hAnsi="Arial Narrow"/>
                <w:sz w:val="15"/>
                <w:szCs w:val="15"/>
              </w:rPr>
              <w:t>EMS - Small Business - Pilot</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4CAE3510" w14:textId="41F6AA7E"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$24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2368EAA" w14:textId="66548BE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120BE029" w14:textId="686F46D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6CA3348C" w14:textId="368B049D"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$25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C23CCC7" w14:textId="4CFEFB3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w:t>
            </w:r>
            <w:r w:rsidR="00167A21" w:rsidRPr="00167A21">
              <w:rPr>
                <w:rFonts w:ascii="Arial Narrow" w:hAnsi="Arial Narrow"/>
                <w:sz w:val="15"/>
                <w:szCs w:val="15"/>
              </w:rPr>
              <w:t>59</w:t>
            </w:r>
            <w:r w:rsidRPr="00B77713">
              <w:rPr>
                <w:rFonts w:ascii="Arial Narrow" w:hAnsi="Arial Narrow"/>
                <w:sz w:val="15"/>
                <w:szCs w:val="15"/>
              </w:rPr>
              <w:t xml:space="preserve">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1473DA1E" w14:textId="15CB845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3B8372FC" w14:textId="29F0C2F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CDF0F54" w14:textId="5D1163C6"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45BE4ED" w14:textId="13E6ABE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46A4903" w14:textId="718569F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C7FEE07" w14:textId="668F9FD2"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32DB58A3" w14:textId="3EF43F5C"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3E433BE" w14:textId="26DA458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4A1C14A" w14:textId="2DB977B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$353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C80EF60" w14:textId="1668C9F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96C1842" w14:textId="47B9FD4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$45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12EB626A" w14:textId="584A8A2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$49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6B2B2617" w14:textId="64281B7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$397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71613949" w14:textId="5ABFFE4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($348)</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39DFAC51" w14:textId="01ADE9A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0.</w:t>
            </w:r>
            <w:r w:rsidR="00167A21" w:rsidRPr="00167A21">
              <w:rPr>
                <w:rFonts w:ascii="Arial Narrow" w:hAnsi="Arial Narrow"/>
                <w:sz w:val="15"/>
                <w:szCs w:val="15"/>
              </w:rPr>
              <w:t>27</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54E27092" w14:textId="2856F40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0.12</w:t>
            </w:r>
          </w:p>
        </w:tc>
      </w:tr>
      <w:tr w:rsidR="001A5619" w:rsidRPr="00EA4FBE" w14:paraId="4B79B419"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0500FBF4" w14:textId="40380529" w:rsidR="001A5619" w:rsidRPr="00B77713" w:rsidRDefault="001A5619" w:rsidP="001A5619">
            <w:pPr>
              <w:rPr>
                <w:rFonts w:ascii="Arial Narrow" w:hAnsi="Arial Narrow" w:cs="Calibri"/>
                <w:sz w:val="15"/>
                <w:szCs w:val="15"/>
              </w:rPr>
            </w:pPr>
            <w:r w:rsidRPr="00B77713">
              <w:rPr>
                <w:rFonts w:ascii="Arial Narrow" w:hAnsi="Arial Narrow"/>
                <w:sz w:val="15"/>
                <w:szCs w:val="15"/>
              </w:rPr>
              <w:t>Incentives</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11CE6269" w14:textId="4244258A"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$123,479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5A21469" w14:textId="64AEDDE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$5,673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25F5D7D0" w14:textId="41CBECAB"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63650DF8" w14:textId="764C492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$76,237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6D5C0E8" w14:textId="3E92B225"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 xml:space="preserve">$192,063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415647A4" w14:textId="663147C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260743BC" w14:textId="75DA50D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FBE3F03" w14:textId="408F89DE"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0844D60" w14:textId="33E11BE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E993C4F" w14:textId="480211D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7AB73C6" w14:textId="46E6D2D5"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17853AF0" w14:textId="6359F7D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D32D204" w14:textId="3CDDF2A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1AFD292" w14:textId="58FEEE6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$14,467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12E1343" w14:textId="52F78BC6"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$60,779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FA5E494" w14:textId="62AF3E3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$77,400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5A3EE98A" w14:textId="64190D8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$205,389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3A9242ED" w14:textId="1192B016"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$91,866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181E583D" w14:textId="3629F42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$113,523 </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5F2BE357" w14:textId="6EA469B7"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4.33</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31BD6FE0" w14:textId="0F269E8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2.24</w:t>
            </w:r>
          </w:p>
        </w:tc>
      </w:tr>
      <w:tr w:rsidR="001A5619" w:rsidRPr="00EA4FBE" w14:paraId="195B4042"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16FF071D" w14:textId="0ED9D087" w:rsidR="001A5619" w:rsidRPr="00B77713" w:rsidRDefault="001A5619" w:rsidP="001A5619">
            <w:pPr>
              <w:rPr>
                <w:rFonts w:ascii="Arial Narrow" w:hAnsi="Arial Narrow" w:cs="Calibri"/>
                <w:sz w:val="15"/>
                <w:szCs w:val="15"/>
              </w:rPr>
            </w:pPr>
            <w:r w:rsidRPr="00B77713">
              <w:rPr>
                <w:rFonts w:ascii="Arial Narrow" w:hAnsi="Arial Narrow"/>
                <w:sz w:val="15"/>
                <w:szCs w:val="15"/>
              </w:rPr>
              <w:t>Midstream/Upstream</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50C0A9D1" w14:textId="03A8C758"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$114,375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A3F9F4E" w14:textId="3BF1DC4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45CF27C9" w14:textId="105C92D5"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$67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3736298E" w14:textId="3C0A004B"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$71,302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3E4F6C4" w14:textId="0DF1A333"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 xml:space="preserve">$154,500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71DB904C" w14:textId="6C76E0B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0F3B9E50" w14:textId="59DADEE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D350959" w14:textId="5FC46756"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6B49490" w14:textId="504A18B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8B4549F" w14:textId="0AB2665B"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91F186E" w14:textId="118ED0AD"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08F8DE13" w14:textId="2075451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E6C3586" w14:textId="54046B6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84E3F7B" w14:textId="136E137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$3,719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CE61771" w14:textId="4195789C"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$19,931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21E2804" w14:textId="36129D2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$32,193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59F1CC63" w14:textId="16DC7965"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$185,744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2C3ACEE1" w14:textId="19048F8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$35,912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671F6135" w14:textId="0CE2F95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$149,832 </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39E1156E" w14:textId="6A6350DF"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9.47</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0AFFFB60" w14:textId="6939BA8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5.17</w:t>
            </w:r>
          </w:p>
        </w:tc>
      </w:tr>
      <w:tr w:rsidR="001A5619" w:rsidRPr="00EA4FBE" w14:paraId="319ACEAE"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5CBCE829" w14:textId="4E0161E7" w:rsidR="001A5619" w:rsidRPr="00B77713" w:rsidRDefault="001A5619" w:rsidP="001A5619">
            <w:pPr>
              <w:rPr>
                <w:rFonts w:ascii="Arial Narrow" w:hAnsi="Arial Narrow" w:cs="Calibri"/>
                <w:sz w:val="15"/>
                <w:szCs w:val="15"/>
              </w:rPr>
            </w:pPr>
            <w:r w:rsidRPr="00B77713">
              <w:rPr>
                <w:rFonts w:ascii="Arial Narrow" w:hAnsi="Arial Narrow"/>
                <w:sz w:val="15"/>
                <w:szCs w:val="15"/>
              </w:rPr>
              <w:t>New Construction - Bus/Pub</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562351F9" w14:textId="2C876856"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$3,823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40C9892" w14:textId="490C6545"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$225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1245EE16" w14:textId="40530F9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$2,335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1FCB7BB0" w14:textId="40900A6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$2,655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C54E388" w14:textId="2717445B"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w:t>
            </w:r>
            <w:r w:rsidR="00167A21" w:rsidRPr="00167A21">
              <w:rPr>
                <w:rFonts w:ascii="Arial Narrow" w:hAnsi="Arial Narrow"/>
                <w:sz w:val="15"/>
                <w:szCs w:val="15"/>
              </w:rPr>
              <w:t>5,588</w:t>
            </w:r>
            <w:r w:rsidRPr="00B77713">
              <w:rPr>
                <w:rFonts w:ascii="Arial Narrow" w:hAnsi="Arial Narrow"/>
                <w:sz w:val="15"/>
                <w:szCs w:val="15"/>
              </w:rPr>
              <w:t xml:space="preserve">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3FA9B505" w14:textId="7989DD6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6C9247C5" w14:textId="73BA276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2D8514B" w14:textId="7DE15E05"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FB3867B" w14:textId="5124DF52"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53B0D87" w14:textId="01E8B3C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582BCCC" w14:textId="4B463A4C"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6391C642" w14:textId="437A114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A6FBE3F" w14:textId="205BE67D"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BE262C8" w14:textId="7E24FCA1"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$2,171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6F48214" w14:textId="56886A7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$1,050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D2EF090" w14:textId="2A848EF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$4,747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4CCFA019" w14:textId="7B88931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$9,037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543DCC7A" w14:textId="0D46D44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$6,917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61DA45A7" w14:textId="7DD8E0A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$2,120 </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0DAEEFA3" w14:textId="17FA9507"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2.11</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0B2BFD23" w14:textId="7951E2B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1.31</w:t>
            </w:r>
          </w:p>
        </w:tc>
      </w:tr>
      <w:tr w:rsidR="001B0BA8" w:rsidRPr="00EA4FBE" w14:paraId="4B16604E"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hideMark/>
          </w:tcPr>
          <w:p w14:paraId="1AF7AE13" w14:textId="4D3C223A" w:rsidR="001A5619" w:rsidRPr="00B77713" w:rsidRDefault="001A5619" w:rsidP="001A5619">
            <w:pPr>
              <w:rPr>
                <w:rFonts w:ascii="Arial Narrow" w:hAnsi="Arial Narrow" w:cs="Calibri"/>
                <w:b/>
                <w:color w:val="000000"/>
                <w:sz w:val="15"/>
                <w:szCs w:val="15"/>
              </w:rPr>
            </w:pPr>
            <w:r w:rsidRPr="00B77713">
              <w:rPr>
                <w:rFonts w:ascii="Arial Narrow" w:hAnsi="Arial Narrow"/>
                <w:sz w:val="15"/>
                <w:szCs w:val="15"/>
              </w:rPr>
              <w:t>Small Business</w:t>
            </w:r>
          </w:p>
        </w:tc>
        <w:tc>
          <w:tcPr>
            <w:tcW w:w="1175" w:type="dxa"/>
            <w:tcBorders>
              <w:top w:val="single" w:sz="4" w:space="0" w:color="60B8CC" w:themeColor="accent4"/>
              <w:left w:val="nil"/>
              <w:bottom w:val="single" w:sz="4" w:space="0" w:color="60B8CC" w:themeColor="accent4"/>
              <w:right w:val="nil"/>
            </w:tcBorders>
            <w:shd w:val="clear" w:color="auto" w:fill="auto"/>
            <w:hideMark/>
          </w:tcPr>
          <w:p w14:paraId="2ADDBF9B" w14:textId="0D1A2173"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$130,358 </w:t>
            </w:r>
          </w:p>
        </w:tc>
        <w:tc>
          <w:tcPr>
            <w:tcW w:w="900" w:type="dxa"/>
            <w:tcBorders>
              <w:top w:val="single" w:sz="4" w:space="0" w:color="60B8CC" w:themeColor="accent4"/>
              <w:left w:val="nil"/>
              <w:bottom w:val="single" w:sz="4" w:space="0" w:color="60B8CC" w:themeColor="accent4"/>
              <w:right w:val="nil"/>
            </w:tcBorders>
            <w:shd w:val="clear" w:color="auto" w:fill="auto"/>
            <w:hideMark/>
          </w:tcPr>
          <w:p w14:paraId="180C79B3" w14:textId="1737C379"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769" w:type="dxa"/>
            <w:tcBorders>
              <w:top w:val="single" w:sz="4" w:space="0" w:color="60B8CC" w:themeColor="accent4"/>
              <w:left w:val="nil"/>
              <w:bottom w:val="single" w:sz="4" w:space="0" w:color="60B8CC" w:themeColor="accent4"/>
              <w:right w:val="nil"/>
            </w:tcBorders>
            <w:shd w:val="clear" w:color="auto" w:fill="auto"/>
            <w:hideMark/>
          </w:tcPr>
          <w:p w14:paraId="31A57A15" w14:textId="6C1E0AF3"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$91 </w:t>
            </w:r>
          </w:p>
        </w:tc>
        <w:tc>
          <w:tcPr>
            <w:tcW w:w="1121" w:type="dxa"/>
            <w:tcBorders>
              <w:top w:val="single" w:sz="4" w:space="0" w:color="60B8CC" w:themeColor="accent4"/>
              <w:left w:val="nil"/>
              <w:bottom w:val="single" w:sz="4" w:space="0" w:color="60B8CC" w:themeColor="accent4"/>
              <w:right w:val="nil"/>
            </w:tcBorders>
            <w:shd w:val="clear" w:color="auto" w:fill="auto"/>
            <w:hideMark/>
          </w:tcPr>
          <w:p w14:paraId="344937FE" w14:textId="579E89AD"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$78,562 </w:t>
            </w:r>
          </w:p>
        </w:tc>
        <w:tc>
          <w:tcPr>
            <w:tcW w:w="900" w:type="dxa"/>
            <w:tcBorders>
              <w:top w:val="single" w:sz="4" w:space="0" w:color="60B8CC" w:themeColor="accent4"/>
              <w:left w:val="nil"/>
              <w:bottom w:val="single" w:sz="4" w:space="0" w:color="60B8CC" w:themeColor="accent4"/>
              <w:right w:val="nil"/>
            </w:tcBorders>
            <w:shd w:val="clear" w:color="auto" w:fill="auto"/>
            <w:hideMark/>
          </w:tcPr>
          <w:p w14:paraId="77F5E63C" w14:textId="478D4D1E" w:rsidR="001A5619" w:rsidRPr="00B77713" w:rsidRDefault="00167A21" w:rsidP="001A5619">
            <w:pPr>
              <w:jc w:val="right"/>
              <w:rPr>
                <w:rFonts w:ascii="Arial Narrow" w:hAnsi="Arial Narrow" w:cs="Calibri"/>
                <w:b/>
                <w:bCs/>
                <w:color w:val="000000"/>
                <w:sz w:val="15"/>
                <w:szCs w:val="15"/>
              </w:rPr>
            </w:pPr>
            <w:r w:rsidRPr="00167A21">
              <w:rPr>
                <w:rFonts w:ascii="Arial Narrow" w:hAnsi="Arial Narrow"/>
                <w:sz w:val="15"/>
                <w:szCs w:val="15"/>
              </w:rPr>
              <w:t xml:space="preserve">$184,412 </w:t>
            </w:r>
          </w:p>
        </w:tc>
        <w:tc>
          <w:tcPr>
            <w:tcW w:w="887" w:type="dxa"/>
            <w:tcBorders>
              <w:top w:val="single" w:sz="4" w:space="0" w:color="60B8CC" w:themeColor="accent4"/>
              <w:left w:val="nil"/>
              <w:bottom w:val="single" w:sz="4" w:space="0" w:color="60B8CC" w:themeColor="accent4"/>
              <w:right w:val="nil"/>
            </w:tcBorders>
            <w:shd w:val="clear" w:color="auto" w:fill="auto"/>
            <w:hideMark/>
          </w:tcPr>
          <w:p w14:paraId="2F8E7945" w14:textId="76D4CB61"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hideMark/>
          </w:tcPr>
          <w:p w14:paraId="07CF0E15" w14:textId="66ABE5B1"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hideMark/>
          </w:tcPr>
          <w:p w14:paraId="2D5BF015" w14:textId="340EDC91"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hideMark/>
          </w:tcPr>
          <w:p w14:paraId="3B160ECD" w14:textId="1188FE9E"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$4,018 </w:t>
            </w:r>
          </w:p>
        </w:tc>
        <w:tc>
          <w:tcPr>
            <w:tcW w:w="810" w:type="dxa"/>
            <w:tcBorders>
              <w:top w:val="single" w:sz="4" w:space="0" w:color="60B8CC" w:themeColor="accent4"/>
              <w:left w:val="nil"/>
              <w:bottom w:val="single" w:sz="4" w:space="0" w:color="60B8CC" w:themeColor="accent4"/>
              <w:right w:val="nil"/>
            </w:tcBorders>
            <w:shd w:val="clear" w:color="auto" w:fill="auto"/>
            <w:hideMark/>
          </w:tcPr>
          <w:p w14:paraId="584298A7" w14:textId="46114430"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hideMark/>
          </w:tcPr>
          <w:p w14:paraId="0DE711C4" w14:textId="691D1FF7"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hideMark/>
          </w:tcPr>
          <w:p w14:paraId="74A15089" w14:textId="0D10443B"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hideMark/>
          </w:tcPr>
          <w:p w14:paraId="6B9B8AC8" w14:textId="2439052A"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hideMark/>
          </w:tcPr>
          <w:p w14:paraId="492813F7" w14:textId="093E99B2"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$10,491 </w:t>
            </w:r>
          </w:p>
        </w:tc>
        <w:tc>
          <w:tcPr>
            <w:tcW w:w="810" w:type="dxa"/>
            <w:tcBorders>
              <w:top w:val="single" w:sz="4" w:space="0" w:color="60B8CC" w:themeColor="accent4"/>
              <w:left w:val="nil"/>
              <w:bottom w:val="single" w:sz="4" w:space="0" w:color="60B8CC" w:themeColor="accent4"/>
              <w:right w:val="nil"/>
            </w:tcBorders>
            <w:shd w:val="clear" w:color="auto" w:fill="auto"/>
            <w:hideMark/>
          </w:tcPr>
          <w:p w14:paraId="2192C792" w14:textId="6EBB8EC4"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$67,252 </w:t>
            </w:r>
          </w:p>
        </w:tc>
        <w:tc>
          <w:tcPr>
            <w:tcW w:w="990" w:type="dxa"/>
            <w:tcBorders>
              <w:top w:val="single" w:sz="4" w:space="0" w:color="60B8CC" w:themeColor="accent4"/>
              <w:left w:val="nil"/>
              <w:bottom w:val="single" w:sz="4" w:space="0" w:color="60B8CC" w:themeColor="accent4"/>
              <w:right w:val="nil"/>
            </w:tcBorders>
            <w:shd w:val="clear" w:color="auto" w:fill="auto"/>
            <w:hideMark/>
          </w:tcPr>
          <w:p w14:paraId="16FEE18A" w14:textId="1F54614A"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$64,105 </w:t>
            </w:r>
          </w:p>
        </w:tc>
        <w:tc>
          <w:tcPr>
            <w:tcW w:w="1147" w:type="dxa"/>
            <w:tcBorders>
              <w:top w:val="single" w:sz="4" w:space="0" w:color="60B8CC" w:themeColor="accent4"/>
              <w:left w:val="nil"/>
              <w:bottom w:val="single" w:sz="4" w:space="0" w:color="60B8CC" w:themeColor="accent4"/>
              <w:right w:val="nil"/>
            </w:tcBorders>
            <w:shd w:val="clear" w:color="auto" w:fill="auto"/>
            <w:hideMark/>
          </w:tcPr>
          <w:p w14:paraId="4B1F3922" w14:textId="3F7B3BE1"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$209,011 </w:t>
            </w:r>
          </w:p>
        </w:tc>
        <w:tc>
          <w:tcPr>
            <w:tcW w:w="1121" w:type="dxa"/>
            <w:tcBorders>
              <w:top w:val="single" w:sz="4" w:space="0" w:color="60B8CC" w:themeColor="accent4"/>
              <w:left w:val="nil"/>
              <w:bottom w:val="single" w:sz="4" w:space="0" w:color="60B8CC" w:themeColor="accent4"/>
              <w:right w:val="nil"/>
            </w:tcBorders>
            <w:shd w:val="clear" w:color="auto" w:fill="auto"/>
            <w:hideMark/>
          </w:tcPr>
          <w:p w14:paraId="07DFAA91" w14:textId="3907176B"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$78,614 </w:t>
            </w:r>
          </w:p>
        </w:tc>
        <w:tc>
          <w:tcPr>
            <w:tcW w:w="972" w:type="dxa"/>
            <w:tcBorders>
              <w:top w:val="single" w:sz="4" w:space="0" w:color="60B8CC" w:themeColor="accent4"/>
              <w:left w:val="nil"/>
              <w:bottom w:val="single" w:sz="4" w:space="0" w:color="60B8CC" w:themeColor="accent4"/>
              <w:right w:val="nil"/>
            </w:tcBorders>
            <w:shd w:val="clear" w:color="auto" w:fill="auto"/>
            <w:hideMark/>
          </w:tcPr>
          <w:p w14:paraId="2A9F2EA8" w14:textId="6A98B6F5"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 xml:space="preserve">$130,397 </w:t>
            </w:r>
          </w:p>
        </w:tc>
        <w:tc>
          <w:tcPr>
            <w:tcW w:w="869" w:type="dxa"/>
            <w:tcBorders>
              <w:top w:val="single" w:sz="4" w:space="0" w:color="60B8CC" w:themeColor="accent4"/>
              <w:left w:val="nil"/>
              <w:bottom w:val="single" w:sz="4" w:space="0" w:color="60B8CC" w:themeColor="accent4"/>
              <w:right w:val="nil"/>
            </w:tcBorders>
            <w:shd w:val="clear" w:color="auto" w:fill="auto"/>
            <w:hideMark/>
          </w:tcPr>
          <w:p w14:paraId="37CD9C6D" w14:textId="16906F91" w:rsidR="001A5619" w:rsidRPr="00B77713" w:rsidRDefault="00167A21" w:rsidP="001A5619">
            <w:pPr>
              <w:jc w:val="right"/>
              <w:rPr>
                <w:rFonts w:ascii="Arial Narrow" w:hAnsi="Arial Narrow" w:cs="Calibri"/>
                <w:b/>
                <w:bCs/>
                <w:color w:val="000000"/>
                <w:sz w:val="15"/>
                <w:szCs w:val="15"/>
              </w:rPr>
            </w:pPr>
            <w:r w:rsidRPr="00167A21">
              <w:rPr>
                <w:rFonts w:ascii="Arial Narrow" w:hAnsi="Arial Narrow"/>
                <w:sz w:val="15"/>
                <w:szCs w:val="15"/>
              </w:rPr>
              <w:t>5.00</w:t>
            </w:r>
          </w:p>
        </w:tc>
        <w:tc>
          <w:tcPr>
            <w:tcW w:w="741" w:type="dxa"/>
            <w:tcBorders>
              <w:top w:val="single" w:sz="4" w:space="0" w:color="60B8CC" w:themeColor="accent4"/>
              <w:left w:val="nil"/>
              <w:bottom w:val="single" w:sz="4" w:space="0" w:color="60B8CC" w:themeColor="accent4"/>
              <w:right w:val="nil"/>
            </w:tcBorders>
            <w:shd w:val="clear" w:color="auto" w:fill="auto"/>
            <w:hideMark/>
          </w:tcPr>
          <w:p w14:paraId="65F6E0AE" w14:textId="41089B63" w:rsidR="001A5619" w:rsidRPr="00B77713" w:rsidRDefault="001A5619" w:rsidP="001A5619">
            <w:pPr>
              <w:jc w:val="right"/>
              <w:rPr>
                <w:rFonts w:ascii="Arial Narrow" w:hAnsi="Arial Narrow" w:cs="Calibri"/>
                <w:b/>
                <w:bCs/>
                <w:color w:val="000000"/>
                <w:sz w:val="15"/>
                <w:szCs w:val="15"/>
              </w:rPr>
            </w:pPr>
            <w:r w:rsidRPr="00B77713">
              <w:rPr>
                <w:rFonts w:ascii="Arial Narrow" w:hAnsi="Arial Narrow"/>
                <w:sz w:val="15"/>
                <w:szCs w:val="15"/>
              </w:rPr>
              <w:t>2.66</w:t>
            </w:r>
          </w:p>
        </w:tc>
      </w:tr>
      <w:tr w:rsidR="001A5619" w:rsidRPr="00EA4FBE" w14:paraId="64BB2F54"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34797C29" w14:textId="1EC9BD7E" w:rsidR="001A5619" w:rsidRPr="00B77713" w:rsidRDefault="001A5619" w:rsidP="001A5619">
            <w:pPr>
              <w:rPr>
                <w:rFonts w:ascii="Arial Narrow" w:hAnsi="Arial Narrow" w:cs="Calibri"/>
                <w:sz w:val="15"/>
                <w:szCs w:val="15"/>
              </w:rPr>
            </w:pPr>
            <w:r w:rsidRPr="00B77713">
              <w:rPr>
                <w:rFonts w:ascii="Arial Narrow" w:hAnsi="Arial Narrow"/>
                <w:sz w:val="15"/>
                <w:szCs w:val="15"/>
              </w:rPr>
              <w:t>Targeted Systems</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339CF2FB" w14:textId="4A2551AD"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$26,643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72268F8" w14:textId="6EC3013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$184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6E21A724" w14:textId="2D3B72E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1C1600FF" w14:textId="671A30C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$19,298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331064A" w14:textId="7995ACA9"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 xml:space="preserve">$51,712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5ACAFB94" w14:textId="715B03E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38224D89" w14:textId="0B7B7FD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7054269" w14:textId="297787D6"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FD16E1E" w14:textId="2B6A68D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07A42AC" w14:textId="6F2F3C9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D5CAF27" w14:textId="3D01779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77B84FDE" w14:textId="068321A2"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4DCFCA5" w14:textId="0235095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CD52FAA" w14:textId="4BAD188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$9,701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99271FC" w14:textId="0C12FBC4"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$20,092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22BB99A" w14:textId="7A182FF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$17,718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627BEF88" w14:textId="40FF4DE6"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$46,126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47A12327" w14:textId="768B0E4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$27,419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0BCE6B7C" w14:textId="2E32A21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$18,706 </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08FE1F22" w14:textId="362EA6D1"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3.57</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17FD1FD7" w14:textId="5EA37BE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1.68</w:t>
            </w:r>
          </w:p>
        </w:tc>
      </w:tr>
      <w:tr w:rsidR="009C20BC" w:rsidRPr="00EA4FBE" w14:paraId="4A0FCCAB"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BA0FB5F" w14:textId="619ADC0A" w:rsidR="001A5619" w:rsidRPr="001B0BA8" w:rsidRDefault="001A5619" w:rsidP="001A5619">
            <w:pPr>
              <w:rPr>
                <w:rFonts w:ascii="Arial Narrow" w:hAnsi="Arial Narrow" w:cs="Calibri"/>
                <w:b/>
                <w:bCs/>
                <w:sz w:val="15"/>
                <w:szCs w:val="15"/>
              </w:rPr>
            </w:pPr>
            <w:r w:rsidRPr="001B0BA8">
              <w:rPr>
                <w:rFonts w:ascii="Arial Narrow" w:hAnsi="Arial Narrow"/>
                <w:b/>
                <w:bCs/>
                <w:sz w:val="15"/>
                <w:szCs w:val="15"/>
              </w:rPr>
              <w:t>Business &amp; Public Sector Total</w:t>
            </w:r>
          </w:p>
        </w:tc>
        <w:tc>
          <w:tcPr>
            <w:tcW w:w="1175"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19D86160" w14:textId="2ECCBF41" w:rsidR="001A5619" w:rsidRPr="001B0BA8" w:rsidRDefault="001A5619" w:rsidP="001A5619">
            <w:pPr>
              <w:jc w:val="right"/>
              <w:rPr>
                <w:rFonts w:ascii="Arial Narrow" w:hAnsi="Arial Narrow" w:cs="Calibri"/>
                <w:b/>
                <w:bCs/>
                <w:sz w:val="15"/>
                <w:szCs w:val="15"/>
              </w:rPr>
            </w:pPr>
            <w:r w:rsidRPr="001B0BA8">
              <w:rPr>
                <w:rFonts w:ascii="Arial Narrow" w:hAnsi="Arial Narrow"/>
                <w:b/>
                <w:bCs/>
                <w:sz w:val="15"/>
                <w:szCs w:val="15"/>
              </w:rPr>
              <w:t xml:space="preserve">$407,450 </w:t>
            </w:r>
          </w:p>
        </w:tc>
        <w:tc>
          <w:tcPr>
            <w:tcW w:w="90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1D1C6F14" w14:textId="352EA990"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$6,082 </w:t>
            </w:r>
          </w:p>
        </w:tc>
        <w:tc>
          <w:tcPr>
            <w:tcW w:w="769"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6DE0584" w14:textId="5EEB89DB"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$2,492 </w:t>
            </w:r>
          </w:p>
        </w:tc>
        <w:tc>
          <w:tcPr>
            <w:tcW w:w="1121"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E867C15" w14:textId="653CBE4F"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$256,126 </w:t>
            </w:r>
          </w:p>
        </w:tc>
        <w:tc>
          <w:tcPr>
            <w:tcW w:w="90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38531762" w14:textId="3813310F" w:rsidR="001A5619" w:rsidRPr="001B0BA8" w:rsidRDefault="00167A21" w:rsidP="001A5619">
            <w:pPr>
              <w:jc w:val="right"/>
              <w:rPr>
                <w:rFonts w:ascii="Arial Narrow" w:hAnsi="Arial Narrow" w:cs="Calibri"/>
                <w:b/>
                <w:bCs/>
                <w:color w:val="000000"/>
                <w:sz w:val="15"/>
                <w:szCs w:val="15"/>
              </w:rPr>
            </w:pPr>
            <w:r w:rsidRPr="00167A21">
              <w:rPr>
                <w:rFonts w:ascii="Arial Narrow" w:hAnsi="Arial Narrow"/>
                <w:b/>
                <w:bCs/>
                <w:sz w:val="15"/>
                <w:szCs w:val="15"/>
              </w:rPr>
              <w:t xml:space="preserve">$611,268 </w:t>
            </w:r>
          </w:p>
        </w:tc>
        <w:tc>
          <w:tcPr>
            <w:tcW w:w="887"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6B4D7DA" w14:textId="6D800273"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2C9AA73" w14:textId="6A2DB877"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D9CD8F7" w14:textId="6B6ADE02" w:rsidR="001A5619" w:rsidRPr="001B0BA8" w:rsidRDefault="001A5619" w:rsidP="001A5619">
            <w:pPr>
              <w:jc w:val="right"/>
              <w:rPr>
                <w:rFonts w:ascii="Arial Narrow" w:hAnsi="Arial Narrow" w:cs="Calibri"/>
                <w:b/>
                <w:bCs/>
                <w:sz w:val="15"/>
                <w:szCs w:val="15"/>
              </w:rPr>
            </w:pPr>
            <w:r w:rsidRPr="001B0BA8">
              <w:rPr>
                <w:rFonts w:ascii="Arial Narrow" w:hAnsi="Arial Narrow"/>
                <w:b/>
                <w:bCs/>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153C57BF" w14:textId="456679DE"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$4,018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6FEEFF6" w14:textId="3C3E9531"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3D488556" w14:textId="19F41123"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2300D56" w14:textId="5B76E3AD"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87C4E99" w14:textId="307E6D59"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3DFF975" w14:textId="0FF29702"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$62,023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0271C7FD" w14:textId="27AC89F1"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$171,650 </w:t>
            </w:r>
          </w:p>
        </w:tc>
        <w:tc>
          <w:tcPr>
            <w:tcW w:w="990"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211D727" w14:textId="79C29855"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$198,753 </w:t>
            </w:r>
          </w:p>
        </w:tc>
        <w:tc>
          <w:tcPr>
            <w:tcW w:w="1147"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177CD62" w14:textId="702007E4"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$672,150 </w:t>
            </w:r>
          </w:p>
        </w:tc>
        <w:tc>
          <w:tcPr>
            <w:tcW w:w="1121"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C0F0DC1" w14:textId="633C3EB8"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$252,167 </w:t>
            </w:r>
          </w:p>
        </w:tc>
        <w:tc>
          <w:tcPr>
            <w:tcW w:w="972"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788F8731" w14:textId="1F1093D3"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 xml:space="preserve">$419,983 </w:t>
            </w:r>
          </w:p>
        </w:tc>
        <w:tc>
          <w:tcPr>
            <w:tcW w:w="869"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35425A16" w14:textId="6085233F" w:rsidR="001A5619" w:rsidRPr="001B0BA8" w:rsidRDefault="00167A21" w:rsidP="001A5619">
            <w:pPr>
              <w:jc w:val="right"/>
              <w:rPr>
                <w:rFonts w:ascii="Arial Narrow" w:hAnsi="Arial Narrow" w:cs="Calibri"/>
                <w:b/>
                <w:bCs/>
                <w:color w:val="000000"/>
                <w:sz w:val="15"/>
                <w:szCs w:val="15"/>
              </w:rPr>
            </w:pPr>
            <w:r w:rsidRPr="00167A21">
              <w:rPr>
                <w:rFonts w:ascii="Arial Narrow" w:hAnsi="Arial Narrow"/>
                <w:b/>
                <w:bCs/>
                <w:sz w:val="15"/>
                <w:szCs w:val="15"/>
              </w:rPr>
              <w:t>5.09</w:t>
            </w:r>
          </w:p>
        </w:tc>
        <w:tc>
          <w:tcPr>
            <w:tcW w:w="741"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D86DE6D" w14:textId="753204FC" w:rsidR="001A5619" w:rsidRPr="001B0BA8" w:rsidRDefault="001A5619" w:rsidP="001A5619">
            <w:pPr>
              <w:jc w:val="right"/>
              <w:rPr>
                <w:rFonts w:ascii="Arial Narrow" w:hAnsi="Arial Narrow" w:cs="Calibri"/>
                <w:b/>
                <w:bCs/>
                <w:color w:val="000000"/>
                <w:sz w:val="15"/>
                <w:szCs w:val="15"/>
              </w:rPr>
            </w:pPr>
            <w:r w:rsidRPr="001B0BA8">
              <w:rPr>
                <w:rFonts w:ascii="Arial Narrow" w:hAnsi="Arial Narrow"/>
                <w:b/>
                <w:bCs/>
                <w:sz w:val="15"/>
                <w:szCs w:val="15"/>
              </w:rPr>
              <w:t>2.67</w:t>
            </w:r>
          </w:p>
        </w:tc>
      </w:tr>
      <w:tr w:rsidR="001A5619" w:rsidRPr="00EA4FBE" w14:paraId="5B7E8500"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auto"/>
            <w:noWrap/>
            <w:hideMark/>
          </w:tcPr>
          <w:p w14:paraId="03CF464D" w14:textId="712D64DC" w:rsidR="001A5619" w:rsidRPr="00B77713" w:rsidRDefault="001A5619" w:rsidP="001A5619">
            <w:pPr>
              <w:rPr>
                <w:rFonts w:ascii="Arial Narrow" w:hAnsi="Arial Narrow" w:cs="Calibri"/>
                <w:sz w:val="15"/>
                <w:szCs w:val="15"/>
              </w:rPr>
            </w:pPr>
            <w:r w:rsidRPr="00B77713">
              <w:rPr>
                <w:rFonts w:ascii="Arial Narrow" w:hAnsi="Arial Narrow"/>
                <w:sz w:val="15"/>
                <w:szCs w:val="15"/>
              </w:rPr>
              <w:t>Voltage Optimization</w:t>
            </w:r>
          </w:p>
        </w:tc>
        <w:tc>
          <w:tcPr>
            <w:tcW w:w="1175" w:type="dxa"/>
            <w:tcBorders>
              <w:top w:val="single" w:sz="4" w:space="0" w:color="60B8CC" w:themeColor="accent4"/>
              <w:left w:val="nil"/>
              <w:bottom w:val="single" w:sz="4" w:space="0" w:color="60B8CC" w:themeColor="accent4"/>
              <w:right w:val="nil"/>
            </w:tcBorders>
            <w:shd w:val="clear" w:color="auto" w:fill="auto"/>
            <w:noWrap/>
            <w:hideMark/>
          </w:tcPr>
          <w:p w14:paraId="41C8A84D" w14:textId="45BC3F73"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$56,309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9ED71E1" w14:textId="26A92C48"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69" w:type="dxa"/>
            <w:tcBorders>
              <w:top w:val="single" w:sz="4" w:space="0" w:color="60B8CC" w:themeColor="accent4"/>
              <w:left w:val="nil"/>
              <w:bottom w:val="single" w:sz="4" w:space="0" w:color="60B8CC" w:themeColor="accent4"/>
              <w:right w:val="nil"/>
            </w:tcBorders>
            <w:shd w:val="clear" w:color="auto" w:fill="auto"/>
            <w:noWrap/>
            <w:hideMark/>
          </w:tcPr>
          <w:p w14:paraId="3536B1C3" w14:textId="0706257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0E4E4455" w14:textId="7B894A9E"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$35,532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BA03716" w14:textId="7A948D0D"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 xml:space="preserve">$94,287 </w:t>
            </w:r>
          </w:p>
        </w:tc>
        <w:tc>
          <w:tcPr>
            <w:tcW w:w="887" w:type="dxa"/>
            <w:tcBorders>
              <w:top w:val="single" w:sz="4" w:space="0" w:color="60B8CC" w:themeColor="accent4"/>
              <w:left w:val="nil"/>
              <w:bottom w:val="single" w:sz="4" w:space="0" w:color="60B8CC" w:themeColor="accent4"/>
              <w:right w:val="nil"/>
            </w:tcBorders>
            <w:shd w:val="clear" w:color="auto" w:fill="auto"/>
            <w:noWrap/>
            <w:hideMark/>
          </w:tcPr>
          <w:p w14:paraId="7C6E2865" w14:textId="4268F5B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auto"/>
            <w:noWrap/>
            <w:hideMark/>
          </w:tcPr>
          <w:p w14:paraId="2910AFFE" w14:textId="0F965B8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03C5C26" w14:textId="7CE40645" w:rsidR="001A5619" w:rsidRPr="00B77713" w:rsidRDefault="001A5619" w:rsidP="001A5619">
            <w:pPr>
              <w:jc w:val="right"/>
              <w:rPr>
                <w:rFonts w:ascii="Arial Narrow" w:hAnsi="Arial Narrow" w:cs="Calibri"/>
                <w:sz w:val="15"/>
                <w:szCs w:val="15"/>
              </w:rPr>
            </w:pPr>
            <w:r w:rsidRPr="00B77713">
              <w:rPr>
                <w:rFonts w:ascii="Arial Narrow" w:hAnsi="Arial Narrow"/>
                <w:sz w:val="15"/>
                <w:szCs w:val="15"/>
              </w:rPr>
              <w:t xml:space="preserve">$0 </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6A7CC1D" w14:textId="4968AB9B"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E4E31C2" w14:textId="50F7A5F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8D78A55" w14:textId="4FA0E270"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auto"/>
            <w:noWrap/>
            <w:hideMark/>
          </w:tcPr>
          <w:p w14:paraId="2FE2DB30" w14:textId="47865CE9"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CFF8107" w14:textId="105DBDD6"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105B30C" w14:textId="3020D2D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$43,054 </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2B2B478" w14:textId="0A1167D2"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CC222A8" w14:textId="248B9503"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$0 </w:t>
            </w:r>
          </w:p>
        </w:tc>
        <w:tc>
          <w:tcPr>
            <w:tcW w:w="1147" w:type="dxa"/>
            <w:tcBorders>
              <w:top w:val="single" w:sz="4" w:space="0" w:color="60B8CC" w:themeColor="accent4"/>
              <w:left w:val="nil"/>
              <w:bottom w:val="single" w:sz="4" w:space="0" w:color="60B8CC" w:themeColor="accent4"/>
              <w:right w:val="nil"/>
            </w:tcBorders>
            <w:shd w:val="clear" w:color="auto" w:fill="auto"/>
            <w:noWrap/>
            <w:hideMark/>
          </w:tcPr>
          <w:p w14:paraId="0EB85051" w14:textId="4F0BF5FB"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$91,841 </w:t>
            </w:r>
          </w:p>
        </w:tc>
        <w:tc>
          <w:tcPr>
            <w:tcW w:w="1121" w:type="dxa"/>
            <w:tcBorders>
              <w:top w:val="single" w:sz="4" w:space="0" w:color="60B8CC" w:themeColor="accent4"/>
              <w:left w:val="nil"/>
              <w:bottom w:val="single" w:sz="4" w:space="0" w:color="60B8CC" w:themeColor="accent4"/>
              <w:right w:val="nil"/>
            </w:tcBorders>
            <w:shd w:val="clear" w:color="auto" w:fill="auto"/>
            <w:noWrap/>
            <w:hideMark/>
          </w:tcPr>
          <w:p w14:paraId="4FEDD944" w14:textId="2AE3BDBF"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$43,054 </w:t>
            </w:r>
          </w:p>
        </w:tc>
        <w:tc>
          <w:tcPr>
            <w:tcW w:w="972" w:type="dxa"/>
            <w:tcBorders>
              <w:top w:val="single" w:sz="4" w:space="0" w:color="60B8CC" w:themeColor="accent4"/>
              <w:left w:val="nil"/>
              <w:bottom w:val="single" w:sz="4" w:space="0" w:color="60B8CC" w:themeColor="accent4"/>
              <w:right w:val="nil"/>
            </w:tcBorders>
            <w:shd w:val="clear" w:color="auto" w:fill="auto"/>
            <w:noWrap/>
            <w:hideMark/>
          </w:tcPr>
          <w:p w14:paraId="72B4D520" w14:textId="732A201A"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 xml:space="preserve">$48,787 </w:t>
            </w:r>
          </w:p>
        </w:tc>
        <w:tc>
          <w:tcPr>
            <w:tcW w:w="869" w:type="dxa"/>
            <w:tcBorders>
              <w:top w:val="single" w:sz="4" w:space="0" w:color="60B8CC" w:themeColor="accent4"/>
              <w:left w:val="nil"/>
              <w:bottom w:val="single" w:sz="4" w:space="0" w:color="60B8CC" w:themeColor="accent4"/>
              <w:right w:val="nil"/>
            </w:tcBorders>
            <w:shd w:val="clear" w:color="auto" w:fill="auto"/>
            <w:noWrap/>
            <w:hideMark/>
          </w:tcPr>
          <w:p w14:paraId="1E611B26" w14:textId="56B81189" w:rsidR="001A5619" w:rsidRPr="00B77713" w:rsidRDefault="00167A21" w:rsidP="001A5619">
            <w:pPr>
              <w:jc w:val="right"/>
              <w:rPr>
                <w:rFonts w:ascii="Arial Narrow" w:hAnsi="Arial Narrow" w:cs="Calibri"/>
                <w:color w:val="000000"/>
                <w:sz w:val="15"/>
                <w:szCs w:val="15"/>
              </w:rPr>
            </w:pPr>
            <w:r w:rsidRPr="00167A21">
              <w:rPr>
                <w:rFonts w:ascii="Arial Narrow" w:hAnsi="Arial Narrow"/>
                <w:sz w:val="15"/>
                <w:szCs w:val="15"/>
              </w:rPr>
              <w:t>4.32</w:t>
            </w:r>
          </w:p>
        </w:tc>
        <w:tc>
          <w:tcPr>
            <w:tcW w:w="741" w:type="dxa"/>
            <w:tcBorders>
              <w:top w:val="single" w:sz="4" w:space="0" w:color="60B8CC" w:themeColor="accent4"/>
              <w:left w:val="nil"/>
              <w:bottom w:val="single" w:sz="4" w:space="0" w:color="60B8CC" w:themeColor="accent4"/>
              <w:right w:val="nil"/>
            </w:tcBorders>
            <w:shd w:val="clear" w:color="auto" w:fill="auto"/>
            <w:noWrap/>
            <w:hideMark/>
          </w:tcPr>
          <w:p w14:paraId="0E5B3149" w14:textId="15E4DB07" w:rsidR="001A5619" w:rsidRPr="00B77713" w:rsidRDefault="001A5619" w:rsidP="001A5619">
            <w:pPr>
              <w:jc w:val="right"/>
              <w:rPr>
                <w:rFonts w:ascii="Arial Narrow" w:hAnsi="Arial Narrow" w:cs="Calibri"/>
                <w:color w:val="000000"/>
                <w:sz w:val="15"/>
                <w:szCs w:val="15"/>
              </w:rPr>
            </w:pPr>
            <w:r w:rsidRPr="00B77713">
              <w:rPr>
                <w:rFonts w:ascii="Arial Narrow" w:hAnsi="Arial Narrow"/>
                <w:sz w:val="15"/>
                <w:szCs w:val="15"/>
              </w:rPr>
              <w:t>2.13</w:t>
            </w:r>
          </w:p>
        </w:tc>
      </w:tr>
      <w:tr w:rsidR="009C20BC" w:rsidRPr="00EA4FBE" w14:paraId="553DAEA3"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1FC135C8" w14:textId="6A643971" w:rsidR="00B77713" w:rsidRPr="00B77713" w:rsidRDefault="00B77713" w:rsidP="00B77713">
            <w:pPr>
              <w:rPr>
                <w:rFonts w:ascii="Arial Narrow" w:hAnsi="Arial Narrow" w:cs="Calibri"/>
                <w:b/>
                <w:color w:val="000000"/>
                <w:sz w:val="15"/>
                <w:szCs w:val="15"/>
              </w:rPr>
            </w:pPr>
            <w:r w:rsidRPr="00167A21">
              <w:rPr>
                <w:rFonts w:ascii="Arial Narrow" w:hAnsi="Arial Narrow"/>
                <w:b/>
                <w:sz w:val="15"/>
                <w:szCs w:val="15"/>
              </w:rPr>
              <w:t>Portfolio Total without IE &amp; with VO</w:t>
            </w:r>
          </w:p>
        </w:tc>
        <w:tc>
          <w:tcPr>
            <w:tcW w:w="1175"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238F8E5" w14:textId="7234C6FD"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$622,318 </w:t>
            </w:r>
          </w:p>
        </w:tc>
        <w:tc>
          <w:tcPr>
            <w:tcW w:w="90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EB14EB7" w14:textId="67A19A01"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$114,054 </w:t>
            </w:r>
          </w:p>
        </w:tc>
        <w:tc>
          <w:tcPr>
            <w:tcW w:w="769"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2325C768" w14:textId="711672E7"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$27,632 </w:t>
            </w:r>
          </w:p>
        </w:tc>
        <w:tc>
          <w:tcPr>
            <w:tcW w:w="1121"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B5F9D3F" w14:textId="75A73582"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$420,352 </w:t>
            </w:r>
          </w:p>
        </w:tc>
        <w:tc>
          <w:tcPr>
            <w:tcW w:w="90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E206A22" w14:textId="24C982D1" w:rsidR="00B77713" w:rsidRPr="00B77713" w:rsidRDefault="00167A21" w:rsidP="00B77713">
            <w:pPr>
              <w:jc w:val="right"/>
              <w:rPr>
                <w:rFonts w:ascii="Arial Narrow" w:hAnsi="Arial Narrow" w:cs="Calibri"/>
                <w:b/>
                <w:bCs/>
                <w:color w:val="000000"/>
                <w:sz w:val="15"/>
                <w:szCs w:val="15"/>
              </w:rPr>
            </w:pPr>
            <w:r w:rsidRPr="00167A21">
              <w:rPr>
                <w:rFonts w:ascii="Arial Narrow" w:hAnsi="Arial Narrow"/>
                <w:b/>
                <w:bCs/>
                <w:sz w:val="15"/>
                <w:szCs w:val="15"/>
              </w:rPr>
              <w:t xml:space="preserve">$1,222,148 </w:t>
            </w:r>
          </w:p>
        </w:tc>
        <w:tc>
          <w:tcPr>
            <w:tcW w:w="887"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C9451B9" w14:textId="2B929B5B"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411008F6" w14:textId="74DEA07B"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F34AEA5" w14:textId="1D389F0B"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$15 </w:t>
            </w:r>
          </w:p>
        </w:tc>
        <w:tc>
          <w:tcPr>
            <w:tcW w:w="90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431CAB49" w14:textId="6FF8C469"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$4,037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3DE3E3F7" w14:textId="0741BA77"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AAD4967" w14:textId="7C87817C"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4E5E9FC" w14:textId="31BCBC20"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34E1BCC" w14:textId="332A2022"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68D443D" w14:textId="3EA5C594"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$173,</w:t>
            </w:r>
            <w:r w:rsidR="00167A21" w:rsidRPr="00167A21">
              <w:rPr>
                <w:rFonts w:ascii="Arial Narrow" w:hAnsi="Arial Narrow"/>
                <w:b/>
                <w:bCs/>
                <w:sz w:val="15"/>
                <w:szCs w:val="15"/>
              </w:rPr>
              <w:t>643</w:t>
            </w:r>
            <w:r w:rsidRPr="00B77713">
              <w:rPr>
                <w:rFonts w:ascii="Arial Narrow" w:hAnsi="Arial Narrow"/>
                <w:b/>
                <w:bCs/>
                <w:sz w:val="15"/>
                <w:szCs w:val="15"/>
              </w:rPr>
              <w:t xml:space="preserve">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247FBDEA" w14:textId="37AE41E9"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$197,677 </w:t>
            </w:r>
          </w:p>
        </w:tc>
        <w:tc>
          <w:tcPr>
            <w:tcW w:w="99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3A58742" w14:textId="70F2119C"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$238,447 </w:t>
            </w:r>
          </w:p>
        </w:tc>
        <w:tc>
          <w:tcPr>
            <w:tcW w:w="1147"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042D33C" w14:textId="70F6DF7B"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$1,184,356 </w:t>
            </w:r>
          </w:p>
        </w:tc>
        <w:tc>
          <w:tcPr>
            <w:tcW w:w="1121"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EAE599E" w14:textId="752F4597" w:rsidR="00B77713" w:rsidRPr="00B77713" w:rsidRDefault="00167A21" w:rsidP="00B77713">
            <w:pPr>
              <w:jc w:val="right"/>
              <w:rPr>
                <w:rFonts w:ascii="Arial Narrow" w:hAnsi="Arial Narrow" w:cs="Calibri"/>
                <w:b/>
                <w:bCs/>
                <w:color w:val="000000"/>
                <w:sz w:val="15"/>
                <w:szCs w:val="15"/>
              </w:rPr>
            </w:pPr>
            <w:r w:rsidRPr="00167A21">
              <w:rPr>
                <w:rFonts w:ascii="Arial Narrow" w:hAnsi="Arial Narrow"/>
                <w:b/>
                <w:bCs/>
                <w:sz w:val="15"/>
                <w:szCs w:val="15"/>
              </w:rPr>
              <w:t xml:space="preserve">$416,143 </w:t>
            </w:r>
          </w:p>
        </w:tc>
        <w:tc>
          <w:tcPr>
            <w:tcW w:w="972"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31B104C6" w14:textId="241FD955"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$768,</w:t>
            </w:r>
            <w:r w:rsidR="00167A21" w:rsidRPr="00167A21">
              <w:rPr>
                <w:rFonts w:ascii="Arial Narrow" w:hAnsi="Arial Narrow"/>
                <w:b/>
                <w:bCs/>
                <w:sz w:val="15"/>
                <w:szCs w:val="15"/>
              </w:rPr>
              <w:t>213</w:t>
            </w:r>
            <w:r w:rsidRPr="00B77713">
              <w:rPr>
                <w:rFonts w:ascii="Arial Narrow" w:hAnsi="Arial Narrow"/>
                <w:b/>
                <w:bCs/>
                <w:sz w:val="15"/>
                <w:szCs w:val="15"/>
              </w:rPr>
              <w:t xml:space="preserve"> </w:t>
            </w:r>
          </w:p>
        </w:tc>
        <w:tc>
          <w:tcPr>
            <w:tcW w:w="869"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F10FBDD" w14:textId="056FF4B8" w:rsidR="00B77713" w:rsidRPr="00B77713" w:rsidRDefault="00167A21" w:rsidP="00B77713">
            <w:pPr>
              <w:jc w:val="right"/>
              <w:rPr>
                <w:rFonts w:ascii="Arial Narrow" w:hAnsi="Arial Narrow" w:cs="Calibri"/>
                <w:b/>
                <w:bCs/>
                <w:color w:val="000000"/>
                <w:sz w:val="15"/>
                <w:szCs w:val="15"/>
              </w:rPr>
            </w:pPr>
            <w:r w:rsidRPr="00167A21">
              <w:rPr>
                <w:rFonts w:ascii="Arial Narrow" w:hAnsi="Arial Narrow"/>
                <w:b/>
                <w:bCs/>
                <w:sz w:val="15"/>
                <w:szCs w:val="15"/>
              </w:rPr>
              <w:t>5</w:t>
            </w:r>
            <w:r w:rsidR="00B77713" w:rsidRPr="00B77713">
              <w:rPr>
                <w:rFonts w:ascii="Arial Narrow" w:hAnsi="Arial Narrow"/>
                <w:b/>
                <w:bCs/>
                <w:sz w:val="15"/>
                <w:szCs w:val="15"/>
              </w:rPr>
              <w:t>.78</w:t>
            </w:r>
          </w:p>
        </w:tc>
        <w:tc>
          <w:tcPr>
            <w:tcW w:w="741"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99B489D" w14:textId="6CC14B18"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2.85</w:t>
            </w:r>
          </w:p>
        </w:tc>
      </w:tr>
      <w:tr w:rsidR="009C20BC" w:rsidRPr="00EA4FBE" w14:paraId="467F51B3"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3A6189F1" w14:textId="5004188E" w:rsidR="00B77713" w:rsidRPr="00B77713" w:rsidRDefault="00B77713" w:rsidP="00B77713">
            <w:pPr>
              <w:rPr>
                <w:rFonts w:ascii="Arial Narrow" w:hAnsi="Arial Narrow" w:cs="Calibri"/>
                <w:b/>
                <w:color w:val="000000"/>
                <w:sz w:val="15"/>
                <w:szCs w:val="15"/>
              </w:rPr>
            </w:pPr>
            <w:r w:rsidRPr="00167A21">
              <w:rPr>
                <w:rFonts w:ascii="Arial Narrow" w:hAnsi="Arial Narrow"/>
                <w:b/>
                <w:sz w:val="15"/>
                <w:szCs w:val="15"/>
              </w:rPr>
              <w:t>Portfolio Total with IE &amp; without VO</w:t>
            </w:r>
          </w:p>
        </w:tc>
        <w:tc>
          <w:tcPr>
            <w:tcW w:w="1175"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4AF5BD83" w14:textId="0C33A1AD"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$762,837 </w:t>
            </w:r>
          </w:p>
        </w:tc>
        <w:tc>
          <w:tcPr>
            <w:tcW w:w="90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074380F" w14:textId="08194A5E"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$213,513 </w:t>
            </w:r>
          </w:p>
        </w:tc>
        <w:tc>
          <w:tcPr>
            <w:tcW w:w="769"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5977FC1" w14:textId="2B58491E"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$43,587 </w:t>
            </w:r>
          </w:p>
        </w:tc>
        <w:tc>
          <w:tcPr>
            <w:tcW w:w="1121"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00CBC98" w14:textId="2E63A85D"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$526,628 </w:t>
            </w:r>
          </w:p>
        </w:tc>
        <w:tc>
          <w:tcPr>
            <w:tcW w:w="90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33ABF6E0" w14:textId="41C69DC9" w:rsidR="00B77713" w:rsidRPr="00B77713" w:rsidRDefault="00167A21" w:rsidP="00B77713">
            <w:pPr>
              <w:jc w:val="right"/>
              <w:rPr>
                <w:rFonts w:ascii="Arial Narrow" w:hAnsi="Arial Narrow" w:cs="Calibri"/>
                <w:b/>
                <w:bCs/>
                <w:color w:val="000000"/>
                <w:sz w:val="15"/>
                <w:szCs w:val="15"/>
              </w:rPr>
            </w:pPr>
            <w:r w:rsidRPr="00167A21">
              <w:rPr>
                <w:rFonts w:ascii="Arial Narrow" w:hAnsi="Arial Narrow"/>
                <w:b/>
                <w:bCs/>
                <w:sz w:val="15"/>
                <w:szCs w:val="15"/>
              </w:rPr>
              <w:t xml:space="preserve">$1,157,704 </w:t>
            </w:r>
          </w:p>
        </w:tc>
        <w:tc>
          <w:tcPr>
            <w:tcW w:w="887"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72AB954" w14:textId="42CAB9BC"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D14B011" w14:textId="31FC86A1"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4DB3733D" w14:textId="1CE2EFAC"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$79 </w:t>
            </w:r>
          </w:p>
        </w:tc>
        <w:tc>
          <w:tcPr>
            <w:tcW w:w="90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858B6C2" w14:textId="3AF8660D"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$5,247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E683B3E" w14:textId="6DA78665"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FB5A2A5" w14:textId="5E579C10"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62D8E25" w14:textId="59E5017C"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4CB32B89" w14:textId="04844022"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099F79F" w14:textId="048AEDCD"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$158,</w:t>
            </w:r>
            <w:r w:rsidR="00167A21" w:rsidRPr="00167A21">
              <w:rPr>
                <w:rFonts w:ascii="Arial Narrow" w:hAnsi="Arial Narrow"/>
                <w:b/>
                <w:bCs/>
                <w:sz w:val="15"/>
                <w:szCs w:val="15"/>
              </w:rPr>
              <w:t>976</w:t>
            </w:r>
            <w:r w:rsidRPr="00B77713">
              <w:rPr>
                <w:rFonts w:ascii="Arial Narrow" w:hAnsi="Arial Narrow"/>
                <w:b/>
                <w:bCs/>
                <w:sz w:val="15"/>
                <w:szCs w:val="15"/>
              </w:rPr>
              <w:t xml:space="preserve">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DBD41DC" w14:textId="6367331C"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$276,745 </w:t>
            </w:r>
          </w:p>
        </w:tc>
        <w:tc>
          <w:tcPr>
            <w:tcW w:w="99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094907A" w14:textId="41E58990"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$332,709 </w:t>
            </w:r>
          </w:p>
        </w:tc>
        <w:tc>
          <w:tcPr>
            <w:tcW w:w="1147"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3E778664" w14:textId="7E34C61A"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$1,546,564 </w:t>
            </w:r>
          </w:p>
        </w:tc>
        <w:tc>
          <w:tcPr>
            <w:tcW w:w="1121"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0A6B7DA7" w14:textId="3A4EB431" w:rsidR="00B77713" w:rsidRPr="00B77713" w:rsidRDefault="00167A21" w:rsidP="00B77713">
            <w:pPr>
              <w:jc w:val="right"/>
              <w:rPr>
                <w:rFonts w:ascii="Arial Narrow" w:hAnsi="Arial Narrow" w:cs="Calibri"/>
                <w:b/>
                <w:bCs/>
                <w:color w:val="000000"/>
                <w:sz w:val="15"/>
                <w:szCs w:val="15"/>
              </w:rPr>
            </w:pPr>
            <w:r w:rsidRPr="00167A21">
              <w:rPr>
                <w:rFonts w:ascii="Arial Narrow" w:hAnsi="Arial Narrow"/>
                <w:b/>
                <w:bCs/>
                <w:sz w:val="15"/>
                <w:szCs w:val="15"/>
              </w:rPr>
              <w:t xml:space="preserve">$497,012 </w:t>
            </w:r>
          </w:p>
        </w:tc>
        <w:tc>
          <w:tcPr>
            <w:tcW w:w="972"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8C0228B" w14:textId="1F84A559"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$1,049,</w:t>
            </w:r>
            <w:r w:rsidR="00167A21" w:rsidRPr="00167A21">
              <w:rPr>
                <w:rFonts w:ascii="Arial Narrow" w:hAnsi="Arial Narrow"/>
                <w:b/>
                <w:bCs/>
                <w:sz w:val="15"/>
                <w:szCs w:val="15"/>
              </w:rPr>
              <w:t>552</w:t>
            </w:r>
            <w:r w:rsidRPr="00B77713">
              <w:rPr>
                <w:rFonts w:ascii="Arial Narrow" w:hAnsi="Arial Narrow"/>
                <w:b/>
                <w:bCs/>
                <w:sz w:val="15"/>
                <w:szCs w:val="15"/>
              </w:rPr>
              <w:t xml:space="preserve"> </w:t>
            </w:r>
          </w:p>
        </w:tc>
        <w:tc>
          <w:tcPr>
            <w:tcW w:w="869"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DFA1525" w14:textId="1A4C5919" w:rsidR="00B77713" w:rsidRPr="00B77713" w:rsidRDefault="00167A21" w:rsidP="00B77713">
            <w:pPr>
              <w:jc w:val="right"/>
              <w:rPr>
                <w:rFonts w:ascii="Arial Narrow" w:hAnsi="Arial Narrow" w:cs="Calibri"/>
                <w:b/>
                <w:bCs/>
                <w:color w:val="000000"/>
                <w:sz w:val="15"/>
                <w:szCs w:val="15"/>
              </w:rPr>
            </w:pPr>
            <w:r w:rsidRPr="00167A21">
              <w:rPr>
                <w:rFonts w:ascii="Arial Narrow" w:hAnsi="Arial Narrow"/>
                <w:b/>
                <w:bCs/>
                <w:sz w:val="15"/>
                <w:szCs w:val="15"/>
              </w:rPr>
              <w:t>5.44</w:t>
            </w:r>
          </w:p>
        </w:tc>
        <w:tc>
          <w:tcPr>
            <w:tcW w:w="741"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E0A26CC" w14:textId="4B021261"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3.11</w:t>
            </w:r>
          </w:p>
        </w:tc>
      </w:tr>
      <w:tr w:rsidR="009C20BC" w:rsidRPr="00EA4FBE" w14:paraId="310DB97D" w14:textId="77777777" w:rsidTr="00C045C4">
        <w:trPr>
          <w:trHeight w:val="330"/>
        </w:trPr>
        <w:tc>
          <w:tcPr>
            <w:tcW w:w="2155" w:type="dxa"/>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1D6E27F5" w14:textId="52C342EC" w:rsidR="00B77713" w:rsidRPr="00B77713" w:rsidRDefault="00B77713" w:rsidP="00B77713">
            <w:pPr>
              <w:rPr>
                <w:rFonts w:ascii="Arial Narrow" w:hAnsi="Arial Narrow" w:cs="Calibri"/>
                <w:b/>
                <w:color w:val="000000"/>
                <w:sz w:val="15"/>
                <w:szCs w:val="15"/>
              </w:rPr>
            </w:pPr>
            <w:r w:rsidRPr="00167A21">
              <w:rPr>
                <w:rFonts w:ascii="Arial Narrow" w:hAnsi="Arial Narrow"/>
                <w:b/>
                <w:sz w:val="15"/>
                <w:szCs w:val="15"/>
              </w:rPr>
              <w:t>Portfolio Total without IE</w:t>
            </w:r>
            <w:r w:rsidR="00167A21" w:rsidRPr="00167A21">
              <w:rPr>
                <w:rFonts w:ascii="Arial Narrow" w:hAnsi="Arial Narrow"/>
                <w:b/>
                <w:bCs/>
                <w:sz w:val="15"/>
                <w:szCs w:val="15"/>
              </w:rPr>
              <w:t xml:space="preserve"> &amp;</w:t>
            </w:r>
            <w:r w:rsidRPr="00167A21">
              <w:rPr>
                <w:rFonts w:ascii="Arial Narrow" w:hAnsi="Arial Narrow"/>
                <w:b/>
                <w:sz w:val="15"/>
                <w:szCs w:val="15"/>
              </w:rPr>
              <w:t xml:space="preserve"> VO</w:t>
            </w:r>
          </w:p>
        </w:tc>
        <w:tc>
          <w:tcPr>
            <w:tcW w:w="1175"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25FF9302" w14:textId="114EAA6A"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$566,009 </w:t>
            </w:r>
          </w:p>
        </w:tc>
        <w:tc>
          <w:tcPr>
            <w:tcW w:w="90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8B7859F" w14:textId="335FAB90"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$114,054 </w:t>
            </w:r>
          </w:p>
        </w:tc>
        <w:tc>
          <w:tcPr>
            <w:tcW w:w="769"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38E130F" w14:textId="1FF71AD3"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$27,632 </w:t>
            </w:r>
          </w:p>
        </w:tc>
        <w:tc>
          <w:tcPr>
            <w:tcW w:w="1121"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4C7DE850" w14:textId="7D6FE1EE"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$384,820 </w:t>
            </w:r>
          </w:p>
        </w:tc>
        <w:tc>
          <w:tcPr>
            <w:tcW w:w="90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54611F1" w14:textId="29AE7A63" w:rsidR="00B77713" w:rsidRPr="00B77713" w:rsidRDefault="00167A21" w:rsidP="00B77713">
            <w:pPr>
              <w:jc w:val="right"/>
              <w:rPr>
                <w:rFonts w:ascii="Arial Narrow" w:hAnsi="Arial Narrow" w:cs="Calibri"/>
                <w:b/>
                <w:bCs/>
                <w:color w:val="000000"/>
                <w:sz w:val="15"/>
                <w:szCs w:val="15"/>
              </w:rPr>
            </w:pPr>
            <w:r w:rsidRPr="00167A21">
              <w:rPr>
                <w:rFonts w:ascii="Arial Narrow" w:hAnsi="Arial Narrow"/>
                <w:b/>
                <w:bCs/>
                <w:sz w:val="15"/>
                <w:szCs w:val="15"/>
              </w:rPr>
              <w:t xml:space="preserve">$1,127,862 </w:t>
            </w:r>
          </w:p>
        </w:tc>
        <w:tc>
          <w:tcPr>
            <w:tcW w:w="887"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3C2B0BF7" w14:textId="1CC615BB"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913"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A76CC29" w14:textId="06ACC591"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A831B09" w14:textId="5A0E80AF"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$15 </w:t>
            </w:r>
          </w:p>
        </w:tc>
        <w:tc>
          <w:tcPr>
            <w:tcW w:w="90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32B0EF74" w14:textId="2E62226C"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$4,037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48DEFE0C" w14:textId="00242110"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108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2DC4E216" w14:textId="127B43C9"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72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52223A8" w14:textId="58C70A68"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99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39BED0AE" w14:textId="4DFE4FE5"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858655F" w14:textId="6946EDF0"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$130,</w:t>
            </w:r>
            <w:r w:rsidR="00167A21" w:rsidRPr="00167A21">
              <w:rPr>
                <w:rFonts w:ascii="Arial Narrow" w:hAnsi="Arial Narrow"/>
                <w:b/>
                <w:bCs/>
                <w:sz w:val="15"/>
                <w:szCs w:val="15"/>
              </w:rPr>
              <w:t>589</w:t>
            </w:r>
            <w:r w:rsidRPr="00B77713">
              <w:rPr>
                <w:rFonts w:ascii="Arial Narrow" w:hAnsi="Arial Narrow"/>
                <w:b/>
                <w:bCs/>
                <w:sz w:val="15"/>
                <w:szCs w:val="15"/>
              </w:rPr>
              <w:t xml:space="preserve"> </w:t>
            </w:r>
          </w:p>
        </w:tc>
        <w:tc>
          <w:tcPr>
            <w:tcW w:w="81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2235D643" w14:textId="17F6AC7D"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$197,677 </w:t>
            </w:r>
          </w:p>
        </w:tc>
        <w:tc>
          <w:tcPr>
            <w:tcW w:w="990"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06699FA3" w14:textId="61B396D7"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$238,447 </w:t>
            </w:r>
          </w:p>
        </w:tc>
        <w:tc>
          <w:tcPr>
            <w:tcW w:w="1147"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D1DD4C8" w14:textId="66164C0F"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$1,092,515 </w:t>
            </w:r>
          </w:p>
        </w:tc>
        <w:tc>
          <w:tcPr>
            <w:tcW w:w="1121"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C78C8B6" w14:textId="0303BA3A" w:rsidR="00B77713" w:rsidRPr="00B77713" w:rsidRDefault="00167A21" w:rsidP="00B77713">
            <w:pPr>
              <w:jc w:val="right"/>
              <w:rPr>
                <w:rFonts w:ascii="Arial Narrow" w:hAnsi="Arial Narrow" w:cs="Calibri"/>
                <w:b/>
                <w:bCs/>
                <w:color w:val="000000"/>
                <w:sz w:val="15"/>
                <w:szCs w:val="15"/>
              </w:rPr>
            </w:pPr>
            <w:r w:rsidRPr="00167A21">
              <w:rPr>
                <w:rFonts w:ascii="Arial Narrow" w:hAnsi="Arial Narrow"/>
                <w:b/>
                <w:bCs/>
                <w:sz w:val="15"/>
                <w:szCs w:val="15"/>
              </w:rPr>
              <w:t xml:space="preserve">$373,089 </w:t>
            </w:r>
          </w:p>
        </w:tc>
        <w:tc>
          <w:tcPr>
            <w:tcW w:w="972"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0B8AF9A" w14:textId="011B4BC3"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$719,</w:t>
            </w:r>
            <w:r w:rsidR="00167A21" w:rsidRPr="00167A21">
              <w:rPr>
                <w:rFonts w:ascii="Arial Narrow" w:hAnsi="Arial Narrow"/>
                <w:b/>
                <w:bCs/>
                <w:sz w:val="15"/>
                <w:szCs w:val="15"/>
              </w:rPr>
              <w:t>426</w:t>
            </w:r>
            <w:r w:rsidRPr="00B77713">
              <w:rPr>
                <w:rFonts w:ascii="Arial Narrow" w:hAnsi="Arial Narrow"/>
                <w:b/>
                <w:bCs/>
                <w:sz w:val="15"/>
                <w:szCs w:val="15"/>
              </w:rPr>
              <w:t xml:space="preserve"> </w:t>
            </w:r>
          </w:p>
        </w:tc>
        <w:tc>
          <w:tcPr>
            <w:tcW w:w="869"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28359DB5" w14:textId="2B1D4021" w:rsidR="00B77713" w:rsidRPr="00B77713" w:rsidRDefault="00167A21" w:rsidP="00B77713">
            <w:pPr>
              <w:jc w:val="right"/>
              <w:rPr>
                <w:rFonts w:ascii="Arial Narrow" w:hAnsi="Arial Narrow" w:cs="Calibri"/>
                <w:b/>
                <w:bCs/>
                <w:color w:val="000000"/>
                <w:sz w:val="15"/>
                <w:szCs w:val="15"/>
              </w:rPr>
            </w:pPr>
            <w:r w:rsidRPr="00167A21">
              <w:rPr>
                <w:rFonts w:ascii="Arial Narrow" w:hAnsi="Arial Narrow"/>
                <w:b/>
                <w:bCs/>
                <w:sz w:val="15"/>
                <w:szCs w:val="15"/>
              </w:rPr>
              <w:t>5.95</w:t>
            </w:r>
          </w:p>
        </w:tc>
        <w:tc>
          <w:tcPr>
            <w:tcW w:w="741" w:type="dxa"/>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2BEFFEC6" w14:textId="42D67579"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2.93</w:t>
            </w:r>
          </w:p>
        </w:tc>
      </w:tr>
      <w:tr w:rsidR="009C20BC" w:rsidRPr="00EA4FBE" w14:paraId="0D2E957C" w14:textId="77777777" w:rsidTr="00C045C4">
        <w:trPr>
          <w:trHeight w:val="330"/>
        </w:trPr>
        <w:tc>
          <w:tcPr>
            <w:tcW w:w="2155" w:type="dxa"/>
            <w:tcBorders>
              <w:top w:val="single" w:sz="4" w:space="0" w:color="60B8CC" w:themeColor="accent4"/>
              <w:left w:val="nil"/>
              <w:bottom w:val="single" w:sz="12" w:space="0" w:color="036479" w:themeColor="accent3"/>
              <w:right w:val="nil"/>
            </w:tcBorders>
            <w:shd w:val="clear" w:color="auto" w:fill="D9D9D9" w:themeFill="background1" w:themeFillShade="D9"/>
            <w:noWrap/>
            <w:hideMark/>
          </w:tcPr>
          <w:p w14:paraId="7691B5CA" w14:textId="7D476857" w:rsidR="00B77713" w:rsidRPr="00B77713" w:rsidRDefault="00B77713" w:rsidP="00B77713">
            <w:pPr>
              <w:rPr>
                <w:rFonts w:ascii="Arial Narrow" w:hAnsi="Arial Narrow" w:cs="Calibri"/>
                <w:b/>
                <w:color w:val="000000"/>
                <w:sz w:val="15"/>
                <w:szCs w:val="15"/>
              </w:rPr>
            </w:pPr>
            <w:r w:rsidRPr="00167A21">
              <w:rPr>
                <w:rFonts w:ascii="Arial Narrow" w:hAnsi="Arial Narrow"/>
                <w:b/>
                <w:sz w:val="15"/>
                <w:szCs w:val="15"/>
              </w:rPr>
              <w:t>Portfolio Total with IE &amp; VO</w:t>
            </w:r>
          </w:p>
        </w:tc>
        <w:tc>
          <w:tcPr>
            <w:tcW w:w="1175"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4EF80E3A" w14:textId="5FBBD165"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$819,146 </w:t>
            </w:r>
          </w:p>
        </w:tc>
        <w:tc>
          <w:tcPr>
            <w:tcW w:w="900"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1D46AD0D" w14:textId="5F46CEC4"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$213,513 </w:t>
            </w:r>
          </w:p>
        </w:tc>
        <w:tc>
          <w:tcPr>
            <w:tcW w:w="769"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3B69875E" w14:textId="05FE99DC"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$43,587 </w:t>
            </w:r>
          </w:p>
        </w:tc>
        <w:tc>
          <w:tcPr>
            <w:tcW w:w="1121"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5A7AEB1A" w14:textId="1512D92D"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$562,160 </w:t>
            </w:r>
          </w:p>
        </w:tc>
        <w:tc>
          <w:tcPr>
            <w:tcW w:w="900"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389A2900" w14:textId="3508F007" w:rsidR="00B77713" w:rsidRPr="00B77713" w:rsidRDefault="00167A21" w:rsidP="00B77713">
            <w:pPr>
              <w:jc w:val="right"/>
              <w:rPr>
                <w:rFonts w:ascii="Arial Narrow" w:hAnsi="Arial Narrow" w:cs="Calibri"/>
                <w:b/>
                <w:bCs/>
                <w:color w:val="000000"/>
                <w:sz w:val="15"/>
                <w:szCs w:val="15"/>
              </w:rPr>
            </w:pPr>
            <w:r w:rsidRPr="00167A21">
              <w:rPr>
                <w:rFonts w:ascii="Arial Narrow" w:hAnsi="Arial Narrow"/>
                <w:b/>
                <w:bCs/>
                <w:sz w:val="15"/>
                <w:szCs w:val="15"/>
              </w:rPr>
              <w:t xml:space="preserve">$1,251,990 </w:t>
            </w:r>
          </w:p>
        </w:tc>
        <w:tc>
          <w:tcPr>
            <w:tcW w:w="887"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0D23B5B4" w14:textId="49CE9E50"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913"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2DFE5F8E" w14:textId="01860ADB"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810"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12A4A806" w14:textId="5806EC2F"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$79 </w:t>
            </w:r>
          </w:p>
        </w:tc>
        <w:tc>
          <w:tcPr>
            <w:tcW w:w="900"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51CEB510" w14:textId="37526016"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$5,247 </w:t>
            </w:r>
          </w:p>
        </w:tc>
        <w:tc>
          <w:tcPr>
            <w:tcW w:w="810"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0204FA36" w14:textId="36380C80"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1080"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13FFA377" w14:textId="1C1542F0"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720"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512EC866" w14:textId="334C8A7B"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990"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0ACADC6E" w14:textId="56C703C4"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$0 </w:t>
            </w:r>
          </w:p>
        </w:tc>
        <w:tc>
          <w:tcPr>
            <w:tcW w:w="810"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2377269A" w14:textId="0EB4953C" w:rsidR="00B77713" w:rsidRPr="00B77713" w:rsidRDefault="00167A21" w:rsidP="00B77713">
            <w:pPr>
              <w:jc w:val="right"/>
              <w:rPr>
                <w:rFonts w:ascii="Arial Narrow" w:hAnsi="Arial Narrow" w:cs="Calibri"/>
                <w:b/>
                <w:bCs/>
                <w:color w:val="000000"/>
                <w:sz w:val="15"/>
                <w:szCs w:val="15"/>
              </w:rPr>
            </w:pPr>
            <w:r w:rsidRPr="00167A21">
              <w:rPr>
                <w:rFonts w:ascii="Arial Narrow" w:hAnsi="Arial Narrow"/>
                <w:b/>
                <w:bCs/>
                <w:sz w:val="15"/>
                <w:szCs w:val="15"/>
              </w:rPr>
              <w:t xml:space="preserve">$202,030 </w:t>
            </w:r>
          </w:p>
        </w:tc>
        <w:tc>
          <w:tcPr>
            <w:tcW w:w="810"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2D10B617" w14:textId="339292E5"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$276,745 </w:t>
            </w:r>
          </w:p>
        </w:tc>
        <w:tc>
          <w:tcPr>
            <w:tcW w:w="990"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75266984" w14:textId="1C7A10B4"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$332,709 </w:t>
            </w:r>
          </w:p>
        </w:tc>
        <w:tc>
          <w:tcPr>
            <w:tcW w:w="1147"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5DAAF300" w14:textId="47139352"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 xml:space="preserve">$1,638,405 </w:t>
            </w:r>
          </w:p>
        </w:tc>
        <w:tc>
          <w:tcPr>
            <w:tcW w:w="1121"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02391F32" w14:textId="1AA67376" w:rsidR="00B77713" w:rsidRPr="00B77713" w:rsidRDefault="00167A21" w:rsidP="00B77713">
            <w:pPr>
              <w:jc w:val="right"/>
              <w:rPr>
                <w:rFonts w:ascii="Arial Narrow" w:hAnsi="Arial Narrow" w:cs="Calibri"/>
                <w:b/>
                <w:bCs/>
                <w:color w:val="000000"/>
                <w:sz w:val="15"/>
                <w:szCs w:val="15"/>
              </w:rPr>
            </w:pPr>
            <w:r w:rsidRPr="00167A21">
              <w:rPr>
                <w:rFonts w:ascii="Arial Narrow" w:hAnsi="Arial Narrow"/>
                <w:b/>
                <w:bCs/>
                <w:sz w:val="15"/>
                <w:szCs w:val="15"/>
              </w:rPr>
              <w:t xml:space="preserve">$540,066 </w:t>
            </w:r>
          </w:p>
        </w:tc>
        <w:tc>
          <w:tcPr>
            <w:tcW w:w="972"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646E6C9F" w14:textId="142FE7AE"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$1,098,</w:t>
            </w:r>
            <w:r w:rsidR="00167A21" w:rsidRPr="00167A21">
              <w:rPr>
                <w:rFonts w:ascii="Arial Narrow" w:hAnsi="Arial Narrow"/>
                <w:b/>
                <w:bCs/>
                <w:sz w:val="15"/>
                <w:szCs w:val="15"/>
              </w:rPr>
              <w:t>340</w:t>
            </w:r>
            <w:r w:rsidRPr="00B77713">
              <w:rPr>
                <w:rFonts w:ascii="Arial Narrow" w:hAnsi="Arial Narrow"/>
                <w:b/>
                <w:bCs/>
                <w:sz w:val="15"/>
                <w:szCs w:val="15"/>
              </w:rPr>
              <w:t xml:space="preserve"> </w:t>
            </w:r>
          </w:p>
        </w:tc>
        <w:tc>
          <w:tcPr>
            <w:tcW w:w="869"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7B49F716" w14:textId="48EE0870" w:rsidR="00B77713" w:rsidRPr="00B77713" w:rsidRDefault="00167A21" w:rsidP="00B77713">
            <w:pPr>
              <w:jc w:val="right"/>
              <w:rPr>
                <w:rFonts w:ascii="Arial Narrow" w:hAnsi="Arial Narrow" w:cs="Calibri"/>
                <w:b/>
                <w:bCs/>
                <w:color w:val="000000"/>
                <w:sz w:val="15"/>
                <w:szCs w:val="15"/>
              </w:rPr>
            </w:pPr>
            <w:r w:rsidRPr="00167A21">
              <w:rPr>
                <w:rFonts w:ascii="Arial Narrow" w:hAnsi="Arial Narrow"/>
                <w:b/>
                <w:bCs/>
                <w:sz w:val="15"/>
                <w:szCs w:val="15"/>
              </w:rPr>
              <w:t>5.35</w:t>
            </w:r>
          </w:p>
        </w:tc>
        <w:tc>
          <w:tcPr>
            <w:tcW w:w="741" w:type="dxa"/>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5F990A57" w14:textId="529D64A0" w:rsidR="00B77713" w:rsidRPr="00B77713" w:rsidRDefault="00B77713" w:rsidP="00B77713">
            <w:pPr>
              <w:jc w:val="right"/>
              <w:rPr>
                <w:rFonts w:ascii="Arial Narrow" w:hAnsi="Arial Narrow" w:cs="Calibri"/>
                <w:b/>
                <w:bCs/>
                <w:color w:val="000000"/>
                <w:sz w:val="15"/>
                <w:szCs w:val="15"/>
              </w:rPr>
            </w:pPr>
            <w:r w:rsidRPr="00B77713">
              <w:rPr>
                <w:rFonts w:ascii="Arial Narrow" w:hAnsi="Arial Narrow"/>
                <w:b/>
                <w:bCs/>
                <w:sz w:val="15"/>
                <w:szCs w:val="15"/>
              </w:rPr>
              <w:t>3.</w:t>
            </w:r>
            <w:r w:rsidR="00167A21" w:rsidRPr="00167A21">
              <w:rPr>
                <w:rFonts w:ascii="Arial Narrow" w:hAnsi="Arial Narrow"/>
                <w:b/>
                <w:bCs/>
                <w:sz w:val="15"/>
                <w:szCs w:val="15"/>
              </w:rPr>
              <w:t>03</w:t>
            </w:r>
          </w:p>
        </w:tc>
      </w:tr>
    </w:tbl>
    <w:p w14:paraId="718660DD" w14:textId="77777777" w:rsidR="004550F1" w:rsidRDefault="004550F1" w:rsidP="00A152AF">
      <w:pPr>
        <w:pStyle w:val="TableFigureNote"/>
        <w:rPr>
          <w:iCs/>
        </w:rPr>
      </w:pPr>
      <w:r>
        <w:rPr>
          <w:iCs/>
        </w:rPr>
        <w:t>*The TRC and UCT values are calculated using the sum of all the offerings’ benefits and costs.</w:t>
      </w:r>
    </w:p>
    <w:p w14:paraId="1AE314D4" w14:textId="0B6B6305" w:rsidR="0038122B" w:rsidRPr="00E60344" w:rsidRDefault="00FF319A" w:rsidP="00BF442D">
      <w:pPr>
        <w:pStyle w:val="TableFigureSource"/>
        <w:rPr>
          <w:i w:val="0"/>
          <w:iCs/>
        </w:rPr>
      </w:pPr>
      <w:r w:rsidRPr="00FF319A">
        <w:rPr>
          <w:rFonts w:ascii="Arial Narrow" w:hAnsi="Arial Narrow"/>
          <w:i w:val="0"/>
          <w:iCs/>
        </w:rPr>
        <w:t>‡</w:t>
      </w:r>
      <w:r w:rsidR="00312413" w:rsidRPr="00E60344">
        <w:rPr>
          <w:i w:val="0"/>
          <w:iCs/>
        </w:rPr>
        <w:t>Ga</w:t>
      </w:r>
      <w:r w:rsidR="008B48F5" w:rsidRPr="00E60344">
        <w:rPr>
          <w:i w:val="0"/>
          <w:iCs/>
        </w:rPr>
        <w:t xml:space="preserve">s heating penalties from energy efficiency </w:t>
      </w:r>
      <w:r w:rsidR="00055868" w:rsidRPr="00E60344">
        <w:rPr>
          <w:i w:val="0"/>
          <w:iCs/>
        </w:rPr>
        <w:t>measures</w:t>
      </w:r>
      <w:r w:rsidR="008B48F5" w:rsidRPr="00E60344">
        <w:rPr>
          <w:i w:val="0"/>
          <w:iCs/>
        </w:rPr>
        <w:t xml:space="preserve"> designed to save electri</w:t>
      </w:r>
      <w:r w:rsidR="009267BE" w:rsidRPr="00E60344">
        <w:rPr>
          <w:i w:val="0"/>
          <w:iCs/>
        </w:rPr>
        <w:t xml:space="preserve">city are being </w:t>
      </w:r>
      <w:r w:rsidR="00055868" w:rsidRPr="00E60344">
        <w:rPr>
          <w:i w:val="0"/>
          <w:iCs/>
        </w:rPr>
        <w:t>calculated as p</w:t>
      </w:r>
      <w:r w:rsidR="003E386B" w:rsidRPr="00E60344">
        <w:rPr>
          <w:i w:val="0"/>
          <w:iCs/>
        </w:rPr>
        <w:t>art of the overall fossil fuel cost changes.</w:t>
      </w:r>
    </w:p>
    <w:p w14:paraId="0856CD24" w14:textId="075400EB" w:rsidR="00E97E1A" w:rsidRPr="00E97E1A" w:rsidRDefault="00E97E1A" w:rsidP="00731DF1">
      <w:pPr>
        <w:pStyle w:val="Source"/>
      </w:pPr>
      <w:r>
        <w:t>Source:</w:t>
      </w:r>
      <w:r w:rsidR="002D152F">
        <w:t xml:space="preserve"> </w:t>
      </w:r>
      <w:r w:rsidR="002D291C">
        <w:t>Guidehous</w:t>
      </w:r>
      <w:r w:rsidR="007522A3">
        <w:t xml:space="preserve">e </w:t>
      </w:r>
      <w:r w:rsidR="002D152F">
        <w:t>a</w:t>
      </w:r>
      <w:r w:rsidR="007522A3">
        <w:t>nalysis</w:t>
      </w:r>
    </w:p>
    <w:p w14:paraId="69F90857" w14:textId="77777777" w:rsidR="004838AA" w:rsidRDefault="004838AA" w:rsidP="00BF442D">
      <w:bookmarkStart w:id="113" w:name="_Ref168310612"/>
    </w:p>
    <w:p w14:paraId="70ACBB0F" w14:textId="6423EA2C" w:rsidR="00D14116" w:rsidRDefault="00D14116" w:rsidP="00D14116">
      <w:pPr>
        <w:pStyle w:val="Caption"/>
        <w:widowControl w:val="0"/>
      </w:pPr>
      <w:bookmarkStart w:id="114" w:name="_Toc196925429"/>
      <w:r w:rsidRPr="006857DE">
        <w:lastRenderedPageBreak/>
        <w:t xml:space="preserve">Table </w:t>
      </w:r>
      <w:r w:rsidRPr="006857DE">
        <w:fldChar w:fldCharType="begin"/>
      </w:r>
      <w:r w:rsidRPr="006857DE">
        <w:instrText>STYLEREF 1 \s</w:instrText>
      </w:r>
      <w:r w:rsidRPr="006857DE">
        <w:fldChar w:fldCharType="separate"/>
      </w:r>
      <w:r w:rsidR="00427EE9">
        <w:rPr>
          <w:noProof/>
        </w:rPr>
        <w:t>3</w:t>
      </w:r>
      <w:r w:rsidRPr="006857DE">
        <w:fldChar w:fldCharType="end"/>
      </w:r>
      <w:r w:rsidRPr="006857DE">
        <w:noBreakHyphen/>
      </w:r>
      <w:r w:rsidRPr="006857DE">
        <w:fldChar w:fldCharType="begin"/>
      </w:r>
      <w:r w:rsidRPr="006857DE">
        <w:instrText>SEQ Table \* ARABIC \s 1</w:instrText>
      </w:r>
      <w:r w:rsidRPr="006857DE">
        <w:fldChar w:fldCharType="separate"/>
      </w:r>
      <w:r w:rsidR="00427EE9">
        <w:rPr>
          <w:noProof/>
        </w:rPr>
        <w:t>2</w:t>
      </w:r>
      <w:r w:rsidRPr="006857DE">
        <w:fldChar w:fldCharType="end"/>
      </w:r>
      <w:bookmarkEnd w:id="113"/>
      <w:r w:rsidRPr="006857DE">
        <w:rPr>
          <w:noProof/>
        </w:rPr>
        <w:t>.</w:t>
      </w:r>
      <w:r w:rsidRPr="006857DE">
        <w:t xml:space="preserve"> ComEd Program-Level Benefits, Costs, and UCT without Gas Data from Joint Programs ($ Thousands)</w:t>
      </w:r>
      <w:bookmarkEnd w:id="114"/>
    </w:p>
    <w:tbl>
      <w:tblPr>
        <w:tblW w:w="0" w:type="auto"/>
        <w:tblLook w:val="04A0" w:firstRow="1" w:lastRow="0" w:firstColumn="1" w:lastColumn="0" w:noHBand="0" w:noVBand="1"/>
      </w:tblPr>
      <w:tblGrid>
        <w:gridCol w:w="2287"/>
        <w:gridCol w:w="969"/>
        <w:gridCol w:w="915"/>
        <w:gridCol w:w="871"/>
        <w:gridCol w:w="1253"/>
        <w:gridCol w:w="852"/>
        <w:gridCol w:w="1127"/>
        <w:gridCol w:w="1054"/>
        <w:gridCol w:w="970"/>
        <w:gridCol w:w="939"/>
        <w:gridCol w:w="871"/>
        <w:gridCol w:w="1253"/>
        <w:gridCol w:w="755"/>
        <w:gridCol w:w="1127"/>
        <w:gridCol w:w="881"/>
        <w:gridCol w:w="840"/>
        <w:gridCol w:w="1054"/>
        <w:gridCol w:w="881"/>
        <w:gridCol w:w="1063"/>
        <w:gridCol w:w="881"/>
        <w:gridCol w:w="747"/>
      </w:tblGrid>
      <w:tr w:rsidR="006C4EAC" w:rsidRPr="00B16114" w14:paraId="1EEB8FA7" w14:textId="77777777" w:rsidTr="00B16114">
        <w:trPr>
          <w:trHeight w:val="300"/>
        </w:trPr>
        <w:tc>
          <w:tcPr>
            <w:tcW w:w="0" w:type="auto"/>
            <w:vMerge w:val="restart"/>
            <w:tcBorders>
              <w:top w:val="single" w:sz="4" w:space="0" w:color="F2F2F2" w:themeColor="background1" w:themeShade="F2"/>
              <w:left w:val="single" w:sz="4" w:space="0" w:color="F2F2F2" w:themeColor="background1" w:themeShade="F2"/>
              <w:bottom w:val="single" w:sz="12" w:space="0" w:color="93D500" w:themeColor="accent1"/>
              <w:right w:val="single" w:sz="4" w:space="0" w:color="F2F2F2" w:themeColor="background1" w:themeShade="F2"/>
            </w:tcBorders>
            <w:shd w:val="clear" w:color="auto" w:fill="036479" w:themeFill="accent3"/>
            <w:vAlign w:val="center"/>
            <w:hideMark/>
          </w:tcPr>
          <w:p w14:paraId="73238002" w14:textId="77777777" w:rsidR="00881A26" w:rsidRPr="00B16114" w:rsidRDefault="00881A26" w:rsidP="00790766">
            <w:pPr>
              <w:keepNext/>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Program</w:t>
            </w:r>
          </w:p>
        </w:tc>
        <w:tc>
          <w:tcPr>
            <w:tcW w:w="0" w:type="auto"/>
            <w:gridSpan w:val="7"/>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036479" w:themeFill="accent3"/>
            <w:vAlign w:val="center"/>
            <w:hideMark/>
          </w:tcPr>
          <w:p w14:paraId="33F2CA88"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Benefits</w:t>
            </w:r>
          </w:p>
        </w:tc>
        <w:tc>
          <w:tcPr>
            <w:tcW w:w="0" w:type="auto"/>
            <w:gridSpan w:val="9"/>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036479" w:themeFill="accent3"/>
            <w:vAlign w:val="center"/>
            <w:hideMark/>
          </w:tcPr>
          <w:p w14:paraId="04509C5A"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Costs</w:t>
            </w:r>
          </w:p>
        </w:tc>
        <w:tc>
          <w:tcPr>
            <w:tcW w:w="0" w:type="auto"/>
            <w:gridSpan w:val="4"/>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auto" w:fill="036479" w:themeFill="accent3"/>
            <w:vAlign w:val="center"/>
            <w:hideMark/>
          </w:tcPr>
          <w:p w14:paraId="238ACD1D" w14:textId="7CC2091A"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IL UCT</w:t>
            </w:r>
          </w:p>
        </w:tc>
      </w:tr>
      <w:tr w:rsidR="00BC4B51" w:rsidRPr="00B16114" w14:paraId="36DB968C" w14:textId="77777777" w:rsidTr="00B16114">
        <w:trPr>
          <w:trHeight w:val="765"/>
        </w:trPr>
        <w:tc>
          <w:tcPr>
            <w:tcW w:w="0" w:type="auto"/>
            <w:vMerge/>
            <w:tcBorders>
              <w:top w:val="single" w:sz="4" w:space="0" w:color="F2F2F2" w:themeColor="background1" w:themeShade="F2"/>
              <w:bottom w:val="single" w:sz="12" w:space="0" w:color="93D500" w:themeColor="accent1"/>
            </w:tcBorders>
            <w:shd w:val="clear" w:color="auto" w:fill="036479" w:themeFill="accent3"/>
            <w:vAlign w:val="center"/>
            <w:hideMark/>
          </w:tcPr>
          <w:p w14:paraId="4DF2C366" w14:textId="77777777" w:rsidR="00881A26" w:rsidRPr="00B16114" w:rsidRDefault="00881A26" w:rsidP="00790766">
            <w:pPr>
              <w:keepNext/>
              <w:rPr>
                <w:rFonts w:ascii="Arial Narrow" w:hAnsi="Arial Narrow" w:cs="Calibri"/>
                <w:b/>
                <w:color w:val="FFFFFF" w:themeColor="background1"/>
                <w:sz w:val="16"/>
                <w:szCs w:val="16"/>
              </w:rPr>
            </w:pP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753EEFB3"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Electricity Cost Changes</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0A7EA975"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Fossil Fuel Cost Changes</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383791B2"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Water Cost Changes</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46DD293D"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Environmental Adder (GHGs)</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2D83DF41"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Societal NEI</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37188F24"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NPV Replacement costs</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44381957"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Incremental Costs (Net)</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37310076"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Electricity Cost Changes</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6DEB913F" w14:textId="7D29BB9B" w:rsidR="00881A26" w:rsidRPr="00B16114" w:rsidRDefault="00BA4B09" w:rsidP="00790766">
            <w:pPr>
              <w:keepNext/>
              <w:jc w:val="center"/>
              <w:rPr>
                <w:rFonts w:ascii="Arial Narrow" w:hAnsi="Arial Narrow" w:cs="Calibri"/>
                <w:b/>
                <w:color w:val="FFFFFF" w:themeColor="background1"/>
                <w:sz w:val="16"/>
                <w:szCs w:val="16"/>
              </w:rPr>
            </w:pPr>
            <w:r w:rsidRPr="00531E36">
              <w:rPr>
                <w:rFonts w:ascii="Arial Narrow" w:hAnsi="Arial Narrow" w:cs="Calibri"/>
                <w:b/>
                <w:color w:val="FFFFFF" w:themeColor="background1"/>
                <w:sz w:val="15"/>
                <w:szCs w:val="15"/>
              </w:rPr>
              <w:t>Fossil Fuel Cost Changes</w:t>
            </w:r>
            <w:r>
              <w:rPr>
                <w:rFonts w:ascii="Arial Narrow" w:hAnsi="Arial Narrow" w:cs="Calibri"/>
                <w:b/>
                <w:color w:val="FFFFFF" w:themeColor="background1"/>
                <w:sz w:val="15"/>
                <w:szCs w:val="15"/>
              </w:rPr>
              <w:t>‡</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01300AB0"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Water Cost Changes</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2B16AB86"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Environmental Adder (GHGs)</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1FBF0641"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Societal NEI</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7E5FB108"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NPV Replacement costs</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3817780E"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Non-Incentive Costs</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776581C8"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Incentive Costs</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0C30C78D"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Incremental Costs (Net)</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4664234B"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IL UCT Benefits</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0AAAE17F"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IL UCT Costs</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5899722B"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IL UCT Test Net Benefits</w:t>
            </w:r>
          </w:p>
        </w:tc>
        <w:tc>
          <w:tcPr>
            <w:tcW w:w="0" w:type="auto"/>
            <w:tcBorders>
              <w:top w:val="single" w:sz="4" w:space="0" w:color="F2F2F2" w:themeColor="background1" w:themeShade="F2"/>
              <w:left w:val="nil"/>
              <w:bottom w:val="single" w:sz="12" w:space="0" w:color="93D500" w:themeColor="accent1"/>
              <w:right w:val="single" w:sz="4" w:space="0" w:color="F2F2F2" w:themeColor="background1" w:themeShade="F2"/>
            </w:tcBorders>
            <w:shd w:val="clear" w:color="auto" w:fill="036479" w:themeFill="accent3"/>
            <w:vAlign w:val="center"/>
            <w:hideMark/>
          </w:tcPr>
          <w:p w14:paraId="11BDBBD5" w14:textId="77777777" w:rsidR="00881A26" w:rsidRPr="00B16114" w:rsidRDefault="00881A26" w:rsidP="00790766">
            <w:pPr>
              <w:keepNext/>
              <w:jc w:val="center"/>
              <w:rPr>
                <w:rFonts w:ascii="Arial Narrow" w:hAnsi="Arial Narrow" w:cs="Calibri"/>
                <w:b/>
                <w:color w:val="FFFFFF" w:themeColor="background1"/>
                <w:sz w:val="16"/>
                <w:szCs w:val="16"/>
              </w:rPr>
            </w:pPr>
            <w:r w:rsidRPr="00B16114">
              <w:rPr>
                <w:rFonts w:ascii="Arial Narrow" w:hAnsi="Arial Narrow" w:cs="Calibri"/>
                <w:b/>
                <w:color w:val="FFFFFF" w:themeColor="background1"/>
                <w:sz w:val="16"/>
                <w:szCs w:val="16"/>
              </w:rPr>
              <w:t>IL UCT Test</w:t>
            </w:r>
          </w:p>
        </w:tc>
      </w:tr>
      <w:tr w:rsidR="00D97C30" w:rsidRPr="00881A26" w14:paraId="194A7C58" w14:textId="77777777" w:rsidTr="005C663C">
        <w:trPr>
          <w:trHeight w:val="300"/>
        </w:trPr>
        <w:tc>
          <w:tcPr>
            <w:tcW w:w="0" w:type="auto"/>
            <w:tcBorders>
              <w:top w:val="single" w:sz="12" w:space="0" w:color="93D500" w:themeColor="accent1"/>
              <w:left w:val="single" w:sz="4" w:space="0" w:color="FFFFFF" w:themeColor="background1"/>
              <w:bottom w:val="single" w:sz="4" w:space="0" w:color="60B8CC" w:themeColor="accent4"/>
              <w:right w:val="nil"/>
            </w:tcBorders>
            <w:shd w:val="clear" w:color="auto" w:fill="auto"/>
            <w:vAlign w:val="center"/>
            <w:hideMark/>
          </w:tcPr>
          <w:p w14:paraId="212B4D3B" w14:textId="77777777" w:rsidR="00881A26" w:rsidRPr="00881A26" w:rsidRDefault="00881A26" w:rsidP="00790766">
            <w:pPr>
              <w:keepNext/>
              <w:jc w:val="center"/>
              <w:rPr>
                <w:rFonts w:ascii="Arial Narrow" w:hAnsi="Arial Narrow" w:cs="Calibri"/>
                <w:b/>
                <w:bCs/>
                <w:color w:val="FFFFFF"/>
                <w:sz w:val="16"/>
                <w:szCs w:val="16"/>
              </w:rPr>
            </w:pPr>
            <w:r w:rsidRPr="00881A26">
              <w:rPr>
                <w:rFonts w:ascii="Arial Narrow" w:hAnsi="Arial Narrow" w:cs="Calibri"/>
                <w:b/>
                <w:bCs/>
                <w:color w:val="FFFFFF"/>
                <w:sz w:val="16"/>
                <w:szCs w:val="16"/>
              </w:rPr>
              <w:t> </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153E9825"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a</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1D5F7067"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b</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7167D24B"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c</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36FB6DE6"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d</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66B3E4B2"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e</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1E598032"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f</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6A97B77B"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g</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5966E829"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h</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5BE55E1C" w14:textId="77777777" w:rsidR="00881A26" w:rsidRPr="00881A26" w:rsidRDefault="00881A26" w:rsidP="00790766">
            <w:pPr>
              <w:keepNext/>
              <w:jc w:val="center"/>
              <w:rPr>
                <w:rFonts w:ascii="Arial Narrow" w:hAnsi="Arial Narrow" w:cs="Calibri"/>
                <w:sz w:val="16"/>
                <w:szCs w:val="16"/>
              </w:rPr>
            </w:pPr>
            <w:proofErr w:type="spellStart"/>
            <w:r w:rsidRPr="00881A26">
              <w:rPr>
                <w:rFonts w:ascii="Arial Narrow" w:hAnsi="Arial Narrow" w:cs="Calibri"/>
                <w:sz w:val="16"/>
                <w:szCs w:val="16"/>
              </w:rPr>
              <w:t>i</w:t>
            </w:r>
            <w:proofErr w:type="spellEnd"/>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0958439F"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j</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1A26F05F"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k</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62E03C89"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l</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4F7F2D4F"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m</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5CFA0BDC"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n</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7FA5E0CB"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o</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19ADBED7"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p</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397EF195"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 xml:space="preserve">(v) = </w:t>
            </w:r>
            <w:proofErr w:type="spellStart"/>
            <w:r w:rsidRPr="00881A26">
              <w:rPr>
                <w:rFonts w:ascii="Arial Narrow" w:hAnsi="Arial Narrow" w:cs="Calibri"/>
                <w:sz w:val="16"/>
                <w:szCs w:val="16"/>
              </w:rPr>
              <w:t>a+b</w:t>
            </w:r>
            <w:proofErr w:type="spellEnd"/>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5606B2CD" w14:textId="76076CEC"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(w</w:t>
            </w:r>
            <w:proofErr w:type="gramStart"/>
            <w:r w:rsidRPr="00881A26">
              <w:rPr>
                <w:rFonts w:ascii="Arial Narrow" w:hAnsi="Arial Narrow" w:cs="Calibri"/>
                <w:sz w:val="16"/>
                <w:szCs w:val="16"/>
              </w:rPr>
              <w:t>)  =</w:t>
            </w:r>
            <w:proofErr w:type="gramEnd"/>
            <w:r w:rsidRPr="00881A26">
              <w:rPr>
                <w:rFonts w:ascii="Arial Narrow" w:hAnsi="Arial Narrow" w:cs="Calibri"/>
                <w:sz w:val="16"/>
                <w:szCs w:val="16"/>
              </w:rPr>
              <w:t xml:space="preserve"> </w:t>
            </w:r>
            <w:proofErr w:type="spellStart"/>
            <w:r w:rsidRPr="00881A26">
              <w:rPr>
                <w:rFonts w:ascii="Arial Narrow" w:hAnsi="Arial Narrow" w:cs="Calibri"/>
                <w:sz w:val="16"/>
                <w:szCs w:val="16"/>
              </w:rPr>
              <w:t>h+i+n+</w:t>
            </w:r>
            <w:r w:rsidR="00805487">
              <w:rPr>
                <w:rFonts w:ascii="Arial Narrow" w:hAnsi="Arial Narrow" w:cs="Calibri"/>
                <w:sz w:val="16"/>
                <w:szCs w:val="16"/>
              </w:rPr>
              <w:t>o</w:t>
            </w:r>
            <w:proofErr w:type="spellEnd"/>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5A063BDC"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(x) = v-w</w:t>
            </w:r>
          </w:p>
        </w:tc>
        <w:tc>
          <w:tcPr>
            <w:tcW w:w="0" w:type="auto"/>
            <w:tcBorders>
              <w:top w:val="single" w:sz="12" w:space="0" w:color="93D500" w:themeColor="accent1"/>
              <w:left w:val="nil"/>
              <w:bottom w:val="single" w:sz="4" w:space="0" w:color="60B8CC" w:themeColor="accent4"/>
              <w:right w:val="nil"/>
            </w:tcBorders>
            <w:shd w:val="clear" w:color="auto" w:fill="auto"/>
            <w:noWrap/>
            <w:vAlign w:val="center"/>
            <w:hideMark/>
          </w:tcPr>
          <w:p w14:paraId="3C335B83" w14:textId="77777777" w:rsidR="00881A26" w:rsidRPr="00881A26" w:rsidRDefault="00881A26" w:rsidP="00790766">
            <w:pPr>
              <w:keepNext/>
              <w:jc w:val="center"/>
              <w:rPr>
                <w:rFonts w:ascii="Arial Narrow" w:hAnsi="Arial Narrow" w:cs="Calibri"/>
                <w:sz w:val="16"/>
                <w:szCs w:val="16"/>
              </w:rPr>
            </w:pPr>
            <w:r w:rsidRPr="00881A26">
              <w:rPr>
                <w:rFonts w:ascii="Arial Narrow" w:hAnsi="Arial Narrow" w:cs="Calibri"/>
                <w:sz w:val="16"/>
                <w:szCs w:val="16"/>
              </w:rPr>
              <w:t>(y) = v/w</w:t>
            </w:r>
          </w:p>
        </w:tc>
      </w:tr>
      <w:tr w:rsidR="00D2623D" w:rsidRPr="00881A26" w14:paraId="7D7C3E15"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599107F2" w14:textId="7E1A03FF" w:rsidR="00505B4F" w:rsidRPr="00D2623D" w:rsidRDefault="00505B4F" w:rsidP="00790766">
            <w:pPr>
              <w:keepNext/>
              <w:rPr>
                <w:rFonts w:ascii="Arial Narrow" w:hAnsi="Arial Narrow" w:cs="Calibri"/>
                <w:sz w:val="15"/>
                <w:szCs w:val="15"/>
              </w:rPr>
            </w:pPr>
            <w:r w:rsidRPr="00D2623D">
              <w:rPr>
                <w:rFonts w:ascii="Arial Narrow" w:hAnsi="Arial Narrow"/>
                <w:sz w:val="15"/>
                <w:szCs w:val="15"/>
              </w:rPr>
              <w:t>ASI kWh Purchase</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BEAAFCC" w14:textId="0BB9940F" w:rsidR="00505B4F" w:rsidRPr="00D2623D" w:rsidRDefault="00505B4F" w:rsidP="00790766">
            <w:pPr>
              <w:keepNext/>
              <w:jc w:val="right"/>
              <w:rPr>
                <w:rFonts w:ascii="Arial Narrow" w:hAnsi="Arial Narrow" w:cs="Calibri"/>
                <w:sz w:val="15"/>
                <w:szCs w:val="15"/>
              </w:rPr>
            </w:pPr>
            <w:r w:rsidRPr="00D2623D">
              <w:rPr>
                <w:rFonts w:ascii="Arial Narrow" w:hAnsi="Arial Narrow"/>
                <w:sz w:val="15"/>
                <w:szCs w:val="15"/>
              </w:rPr>
              <w:t xml:space="preserve">$1,062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566F9A0" w14:textId="4A8093E6"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A836B22" w14:textId="1A59A607"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EB1C26E" w14:textId="37A81782"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$469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47CCFF3" w14:textId="382A84CC"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w:t>
            </w:r>
            <w:r w:rsidR="00C3512C" w:rsidRPr="00C3512C">
              <w:rPr>
                <w:rFonts w:ascii="Arial Narrow" w:hAnsi="Arial Narrow"/>
                <w:sz w:val="15"/>
                <w:szCs w:val="15"/>
              </w:rPr>
              <w:t>850</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3427CE3" w14:textId="61A0E220"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8BDE19D" w14:textId="1C61BC32"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7851303" w14:textId="28BF266B" w:rsidR="00505B4F" w:rsidRPr="00D2623D" w:rsidRDefault="00505B4F" w:rsidP="00790766">
            <w:pPr>
              <w:keepNext/>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7371ECE" w14:textId="34CB0DFF"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8A5679A" w14:textId="20E6D56D"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C846393" w14:textId="6FA9A9FC"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DECD611" w14:textId="099B6A1B"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1DD37F2" w14:textId="4AAFC09D"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EB81CCD" w14:textId="035D17CD"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w:t>
            </w:r>
            <w:r w:rsidR="00C3512C" w:rsidRPr="00C3512C">
              <w:rPr>
                <w:rFonts w:ascii="Arial Narrow" w:hAnsi="Arial Narrow"/>
                <w:sz w:val="15"/>
                <w:szCs w:val="15"/>
              </w:rPr>
              <w:t>250</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835AECD" w14:textId="70DD219D"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E7FCF81" w14:textId="5F58A163"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$240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8486A52" w14:textId="7F3C77BD"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$1,062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D239931" w14:textId="6F9CDE6D"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w:t>
            </w:r>
            <w:r w:rsidR="00C3512C" w:rsidRPr="00C3512C">
              <w:rPr>
                <w:rFonts w:ascii="Arial Narrow" w:hAnsi="Arial Narrow"/>
                <w:sz w:val="15"/>
                <w:szCs w:val="15"/>
              </w:rPr>
              <w:t>250</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9B8B8A1" w14:textId="5FD5C36F"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w:t>
            </w:r>
            <w:r w:rsidR="00C3512C" w:rsidRPr="00C3512C">
              <w:rPr>
                <w:rFonts w:ascii="Arial Narrow" w:hAnsi="Arial Narrow"/>
                <w:sz w:val="15"/>
                <w:szCs w:val="15"/>
              </w:rPr>
              <w:t>812</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E8FCB6F" w14:textId="62AABC2B" w:rsidR="00505B4F" w:rsidRPr="00D2623D" w:rsidRDefault="00C3512C" w:rsidP="00790766">
            <w:pPr>
              <w:keepNext/>
              <w:jc w:val="center"/>
              <w:rPr>
                <w:rFonts w:ascii="Arial Narrow" w:hAnsi="Arial Narrow" w:cs="Calibri"/>
                <w:color w:val="000000"/>
                <w:sz w:val="15"/>
                <w:szCs w:val="15"/>
              </w:rPr>
            </w:pPr>
            <w:r w:rsidRPr="00C3512C">
              <w:rPr>
                <w:rFonts w:ascii="Arial Narrow" w:hAnsi="Arial Narrow"/>
                <w:sz w:val="15"/>
                <w:szCs w:val="15"/>
              </w:rPr>
              <w:t>4.25</w:t>
            </w:r>
          </w:p>
        </w:tc>
      </w:tr>
      <w:tr w:rsidR="00D2623D" w:rsidRPr="00881A26" w14:paraId="3E9BD150"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2266A6E3" w14:textId="1A3B7797" w:rsidR="00505B4F" w:rsidRPr="00D2623D" w:rsidRDefault="00505B4F" w:rsidP="00790766">
            <w:pPr>
              <w:keepNext/>
              <w:rPr>
                <w:rFonts w:ascii="Arial Narrow" w:hAnsi="Arial Narrow" w:cs="Calibri"/>
                <w:sz w:val="15"/>
                <w:szCs w:val="15"/>
              </w:rPr>
            </w:pPr>
            <w:r w:rsidRPr="00D2623D">
              <w:rPr>
                <w:rFonts w:ascii="Arial Narrow" w:hAnsi="Arial Narrow"/>
                <w:sz w:val="15"/>
                <w:szCs w:val="15"/>
              </w:rPr>
              <w:t>Behavior - Res/IE</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71D24A9" w14:textId="7EAA7945" w:rsidR="00505B4F" w:rsidRPr="00D2623D" w:rsidRDefault="00505B4F" w:rsidP="00790766">
            <w:pPr>
              <w:keepNext/>
              <w:jc w:val="right"/>
              <w:rPr>
                <w:rFonts w:ascii="Arial Narrow" w:hAnsi="Arial Narrow" w:cs="Calibri"/>
                <w:sz w:val="15"/>
                <w:szCs w:val="15"/>
              </w:rPr>
            </w:pPr>
            <w:r w:rsidRPr="00D2623D">
              <w:rPr>
                <w:rFonts w:ascii="Arial Narrow" w:hAnsi="Arial Narrow"/>
                <w:sz w:val="15"/>
                <w:szCs w:val="15"/>
              </w:rPr>
              <w:t xml:space="preserve">$42,563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4144B34" w14:textId="00563D0F"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995BB44" w14:textId="17B6B6E1"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03E1471" w14:textId="2DF69E0A"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$25,774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8A30CBD" w14:textId="185B1E98" w:rsidR="00505B4F" w:rsidRPr="00D2623D" w:rsidRDefault="00C3512C" w:rsidP="00790766">
            <w:pPr>
              <w:keepNext/>
              <w:jc w:val="right"/>
              <w:rPr>
                <w:rFonts w:ascii="Arial Narrow" w:hAnsi="Arial Narrow" w:cs="Calibri"/>
                <w:color w:val="000000"/>
                <w:sz w:val="15"/>
                <w:szCs w:val="15"/>
              </w:rPr>
            </w:pPr>
            <w:r w:rsidRPr="00C3512C">
              <w:rPr>
                <w:rFonts w:ascii="Arial Narrow" w:hAnsi="Arial Narrow"/>
                <w:sz w:val="15"/>
                <w:szCs w:val="15"/>
              </w:rPr>
              <w:t xml:space="preserve">$26,219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22C98C3" w14:textId="02E2B250"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3ED2C1D" w14:textId="0CA131CF"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CC1FBA7" w14:textId="75764897" w:rsidR="00505B4F" w:rsidRPr="00D2623D" w:rsidRDefault="00505B4F" w:rsidP="00790766">
            <w:pPr>
              <w:keepNext/>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8DFF917" w14:textId="03F04D2A"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363EA8E" w14:textId="386240C9"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B2A2585" w14:textId="686B8830"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AEE5AA6" w14:textId="45863D8E"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5186B8C" w14:textId="3DA6E2D6"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4E29A27" w14:textId="5DBCB361"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$6,457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44077CE" w14:textId="7F3482B2"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840BEB4" w14:textId="7DDDC9C5"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6E0C0F4" w14:textId="4F7B298E"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$42,563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7572803" w14:textId="721C83E1"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$6,457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5A6A6A1" w14:textId="4D281CD1"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$36,106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553100E" w14:textId="1DCA6B7D" w:rsidR="00505B4F" w:rsidRPr="00D2623D" w:rsidRDefault="00505B4F" w:rsidP="00790766">
            <w:pPr>
              <w:keepNext/>
              <w:jc w:val="center"/>
              <w:rPr>
                <w:rFonts w:ascii="Arial Narrow" w:hAnsi="Arial Narrow" w:cs="Calibri"/>
                <w:color w:val="000000"/>
                <w:sz w:val="15"/>
                <w:szCs w:val="15"/>
              </w:rPr>
            </w:pPr>
            <w:r w:rsidRPr="00D2623D">
              <w:rPr>
                <w:rFonts w:ascii="Arial Narrow" w:hAnsi="Arial Narrow"/>
                <w:sz w:val="15"/>
                <w:szCs w:val="15"/>
              </w:rPr>
              <w:t>6.59</w:t>
            </w:r>
          </w:p>
        </w:tc>
      </w:tr>
      <w:tr w:rsidR="00D2623D" w:rsidRPr="00881A26" w14:paraId="1212ACF8"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7AB9B6F0" w14:textId="4DAF0309" w:rsidR="00505B4F" w:rsidRPr="00D2623D" w:rsidRDefault="00505B4F" w:rsidP="00790766">
            <w:pPr>
              <w:keepNext/>
              <w:rPr>
                <w:rFonts w:ascii="Arial Narrow" w:hAnsi="Arial Narrow" w:cs="Calibri"/>
                <w:sz w:val="15"/>
                <w:szCs w:val="15"/>
              </w:rPr>
            </w:pPr>
            <w:r w:rsidRPr="00D2623D">
              <w:rPr>
                <w:rFonts w:ascii="Arial Narrow" w:hAnsi="Arial Narrow"/>
                <w:sz w:val="15"/>
                <w:szCs w:val="15"/>
              </w:rPr>
              <w:t>Contractor/Midstream Rebates</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1ABFCF7" w14:textId="7D7CCE0B" w:rsidR="00505B4F" w:rsidRPr="00D2623D" w:rsidRDefault="00505B4F" w:rsidP="00790766">
            <w:pPr>
              <w:keepNext/>
              <w:jc w:val="right"/>
              <w:rPr>
                <w:rFonts w:ascii="Arial Narrow" w:hAnsi="Arial Narrow" w:cs="Calibri"/>
                <w:sz w:val="15"/>
                <w:szCs w:val="15"/>
              </w:rPr>
            </w:pPr>
            <w:r w:rsidRPr="00D2623D">
              <w:rPr>
                <w:rFonts w:ascii="Arial Narrow" w:hAnsi="Arial Narrow"/>
                <w:sz w:val="15"/>
                <w:szCs w:val="15"/>
              </w:rPr>
              <w:t xml:space="preserve">$32,643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E14593B" w14:textId="7A663387"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$1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DB033E7" w14:textId="7F5FA199"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BC40E58" w14:textId="085E0714"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$29,402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B670F53" w14:textId="77D7AFC2" w:rsidR="00505B4F" w:rsidRPr="00D2623D" w:rsidRDefault="00C3512C" w:rsidP="00790766">
            <w:pPr>
              <w:keepNext/>
              <w:jc w:val="right"/>
              <w:rPr>
                <w:rFonts w:ascii="Arial Narrow" w:hAnsi="Arial Narrow" w:cs="Calibri"/>
                <w:color w:val="000000"/>
                <w:sz w:val="15"/>
                <w:szCs w:val="15"/>
              </w:rPr>
            </w:pPr>
            <w:r w:rsidRPr="00C3512C">
              <w:rPr>
                <w:rFonts w:ascii="Arial Narrow" w:hAnsi="Arial Narrow"/>
                <w:sz w:val="15"/>
                <w:szCs w:val="15"/>
              </w:rPr>
              <w:t xml:space="preserve">$16,687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BC3B653" w14:textId="199EE450"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E365975" w14:textId="287BEF35"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612A608" w14:textId="1F262B8D" w:rsidR="00505B4F" w:rsidRPr="00D2623D" w:rsidRDefault="00505B4F" w:rsidP="00790766">
            <w:pPr>
              <w:keepNext/>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4787A84" w14:textId="36C5477D"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D00EC4C" w14:textId="44790EDF"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776115B" w14:textId="6D0EB385"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7847931" w14:textId="604DCA5F"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02A424B" w14:textId="3F9DCA7D"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03DE387" w14:textId="4E25F33D"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$2,520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14E994C" w14:textId="63B17A01"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$9,747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F5BB79F" w14:textId="34C49230"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$11,332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CA045BF" w14:textId="642858BC"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$32,643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BA09B50" w14:textId="2722F820"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$12,267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B730742" w14:textId="21B7D9BC"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$20,376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6EA357B" w14:textId="268C1784" w:rsidR="00505B4F" w:rsidRPr="00D2623D" w:rsidRDefault="00505B4F" w:rsidP="00790766">
            <w:pPr>
              <w:keepNext/>
              <w:jc w:val="center"/>
              <w:rPr>
                <w:rFonts w:ascii="Arial Narrow" w:hAnsi="Arial Narrow" w:cs="Calibri"/>
                <w:color w:val="000000"/>
                <w:sz w:val="15"/>
                <w:szCs w:val="15"/>
              </w:rPr>
            </w:pPr>
            <w:r w:rsidRPr="00D2623D">
              <w:rPr>
                <w:rFonts w:ascii="Arial Narrow" w:hAnsi="Arial Narrow"/>
                <w:sz w:val="15"/>
                <w:szCs w:val="15"/>
              </w:rPr>
              <w:t>2.66</w:t>
            </w:r>
          </w:p>
        </w:tc>
      </w:tr>
      <w:tr w:rsidR="00D2623D" w:rsidRPr="00881A26" w14:paraId="6F49B8E8"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71824E2D" w14:textId="25A5E349" w:rsidR="00505B4F" w:rsidRPr="00D2623D" w:rsidRDefault="00505B4F" w:rsidP="00790766">
            <w:pPr>
              <w:keepNext/>
              <w:rPr>
                <w:rFonts w:ascii="Arial Narrow" w:hAnsi="Arial Narrow" w:cs="Calibri"/>
                <w:sz w:val="15"/>
                <w:szCs w:val="15"/>
              </w:rPr>
            </w:pPr>
            <w:r w:rsidRPr="00D2623D">
              <w:rPr>
                <w:rFonts w:ascii="Arial Narrow" w:hAnsi="Arial Narrow"/>
                <w:sz w:val="15"/>
                <w:szCs w:val="15"/>
              </w:rPr>
              <w:t>Electric Home New Construction</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EFE1B5F" w14:textId="5C891B03" w:rsidR="00505B4F" w:rsidRPr="00D2623D" w:rsidRDefault="00505B4F" w:rsidP="00790766">
            <w:pPr>
              <w:keepNext/>
              <w:jc w:val="right"/>
              <w:rPr>
                <w:rFonts w:ascii="Arial Narrow" w:hAnsi="Arial Narrow" w:cs="Calibri"/>
                <w:sz w:val="15"/>
                <w:szCs w:val="15"/>
              </w:rPr>
            </w:pPr>
            <w:r w:rsidRPr="00D2623D">
              <w:rPr>
                <w:rFonts w:ascii="Arial Narrow" w:hAnsi="Arial Narrow"/>
                <w:sz w:val="15"/>
                <w:szCs w:val="15"/>
              </w:rPr>
              <w:t xml:space="preserve">$639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56CCB46" w14:textId="6DD6CBA6"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9BF2C60" w14:textId="5A4E7683"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$52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6162096" w14:textId="27EFF69B"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$607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9ECFFCC" w14:textId="60290D9B"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w:t>
            </w:r>
            <w:r w:rsidR="00C3512C" w:rsidRPr="00C3512C">
              <w:rPr>
                <w:rFonts w:ascii="Arial Narrow" w:hAnsi="Arial Narrow"/>
                <w:sz w:val="15"/>
                <w:szCs w:val="15"/>
              </w:rPr>
              <w:t>943</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41DFEC5" w14:textId="5486D623"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DC36DE3" w14:textId="384B4747"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D5B5849" w14:textId="2F87979A" w:rsidR="00505B4F" w:rsidRPr="00D2623D" w:rsidRDefault="00505B4F" w:rsidP="00790766">
            <w:pPr>
              <w:keepNext/>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456B28C" w14:textId="5EE6D4C1"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D0C9062" w14:textId="48171365"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60BCC2F" w14:textId="6E680C97"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DA4CC9E" w14:textId="328E5B90"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64A7CF4" w14:textId="42337A78"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2A84EEA" w14:textId="0C4BA967"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$829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DE862A4" w14:textId="3BE80AA1"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$80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71CFC55" w14:textId="44F3A024"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$498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E08F8AF" w14:textId="085E78AC"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w:t>
            </w:r>
            <w:r w:rsidR="00C3512C" w:rsidRPr="00C3512C">
              <w:rPr>
                <w:rFonts w:ascii="Arial Narrow" w:hAnsi="Arial Narrow"/>
                <w:sz w:val="15"/>
                <w:szCs w:val="15"/>
              </w:rPr>
              <w:t>691</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9392711" w14:textId="0938E146"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$908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09C9AAF" w14:textId="7D149F60"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w:t>
            </w:r>
            <w:r w:rsidR="00C3512C" w:rsidRPr="00C3512C">
              <w:rPr>
                <w:rFonts w:ascii="Arial Narrow" w:hAnsi="Arial Narrow"/>
                <w:sz w:val="15"/>
                <w:szCs w:val="15"/>
              </w:rPr>
              <w:t>217</w:t>
            </w:r>
            <w:r w:rsidRPr="00D2623D">
              <w:rPr>
                <w:rFonts w:ascii="Arial Narrow" w:hAnsi="Arial Narrow"/>
                <w:sz w:val="15"/>
                <w:szCs w:val="15"/>
              </w:rPr>
              <w:t>)</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2E6E772" w14:textId="12295788" w:rsidR="00505B4F" w:rsidRPr="00D2623D" w:rsidRDefault="00505B4F" w:rsidP="00790766">
            <w:pPr>
              <w:keepNext/>
              <w:jc w:val="center"/>
              <w:rPr>
                <w:rFonts w:ascii="Arial Narrow" w:hAnsi="Arial Narrow" w:cs="Calibri"/>
                <w:color w:val="000000"/>
                <w:sz w:val="15"/>
                <w:szCs w:val="15"/>
              </w:rPr>
            </w:pPr>
            <w:r w:rsidRPr="00D2623D">
              <w:rPr>
                <w:rFonts w:ascii="Arial Narrow" w:hAnsi="Arial Narrow"/>
                <w:sz w:val="15"/>
                <w:szCs w:val="15"/>
              </w:rPr>
              <w:t>0.</w:t>
            </w:r>
            <w:r w:rsidR="00C3512C" w:rsidRPr="00C3512C">
              <w:rPr>
                <w:rFonts w:ascii="Arial Narrow" w:hAnsi="Arial Narrow"/>
                <w:sz w:val="15"/>
                <w:szCs w:val="15"/>
              </w:rPr>
              <w:t>76</w:t>
            </w:r>
          </w:p>
        </w:tc>
      </w:tr>
      <w:tr w:rsidR="00D2623D" w:rsidRPr="00881A26" w14:paraId="4CAD16AD"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7A479AD6" w14:textId="139E3774" w:rsidR="00505B4F" w:rsidRPr="00D2623D" w:rsidRDefault="00505B4F" w:rsidP="00790766">
            <w:pPr>
              <w:keepNext/>
              <w:rPr>
                <w:rFonts w:ascii="Arial Narrow" w:hAnsi="Arial Narrow" w:cs="Calibri"/>
                <w:sz w:val="15"/>
                <w:szCs w:val="15"/>
              </w:rPr>
            </w:pPr>
            <w:r w:rsidRPr="00D2623D">
              <w:rPr>
                <w:rFonts w:ascii="Arial Narrow" w:hAnsi="Arial Narrow"/>
                <w:sz w:val="15"/>
                <w:szCs w:val="15"/>
              </w:rPr>
              <w:t>Multifamily Upgrades</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80BEC92" w14:textId="2B072EF1" w:rsidR="00505B4F" w:rsidRPr="00D2623D" w:rsidRDefault="00505B4F" w:rsidP="00790766">
            <w:pPr>
              <w:keepNext/>
              <w:jc w:val="right"/>
              <w:rPr>
                <w:rFonts w:ascii="Arial Narrow" w:hAnsi="Arial Narrow" w:cs="Calibri"/>
                <w:sz w:val="15"/>
                <w:szCs w:val="15"/>
              </w:rPr>
            </w:pPr>
            <w:r w:rsidRPr="00D2623D">
              <w:rPr>
                <w:rFonts w:ascii="Arial Narrow" w:hAnsi="Arial Narrow"/>
                <w:sz w:val="15"/>
                <w:szCs w:val="15"/>
              </w:rPr>
              <w:t xml:space="preserve">$17,828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C7F5502" w14:textId="27794EE4"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$2,253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BED21DD" w14:textId="3203A230"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$2,312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3390A1C" w14:textId="380ED929"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$12,005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E457A29" w14:textId="24305E81" w:rsidR="00505B4F" w:rsidRPr="00D2623D" w:rsidRDefault="00C3512C" w:rsidP="00790766">
            <w:pPr>
              <w:keepNext/>
              <w:jc w:val="right"/>
              <w:rPr>
                <w:rFonts w:ascii="Arial Narrow" w:hAnsi="Arial Narrow" w:cs="Calibri"/>
                <w:color w:val="000000"/>
                <w:sz w:val="15"/>
                <w:szCs w:val="15"/>
              </w:rPr>
            </w:pPr>
            <w:r w:rsidRPr="00C3512C">
              <w:rPr>
                <w:rFonts w:ascii="Arial Narrow" w:hAnsi="Arial Narrow"/>
                <w:sz w:val="15"/>
                <w:szCs w:val="15"/>
              </w:rPr>
              <w:t xml:space="preserve">$24,263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A6C5443" w14:textId="7BD8E868"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8E93EE4" w14:textId="2B8DDB31"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71EA5A5" w14:textId="40786048" w:rsidR="00505B4F" w:rsidRPr="00D2623D" w:rsidRDefault="00505B4F" w:rsidP="00790766">
            <w:pPr>
              <w:keepNext/>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DC5654F" w14:textId="0F28844D"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8CC74A4" w14:textId="56946D97"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6A3BBD3" w14:textId="1C82ACD7"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2697E6B" w14:textId="562D8251"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423B6E0" w14:textId="692EC038"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92B6758" w14:textId="74798B77"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$11,875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1288F1C" w14:textId="6AFC4F17"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$23,847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C06ED7A" w14:textId="14641F84"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$28,209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0D14606" w14:textId="57018FC0" w:rsidR="00505B4F" w:rsidRPr="00D2623D" w:rsidRDefault="00C3512C" w:rsidP="00790766">
            <w:pPr>
              <w:keepNext/>
              <w:jc w:val="right"/>
              <w:rPr>
                <w:rFonts w:ascii="Arial Narrow" w:hAnsi="Arial Narrow" w:cs="Calibri"/>
                <w:color w:val="000000"/>
                <w:sz w:val="15"/>
                <w:szCs w:val="15"/>
              </w:rPr>
            </w:pPr>
            <w:r w:rsidRPr="00C3512C">
              <w:rPr>
                <w:rFonts w:ascii="Arial Narrow" w:hAnsi="Arial Narrow"/>
                <w:sz w:val="15"/>
                <w:szCs w:val="15"/>
              </w:rPr>
              <w:t xml:space="preserve">$22,392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77832D1" w14:textId="530F49D5"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$35,722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9423F37" w14:textId="15CF9FC7"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w:t>
            </w:r>
            <w:r w:rsidR="00C3512C" w:rsidRPr="00C3512C">
              <w:rPr>
                <w:rFonts w:ascii="Arial Narrow" w:hAnsi="Arial Narrow"/>
                <w:sz w:val="15"/>
                <w:szCs w:val="15"/>
              </w:rPr>
              <w:t>13,330</w:t>
            </w:r>
            <w:r w:rsidRPr="00D2623D">
              <w:rPr>
                <w:rFonts w:ascii="Arial Narrow" w:hAnsi="Arial Narrow"/>
                <w:sz w:val="15"/>
                <w:szCs w:val="15"/>
              </w:rPr>
              <w:t>)</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D7FD8CE" w14:textId="553FA287" w:rsidR="00505B4F" w:rsidRPr="00D2623D" w:rsidRDefault="00505B4F" w:rsidP="00790766">
            <w:pPr>
              <w:keepNext/>
              <w:jc w:val="center"/>
              <w:rPr>
                <w:rFonts w:ascii="Arial Narrow" w:hAnsi="Arial Narrow" w:cs="Calibri"/>
                <w:color w:val="000000"/>
                <w:sz w:val="15"/>
                <w:szCs w:val="15"/>
              </w:rPr>
            </w:pPr>
            <w:r w:rsidRPr="00D2623D">
              <w:rPr>
                <w:rFonts w:ascii="Arial Narrow" w:hAnsi="Arial Narrow"/>
                <w:sz w:val="15"/>
                <w:szCs w:val="15"/>
              </w:rPr>
              <w:t>0.</w:t>
            </w:r>
            <w:r w:rsidR="00C3512C" w:rsidRPr="00C3512C">
              <w:rPr>
                <w:rFonts w:ascii="Arial Narrow" w:hAnsi="Arial Narrow"/>
                <w:sz w:val="15"/>
                <w:szCs w:val="15"/>
              </w:rPr>
              <w:t>63</w:t>
            </w:r>
          </w:p>
        </w:tc>
      </w:tr>
      <w:tr w:rsidR="00D2623D" w:rsidRPr="00881A26" w14:paraId="47ED3A88"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274BBB66" w14:textId="278A1C77" w:rsidR="00505B4F" w:rsidRPr="00D2623D" w:rsidRDefault="00505B4F" w:rsidP="00790766">
            <w:pPr>
              <w:keepNext/>
              <w:rPr>
                <w:rFonts w:ascii="Arial Narrow" w:hAnsi="Arial Narrow" w:cs="Calibri"/>
                <w:sz w:val="15"/>
                <w:szCs w:val="15"/>
              </w:rPr>
            </w:pPr>
            <w:r w:rsidRPr="00D2623D">
              <w:rPr>
                <w:rFonts w:ascii="Arial Narrow" w:hAnsi="Arial Narrow"/>
                <w:sz w:val="15"/>
                <w:szCs w:val="15"/>
              </w:rPr>
              <w:t>New Construction - IE</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F60F5A6" w14:textId="6501049D" w:rsidR="00505B4F" w:rsidRPr="00D2623D" w:rsidRDefault="00505B4F" w:rsidP="00790766">
            <w:pPr>
              <w:keepNext/>
              <w:jc w:val="right"/>
              <w:rPr>
                <w:rFonts w:ascii="Arial Narrow" w:hAnsi="Arial Narrow" w:cs="Calibri"/>
                <w:sz w:val="15"/>
                <w:szCs w:val="15"/>
              </w:rPr>
            </w:pPr>
            <w:r w:rsidRPr="00D2623D">
              <w:rPr>
                <w:rFonts w:ascii="Arial Narrow" w:hAnsi="Arial Narrow"/>
                <w:sz w:val="15"/>
                <w:szCs w:val="15"/>
              </w:rPr>
              <w:t xml:space="preserve">$3,626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5BCA09E" w14:textId="6787E57E"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$729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06AB9E6" w14:textId="283BE627"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$751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96A60A1" w14:textId="1D2B4BAA"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$3,038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109E38B" w14:textId="785D64AB" w:rsidR="00505B4F" w:rsidRPr="00D2623D" w:rsidRDefault="00C3512C" w:rsidP="00790766">
            <w:pPr>
              <w:keepNext/>
              <w:jc w:val="right"/>
              <w:rPr>
                <w:rFonts w:ascii="Arial Narrow" w:hAnsi="Arial Narrow" w:cs="Calibri"/>
                <w:color w:val="000000"/>
                <w:sz w:val="15"/>
                <w:szCs w:val="15"/>
              </w:rPr>
            </w:pPr>
            <w:r w:rsidRPr="00C3512C">
              <w:rPr>
                <w:rFonts w:ascii="Arial Narrow" w:hAnsi="Arial Narrow"/>
                <w:sz w:val="15"/>
                <w:szCs w:val="15"/>
              </w:rPr>
              <w:t xml:space="preserve">$2,799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36B2A47" w14:textId="42AA35AD"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141DD61" w14:textId="46FB0A60"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6D6A82E" w14:textId="05890EA2" w:rsidR="00505B4F" w:rsidRPr="00D2623D" w:rsidRDefault="00505B4F" w:rsidP="00790766">
            <w:pPr>
              <w:keepNext/>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3FED3AA" w14:textId="6CCD2CBF"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20AEA6B" w14:textId="61D73CF2"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7CFAD2F" w14:textId="4556EEBD"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533EB9E" w14:textId="488523CC"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3E313CB" w14:textId="468B9B2E"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97B3548" w14:textId="78209C51"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$3,046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6B7B92A" w14:textId="7522BD8C"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$4,284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14747F6" w14:textId="1ED295AB"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$4,741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6A0A20D" w14:textId="003DF1CD"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w:t>
            </w:r>
            <w:r w:rsidR="00C3512C" w:rsidRPr="00C3512C">
              <w:rPr>
                <w:rFonts w:ascii="Arial Narrow" w:hAnsi="Arial Narrow"/>
                <w:sz w:val="15"/>
                <w:szCs w:val="15"/>
              </w:rPr>
              <w:t>5,107</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B75A5F6" w14:textId="237455F7"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 xml:space="preserve">$7,330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B6CB506" w14:textId="04EF7231" w:rsidR="00505B4F" w:rsidRPr="00D2623D" w:rsidRDefault="00505B4F" w:rsidP="00790766">
            <w:pPr>
              <w:keepNext/>
              <w:jc w:val="right"/>
              <w:rPr>
                <w:rFonts w:ascii="Arial Narrow" w:hAnsi="Arial Narrow" w:cs="Calibri"/>
                <w:color w:val="000000"/>
                <w:sz w:val="15"/>
                <w:szCs w:val="15"/>
              </w:rPr>
            </w:pPr>
            <w:r w:rsidRPr="00D2623D">
              <w:rPr>
                <w:rFonts w:ascii="Arial Narrow" w:hAnsi="Arial Narrow"/>
                <w:sz w:val="15"/>
                <w:szCs w:val="15"/>
              </w:rPr>
              <w:t>($2,</w:t>
            </w:r>
            <w:r w:rsidR="00C3512C" w:rsidRPr="00C3512C">
              <w:rPr>
                <w:rFonts w:ascii="Arial Narrow" w:hAnsi="Arial Narrow"/>
                <w:sz w:val="15"/>
                <w:szCs w:val="15"/>
              </w:rPr>
              <w:t>223</w:t>
            </w:r>
            <w:r w:rsidRPr="00D2623D">
              <w:rPr>
                <w:rFonts w:ascii="Arial Narrow" w:hAnsi="Arial Narrow"/>
                <w:sz w:val="15"/>
                <w:szCs w:val="15"/>
              </w:rPr>
              <w:t>)</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46954F6" w14:textId="21094C82" w:rsidR="00505B4F" w:rsidRPr="00D2623D" w:rsidRDefault="00505B4F" w:rsidP="00790766">
            <w:pPr>
              <w:keepNext/>
              <w:jc w:val="center"/>
              <w:rPr>
                <w:rFonts w:ascii="Arial Narrow" w:hAnsi="Arial Narrow" w:cs="Calibri"/>
                <w:color w:val="000000"/>
                <w:sz w:val="15"/>
                <w:szCs w:val="15"/>
              </w:rPr>
            </w:pPr>
            <w:r w:rsidRPr="00D2623D">
              <w:rPr>
                <w:rFonts w:ascii="Arial Narrow" w:hAnsi="Arial Narrow"/>
                <w:sz w:val="15"/>
                <w:szCs w:val="15"/>
              </w:rPr>
              <w:t>0.</w:t>
            </w:r>
            <w:r w:rsidR="00C3512C" w:rsidRPr="00C3512C">
              <w:rPr>
                <w:rFonts w:ascii="Arial Narrow" w:hAnsi="Arial Narrow"/>
                <w:sz w:val="15"/>
                <w:szCs w:val="15"/>
              </w:rPr>
              <w:t>70</w:t>
            </w:r>
          </w:p>
        </w:tc>
      </w:tr>
      <w:tr w:rsidR="00D2623D" w:rsidRPr="00881A26" w14:paraId="2CA5F1C4"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72EB5316" w14:textId="4236FD79" w:rsidR="00505B4F" w:rsidRPr="00D2623D" w:rsidRDefault="00505B4F" w:rsidP="00505B4F">
            <w:pPr>
              <w:rPr>
                <w:rFonts w:ascii="Arial Narrow" w:hAnsi="Arial Narrow" w:cs="Calibri"/>
                <w:sz w:val="15"/>
                <w:szCs w:val="15"/>
              </w:rPr>
            </w:pPr>
            <w:r w:rsidRPr="00D2623D">
              <w:rPr>
                <w:rFonts w:ascii="Arial Narrow" w:hAnsi="Arial Narrow"/>
                <w:sz w:val="15"/>
                <w:szCs w:val="15"/>
              </w:rPr>
              <w:t>Product Distribution</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8DF7179" w14:textId="648ADB79"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$85,591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F10F9D0" w14:textId="6C0C9B9E"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94C65A6" w14:textId="324B73C3"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$10,943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2E456EA" w14:textId="359BE141"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$57,839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CE71F09" w14:textId="58E19071" w:rsidR="00505B4F" w:rsidRPr="00D2623D" w:rsidRDefault="00C3512C" w:rsidP="00505B4F">
            <w:pPr>
              <w:jc w:val="right"/>
              <w:rPr>
                <w:rFonts w:ascii="Arial Narrow" w:hAnsi="Arial Narrow" w:cs="Calibri"/>
                <w:color w:val="000000"/>
                <w:sz w:val="15"/>
                <w:szCs w:val="15"/>
              </w:rPr>
            </w:pPr>
            <w:r w:rsidRPr="00C3512C">
              <w:rPr>
                <w:rFonts w:ascii="Arial Narrow" w:hAnsi="Arial Narrow"/>
                <w:sz w:val="15"/>
                <w:szCs w:val="15"/>
              </w:rPr>
              <w:t xml:space="preserve">$161,079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99E4F71" w14:textId="20545D6D"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95AA493" w14:textId="54253A10"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5688547" w14:textId="05E5678B"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5CDC198" w14:textId="4681F86A"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$1,230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188C507" w14:textId="11B2BF34"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6FB6B17" w14:textId="5BA4046A"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648517B" w14:textId="40F3C392"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F6ACCC0" w14:textId="11DA3561"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F3DBF43" w14:textId="28275E9E"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$3,988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EDF3B30" w14:textId="1C1E558F"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$12,552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4EE9614" w14:textId="6E47FB3F"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$12,966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00037A2" w14:textId="43668B6B" w:rsidR="00505B4F" w:rsidRPr="00D2623D" w:rsidRDefault="00C3512C" w:rsidP="00505B4F">
            <w:pPr>
              <w:jc w:val="right"/>
              <w:rPr>
                <w:rFonts w:ascii="Arial Narrow" w:hAnsi="Arial Narrow" w:cs="Calibri"/>
                <w:color w:val="000000"/>
                <w:sz w:val="15"/>
                <w:szCs w:val="15"/>
              </w:rPr>
            </w:pPr>
            <w:r w:rsidRPr="00C3512C">
              <w:rPr>
                <w:rFonts w:ascii="Arial Narrow" w:hAnsi="Arial Narrow"/>
                <w:sz w:val="15"/>
                <w:szCs w:val="15"/>
              </w:rPr>
              <w:t xml:space="preserve">$96,534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3632ECC" w14:textId="1254804D"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$17,770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F0725FE" w14:textId="55FA721C" w:rsidR="00505B4F" w:rsidRPr="00D2623D" w:rsidRDefault="00C3512C" w:rsidP="00505B4F">
            <w:pPr>
              <w:jc w:val="right"/>
              <w:rPr>
                <w:rFonts w:ascii="Arial Narrow" w:hAnsi="Arial Narrow" w:cs="Calibri"/>
                <w:color w:val="000000"/>
                <w:sz w:val="15"/>
                <w:szCs w:val="15"/>
              </w:rPr>
            </w:pPr>
            <w:r w:rsidRPr="00C3512C">
              <w:rPr>
                <w:rFonts w:ascii="Arial Narrow" w:hAnsi="Arial Narrow"/>
                <w:sz w:val="15"/>
                <w:szCs w:val="15"/>
              </w:rPr>
              <w:t xml:space="preserve">$78,764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04971F7" w14:textId="6CB1CFD2" w:rsidR="00505B4F" w:rsidRPr="00D2623D" w:rsidRDefault="00C3512C" w:rsidP="00505B4F">
            <w:pPr>
              <w:jc w:val="center"/>
              <w:rPr>
                <w:rFonts w:ascii="Arial Narrow" w:hAnsi="Arial Narrow" w:cs="Calibri"/>
                <w:color w:val="000000"/>
                <w:sz w:val="15"/>
                <w:szCs w:val="15"/>
              </w:rPr>
            </w:pPr>
            <w:r w:rsidRPr="00C3512C">
              <w:rPr>
                <w:rFonts w:ascii="Arial Narrow" w:hAnsi="Arial Narrow"/>
                <w:sz w:val="15"/>
                <w:szCs w:val="15"/>
              </w:rPr>
              <w:t>5.43</w:t>
            </w:r>
          </w:p>
        </w:tc>
      </w:tr>
      <w:tr w:rsidR="00D2623D" w:rsidRPr="00881A26" w14:paraId="57AEE7D8"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7538A84B" w14:textId="21973D2E" w:rsidR="00505B4F" w:rsidRPr="00D2623D" w:rsidRDefault="00505B4F" w:rsidP="00505B4F">
            <w:pPr>
              <w:rPr>
                <w:rFonts w:ascii="Arial Narrow" w:hAnsi="Arial Narrow" w:cs="Calibri"/>
                <w:sz w:val="15"/>
                <w:szCs w:val="15"/>
              </w:rPr>
            </w:pPr>
            <w:r w:rsidRPr="00D2623D">
              <w:rPr>
                <w:rFonts w:ascii="Arial Narrow" w:hAnsi="Arial Narrow"/>
                <w:sz w:val="15"/>
                <w:szCs w:val="15"/>
              </w:rPr>
              <w:t>Retail/Online</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99D3903" w14:textId="69BFE41A"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$159,938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FA0F3FE" w14:textId="3C59DF9F"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$198,170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CBD3131" w14:textId="06915E80"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$25,123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114D714" w14:textId="4B968BEF"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$133,610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78BEF89" w14:textId="698E7D28" w:rsidR="00505B4F" w:rsidRPr="00D2623D" w:rsidRDefault="00C3512C" w:rsidP="00505B4F">
            <w:pPr>
              <w:jc w:val="right"/>
              <w:rPr>
                <w:rFonts w:ascii="Arial Narrow" w:hAnsi="Arial Narrow" w:cs="Calibri"/>
                <w:color w:val="000000"/>
                <w:sz w:val="15"/>
                <w:szCs w:val="15"/>
              </w:rPr>
            </w:pPr>
            <w:r w:rsidRPr="00C3512C">
              <w:rPr>
                <w:rFonts w:ascii="Arial Narrow" w:hAnsi="Arial Narrow"/>
                <w:sz w:val="15"/>
                <w:szCs w:val="15"/>
              </w:rPr>
              <w:t xml:space="preserve">$303,476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E71295F" w14:textId="18D28A23"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64CE9BF" w14:textId="7D735072"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FAFFBC2" w14:textId="3AADB40B"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$15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D5A243B" w14:textId="332F734D"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62CD4DC" w14:textId="175819EF"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0EEC533" w14:textId="384C69FA"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3102817" w14:textId="68100EBB"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DDEF024" w14:textId="0C1F9252"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CAF8398" w14:textId="690D7BBA"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$13,470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4585B59" w14:textId="3E00B96C"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$22,988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CB54C5B" w14:textId="01129C59"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$58,314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23F35F8" w14:textId="4863C785" w:rsidR="00505B4F" w:rsidRPr="00D2623D" w:rsidRDefault="00C3512C" w:rsidP="00505B4F">
            <w:pPr>
              <w:jc w:val="right"/>
              <w:rPr>
                <w:rFonts w:ascii="Arial Narrow" w:hAnsi="Arial Narrow" w:cs="Calibri"/>
                <w:color w:val="000000"/>
                <w:sz w:val="15"/>
                <w:szCs w:val="15"/>
              </w:rPr>
            </w:pPr>
            <w:r w:rsidRPr="00C3512C">
              <w:rPr>
                <w:rFonts w:ascii="Arial Narrow" w:hAnsi="Arial Narrow"/>
                <w:sz w:val="15"/>
                <w:szCs w:val="15"/>
              </w:rPr>
              <w:t xml:space="preserve">$383,231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E064F1F" w14:textId="4E916452"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$36,473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31644E9" w14:textId="533498FC" w:rsidR="00505B4F" w:rsidRPr="00D2623D" w:rsidRDefault="00C3512C" w:rsidP="00505B4F">
            <w:pPr>
              <w:jc w:val="right"/>
              <w:rPr>
                <w:rFonts w:ascii="Arial Narrow" w:hAnsi="Arial Narrow" w:cs="Calibri"/>
                <w:color w:val="000000"/>
                <w:sz w:val="15"/>
                <w:szCs w:val="15"/>
              </w:rPr>
            </w:pPr>
            <w:r w:rsidRPr="00C3512C">
              <w:rPr>
                <w:rFonts w:ascii="Arial Narrow" w:hAnsi="Arial Narrow"/>
                <w:sz w:val="15"/>
                <w:szCs w:val="15"/>
              </w:rPr>
              <w:t xml:space="preserve">$346,758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85E60A7" w14:textId="11A33961" w:rsidR="00505B4F" w:rsidRPr="00D2623D" w:rsidRDefault="00C3512C" w:rsidP="00505B4F">
            <w:pPr>
              <w:jc w:val="center"/>
              <w:rPr>
                <w:rFonts w:ascii="Arial Narrow" w:hAnsi="Arial Narrow" w:cs="Calibri"/>
                <w:color w:val="000000"/>
                <w:sz w:val="15"/>
                <w:szCs w:val="15"/>
              </w:rPr>
            </w:pPr>
            <w:r w:rsidRPr="00C3512C">
              <w:rPr>
                <w:rFonts w:ascii="Arial Narrow" w:hAnsi="Arial Narrow"/>
                <w:sz w:val="15"/>
                <w:szCs w:val="15"/>
              </w:rPr>
              <w:t>10.51</w:t>
            </w:r>
          </w:p>
        </w:tc>
      </w:tr>
      <w:tr w:rsidR="00D2623D" w:rsidRPr="00881A26" w14:paraId="1943A323"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6C012900" w14:textId="61FDB675" w:rsidR="00505B4F" w:rsidRPr="00D2623D" w:rsidRDefault="00505B4F" w:rsidP="00505B4F">
            <w:pPr>
              <w:rPr>
                <w:rFonts w:ascii="Arial Narrow" w:hAnsi="Arial Narrow" w:cs="Calibri"/>
                <w:sz w:val="15"/>
                <w:szCs w:val="15"/>
              </w:rPr>
            </w:pPr>
            <w:r w:rsidRPr="00D2623D">
              <w:rPr>
                <w:rFonts w:ascii="Arial Narrow" w:hAnsi="Arial Narrow"/>
                <w:sz w:val="15"/>
                <w:szCs w:val="15"/>
              </w:rPr>
              <w:t>Single Family Upgrades</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38ED58C" w14:textId="05DC0C9F"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$8,121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9A308BE" w14:textId="65B5F073"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$6,279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E93334C" w14:textId="2FF38E1E"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$1,904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023AF06" w14:textId="6701CF18"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$4,571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3FE2670" w14:textId="0CF7BA91"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w:t>
            </w:r>
            <w:r w:rsidR="00C3512C" w:rsidRPr="00C3512C">
              <w:rPr>
                <w:rFonts w:ascii="Arial Narrow" w:hAnsi="Arial Narrow"/>
                <w:sz w:val="15"/>
                <w:szCs w:val="15"/>
              </w:rPr>
              <w:t>9,785</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8156571" w14:textId="6C3A2426"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7E14FDB" w14:textId="753F7D5B"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9C15A0D" w14:textId="17CDA6E3"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9A8883A" w14:textId="4A4FC997"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17EFB4E" w14:textId="734774CA"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F7B97D4" w14:textId="335F0DB1"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37C9E92" w14:textId="04B7F8D1"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EDC247A" w14:textId="107334D4"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E702333" w14:textId="576245C8"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$8,777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F03554A" w14:textId="7A66201F"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$24,109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DEBB1CE" w14:textId="6F982F2E"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$10,169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610EEF9" w14:textId="6EAB46C0" w:rsidR="00505B4F" w:rsidRPr="00D2623D" w:rsidRDefault="00C3512C" w:rsidP="00505B4F">
            <w:pPr>
              <w:jc w:val="right"/>
              <w:rPr>
                <w:rFonts w:ascii="Arial Narrow" w:hAnsi="Arial Narrow" w:cs="Calibri"/>
                <w:color w:val="000000"/>
                <w:sz w:val="15"/>
                <w:szCs w:val="15"/>
              </w:rPr>
            </w:pPr>
            <w:r w:rsidRPr="00C3512C">
              <w:rPr>
                <w:rFonts w:ascii="Arial Narrow" w:hAnsi="Arial Narrow"/>
                <w:sz w:val="15"/>
                <w:szCs w:val="15"/>
              </w:rPr>
              <w:t xml:space="preserve">$16,305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2AC96B5" w14:textId="3C68191C"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$32,885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21E65D7" w14:textId="6939CA9C"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w:t>
            </w:r>
            <w:r w:rsidR="00C3512C" w:rsidRPr="00C3512C">
              <w:rPr>
                <w:rFonts w:ascii="Arial Narrow" w:hAnsi="Arial Narrow"/>
                <w:sz w:val="15"/>
                <w:szCs w:val="15"/>
              </w:rPr>
              <w:t>16,581</w:t>
            </w:r>
            <w:r w:rsidRPr="00D2623D">
              <w:rPr>
                <w:rFonts w:ascii="Arial Narrow" w:hAnsi="Arial Narrow"/>
                <w:sz w:val="15"/>
                <w:szCs w:val="15"/>
              </w:rPr>
              <w:t>)</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335928A" w14:textId="5AC5586B" w:rsidR="00505B4F" w:rsidRPr="00D2623D" w:rsidRDefault="00505B4F" w:rsidP="00505B4F">
            <w:pPr>
              <w:jc w:val="center"/>
              <w:rPr>
                <w:rFonts w:ascii="Arial Narrow" w:hAnsi="Arial Narrow" w:cs="Calibri"/>
                <w:color w:val="000000"/>
                <w:sz w:val="15"/>
                <w:szCs w:val="15"/>
              </w:rPr>
            </w:pPr>
            <w:r w:rsidRPr="00D2623D">
              <w:rPr>
                <w:rFonts w:ascii="Arial Narrow" w:hAnsi="Arial Narrow"/>
                <w:sz w:val="15"/>
                <w:szCs w:val="15"/>
              </w:rPr>
              <w:t>0.</w:t>
            </w:r>
            <w:r w:rsidR="00C3512C" w:rsidRPr="00C3512C">
              <w:rPr>
                <w:rFonts w:ascii="Arial Narrow" w:hAnsi="Arial Narrow"/>
                <w:sz w:val="15"/>
                <w:szCs w:val="15"/>
              </w:rPr>
              <w:t>50</w:t>
            </w:r>
          </w:p>
        </w:tc>
      </w:tr>
      <w:tr w:rsidR="00FA2F22" w:rsidRPr="00881A26" w14:paraId="1A9CBCC9" w14:textId="77777777" w:rsidTr="00FA2F22">
        <w:trPr>
          <w:trHeight w:val="300"/>
        </w:trPr>
        <w:tc>
          <w:tcPr>
            <w:tcW w:w="0" w:type="auto"/>
            <w:tcBorders>
              <w:top w:val="single" w:sz="4" w:space="0" w:color="60B8CC" w:themeColor="accent4"/>
              <w:left w:val="nil"/>
              <w:bottom w:val="single" w:sz="4" w:space="0" w:color="60B8CC" w:themeColor="accent4"/>
              <w:right w:val="nil"/>
            </w:tcBorders>
            <w:shd w:val="clear" w:color="auto" w:fill="auto"/>
            <w:hideMark/>
          </w:tcPr>
          <w:p w14:paraId="52D62884" w14:textId="5D10CA4E" w:rsidR="00505B4F" w:rsidRPr="00D2623D" w:rsidRDefault="00505B4F" w:rsidP="00505B4F">
            <w:pPr>
              <w:rPr>
                <w:rFonts w:ascii="Arial Narrow" w:hAnsi="Arial Narrow" w:cs="Calibri"/>
                <w:b/>
                <w:bCs/>
                <w:color w:val="000000"/>
                <w:sz w:val="15"/>
                <w:szCs w:val="15"/>
              </w:rPr>
            </w:pPr>
            <w:r w:rsidRPr="00D2623D">
              <w:rPr>
                <w:rFonts w:ascii="Arial Narrow" w:hAnsi="Arial Narrow"/>
                <w:sz w:val="15"/>
                <w:szCs w:val="15"/>
              </w:rPr>
              <w:t>Whole Home Electric</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7CDD2FA2" w14:textId="47317058"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$3,374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4C795855" w14:textId="46780BDF"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663E7FBB" w14:textId="026294A6"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$10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06B71462" w14:textId="1C30FDA5"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$3,186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3895B936" w14:textId="1AA3C4B0" w:rsidR="00505B4F" w:rsidRPr="00D2623D" w:rsidRDefault="00C3512C" w:rsidP="00505B4F">
            <w:pPr>
              <w:jc w:val="right"/>
              <w:rPr>
                <w:rFonts w:ascii="Arial Narrow" w:hAnsi="Arial Narrow" w:cs="Calibri"/>
                <w:b/>
                <w:bCs/>
                <w:color w:val="000000"/>
                <w:sz w:val="15"/>
                <w:szCs w:val="15"/>
              </w:rPr>
            </w:pPr>
            <w:r w:rsidRPr="00C3512C">
              <w:rPr>
                <w:rFonts w:ascii="Arial Narrow" w:hAnsi="Arial Narrow"/>
                <w:sz w:val="15"/>
                <w:szCs w:val="15"/>
              </w:rPr>
              <w:t xml:space="preserve">$335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62EF1CA4" w14:textId="52E82500"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0A2A991F" w14:textId="6C9E578B"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1F40F010" w14:textId="121B2780"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$64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19465953" w14:textId="0F4C2D59"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3ADD91E1" w14:textId="229DE0C8"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61323E93" w14:textId="2C9A3893"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5F978570" w14:textId="4B879D5A"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52E6F313" w14:textId="6C5856C0"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0108147F" w14:textId="1B36EA46"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$2,432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2E06F187" w14:textId="6710EC9C"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$7,488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5B6C9405" w14:textId="5861DAA1"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$7,488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6F777033" w14:textId="3E8137A5"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$3,</w:t>
            </w:r>
            <w:r w:rsidR="00C3512C" w:rsidRPr="00C3512C">
              <w:rPr>
                <w:rFonts w:ascii="Arial Narrow" w:hAnsi="Arial Narrow"/>
                <w:sz w:val="15"/>
                <w:szCs w:val="15"/>
              </w:rPr>
              <w:t>384</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541837BB" w14:textId="0B371CEA"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$9,984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401EEDA8" w14:textId="72F5E890"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($6,</w:t>
            </w:r>
            <w:r w:rsidR="00C3512C" w:rsidRPr="00C3512C">
              <w:rPr>
                <w:rFonts w:ascii="Arial Narrow" w:hAnsi="Arial Narrow"/>
                <w:sz w:val="15"/>
                <w:szCs w:val="15"/>
              </w:rPr>
              <w:t>600</w:t>
            </w:r>
            <w:r w:rsidRPr="00D2623D">
              <w:rPr>
                <w:rFonts w:ascii="Arial Narrow" w:hAnsi="Arial Narrow"/>
                <w:sz w:val="15"/>
                <w:szCs w:val="15"/>
              </w:rPr>
              <w:t>)</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7D900F02" w14:textId="7EEF921D" w:rsidR="00505B4F" w:rsidRPr="00D2623D" w:rsidRDefault="00505B4F" w:rsidP="00505B4F">
            <w:pPr>
              <w:jc w:val="center"/>
              <w:rPr>
                <w:rFonts w:ascii="Arial Narrow" w:hAnsi="Arial Narrow" w:cs="Calibri"/>
                <w:b/>
                <w:bCs/>
                <w:color w:val="000000"/>
                <w:sz w:val="15"/>
                <w:szCs w:val="15"/>
              </w:rPr>
            </w:pPr>
            <w:r w:rsidRPr="00D2623D">
              <w:rPr>
                <w:rFonts w:ascii="Arial Narrow" w:hAnsi="Arial Narrow"/>
                <w:sz w:val="15"/>
                <w:szCs w:val="15"/>
              </w:rPr>
              <w:t>0.34</w:t>
            </w:r>
          </w:p>
        </w:tc>
      </w:tr>
      <w:tr w:rsidR="00BC4B51" w:rsidRPr="00881A26" w14:paraId="47E9D4DE" w14:textId="77777777" w:rsidTr="00FA2F22">
        <w:trPr>
          <w:trHeight w:val="300"/>
        </w:trPr>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0A0324A5" w14:textId="777000C0" w:rsidR="00505B4F" w:rsidRPr="00FA2F22" w:rsidRDefault="00505B4F" w:rsidP="00505B4F">
            <w:pPr>
              <w:rPr>
                <w:rFonts w:ascii="Arial Narrow" w:hAnsi="Arial Narrow" w:cs="Calibri"/>
                <w:b/>
                <w:bCs/>
                <w:sz w:val="15"/>
                <w:szCs w:val="15"/>
              </w:rPr>
            </w:pPr>
            <w:r w:rsidRPr="00FA2F22">
              <w:rPr>
                <w:rFonts w:ascii="Arial Narrow" w:hAnsi="Arial Narrow"/>
                <w:b/>
                <w:bCs/>
                <w:sz w:val="15"/>
                <w:szCs w:val="15"/>
              </w:rPr>
              <w:t>Res &amp; IE Total</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35A17534" w14:textId="22809F7E" w:rsidR="00505B4F" w:rsidRPr="00FA2F22" w:rsidRDefault="00505B4F" w:rsidP="00505B4F">
            <w:pPr>
              <w:jc w:val="right"/>
              <w:rPr>
                <w:rFonts w:ascii="Arial Narrow" w:hAnsi="Arial Narrow" w:cs="Calibri"/>
                <w:b/>
                <w:bCs/>
                <w:sz w:val="15"/>
                <w:szCs w:val="15"/>
              </w:rPr>
            </w:pPr>
            <w:r w:rsidRPr="00FA2F22">
              <w:rPr>
                <w:rFonts w:ascii="Arial Narrow" w:hAnsi="Arial Narrow"/>
                <w:b/>
                <w:bCs/>
                <w:sz w:val="15"/>
                <w:szCs w:val="15"/>
              </w:rPr>
              <w:t xml:space="preserve">$355,387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0E1A2CA0" w14:textId="55046A4A"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$207,432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1D2EBCB6" w14:textId="1A4AC856"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$41,094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50A49A4" w14:textId="555B64E1"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$270,501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16B7E2E9" w14:textId="02596034" w:rsidR="00505B4F" w:rsidRPr="00FA2F22" w:rsidRDefault="00C3512C" w:rsidP="00505B4F">
            <w:pPr>
              <w:jc w:val="right"/>
              <w:rPr>
                <w:rFonts w:ascii="Arial Narrow" w:hAnsi="Arial Narrow" w:cs="Calibri"/>
                <w:b/>
                <w:bCs/>
                <w:color w:val="000000"/>
                <w:sz w:val="15"/>
                <w:szCs w:val="15"/>
              </w:rPr>
            </w:pPr>
            <w:r w:rsidRPr="00C3512C">
              <w:rPr>
                <w:rFonts w:ascii="Arial Narrow" w:hAnsi="Arial Narrow"/>
                <w:b/>
                <w:bCs/>
                <w:sz w:val="15"/>
                <w:szCs w:val="15"/>
              </w:rPr>
              <w:t xml:space="preserve">$546,435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788BF51" w14:textId="6FD7331F"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4204285" w14:textId="4C98237E"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4A4B5B8" w14:textId="412A3B01" w:rsidR="00505B4F" w:rsidRPr="00FA2F22" w:rsidRDefault="00505B4F" w:rsidP="00505B4F">
            <w:pPr>
              <w:jc w:val="right"/>
              <w:rPr>
                <w:rFonts w:ascii="Arial Narrow" w:hAnsi="Arial Narrow" w:cs="Calibri"/>
                <w:b/>
                <w:bCs/>
                <w:sz w:val="15"/>
                <w:szCs w:val="15"/>
              </w:rPr>
            </w:pPr>
            <w:r w:rsidRPr="00FA2F22">
              <w:rPr>
                <w:rFonts w:ascii="Arial Narrow" w:hAnsi="Arial Narrow"/>
                <w:b/>
                <w:bCs/>
                <w:sz w:val="15"/>
                <w:szCs w:val="15"/>
              </w:rPr>
              <w:t xml:space="preserve">$79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5DDC1FAB" w14:textId="39934EEB"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$1,230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0B7DC6E" w14:textId="422798A1"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089044BA" w14:textId="09F266AE"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1A9421A" w14:textId="1AB6B94A"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7559B190" w14:textId="64707F71"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0CFDE484" w14:textId="0ED53854"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$57,</w:t>
            </w:r>
            <w:r w:rsidR="00C3512C" w:rsidRPr="00C3512C">
              <w:rPr>
                <w:rFonts w:ascii="Arial Narrow" w:hAnsi="Arial Narrow"/>
                <w:b/>
                <w:bCs/>
                <w:sz w:val="15"/>
                <w:szCs w:val="15"/>
              </w:rPr>
              <w:t>634</w:t>
            </w:r>
            <w:r w:rsidRPr="00FA2F22">
              <w:rPr>
                <w:rFonts w:ascii="Arial Narrow" w:hAnsi="Arial Narrow"/>
                <w:b/>
                <w:bCs/>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03345188" w14:textId="0AA62E36"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$105,095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09287D04" w14:textId="6441DDA2"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$133,956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7150B52E" w14:textId="37EF9E32" w:rsidR="00505B4F" w:rsidRPr="00FA2F22" w:rsidRDefault="00C3512C" w:rsidP="00505B4F">
            <w:pPr>
              <w:jc w:val="right"/>
              <w:rPr>
                <w:rFonts w:ascii="Arial Narrow" w:hAnsi="Arial Narrow" w:cs="Calibri"/>
                <w:b/>
                <w:bCs/>
                <w:color w:val="000000"/>
                <w:sz w:val="15"/>
                <w:szCs w:val="15"/>
              </w:rPr>
            </w:pPr>
            <w:r w:rsidRPr="00C3512C">
              <w:rPr>
                <w:rFonts w:ascii="Arial Narrow" w:hAnsi="Arial Narrow"/>
                <w:b/>
                <w:bCs/>
                <w:sz w:val="15"/>
                <w:szCs w:val="15"/>
              </w:rPr>
              <w:t xml:space="preserve">$603,912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043956C" w14:textId="27F72451" w:rsidR="00505B4F" w:rsidRPr="00FA2F22" w:rsidRDefault="00C3512C" w:rsidP="00505B4F">
            <w:pPr>
              <w:jc w:val="right"/>
              <w:rPr>
                <w:rFonts w:ascii="Arial Narrow" w:hAnsi="Arial Narrow" w:cs="Calibri"/>
                <w:b/>
                <w:bCs/>
                <w:color w:val="000000"/>
                <w:sz w:val="15"/>
                <w:szCs w:val="15"/>
              </w:rPr>
            </w:pPr>
            <w:r w:rsidRPr="00C3512C">
              <w:rPr>
                <w:rFonts w:ascii="Arial Narrow" w:hAnsi="Arial Narrow"/>
                <w:b/>
                <w:bCs/>
                <w:sz w:val="15"/>
                <w:szCs w:val="15"/>
              </w:rPr>
              <w:t xml:space="preserve">$160,048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7BC81431" w14:textId="5A21BD57" w:rsidR="00505B4F" w:rsidRPr="00FA2F22" w:rsidRDefault="00C3512C" w:rsidP="00505B4F">
            <w:pPr>
              <w:jc w:val="right"/>
              <w:rPr>
                <w:rFonts w:ascii="Arial Narrow" w:hAnsi="Arial Narrow" w:cs="Calibri"/>
                <w:b/>
                <w:bCs/>
                <w:color w:val="000000"/>
                <w:sz w:val="15"/>
                <w:szCs w:val="15"/>
              </w:rPr>
            </w:pPr>
            <w:r w:rsidRPr="00C3512C">
              <w:rPr>
                <w:rFonts w:ascii="Arial Narrow" w:hAnsi="Arial Narrow"/>
                <w:b/>
                <w:bCs/>
                <w:sz w:val="15"/>
                <w:szCs w:val="15"/>
              </w:rPr>
              <w:t xml:space="preserve">$443,865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5BB9256" w14:textId="7EA1DC07" w:rsidR="00505B4F" w:rsidRPr="00FA2F22" w:rsidRDefault="00505B4F" w:rsidP="00505B4F">
            <w:pPr>
              <w:jc w:val="center"/>
              <w:rPr>
                <w:rFonts w:ascii="Arial Narrow" w:hAnsi="Arial Narrow" w:cs="Calibri"/>
                <w:b/>
                <w:bCs/>
                <w:color w:val="000000"/>
                <w:sz w:val="15"/>
                <w:szCs w:val="15"/>
              </w:rPr>
            </w:pPr>
            <w:r w:rsidRPr="00FA2F22">
              <w:rPr>
                <w:rFonts w:ascii="Arial Narrow" w:hAnsi="Arial Narrow"/>
                <w:b/>
                <w:bCs/>
                <w:sz w:val="15"/>
                <w:szCs w:val="15"/>
              </w:rPr>
              <w:t>3.</w:t>
            </w:r>
            <w:r w:rsidR="00C3512C" w:rsidRPr="00C3512C">
              <w:rPr>
                <w:rFonts w:ascii="Arial Narrow" w:hAnsi="Arial Narrow"/>
                <w:b/>
                <w:bCs/>
                <w:sz w:val="15"/>
                <w:szCs w:val="15"/>
              </w:rPr>
              <w:t>77</w:t>
            </w:r>
          </w:p>
        </w:tc>
      </w:tr>
      <w:tr w:rsidR="00D2623D" w:rsidRPr="00881A26" w14:paraId="446C9091"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70982A81" w14:textId="12F2A724" w:rsidR="00505B4F" w:rsidRPr="00D2623D" w:rsidRDefault="00505B4F" w:rsidP="00505B4F">
            <w:pPr>
              <w:rPr>
                <w:rFonts w:ascii="Arial Narrow" w:hAnsi="Arial Narrow" w:cs="Calibri"/>
                <w:sz w:val="15"/>
                <w:szCs w:val="15"/>
              </w:rPr>
            </w:pPr>
            <w:r w:rsidRPr="00D2623D">
              <w:rPr>
                <w:rFonts w:ascii="Arial Narrow" w:hAnsi="Arial Narrow"/>
                <w:sz w:val="15"/>
                <w:szCs w:val="15"/>
              </w:rPr>
              <w:t>Assessments</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8A3793F" w14:textId="3F9C0A2E"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26F2C65" w14:textId="7A0ECDE7"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E06F59D" w14:textId="43428C94"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C09301F" w14:textId="0C8C799E"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787F5EB" w14:textId="330ED204"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5F21E59" w14:textId="215E1314"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4831E56" w14:textId="1B51BB7D"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52FB98F" w14:textId="6EA46515"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2EE8793" w14:textId="6DC4FFC7"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3D4106F" w14:textId="35FFF881"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98739E2" w14:textId="20C786B7"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3C4587D" w14:textId="772DA589"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E836E87" w14:textId="514857D2"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33416F2" w14:textId="3327E819"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$1,431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0611CF4" w14:textId="1EDD757D"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8A08AB7" w14:textId="266646AE"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1F672A8" w14:textId="210E36E3"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699919E" w14:textId="2B75B562"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$1,431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C74142C" w14:textId="1664BD92"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($1,431)</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C36912F" w14:textId="0F836B8D" w:rsidR="00505B4F" w:rsidRPr="00D2623D" w:rsidRDefault="00505B4F" w:rsidP="00505B4F">
            <w:pPr>
              <w:jc w:val="center"/>
              <w:rPr>
                <w:rFonts w:ascii="Arial Narrow" w:hAnsi="Arial Narrow" w:cs="Calibri"/>
                <w:color w:val="000000"/>
                <w:sz w:val="15"/>
                <w:szCs w:val="15"/>
              </w:rPr>
            </w:pPr>
            <w:r w:rsidRPr="00D2623D">
              <w:rPr>
                <w:rFonts w:ascii="Arial Narrow" w:hAnsi="Arial Narrow"/>
                <w:sz w:val="15"/>
                <w:szCs w:val="15"/>
              </w:rPr>
              <w:t>0.00</w:t>
            </w:r>
          </w:p>
        </w:tc>
      </w:tr>
      <w:tr w:rsidR="00D2623D" w:rsidRPr="00881A26" w14:paraId="5E75278C"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13F2D203" w14:textId="0764F131" w:rsidR="00505B4F" w:rsidRPr="00D2623D" w:rsidRDefault="00505B4F" w:rsidP="00505B4F">
            <w:pPr>
              <w:rPr>
                <w:rFonts w:ascii="Arial Narrow" w:hAnsi="Arial Narrow" w:cs="Calibri"/>
                <w:sz w:val="15"/>
                <w:szCs w:val="15"/>
              </w:rPr>
            </w:pPr>
            <w:r w:rsidRPr="00D2623D">
              <w:rPr>
                <w:rFonts w:ascii="Arial Narrow" w:hAnsi="Arial Narrow"/>
                <w:sz w:val="15"/>
                <w:szCs w:val="15"/>
              </w:rPr>
              <w:t>Behavior Bus/Pub</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56F6D91" w14:textId="0DFECFAB"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$8,748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ECB4184" w14:textId="3434598A"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69D7018" w14:textId="7B55A153"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0E22E65" w14:textId="63591889"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$8,047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01AC530" w14:textId="1D784344" w:rsidR="00505B4F" w:rsidRPr="00D2623D" w:rsidRDefault="00C3512C" w:rsidP="00505B4F">
            <w:pPr>
              <w:jc w:val="right"/>
              <w:rPr>
                <w:rFonts w:ascii="Arial Narrow" w:hAnsi="Arial Narrow" w:cs="Calibri"/>
                <w:color w:val="000000"/>
                <w:sz w:val="15"/>
                <w:szCs w:val="15"/>
              </w:rPr>
            </w:pPr>
            <w:r w:rsidRPr="00C3512C">
              <w:rPr>
                <w:rFonts w:ascii="Arial Narrow" w:hAnsi="Arial Narrow"/>
                <w:sz w:val="15"/>
                <w:szCs w:val="15"/>
              </w:rPr>
              <w:t xml:space="preserve">$22,933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E0B9CE1" w14:textId="423CE417"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E8E206D" w14:textId="6CEC7586"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D7EFABE" w14:textId="409023BB"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B6642AE" w14:textId="4148654D"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D19107C" w14:textId="21673E22"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59A47E0" w14:textId="4BF6A887"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AC44C9F" w14:textId="78553F52"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7BC26FB" w14:textId="1BF548B3"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830665F" w14:textId="1BAF7369"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$7,063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3D3EF4D" w14:textId="435E0C99"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$2,546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4903DEE" w14:textId="10E35AAF"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$2,546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CA4AEF3" w14:textId="7FAB1A88"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$8,748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4D871CC" w14:textId="5F92E0A9"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$9,609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E9290ED" w14:textId="3D651C2F"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($862)</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7CEAAA4" w14:textId="2211A109" w:rsidR="00505B4F" w:rsidRPr="00D2623D" w:rsidRDefault="00505B4F" w:rsidP="00505B4F">
            <w:pPr>
              <w:jc w:val="center"/>
              <w:rPr>
                <w:rFonts w:ascii="Arial Narrow" w:hAnsi="Arial Narrow" w:cs="Calibri"/>
                <w:color w:val="000000"/>
                <w:sz w:val="15"/>
                <w:szCs w:val="15"/>
              </w:rPr>
            </w:pPr>
            <w:r w:rsidRPr="00D2623D">
              <w:rPr>
                <w:rFonts w:ascii="Arial Narrow" w:hAnsi="Arial Narrow"/>
                <w:sz w:val="15"/>
                <w:szCs w:val="15"/>
              </w:rPr>
              <w:t>0.91</w:t>
            </w:r>
          </w:p>
        </w:tc>
      </w:tr>
      <w:tr w:rsidR="00D2623D" w:rsidRPr="00881A26" w14:paraId="491B2461"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4F7B1B1F" w14:textId="6D017988" w:rsidR="00505B4F" w:rsidRPr="00D2623D" w:rsidRDefault="00505B4F" w:rsidP="00505B4F">
            <w:pPr>
              <w:rPr>
                <w:rFonts w:ascii="Arial Narrow" w:hAnsi="Arial Narrow" w:cs="Calibri"/>
                <w:sz w:val="15"/>
                <w:szCs w:val="15"/>
              </w:rPr>
            </w:pPr>
            <w:r w:rsidRPr="00D2623D">
              <w:rPr>
                <w:rFonts w:ascii="Arial Narrow" w:hAnsi="Arial Narrow"/>
                <w:sz w:val="15"/>
                <w:szCs w:val="15"/>
              </w:rPr>
              <w:t>EMS - Small Business - Pilot</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0CC585E" w14:textId="5C83C34C"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$24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A66DB65" w14:textId="785058CD"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6FBBC4F" w14:textId="6709B2BB"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273FE0A" w14:textId="6AA23A61"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$25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6E58939" w14:textId="4C3EEB66"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w:t>
            </w:r>
            <w:r w:rsidR="00C3512C" w:rsidRPr="00C3512C">
              <w:rPr>
                <w:rFonts w:ascii="Arial Narrow" w:hAnsi="Arial Narrow"/>
                <w:sz w:val="15"/>
                <w:szCs w:val="15"/>
              </w:rPr>
              <w:t>59</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ECDFD0A" w14:textId="4736816A"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F713E5A" w14:textId="2012EAA4"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671D4BE" w14:textId="3FF83F22"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7FB52E3" w14:textId="19A1651E"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FA7D4CF" w14:textId="20BC23CA"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49BFD43" w14:textId="144778A5"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F4FDB1D" w14:textId="3E50A344"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595D754" w14:textId="7149FBAA"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0728BA8" w14:textId="03224728"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$353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5647336" w14:textId="71AA4927"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9A4CDE2" w14:textId="2873F017"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$45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27B4D31" w14:textId="4551896A"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$24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F4D0E77" w14:textId="1025EA4B"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$353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A30D7E0" w14:textId="4235328D"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($328)</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ED694E6" w14:textId="11A824DE" w:rsidR="00505B4F" w:rsidRPr="00D2623D" w:rsidRDefault="00505B4F" w:rsidP="00505B4F">
            <w:pPr>
              <w:jc w:val="center"/>
              <w:rPr>
                <w:rFonts w:ascii="Arial Narrow" w:hAnsi="Arial Narrow" w:cs="Calibri"/>
                <w:color w:val="000000"/>
                <w:sz w:val="15"/>
                <w:szCs w:val="15"/>
              </w:rPr>
            </w:pPr>
            <w:r w:rsidRPr="00D2623D">
              <w:rPr>
                <w:rFonts w:ascii="Arial Narrow" w:hAnsi="Arial Narrow"/>
                <w:sz w:val="15"/>
                <w:szCs w:val="15"/>
              </w:rPr>
              <w:t>0.07</w:t>
            </w:r>
          </w:p>
        </w:tc>
      </w:tr>
      <w:tr w:rsidR="00D2623D" w:rsidRPr="00881A26" w14:paraId="1DF338BE"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314F7B80" w14:textId="29103A98" w:rsidR="00505B4F" w:rsidRPr="00D2623D" w:rsidRDefault="00505B4F" w:rsidP="00505B4F">
            <w:pPr>
              <w:rPr>
                <w:rFonts w:ascii="Arial Narrow" w:hAnsi="Arial Narrow" w:cs="Calibri"/>
                <w:sz w:val="15"/>
                <w:szCs w:val="15"/>
              </w:rPr>
            </w:pPr>
            <w:r w:rsidRPr="00D2623D">
              <w:rPr>
                <w:rFonts w:ascii="Arial Narrow" w:hAnsi="Arial Narrow"/>
                <w:sz w:val="15"/>
                <w:szCs w:val="15"/>
              </w:rPr>
              <w:t>Incentives</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141A44E" w14:textId="3A125633"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$123,479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E493720" w14:textId="4594D14E"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$5,673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9D4AAF4" w14:textId="0967AAF3"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EAF34CC" w14:textId="093B2983"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$76,237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2894E01" w14:textId="4424C6DE" w:rsidR="00505B4F" w:rsidRPr="00D2623D" w:rsidRDefault="00C3512C" w:rsidP="00505B4F">
            <w:pPr>
              <w:jc w:val="right"/>
              <w:rPr>
                <w:rFonts w:ascii="Arial Narrow" w:hAnsi="Arial Narrow" w:cs="Calibri"/>
                <w:color w:val="000000"/>
                <w:sz w:val="15"/>
                <w:szCs w:val="15"/>
              </w:rPr>
            </w:pPr>
            <w:r w:rsidRPr="00C3512C">
              <w:rPr>
                <w:rFonts w:ascii="Arial Narrow" w:hAnsi="Arial Narrow"/>
                <w:sz w:val="15"/>
                <w:szCs w:val="15"/>
              </w:rPr>
              <w:t xml:space="preserve">$192,063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8823250" w14:textId="3502E1D7"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5D0F882" w14:textId="494DAD65"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CDA7E12" w14:textId="183DF37E"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52379A5" w14:textId="373F9A5B"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CFE6139" w14:textId="1AF86056"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5E4769D" w14:textId="6E69E22E"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8A733A2" w14:textId="61019FF5"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174BC72" w14:textId="5A339DB8"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66E3F26" w14:textId="0AFCB8DA"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$14,467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E797790" w14:textId="32223E6F"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$60,779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4EC9239" w14:textId="3B109FFC"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$77,400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2B2766B" w14:textId="4368283A"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$129,152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37594F3" w14:textId="4F248270"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$75,245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0E02351" w14:textId="6F3C083B"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$53,906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1B7A9A1" w14:textId="4F5669FB" w:rsidR="00505B4F" w:rsidRPr="00D2623D" w:rsidRDefault="00505B4F" w:rsidP="00505B4F">
            <w:pPr>
              <w:jc w:val="center"/>
              <w:rPr>
                <w:rFonts w:ascii="Arial Narrow" w:hAnsi="Arial Narrow" w:cs="Calibri"/>
                <w:color w:val="000000"/>
                <w:sz w:val="15"/>
                <w:szCs w:val="15"/>
              </w:rPr>
            </w:pPr>
            <w:r w:rsidRPr="00D2623D">
              <w:rPr>
                <w:rFonts w:ascii="Arial Narrow" w:hAnsi="Arial Narrow"/>
                <w:sz w:val="15"/>
                <w:szCs w:val="15"/>
              </w:rPr>
              <w:t>1.72</w:t>
            </w:r>
          </w:p>
        </w:tc>
      </w:tr>
      <w:tr w:rsidR="00D2623D" w:rsidRPr="00881A26" w14:paraId="10FEA548"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16D48DCB" w14:textId="66732EF9" w:rsidR="00505B4F" w:rsidRPr="00D2623D" w:rsidRDefault="00505B4F" w:rsidP="00505B4F">
            <w:pPr>
              <w:rPr>
                <w:rFonts w:ascii="Arial Narrow" w:hAnsi="Arial Narrow" w:cs="Calibri"/>
                <w:sz w:val="15"/>
                <w:szCs w:val="15"/>
              </w:rPr>
            </w:pPr>
            <w:r w:rsidRPr="00D2623D">
              <w:rPr>
                <w:rFonts w:ascii="Arial Narrow" w:hAnsi="Arial Narrow"/>
                <w:sz w:val="15"/>
                <w:szCs w:val="15"/>
              </w:rPr>
              <w:t>Midstream/Upstream</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3506422" w14:textId="3B400648"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$114,375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E1E5FD0" w14:textId="35FC1459"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E4EAB52" w14:textId="3F135CEB"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$67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B0F2CE6" w14:textId="1141E889"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$71,302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03A51AB" w14:textId="349DFAC8" w:rsidR="00505B4F" w:rsidRPr="00D2623D" w:rsidRDefault="00C3512C" w:rsidP="00505B4F">
            <w:pPr>
              <w:jc w:val="right"/>
              <w:rPr>
                <w:rFonts w:ascii="Arial Narrow" w:hAnsi="Arial Narrow" w:cs="Calibri"/>
                <w:color w:val="000000"/>
                <w:sz w:val="15"/>
                <w:szCs w:val="15"/>
              </w:rPr>
            </w:pPr>
            <w:r w:rsidRPr="00C3512C">
              <w:rPr>
                <w:rFonts w:ascii="Arial Narrow" w:hAnsi="Arial Narrow"/>
                <w:sz w:val="15"/>
                <w:szCs w:val="15"/>
              </w:rPr>
              <w:t xml:space="preserve">$154,500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85BC5FD" w14:textId="49229417"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3C775F1" w14:textId="3975EE10"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6048248" w14:textId="72382645"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606D501" w14:textId="6418AB66"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F2660D4" w14:textId="088E8C23"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E5D7A36" w14:textId="03E9BE2F"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3263140" w14:textId="44CFAC96"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B3C309B" w14:textId="60CD716E"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F21614F" w14:textId="5008F7A8"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$3,719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E9ED39D" w14:textId="5B7B175B"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$19,931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E29058E" w14:textId="3F26F79C"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$32,193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6C6D20E" w14:textId="795FE533"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$114,</w:t>
            </w:r>
            <w:r w:rsidR="00C3512C" w:rsidRPr="00C3512C">
              <w:rPr>
                <w:rFonts w:ascii="Arial Narrow" w:hAnsi="Arial Narrow"/>
                <w:sz w:val="15"/>
                <w:szCs w:val="15"/>
              </w:rPr>
              <w:t>442</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4754924" w14:textId="75B554BE"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$23,651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283ACB1" w14:textId="17A1EA45"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$90,</w:t>
            </w:r>
            <w:r w:rsidR="00C3512C" w:rsidRPr="00C3512C">
              <w:rPr>
                <w:rFonts w:ascii="Arial Narrow" w:hAnsi="Arial Narrow"/>
                <w:sz w:val="15"/>
                <w:szCs w:val="15"/>
              </w:rPr>
              <w:t>791</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084C822" w14:textId="0B2FAA0F" w:rsidR="00505B4F" w:rsidRPr="00D2623D" w:rsidRDefault="00505B4F" w:rsidP="00505B4F">
            <w:pPr>
              <w:jc w:val="center"/>
              <w:rPr>
                <w:rFonts w:ascii="Arial Narrow" w:hAnsi="Arial Narrow" w:cs="Calibri"/>
                <w:color w:val="000000"/>
                <w:sz w:val="15"/>
                <w:szCs w:val="15"/>
              </w:rPr>
            </w:pPr>
            <w:r w:rsidRPr="00D2623D">
              <w:rPr>
                <w:rFonts w:ascii="Arial Narrow" w:hAnsi="Arial Narrow"/>
                <w:sz w:val="15"/>
                <w:szCs w:val="15"/>
              </w:rPr>
              <w:t>4.84</w:t>
            </w:r>
          </w:p>
        </w:tc>
      </w:tr>
      <w:tr w:rsidR="00D2623D" w:rsidRPr="00881A26" w14:paraId="3927B02C"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14178856" w14:textId="7994F5F1" w:rsidR="00505B4F" w:rsidRPr="00D2623D" w:rsidRDefault="00505B4F" w:rsidP="00505B4F">
            <w:pPr>
              <w:rPr>
                <w:rFonts w:ascii="Arial Narrow" w:hAnsi="Arial Narrow" w:cs="Calibri"/>
                <w:sz w:val="15"/>
                <w:szCs w:val="15"/>
              </w:rPr>
            </w:pPr>
            <w:r w:rsidRPr="00D2623D">
              <w:rPr>
                <w:rFonts w:ascii="Arial Narrow" w:hAnsi="Arial Narrow"/>
                <w:sz w:val="15"/>
                <w:szCs w:val="15"/>
              </w:rPr>
              <w:t>New Construction - Bus/Pub</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5D6022A" w14:textId="017AB48D"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$3,823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E1DE491" w14:textId="05A9B949"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$225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BD66A50" w14:textId="3BFABE80"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$2,335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BB95E86" w14:textId="2C1B136C"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$2,655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16BFDE5" w14:textId="0B7AC5C6"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w:t>
            </w:r>
            <w:r w:rsidR="00C3512C" w:rsidRPr="00C3512C">
              <w:rPr>
                <w:rFonts w:ascii="Arial Narrow" w:hAnsi="Arial Narrow"/>
                <w:sz w:val="15"/>
                <w:szCs w:val="15"/>
              </w:rPr>
              <w:t>5,588</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6F7EB0C" w14:textId="64AD203F"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000EF53" w14:textId="7F7AEDB4"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EE9F878" w14:textId="101CA56D"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0EDBCFE" w14:textId="295AB26F"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B78309A" w14:textId="0BE303B5"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CED81AD" w14:textId="0E2B4169"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E949BE5" w14:textId="3A8165F6"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62D760F" w14:textId="2E04BB9C"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916FD70" w14:textId="7BC8427A"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$2,171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20558F3" w14:textId="5E1EA34A"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$1,050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2324303" w14:textId="234CC575"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$4,747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D4190AC" w14:textId="53A453F7"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w:t>
            </w:r>
            <w:r w:rsidR="00C3512C" w:rsidRPr="00C3512C">
              <w:rPr>
                <w:rFonts w:ascii="Arial Narrow" w:hAnsi="Arial Narrow"/>
                <w:sz w:val="15"/>
                <w:szCs w:val="15"/>
              </w:rPr>
              <w:t>6,382</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757F45E" w14:textId="4D34C864"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$3,221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446AAD7" w14:textId="66434FD0"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w:t>
            </w:r>
            <w:r w:rsidR="00C3512C" w:rsidRPr="00C3512C">
              <w:rPr>
                <w:rFonts w:ascii="Arial Narrow" w:hAnsi="Arial Narrow"/>
                <w:sz w:val="15"/>
                <w:szCs w:val="15"/>
              </w:rPr>
              <w:t>3,161</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614DB24" w14:textId="74C6E241" w:rsidR="00505B4F" w:rsidRPr="00D2623D" w:rsidRDefault="00505B4F" w:rsidP="00505B4F">
            <w:pPr>
              <w:jc w:val="center"/>
              <w:rPr>
                <w:rFonts w:ascii="Arial Narrow" w:hAnsi="Arial Narrow" w:cs="Calibri"/>
                <w:color w:val="000000"/>
                <w:sz w:val="15"/>
                <w:szCs w:val="15"/>
              </w:rPr>
            </w:pPr>
            <w:r w:rsidRPr="00D2623D">
              <w:rPr>
                <w:rFonts w:ascii="Arial Narrow" w:hAnsi="Arial Narrow"/>
                <w:sz w:val="15"/>
                <w:szCs w:val="15"/>
              </w:rPr>
              <w:t>1.</w:t>
            </w:r>
            <w:r w:rsidR="00C3512C" w:rsidRPr="00C3512C">
              <w:rPr>
                <w:rFonts w:ascii="Arial Narrow" w:hAnsi="Arial Narrow"/>
                <w:sz w:val="15"/>
                <w:szCs w:val="15"/>
              </w:rPr>
              <w:t>98</w:t>
            </w:r>
          </w:p>
        </w:tc>
      </w:tr>
      <w:tr w:rsidR="00B97D79" w:rsidRPr="00881A26" w14:paraId="2E249A08" w14:textId="77777777" w:rsidTr="00B97D79">
        <w:trPr>
          <w:trHeight w:val="300"/>
        </w:trPr>
        <w:tc>
          <w:tcPr>
            <w:tcW w:w="0" w:type="auto"/>
            <w:tcBorders>
              <w:top w:val="single" w:sz="4" w:space="0" w:color="60B8CC" w:themeColor="accent4"/>
              <w:left w:val="nil"/>
              <w:bottom w:val="single" w:sz="4" w:space="0" w:color="60B8CC" w:themeColor="accent4"/>
              <w:right w:val="nil"/>
            </w:tcBorders>
            <w:shd w:val="clear" w:color="auto" w:fill="auto"/>
            <w:hideMark/>
          </w:tcPr>
          <w:p w14:paraId="429E5563" w14:textId="724823A8" w:rsidR="00505B4F" w:rsidRPr="00D2623D" w:rsidRDefault="00505B4F" w:rsidP="00505B4F">
            <w:pPr>
              <w:rPr>
                <w:rFonts w:ascii="Arial Narrow" w:hAnsi="Arial Narrow" w:cs="Calibri"/>
                <w:b/>
                <w:bCs/>
                <w:color w:val="000000"/>
                <w:sz w:val="15"/>
                <w:szCs w:val="15"/>
              </w:rPr>
            </w:pPr>
            <w:r w:rsidRPr="00D2623D">
              <w:rPr>
                <w:rFonts w:ascii="Arial Narrow" w:hAnsi="Arial Narrow"/>
                <w:sz w:val="15"/>
                <w:szCs w:val="15"/>
              </w:rPr>
              <w:t>Small Business</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4F3E82CB" w14:textId="3B7E8A95"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$130,358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2C2C78B1" w14:textId="474B559F"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411EFB10" w14:textId="6A36FC29"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$91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5C9269B4" w14:textId="45A48CD4"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$78,562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77EE16DF" w14:textId="37E92F48" w:rsidR="00505B4F" w:rsidRPr="00D2623D" w:rsidRDefault="00C3512C" w:rsidP="00505B4F">
            <w:pPr>
              <w:jc w:val="right"/>
              <w:rPr>
                <w:rFonts w:ascii="Arial Narrow" w:hAnsi="Arial Narrow" w:cs="Calibri"/>
                <w:b/>
                <w:bCs/>
                <w:color w:val="000000"/>
                <w:sz w:val="15"/>
                <w:szCs w:val="15"/>
              </w:rPr>
            </w:pPr>
            <w:r w:rsidRPr="00C3512C">
              <w:rPr>
                <w:rFonts w:ascii="Arial Narrow" w:hAnsi="Arial Narrow"/>
                <w:sz w:val="15"/>
                <w:szCs w:val="15"/>
              </w:rPr>
              <w:t xml:space="preserve">$184,412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03F06C37" w14:textId="14092335"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39742F8E" w14:textId="1B5F8B73"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39512F8E" w14:textId="258BE8D6"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7A9A33AC" w14:textId="7EC3177A"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$4,018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08BD4C91" w14:textId="4F1A42AC"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612F0C8C" w14:textId="70D74CB5"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650147B3" w14:textId="2DFB5260"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7D288CFE" w14:textId="506E27B3"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17B5ECDA" w14:textId="6DA699FC"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$10,491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394C3559" w14:textId="3EA0E580"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$67,252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3BA75C1E" w14:textId="08292695"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$64,105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1E85BB00" w14:textId="4CDFD182"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$130,</w:t>
            </w:r>
            <w:r w:rsidR="00C3512C" w:rsidRPr="00C3512C">
              <w:rPr>
                <w:rFonts w:ascii="Arial Narrow" w:hAnsi="Arial Narrow"/>
                <w:sz w:val="15"/>
                <w:szCs w:val="15"/>
              </w:rPr>
              <w:t>449</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0B63A926" w14:textId="49018888"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 xml:space="preserve">$81,760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095CC87C" w14:textId="4FA363C6" w:rsidR="00505B4F" w:rsidRPr="00D2623D" w:rsidRDefault="00505B4F" w:rsidP="00505B4F">
            <w:pPr>
              <w:jc w:val="right"/>
              <w:rPr>
                <w:rFonts w:ascii="Arial Narrow" w:hAnsi="Arial Narrow" w:cs="Calibri"/>
                <w:b/>
                <w:bCs/>
                <w:color w:val="000000"/>
                <w:sz w:val="15"/>
                <w:szCs w:val="15"/>
              </w:rPr>
            </w:pPr>
            <w:r w:rsidRPr="00D2623D">
              <w:rPr>
                <w:rFonts w:ascii="Arial Narrow" w:hAnsi="Arial Narrow"/>
                <w:sz w:val="15"/>
                <w:szCs w:val="15"/>
              </w:rPr>
              <w:t>$48,</w:t>
            </w:r>
            <w:r w:rsidR="00C3512C" w:rsidRPr="00C3512C">
              <w:rPr>
                <w:rFonts w:ascii="Arial Narrow" w:hAnsi="Arial Narrow"/>
                <w:sz w:val="15"/>
                <w:szCs w:val="15"/>
              </w:rPr>
              <w:t>689</w:t>
            </w:r>
            <w:r w:rsidRPr="00D2623D">
              <w:rPr>
                <w:rFonts w:ascii="Arial Narrow" w:hAnsi="Arial Narrow"/>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auto"/>
            <w:hideMark/>
          </w:tcPr>
          <w:p w14:paraId="478400EF" w14:textId="5074E3D0" w:rsidR="00505B4F" w:rsidRPr="00D2623D" w:rsidRDefault="00505B4F" w:rsidP="00505B4F">
            <w:pPr>
              <w:jc w:val="center"/>
              <w:rPr>
                <w:rFonts w:ascii="Arial Narrow" w:hAnsi="Arial Narrow" w:cs="Calibri"/>
                <w:b/>
                <w:bCs/>
                <w:color w:val="000000"/>
                <w:sz w:val="15"/>
                <w:szCs w:val="15"/>
              </w:rPr>
            </w:pPr>
            <w:r w:rsidRPr="00D2623D">
              <w:rPr>
                <w:rFonts w:ascii="Arial Narrow" w:hAnsi="Arial Narrow"/>
                <w:sz w:val="15"/>
                <w:szCs w:val="15"/>
              </w:rPr>
              <w:t>1.</w:t>
            </w:r>
            <w:r w:rsidR="00C3512C" w:rsidRPr="00C3512C">
              <w:rPr>
                <w:rFonts w:ascii="Arial Narrow" w:hAnsi="Arial Narrow"/>
                <w:sz w:val="15"/>
                <w:szCs w:val="15"/>
              </w:rPr>
              <w:t>60</w:t>
            </w:r>
          </w:p>
        </w:tc>
      </w:tr>
      <w:tr w:rsidR="00D2623D" w:rsidRPr="00881A26" w14:paraId="7C623293"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4D35EA24" w14:textId="568BB4B8" w:rsidR="00505B4F" w:rsidRPr="00D2623D" w:rsidRDefault="00505B4F" w:rsidP="00505B4F">
            <w:pPr>
              <w:rPr>
                <w:rFonts w:ascii="Arial Narrow" w:hAnsi="Arial Narrow" w:cs="Calibri"/>
                <w:sz w:val="15"/>
                <w:szCs w:val="15"/>
              </w:rPr>
            </w:pPr>
            <w:r w:rsidRPr="00D2623D">
              <w:rPr>
                <w:rFonts w:ascii="Arial Narrow" w:hAnsi="Arial Narrow"/>
                <w:sz w:val="15"/>
                <w:szCs w:val="15"/>
              </w:rPr>
              <w:t>Targeted Systems</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8643AA0" w14:textId="5E52A5A6"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$26,643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829D3E8" w14:textId="3F5F58E1"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$184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7B34591" w14:textId="34255065"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380C728" w14:textId="45411AEB"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$19,298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E65308E" w14:textId="76B38584" w:rsidR="00505B4F" w:rsidRPr="00D2623D" w:rsidRDefault="00C3512C" w:rsidP="00505B4F">
            <w:pPr>
              <w:jc w:val="right"/>
              <w:rPr>
                <w:rFonts w:ascii="Arial Narrow" w:hAnsi="Arial Narrow" w:cs="Calibri"/>
                <w:color w:val="000000"/>
                <w:sz w:val="15"/>
                <w:szCs w:val="15"/>
              </w:rPr>
            </w:pPr>
            <w:r w:rsidRPr="00C3512C">
              <w:rPr>
                <w:rFonts w:ascii="Arial Narrow" w:hAnsi="Arial Narrow"/>
                <w:sz w:val="15"/>
                <w:szCs w:val="15"/>
              </w:rPr>
              <w:t xml:space="preserve">$51,712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B04AE6B" w14:textId="4965B593"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DA44239" w14:textId="64F1E9B9"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18D4838" w14:textId="31C68832"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4185911" w14:textId="12E13989"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51DE160" w14:textId="04BE9F1B"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65C17FC" w14:textId="04EDC12B"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610FEE7" w14:textId="2B034968"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50FD462" w14:textId="533ECE08"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B53A618" w14:textId="73AD9152"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$9,701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317AF2D" w14:textId="585039AE"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$20,092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EA81D9F" w14:textId="598C2636"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$17,718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2855985" w14:textId="2E0523C6"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$26,828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0C8076E" w14:textId="502C466A"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$29,794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4D1BEB5" w14:textId="16141C4C"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($2,966)</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6D8E04FC" w14:textId="1C25CCD6" w:rsidR="00505B4F" w:rsidRPr="00D2623D" w:rsidRDefault="00505B4F" w:rsidP="00505B4F">
            <w:pPr>
              <w:jc w:val="center"/>
              <w:rPr>
                <w:rFonts w:ascii="Arial Narrow" w:hAnsi="Arial Narrow" w:cs="Calibri"/>
                <w:color w:val="000000"/>
                <w:sz w:val="15"/>
                <w:szCs w:val="15"/>
              </w:rPr>
            </w:pPr>
            <w:r w:rsidRPr="00D2623D">
              <w:rPr>
                <w:rFonts w:ascii="Arial Narrow" w:hAnsi="Arial Narrow"/>
                <w:sz w:val="15"/>
                <w:szCs w:val="15"/>
              </w:rPr>
              <w:t>0.90</w:t>
            </w:r>
          </w:p>
        </w:tc>
      </w:tr>
      <w:tr w:rsidR="00BC4B51" w:rsidRPr="00881A26" w14:paraId="7AB5AC52" w14:textId="77777777" w:rsidTr="00FA2F22">
        <w:trPr>
          <w:trHeight w:val="300"/>
        </w:trPr>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10A284A" w14:textId="5450397B" w:rsidR="00505B4F" w:rsidRPr="00FA2F22" w:rsidRDefault="00505B4F" w:rsidP="00505B4F">
            <w:pPr>
              <w:rPr>
                <w:rFonts w:ascii="Arial Narrow" w:hAnsi="Arial Narrow" w:cs="Calibri"/>
                <w:b/>
                <w:bCs/>
                <w:sz w:val="15"/>
                <w:szCs w:val="15"/>
              </w:rPr>
            </w:pPr>
            <w:r w:rsidRPr="00FA2F22">
              <w:rPr>
                <w:rFonts w:ascii="Arial Narrow" w:hAnsi="Arial Narrow"/>
                <w:b/>
                <w:bCs/>
                <w:sz w:val="15"/>
                <w:szCs w:val="15"/>
              </w:rPr>
              <w:t>Business &amp; Public Sector Total</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3DB884B6" w14:textId="1050B78F" w:rsidR="00505B4F" w:rsidRPr="00FA2F22" w:rsidRDefault="00505B4F" w:rsidP="00505B4F">
            <w:pPr>
              <w:jc w:val="right"/>
              <w:rPr>
                <w:rFonts w:ascii="Arial Narrow" w:hAnsi="Arial Narrow" w:cs="Calibri"/>
                <w:b/>
                <w:bCs/>
                <w:sz w:val="15"/>
                <w:szCs w:val="15"/>
              </w:rPr>
            </w:pPr>
            <w:r w:rsidRPr="00FA2F22">
              <w:rPr>
                <w:rFonts w:ascii="Arial Narrow" w:hAnsi="Arial Narrow"/>
                <w:b/>
                <w:bCs/>
                <w:sz w:val="15"/>
                <w:szCs w:val="15"/>
              </w:rPr>
              <w:t xml:space="preserve">$407,450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AC80E2F" w14:textId="782B8486"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$6,082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17D519A3" w14:textId="544E28EB"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$2,492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5453FBB" w14:textId="5CF90723"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$256,126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CAAC7A5" w14:textId="37547DF3" w:rsidR="00505B4F" w:rsidRPr="00FA2F22" w:rsidRDefault="00C3512C" w:rsidP="00505B4F">
            <w:pPr>
              <w:jc w:val="right"/>
              <w:rPr>
                <w:rFonts w:ascii="Arial Narrow" w:hAnsi="Arial Narrow" w:cs="Calibri"/>
                <w:b/>
                <w:bCs/>
                <w:color w:val="000000"/>
                <w:sz w:val="15"/>
                <w:szCs w:val="15"/>
              </w:rPr>
            </w:pPr>
            <w:r w:rsidRPr="00C3512C">
              <w:rPr>
                <w:rFonts w:ascii="Arial Narrow" w:hAnsi="Arial Narrow"/>
                <w:b/>
                <w:bCs/>
                <w:sz w:val="15"/>
                <w:szCs w:val="15"/>
              </w:rPr>
              <w:t xml:space="preserve">$611,268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EB9CF32" w14:textId="61D63C3F"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94E8B3B" w14:textId="060E5213"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54016A6" w14:textId="415A0D03" w:rsidR="00505B4F" w:rsidRPr="00FA2F22" w:rsidRDefault="00505B4F" w:rsidP="00505B4F">
            <w:pPr>
              <w:jc w:val="right"/>
              <w:rPr>
                <w:rFonts w:ascii="Arial Narrow" w:hAnsi="Arial Narrow" w:cs="Calibri"/>
                <w:b/>
                <w:bCs/>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6B1AB55" w14:textId="673B45E3"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$4,018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906AB3B" w14:textId="4024D49B"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7FE3B79E" w14:textId="08A8DD1B"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5E0829A6" w14:textId="46CCEF9F"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7A32ABE1" w14:textId="205F4483"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04F8CA22" w14:textId="413B4284"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$62,023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576F2356" w14:textId="03F01AA1"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$171,650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5DAB81CB" w14:textId="322D28CA"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$198,753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179F23A3" w14:textId="70D24FDB" w:rsidR="00505B4F" w:rsidRPr="00FA2F22" w:rsidRDefault="00C3512C" w:rsidP="00505B4F">
            <w:pPr>
              <w:jc w:val="right"/>
              <w:rPr>
                <w:rFonts w:ascii="Arial Narrow" w:hAnsi="Arial Narrow" w:cs="Calibri"/>
                <w:b/>
                <w:bCs/>
                <w:color w:val="000000"/>
                <w:sz w:val="15"/>
                <w:szCs w:val="15"/>
              </w:rPr>
            </w:pPr>
            <w:r w:rsidRPr="00C3512C">
              <w:rPr>
                <w:rFonts w:ascii="Arial Narrow" w:hAnsi="Arial Narrow"/>
                <w:b/>
                <w:bCs/>
                <w:sz w:val="15"/>
                <w:szCs w:val="15"/>
              </w:rPr>
              <w:t xml:space="preserve">$416,024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4F26E45A" w14:textId="100BF840" w:rsidR="00505B4F" w:rsidRPr="00FA2F22" w:rsidRDefault="00505B4F" w:rsidP="00505B4F">
            <w:pPr>
              <w:jc w:val="right"/>
              <w:rPr>
                <w:rFonts w:ascii="Arial Narrow" w:hAnsi="Arial Narrow" w:cs="Calibri"/>
                <w:b/>
                <w:bCs/>
                <w:color w:val="000000"/>
                <w:sz w:val="15"/>
                <w:szCs w:val="15"/>
              </w:rPr>
            </w:pPr>
            <w:r w:rsidRPr="00FA2F22">
              <w:rPr>
                <w:rFonts w:ascii="Arial Narrow" w:hAnsi="Arial Narrow"/>
                <w:b/>
                <w:bCs/>
                <w:sz w:val="15"/>
                <w:szCs w:val="15"/>
              </w:rPr>
              <w:t xml:space="preserve">$225,064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2133D1E" w14:textId="3AD4D30F" w:rsidR="00505B4F" w:rsidRPr="00FA2F22" w:rsidRDefault="00C3512C" w:rsidP="00505B4F">
            <w:pPr>
              <w:jc w:val="right"/>
              <w:rPr>
                <w:rFonts w:ascii="Arial Narrow" w:hAnsi="Arial Narrow" w:cs="Calibri"/>
                <w:b/>
                <w:bCs/>
                <w:color w:val="000000"/>
                <w:sz w:val="15"/>
                <w:szCs w:val="15"/>
              </w:rPr>
            </w:pPr>
            <w:r w:rsidRPr="00C3512C">
              <w:rPr>
                <w:rFonts w:ascii="Arial Narrow" w:hAnsi="Arial Narrow"/>
                <w:b/>
                <w:bCs/>
                <w:sz w:val="15"/>
                <w:szCs w:val="15"/>
              </w:rPr>
              <w:t xml:space="preserve">$190,960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571C7B5E" w14:textId="6A980F26" w:rsidR="00505B4F" w:rsidRPr="00FA2F22" w:rsidRDefault="00505B4F" w:rsidP="00505B4F">
            <w:pPr>
              <w:jc w:val="center"/>
              <w:rPr>
                <w:rFonts w:ascii="Arial Narrow" w:hAnsi="Arial Narrow" w:cs="Calibri"/>
                <w:b/>
                <w:bCs/>
                <w:color w:val="000000"/>
                <w:sz w:val="15"/>
                <w:szCs w:val="15"/>
              </w:rPr>
            </w:pPr>
            <w:r w:rsidRPr="00FA2F22">
              <w:rPr>
                <w:rFonts w:ascii="Arial Narrow" w:hAnsi="Arial Narrow"/>
                <w:b/>
                <w:bCs/>
                <w:sz w:val="15"/>
                <w:szCs w:val="15"/>
              </w:rPr>
              <w:t>1.</w:t>
            </w:r>
            <w:r w:rsidR="00C3512C" w:rsidRPr="00C3512C">
              <w:rPr>
                <w:rFonts w:ascii="Arial Narrow" w:hAnsi="Arial Narrow"/>
                <w:b/>
                <w:bCs/>
                <w:sz w:val="15"/>
                <w:szCs w:val="15"/>
              </w:rPr>
              <w:t>85</w:t>
            </w:r>
          </w:p>
        </w:tc>
      </w:tr>
      <w:tr w:rsidR="00D2623D" w:rsidRPr="00881A26" w14:paraId="26B93A10" w14:textId="77777777">
        <w:trPr>
          <w:trHeight w:val="300"/>
        </w:trPr>
        <w:tc>
          <w:tcPr>
            <w:tcW w:w="0" w:type="auto"/>
            <w:tcBorders>
              <w:top w:val="single" w:sz="4" w:space="0" w:color="60B8CC" w:themeColor="accent4"/>
              <w:left w:val="nil"/>
              <w:bottom w:val="single" w:sz="4" w:space="0" w:color="60B8CC" w:themeColor="accent4"/>
              <w:right w:val="nil"/>
            </w:tcBorders>
            <w:shd w:val="clear" w:color="auto" w:fill="auto"/>
            <w:noWrap/>
            <w:hideMark/>
          </w:tcPr>
          <w:p w14:paraId="16D90843" w14:textId="59A9D2B4" w:rsidR="00505B4F" w:rsidRPr="00D2623D" w:rsidRDefault="00505B4F" w:rsidP="00505B4F">
            <w:pPr>
              <w:rPr>
                <w:rFonts w:ascii="Arial Narrow" w:hAnsi="Arial Narrow" w:cs="Calibri"/>
                <w:sz w:val="15"/>
                <w:szCs w:val="15"/>
              </w:rPr>
            </w:pPr>
            <w:r w:rsidRPr="00D2623D">
              <w:rPr>
                <w:rFonts w:ascii="Arial Narrow" w:hAnsi="Arial Narrow"/>
                <w:sz w:val="15"/>
                <w:szCs w:val="15"/>
              </w:rPr>
              <w:t>Voltage Optimization</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F1EA43F" w14:textId="580DFD48"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$56,309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58FB74F" w14:textId="32BC5666"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5785B45" w14:textId="2BF96C90"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5522C6D" w14:textId="52BF68BC"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$35,532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C7F1A95" w14:textId="72498B3A" w:rsidR="00505B4F" w:rsidRPr="00D2623D" w:rsidRDefault="00C3512C" w:rsidP="00505B4F">
            <w:pPr>
              <w:jc w:val="right"/>
              <w:rPr>
                <w:rFonts w:ascii="Arial Narrow" w:hAnsi="Arial Narrow" w:cs="Calibri"/>
                <w:color w:val="000000"/>
                <w:sz w:val="15"/>
                <w:szCs w:val="15"/>
              </w:rPr>
            </w:pPr>
            <w:r w:rsidRPr="00C3512C">
              <w:rPr>
                <w:rFonts w:ascii="Arial Narrow" w:hAnsi="Arial Narrow"/>
                <w:sz w:val="15"/>
                <w:szCs w:val="15"/>
              </w:rPr>
              <w:t xml:space="preserve">$94,287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32B7676" w14:textId="635464F0"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56C466A" w14:textId="24FCCBA7"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5D6172C" w14:textId="354F9480" w:rsidR="00505B4F" w:rsidRPr="00D2623D" w:rsidRDefault="00505B4F" w:rsidP="00505B4F">
            <w:pPr>
              <w:jc w:val="right"/>
              <w:rPr>
                <w:rFonts w:ascii="Arial Narrow" w:hAnsi="Arial Narrow" w:cs="Calibri"/>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5143A21D" w14:textId="3B283FC2"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2AAF160B" w14:textId="5A3C21D5"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9ED5FDE" w14:textId="7E4337D4"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2838025" w14:textId="6A655C9C"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9D7E3A2" w14:textId="5D18A239"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7A448FAC" w14:textId="45E104D3"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$43,054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348A0D0" w14:textId="0B6D09D5"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044E11A0" w14:textId="488860B2"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206D43B" w14:textId="1A641CBE"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$56,309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1B08C29D" w14:textId="1C2AA96E"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$43,054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3A1EB915" w14:textId="0139AD38" w:rsidR="00505B4F" w:rsidRPr="00D2623D" w:rsidRDefault="00505B4F" w:rsidP="00505B4F">
            <w:pPr>
              <w:jc w:val="right"/>
              <w:rPr>
                <w:rFonts w:ascii="Arial Narrow" w:hAnsi="Arial Narrow" w:cs="Calibri"/>
                <w:color w:val="000000"/>
                <w:sz w:val="15"/>
                <w:szCs w:val="15"/>
              </w:rPr>
            </w:pPr>
            <w:r w:rsidRPr="00D2623D">
              <w:rPr>
                <w:rFonts w:ascii="Arial Narrow" w:hAnsi="Arial Narrow"/>
                <w:sz w:val="15"/>
                <w:szCs w:val="15"/>
              </w:rPr>
              <w:t xml:space="preserve">$13,255 </w:t>
            </w:r>
          </w:p>
        </w:tc>
        <w:tc>
          <w:tcPr>
            <w:tcW w:w="0" w:type="auto"/>
            <w:tcBorders>
              <w:top w:val="single" w:sz="4" w:space="0" w:color="60B8CC" w:themeColor="accent4"/>
              <w:left w:val="nil"/>
              <w:bottom w:val="single" w:sz="4" w:space="0" w:color="60B8CC" w:themeColor="accent4"/>
              <w:right w:val="nil"/>
            </w:tcBorders>
            <w:shd w:val="clear" w:color="auto" w:fill="auto"/>
            <w:noWrap/>
            <w:hideMark/>
          </w:tcPr>
          <w:p w14:paraId="47AF2F5F" w14:textId="3238AED7" w:rsidR="00505B4F" w:rsidRPr="00D2623D" w:rsidRDefault="00505B4F" w:rsidP="00505B4F">
            <w:pPr>
              <w:jc w:val="center"/>
              <w:rPr>
                <w:rFonts w:ascii="Arial Narrow" w:hAnsi="Arial Narrow" w:cs="Calibri"/>
                <w:color w:val="000000"/>
                <w:sz w:val="15"/>
                <w:szCs w:val="15"/>
              </w:rPr>
            </w:pPr>
            <w:r w:rsidRPr="00D2623D">
              <w:rPr>
                <w:rFonts w:ascii="Arial Narrow" w:hAnsi="Arial Narrow"/>
                <w:sz w:val="15"/>
                <w:szCs w:val="15"/>
              </w:rPr>
              <w:t>1.31</w:t>
            </w:r>
          </w:p>
        </w:tc>
      </w:tr>
      <w:tr w:rsidR="00BC4B51" w:rsidRPr="00881A26" w14:paraId="4757B2B4" w14:textId="77777777" w:rsidTr="00FA2F22">
        <w:trPr>
          <w:trHeight w:val="300"/>
        </w:trPr>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2AF53687" w14:textId="672E366C" w:rsidR="00D2623D" w:rsidRPr="00D2623D" w:rsidRDefault="00D2623D" w:rsidP="00FA2F22">
            <w:pPr>
              <w:rPr>
                <w:rFonts w:ascii="Arial Narrow" w:hAnsi="Arial Narrow" w:cs="Calibri"/>
                <w:b/>
                <w:bCs/>
                <w:color w:val="000000"/>
                <w:sz w:val="15"/>
                <w:szCs w:val="15"/>
              </w:rPr>
            </w:pPr>
            <w:r w:rsidRPr="00C3512C">
              <w:rPr>
                <w:rFonts w:ascii="Arial Narrow" w:hAnsi="Arial Narrow"/>
                <w:b/>
                <w:sz w:val="15"/>
                <w:szCs w:val="15"/>
              </w:rPr>
              <w:t>Portfolio Total without IE &amp; with VO</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C39B429" w14:textId="58EA4090"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$622,318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CC13793" w14:textId="1331CA0F"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$114,054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4B7DE276" w14:textId="347E5A58"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$27,632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37659D9D" w14:textId="75F70D5E"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$420,352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05C5438" w14:textId="310972F5" w:rsidR="00D2623D" w:rsidRPr="00FA2F22" w:rsidRDefault="00C3512C" w:rsidP="00D2623D">
            <w:pPr>
              <w:jc w:val="right"/>
              <w:rPr>
                <w:rFonts w:ascii="Arial Narrow" w:hAnsi="Arial Narrow" w:cs="Calibri"/>
                <w:b/>
                <w:bCs/>
                <w:color w:val="000000"/>
                <w:sz w:val="15"/>
                <w:szCs w:val="15"/>
              </w:rPr>
            </w:pPr>
            <w:r w:rsidRPr="00C3512C">
              <w:rPr>
                <w:rFonts w:ascii="Arial Narrow" w:hAnsi="Arial Narrow"/>
                <w:b/>
                <w:bCs/>
                <w:sz w:val="15"/>
                <w:szCs w:val="15"/>
              </w:rPr>
              <w:t xml:space="preserve">$1,222,148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0117CD6D" w14:textId="5FEF18F5"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0930835A" w14:textId="19142038"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252BC261" w14:textId="00593D35"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$15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ACCC870" w14:textId="2A79AEDF"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$4,037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3D322D91" w14:textId="5733EFF9"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490AF0B3" w14:textId="1195BDF4"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43C0DD17" w14:textId="2AECE0C7"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8EEA1EE" w14:textId="02A49AFA"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5C71AD9" w14:textId="6FBB476A"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$173,</w:t>
            </w:r>
            <w:r w:rsidR="00C3512C" w:rsidRPr="00C3512C">
              <w:rPr>
                <w:rFonts w:ascii="Arial Narrow" w:hAnsi="Arial Narrow"/>
                <w:b/>
                <w:bCs/>
                <w:sz w:val="15"/>
                <w:szCs w:val="15"/>
              </w:rPr>
              <w:t>643</w:t>
            </w:r>
            <w:r w:rsidRPr="00FA2F22">
              <w:rPr>
                <w:rFonts w:ascii="Arial Narrow" w:hAnsi="Arial Narrow"/>
                <w:b/>
                <w:bCs/>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25DEC8B" w14:textId="354329E2"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$197,677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848780B" w14:textId="64B604DD"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$238,447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0F323F40" w14:textId="40C4B304"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$736,372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5B13A77" w14:textId="0EBE143F"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$375,</w:t>
            </w:r>
            <w:r w:rsidR="00C3512C" w:rsidRPr="00C3512C">
              <w:rPr>
                <w:rFonts w:ascii="Arial Narrow" w:hAnsi="Arial Narrow"/>
                <w:b/>
                <w:bCs/>
                <w:sz w:val="15"/>
                <w:szCs w:val="15"/>
              </w:rPr>
              <w:t>372</w:t>
            </w:r>
            <w:r w:rsidRPr="00FA2F22">
              <w:rPr>
                <w:rFonts w:ascii="Arial Narrow" w:hAnsi="Arial Narrow"/>
                <w:b/>
                <w:bCs/>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4B1CB442" w14:textId="1225EAF0"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$361,</w:t>
            </w:r>
            <w:r w:rsidR="00C3512C" w:rsidRPr="00C3512C">
              <w:rPr>
                <w:rFonts w:ascii="Arial Narrow" w:hAnsi="Arial Narrow"/>
                <w:b/>
                <w:bCs/>
                <w:sz w:val="15"/>
                <w:szCs w:val="15"/>
              </w:rPr>
              <w:t>000</w:t>
            </w:r>
            <w:r w:rsidRPr="00FA2F22">
              <w:rPr>
                <w:rFonts w:ascii="Arial Narrow" w:hAnsi="Arial Narrow"/>
                <w:b/>
                <w:bCs/>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273C1754" w14:textId="0C3FDD46" w:rsidR="00D2623D" w:rsidRPr="00FA2F22" w:rsidRDefault="00D2623D" w:rsidP="00D2623D">
            <w:pPr>
              <w:jc w:val="center"/>
              <w:rPr>
                <w:rFonts w:ascii="Arial Narrow" w:hAnsi="Arial Narrow" w:cs="Calibri"/>
                <w:b/>
                <w:bCs/>
                <w:color w:val="000000"/>
                <w:sz w:val="15"/>
                <w:szCs w:val="15"/>
              </w:rPr>
            </w:pPr>
            <w:r w:rsidRPr="00FA2F22">
              <w:rPr>
                <w:rFonts w:ascii="Arial Narrow" w:hAnsi="Arial Narrow"/>
                <w:b/>
                <w:bCs/>
                <w:sz w:val="15"/>
                <w:szCs w:val="15"/>
              </w:rPr>
              <w:t>1.96</w:t>
            </w:r>
          </w:p>
        </w:tc>
      </w:tr>
      <w:tr w:rsidR="00BC4B51" w:rsidRPr="00881A26" w14:paraId="5C275EED" w14:textId="77777777" w:rsidTr="00FA2F22">
        <w:trPr>
          <w:trHeight w:val="300"/>
        </w:trPr>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0A6F7E48" w14:textId="300B84D0" w:rsidR="00D2623D" w:rsidRPr="00D2623D" w:rsidRDefault="00D2623D" w:rsidP="00FA2F22">
            <w:pPr>
              <w:rPr>
                <w:rFonts w:ascii="Arial Narrow" w:hAnsi="Arial Narrow" w:cs="Calibri"/>
                <w:b/>
                <w:bCs/>
                <w:color w:val="000000"/>
                <w:sz w:val="15"/>
                <w:szCs w:val="15"/>
              </w:rPr>
            </w:pPr>
            <w:r w:rsidRPr="00C3512C">
              <w:rPr>
                <w:rFonts w:ascii="Arial Narrow" w:hAnsi="Arial Narrow"/>
                <w:b/>
                <w:sz w:val="15"/>
                <w:szCs w:val="15"/>
              </w:rPr>
              <w:t>Portfolio Total with IE &amp; without VO</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24C504B" w14:textId="4857D9E3"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$762,837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4B139AA" w14:textId="7FD70247"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$213,513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4DFE28AA" w14:textId="119BB67D"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$43,587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2A6AEFFB" w14:textId="3190BD85"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$526,628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3852B13" w14:textId="19A2C231" w:rsidR="00D2623D" w:rsidRPr="00FA2F22" w:rsidRDefault="00C3512C" w:rsidP="00D2623D">
            <w:pPr>
              <w:jc w:val="right"/>
              <w:rPr>
                <w:rFonts w:ascii="Arial Narrow" w:hAnsi="Arial Narrow" w:cs="Calibri"/>
                <w:b/>
                <w:bCs/>
                <w:color w:val="000000"/>
                <w:sz w:val="15"/>
                <w:szCs w:val="15"/>
              </w:rPr>
            </w:pPr>
            <w:r w:rsidRPr="00C3512C">
              <w:rPr>
                <w:rFonts w:ascii="Arial Narrow" w:hAnsi="Arial Narrow"/>
                <w:b/>
                <w:bCs/>
                <w:sz w:val="15"/>
                <w:szCs w:val="15"/>
              </w:rPr>
              <w:t xml:space="preserve">$1,157,704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06D26F44" w14:textId="771C1763"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20344BD" w14:textId="005657DF"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270F9F9" w14:textId="40A70792"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$79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2332B434" w14:textId="6CAE47C4"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$5,247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B37F432" w14:textId="36E242BF"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CA0230A" w14:textId="7F0F65AC"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066D20A9" w14:textId="36622003"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238AA7B2" w14:textId="6AEA2FCC"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9502943" w14:textId="57255716"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$158,</w:t>
            </w:r>
            <w:r w:rsidR="00C3512C" w:rsidRPr="00C3512C">
              <w:rPr>
                <w:rFonts w:ascii="Arial Narrow" w:hAnsi="Arial Narrow"/>
                <w:b/>
                <w:bCs/>
                <w:sz w:val="15"/>
                <w:szCs w:val="15"/>
              </w:rPr>
              <w:t>976</w:t>
            </w:r>
            <w:r w:rsidRPr="00FA2F22">
              <w:rPr>
                <w:rFonts w:ascii="Arial Narrow" w:hAnsi="Arial Narrow"/>
                <w:b/>
                <w:bCs/>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334BC1C3" w14:textId="3EFCFB8E"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$276,745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C55282F" w14:textId="074D8C48"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$332,709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9F384D0" w14:textId="5EA896F6"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$976,350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3E3B1593" w14:textId="152FACF7" w:rsidR="00D2623D" w:rsidRPr="00FA2F22" w:rsidRDefault="00C3512C" w:rsidP="00D2623D">
            <w:pPr>
              <w:jc w:val="right"/>
              <w:rPr>
                <w:rFonts w:ascii="Arial Narrow" w:hAnsi="Arial Narrow" w:cs="Calibri"/>
                <w:b/>
                <w:bCs/>
                <w:color w:val="000000"/>
                <w:sz w:val="15"/>
                <w:szCs w:val="15"/>
              </w:rPr>
            </w:pPr>
            <w:r w:rsidRPr="00C3512C">
              <w:rPr>
                <w:rFonts w:ascii="Arial Narrow" w:hAnsi="Arial Narrow"/>
                <w:b/>
                <w:bCs/>
                <w:sz w:val="15"/>
                <w:szCs w:val="15"/>
              </w:rPr>
              <w:t xml:space="preserve">$441,047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BB78576" w14:textId="07A3D3D1"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$535,</w:t>
            </w:r>
            <w:r w:rsidR="00C3512C" w:rsidRPr="00C3512C">
              <w:rPr>
                <w:rFonts w:ascii="Arial Narrow" w:hAnsi="Arial Narrow"/>
                <w:b/>
                <w:bCs/>
                <w:sz w:val="15"/>
                <w:szCs w:val="15"/>
              </w:rPr>
              <w:t>303</w:t>
            </w:r>
            <w:r w:rsidRPr="00FA2F22">
              <w:rPr>
                <w:rFonts w:ascii="Arial Narrow" w:hAnsi="Arial Narrow"/>
                <w:b/>
                <w:bCs/>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4A87F0A2" w14:textId="600F364F" w:rsidR="00D2623D" w:rsidRPr="00FA2F22" w:rsidRDefault="00D2623D" w:rsidP="00D2623D">
            <w:pPr>
              <w:jc w:val="center"/>
              <w:rPr>
                <w:rFonts w:ascii="Arial Narrow" w:hAnsi="Arial Narrow" w:cs="Calibri"/>
                <w:b/>
                <w:bCs/>
                <w:color w:val="000000"/>
                <w:sz w:val="15"/>
                <w:szCs w:val="15"/>
              </w:rPr>
            </w:pPr>
            <w:r w:rsidRPr="00FA2F22">
              <w:rPr>
                <w:rFonts w:ascii="Arial Narrow" w:hAnsi="Arial Narrow"/>
                <w:b/>
                <w:bCs/>
                <w:sz w:val="15"/>
                <w:szCs w:val="15"/>
              </w:rPr>
              <w:t>2.21</w:t>
            </w:r>
          </w:p>
        </w:tc>
      </w:tr>
      <w:tr w:rsidR="00BC4B51" w:rsidRPr="00881A26" w14:paraId="217E0CA6" w14:textId="77777777" w:rsidTr="00FA2F22">
        <w:trPr>
          <w:trHeight w:val="300"/>
        </w:trPr>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noWrap/>
            <w:hideMark/>
          </w:tcPr>
          <w:p w14:paraId="6D718F66" w14:textId="3122F0C3" w:rsidR="00D2623D" w:rsidRPr="00D2623D" w:rsidRDefault="00D2623D" w:rsidP="00FA2F22">
            <w:pPr>
              <w:rPr>
                <w:rFonts w:ascii="Arial Narrow" w:hAnsi="Arial Narrow" w:cs="Calibri"/>
                <w:b/>
                <w:bCs/>
                <w:color w:val="000000"/>
                <w:sz w:val="15"/>
                <w:szCs w:val="15"/>
              </w:rPr>
            </w:pPr>
            <w:r w:rsidRPr="00C3512C">
              <w:rPr>
                <w:rFonts w:ascii="Arial Narrow" w:hAnsi="Arial Narrow"/>
                <w:b/>
                <w:sz w:val="15"/>
                <w:szCs w:val="15"/>
              </w:rPr>
              <w:t>Portfolio Total without IE</w:t>
            </w:r>
            <w:r w:rsidR="00C3512C" w:rsidRPr="00C3512C">
              <w:rPr>
                <w:rFonts w:ascii="Arial Narrow" w:hAnsi="Arial Narrow"/>
                <w:b/>
                <w:bCs/>
                <w:sz w:val="15"/>
                <w:szCs w:val="15"/>
              </w:rPr>
              <w:t xml:space="preserve"> &amp;</w:t>
            </w:r>
            <w:r w:rsidRPr="00C3512C">
              <w:rPr>
                <w:rFonts w:ascii="Arial Narrow" w:hAnsi="Arial Narrow"/>
                <w:b/>
                <w:sz w:val="15"/>
                <w:szCs w:val="15"/>
              </w:rPr>
              <w:t xml:space="preserve"> VO</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38972C13" w14:textId="7FA13D9A"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$566,009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A829DA9" w14:textId="12D66301"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$114,054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FE71E2F" w14:textId="4519BE0C"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$27,632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007DB6FD" w14:textId="1DD7F11C"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$384,820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1E1A714" w14:textId="208E9023" w:rsidR="00D2623D" w:rsidRPr="00FA2F22" w:rsidRDefault="00C3512C" w:rsidP="00D2623D">
            <w:pPr>
              <w:jc w:val="right"/>
              <w:rPr>
                <w:rFonts w:ascii="Arial Narrow" w:hAnsi="Arial Narrow" w:cs="Calibri"/>
                <w:b/>
                <w:bCs/>
                <w:color w:val="000000"/>
                <w:sz w:val="15"/>
                <w:szCs w:val="15"/>
              </w:rPr>
            </w:pPr>
            <w:r w:rsidRPr="00C3512C">
              <w:rPr>
                <w:rFonts w:ascii="Arial Narrow" w:hAnsi="Arial Narrow"/>
                <w:b/>
                <w:bCs/>
                <w:sz w:val="15"/>
                <w:szCs w:val="15"/>
              </w:rPr>
              <w:t xml:space="preserve">$1,127,862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78D399AF" w14:textId="5E0E6BF7"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8BBB7D9" w14:textId="389B04FA"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0488E19E" w14:textId="51BB52CD"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$15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12441F73" w14:textId="194FC28E"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$4,037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A774954" w14:textId="00F01F16"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2D451174" w14:textId="71230A92"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4DBB653C" w14:textId="4AD4FCC6"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29277D53" w14:textId="4E5290B6"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AFF9A6A" w14:textId="4F2BCB11"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$130,</w:t>
            </w:r>
            <w:r w:rsidR="00C3512C" w:rsidRPr="00C3512C">
              <w:rPr>
                <w:rFonts w:ascii="Arial Narrow" w:hAnsi="Arial Narrow"/>
                <w:b/>
                <w:bCs/>
                <w:sz w:val="15"/>
                <w:szCs w:val="15"/>
              </w:rPr>
              <w:t>589</w:t>
            </w:r>
            <w:r w:rsidRPr="00FA2F22">
              <w:rPr>
                <w:rFonts w:ascii="Arial Narrow" w:hAnsi="Arial Narrow"/>
                <w:b/>
                <w:bCs/>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AD3B65D" w14:textId="2ABA8B42"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$197,677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5707F051" w14:textId="4A066CF4"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$238,447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69B27DE" w14:textId="44BA95A7"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$680,063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695564AF" w14:textId="7B5A4A99"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$332,</w:t>
            </w:r>
            <w:r w:rsidR="00C3512C" w:rsidRPr="00C3512C">
              <w:rPr>
                <w:rFonts w:ascii="Arial Narrow" w:hAnsi="Arial Narrow"/>
                <w:b/>
                <w:bCs/>
                <w:sz w:val="15"/>
                <w:szCs w:val="15"/>
              </w:rPr>
              <w:t>318</w:t>
            </w:r>
            <w:r w:rsidRPr="00FA2F22">
              <w:rPr>
                <w:rFonts w:ascii="Arial Narrow" w:hAnsi="Arial Narrow"/>
                <w:b/>
                <w:bCs/>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0C048324" w14:textId="04E0A44A"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$347,</w:t>
            </w:r>
            <w:r w:rsidR="00C3512C" w:rsidRPr="00C3512C">
              <w:rPr>
                <w:rFonts w:ascii="Arial Narrow" w:hAnsi="Arial Narrow"/>
                <w:b/>
                <w:bCs/>
                <w:sz w:val="15"/>
                <w:szCs w:val="15"/>
              </w:rPr>
              <w:t>745</w:t>
            </w:r>
            <w:r w:rsidRPr="00FA2F22">
              <w:rPr>
                <w:rFonts w:ascii="Arial Narrow" w:hAnsi="Arial Narrow"/>
                <w:b/>
                <w:bCs/>
                <w:sz w:val="15"/>
                <w:szCs w:val="15"/>
              </w:rPr>
              <w:t xml:space="preserve"> </w:t>
            </w:r>
          </w:p>
        </w:tc>
        <w:tc>
          <w:tcPr>
            <w:tcW w:w="0" w:type="auto"/>
            <w:tcBorders>
              <w:top w:val="single" w:sz="4" w:space="0" w:color="60B8CC" w:themeColor="accent4"/>
              <w:left w:val="nil"/>
              <w:bottom w:val="single" w:sz="4" w:space="0" w:color="60B8CC" w:themeColor="accent4"/>
              <w:right w:val="nil"/>
            </w:tcBorders>
            <w:shd w:val="clear" w:color="auto" w:fill="D9D9D9" w:themeFill="background1" w:themeFillShade="D9"/>
            <w:hideMark/>
          </w:tcPr>
          <w:p w14:paraId="2427AF55" w14:textId="01E27B9C" w:rsidR="00D2623D" w:rsidRPr="00FA2F22" w:rsidRDefault="00D2623D" w:rsidP="00D2623D">
            <w:pPr>
              <w:jc w:val="center"/>
              <w:rPr>
                <w:rFonts w:ascii="Arial Narrow" w:hAnsi="Arial Narrow" w:cs="Calibri"/>
                <w:b/>
                <w:bCs/>
                <w:color w:val="000000"/>
                <w:sz w:val="15"/>
                <w:szCs w:val="15"/>
              </w:rPr>
            </w:pPr>
            <w:r w:rsidRPr="00FA2F22">
              <w:rPr>
                <w:rFonts w:ascii="Arial Narrow" w:hAnsi="Arial Narrow"/>
                <w:b/>
                <w:bCs/>
                <w:sz w:val="15"/>
                <w:szCs w:val="15"/>
              </w:rPr>
              <w:t>2.05</w:t>
            </w:r>
          </w:p>
        </w:tc>
      </w:tr>
      <w:tr w:rsidR="00BC4B51" w:rsidRPr="00881A26" w14:paraId="7F846B85" w14:textId="77777777" w:rsidTr="00FA2F22">
        <w:trPr>
          <w:trHeight w:val="300"/>
        </w:trPr>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noWrap/>
            <w:hideMark/>
          </w:tcPr>
          <w:p w14:paraId="7BB7FBB1" w14:textId="7C450727" w:rsidR="00D2623D" w:rsidRPr="00D2623D" w:rsidRDefault="00D2623D" w:rsidP="00FA2F22">
            <w:pPr>
              <w:rPr>
                <w:rFonts w:ascii="Arial Narrow" w:hAnsi="Arial Narrow" w:cs="Calibri"/>
                <w:b/>
                <w:bCs/>
                <w:color w:val="000000"/>
                <w:sz w:val="15"/>
                <w:szCs w:val="15"/>
              </w:rPr>
            </w:pPr>
            <w:r w:rsidRPr="00C3512C">
              <w:rPr>
                <w:rFonts w:ascii="Arial Narrow" w:hAnsi="Arial Narrow"/>
                <w:b/>
                <w:sz w:val="15"/>
                <w:szCs w:val="15"/>
              </w:rPr>
              <w:t>Portfolio Total with IE &amp; VO</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5C3FA8C4" w14:textId="0E44C4A8"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$819,146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113A3D99" w14:textId="4CF403F7"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$213,513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0259DA9F" w14:textId="334B4629"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$43,587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4C24B68A" w14:textId="512A2C68"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$562,160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377BAF7E" w14:textId="5CDF0C31" w:rsidR="00D2623D" w:rsidRPr="00FA2F22" w:rsidRDefault="00C3512C" w:rsidP="00D2623D">
            <w:pPr>
              <w:jc w:val="right"/>
              <w:rPr>
                <w:rFonts w:ascii="Arial Narrow" w:hAnsi="Arial Narrow" w:cs="Calibri"/>
                <w:b/>
                <w:bCs/>
                <w:color w:val="000000"/>
                <w:sz w:val="15"/>
                <w:szCs w:val="15"/>
              </w:rPr>
            </w:pPr>
            <w:r w:rsidRPr="00C3512C">
              <w:rPr>
                <w:rFonts w:ascii="Arial Narrow" w:hAnsi="Arial Narrow"/>
                <w:b/>
                <w:bCs/>
                <w:sz w:val="15"/>
                <w:szCs w:val="15"/>
              </w:rPr>
              <w:t xml:space="preserve">$1,251,990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1F0839B6" w14:textId="7E3BC189"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199AB2CB" w14:textId="2AA0ACE5"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5EC9C7A6" w14:textId="6376F4F4"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$79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7DFD0417" w14:textId="488C1407"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$5,247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6E92EFEC" w14:textId="4C5C3FA7"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160B1D75" w14:textId="26F66532"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4375DA8F" w14:textId="4C237B1C"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1B4E7D9D" w14:textId="39DBCF4B"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$0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2D35A576" w14:textId="2AE293D7" w:rsidR="00D2623D" w:rsidRPr="00FA2F22" w:rsidRDefault="00C3512C" w:rsidP="00D2623D">
            <w:pPr>
              <w:jc w:val="right"/>
              <w:rPr>
                <w:rFonts w:ascii="Arial Narrow" w:hAnsi="Arial Narrow" w:cs="Calibri"/>
                <w:b/>
                <w:bCs/>
                <w:color w:val="000000"/>
                <w:sz w:val="15"/>
                <w:szCs w:val="15"/>
              </w:rPr>
            </w:pPr>
            <w:r w:rsidRPr="00C3512C">
              <w:rPr>
                <w:rFonts w:ascii="Arial Narrow" w:hAnsi="Arial Narrow"/>
                <w:b/>
                <w:bCs/>
                <w:sz w:val="15"/>
                <w:szCs w:val="15"/>
              </w:rPr>
              <w:t xml:space="preserve">$202,030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7E1966E5" w14:textId="490CFE66"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$276,745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2F8D66E3" w14:textId="15E7EDF8"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$332,709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5EB0EA81" w14:textId="2661AB35"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 xml:space="preserve">$1,032,659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4421411D" w14:textId="59BCF741" w:rsidR="00D2623D" w:rsidRPr="00FA2F22" w:rsidRDefault="00C3512C" w:rsidP="00D2623D">
            <w:pPr>
              <w:jc w:val="right"/>
              <w:rPr>
                <w:rFonts w:ascii="Arial Narrow" w:hAnsi="Arial Narrow" w:cs="Calibri"/>
                <w:b/>
                <w:bCs/>
                <w:color w:val="000000"/>
                <w:sz w:val="15"/>
                <w:szCs w:val="15"/>
              </w:rPr>
            </w:pPr>
            <w:r w:rsidRPr="00C3512C">
              <w:rPr>
                <w:rFonts w:ascii="Arial Narrow" w:hAnsi="Arial Narrow"/>
                <w:b/>
                <w:bCs/>
                <w:sz w:val="15"/>
                <w:szCs w:val="15"/>
              </w:rPr>
              <w:t xml:space="preserve">$484,101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4ACBBEBD" w14:textId="0D873D0A" w:rsidR="00D2623D" w:rsidRPr="00FA2F22" w:rsidRDefault="00D2623D" w:rsidP="00D2623D">
            <w:pPr>
              <w:jc w:val="right"/>
              <w:rPr>
                <w:rFonts w:ascii="Arial Narrow" w:hAnsi="Arial Narrow" w:cs="Calibri"/>
                <w:b/>
                <w:bCs/>
                <w:color w:val="000000"/>
                <w:sz w:val="15"/>
                <w:szCs w:val="15"/>
              </w:rPr>
            </w:pPr>
            <w:r w:rsidRPr="00FA2F22">
              <w:rPr>
                <w:rFonts w:ascii="Arial Narrow" w:hAnsi="Arial Narrow"/>
                <w:b/>
                <w:bCs/>
                <w:sz w:val="15"/>
                <w:szCs w:val="15"/>
              </w:rPr>
              <w:t>$548,</w:t>
            </w:r>
            <w:r w:rsidR="00C3512C" w:rsidRPr="00C3512C">
              <w:rPr>
                <w:rFonts w:ascii="Arial Narrow" w:hAnsi="Arial Narrow"/>
                <w:b/>
                <w:bCs/>
                <w:sz w:val="15"/>
                <w:szCs w:val="15"/>
              </w:rPr>
              <w:t>558</w:t>
            </w:r>
            <w:r w:rsidRPr="00FA2F22">
              <w:rPr>
                <w:rFonts w:ascii="Arial Narrow" w:hAnsi="Arial Narrow"/>
                <w:b/>
                <w:bCs/>
                <w:sz w:val="15"/>
                <w:szCs w:val="15"/>
              </w:rPr>
              <w:t xml:space="preserve"> </w:t>
            </w:r>
          </w:p>
        </w:tc>
        <w:tc>
          <w:tcPr>
            <w:tcW w:w="0" w:type="auto"/>
            <w:tcBorders>
              <w:top w:val="single" w:sz="4" w:space="0" w:color="60B8CC" w:themeColor="accent4"/>
              <w:left w:val="nil"/>
              <w:bottom w:val="single" w:sz="12" w:space="0" w:color="036479" w:themeColor="accent3"/>
              <w:right w:val="nil"/>
            </w:tcBorders>
            <w:shd w:val="clear" w:color="auto" w:fill="D9D9D9" w:themeFill="background1" w:themeFillShade="D9"/>
            <w:hideMark/>
          </w:tcPr>
          <w:p w14:paraId="05614443" w14:textId="06FD5916" w:rsidR="00D2623D" w:rsidRPr="00FA2F22" w:rsidRDefault="00D2623D" w:rsidP="00D2623D">
            <w:pPr>
              <w:jc w:val="center"/>
              <w:rPr>
                <w:rFonts w:ascii="Arial Narrow" w:hAnsi="Arial Narrow" w:cs="Calibri"/>
                <w:b/>
                <w:bCs/>
                <w:color w:val="000000"/>
                <w:sz w:val="15"/>
                <w:szCs w:val="15"/>
              </w:rPr>
            </w:pPr>
            <w:r w:rsidRPr="00FA2F22">
              <w:rPr>
                <w:rFonts w:ascii="Arial Narrow" w:hAnsi="Arial Narrow"/>
                <w:b/>
                <w:bCs/>
                <w:sz w:val="15"/>
                <w:szCs w:val="15"/>
              </w:rPr>
              <w:t>2.13</w:t>
            </w:r>
          </w:p>
        </w:tc>
      </w:tr>
    </w:tbl>
    <w:p w14:paraId="12E27107" w14:textId="4BD610CC" w:rsidR="004550F1" w:rsidRDefault="004550F1" w:rsidP="00A152AF">
      <w:pPr>
        <w:pStyle w:val="TableFigureNote"/>
        <w:rPr>
          <w:iCs/>
        </w:rPr>
      </w:pPr>
      <w:r>
        <w:rPr>
          <w:iCs/>
        </w:rPr>
        <w:t>*The TRC and UCT values are calculated using the sum of all the offerings’ benefits and costs.</w:t>
      </w:r>
    </w:p>
    <w:p w14:paraId="30BBC4E1" w14:textId="52D72FFB" w:rsidR="007673DB" w:rsidRPr="00DB5AC5" w:rsidRDefault="00BA4B09" w:rsidP="00DB5AC5">
      <w:pPr>
        <w:pStyle w:val="FootnoteText"/>
      </w:pPr>
      <w:r w:rsidRPr="00BA4B09">
        <w:rPr>
          <w:rFonts w:ascii="Arial Narrow" w:hAnsi="Arial Narrow"/>
        </w:rPr>
        <w:t>‡</w:t>
      </w:r>
      <w:r w:rsidR="007673DB" w:rsidRPr="00021870">
        <w:t>Gas heating penalties from energy efficiency measures designed to save electricity are being calculated as part of the overall fossil fuel cost changes.</w:t>
      </w:r>
      <w:r w:rsidR="007673DB" w:rsidRPr="00E60344">
        <w:rPr>
          <w:i/>
        </w:rPr>
        <w:t xml:space="preserve">  </w:t>
      </w:r>
    </w:p>
    <w:p w14:paraId="031B9455" w14:textId="66CCA214" w:rsidR="00E97E1A" w:rsidRPr="00E97E1A" w:rsidRDefault="00E97E1A" w:rsidP="00731DF1">
      <w:pPr>
        <w:pStyle w:val="Source"/>
      </w:pPr>
      <w:r>
        <w:t>Source:</w:t>
      </w:r>
      <w:r w:rsidR="002D152F">
        <w:t xml:space="preserve"> </w:t>
      </w:r>
      <w:r w:rsidR="007522A3">
        <w:t>Guidehouse analysis</w:t>
      </w:r>
    </w:p>
    <w:p w14:paraId="10A436F7" w14:textId="111070A8" w:rsidR="00DE5AA4" w:rsidRDefault="00710123" w:rsidP="004C38F0">
      <w:pPr>
        <w:pStyle w:val="Caption"/>
      </w:pPr>
      <w:r>
        <w:br w:type="page"/>
      </w:r>
      <w:bookmarkStart w:id="115" w:name="_Ref168310675"/>
      <w:bookmarkStart w:id="116" w:name="_Toc196925430"/>
      <w:r w:rsidR="00750B08" w:rsidRPr="00937808">
        <w:lastRenderedPageBreak/>
        <w:t xml:space="preserve">Table </w:t>
      </w:r>
      <w:r w:rsidR="00750B08" w:rsidRPr="00937808">
        <w:fldChar w:fldCharType="begin"/>
      </w:r>
      <w:r w:rsidR="00750B08" w:rsidRPr="00937808">
        <w:instrText>STYLEREF 1 \s</w:instrText>
      </w:r>
      <w:r w:rsidR="00750B08" w:rsidRPr="00937808">
        <w:fldChar w:fldCharType="separate"/>
      </w:r>
      <w:r w:rsidR="00427EE9">
        <w:rPr>
          <w:noProof/>
        </w:rPr>
        <w:t>3</w:t>
      </w:r>
      <w:r w:rsidR="00750B08" w:rsidRPr="00937808">
        <w:fldChar w:fldCharType="end"/>
      </w:r>
      <w:r w:rsidR="004E7E09" w:rsidRPr="006857DE">
        <w:noBreakHyphen/>
      </w:r>
      <w:r w:rsidR="004E7E09" w:rsidRPr="006857DE">
        <w:fldChar w:fldCharType="begin"/>
      </w:r>
      <w:r w:rsidR="004E7E09" w:rsidRPr="006857DE">
        <w:instrText>SEQ Table \* ARABIC \s 1</w:instrText>
      </w:r>
      <w:r w:rsidR="004E7E09" w:rsidRPr="006857DE">
        <w:fldChar w:fldCharType="separate"/>
      </w:r>
      <w:r w:rsidR="00427EE9">
        <w:rPr>
          <w:noProof/>
        </w:rPr>
        <w:t>3</w:t>
      </w:r>
      <w:r w:rsidR="004E7E09" w:rsidRPr="006857DE">
        <w:fldChar w:fldCharType="end"/>
      </w:r>
      <w:bookmarkEnd w:id="115"/>
      <w:r w:rsidR="004E7E09" w:rsidRPr="006857DE">
        <w:rPr>
          <w:noProof/>
        </w:rPr>
        <w:t>.</w:t>
      </w:r>
      <w:r w:rsidR="00750B08" w:rsidRPr="00937808">
        <w:t xml:space="preserve"> ComEd Electrification Measure Costs</w:t>
      </w:r>
      <w:bookmarkEnd w:id="109"/>
      <w:bookmarkEnd w:id="110"/>
      <w:bookmarkEnd w:id="111"/>
      <w:bookmarkEnd w:id="116"/>
    </w:p>
    <w:tbl>
      <w:tblPr>
        <w:tblW w:w="22765" w:type="dxa"/>
        <w:tblLayout w:type="fixed"/>
        <w:tblLook w:val="04A0" w:firstRow="1" w:lastRow="0" w:firstColumn="1" w:lastColumn="0" w:noHBand="0" w:noVBand="1"/>
      </w:tblPr>
      <w:tblGrid>
        <w:gridCol w:w="1809"/>
        <w:gridCol w:w="1727"/>
        <w:gridCol w:w="689"/>
        <w:gridCol w:w="900"/>
        <w:gridCol w:w="2160"/>
        <w:gridCol w:w="630"/>
        <w:gridCol w:w="1080"/>
        <w:gridCol w:w="1080"/>
        <w:gridCol w:w="1080"/>
        <w:gridCol w:w="1170"/>
        <w:gridCol w:w="1080"/>
        <w:gridCol w:w="1080"/>
        <w:gridCol w:w="900"/>
        <w:gridCol w:w="810"/>
        <w:gridCol w:w="900"/>
        <w:gridCol w:w="630"/>
        <w:gridCol w:w="900"/>
        <w:gridCol w:w="540"/>
        <w:gridCol w:w="990"/>
        <w:gridCol w:w="990"/>
        <w:gridCol w:w="810"/>
        <w:gridCol w:w="810"/>
      </w:tblGrid>
      <w:tr w:rsidR="00F105E2" w:rsidRPr="00D17114" w14:paraId="6B0F4A76" w14:textId="77777777" w:rsidTr="00D17114">
        <w:trPr>
          <w:trHeight w:val="1275"/>
          <w:tblHeader/>
        </w:trPr>
        <w:tc>
          <w:tcPr>
            <w:tcW w:w="1809" w:type="dxa"/>
            <w:tcBorders>
              <w:top w:val="single" w:sz="4" w:space="0" w:color="F2F2F2"/>
              <w:left w:val="single" w:sz="4" w:space="0" w:color="F2F2F2"/>
              <w:bottom w:val="single" w:sz="12" w:space="0" w:color="93D500" w:themeColor="accent1"/>
              <w:right w:val="single" w:sz="4" w:space="0" w:color="F2F2F2"/>
            </w:tcBorders>
            <w:shd w:val="clear" w:color="auto" w:fill="036479" w:themeFill="accent3"/>
            <w:vAlign w:val="center"/>
            <w:hideMark/>
          </w:tcPr>
          <w:p w14:paraId="023CE16D" w14:textId="77777777" w:rsidR="004B3429" w:rsidRPr="00D17114" w:rsidRDefault="004B3429" w:rsidP="00435EA7">
            <w:pP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Program</w:t>
            </w:r>
          </w:p>
        </w:tc>
        <w:tc>
          <w:tcPr>
            <w:tcW w:w="1727"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74A0BC7B" w14:textId="77777777" w:rsidR="004B3429" w:rsidRPr="00D17114" w:rsidRDefault="004B3429" w:rsidP="00435EA7">
            <w:pP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Component</w:t>
            </w:r>
          </w:p>
        </w:tc>
        <w:tc>
          <w:tcPr>
            <w:tcW w:w="689"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556BA921" w14:textId="77777777" w:rsidR="004B3429" w:rsidRPr="00D17114" w:rsidRDefault="004B3429" w:rsidP="00435EA7">
            <w:pP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IE</w:t>
            </w:r>
          </w:p>
        </w:tc>
        <w:tc>
          <w:tcPr>
            <w:tcW w:w="90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1E443DDE" w14:textId="77777777" w:rsidR="004B3429" w:rsidRPr="00D17114" w:rsidRDefault="004B3429" w:rsidP="00435EA7">
            <w:pP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End Use Type</w:t>
            </w:r>
          </w:p>
        </w:tc>
        <w:tc>
          <w:tcPr>
            <w:tcW w:w="216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3B06302F" w14:textId="77777777" w:rsidR="004B3429" w:rsidRPr="00D17114" w:rsidRDefault="004B3429" w:rsidP="00435EA7">
            <w:pP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Savings Category</w:t>
            </w:r>
          </w:p>
        </w:tc>
        <w:tc>
          <w:tcPr>
            <w:tcW w:w="63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7773604D" w14:textId="2EDCD9DE"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Q</w:t>
            </w:r>
            <w:r w:rsidR="000233DB" w:rsidRPr="00D17114">
              <w:rPr>
                <w:rFonts w:ascii="Arial Narrow" w:hAnsi="Arial Narrow" w:cs="Calibri"/>
                <w:b/>
                <w:color w:val="FFFFFF" w:themeColor="background1"/>
                <w:sz w:val="16"/>
                <w:szCs w:val="16"/>
              </w:rPr>
              <w:t>ty</w:t>
            </w:r>
          </w:p>
        </w:tc>
        <w:tc>
          <w:tcPr>
            <w:tcW w:w="108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20425306"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Increase in Electricity Consumption (kWh)</w:t>
            </w:r>
          </w:p>
        </w:tc>
        <w:tc>
          <w:tcPr>
            <w:tcW w:w="108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2B77DA22"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Average Increase in Electricity Consumption (kWh)</w:t>
            </w:r>
          </w:p>
        </w:tc>
        <w:tc>
          <w:tcPr>
            <w:tcW w:w="108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2FF812BC"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Decrease in Gas Consumption (therms)</w:t>
            </w:r>
          </w:p>
        </w:tc>
        <w:tc>
          <w:tcPr>
            <w:tcW w:w="117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5AF37B9B"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Average Decrease in Gas Consumption (therms)</w:t>
            </w:r>
          </w:p>
        </w:tc>
        <w:tc>
          <w:tcPr>
            <w:tcW w:w="108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49D9C3D2"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Decrease in Gas Consumption (kWh)</w:t>
            </w:r>
          </w:p>
        </w:tc>
        <w:tc>
          <w:tcPr>
            <w:tcW w:w="108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423A3950"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Net Change in Electricity Consumption (kWh)</w:t>
            </w:r>
          </w:p>
        </w:tc>
        <w:tc>
          <w:tcPr>
            <w:tcW w:w="90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4EB58CBA"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Ex Ante Gross Savings (kWh)</w:t>
            </w:r>
          </w:p>
        </w:tc>
        <w:tc>
          <w:tcPr>
            <w:tcW w:w="81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25E48D2B"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Program Gross Realization Rate</w:t>
            </w:r>
          </w:p>
        </w:tc>
        <w:tc>
          <w:tcPr>
            <w:tcW w:w="90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4C087D0B"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Verified Gross Savings (kWh)</w:t>
            </w:r>
          </w:p>
        </w:tc>
        <w:tc>
          <w:tcPr>
            <w:tcW w:w="63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7CB1E157"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Program Net-to-Gross Ratio (NTG)</w:t>
            </w:r>
          </w:p>
        </w:tc>
        <w:tc>
          <w:tcPr>
            <w:tcW w:w="90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4F1EB859"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Verified Net Savings (kWh)</w:t>
            </w:r>
          </w:p>
        </w:tc>
        <w:tc>
          <w:tcPr>
            <w:tcW w:w="54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6892FDFB"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EUL</w:t>
            </w:r>
          </w:p>
        </w:tc>
        <w:tc>
          <w:tcPr>
            <w:tcW w:w="99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6A26633E"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Total Cost</w:t>
            </w:r>
          </w:p>
        </w:tc>
        <w:tc>
          <w:tcPr>
            <w:tcW w:w="99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5DBA324A"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Total Utility Cost</w:t>
            </w:r>
          </w:p>
        </w:tc>
        <w:tc>
          <w:tcPr>
            <w:tcW w:w="81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4B2828E2"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Average Cost</w:t>
            </w:r>
          </w:p>
        </w:tc>
        <w:tc>
          <w:tcPr>
            <w:tcW w:w="810" w:type="dxa"/>
            <w:tcBorders>
              <w:top w:val="single" w:sz="4" w:space="0" w:color="F2F2F2"/>
              <w:left w:val="nil"/>
              <w:bottom w:val="single" w:sz="12" w:space="0" w:color="93D500" w:themeColor="accent1"/>
              <w:right w:val="single" w:sz="4" w:space="0" w:color="F2F2F2"/>
            </w:tcBorders>
            <w:shd w:val="clear" w:color="auto" w:fill="036479" w:themeFill="accent3"/>
            <w:vAlign w:val="center"/>
            <w:hideMark/>
          </w:tcPr>
          <w:p w14:paraId="5EB5446F" w14:textId="77777777" w:rsidR="004B3429" w:rsidRPr="00D17114" w:rsidRDefault="004B3429" w:rsidP="004B3429">
            <w:pPr>
              <w:jc w:val="center"/>
              <w:rPr>
                <w:rFonts w:ascii="Arial Narrow" w:hAnsi="Arial Narrow" w:cs="Calibri"/>
                <w:b/>
                <w:color w:val="FFFFFF" w:themeColor="background1"/>
                <w:sz w:val="16"/>
                <w:szCs w:val="16"/>
              </w:rPr>
            </w:pPr>
            <w:r w:rsidRPr="00D17114">
              <w:rPr>
                <w:rFonts w:ascii="Arial Narrow" w:hAnsi="Arial Narrow" w:cs="Calibri"/>
                <w:b/>
                <w:color w:val="FFFFFF" w:themeColor="background1"/>
                <w:sz w:val="16"/>
                <w:szCs w:val="16"/>
              </w:rPr>
              <w:t>Average Utility Cost</w:t>
            </w:r>
          </w:p>
        </w:tc>
      </w:tr>
      <w:tr w:rsidR="00E65079" w:rsidRPr="004B3429" w14:paraId="69EEADBE" w14:textId="77777777">
        <w:trPr>
          <w:trHeight w:val="300"/>
        </w:trPr>
        <w:tc>
          <w:tcPr>
            <w:tcW w:w="1809" w:type="dxa"/>
            <w:tcBorders>
              <w:top w:val="single" w:sz="12" w:space="0" w:color="93D500" w:themeColor="accent1"/>
              <w:left w:val="nil"/>
              <w:bottom w:val="single" w:sz="4" w:space="0" w:color="60B8CC" w:themeColor="accent4"/>
              <w:right w:val="nil"/>
            </w:tcBorders>
            <w:shd w:val="clear" w:color="auto" w:fill="auto"/>
            <w:noWrap/>
            <w:hideMark/>
          </w:tcPr>
          <w:p w14:paraId="44A87F89" w14:textId="0E4BEB6F"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Contractor/Midstream Rebates</w:t>
            </w:r>
          </w:p>
        </w:tc>
        <w:tc>
          <w:tcPr>
            <w:tcW w:w="1727" w:type="dxa"/>
            <w:tcBorders>
              <w:top w:val="single" w:sz="12" w:space="0" w:color="93D500" w:themeColor="accent1"/>
              <w:left w:val="nil"/>
              <w:bottom w:val="single" w:sz="4" w:space="0" w:color="60B8CC" w:themeColor="accent4"/>
              <w:right w:val="nil"/>
            </w:tcBorders>
            <w:shd w:val="clear" w:color="auto" w:fill="auto"/>
            <w:noWrap/>
            <w:hideMark/>
          </w:tcPr>
          <w:p w14:paraId="0F318F8D" w14:textId="6C4C59F8"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Midstream</w:t>
            </w:r>
          </w:p>
        </w:tc>
        <w:tc>
          <w:tcPr>
            <w:tcW w:w="689" w:type="dxa"/>
            <w:tcBorders>
              <w:top w:val="single" w:sz="12" w:space="0" w:color="93D500" w:themeColor="accent1"/>
              <w:left w:val="nil"/>
              <w:bottom w:val="single" w:sz="4" w:space="0" w:color="60B8CC" w:themeColor="accent4"/>
              <w:right w:val="nil"/>
            </w:tcBorders>
            <w:shd w:val="clear" w:color="auto" w:fill="auto"/>
            <w:noWrap/>
            <w:hideMark/>
          </w:tcPr>
          <w:p w14:paraId="7B5CD375" w14:textId="36C7CB50"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12" w:space="0" w:color="93D500" w:themeColor="accent1"/>
              <w:left w:val="nil"/>
              <w:bottom w:val="single" w:sz="4" w:space="0" w:color="60B8CC" w:themeColor="accent4"/>
              <w:right w:val="nil"/>
            </w:tcBorders>
            <w:shd w:val="clear" w:color="auto" w:fill="auto"/>
            <w:noWrap/>
            <w:hideMark/>
          </w:tcPr>
          <w:p w14:paraId="33293B65" w14:textId="18CE1217"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12" w:space="0" w:color="93D500" w:themeColor="accent1"/>
              <w:left w:val="nil"/>
              <w:bottom w:val="single" w:sz="4" w:space="0" w:color="60B8CC" w:themeColor="accent4"/>
              <w:right w:val="nil"/>
            </w:tcBorders>
            <w:shd w:val="clear" w:color="auto" w:fill="auto"/>
            <w:noWrap/>
            <w:hideMark/>
          </w:tcPr>
          <w:p w14:paraId="4FD87053" w14:textId="5F877C98"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Ground Source Heat Pump - Electrification (Income Eligible)</w:t>
            </w:r>
          </w:p>
        </w:tc>
        <w:tc>
          <w:tcPr>
            <w:tcW w:w="630" w:type="dxa"/>
            <w:tcBorders>
              <w:top w:val="single" w:sz="12" w:space="0" w:color="93D500" w:themeColor="accent1"/>
              <w:left w:val="nil"/>
              <w:bottom w:val="single" w:sz="4" w:space="0" w:color="60B8CC" w:themeColor="accent4"/>
              <w:right w:val="nil"/>
            </w:tcBorders>
            <w:shd w:val="clear" w:color="auto" w:fill="auto"/>
            <w:noWrap/>
            <w:hideMark/>
          </w:tcPr>
          <w:p w14:paraId="3D5A09CD" w14:textId="4F2BAF1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w:t>
            </w:r>
          </w:p>
        </w:tc>
        <w:tc>
          <w:tcPr>
            <w:tcW w:w="1080" w:type="dxa"/>
            <w:tcBorders>
              <w:top w:val="single" w:sz="12" w:space="0" w:color="93D500" w:themeColor="accent1"/>
              <w:left w:val="nil"/>
              <w:bottom w:val="single" w:sz="4" w:space="0" w:color="60B8CC" w:themeColor="accent4"/>
              <w:right w:val="nil"/>
            </w:tcBorders>
            <w:shd w:val="clear" w:color="auto" w:fill="auto"/>
            <w:noWrap/>
            <w:hideMark/>
          </w:tcPr>
          <w:p w14:paraId="4236DBA8" w14:textId="58E0AF2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9,621</w:t>
            </w:r>
          </w:p>
        </w:tc>
        <w:tc>
          <w:tcPr>
            <w:tcW w:w="1080" w:type="dxa"/>
            <w:tcBorders>
              <w:top w:val="single" w:sz="12" w:space="0" w:color="93D500" w:themeColor="accent1"/>
              <w:left w:val="nil"/>
              <w:bottom w:val="single" w:sz="4" w:space="0" w:color="60B8CC" w:themeColor="accent4"/>
              <w:right w:val="nil"/>
            </w:tcBorders>
            <w:shd w:val="clear" w:color="auto" w:fill="auto"/>
            <w:noWrap/>
            <w:hideMark/>
          </w:tcPr>
          <w:p w14:paraId="4D95A23C" w14:textId="62951F8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5,064</w:t>
            </w:r>
          </w:p>
        </w:tc>
        <w:tc>
          <w:tcPr>
            <w:tcW w:w="1080" w:type="dxa"/>
            <w:tcBorders>
              <w:top w:val="single" w:sz="12" w:space="0" w:color="93D500" w:themeColor="accent1"/>
              <w:left w:val="nil"/>
              <w:bottom w:val="single" w:sz="4" w:space="0" w:color="60B8CC" w:themeColor="accent4"/>
              <w:right w:val="nil"/>
            </w:tcBorders>
            <w:shd w:val="clear" w:color="auto" w:fill="auto"/>
            <w:noWrap/>
            <w:hideMark/>
          </w:tcPr>
          <w:p w14:paraId="007DA859" w14:textId="1217707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1,843</w:t>
            </w:r>
          </w:p>
        </w:tc>
        <w:tc>
          <w:tcPr>
            <w:tcW w:w="1170" w:type="dxa"/>
            <w:tcBorders>
              <w:top w:val="single" w:sz="12" w:space="0" w:color="93D500" w:themeColor="accent1"/>
              <w:left w:val="nil"/>
              <w:bottom w:val="single" w:sz="4" w:space="0" w:color="60B8CC" w:themeColor="accent4"/>
              <w:right w:val="nil"/>
            </w:tcBorders>
            <w:shd w:val="clear" w:color="auto" w:fill="auto"/>
            <w:noWrap/>
            <w:hideMark/>
          </w:tcPr>
          <w:p w14:paraId="6FB01BEC" w14:textId="1ED1594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970</w:t>
            </w:r>
          </w:p>
        </w:tc>
        <w:tc>
          <w:tcPr>
            <w:tcW w:w="1080" w:type="dxa"/>
            <w:tcBorders>
              <w:top w:val="single" w:sz="12" w:space="0" w:color="93D500" w:themeColor="accent1"/>
              <w:left w:val="nil"/>
              <w:bottom w:val="single" w:sz="4" w:space="0" w:color="60B8CC" w:themeColor="accent4"/>
              <w:right w:val="nil"/>
            </w:tcBorders>
            <w:shd w:val="clear" w:color="auto" w:fill="auto"/>
            <w:noWrap/>
            <w:hideMark/>
          </w:tcPr>
          <w:p w14:paraId="522C126A" w14:textId="20F7734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54,016</w:t>
            </w:r>
          </w:p>
        </w:tc>
        <w:tc>
          <w:tcPr>
            <w:tcW w:w="1080" w:type="dxa"/>
            <w:tcBorders>
              <w:top w:val="single" w:sz="12" w:space="0" w:color="93D500" w:themeColor="accent1"/>
              <w:left w:val="nil"/>
              <w:bottom w:val="single" w:sz="4" w:space="0" w:color="60B8CC" w:themeColor="accent4"/>
              <w:right w:val="nil"/>
            </w:tcBorders>
            <w:shd w:val="clear" w:color="auto" w:fill="auto"/>
            <w:noWrap/>
            <w:hideMark/>
          </w:tcPr>
          <w:p w14:paraId="7FCB3E40" w14:textId="7465572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44,395</w:t>
            </w:r>
          </w:p>
        </w:tc>
        <w:tc>
          <w:tcPr>
            <w:tcW w:w="900" w:type="dxa"/>
            <w:tcBorders>
              <w:top w:val="single" w:sz="12" w:space="0" w:color="93D500" w:themeColor="accent1"/>
              <w:left w:val="nil"/>
              <w:bottom w:val="single" w:sz="4" w:space="0" w:color="60B8CC" w:themeColor="accent4"/>
              <w:right w:val="nil"/>
            </w:tcBorders>
            <w:shd w:val="clear" w:color="auto" w:fill="auto"/>
            <w:noWrap/>
            <w:hideMark/>
          </w:tcPr>
          <w:p w14:paraId="332023F9" w14:textId="47C4B09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42,287</w:t>
            </w:r>
          </w:p>
        </w:tc>
        <w:tc>
          <w:tcPr>
            <w:tcW w:w="810" w:type="dxa"/>
            <w:tcBorders>
              <w:top w:val="single" w:sz="12" w:space="0" w:color="93D500" w:themeColor="accent1"/>
              <w:left w:val="nil"/>
              <w:bottom w:val="single" w:sz="4" w:space="0" w:color="60B8CC" w:themeColor="accent4"/>
              <w:right w:val="nil"/>
            </w:tcBorders>
            <w:shd w:val="clear" w:color="auto" w:fill="auto"/>
            <w:noWrap/>
            <w:hideMark/>
          </w:tcPr>
          <w:p w14:paraId="7310D1B5" w14:textId="2255A65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1.16</w:t>
            </w:r>
          </w:p>
        </w:tc>
        <w:tc>
          <w:tcPr>
            <w:tcW w:w="900" w:type="dxa"/>
            <w:tcBorders>
              <w:top w:val="single" w:sz="12" w:space="0" w:color="93D500" w:themeColor="accent1"/>
              <w:left w:val="nil"/>
              <w:bottom w:val="single" w:sz="4" w:space="0" w:color="60B8CC" w:themeColor="accent4"/>
              <w:right w:val="nil"/>
            </w:tcBorders>
            <w:shd w:val="clear" w:color="auto" w:fill="auto"/>
            <w:noWrap/>
            <w:hideMark/>
          </w:tcPr>
          <w:p w14:paraId="674A0D2E" w14:textId="404D6E3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49,129</w:t>
            </w:r>
          </w:p>
        </w:tc>
        <w:tc>
          <w:tcPr>
            <w:tcW w:w="630" w:type="dxa"/>
            <w:tcBorders>
              <w:top w:val="single" w:sz="12" w:space="0" w:color="93D500" w:themeColor="accent1"/>
              <w:left w:val="nil"/>
              <w:bottom w:val="single" w:sz="4" w:space="0" w:color="60B8CC" w:themeColor="accent4"/>
              <w:right w:val="nil"/>
            </w:tcBorders>
            <w:shd w:val="clear" w:color="auto" w:fill="auto"/>
            <w:noWrap/>
            <w:hideMark/>
          </w:tcPr>
          <w:p w14:paraId="1EE88471" w14:textId="39865AA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0.93</w:t>
            </w:r>
          </w:p>
        </w:tc>
        <w:tc>
          <w:tcPr>
            <w:tcW w:w="900" w:type="dxa"/>
            <w:tcBorders>
              <w:top w:val="single" w:sz="12" w:space="0" w:color="93D500" w:themeColor="accent1"/>
              <w:left w:val="nil"/>
              <w:bottom w:val="single" w:sz="4" w:space="0" w:color="60B8CC" w:themeColor="accent4"/>
              <w:right w:val="nil"/>
            </w:tcBorders>
            <w:shd w:val="clear" w:color="auto" w:fill="auto"/>
            <w:noWrap/>
            <w:hideMark/>
          </w:tcPr>
          <w:p w14:paraId="592D97A6" w14:textId="3B8CBE3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45,690</w:t>
            </w:r>
          </w:p>
        </w:tc>
        <w:tc>
          <w:tcPr>
            <w:tcW w:w="540" w:type="dxa"/>
            <w:tcBorders>
              <w:top w:val="single" w:sz="12" w:space="0" w:color="93D500" w:themeColor="accent1"/>
              <w:left w:val="nil"/>
              <w:bottom w:val="single" w:sz="4" w:space="0" w:color="60B8CC" w:themeColor="accent4"/>
              <w:right w:val="nil"/>
            </w:tcBorders>
            <w:shd w:val="clear" w:color="auto" w:fill="auto"/>
            <w:noWrap/>
            <w:hideMark/>
          </w:tcPr>
          <w:p w14:paraId="451FA8C6" w14:textId="135F68A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25.0</w:t>
            </w:r>
          </w:p>
        </w:tc>
        <w:tc>
          <w:tcPr>
            <w:tcW w:w="990" w:type="dxa"/>
            <w:tcBorders>
              <w:top w:val="single" w:sz="12" w:space="0" w:color="93D500" w:themeColor="accent1"/>
              <w:left w:val="nil"/>
              <w:bottom w:val="single" w:sz="4" w:space="0" w:color="60B8CC" w:themeColor="accent4"/>
              <w:right w:val="nil"/>
            </w:tcBorders>
            <w:shd w:val="clear" w:color="auto" w:fill="auto"/>
            <w:noWrap/>
            <w:hideMark/>
          </w:tcPr>
          <w:p w14:paraId="6A9A9C3A" w14:textId="28C9901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$134,221</w:t>
            </w:r>
          </w:p>
        </w:tc>
        <w:tc>
          <w:tcPr>
            <w:tcW w:w="990" w:type="dxa"/>
            <w:tcBorders>
              <w:top w:val="single" w:sz="12" w:space="0" w:color="93D500" w:themeColor="accent1"/>
              <w:left w:val="nil"/>
              <w:bottom w:val="single" w:sz="4" w:space="0" w:color="60B8CC" w:themeColor="accent4"/>
              <w:right w:val="nil"/>
            </w:tcBorders>
            <w:shd w:val="clear" w:color="auto" w:fill="auto"/>
            <w:noWrap/>
            <w:hideMark/>
          </w:tcPr>
          <w:p w14:paraId="48685747" w14:textId="450D5AE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$1,566</w:t>
            </w:r>
          </w:p>
        </w:tc>
        <w:tc>
          <w:tcPr>
            <w:tcW w:w="810" w:type="dxa"/>
            <w:tcBorders>
              <w:top w:val="single" w:sz="12" w:space="0" w:color="93D500" w:themeColor="accent1"/>
              <w:left w:val="nil"/>
              <w:bottom w:val="single" w:sz="4" w:space="0" w:color="60B8CC" w:themeColor="accent4"/>
              <w:right w:val="nil"/>
            </w:tcBorders>
            <w:shd w:val="clear" w:color="auto" w:fill="auto"/>
            <w:noWrap/>
            <w:hideMark/>
          </w:tcPr>
          <w:p w14:paraId="65E92272" w14:textId="2CCC664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$70,643</w:t>
            </w:r>
          </w:p>
        </w:tc>
        <w:tc>
          <w:tcPr>
            <w:tcW w:w="810" w:type="dxa"/>
            <w:tcBorders>
              <w:top w:val="single" w:sz="12" w:space="0" w:color="93D500" w:themeColor="accent1"/>
              <w:left w:val="nil"/>
              <w:bottom w:val="single" w:sz="4" w:space="0" w:color="60B8CC" w:themeColor="accent4"/>
              <w:right w:val="nil"/>
            </w:tcBorders>
            <w:shd w:val="clear" w:color="auto" w:fill="auto"/>
            <w:noWrap/>
            <w:hideMark/>
          </w:tcPr>
          <w:p w14:paraId="3BDB5F95" w14:textId="37ECE1A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$824</w:t>
            </w:r>
          </w:p>
        </w:tc>
      </w:tr>
      <w:tr w:rsidR="00E65079" w:rsidRPr="004B3429" w14:paraId="405B21AB"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048C5155" w14:textId="4A772B98"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Contractor/Midstream Rebates</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1618CE4C" w14:textId="466A65D0"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Midstream</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50AEF7B9" w14:textId="34F51374"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362644C" w14:textId="1E7A75DD"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50AEAD9F" w14:textId="6B7DFBF0"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Ground Source Heat Pump - Electrification - DAC (Income Eligible)</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584789D2" w14:textId="6B5BB80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B7F2E0E" w14:textId="2E8DD9C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692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916B716" w14:textId="187926F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3,459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77AA554" w14:textId="436BB71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112</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2725554B" w14:textId="793832C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562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E45E68D" w14:textId="5DB5642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3,294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AAA93ED" w14:textId="52F8FB9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2,602</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CF9C9BC" w14:textId="7155A3F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2,773</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5BCF495" w14:textId="67A4F6C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CFFD650" w14:textId="761A635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2,773</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0DCDA145" w14:textId="5663711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4B07E41" w14:textId="7B49CFB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2,773</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21E84135" w14:textId="232657D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25.0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61A4D91" w14:textId="507E5FF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$14,129</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1A1EA02D" w14:textId="7535F52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$139</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3F3926D" w14:textId="5D0CA1B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$70,643</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2451C4A" w14:textId="7C99AE3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$694</w:t>
            </w:r>
          </w:p>
        </w:tc>
      </w:tr>
      <w:tr w:rsidR="00E65079" w:rsidRPr="004B3429" w14:paraId="1F980933"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03276E59" w14:textId="4A99E958"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1AC0FBEA" w14:textId="5EA58C69"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SF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788D0098" w14:textId="2F2F008A"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45CCE17" w14:textId="2CF86829"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Other</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075B2066" w14:textId="0B5BF117"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Custom Measure: Fireplace - Electrification - DAC</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4DF6ACF0" w14:textId="6F9A131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B5562C2" w14:textId="56E8FEE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818</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5BA71B5" w14:textId="4A81A1E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CA926AA" w14:textId="51E8C20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313</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403D0F8A" w14:textId="67FDD67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78</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189FB6D" w14:textId="3CF560A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9,174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57F335B" w14:textId="1A99A9C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8,356</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BE1EABA" w14:textId="2582E8F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10,437</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4F6972E" w14:textId="3C36F5E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0.80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312AB58" w14:textId="1750CB8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8,341</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3E443938" w14:textId="4D39401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A53E28C" w14:textId="622474C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8,341</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5F270074" w14:textId="5DBAA2A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6495C0C" w14:textId="5B17076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$8,298</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75D2680" w14:textId="7BE4D71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$8,298</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B9AFD4D" w14:textId="32E0363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$2,074</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3F4561B" w14:textId="5DA8601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$2,075</w:t>
            </w:r>
          </w:p>
        </w:tc>
      </w:tr>
      <w:tr w:rsidR="00E65079" w:rsidRPr="004B3429" w14:paraId="3677AC04"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26A5B6A1" w14:textId="46A83E1A"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3E5C14CE" w14:textId="612BD33F"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SF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6D970643" w14:textId="570B001C"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5D839F7" w14:textId="6E6D437A"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Other</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63349BDC" w14:textId="71163B66"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Custom Measure: Fireplace - Electrification</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744C2CAC" w14:textId="5DB2AAB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95AB5F3" w14:textId="20C2813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614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80301AC" w14:textId="3BC29EA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663E785" w14:textId="7A645D1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234</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01B5B076" w14:textId="06FC253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78</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23F5BDC" w14:textId="44F0831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6,858</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3B3DB38" w14:textId="248E743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6,244</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5EDCB15" w14:textId="659B9A6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6,245</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E94D95D" w14:textId="261C50E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F63C4D6" w14:textId="1649A5C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6,245</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11832FEB" w14:textId="707229B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0D20C9B" w14:textId="2E19AA5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6,245</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453A8607" w14:textId="2A65F48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1348DC9" w14:textId="163CE6A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$6,212</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83050A8" w14:textId="23FF4F7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$6,213</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0930197" w14:textId="4FFE06E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$2,071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2B0DF69" w14:textId="79214E0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$2,071</w:t>
            </w:r>
          </w:p>
        </w:tc>
      </w:tr>
      <w:tr w:rsidR="00E65079" w:rsidRPr="004B3429" w14:paraId="08530738"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280EEC5F" w14:textId="4A2F0B9F"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Contractor/Midstream Rebates</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5F8EC6F6" w14:textId="18A37C93"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Midstream</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0373AC07" w14:textId="31E82284"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79B4829" w14:textId="3C9608ED"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6B2C0889" w14:textId="77C63409"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Midstream ASHP - Electrification (Income Eligible)</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13506017" w14:textId="3C71329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284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D8310A0" w14:textId="66EC8AC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3,072,369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8217B6D" w14:textId="22030E6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10,805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788F25E" w14:textId="60C06C9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237,313</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1BC6DE09" w14:textId="326815E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835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740C999" w14:textId="29E7AAE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6,955,633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B82D39D" w14:textId="5FC01B1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3,883,264</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4FD107D" w14:textId="0AEDD88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3,883,264</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B6E7F2D" w14:textId="45BAA3F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911AD40" w14:textId="0A0E954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3,883,264</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46304A2A" w14:textId="53D224A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0.93</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59A05E6" w14:textId="138AF80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3,611,436</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40E11DD3" w14:textId="5F48A9B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1741F641" w14:textId="22EA1C1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$509,354</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5890E3D8" w14:textId="0FE9795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$509,354</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981B334" w14:textId="1683A66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$1,791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FC4B4A6" w14:textId="32DCE9E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$1,791</w:t>
            </w:r>
          </w:p>
        </w:tc>
      </w:tr>
      <w:tr w:rsidR="00E65079" w:rsidRPr="004B3429" w14:paraId="5135E394"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7448AAAF" w14:textId="5CA296B4"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Contractor/Midstream Rebates</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22C8F662" w14:textId="1144EA99"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Midstream</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12A0DC5B" w14:textId="4939CBCC"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0323EDD" w14:textId="0CC1BF4D"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62A279C7" w14:textId="1E272A67"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Midstream ASHP - Electrification - DAC (Income Eligible)</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0E26AACD" w14:textId="1342FCA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C733656" w14:textId="43C0175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333,115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AF88676" w14:textId="566324E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9,553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B4B5B92" w14:textId="6F23169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26,737</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7504CFDF" w14:textId="4B75FE8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767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4A78410" w14:textId="17CBF21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783,669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98242F0" w14:textId="47643C2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450,555</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54EC4F5" w14:textId="1D705C0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450,555</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9E6C7B1" w14:textId="0BED1DE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5879F3A" w14:textId="766FCBA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450,555</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2EF44A50" w14:textId="3318DBC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CD3BB86" w14:textId="269BFA9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450,555</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11CDE311" w14:textId="3BC81C7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28CBF7F" w14:textId="0F3929E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$59,098</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C9B2715" w14:textId="58ED0D2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$59,098</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7371018" w14:textId="69E36F3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$1,695</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6713CCA" w14:textId="1C0DF96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$1,695</w:t>
            </w:r>
          </w:p>
        </w:tc>
      </w:tr>
      <w:tr w:rsidR="00E65079" w:rsidRPr="004B3429" w14:paraId="412E270A"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1B688893" w14:textId="50CB1F5E"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New Construction - IE</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144C20C8" w14:textId="786C95BF"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Affordable Housing New Construction</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47926708" w14:textId="05C2B933"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6877798" w14:textId="469A29CB"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2603EC52" w14:textId="3C404FFA"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VRF</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7F8DC10E" w14:textId="2B32DDB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99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C3429EC" w14:textId="2B3FE12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608,187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8393C0A" w14:textId="5FA680C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6,143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6C14ED5" w14:textId="63A3014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117,295</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00FA1D52" w14:textId="2AB8CA9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1,185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6438166" w14:textId="67937F0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3,437,903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6C7D8C9" w14:textId="78E07AA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2,829,715</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BD454E0" w14:textId="248D2CD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2,816,747</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BC8D9DD" w14:textId="68D78C3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35AA783" w14:textId="673AD2E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2,829,715</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37D91738" w14:textId="21CEBC7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E5C95E3" w14:textId="790F50D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2,829,715</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60EEF76F" w14:textId="5DBAEB1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A975296" w14:textId="74FA837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A482899" w14:textId="7BCA882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$0</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D4A42D6" w14:textId="052FDCD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$0</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4F2C9A3" w14:textId="09FB261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$0</w:t>
            </w:r>
          </w:p>
        </w:tc>
      </w:tr>
      <w:tr w:rsidR="00E65079" w:rsidRPr="004B3429" w14:paraId="239CA5DC"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229C86A6" w14:textId="73A9C2D0"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Retail/Online</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69E643E0" w14:textId="678C01F2"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Income Eligible Retail</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41C6E3B5" w14:textId="34A4AE7A"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61A6FD9" w14:textId="4EB2AB45"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3F418A2F" w14:textId="294ACF9D"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Electric Clothes Dryer EEE DAC IE</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505F094F" w14:textId="73C4DA9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8F50C8A" w14:textId="2B66051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BEEF91B" w14:textId="0411514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9D734A9" w14:textId="2A4FCFF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100C058C" w14:textId="21610C5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83D90A5" w14:textId="2D370FE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1,056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CE2DA0B" w14:textId="6E490EE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1,257</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5D39225" w14:textId="72F450D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934</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09A471E" w14:textId="1841ECF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1.35</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9A73425" w14:textId="2CA4F7E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1,257</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4E885F29" w14:textId="0219221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0B77B10" w14:textId="04BAADD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1,257</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79F9067A" w14:textId="6CC7DD4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17A6536" w14:textId="5E0B57D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$556</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F89C23A" w14:textId="6BF66CF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$556</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2ECFD57" w14:textId="2498FD9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$139</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8BFDD60" w14:textId="267CE0F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$139</w:t>
            </w:r>
          </w:p>
        </w:tc>
      </w:tr>
      <w:tr w:rsidR="00E65079" w:rsidRPr="004B3429" w14:paraId="7B38D42D"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4B93B7AC" w14:textId="13BDF776"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Retail/Online</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7CFA17A6" w14:textId="021D1488"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Income Eligible Retail</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216A372A" w14:textId="699600DD"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2D3037A" w14:textId="74D038F9"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74392227" w14:textId="2A0AB0A2"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Electric Clothes Dryer EEE IE</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4EE03345" w14:textId="2E06470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A1BCDA3" w14:textId="2558662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-336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7ACAB72" w14:textId="4CD04BB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63A2E52" w14:textId="11E5933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610FEDEF" w14:textId="2B8AFA9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B27C41D" w14:textId="0CFC4D2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1,764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F9B61A6" w14:textId="15E3BFC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6FE2AB3" w14:textId="08BC564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1,868</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FB8BF36" w14:textId="594C4C2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1.12</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D8C5E92" w14:textId="6D52F01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2,100</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1D14ECB8" w14:textId="70A3E58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6CA14FA" w14:textId="169ACAE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2,100</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51939542" w14:textId="19A43DF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5D1E809" w14:textId="6FA2843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$1,249</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0BF59B2" w14:textId="35C8358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$1,249</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7E0AC86" w14:textId="59905B6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$156</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14766A0" w14:textId="5AE014D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$156</w:t>
            </w:r>
          </w:p>
        </w:tc>
      </w:tr>
      <w:tr w:rsidR="00E65079" w:rsidRPr="004B3429" w14:paraId="7C259334"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4E30AA33" w14:textId="4C31F842"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Retail/Online</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3BFE3713" w14:textId="14574781"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Income Eligible Retail</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2293B7DC" w14:textId="16D32E4F"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801323D" w14:textId="3E221150"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00F1144C" w14:textId="41A18274"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Heat Pump Dryer EEE DAC IE</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3BA45BAF" w14:textId="3223CD9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B5E2BA2" w14:textId="0A1A92D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-1,183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6BCA9BC" w14:textId="4C8565E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EC880DE" w14:textId="669AF3A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21</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0D0489E3" w14:textId="04B242E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22A76A7" w14:textId="7D9142A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6,210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2168616" w14:textId="2FBA7BF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7,393</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522D449" w14:textId="684BC31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5,421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436BA47" w14:textId="0303F04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1.36</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29513C2" w14:textId="2E2ADE6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7,393</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2C23A469" w14:textId="22C9528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E672D0E" w14:textId="64E77FB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7,393</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07386BEC" w14:textId="7BF152D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1A90FDB3" w14:textId="53DD1BD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$2,432</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7618203" w14:textId="0D1A2EE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$2,432</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2C57998" w14:textId="5007394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$152</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CD68126" w14:textId="7DC5D81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$152</w:t>
            </w:r>
          </w:p>
        </w:tc>
      </w:tr>
      <w:tr w:rsidR="00E65079" w:rsidRPr="004B3429" w14:paraId="09C42274"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488D2129" w14:textId="534D4CF6"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Retail/Online</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693DF1B1" w14:textId="0E119C47"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Income Eligible Retail</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086DFE4D" w14:textId="59DFDB36"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EC19221" w14:textId="49422B0B"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63100B19" w14:textId="0C6AAD7C"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Heat Pump Dryer EEE IE</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7986BBE2" w14:textId="2D6CB19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0E2CC55" w14:textId="20CC1CE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-1,684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7C59CD6" w14:textId="6BB2A65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31EB447" w14:textId="2934F9E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30</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5BF6EF44" w14:textId="6F82D0B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B45FDFD" w14:textId="3005842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8,839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72D972C" w14:textId="5D7E954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10,523</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B0D38AA" w14:textId="71CE560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7,551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543CF1C" w14:textId="37B77DC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1.39</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56D6107" w14:textId="4888AA1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10,523</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10302D20" w14:textId="33B166A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33FE777" w14:textId="6DA951D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10,523</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659F749A" w14:textId="20DA21A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14936E0" w14:textId="120A6D9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$7,661</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0CAFDAC" w14:textId="0178205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$7,661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672A891" w14:textId="1A5DE74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$365</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7B9B0E5" w14:textId="36B5FE1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$365</w:t>
            </w:r>
          </w:p>
        </w:tc>
      </w:tr>
      <w:tr w:rsidR="00E65079" w:rsidRPr="004B3429" w14:paraId="59B10358"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446A66C6" w14:textId="18B6170F"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Retail/Online</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40F5A155" w14:textId="2854B990"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Income Eligible Retail</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2A3B06D5" w14:textId="4D654A7B"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581E1C3" w14:textId="5FAA0212"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52BEBB26" w14:textId="5D987C3C"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Induction Cooktop EEE DAC IE</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7A1E7B51" w14:textId="46EA175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E6DBC72" w14:textId="1B25F5A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999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2E36284" w14:textId="21A414D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8473A97" w14:textId="10BF90A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5F9FAE7C" w14:textId="78F1C37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BF5C02A" w14:textId="6F8899D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3,350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DD9BB0F" w14:textId="5A4955B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1,881</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4EA2A4E" w14:textId="0C94E3C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1,881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665D5EB" w14:textId="5F6DE2D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BCC5B34" w14:textId="5A5B64D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1,881</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9D3DAFD" w14:textId="562CC22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F851AE9" w14:textId="2283AC6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1,881</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30665847" w14:textId="39DC071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1556A8A" w14:textId="6C7D782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$8,626</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4E52CAA" w14:textId="2D6B266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$8,626</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6EF4B41" w14:textId="3DF6062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$958</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526B9C2" w14:textId="5D1540D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$958</w:t>
            </w:r>
          </w:p>
        </w:tc>
      </w:tr>
      <w:tr w:rsidR="00E65079" w:rsidRPr="004B3429" w14:paraId="2176ED22"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76DA25D3" w14:textId="53F13062"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Retail/Online</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29EA0E35" w14:textId="52B93BEE"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Income Eligible Retail</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132FD927" w14:textId="69235912"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DAA751A" w14:textId="50F8531C"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7F5B284E" w14:textId="4C5B165E"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Induction Cooktop EEE IE</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7262B93" w14:textId="0F0CE20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E628E54" w14:textId="77EEF47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3,502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5FB03E1" w14:textId="13B9E60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9D0C6FF" w14:textId="5C75F00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39</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096F12EF" w14:textId="57F6872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5361CB1" w14:textId="6C4BE71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11,419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7F758D1" w14:textId="30801BC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6,377</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7170B57" w14:textId="11C8B5D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6,269</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A1AD20A" w14:textId="414BDF9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1.02</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1F87D69" w14:textId="6B5AB6C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6,377</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74EFEC53" w14:textId="4AD0EE6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34A1B6C" w14:textId="33C0DD8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6,377</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3D0ACE09" w14:textId="28BB3E1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28EF3E7" w14:textId="652300C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$30,018</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12FCD72" w14:textId="049FB8B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$30,018</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1E950CD" w14:textId="65AC446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ECD9FC4" w14:textId="717E565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$1,001</w:t>
            </w:r>
          </w:p>
        </w:tc>
      </w:tr>
      <w:tr w:rsidR="00E65079" w:rsidRPr="004B3429" w14:paraId="22A9B3A2"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6A73FD67" w14:textId="558DF3AE"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7ECD4044" w14:textId="0594C464"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SF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23276777" w14:textId="00BF1E25"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9B91653" w14:textId="35FFCB24"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0C9A3CAE" w14:textId="59B4324D"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Ductless Heat Pump - Electrification - DAC</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1416A07A" w14:textId="584A28C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31723D0" w14:textId="4352D57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12,569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9C5C4F1" w14:textId="18F9CD3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6,285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3213E58" w14:textId="376BC54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1,729</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0D61AC49" w14:textId="08037E8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865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71B18B9" w14:textId="3FB5645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50,674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59077DA" w14:textId="74FECDF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38,105</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252CFC4" w14:textId="46A8562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38,094</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DF98FC8" w14:textId="47AAA73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A0DD5FB" w14:textId="19AB931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38,094</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1FD6CE6F" w14:textId="5D17C4B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EBA4069" w14:textId="692FA7F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38,094</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1A45A595" w14:textId="3F81293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CEE09C3" w14:textId="454BDFB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$37,897</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52F9665D" w14:textId="681356A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$37,899</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4D8E69C" w14:textId="376BC7F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$18,949</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013CCEE" w14:textId="1DB33EB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$18,950</w:t>
            </w:r>
          </w:p>
        </w:tc>
      </w:tr>
      <w:tr w:rsidR="00E65079" w:rsidRPr="004B3429" w14:paraId="3FFA2AD8"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635D1A47" w14:textId="6193B2EB"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05C5FA20" w14:textId="13C26023"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SF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1719596C" w14:textId="3DB5027A"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28835C3" w14:textId="24DC470A"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7E835626" w14:textId="16C83739"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Ductless Heat Pump - Electrification</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0F8CE79E" w14:textId="58CA2F5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B9E5CF6" w14:textId="5FCA677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10,265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561048F" w14:textId="7021EEA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5,133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5F8CED2" w14:textId="1EFB0CE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1,490</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55232548" w14:textId="07AB08F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745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05A1093" w14:textId="33FD79E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43,669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A3AB3F0" w14:textId="47D781A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33,404</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915E48B" w14:textId="072A3D5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32,975</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7ED609D" w14:textId="081D586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1.01</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8A0691C" w14:textId="6DE1190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33,417</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CED3D99" w14:textId="3C0DB94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460FC08" w14:textId="64CF8A4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33,417</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77B1BD02" w14:textId="63B27AB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8ACEA76" w14:textId="0F7B92E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$33,244</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1CABB112" w14:textId="6497AEC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$33,246</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1B4D14A" w14:textId="71A2F9E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$16,622</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0CDBDE1" w14:textId="73FD67C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$16,623</w:t>
            </w:r>
          </w:p>
        </w:tc>
      </w:tr>
      <w:tr w:rsidR="00E65079" w:rsidRPr="004B3429" w14:paraId="6AE17F44"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7B4A8398" w14:textId="4747BF50"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74A76A55" w14:textId="149BB5B8"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MF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55A7327E" w14:textId="24A6DC6F"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A48F01B" w14:textId="6B504219"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2B2FF79A" w14:textId="2C1CE483"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Ductless Heat Pump - Electrification - DAC</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A3AA6D5" w14:textId="5B7CA8A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71F3C0D" w14:textId="3D82FC3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47,613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44FB689" w14:textId="4515EFC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5,952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11A6A40" w14:textId="756E7C6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6,346</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1D6B1A34" w14:textId="0D3D4BA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793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0D90798" w14:textId="2CDBE6D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185,991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1052FBC" w14:textId="76FC42F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138,378</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F04E6CA" w14:textId="47CF854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138,366</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A167C4B" w14:textId="34AEA08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BAB29D4" w14:textId="0FB2FFB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138,366</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50708906" w14:textId="291D77D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8459150" w14:textId="54A1C36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138,366</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6FE44D47" w14:textId="1AB851F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47584DF" w14:textId="5C76840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$137,650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B771E07" w14:textId="2C8D163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$137,658</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3C7C32B" w14:textId="45158E6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$17,206</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1970D2F" w14:textId="4E411F8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$17,207</w:t>
            </w:r>
          </w:p>
        </w:tc>
      </w:tr>
      <w:tr w:rsidR="00E65079" w:rsidRPr="004B3429" w14:paraId="2A6BC24A"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67DC4092" w14:textId="040A17F8"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07A61E66" w14:textId="2AA48E55"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SF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0AE8DE1D" w14:textId="29BBA0C7"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29DB4B6" w14:textId="73F63AC9"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172A6A1C" w14:textId="7A70F59B"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Air Source Heat Pump - Electrification - DAC</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51356C4B" w14:textId="2C00B08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98854F6" w14:textId="5633A8F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920,036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E30216E" w14:textId="64BA0F7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10,575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77F5E6A" w14:textId="269D069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100,220</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5C55E019" w14:textId="1BF198C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1,152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58305E2" w14:textId="7CF89A9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2,937,280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E859108" w14:textId="7777EF2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2,017,244</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519C942" w14:textId="69BD695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1,998,555</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94AAB71" w14:textId="1C8894A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1.01</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09FC5F2" w14:textId="12D2C50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2,017,255</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C79C215" w14:textId="6CCCA8E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617926C" w14:textId="5E01A9C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2,017,255</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2158F734" w14:textId="48B808F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D1041AE" w14:textId="555122B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$2,006,820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3B4AE78" w14:textId="0AAE367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$2,006,935</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595E79D" w14:textId="5C7CB47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$23,067</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2E370D0" w14:textId="5A5BA59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$23,068</w:t>
            </w:r>
          </w:p>
        </w:tc>
      </w:tr>
      <w:tr w:rsidR="00E65079" w:rsidRPr="004B3429" w14:paraId="3411EC0D"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03096BDA" w14:textId="47BF9793"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1B7B2AF1" w14:textId="14838E89"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SF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5F2B217D" w14:textId="137DFEE1"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4B0A343" w14:textId="3406F3FD"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5773F590" w14:textId="4C34A742"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Air Source Heat Pump - Electrification</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16A0864F" w14:textId="22E4EBA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74D34E1" w14:textId="55FBF1C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383,313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7F26DB5" w14:textId="105C086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11,274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A67AE05" w14:textId="4E061D8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42,861</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468BB38F" w14:textId="73D7E42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1,261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8744232" w14:textId="2C02A1E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1,256,184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F1C82C9" w14:textId="4364CA1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872,871</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3D20DFF" w14:textId="3D73882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847,925</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C6FB339" w14:textId="34CFD08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1.03</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43B6566" w14:textId="0B70E91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872,859</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25ADF623" w14:textId="6866DF4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DC86EC4" w14:textId="2470E3B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872,859</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2D4E04B6" w14:textId="3E250BD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51773BD" w14:textId="116E0E4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$868,343</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FBFE74A" w14:textId="4CFB2D9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$868,394</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018BC40" w14:textId="08AB259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$25,540</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FFAD032" w14:textId="6F648F4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$25,541</w:t>
            </w:r>
          </w:p>
        </w:tc>
      </w:tr>
      <w:tr w:rsidR="00E65079" w:rsidRPr="004B3429" w14:paraId="11380F8A"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2E99790E" w14:textId="63DCCF25"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50C5C8C1" w14:textId="0AB38B4C"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MF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4EB37692" w14:textId="2F3C2264"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5D88C70" w14:textId="6CD20F7C"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6F9096E0" w14:textId="59447850"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Air Source Heat Pump - Electrification - DAC</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18F908B0" w14:textId="4D53911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4CEFE6A" w14:textId="0198FC1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26,899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402DE02" w14:textId="6ED1022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8,966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D0BC0B9" w14:textId="3A5F3D7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2,549</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76ED7CC7" w14:textId="4B7AE61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850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FD8DD00" w14:textId="5917BE6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74,707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DA30279" w14:textId="065C9E3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47,808</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1A29BA5" w14:textId="4563E25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47,523</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639F1EB" w14:textId="0F3EEDC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1.01</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8028A34" w14:textId="67DE434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47,810</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247CD1D2" w14:textId="1C9219A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38A3277" w14:textId="7F65FFF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47,810</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47BEDC84" w14:textId="76DF445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01E9344" w14:textId="64309CE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$47,563</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0044CFA" w14:textId="0C7C33E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$47,565</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009F248" w14:textId="2403A8F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$15,854</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8A085C2" w14:textId="09D6D45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$15,855</w:t>
            </w:r>
          </w:p>
        </w:tc>
      </w:tr>
      <w:tr w:rsidR="00E65079" w:rsidRPr="004B3429" w14:paraId="7C3E6453"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2EB8CD1E" w14:textId="3177BCD4"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02A1C348" w14:textId="1B691C70"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MF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12CD4A4C" w14:textId="5C5237AA"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8A7EE5F" w14:textId="62C8FB63"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0D709C2A" w14:textId="4935F524"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Air Source Heat Pump - Electrification</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3423AF15" w14:textId="43D559F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244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8007877" w14:textId="66BCEF9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1,061,297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51A6425" w14:textId="20704C7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4,350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0809D09" w14:textId="179941A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121,074</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61152195" w14:textId="4C38856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496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2B63DA1" w14:textId="5B13CF8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3,548,476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4670908" w14:textId="0DF6FEF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2,487,179</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FD22C96" w14:textId="2DD3422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2,462,733</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D053535" w14:textId="0187B2C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1.01</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BD70D5E" w14:textId="64BD572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2,487,193</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7428A430" w14:textId="13E2EB3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62FCBDC" w14:textId="6C89FCC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2,487,193</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02AC8BAB" w14:textId="16AC654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076E34F" w14:textId="5C1F85E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$2,474,331</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5BFB0C6A" w14:textId="06BEDFF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$2,474,469</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91830A0" w14:textId="4D5F1B1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$10,141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00E361A" w14:textId="2096FE8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$10,141</w:t>
            </w:r>
          </w:p>
        </w:tc>
      </w:tr>
      <w:tr w:rsidR="00E65079" w:rsidRPr="004B3429" w14:paraId="58525853"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009BBF0A" w14:textId="65E164A6"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71FC91E9" w14:textId="163384D1"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SF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01768917" w14:textId="78CC92E9"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B75F685" w14:textId="6566C9D6"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377F2AE1" w14:textId="214BFDCE"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Clothes Dryer - Electrification - DAC</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249CC186" w14:textId="75C5FE4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CB8E59B" w14:textId="438D256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42,838</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C4D406D" w14:textId="60251A6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579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AAD7CA0" w14:textId="10D4399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1,845</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7C92D698" w14:textId="77CD8F5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83F8892" w14:textId="504C386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54,074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8670C8D" w14:textId="6CC053A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11,236</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45949F4" w14:textId="0FE7C30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11,229</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076C91E" w14:textId="0868527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80E5592" w14:textId="3EFA990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11,229</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48F59B6E" w14:textId="75770C3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1589930" w14:textId="57FBAC6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11,229</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0EF99231" w14:textId="737ACCC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176A2DC8" w14:textId="6AFAAD7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$11,174</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5F6B0C2C" w14:textId="112804C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$11,172</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8BEEEDE" w14:textId="698BF23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$151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FDE904B" w14:textId="5781C52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$151</w:t>
            </w:r>
          </w:p>
        </w:tc>
      </w:tr>
      <w:tr w:rsidR="00E65079" w:rsidRPr="004B3429" w14:paraId="4065564B"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6A134224" w14:textId="1AA2CBEA"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7FDD3EAF" w14:textId="20BAE3CD"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SF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65BAB715" w14:textId="7565D35C"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70E960B" w14:textId="3383C67A"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159EEFAD" w14:textId="09F327FE"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Clothes Dryer - Electrification</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0D5D84DC" w14:textId="733B222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7BEAA90" w14:textId="517C26F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16,721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8A22A75" w14:textId="05CBB99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557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043A3AC" w14:textId="5BA9C77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732</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0DEAB6CF" w14:textId="4DD745A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073D4F5" w14:textId="253747E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21,454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6BD5F7E" w14:textId="0CF723B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4,733</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A055038" w14:textId="12FFB50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4,727</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8E36BDB" w14:textId="4FC06AA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7AD7F88" w14:textId="09643EF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4,727</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06026F7C" w14:textId="5B7BD98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67B8AD1" w14:textId="2576140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4,727</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6C893230" w14:textId="1C1D53E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6575977" w14:textId="04FE9B3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$4,704</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0101827" w14:textId="0CEF4C3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$4,703</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47B558D" w14:textId="40F5930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$157</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A8DE3B4" w14:textId="151209D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$157</w:t>
            </w:r>
          </w:p>
        </w:tc>
      </w:tr>
      <w:tr w:rsidR="00E65079" w:rsidRPr="004B3429" w14:paraId="295FEB62"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0AAC564A" w14:textId="3E90CBD4"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1076FC99" w14:textId="11CA8A3D"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MF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3FC53766" w14:textId="256279D6"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BEB1847" w14:textId="79950A74"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550F1590" w14:textId="6B41BF49"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Clothes Dryer - Electrification - DAC</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3EBB10E0" w14:textId="3D0C4C3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98339DE" w14:textId="3B451AC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1,022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A4FC0FB" w14:textId="317F747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511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0AB3406" w14:textId="0B937E4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50</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52F7B806" w14:textId="557ADF1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45BA2F6" w14:textId="1E29942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1,465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A87769B" w14:textId="2D3FE35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443</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9DDFDD6" w14:textId="43321F5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439</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45FD94D" w14:textId="4B47B49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C2041A7" w14:textId="396A624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439</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0C8385FA" w14:textId="32C7E6B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CB78749" w14:textId="70A95A3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439</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17CDCF98" w14:textId="2AC50C7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DA1A60D" w14:textId="1EDFC1E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$437</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D6C2487" w14:textId="7EEE588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$437</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8C226C9" w14:textId="3A26126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$218</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B56BB65" w14:textId="3281B0D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$218</w:t>
            </w:r>
          </w:p>
        </w:tc>
      </w:tr>
      <w:tr w:rsidR="00E65079" w:rsidRPr="004B3429" w14:paraId="24F3F64D"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5FD5D256" w14:textId="06322FF6"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28F30EE0" w14:textId="542C75AE"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MF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0F8E74DB" w14:textId="76757A30"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725A1FD" w14:textId="35718C7E"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29C45C1A" w14:textId="6ABC4A86"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Clothes Dryer - Electrification</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D0E0837" w14:textId="61F7181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E5E1DB7" w14:textId="736D2BB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7,474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BA6D983" w14:textId="39D205D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467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AF33CE0" w14:textId="43ED4A1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399</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00731F64" w14:textId="1697E19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B87F3C7" w14:textId="589194C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11,694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99FF8D5" w14:textId="3417FF5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4,220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919B2A8" w14:textId="4591FB3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4,216</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9E7C879" w14:textId="3A0247F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C02A3F2" w14:textId="72DB727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4,216</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C585A85" w14:textId="521BC72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49597D4" w14:textId="07E4302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4,216</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49EE6F11" w14:textId="3DAD44D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5B27AADA" w14:textId="3BFEECF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$4,194</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1BD25892" w14:textId="73D11D1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$4,194</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F9C97AD" w14:textId="66474EF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$262</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573C25A" w14:textId="1EE14DE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$262</w:t>
            </w:r>
          </w:p>
        </w:tc>
      </w:tr>
      <w:tr w:rsidR="00E65079" w:rsidRPr="004B3429" w14:paraId="03ECCC83"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3E3CA843" w14:textId="698C2161"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380FE656" w14:textId="7A172E67"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SF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55043C78" w14:textId="79DF6220"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E90AF86" w14:textId="4F385FB0"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2FAA58AF" w14:textId="00A1694D"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Cooktop - Electrification - DAC</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35190379" w14:textId="0B7A101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BA700E4" w14:textId="1135CE7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20,781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0D9ECB0" w14:textId="7F02F9C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263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35A0F2D" w14:textId="698278C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1,605</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61051946" w14:textId="5B9EEE1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BA769E0" w14:textId="435C6AD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47,040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09568E2" w14:textId="440BB1E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26,259</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EE5438B" w14:textId="5294CA4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26,256</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C5D3A76" w14:textId="04647BD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F9895C2" w14:textId="0E433E3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26,268</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7BB62BF5" w14:textId="0E74B0A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6C15935" w14:textId="6F113C6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26,268</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1287FBD5" w14:textId="74EB957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5D4C8FD" w14:textId="7B52EE8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$26,133</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F2F44A3" w14:textId="023C8C6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$26,133</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368F9EE" w14:textId="0A060C9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$331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D48FBB2" w14:textId="2B4B807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$331</w:t>
            </w:r>
          </w:p>
        </w:tc>
      </w:tr>
      <w:tr w:rsidR="00E65079" w:rsidRPr="004B3429" w14:paraId="16C0DDF7"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2E6E5FD5" w14:textId="6346B4F8"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5B5F4897" w14:textId="5D9366B2"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SF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7170BD5E" w14:textId="3FC9F819"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D1DAA4D" w14:textId="20FD1933"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461AF5DC" w14:textId="647719F1"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Cooktop - Electrification</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1356C102" w14:textId="37D49B0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237132A" w14:textId="45B2F11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8,246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5E6F6E5" w14:textId="689E2EB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266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89A715B" w14:textId="476B286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635</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37FB8973" w14:textId="57FC090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7D4CF01" w14:textId="0993286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18,611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A16251E" w14:textId="4201FA3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10,365</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E9ABBE0" w14:textId="7DDBB25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10,350</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1266142" w14:textId="4B3ACD2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86DF57F" w14:textId="1F97B92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10,350</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0D6FDEC8" w14:textId="0805E4F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7C269BD" w14:textId="1F817F15"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10,350</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185F2B4A" w14:textId="6610401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160C6F22" w14:textId="4690810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$10,298</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6101622" w14:textId="3F7AD01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$10,297</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22E0BB0" w14:textId="64ED580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$332</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B834A2A" w14:textId="0B960DF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$332</w:t>
            </w:r>
          </w:p>
        </w:tc>
      </w:tr>
      <w:tr w:rsidR="00E65079" w:rsidRPr="004B3429" w14:paraId="017EE254"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001002C2" w14:textId="1C934829"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01467E88" w14:textId="20188666"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MF</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0870E7C6" w14:textId="65AC0083"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E78592E" w14:textId="1D70A080"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1A023C72" w14:textId="54F14309"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Cooktop - Electrification - DAC</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2D59B55" w14:textId="5762895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7B4F561" w14:textId="575658A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2,543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4365A7D" w14:textId="2E4B325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283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43A357E" w14:textId="5DC838F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192</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6822F292" w14:textId="375F166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FC0B60A" w14:textId="552F76C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5,627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F145FCB" w14:textId="23BB50C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3,084</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BABD780" w14:textId="56A6BCB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3,052</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A76FA6D" w14:textId="0A1F2DB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1.01</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17218E4" w14:textId="04E7815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3,075</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3131AEE2" w14:textId="57ACFA3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A0ED596" w14:textId="053CD88F"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3,075</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0624D242" w14:textId="399AE5C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DA2DDA1" w14:textId="303EE60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$3,059</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C1D5768" w14:textId="518984A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$3,059</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CAF1C88" w14:textId="05B8EEF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$340</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4E648AD" w14:textId="7E71F19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$340</w:t>
            </w:r>
          </w:p>
        </w:tc>
      </w:tr>
      <w:tr w:rsidR="00E65079" w:rsidRPr="004B3429" w14:paraId="3811DA8F"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7BBD5CF2" w14:textId="1CBC0C63"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New Construction - IE</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2AA3A51B" w14:textId="6506D9ED"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Affordable Housing New Construction</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6301BF1E" w14:textId="727363DB"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50DD895" w14:textId="2ECD11E3"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0F3AC18B" w14:textId="3ED7183B"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Ducted Heat Pump</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5C1FBD2C" w14:textId="35069D8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68</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8A92C5B" w14:textId="1C4A1B2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348,466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D178410" w14:textId="5B8CBEA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5,125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A322DF5" w14:textId="0F7A1AC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35,640</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6219E92B" w14:textId="69CCFD2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524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712F64F" w14:textId="60506C4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1,044,611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D7FE673" w14:textId="2E2BD20D"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696,145</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EB8BAFF" w14:textId="6728C76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695,053</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FEA8DB8" w14:textId="538E54D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44BB7D0" w14:textId="1B9CFBF4"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696,145</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17D79CF4" w14:textId="293F624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5ACEFD1" w14:textId="4B11BE78"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696,145</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16790117" w14:textId="52D89D6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15.8</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B2B92DE" w14:textId="1F216A6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$33,691</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11AE1B61" w14:textId="60264A4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$33,691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F5D0BB6" w14:textId="74B1E87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$495</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F973D28" w14:textId="2947E07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$495</w:t>
            </w:r>
          </w:p>
        </w:tc>
      </w:tr>
      <w:tr w:rsidR="00E65079" w:rsidRPr="004B3429" w14:paraId="3D0E2E6C"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1FFA6E2D" w14:textId="15137263"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Contractor/Midstream Rebates</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65618019" w14:textId="0407B801"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Midstream</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687C316C" w14:textId="7DF7DFA0"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F80DD1D" w14:textId="3B83C118"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0DAF9C6C" w14:textId="611F454C" w:rsidR="00E65079" w:rsidRPr="0091711B" w:rsidRDefault="00E65079" w:rsidP="00E65079">
            <w:pPr>
              <w:rPr>
                <w:rFonts w:ascii="Arial Narrow" w:hAnsi="Arial Narrow" w:cs="Calibri"/>
                <w:color w:val="000000"/>
                <w:sz w:val="16"/>
                <w:szCs w:val="16"/>
              </w:rPr>
            </w:pPr>
            <w:r w:rsidRPr="0091711B">
              <w:rPr>
                <w:rFonts w:ascii="Arial Narrow" w:hAnsi="Arial Narrow"/>
                <w:sz w:val="16"/>
                <w:szCs w:val="16"/>
              </w:rPr>
              <w:t>Midstream DMSHP - Electrification (Income Eligible)</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25108A84" w14:textId="63C8064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70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69EB509" w14:textId="6EBBCBC1"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226,449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193CDE6" w14:textId="3926A83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3,244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E4EA9CC" w14:textId="563C9A7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29,244</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5AD4EE9E" w14:textId="6010B7B2"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419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5D318D0" w14:textId="2685E1EA"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857,153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E6BAF3D" w14:textId="08283F9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630,704</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42EA289" w14:textId="4C346940"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630,704</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C1E207D" w14:textId="276BE237"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AD11028" w14:textId="484A33EE"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630,704</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4165C9F0" w14:textId="4689D70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0.93</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900DC51" w14:textId="086461C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586,554</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3111115A" w14:textId="66A348AB"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6D38255" w14:textId="0BA7C793"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$82,727</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B3BF283" w14:textId="1A4DEE96"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$82,727</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5D35A57" w14:textId="75D7415C"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$1,185</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83D91C7" w14:textId="5D6FDCF9" w:rsidR="00E65079" w:rsidRPr="0091711B" w:rsidRDefault="00E65079" w:rsidP="00E65079">
            <w:pPr>
              <w:jc w:val="right"/>
              <w:rPr>
                <w:rFonts w:ascii="Arial Narrow" w:hAnsi="Arial Narrow" w:cs="Calibri"/>
                <w:color w:val="000000"/>
                <w:sz w:val="16"/>
                <w:szCs w:val="16"/>
              </w:rPr>
            </w:pPr>
            <w:r w:rsidRPr="0091711B">
              <w:rPr>
                <w:rFonts w:ascii="Arial Narrow" w:hAnsi="Arial Narrow"/>
                <w:sz w:val="16"/>
                <w:szCs w:val="16"/>
              </w:rPr>
              <w:t>$1,185</w:t>
            </w:r>
          </w:p>
        </w:tc>
      </w:tr>
      <w:tr w:rsidR="001B5185" w:rsidRPr="004B3429" w14:paraId="48B3554E"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6417C8BD" w14:textId="1B4EDEAC"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Contractor/Midstream Rebates</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7F7CDCE3" w14:textId="7AC3143C"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Midstream</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7432F5AF" w14:textId="099BB7F6"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2083947" w14:textId="6308C256"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708A38A0" w14:textId="3E9A3AE5"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Midstream DMSHP - Electrification - DAC (Income Eligible)</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01AB382E" w14:textId="42DE6BB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096FF79" w14:textId="7819AD8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53,327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BD398BA" w14:textId="1C2D705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3,591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F970B42" w14:textId="244D17C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6,691</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4097CE33" w14:textId="498F758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451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ACE5199" w14:textId="75A4FAE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196,119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81D109A" w14:textId="2968733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142,792</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E12E2BA" w14:textId="7BD641B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142,792</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590B9F0" w14:textId="110F07A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C39E0CA" w14:textId="35F5D67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142,792</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73716C7D" w14:textId="642A333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15BDFB5" w14:textId="0E874E2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142,792</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1CA21CF7" w14:textId="617BF28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123DED06" w14:textId="2044B33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$18,730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CBAC8FB" w14:textId="1B91083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$18,730</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4BD422A" w14:textId="23F812A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$1,261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BA01E32" w14:textId="0B5DB9D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$1,261</w:t>
            </w:r>
          </w:p>
        </w:tc>
      </w:tr>
      <w:tr w:rsidR="001B5185" w:rsidRPr="004B3429" w14:paraId="66D073F3"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085E105F" w14:textId="25AFA8A7"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lastRenderedPageBreak/>
              <w:t>Midstream/Upstream</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1BA6BD38" w14:textId="5EE5DAF2"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Instant Discounts</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66B5C35D" w14:textId="330D4C4F"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6614C590" w14:textId="203536BD"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45EC0C0A" w14:textId="3481A171"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ASHP HVAC EEE IE</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0B96B699" w14:textId="6C1B290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FE7D2B1" w14:textId="69025F4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3,787</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6B8A923C" w14:textId="1B0E811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8,607</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3E190201" w14:textId="1679FAD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36</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606EC417" w14:textId="60999EA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81</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14659D7F" w14:textId="0068CA4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10,444</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1957BD46" w14:textId="4F25F76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6,657</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5604D961" w14:textId="77777777" w:rsidR="001B5185" w:rsidRPr="0091711B" w:rsidRDefault="001B5185" w:rsidP="001B5185">
            <w:pPr>
              <w:jc w:val="right"/>
              <w:rPr>
                <w:rFonts w:ascii="Arial Narrow" w:hAnsi="Arial Narrow" w:cs="Calibri"/>
                <w:color w:val="000000"/>
                <w:sz w:val="16"/>
                <w:szCs w:val="16"/>
              </w:rPr>
            </w:pPr>
          </w:p>
        </w:tc>
        <w:tc>
          <w:tcPr>
            <w:tcW w:w="810" w:type="dxa"/>
            <w:tcBorders>
              <w:top w:val="single" w:sz="4" w:space="0" w:color="60B8CC" w:themeColor="accent4"/>
              <w:left w:val="nil"/>
              <w:bottom w:val="single" w:sz="4" w:space="0" w:color="60B8CC" w:themeColor="accent4"/>
              <w:right w:val="nil"/>
            </w:tcBorders>
            <w:shd w:val="clear" w:color="auto" w:fill="auto"/>
            <w:noWrap/>
          </w:tcPr>
          <w:p w14:paraId="13144BDD" w14:textId="77777777" w:rsidR="001B5185" w:rsidRPr="0091711B" w:rsidRDefault="001B5185" w:rsidP="001B5185">
            <w:pPr>
              <w:jc w:val="right"/>
              <w:rPr>
                <w:rFonts w:ascii="Arial Narrow" w:hAnsi="Arial Narrow" w:cs="Calibri"/>
                <w:color w:val="000000"/>
                <w:sz w:val="16"/>
                <w:szCs w:val="16"/>
              </w:rPr>
            </w:pPr>
          </w:p>
        </w:tc>
        <w:tc>
          <w:tcPr>
            <w:tcW w:w="900" w:type="dxa"/>
            <w:tcBorders>
              <w:top w:val="single" w:sz="4" w:space="0" w:color="60B8CC" w:themeColor="accent4"/>
              <w:left w:val="nil"/>
              <w:bottom w:val="single" w:sz="4" w:space="0" w:color="60B8CC" w:themeColor="accent4"/>
              <w:right w:val="nil"/>
            </w:tcBorders>
            <w:shd w:val="clear" w:color="auto" w:fill="auto"/>
            <w:noWrap/>
          </w:tcPr>
          <w:p w14:paraId="0CAF06CD" w14:textId="7E91789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6,657</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31A48BB7" w14:textId="2DCD4F3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0.80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1090A986" w14:textId="3863E62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5,326</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18C43C72" w14:textId="6B80B6A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3B4F8ED2" w14:textId="43EC6B7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$5,157</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7626EAF9" w14:textId="5FE316E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$594</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4E1146BF" w14:textId="25F3A7D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$11,721</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07D3E3A2" w14:textId="0F7AB4D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$1,350</w:t>
            </w:r>
          </w:p>
        </w:tc>
      </w:tr>
      <w:tr w:rsidR="001B5185" w:rsidRPr="004B3429" w14:paraId="63A320B2"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2B20F7BA" w14:textId="7178EF8D"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Midstream/Upstream</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2ACC6952" w14:textId="478AE4B1"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Instant Discounts</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7EF144F4" w14:textId="36742681"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08EF4080" w14:textId="20F5F24A"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5D8A2BB7" w14:textId="165CC90B"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ASHP HVAC DAC EEE IE</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18BBF4AF" w14:textId="00995B6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7DA691F2" w14:textId="16543EE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14,607</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7A39EFD7" w14:textId="38FF195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5,774</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1BB2FFEC" w14:textId="2D7CCF2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120</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3D10BB1B" w14:textId="2823DC8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47</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45E6C164" w14:textId="02D07E0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35,086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4095F737" w14:textId="137F17C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20,479</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5439C34F" w14:textId="77777777" w:rsidR="001B5185" w:rsidRPr="0091711B" w:rsidRDefault="001B5185" w:rsidP="001B5185">
            <w:pPr>
              <w:jc w:val="right"/>
              <w:rPr>
                <w:rFonts w:ascii="Arial Narrow" w:hAnsi="Arial Narrow" w:cs="Calibri"/>
                <w:color w:val="000000"/>
                <w:sz w:val="16"/>
                <w:szCs w:val="16"/>
              </w:rPr>
            </w:pPr>
          </w:p>
        </w:tc>
        <w:tc>
          <w:tcPr>
            <w:tcW w:w="810" w:type="dxa"/>
            <w:tcBorders>
              <w:top w:val="single" w:sz="4" w:space="0" w:color="60B8CC" w:themeColor="accent4"/>
              <w:left w:val="nil"/>
              <w:bottom w:val="single" w:sz="4" w:space="0" w:color="60B8CC" w:themeColor="accent4"/>
              <w:right w:val="nil"/>
            </w:tcBorders>
            <w:shd w:val="clear" w:color="auto" w:fill="auto"/>
            <w:noWrap/>
          </w:tcPr>
          <w:p w14:paraId="47068EBB" w14:textId="77777777" w:rsidR="001B5185" w:rsidRPr="0091711B" w:rsidRDefault="001B5185" w:rsidP="001B5185">
            <w:pPr>
              <w:jc w:val="right"/>
              <w:rPr>
                <w:rFonts w:ascii="Arial Narrow" w:hAnsi="Arial Narrow" w:cs="Calibri"/>
                <w:color w:val="000000"/>
                <w:sz w:val="16"/>
                <w:szCs w:val="16"/>
              </w:rPr>
            </w:pPr>
          </w:p>
        </w:tc>
        <w:tc>
          <w:tcPr>
            <w:tcW w:w="900" w:type="dxa"/>
            <w:tcBorders>
              <w:top w:val="single" w:sz="4" w:space="0" w:color="60B8CC" w:themeColor="accent4"/>
              <w:left w:val="nil"/>
              <w:bottom w:val="single" w:sz="4" w:space="0" w:color="60B8CC" w:themeColor="accent4"/>
              <w:right w:val="nil"/>
            </w:tcBorders>
            <w:shd w:val="clear" w:color="auto" w:fill="auto"/>
            <w:noWrap/>
          </w:tcPr>
          <w:p w14:paraId="619E7E63" w14:textId="0DC0DDB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20,479</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18638FBB" w14:textId="3B0719A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E8DC4C3" w14:textId="1A6F5FB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20,479</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5FC23FC9" w14:textId="3DB8306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3A15DEC8" w14:textId="5E266E8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$15,865</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7410738C" w14:textId="036A51D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$1,827</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362DBA58" w14:textId="20D1513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$6,271</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13529ECF" w14:textId="1925446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$722</w:t>
            </w:r>
          </w:p>
        </w:tc>
      </w:tr>
      <w:tr w:rsidR="001B5185" w:rsidRPr="004B3429" w14:paraId="1CE15205"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27DF61DA" w14:textId="45BD2D2E"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Midstream/Upstream</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3FB9AF61" w14:textId="057B25CA"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Instant Discounts</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5189E525" w14:textId="60657552"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2288C2B" w14:textId="2F52BACF"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58960B49" w14:textId="13D55FE2"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MSHP HVAC EEE IE</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0F3BDC2B" w14:textId="7BCC1BE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067A1FA3" w14:textId="6057F6C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15,008</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161C64AB" w14:textId="29A2825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6,202</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5A4EAD4A" w14:textId="5A6FF65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152</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175AE06E" w14:textId="144B19B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63</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146088B2" w14:textId="20254ED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44,466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5668D8FF" w14:textId="524ED9D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29,458</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0F59A1A8" w14:textId="77777777" w:rsidR="001B5185" w:rsidRPr="0091711B" w:rsidRDefault="001B5185" w:rsidP="001B5185">
            <w:pPr>
              <w:jc w:val="right"/>
              <w:rPr>
                <w:rFonts w:ascii="Arial Narrow" w:hAnsi="Arial Narrow" w:cs="Calibri"/>
                <w:color w:val="000000"/>
                <w:sz w:val="16"/>
                <w:szCs w:val="16"/>
              </w:rPr>
            </w:pPr>
          </w:p>
        </w:tc>
        <w:tc>
          <w:tcPr>
            <w:tcW w:w="810" w:type="dxa"/>
            <w:tcBorders>
              <w:top w:val="single" w:sz="4" w:space="0" w:color="60B8CC" w:themeColor="accent4"/>
              <w:left w:val="nil"/>
              <w:bottom w:val="single" w:sz="4" w:space="0" w:color="60B8CC" w:themeColor="accent4"/>
              <w:right w:val="nil"/>
            </w:tcBorders>
            <w:shd w:val="clear" w:color="auto" w:fill="auto"/>
            <w:noWrap/>
          </w:tcPr>
          <w:p w14:paraId="7C9B5689" w14:textId="77777777" w:rsidR="001B5185" w:rsidRPr="0091711B" w:rsidRDefault="001B5185" w:rsidP="001B5185">
            <w:pPr>
              <w:jc w:val="right"/>
              <w:rPr>
                <w:rFonts w:ascii="Arial Narrow" w:hAnsi="Arial Narrow" w:cs="Calibri"/>
                <w:color w:val="000000"/>
                <w:sz w:val="16"/>
                <w:szCs w:val="16"/>
              </w:rPr>
            </w:pPr>
          </w:p>
        </w:tc>
        <w:tc>
          <w:tcPr>
            <w:tcW w:w="900" w:type="dxa"/>
            <w:tcBorders>
              <w:top w:val="single" w:sz="4" w:space="0" w:color="60B8CC" w:themeColor="accent4"/>
              <w:left w:val="nil"/>
              <w:bottom w:val="single" w:sz="4" w:space="0" w:color="60B8CC" w:themeColor="accent4"/>
              <w:right w:val="nil"/>
            </w:tcBorders>
            <w:shd w:val="clear" w:color="auto" w:fill="auto"/>
            <w:noWrap/>
          </w:tcPr>
          <w:p w14:paraId="6E53C1EC" w14:textId="3607BC0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29,458</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1E437A31" w14:textId="61C48DB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0.80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1DB35C3B" w14:textId="4C7C878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23,566</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04E60048" w14:textId="60684A2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06A56A28" w14:textId="1BF129D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$22,821</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12E62327" w14:textId="0DDEB9A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$2,628</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21DF3F80" w14:textId="34851D6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$9,430</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0C93CB0C" w14:textId="71C4C05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$1,086</w:t>
            </w:r>
          </w:p>
        </w:tc>
      </w:tr>
      <w:tr w:rsidR="001B5185" w:rsidRPr="004B3429" w14:paraId="20D63914"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17221C94" w14:textId="2412D877"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Midstream/Upstream</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12AF0AC6" w14:textId="02071C95"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Instant Discounts</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603CF976" w14:textId="65E04151"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1E3B122A" w14:textId="67369B50"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5B34971E" w14:textId="34F14992"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MSHP HVAC DAC EEE IE</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0B964D24" w14:textId="27A0230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01A1F7E" w14:textId="456CBE3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2,599</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536EE35" w14:textId="77C991A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5,250</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475D1B07" w14:textId="0AE4A4E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28</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59E2C916" w14:textId="0098176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6C494042" w14:textId="65C6953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8,170</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51331A10" w14:textId="0E5683A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5,572</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07BBBD8" w14:textId="77777777" w:rsidR="001B5185" w:rsidRPr="0091711B" w:rsidRDefault="001B5185" w:rsidP="001B5185">
            <w:pPr>
              <w:jc w:val="right"/>
              <w:rPr>
                <w:rFonts w:ascii="Arial Narrow" w:hAnsi="Arial Narrow" w:cs="Calibri"/>
                <w:color w:val="000000"/>
                <w:sz w:val="16"/>
                <w:szCs w:val="16"/>
              </w:rPr>
            </w:pPr>
          </w:p>
        </w:tc>
        <w:tc>
          <w:tcPr>
            <w:tcW w:w="810" w:type="dxa"/>
            <w:tcBorders>
              <w:top w:val="single" w:sz="4" w:space="0" w:color="60B8CC" w:themeColor="accent4"/>
              <w:left w:val="nil"/>
              <w:bottom w:val="single" w:sz="4" w:space="0" w:color="60B8CC" w:themeColor="accent4"/>
              <w:right w:val="nil"/>
            </w:tcBorders>
            <w:shd w:val="clear" w:color="auto" w:fill="auto"/>
            <w:noWrap/>
          </w:tcPr>
          <w:p w14:paraId="15E213C1" w14:textId="77777777" w:rsidR="001B5185" w:rsidRPr="0091711B" w:rsidRDefault="001B5185" w:rsidP="001B5185">
            <w:pPr>
              <w:jc w:val="right"/>
              <w:rPr>
                <w:rFonts w:ascii="Arial Narrow" w:hAnsi="Arial Narrow" w:cs="Calibri"/>
                <w:color w:val="000000"/>
                <w:sz w:val="16"/>
                <w:szCs w:val="16"/>
              </w:rPr>
            </w:pPr>
          </w:p>
        </w:tc>
        <w:tc>
          <w:tcPr>
            <w:tcW w:w="900" w:type="dxa"/>
            <w:tcBorders>
              <w:top w:val="single" w:sz="4" w:space="0" w:color="60B8CC" w:themeColor="accent4"/>
              <w:left w:val="nil"/>
              <w:bottom w:val="single" w:sz="4" w:space="0" w:color="60B8CC" w:themeColor="accent4"/>
              <w:right w:val="nil"/>
            </w:tcBorders>
            <w:shd w:val="clear" w:color="auto" w:fill="auto"/>
            <w:noWrap/>
          </w:tcPr>
          <w:p w14:paraId="1D1C9521" w14:textId="2805262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5,572</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6C91C770" w14:textId="6894D45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2F9CF339" w14:textId="30A326A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5,572</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332B9BF6" w14:textId="7E0FE4E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2B0B066F" w14:textId="42CE8B1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$4,316</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61029089" w14:textId="08BB3C0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$497</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3A6FCB29" w14:textId="11FB0C1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$8,720</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6DD1B33E" w14:textId="670AF07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$1,004</w:t>
            </w:r>
          </w:p>
        </w:tc>
      </w:tr>
      <w:tr w:rsidR="001B5185" w:rsidRPr="004B3429" w14:paraId="17B04A9A"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2C8DC415" w14:textId="29B814F2"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Midstream/Upstream</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55A81905" w14:textId="16084A3A"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Instant Discounts</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2CD4AD6C" w14:textId="57146364"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760DC6DF" w14:textId="4435E8BE"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Other</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09935386" w14:textId="632E8CB3"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Fork Truck EEE IE</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73F7EE8E" w14:textId="0BD89A6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22</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0987A43E" w14:textId="0FA8201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1,016,676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33B48C4E" w14:textId="3FE2B39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46,359</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30776580" w14:textId="7710A76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12,413</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6F7DBF2E" w14:textId="54F23A4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566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461C4631" w14:textId="6BB2DAB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3,638,105</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45BD90A7" w14:textId="477D49F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2,621,429</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1463421E" w14:textId="77777777" w:rsidR="001B5185" w:rsidRPr="0091711B" w:rsidRDefault="001B5185" w:rsidP="001B5185">
            <w:pPr>
              <w:jc w:val="right"/>
              <w:rPr>
                <w:rFonts w:ascii="Arial Narrow" w:hAnsi="Arial Narrow" w:cs="Calibri"/>
                <w:color w:val="000000"/>
                <w:sz w:val="16"/>
                <w:szCs w:val="16"/>
              </w:rPr>
            </w:pPr>
          </w:p>
        </w:tc>
        <w:tc>
          <w:tcPr>
            <w:tcW w:w="810" w:type="dxa"/>
            <w:tcBorders>
              <w:top w:val="single" w:sz="4" w:space="0" w:color="60B8CC" w:themeColor="accent4"/>
              <w:left w:val="nil"/>
              <w:bottom w:val="single" w:sz="4" w:space="0" w:color="60B8CC" w:themeColor="accent4"/>
              <w:right w:val="nil"/>
            </w:tcBorders>
            <w:shd w:val="clear" w:color="auto" w:fill="auto"/>
            <w:noWrap/>
          </w:tcPr>
          <w:p w14:paraId="3EEC3E82" w14:textId="77777777" w:rsidR="001B5185" w:rsidRPr="0091711B" w:rsidRDefault="001B5185" w:rsidP="001B5185">
            <w:pPr>
              <w:jc w:val="right"/>
              <w:rPr>
                <w:rFonts w:ascii="Arial Narrow" w:hAnsi="Arial Narrow" w:cs="Calibri"/>
                <w:color w:val="000000"/>
                <w:sz w:val="16"/>
                <w:szCs w:val="16"/>
              </w:rPr>
            </w:pPr>
          </w:p>
        </w:tc>
        <w:tc>
          <w:tcPr>
            <w:tcW w:w="900" w:type="dxa"/>
            <w:tcBorders>
              <w:top w:val="single" w:sz="4" w:space="0" w:color="60B8CC" w:themeColor="accent4"/>
              <w:left w:val="nil"/>
              <w:bottom w:val="single" w:sz="4" w:space="0" w:color="60B8CC" w:themeColor="accent4"/>
              <w:right w:val="nil"/>
            </w:tcBorders>
            <w:shd w:val="clear" w:color="auto" w:fill="auto"/>
            <w:noWrap/>
          </w:tcPr>
          <w:p w14:paraId="0826D141" w14:textId="2C8A638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2,621,429</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54365DCA" w14:textId="541884E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0.80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44B8EA8B" w14:textId="4BB0B7B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2,097,143</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050AC060" w14:textId="5583C63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0882C93E" w14:textId="3B58C9D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$511,048</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1C6F0300" w14:textId="5843C8A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$233,840</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69D2E8AB" w14:textId="3B753AB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$23,303</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5B34E7DF" w14:textId="1B5AFB2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$10,663</w:t>
            </w:r>
          </w:p>
        </w:tc>
      </w:tr>
      <w:tr w:rsidR="001B5185" w:rsidRPr="004B3429" w14:paraId="388DE6E1"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2DBEADC9" w14:textId="0C615A70"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New Construction - IE</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071DBC48" w14:textId="0DD743AC"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Affordable Housing New Construction</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1ACCDBD8" w14:textId="164BCDD1"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401A9E19" w14:textId="75238478"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582FFA80" w14:textId="6E9DDC9D"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Ductless Heat Pump</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43A9DD09" w14:textId="392557F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44</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6691889F" w14:textId="68AC6BF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62,402</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78331A3E" w14:textId="39B7607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1,418</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5B82BE99" w14:textId="4AFB83E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5,533</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41D6DA02" w14:textId="2DFF046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6A76642D" w14:textId="2B5825E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162,164</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5AEE104D" w14:textId="6FB2E3E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99,762</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79F440C5" w14:textId="3CDD548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99,762</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2A65CDDD" w14:textId="1201A46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1E975A59" w14:textId="640BDA1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99,762</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2F71D19D" w14:textId="35BA1DF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C83403D" w14:textId="401D3BE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99,762</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12443396" w14:textId="3C8F708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5D7BC9A6" w14:textId="65DC7E3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$21,800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70F3BC12" w14:textId="56E33DB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$21,800</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5182E56A" w14:textId="66C3ED6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$495</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25A7FC7C" w14:textId="057834C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$495</w:t>
            </w:r>
          </w:p>
        </w:tc>
      </w:tr>
      <w:tr w:rsidR="001B5185" w:rsidRPr="004B3429" w14:paraId="77D3B139"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54EF14D8" w14:textId="6F8EA43D"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72FF7D5B" w14:textId="4E3FBD75"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SF</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4E78F28F" w14:textId="7E5410BC"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10FE4460" w14:textId="7A12F753"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Hot Water</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0591C3FC" w14:textId="44A7353F"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Heat Pump Water Heater - Electrification - DAC</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44185B5C" w14:textId="5DB282B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81</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7575B6D4" w14:textId="244E3FC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72,204</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3FF3DE20" w14:textId="68F0F10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891</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099D35E3" w14:textId="7E5BADE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14,794</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6F290B25" w14:textId="1E2B434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183</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149D87CD" w14:textId="7CC08B8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433,587</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7A6F7299" w14:textId="01B49AC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361,383</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208C6174" w14:textId="08A164E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383,482</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44835B02" w14:textId="32A9EC9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0.94</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7E473A95" w14:textId="3BE6E79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361,396</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0D9F64B0" w14:textId="244F6F0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6E65F79" w14:textId="16630F3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361,396</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3EE96CE3" w14:textId="714ADF1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1C0328B1" w14:textId="605D146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$359,527</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403CDB2D" w14:textId="6DE3888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$359,547</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79B1351F" w14:textId="4CF8B0B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$4,439</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1E4FD60F" w14:textId="7B9FBC5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$4,439</w:t>
            </w:r>
          </w:p>
        </w:tc>
      </w:tr>
      <w:tr w:rsidR="001B5185" w:rsidRPr="004B3429" w14:paraId="3C17272E"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3D6F5331" w14:textId="3A090C01"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72D76407" w14:textId="081E5769"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SF</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4C254998" w14:textId="0F0C10D8"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4D85192B" w14:textId="5CEEDCB3"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Hot Water</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0623755E" w14:textId="52959BA3"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Heat Pump Water Heater - Electrification</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195A5C76" w14:textId="5080A98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32</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3A99CF05" w14:textId="72F4C72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33,685</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39A7B67A" w14:textId="33883F7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1,053</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721040FB" w14:textId="0CF68EA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6,844</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7499D524" w14:textId="69CC0DE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214</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4C92BEF0" w14:textId="543F858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200,586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34B3D694" w14:textId="23F287F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166,901</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723BB9FD" w14:textId="2A5745E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170,005</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785B1106" w14:textId="7122999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0.98</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58A90598" w14:textId="576A554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166,902</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67488024" w14:textId="2556332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6368E2CE" w14:textId="76F6098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166,902</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49D1F118" w14:textId="57D88B7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161B1404" w14:textId="296BEF3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$166,038</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27DB9F51" w14:textId="2CC5ACC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$166,048</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2F7BB34E" w14:textId="36835D2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$5,189</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379A78C0" w14:textId="6898DCA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$5,189</w:t>
            </w:r>
          </w:p>
        </w:tc>
      </w:tr>
      <w:tr w:rsidR="001B5185" w:rsidRPr="004B3429" w14:paraId="73E4C6D1"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75AED742" w14:textId="4B56FEAA"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4F84F2BD" w14:textId="63749879"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MF</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3A612EED" w14:textId="0B0A3633"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D521403" w14:textId="21CDE6A5"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Hot Water</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10D68FBC" w14:textId="7316108B"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Heat Pump Water Heater - Electrification - DAC</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1254CE35" w14:textId="3085A51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5A776F7D" w14:textId="121A980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3,610</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32FCFD01" w14:textId="214815D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1,805</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E82ED1A" w14:textId="657BDC1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796</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6FCEBAD6" w14:textId="5BB7FEA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398</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68E28D04" w14:textId="3CB2314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23,329</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5648B43C" w14:textId="1B184E8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19,719</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E373D36" w14:textId="0E884DB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19,712</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68340B2B" w14:textId="1E19DDF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2F9D668F" w14:textId="6166067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19,712</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4474520B" w14:textId="22127E4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D7C3E85" w14:textId="3A8390C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19,712</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62775BF1" w14:textId="64572A5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180F0E69" w14:textId="7EFF4C7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$19,610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14A88E2A" w14:textId="2324CE9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$19,611</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2162A7B1" w14:textId="56173A2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$9,805</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60C8013F" w14:textId="541F7B5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$9,805</w:t>
            </w:r>
          </w:p>
        </w:tc>
      </w:tr>
      <w:tr w:rsidR="001B5185" w:rsidRPr="004B3429" w14:paraId="4F2D9940"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16AE1EF7" w14:textId="56CC35F0"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30E6B7CF" w14:textId="733E16E5"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MF</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1E263E04" w14:textId="30013FCF"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C25F3AC" w14:textId="3AF9C257"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Hot Water</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1701ED9F" w14:textId="1AA14ACA"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Heat Pump Water Heater - Electrification</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4005A1F6" w14:textId="38BEF04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332332DC" w14:textId="1015169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10,098</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6862E940" w14:textId="14111C5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631</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359B3975" w14:textId="6F78FBE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2,237</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1EF804FD" w14:textId="0F641BD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140</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BE41C54" w14:textId="0E8CE1F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65,563</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691F81C1" w14:textId="4DC6B3C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55,465</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78C1AEA3" w14:textId="5AEB9F5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55,475</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3955A823" w14:textId="1C4D132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2620298C" w14:textId="53E5196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55,475</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3AE6A9BD" w14:textId="170D95B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E0A953F" w14:textId="7F36220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55,475</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370C66B5" w14:textId="5AC4C42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71CCF8E7" w14:textId="49A6FDF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$55,187</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5F75BD3D" w14:textId="2668C93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$55,191</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42E9A8CC" w14:textId="1CFCF5F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$3,449</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18FD7992" w14:textId="2F74BF2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$3,449</w:t>
            </w:r>
          </w:p>
        </w:tc>
      </w:tr>
      <w:tr w:rsidR="001B5185" w:rsidRPr="004B3429" w14:paraId="1A9E0917"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13BC9EEE" w14:textId="2CD6EEE6"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Whole Home Electric</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4629D2FF" w14:textId="4C97C751"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MF</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4D9065DD" w14:textId="75C65F7D"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7A0B856" w14:textId="564A4248"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Hot Water</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2BCC880C" w14:textId="79DDB85E"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Electric Water Heater - Electrification - DAC</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608BEECD" w14:textId="49F6E3C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73552262" w14:textId="1F8D76C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8,163</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41509BB" w14:textId="111190B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2,721</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562315C9" w14:textId="69E8DA8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386</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1B07AB78" w14:textId="25151D8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129</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1049E035" w14:textId="361B8B4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11,313</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7D2AFAE9" w14:textId="59BA1F1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3,150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74E8BC8B" w14:textId="5446C2F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3,644</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1F962319" w14:textId="39B1636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0.87</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5DCD40A2" w14:textId="653E532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3,155</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26357CCA" w14:textId="230A0ED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6D012779" w14:textId="53E7FCA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3,155</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605441D8" w14:textId="05D3CB5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13.3</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1B6EE319" w14:textId="292C7F1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$3,139</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080AF194" w14:textId="2B13FE2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$3,139</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26E276C9" w14:textId="390905F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$1,046</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58F3C373" w14:textId="2A37981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$1,046</w:t>
            </w:r>
          </w:p>
        </w:tc>
      </w:tr>
      <w:tr w:rsidR="001B5185" w:rsidRPr="004B3429" w14:paraId="00F5E04A"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5AF84759" w14:textId="31D3B59A"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New Construction - IE</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01D5F747" w14:textId="21EAB4B5"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Affordable Housing New Construction</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087C1F63" w14:textId="44233C7A"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1CCCBC1C" w14:textId="16D3DB0E"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75594FE8" w14:textId="58876D8B"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Electric Dryers</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7E5B6EC0" w14:textId="5E8255F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115</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14B4C0E7" w14:textId="492806B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73,132</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755908D9" w14:textId="1F95B61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636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73B5701B" w14:textId="4D76E7D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3,453</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129A9EA4" w14:textId="65A832D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30</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50C4C388" w14:textId="00B41E6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101,206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78E1CF6" w14:textId="18FE3DC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28,074</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11F9DA11" w14:textId="6C94497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19,480</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392F89B4" w14:textId="0FD3479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1.44</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6FC29BD3" w14:textId="376E368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28,074</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17E0DAE7" w14:textId="1A2FE97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283A7D1A" w14:textId="3B1C21B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28,074</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66DE1639" w14:textId="41465F1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11.1</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7107895B" w14:textId="43BBE27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$15,824</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492D638A" w14:textId="19EC67B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$15,824</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6D508C28" w14:textId="1D52D76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$138</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461DD15E" w14:textId="0E1F608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$138</w:t>
            </w:r>
          </w:p>
        </w:tc>
      </w:tr>
      <w:tr w:rsidR="001B5185" w:rsidRPr="004B3429" w14:paraId="7ABA8A13"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6D8B6900" w14:textId="64C77635"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New Construction - IE</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1848201C" w14:textId="530EB48E"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Affordable Housing New Construction</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2204966F" w14:textId="76319B9A"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TRUE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250BE602" w14:textId="682B51FD"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5483B1B8" w14:textId="60F5383E"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PTHP</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5B45B543" w14:textId="3A7B7A7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353</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1C47A7E1" w14:textId="2E16F0B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348,086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040022BB" w14:textId="411C83A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986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1441180F" w14:textId="7DF27C5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44,709</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2044ACCD" w14:textId="5A99396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127</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05A5F48A" w14:textId="433BDA9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1,310,407</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4AA31139" w14:textId="6A3DB93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962,321</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6CD88F4C" w14:textId="5CF704B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962,321</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4AFE3D69" w14:textId="0B7DA26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1686C714" w14:textId="6DCAFCF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962,321</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4B900D40" w14:textId="1F5668A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705938EC" w14:textId="50F9335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962,321</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29E9AC6C" w14:textId="03329F2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8.0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04887A4A" w14:textId="4810E7F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$1,469,955</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02C80E33" w14:textId="4B9F190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$1,469,955</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4FD57F89" w14:textId="318F80B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$4,164</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4C8A8FC6" w14:textId="694A23F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$4,164</w:t>
            </w:r>
          </w:p>
        </w:tc>
      </w:tr>
      <w:tr w:rsidR="001B5185" w:rsidRPr="004B3429" w14:paraId="0A8C4056"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6521584E" w14:textId="5C5327CD"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Contractor/Midstream Rebates</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4B459428" w14:textId="7D2AD895"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Midstream</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4751AAFB" w14:textId="6FC3C8A8"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231940F8" w14:textId="44F5D10A"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1ADE1F25" w14:textId="256137CA"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Ground Source Heat Pump - Electrification (Non - Income Eligible)</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565D98FE" w14:textId="1DA5FAF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17</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5FC33E35" w14:textId="039A245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86,589</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603673B5" w14:textId="4B6FBC3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5,064</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401DBA5" w14:textId="1894A22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16,586</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76540A33" w14:textId="191DD55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970</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11184EC0" w14:textId="288F1BC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486,146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6C91D7EA" w14:textId="1529E76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399,557</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21526BE" w14:textId="039F3E2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380,580</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707C0EE1" w14:textId="0F20089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1.16</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6253AEFE" w14:textId="5AF5E84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442,164</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3F6D3DC9" w14:textId="26DC2BA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0.93</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5CE816FE" w14:textId="6783934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411,212</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4EC6F958" w14:textId="3DB64DC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25.0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42589476" w14:textId="15D1D71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$57,997</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5B44577F" w14:textId="2E34FEA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$57,997</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67DD7ACD" w14:textId="421ACF3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$3,392</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36BCF83E" w14:textId="198D77A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$3,392</w:t>
            </w:r>
          </w:p>
        </w:tc>
      </w:tr>
      <w:tr w:rsidR="001B5185" w:rsidRPr="004B3429" w14:paraId="50189263"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6E45BD67" w14:textId="633444B7"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Contractor/Midstream Rebates</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047FFE53" w14:textId="673D14C4"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Midstream</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3D4C6AD4" w14:textId="2D529FCF"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7AB1517" w14:textId="55C9A4A9"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3954F789" w14:textId="33BEC6C8"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Ground Source Heat Pump - Electrification - DAC (Non - Income Eligible)</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0BA916FE" w14:textId="38DCA2E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70E3C80A" w14:textId="03622CE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6,226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6D7E298E" w14:textId="686110C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3,459</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1C0D2B98" w14:textId="6ECD75F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1,012</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404E1533" w14:textId="5B3440A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562</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0E901B19" w14:textId="7EA0328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29,647</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496C5231" w14:textId="62BF87A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23,421</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5B99FFE9" w14:textId="68C3585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24,954</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3DFB6CE1" w14:textId="292129E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718CC868" w14:textId="78510EA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24,954</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40F1215C" w14:textId="58AD16E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7D99AFB1" w14:textId="0354992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24,954</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0BF62160" w14:textId="5F83281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25.0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7C6B0DF4" w14:textId="45A6789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$3,273</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32033EAE" w14:textId="1E6D0F1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$3,273</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4188688F" w14:textId="58E90E8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$1,818</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29201D80" w14:textId="7FDFC9E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$1,818</w:t>
            </w:r>
          </w:p>
        </w:tc>
      </w:tr>
      <w:tr w:rsidR="001B5185" w:rsidRPr="004B3429" w14:paraId="79E26631"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51581CA1" w14:textId="47509F58"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Contractor/Midstream Rebates</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3C4F3936" w14:textId="7AFDCE4E"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Midstream</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46529599" w14:textId="75E07048"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6941E546" w14:textId="3E40745D"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20058E57" w14:textId="49BCF784"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Midstream ASHP - Electrification (Non - Income Eligible)</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10326644" w14:textId="717053B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2,559</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7889FD31" w14:textId="7D48D91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27,651,319</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60C32D5F" w14:textId="6EBC3A9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10,805</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3AB076FE" w14:textId="461F9AF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2,135,814</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1ED1D42E" w14:textId="45893B9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835</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72C59D62" w14:textId="3CC0EB3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62,600,696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233AD0B" w14:textId="500CC6D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34,949,377</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3823CF6" w14:textId="15351DD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34,949,377</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26698B86" w14:textId="31C6A4F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A1A6B92" w14:textId="2CB4364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34,949,377</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229D9C5A" w14:textId="18924C3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0.93</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1383FA25" w14:textId="3F834D7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32,502,921</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492021ED" w14:textId="2B40E7B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70C25BAF" w14:textId="7406248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$4,584,186</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6B443990" w14:textId="2AB35E9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$4,584,186</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33614638" w14:textId="3E40150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$1,791</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35CFA464" w14:textId="3B738F6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$1,791</w:t>
            </w:r>
          </w:p>
        </w:tc>
      </w:tr>
      <w:tr w:rsidR="001B5185" w:rsidRPr="004B3429" w14:paraId="2FED8523"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3974BD1C" w14:textId="5B511E6F"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Contractor/Midstream Rebates</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4E87AB1F" w14:textId="5209751F"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Midstream</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45BC96D5" w14:textId="4FDEF636"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6EF349A9" w14:textId="37984830"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065DC1E6" w14:textId="681639B8"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Midstream ASHP - Electrification - DAC (Non - Income Eligible)</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55E43E70" w14:textId="37B1315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314</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303C3D22" w14:textId="23BECD3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2,998,031</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12021127" w14:textId="69D3A56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9,553</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7458C9CD" w14:textId="777E166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240,635</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0D42A600" w14:textId="3B2E0BB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767</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50E71076" w14:textId="7083477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7,053,024</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4B6F5D20" w14:textId="7759629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4,054,993</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0A5481CD" w14:textId="3B291ED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4,054,993</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67043B89" w14:textId="3390F70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286CDB1A" w14:textId="5B62522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4,054,993</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731E303C" w14:textId="65F5ED3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682D6C0D" w14:textId="269960E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4,054,993</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31970B1C" w14:textId="652700D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0A920997" w14:textId="2458152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$531,879</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1F86A639" w14:textId="6230DD0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$531,879</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0BA38D4F" w14:textId="079C172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$1,695</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1C70D6CF" w14:textId="0A321E0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$1,695</w:t>
            </w:r>
          </w:p>
        </w:tc>
      </w:tr>
      <w:tr w:rsidR="001B5185" w:rsidRPr="004B3429" w14:paraId="1FD7F7C4"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3CA1659F" w14:textId="3FB78023"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Electric Homes New Construction</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16C46A4B" w14:textId="7DBB8704"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EHNC</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082E7772" w14:textId="1E37AF86"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79A90CBA" w14:textId="59555FF3"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655A443D" w14:textId="3B4ED6ED"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Ductless Mini Split Heat Pumps (DAC)</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52F8BDFD" w14:textId="5A98204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17</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B9D66FB" w14:textId="191B505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168,371</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50847D61" w14:textId="47E6A9F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9,904</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05CAD60C" w14:textId="7713730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16,662</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51823BBD" w14:textId="4031790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980</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0C3A900A" w14:textId="44FD3AD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494,989</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3DB482F6" w14:textId="41C72B8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326,618</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5110DB1A" w14:textId="10DD1F8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465,751</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0EB25615" w14:textId="0E0F36D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0.70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6A9D0ABD" w14:textId="78B7A3C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326,475</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25B1EDD2" w14:textId="3813FD8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5FD601D" w14:textId="71F2599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326,475</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545D15AC" w14:textId="7963FA7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121538DC" w14:textId="0B8D07A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$17,314</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53330D70" w14:textId="3C6AF90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$17,314</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68976065" w14:textId="6EDFF18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$1,018</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1259F350" w14:textId="2040E70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$1,018</w:t>
            </w:r>
          </w:p>
        </w:tc>
      </w:tr>
      <w:tr w:rsidR="001B5185" w:rsidRPr="004B3429" w14:paraId="5595841D"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22DC75F7" w14:textId="7D85C5DF"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Electric Homes New Construction</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7EA65C65" w14:textId="2BA58C36"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EHNC</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4F337C76" w14:textId="7AB222E5"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53A98C2" w14:textId="36240C11"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3402EE71" w14:textId="491BA5D8"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Ductless Mini Split Heat Pumps</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F824615" w14:textId="1C4FE26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3C77615" w14:textId="5675636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96,212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609F78B" w14:textId="6CFC6E3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10,690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76A6957" w14:textId="6E583C4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9,521</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1857D9EB" w14:textId="15CA06E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1,058</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D4FBF65" w14:textId="445DE6C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282,847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76E7A47" w14:textId="00FFE5E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186,635</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455E7E8" w14:textId="127EE0A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266,143</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EAEA1B2" w14:textId="6D50912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0.70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C7E1184" w14:textId="31E3CBE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186,557</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2B72C55A" w14:textId="45DF4E0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0.80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D09E3B6" w14:textId="63097FE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149,246</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2F71AB0A" w14:textId="1C69C7F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6BB6418" w14:textId="27F6B26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$9,166</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DFBAECE" w14:textId="5F980DC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$9,166</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B6DF69E" w14:textId="5CCBDFA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$1,018</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49AE6CF" w14:textId="4F43A6B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$1,018</w:t>
            </w:r>
          </w:p>
        </w:tc>
      </w:tr>
      <w:tr w:rsidR="001B5185" w:rsidRPr="004B3429" w14:paraId="62B46714"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63FA4278" w14:textId="69E0E239"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Electric Homes New Construction</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12D4F20D" w14:textId="69915FD5"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EHNC</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0E56AB40" w14:textId="3BF0A390"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DF47784" w14:textId="64EE0058"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1699BE73" w14:textId="46A4128F"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Central Air Source Heat Pumps (DAC)</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232BFDCC" w14:textId="14BAB33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9B4418A" w14:textId="655DDEE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164,231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3434172" w14:textId="10B07ED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13,686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63284FD" w14:textId="233C88F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13,662</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5B2497D4" w14:textId="4BA88A1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1,139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5E18984" w14:textId="470E4EC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405,324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8655D33" w14:textId="6ED6FE9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241,093</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3B55BF9" w14:textId="0B669E0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276,651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F962F42" w14:textId="3411F46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0.87</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F9FBB9C" w14:textId="4FA1DD0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240,980</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0DED3833" w14:textId="5D8A930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091BEEA" w14:textId="5722B1C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240,980</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5255EE4C" w14:textId="0AECAA6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5A3CAE7" w14:textId="636E55C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$12,222</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7ABCBF9" w14:textId="6727E5A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$12,222</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4BCD0F2" w14:textId="3C70879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$1,018</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AA8A44F" w14:textId="7EF4BAB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$1,018</w:t>
            </w:r>
          </w:p>
        </w:tc>
      </w:tr>
      <w:tr w:rsidR="001B5185" w:rsidRPr="004B3429" w14:paraId="081D8BFC"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3DE35830" w14:textId="26A1E3C9"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Electric Homes New Construction</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55BAEED2" w14:textId="0FB6CED5"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EHNC</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7F68CFC4" w14:textId="193B1E4F"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2F79E77" w14:textId="715D19BD"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20873CA2" w14:textId="7B445092"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Central Air Source Heat Pumps</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7F2DE100" w14:textId="09CCA0D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E1DA826" w14:textId="6F560CB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93,846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2C88A0D" w14:textId="49C5FF8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15,641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265032C" w14:textId="35907C9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7,807</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48375892" w14:textId="52E2C4F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1,301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E4DAB9D" w14:textId="06A9A14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231,618</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4BD5FF4" w14:textId="63A3EDF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137,772</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016FD25" w14:textId="1378114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158,087</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CFA1E54" w14:textId="0A13F14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0.87</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26A4498" w14:textId="6BB50B7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137,703</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71D67F09" w14:textId="62BB6F5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0.80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CD461CC" w14:textId="058D7FF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110,162</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0AB8ADBF" w14:textId="7D92460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9EE3BAC" w14:textId="44FA16D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$6,111</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37413AB" w14:textId="62EB635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$6,111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7236D53" w14:textId="1B69D5B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$1,018</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525D9B4" w14:textId="1316B51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$1,018</w:t>
            </w:r>
          </w:p>
        </w:tc>
      </w:tr>
      <w:tr w:rsidR="001B5185" w:rsidRPr="004B3429" w14:paraId="15358A0E"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709001DC" w14:textId="33A6B41D"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Electric Homes New Construction</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5FA4416B" w14:textId="6768D6C2"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EHNC</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3B6E804F" w14:textId="740B72B3"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93D39C2" w14:textId="7C347E26"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5CDD7FE5" w14:textId="7DC04AA5"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Efficient Appliances-Electrification (DAC)</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38806BC7" w14:textId="7994AE0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1B3873D" w14:textId="2A1D6CC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15,454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F57EFBF" w14:textId="0710863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618</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B956240" w14:textId="707F985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730</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2CE738B9" w14:textId="30A2493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D77D445" w14:textId="7D33245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21,382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9172459" w14:textId="42F06C7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5,928</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7DA3689" w14:textId="18789B6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5,916</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96AF532" w14:textId="3242244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74D4752" w14:textId="30A22FC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5,916</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2AB5EB8F" w14:textId="5BBCF96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01A8D77" w14:textId="66E3B0E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5,916</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35B1D0C5" w14:textId="3F44C46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1A2D46F" w14:textId="4E8FE79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$297</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5EBC6902" w14:textId="7E3B8B8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$297</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D1564E4" w14:textId="28E012E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8CC6B1A" w14:textId="5464D59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w:t>
            </w:r>
          </w:p>
        </w:tc>
      </w:tr>
      <w:tr w:rsidR="001B5185" w:rsidRPr="004B3429" w14:paraId="0A9E109C"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41FE0B1C" w14:textId="0BA7780E"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Electric Homes New Construction</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49FD0AB6" w14:textId="7671FC5E"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EHNC</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0B90C448" w14:textId="203C7100"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BC6C1AB" w14:textId="0F0A7BAD"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230089DA" w14:textId="07213B5A"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Efficient Appliances-Electrification</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6B523AB" w14:textId="7C5D582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E264F28" w14:textId="02ECD56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8,831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EB78AEC" w14:textId="47845E1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679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2594DF5" w14:textId="3DA12A2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417</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4710A21F" w14:textId="7222451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4284B3D" w14:textId="4C080FD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12,214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8DB440A" w14:textId="6C3B9E6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3,383</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ECE2E85" w14:textId="03DCB47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3,380</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6DB5399" w14:textId="1D1EBD3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722DFA8" w14:textId="51032E1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3,380</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0FEB3063" w14:textId="2E0E5BF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0.80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CABFF49" w14:textId="0B5A1C0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2,704</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7D6D6BA2" w14:textId="40B8661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9C71711" w14:textId="6DA8106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$170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15CCD2B3" w14:textId="71B0BC1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$170</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DBBE99A" w14:textId="79236D9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CFDAB36" w14:textId="5963B56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w:t>
            </w:r>
          </w:p>
        </w:tc>
      </w:tr>
      <w:tr w:rsidR="001B5185" w:rsidRPr="004B3429" w14:paraId="76A8F51C"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6CEFE9EA" w14:textId="2B496F5F"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Retail/Online</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4AEDAD85" w14:textId="3E5282F7" w:rsidR="001B5185" w:rsidRPr="0091711B" w:rsidRDefault="00FF7126" w:rsidP="001B5185">
            <w:pPr>
              <w:rPr>
                <w:rFonts w:ascii="Arial Narrow" w:hAnsi="Arial Narrow" w:cs="Calibri"/>
                <w:color w:val="000000"/>
                <w:sz w:val="16"/>
                <w:szCs w:val="16"/>
              </w:rPr>
            </w:pPr>
            <w:r w:rsidRPr="0091711B">
              <w:rPr>
                <w:rFonts w:ascii="Arial Narrow" w:hAnsi="Arial Narrow"/>
                <w:sz w:val="16"/>
                <w:szCs w:val="16"/>
              </w:rPr>
              <w:t>Appliance</w:t>
            </w:r>
            <w:r w:rsidR="001B5185" w:rsidRPr="0091711B">
              <w:rPr>
                <w:rFonts w:ascii="Arial Narrow" w:hAnsi="Arial Narrow"/>
                <w:sz w:val="16"/>
                <w:szCs w:val="16"/>
              </w:rPr>
              <w:t xml:space="preserve"> Rebates</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1B26965E" w14:textId="4F0658DE"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2635FD4" w14:textId="362DAC3F"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29600D07" w14:textId="56D38237"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Electric Clothes Dryer EEE DAC MR</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4E0842E" w14:textId="66EE389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43BD339" w14:textId="1551845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-376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622E482" w14:textId="4444576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-38</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3A52EEA" w14:textId="4A204E6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430578C3" w14:textId="124CFC2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3F69BB1" w14:textId="5C3DC52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1,972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6BFC0BF" w14:textId="4E67813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2,348</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5524B5B" w14:textId="63C2997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2,335</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121D873" w14:textId="2505E53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1.01</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A7966F4" w14:textId="5C13996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2,348</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0E6F7ACE" w14:textId="7DDF3E3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5C6F458" w14:textId="0CABFF7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2,348</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1C98C710" w14:textId="2976363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C19644A" w14:textId="0ABB02E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$1,391</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5293C8D" w14:textId="276306E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$1,391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A04ECF9" w14:textId="779360B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$139</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A04010C" w14:textId="389CE95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$139</w:t>
            </w:r>
          </w:p>
        </w:tc>
      </w:tr>
      <w:tr w:rsidR="001B5185" w:rsidRPr="004B3429" w14:paraId="15C6A7E4"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4AD02583" w14:textId="4131CCA1"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Retail/Online</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2E3BF3A0" w14:textId="69206DBD" w:rsidR="001B5185" w:rsidRPr="0091711B" w:rsidRDefault="00FF7126" w:rsidP="001B5185">
            <w:pPr>
              <w:rPr>
                <w:rFonts w:ascii="Arial Narrow" w:hAnsi="Arial Narrow" w:cs="Calibri"/>
                <w:color w:val="000000"/>
                <w:sz w:val="16"/>
                <w:szCs w:val="16"/>
              </w:rPr>
            </w:pPr>
            <w:r w:rsidRPr="0091711B">
              <w:rPr>
                <w:rFonts w:ascii="Arial Narrow" w:hAnsi="Arial Narrow"/>
                <w:sz w:val="16"/>
                <w:szCs w:val="16"/>
              </w:rPr>
              <w:t>Appliance</w:t>
            </w:r>
            <w:r w:rsidR="001B5185" w:rsidRPr="0091711B">
              <w:rPr>
                <w:rFonts w:ascii="Arial Narrow" w:hAnsi="Arial Narrow"/>
                <w:sz w:val="16"/>
                <w:szCs w:val="16"/>
              </w:rPr>
              <w:t xml:space="preserve"> Rebates</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4CFDFD38" w14:textId="5334E392"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6E81ABF" w14:textId="5F11AD8B"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5156DD37" w14:textId="3B02FD12"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Electric Clothes Dryer EEE MR</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0C7159EE" w14:textId="0982F4B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118</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393B5DB" w14:textId="4B1EE74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-4,395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4B48DD2" w14:textId="3C8D0DE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DB15D20" w14:textId="7B0AF21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79</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384E5211" w14:textId="150661E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FAF2DEB" w14:textId="19FCB2D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23,075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E815EBE" w14:textId="5B6CF07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27,471</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41C9F13" w14:textId="59B9857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27,558</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90F8614" w14:textId="3F6FF6B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3976F94" w14:textId="5898328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27,471</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53A05116" w14:textId="0A37E6B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0.80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853AE68" w14:textId="34FB70A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21,977</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4D569775" w14:textId="40F59C3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DFD4EE1" w14:textId="543C052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$18,420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9C7CC61" w14:textId="52378EA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$18,420</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0F87963" w14:textId="2E7705F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$156</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7557DC5" w14:textId="1F95A30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$156</w:t>
            </w:r>
          </w:p>
        </w:tc>
      </w:tr>
      <w:tr w:rsidR="001B5185" w:rsidRPr="004B3429" w14:paraId="5713481E"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01238796" w14:textId="6E7FBBC1"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Retail/Online</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4B1529FB" w14:textId="3D648729" w:rsidR="001B5185" w:rsidRPr="0091711B" w:rsidRDefault="00FF7126" w:rsidP="001B5185">
            <w:pPr>
              <w:rPr>
                <w:rFonts w:ascii="Arial Narrow" w:hAnsi="Arial Narrow" w:cs="Calibri"/>
                <w:color w:val="000000"/>
                <w:sz w:val="16"/>
                <w:szCs w:val="16"/>
              </w:rPr>
            </w:pPr>
            <w:r w:rsidRPr="0091711B">
              <w:rPr>
                <w:rFonts w:ascii="Arial Narrow" w:hAnsi="Arial Narrow"/>
                <w:sz w:val="16"/>
                <w:szCs w:val="16"/>
              </w:rPr>
              <w:t>Appliance</w:t>
            </w:r>
            <w:r w:rsidR="001B5185" w:rsidRPr="0091711B">
              <w:rPr>
                <w:rFonts w:ascii="Arial Narrow" w:hAnsi="Arial Narrow"/>
                <w:sz w:val="16"/>
                <w:szCs w:val="16"/>
              </w:rPr>
              <w:t xml:space="preserve"> Rebates</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05F86DA3" w14:textId="068D8D86"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692B0ED" w14:textId="2CEDECF2"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649A3C1A" w14:textId="470C21C9"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Heat Pump Dryer EEE DAC MR</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0C00A0A4" w14:textId="3911ECD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F1F7C56" w14:textId="5681F78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-2,529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5F1B107" w14:textId="1052FDE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42145D0" w14:textId="5B69392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45</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6B802875" w14:textId="4FE33C4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E9CFFEC" w14:textId="0F0598B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13,275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812DE78" w14:textId="3BF0A94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15,804</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6ED8459" w14:textId="1F34CE4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12,030</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0FB339B" w14:textId="3AA2B32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1.31</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FF7A303" w14:textId="716A96D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15,804</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5A35A4E5" w14:textId="049E079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703DA4E" w14:textId="5B4C6DF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15,804</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49DAB881" w14:textId="4C0AEFF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6E5025B" w14:textId="6711694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$5,168</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A98408F" w14:textId="2D2A24E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$5,168</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DF1B68B" w14:textId="0E7EA5F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$152</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CF4D16D" w14:textId="7CC2557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$152</w:t>
            </w:r>
          </w:p>
        </w:tc>
      </w:tr>
      <w:tr w:rsidR="001B5185" w:rsidRPr="004B3429" w14:paraId="15B9DDF0"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19C29B1D" w14:textId="7F48184E"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Retail/Online</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59C576CF" w14:textId="490DB166" w:rsidR="001B5185" w:rsidRPr="0091711B" w:rsidRDefault="00FF7126" w:rsidP="001B5185">
            <w:pPr>
              <w:rPr>
                <w:rFonts w:ascii="Arial Narrow" w:hAnsi="Arial Narrow" w:cs="Calibri"/>
                <w:color w:val="000000"/>
                <w:sz w:val="16"/>
                <w:szCs w:val="16"/>
              </w:rPr>
            </w:pPr>
            <w:r w:rsidRPr="0091711B">
              <w:rPr>
                <w:rFonts w:ascii="Arial Narrow" w:hAnsi="Arial Narrow"/>
                <w:sz w:val="16"/>
                <w:szCs w:val="16"/>
              </w:rPr>
              <w:t>Appliance</w:t>
            </w:r>
            <w:r w:rsidR="001B5185" w:rsidRPr="0091711B">
              <w:rPr>
                <w:rFonts w:ascii="Arial Narrow" w:hAnsi="Arial Narrow"/>
                <w:sz w:val="16"/>
                <w:szCs w:val="16"/>
              </w:rPr>
              <w:t xml:space="preserve"> Rebates</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076BC3C9" w14:textId="6B6ECA76"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C42AEAA" w14:textId="5CB2A3B4"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353395E3" w14:textId="2B7AD3F5"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Heat Pump Dryer EEE MR</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1709EF0C" w14:textId="14639B0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265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3246112" w14:textId="4DD689E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-20,062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5ACD4D7" w14:textId="1BBA227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26E2C1F" w14:textId="2972549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359</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379F904E" w14:textId="4FA89AA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F6FE184" w14:textId="1ACF9B8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105,324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22B755A" w14:textId="7134546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125,386</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8419C7D" w14:textId="5475EF8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98,216</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81D5A5A" w14:textId="04053E3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1.28</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920119A" w14:textId="030E52B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125,386</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E5011CA" w14:textId="1DB83F7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0.80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0C77237" w14:textId="08F89A7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100,308</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4E7556F6" w14:textId="5860535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695F0F0" w14:textId="5396B84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$96,672</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148EB4C" w14:textId="0BFD04C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$96,672</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577A0B9" w14:textId="58A6577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$365</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95D9213" w14:textId="4B1198C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$365</w:t>
            </w:r>
          </w:p>
        </w:tc>
      </w:tr>
      <w:tr w:rsidR="001B5185" w:rsidRPr="004B3429" w14:paraId="4B0CCA18"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1683FD8E" w14:textId="3D1335C4"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Retail/Online</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60A3015B" w14:textId="7B891F2A" w:rsidR="001B5185" w:rsidRPr="0091711B" w:rsidRDefault="00FF7126" w:rsidP="001B5185">
            <w:pPr>
              <w:rPr>
                <w:rFonts w:ascii="Arial Narrow" w:hAnsi="Arial Narrow" w:cs="Calibri"/>
                <w:color w:val="000000"/>
                <w:sz w:val="16"/>
                <w:szCs w:val="16"/>
              </w:rPr>
            </w:pPr>
            <w:r w:rsidRPr="0091711B">
              <w:rPr>
                <w:rFonts w:ascii="Arial Narrow" w:hAnsi="Arial Narrow"/>
                <w:sz w:val="16"/>
                <w:szCs w:val="16"/>
              </w:rPr>
              <w:t>Appliance</w:t>
            </w:r>
            <w:r w:rsidR="001B5185" w:rsidRPr="0091711B">
              <w:rPr>
                <w:rFonts w:ascii="Arial Narrow" w:hAnsi="Arial Narrow"/>
                <w:sz w:val="16"/>
                <w:szCs w:val="16"/>
              </w:rPr>
              <w:t xml:space="preserve"> Rebates</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6877F8EA" w14:textId="00AC5CAD"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D9528AF" w14:textId="1F389CCB"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3E46AF32" w14:textId="15707EEE"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Induction Cooktop EEE DAC MR</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38BBE10A" w14:textId="0FF4A85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AB5083D" w14:textId="301C743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6,993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E09CA34" w14:textId="444F0B2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111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89EEFA7" w14:textId="7B19201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80</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145CAD71" w14:textId="7AD3BF7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2767E60" w14:textId="45A18EA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23,450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6DAF6CD" w14:textId="1748030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13,165</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93AECB8" w14:textId="5A2B4E2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13,165</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49804F1" w14:textId="2D6FAB2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70270EF" w14:textId="17F75C2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13,165</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3B3636E" w14:textId="34932B5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3FA4E4C" w14:textId="2E2F756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13,165</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649AA38E" w14:textId="518EE01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1B8178CC" w14:textId="571EE0C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$60,382</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5103E766" w14:textId="1918A95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$60,382</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DD1243A" w14:textId="53E76C8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$958</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B677552" w14:textId="409D705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$958</w:t>
            </w:r>
          </w:p>
        </w:tc>
      </w:tr>
      <w:tr w:rsidR="001B5185" w:rsidRPr="004B3429" w14:paraId="274A5121"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44B1C592" w14:textId="4AF8A4FE"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Retail/Online</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72F55D7C" w14:textId="4FBE7F6C" w:rsidR="001B5185" w:rsidRPr="0091711B" w:rsidRDefault="00FF7126" w:rsidP="001B5185">
            <w:pPr>
              <w:rPr>
                <w:rFonts w:ascii="Arial Narrow" w:hAnsi="Arial Narrow" w:cs="Calibri"/>
                <w:color w:val="000000"/>
                <w:sz w:val="16"/>
                <w:szCs w:val="16"/>
              </w:rPr>
            </w:pPr>
            <w:r w:rsidRPr="0091711B">
              <w:rPr>
                <w:rFonts w:ascii="Arial Narrow" w:hAnsi="Arial Narrow"/>
                <w:sz w:val="16"/>
                <w:szCs w:val="16"/>
              </w:rPr>
              <w:t>Appliance</w:t>
            </w:r>
            <w:r w:rsidR="001B5185" w:rsidRPr="0091711B">
              <w:rPr>
                <w:rFonts w:ascii="Arial Narrow" w:hAnsi="Arial Narrow"/>
                <w:sz w:val="16"/>
                <w:szCs w:val="16"/>
              </w:rPr>
              <w:t xml:space="preserve"> Rebates</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4A104A05" w14:textId="65602CD2"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DF471EA" w14:textId="7C6A0D3E"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55C2FE84" w14:textId="6D3D9DC8"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Induction Cooktop EEE MR</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34AAE5FF" w14:textId="3FE6067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337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B462B86" w14:textId="7A8B54F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37,750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E007CE2" w14:textId="2BBA909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112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3C3D5B3" w14:textId="4ECF329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430</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2AEA0793" w14:textId="50F5B3A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F315A2E" w14:textId="401003D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125,941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35D975D" w14:textId="5D487C9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70,636</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8849FFA" w14:textId="1CA8A94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70,421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2FA27D1" w14:textId="0F27879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1D64946" w14:textId="04F83C1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70,636</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44C60627" w14:textId="3FE181E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0.80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BE6EC97" w14:textId="03A1052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56,509</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650F68AB" w14:textId="3F4A5B9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1B2F663A" w14:textId="59B9F01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$337,207</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4718D73" w14:textId="3039D44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$337,207</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34C281B" w14:textId="4F010D1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BAB578B" w14:textId="482D8D3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$1,001</w:t>
            </w:r>
          </w:p>
        </w:tc>
      </w:tr>
      <w:tr w:rsidR="001B5185" w:rsidRPr="004B3429" w14:paraId="3A23D5FF"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69172C89" w14:textId="3D6B72A9"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Retail/Online</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391483E6" w14:textId="3E705BBA"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ESRPP</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6314D942" w14:textId="6148C6E3"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1DF967D" w14:textId="476192A1"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Appliances</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699D0742" w14:textId="745DBAF7"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Induction Cooktops - Electrification</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482C649D" w14:textId="3C27610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A1CBB9E" w14:textId="57E0DCED"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15,049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B567B68" w14:textId="52D387F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111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FC92AE8" w14:textId="51C1F8B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1,722</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137FF64D" w14:textId="47FF3BC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2F18B0BB" w14:textId="4CE0389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50,463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140B7B8" w14:textId="4071F62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35,414</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AD4FA1E" w14:textId="6EFD4D12" w:rsidR="001B5185" w:rsidRPr="0091711B" w:rsidRDefault="001B5185" w:rsidP="001B5185">
            <w:pPr>
              <w:jc w:val="right"/>
              <w:rPr>
                <w:rFonts w:ascii="Arial Narrow" w:hAnsi="Arial Narrow" w:cs="Calibri"/>
                <w:color w:val="000000"/>
                <w:sz w:val="16"/>
                <w:szCs w:val="16"/>
              </w:rPr>
            </w:pP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78C166F" w14:textId="0682A500" w:rsidR="001B5185" w:rsidRPr="0091711B" w:rsidRDefault="001B5185" w:rsidP="001B5185">
            <w:pPr>
              <w:jc w:val="right"/>
              <w:rPr>
                <w:rFonts w:ascii="Arial Narrow" w:hAnsi="Arial Narrow" w:cs="Calibri"/>
                <w:color w:val="000000"/>
                <w:sz w:val="16"/>
                <w:szCs w:val="16"/>
              </w:rPr>
            </w:pP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4456961" w14:textId="7F3C50C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35,414</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35E88BE6" w14:textId="599C8FE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54BD258" w14:textId="0D374CB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35,414</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38D14100" w14:textId="3F36D16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EB77E55" w14:textId="32F457D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$135,658</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0765AD8" w14:textId="7F4B367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$135,658</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787F3C1" w14:textId="6240D92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59EDA28" w14:textId="12660D1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$1,001</w:t>
            </w:r>
          </w:p>
        </w:tc>
      </w:tr>
      <w:tr w:rsidR="001B5185" w:rsidRPr="004B3429" w14:paraId="5D1AED14"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0BD56A96" w14:textId="387F4BBA"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Electric Homes New Construction</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1566B2E5" w14:textId="4C504C9D"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EHNC</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1FE9A9B9" w14:textId="460920D2"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220F054" w14:textId="291EA248"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Hot Water</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24B0A35B" w14:textId="36F65017"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High-Performance Water Heating Equipment-Electrification (DAC)</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27778F8F" w14:textId="092D595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28</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30CB2EF3" w14:textId="478BAA5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41,050</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DD4FD7C" w14:textId="735D709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1,466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F0D7CC0" w14:textId="0F3C291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7,858</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7377B195" w14:textId="7772569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281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1E48741" w14:textId="132327C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233,999</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725B8A2" w14:textId="475E3D7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192,949</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D28E789" w14:textId="30B2156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189,211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5472D96" w14:textId="6769A98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1.02</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6ACC3E2" w14:textId="1FA25AF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192,872</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CE3A09F" w14:textId="4E34D3A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7395E6B3" w14:textId="1C74E2B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192,872</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58C05371" w14:textId="5F2C873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654DFDF9" w14:textId="79E2FD8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$82,820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C15372F" w14:textId="452A431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$82,820</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54F2FE55" w14:textId="72428E9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$2,958</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913F141" w14:textId="01AC6E8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$2,958</w:t>
            </w:r>
          </w:p>
        </w:tc>
      </w:tr>
      <w:tr w:rsidR="001B5185" w:rsidRPr="004B3429" w14:paraId="5EE2A00F"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6D060762" w14:textId="75F2AF95"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lastRenderedPageBreak/>
              <w:t>Electric Homes New Construction</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1B5622C1" w14:textId="0D171A5A"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EHNC</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52800C2C" w14:textId="116B4AE7"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55FC775" w14:textId="1A373B1B"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Hot Water</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16739452" w14:textId="51E5C4FA"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High-Performance Water Heating Equipment-Electrification</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B0DC5D5" w14:textId="21FD3B5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A6B777D" w14:textId="5978E98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23,457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7D3BAAB" w14:textId="489AFDF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1,466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0AD1E2A" w14:textId="746A929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4,490</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3C6B2E9D" w14:textId="345FE85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281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6E81286" w14:textId="6897940B"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133,705</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01BA88C" w14:textId="0BA6027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110,248</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001DE518" w14:textId="5928B44A"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108,121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5EA8238" w14:textId="5E1423AF"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1.02</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092502C" w14:textId="1E680EF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110,213</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81A882C" w14:textId="5EB08B0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0.80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5CE6EA62" w14:textId="609CD3E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88,170</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21BA88BF" w14:textId="10C251CC"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C1CC462" w14:textId="7657D50E"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$25,579</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46A69188" w14:textId="58901C83"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$25,579</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F29F581" w14:textId="1BCCC3D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$1,599</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07BC53AC" w14:textId="7DD0E16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$1,599</w:t>
            </w:r>
          </w:p>
        </w:tc>
      </w:tr>
      <w:tr w:rsidR="001B5185" w:rsidRPr="004B3429" w14:paraId="36EA535C"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37235098" w14:textId="78F9D1C6"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Incentives</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60D79555" w14:textId="29CE9C33"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Custom</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4988CDF9" w14:textId="3BF5D1B6"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052991C" w14:textId="690C42F0"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Other</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1BC87DDF" w14:textId="00E194F1" w:rsidR="001B5185" w:rsidRPr="0091711B" w:rsidRDefault="001B5185" w:rsidP="001B5185">
            <w:pPr>
              <w:rPr>
                <w:rFonts w:ascii="Arial Narrow" w:hAnsi="Arial Narrow" w:cs="Calibri"/>
                <w:color w:val="000000"/>
                <w:sz w:val="16"/>
                <w:szCs w:val="16"/>
              </w:rPr>
            </w:pPr>
            <w:r w:rsidRPr="0091711B">
              <w:rPr>
                <w:rFonts w:ascii="Arial Narrow" w:hAnsi="Arial Narrow"/>
                <w:sz w:val="16"/>
                <w:szCs w:val="16"/>
              </w:rPr>
              <w:t>Other (Electrification)</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75919E6A" w14:textId="62D7B7B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E773081" w14:textId="59EB94B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23,681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D8CC98F" w14:textId="5EDF281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23,681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D1D672A" w14:textId="655BBA3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1,144</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7C0B859B" w14:textId="18C9EDE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1,144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11172DC" w14:textId="64A4938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33,534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75703CF5" w14:textId="6C433067"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9,853</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DDF7771" w14:textId="1363BF2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9,859</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30F60E62" w14:textId="010E4BF1"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1.01</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A928178" w14:textId="0E5411A8"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9,979</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117DB775" w14:textId="1517685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0.56</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EF3B555" w14:textId="27F2FA50"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5,588</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06804FB4" w14:textId="651B8816"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37E6D5C" w14:textId="051D8414"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$1,943</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436020B" w14:textId="0F3FD4D2"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$2,546</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46F92C7F" w14:textId="4BE05365"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$1,943</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02CEF6F" w14:textId="3869B219" w:rsidR="001B5185" w:rsidRPr="0091711B" w:rsidRDefault="001B5185" w:rsidP="001B5185">
            <w:pPr>
              <w:jc w:val="right"/>
              <w:rPr>
                <w:rFonts w:ascii="Arial Narrow" w:hAnsi="Arial Narrow" w:cs="Calibri"/>
                <w:color w:val="000000"/>
                <w:sz w:val="16"/>
                <w:szCs w:val="16"/>
              </w:rPr>
            </w:pPr>
            <w:r w:rsidRPr="0091711B">
              <w:rPr>
                <w:rFonts w:ascii="Arial Narrow" w:hAnsi="Arial Narrow"/>
                <w:sz w:val="16"/>
                <w:szCs w:val="16"/>
              </w:rPr>
              <w:t>$2,546</w:t>
            </w:r>
          </w:p>
        </w:tc>
      </w:tr>
      <w:tr w:rsidR="000E32FF" w:rsidRPr="004B3429" w14:paraId="02658B7F"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568CC8B0" w14:textId="6CB09158"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Midstream/Upstream</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71FBE0BA" w14:textId="34E4AF7F"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Instant Discounts</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66E922C6" w14:textId="1E9A103F"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8E7F2A7" w14:textId="70DCBE9A"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1554B9A7" w14:textId="25AF4451"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ASHP HVAC EEE</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6E62EBFF" w14:textId="5B8A28EC"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6404758B" w14:textId="5F5E67B2"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34,082</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A1E4285" w14:textId="454FB397"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8,607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5EAA6CF" w14:textId="0D7F1D35"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321</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660E1968" w14:textId="15FAD353"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81</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5F18C30" w14:textId="0C96A3FF"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93,998</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E9BEC5F" w14:textId="44222217"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59,915</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EC7D7AC" w14:textId="6C17735C"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69,304</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73A9AF2F" w14:textId="64EFCAF2"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0.86</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4FB285C6" w14:textId="46466ECF"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59,915</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0EC2E5C2" w14:textId="3BEE0E8E"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0.80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65F4FB5F" w14:textId="46ED4AAD"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47,932</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025C58B0" w14:textId="4F671B8C"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2BC2FE01" w14:textId="1B3F5400"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$46,416</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72972A54" w14:textId="23197459"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$5,345</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C3FD1AD" w14:textId="392F31FF"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$11,721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75BA8C0" w14:textId="5E46377B"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$1,350</w:t>
            </w:r>
          </w:p>
        </w:tc>
      </w:tr>
      <w:tr w:rsidR="000E32FF" w:rsidRPr="004B3429" w14:paraId="449D1964"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hideMark/>
          </w:tcPr>
          <w:p w14:paraId="0CA52E07" w14:textId="015FC109"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Midstream/Upstream</w:t>
            </w:r>
          </w:p>
        </w:tc>
        <w:tc>
          <w:tcPr>
            <w:tcW w:w="1727" w:type="dxa"/>
            <w:tcBorders>
              <w:top w:val="single" w:sz="4" w:space="0" w:color="60B8CC" w:themeColor="accent4"/>
              <w:left w:val="nil"/>
              <w:bottom w:val="single" w:sz="4" w:space="0" w:color="60B8CC" w:themeColor="accent4"/>
              <w:right w:val="nil"/>
            </w:tcBorders>
            <w:shd w:val="clear" w:color="auto" w:fill="auto"/>
            <w:noWrap/>
            <w:hideMark/>
          </w:tcPr>
          <w:p w14:paraId="37E38070" w14:textId="46A0D9A0"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Instant Discounts</w:t>
            </w:r>
          </w:p>
        </w:tc>
        <w:tc>
          <w:tcPr>
            <w:tcW w:w="689" w:type="dxa"/>
            <w:tcBorders>
              <w:top w:val="single" w:sz="4" w:space="0" w:color="60B8CC" w:themeColor="accent4"/>
              <w:left w:val="nil"/>
              <w:bottom w:val="single" w:sz="4" w:space="0" w:color="60B8CC" w:themeColor="accent4"/>
              <w:right w:val="nil"/>
            </w:tcBorders>
            <w:shd w:val="clear" w:color="auto" w:fill="auto"/>
            <w:noWrap/>
            <w:hideMark/>
          </w:tcPr>
          <w:p w14:paraId="2DC31482" w14:textId="0966E8C9"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FF682E3" w14:textId="4A77EE95"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hideMark/>
          </w:tcPr>
          <w:p w14:paraId="1F081921" w14:textId="42DDC5E8"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ASHP HVAC DAC EEE</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14B8D897" w14:textId="41C1912D"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23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259C4EB" w14:textId="11CFD3DB"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131,463</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18E4175B" w14:textId="12FBB5F2"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5,774</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0160C971" w14:textId="0A6C8800"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1,077</w:t>
            </w:r>
          </w:p>
        </w:tc>
        <w:tc>
          <w:tcPr>
            <w:tcW w:w="1170" w:type="dxa"/>
            <w:tcBorders>
              <w:top w:val="single" w:sz="4" w:space="0" w:color="60B8CC" w:themeColor="accent4"/>
              <w:left w:val="nil"/>
              <w:bottom w:val="single" w:sz="4" w:space="0" w:color="60B8CC" w:themeColor="accent4"/>
              <w:right w:val="nil"/>
            </w:tcBorders>
            <w:shd w:val="clear" w:color="auto" w:fill="auto"/>
            <w:noWrap/>
            <w:hideMark/>
          </w:tcPr>
          <w:p w14:paraId="791C9D2F" w14:textId="194EA499"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47</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59C70990" w14:textId="0CA7C762"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315,776</w:t>
            </w:r>
          </w:p>
        </w:tc>
        <w:tc>
          <w:tcPr>
            <w:tcW w:w="1080" w:type="dxa"/>
            <w:tcBorders>
              <w:top w:val="single" w:sz="4" w:space="0" w:color="60B8CC" w:themeColor="accent4"/>
              <w:left w:val="nil"/>
              <w:bottom w:val="single" w:sz="4" w:space="0" w:color="60B8CC" w:themeColor="accent4"/>
              <w:right w:val="nil"/>
            </w:tcBorders>
            <w:shd w:val="clear" w:color="auto" w:fill="auto"/>
            <w:noWrap/>
            <w:hideMark/>
          </w:tcPr>
          <w:p w14:paraId="43C6B77F" w14:textId="4ABFCDEC"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184,312</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397A6957" w14:textId="608B570A"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214,347</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2827FF28" w14:textId="2991B093"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0.86</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21745F20" w14:textId="23E02733"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184,312</w:t>
            </w:r>
          </w:p>
        </w:tc>
        <w:tc>
          <w:tcPr>
            <w:tcW w:w="630" w:type="dxa"/>
            <w:tcBorders>
              <w:top w:val="single" w:sz="4" w:space="0" w:color="60B8CC" w:themeColor="accent4"/>
              <w:left w:val="nil"/>
              <w:bottom w:val="single" w:sz="4" w:space="0" w:color="60B8CC" w:themeColor="accent4"/>
              <w:right w:val="nil"/>
            </w:tcBorders>
            <w:shd w:val="clear" w:color="auto" w:fill="auto"/>
            <w:noWrap/>
            <w:hideMark/>
          </w:tcPr>
          <w:p w14:paraId="08720DF1" w14:textId="3C8612C5"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hideMark/>
          </w:tcPr>
          <w:p w14:paraId="1A8D9CB0" w14:textId="31C1911C"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184,312</w:t>
            </w:r>
          </w:p>
        </w:tc>
        <w:tc>
          <w:tcPr>
            <w:tcW w:w="540" w:type="dxa"/>
            <w:tcBorders>
              <w:top w:val="single" w:sz="4" w:space="0" w:color="60B8CC" w:themeColor="accent4"/>
              <w:left w:val="nil"/>
              <w:bottom w:val="single" w:sz="4" w:space="0" w:color="60B8CC" w:themeColor="accent4"/>
              <w:right w:val="nil"/>
            </w:tcBorders>
            <w:shd w:val="clear" w:color="auto" w:fill="auto"/>
            <w:noWrap/>
            <w:hideMark/>
          </w:tcPr>
          <w:p w14:paraId="45C0C003" w14:textId="1F3F8313"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0E931626" w14:textId="6C45A20F"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$142,786</w:t>
            </w:r>
          </w:p>
        </w:tc>
        <w:tc>
          <w:tcPr>
            <w:tcW w:w="990" w:type="dxa"/>
            <w:tcBorders>
              <w:top w:val="single" w:sz="4" w:space="0" w:color="60B8CC" w:themeColor="accent4"/>
              <w:left w:val="nil"/>
              <w:bottom w:val="single" w:sz="4" w:space="0" w:color="60B8CC" w:themeColor="accent4"/>
              <w:right w:val="nil"/>
            </w:tcBorders>
            <w:shd w:val="clear" w:color="auto" w:fill="auto"/>
            <w:noWrap/>
            <w:hideMark/>
          </w:tcPr>
          <w:p w14:paraId="3BC5683A" w14:textId="77F49F97"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$16,441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1F3C4A4B" w14:textId="297D0F3B"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$6,271</w:t>
            </w:r>
          </w:p>
        </w:tc>
        <w:tc>
          <w:tcPr>
            <w:tcW w:w="810" w:type="dxa"/>
            <w:tcBorders>
              <w:top w:val="single" w:sz="4" w:space="0" w:color="60B8CC" w:themeColor="accent4"/>
              <w:left w:val="nil"/>
              <w:bottom w:val="single" w:sz="4" w:space="0" w:color="60B8CC" w:themeColor="accent4"/>
              <w:right w:val="nil"/>
            </w:tcBorders>
            <w:shd w:val="clear" w:color="auto" w:fill="auto"/>
            <w:noWrap/>
            <w:hideMark/>
          </w:tcPr>
          <w:p w14:paraId="66FAF530" w14:textId="405A7BEF"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$722</w:t>
            </w:r>
          </w:p>
        </w:tc>
      </w:tr>
      <w:tr w:rsidR="000E32FF" w:rsidRPr="004B3429" w14:paraId="0B2EC5A5"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064397D6" w14:textId="4BB07A09"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Midstream/Upstream</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6A24A024" w14:textId="49E8C3C6"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Instant Discounts</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1A207626" w14:textId="24F90FEA"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6A6146F3" w14:textId="2E285695"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30EBCC7E" w14:textId="5B52F9FD"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MSHP HVAC EEE</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6110CD0C" w14:textId="4372A4D1"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22</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5C9725F1" w14:textId="7DB707F9"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135,076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D976D90" w14:textId="02C7ED29"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6,202</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552ED14" w14:textId="5B17C29D"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1,365</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795DE1D8" w14:textId="2C8C2948"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63</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1AE038C" w14:textId="7BC6046C"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400,195</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BCAD0E0" w14:textId="26B9DF04"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265,119</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1EBBF200" w14:textId="70946D6F"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322,129</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2B3FAE90" w14:textId="239AE255"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0.82</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45188582" w14:textId="2678EAB4"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265,119</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58C692BC" w14:textId="718E2A3B"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0.80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54F80D36" w14:textId="242C2D8D"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212,095</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4B1FC56E" w14:textId="16FF4D98"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1CE5ED9F" w14:textId="389B8387"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$205,388</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3BD9AC60" w14:textId="5B04F0EA"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$23,649</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28B6C0E2" w14:textId="4661717C"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$9,430</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0612680F" w14:textId="21190DEF"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$1,086</w:t>
            </w:r>
          </w:p>
        </w:tc>
      </w:tr>
      <w:tr w:rsidR="000E32FF" w:rsidRPr="004B3429" w14:paraId="4D522801"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26CC4FE2" w14:textId="5F43B13E"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Midstream/Upstream</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0721542B" w14:textId="15589486"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Instant Discounts</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24A6988A" w14:textId="66B27541"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2636B256" w14:textId="7D276130"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HVAC</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1B645CAB" w14:textId="2543C705"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MSHP HVAC DAC EEE</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7443D446" w14:textId="3795E239"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4</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69337E8F" w14:textId="08955A8E"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23,388</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778B1AF9" w14:textId="2659A7C4"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5,250</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E96B94B" w14:textId="1FA7B86B"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251</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674F4F61" w14:textId="2EDFE1A9"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56</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68A533F9" w14:textId="150BC7F3"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73,533</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24C7BB57" w14:textId="786AFAEB"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50,145</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1D6AB0F4" w14:textId="302D6E44"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60,920</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21134AE6" w14:textId="4B232598"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0.82</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7C2D0D40" w14:textId="4D56B50B"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50,145</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67625D30" w14:textId="5DA7076C"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1.00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439DEDE7" w14:textId="5715F97E"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50,145</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1CBC8D3D" w14:textId="0E45E8E5"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08831A3B" w14:textId="6239F40C"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$38,847</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2891FE56" w14:textId="132C0B98"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$4,473</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03D6E5DD" w14:textId="037E2075"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$8,720</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663D00BC" w14:textId="2F5769AF"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$1,004</w:t>
            </w:r>
          </w:p>
        </w:tc>
      </w:tr>
      <w:tr w:rsidR="000E32FF" w:rsidRPr="004B3429" w14:paraId="72EE33C3" w14:textId="77777777">
        <w:trPr>
          <w:trHeight w:val="300"/>
        </w:trPr>
        <w:tc>
          <w:tcPr>
            <w:tcW w:w="1809" w:type="dxa"/>
            <w:tcBorders>
              <w:top w:val="single" w:sz="4" w:space="0" w:color="60B8CC" w:themeColor="accent4"/>
              <w:left w:val="nil"/>
              <w:bottom w:val="single" w:sz="4" w:space="0" w:color="60B8CC" w:themeColor="accent4"/>
              <w:right w:val="nil"/>
            </w:tcBorders>
            <w:shd w:val="clear" w:color="auto" w:fill="auto"/>
            <w:noWrap/>
          </w:tcPr>
          <w:p w14:paraId="354FD76A" w14:textId="4BDA7F22"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Midstream/Upstream</w:t>
            </w:r>
          </w:p>
        </w:tc>
        <w:tc>
          <w:tcPr>
            <w:tcW w:w="1727" w:type="dxa"/>
            <w:tcBorders>
              <w:top w:val="single" w:sz="4" w:space="0" w:color="60B8CC" w:themeColor="accent4"/>
              <w:left w:val="nil"/>
              <w:bottom w:val="single" w:sz="4" w:space="0" w:color="60B8CC" w:themeColor="accent4"/>
              <w:right w:val="nil"/>
            </w:tcBorders>
            <w:shd w:val="clear" w:color="auto" w:fill="auto"/>
            <w:noWrap/>
          </w:tcPr>
          <w:p w14:paraId="5307CA29" w14:textId="3BA1B5C8"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Instant Discounts</w:t>
            </w:r>
          </w:p>
        </w:tc>
        <w:tc>
          <w:tcPr>
            <w:tcW w:w="689" w:type="dxa"/>
            <w:tcBorders>
              <w:top w:val="single" w:sz="4" w:space="0" w:color="60B8CC" w:themeColor="accent4"/>
              <w:left w:val="nil"/>
              <w:bottom w:val="single" w:sz="4" w:space="0" w:color="60B8CC" w:themeColor="accent4"/>
              <w:right w:val="nil"/>
            </w:tcBorders>
            <w:shd w:val="clear" w:color="auto" w:fill="auto"/>
            <w:noWrap/>
          </w:tcPr>
          <w:p w14:paraId="6CE359C3" w14:textId="134D0E01"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FALSE</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68F789FE" w14:textId="53936066"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Other</w:t>
            </w:r>
          </w:p>
        </w:tc>
        <w:tc>
          <w:tcPr>
            <w:tcW w:w="2160" w:type="dxa"/>
            <w:tcBorders>
              <w:top w:val="single" w:sz="4" w:space="0" w:color="60B8CC" w:themeColor="accent4"/>
              <w:left w:val="nil"/>
              <w:bottom w:val="single" w:sz="4" w:space="0" w:color="60B8CC" w:themeColor="accent4"/>
              <w:right w:val="nil"/>
            </w:tcBorders>
            <w:shd w:val="clear" w:color="auto" w:fill="auto"/>
            <w:noWrap/>
          </w:tcPr>
          <w:p w14:paraId="7B75D4B9" w14:textId="2E041D20" w:rsidR="000E32FF" w:rsidRPr="000E32FF" w:rsidRDefault="000E32FF" w:rsidP="000E32FF">
            <w:pPr>
              <w:rPr>
                <w:rFonts w:ascii="Arial Narrow" w:hAnsi="Arial Narrow" w:cs="Calibri"/>
                <w:color w:val="000000"/>
                <w:sz w:val="16"/>
                <w:szCs w:val="16"/>
              </w:rPr>
            </w:pPr>
            <w:r w:rsidRPr="000E32FF">
              <w:rPr>
                <w:rFonts w:ascii="Arial Narrow" w:hAnsi="Arial Narrow"/>
                <w:sz w:val="16"/>
                <w:szCs w:val="16"/>
              </w:rPr>
              <w:t>Fork Truck EEE</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726EBC48" w14:textId="581491AB"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148</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1D3A18C2" w14:textId="334C08F0"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7,274,609</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58D49507" w14:textId="1AAC5BC1"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49,299</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6E66237A" w14:textId="3CD1A35B"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88,820</w:t>
            </w:r>
          </w:p>
        </w:tc>
        <w:tc>
          <w:tcPr>
            <w:tcW w:w="1170" w:type="dxa"/>
            <w:tcBorders>
              <w:top w:val="single" w:sz="4" w:space="0" w:color="60B8CC" w:themeColor="accent4"/>
              <w:left w:val="nil"/>
              <w:bottom w:val="single" w:sz="4" w:space="0" w:color="60B8CC" w:themeColor="accent4"/>
              <w:right w:val="nil"/>
            </w:tcBorders>
            <w:shd w:val="clear" w:color="auto" w:fill="auto"/>
            <w:noWrap/>
          </w:tcPr>
          <w:p w14:paraId="5F6BFBC6" w14:textId="036024AA"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602</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4CA6CFE4" w14:textId="1F78EF0F"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26,031,691</w:t>
            </w:r>
          </w:p>
        </w:tc>
        <w:tc>
          <w:tcPr>
            <w:tcW w:w="1080" w:type="dxa"/>
            <w:tcBorders>
              <w:top w:val="single" w:sz="4" w:space="0" w:color="60B8CC" w:themeColor="accent4"/>
              <w:left w:val="nil"/>
              <w:bottom w:val="single" w:sz="4" w:space="0" w:color="60B8CC" w:themeColor="accent4"/>
              <w:right w:val="nil"/>
            </w:tcBorders>
            <w:shd w:val="clear" w:color="auto" w:fill="auto"/>
            <w:noWrap/>
          </w:tcPr>
          <w:p w14:paraId="36824C6C" w14:textId="77BA1DB7"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18,757,081</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3FBAA8F8" w14:textId="015A2F80"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26,213,534</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76F114D9" w14:textId="68EAF2C1"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0.72</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19B9B21C" w14:textId="14FF38CA"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18,757,081</w:t>
            </w:r>
          </w:p>
        </w:tc>
        <w:tc>
          <w:tcPr>
            <w:tcW w:w="630" w:type="dxa"/>
            <w:tcBorders>
              <w:top w:val="single" w:sz="4" w:space="0" w:color="60B8CC" w:themeColor="accent4"/>
              <w:left w:val="nil"/>
              <w:bottom w:val="single" w:sz="4" w:space="0" w:color="60B8CC" w:themeColor="accent4"/>
              <w:right w:val="nil"/>
            </w:tcBorders>
            <w:shd w:val="clear" w:color="auto" w:fill="auto"/>
            <w:noWrap/>
          </w:tcPr>
          <w:p w14:paraId="03F29798" w14:textId="0F70EA44"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0.80</w:t>
            </w:r>
          </w:p>
        </w:tc>
        <w:tc>
          <w:tcPr>
            <w:tcW w:w="900" w:type="dxa"/>
            <w:tcBorders>
              <w:top w:val="single" w:sz="4" w:space="0" w:color="60B8CC" w:themeColor="accent4"/>
              <w:left w:val="nil"/>
              <w:bottom w:val="single" w:sz="4" w:space="0" w:color="60B8CC" w:themeColor="accent4"/>
              <w:right w:val="nil"/>
            </w:tcBorders>
            <w:shd w:val="clear" w:color="auto" w:fill="auto"/>
            <w:noWrap/>
          </w:tcPr>
          <w:p w14:paraId="0CAE5745" w14:textId="68C35A1B"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15,005,665</w:t>
            </w:r>
          </w:p>
        </w:tc>
        <w:tc>
          <w:tcPr>
            <w:tcW w:w="540" w:type="dxa"/>
            <w:tcBorders>
              <w:top w:val="single" w:sz="4" w:space="0" w:color="60B8CC" w:themeColor="accent4"/>
              <w:left w:val="nil"/>
              <w:bottom w:val="single" w:sz="4" w:space="0" w:color="60B8CC" w:themeColor="accent4"/>
              <w:right w:val="nil"/>
            </w:tcBorders>
            <w:shd w:val="clear" w:color="auto" w:fill="auto"/>
            <w:noWrap/>
          </w:tcPr>
          <w:p w14:paraId="1756BC9F" w14:textId="1913C82E"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15.0</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758EEF55" w14:textId="5C068DB6"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$3,656,693</w:t>
            </w:r>
          </w:p>
        </w:tc>
        <w:tc>
          <w:tcPr>
            <w:tcW w:w="990" w:type="dxa"/>
            <w:tcBorders>
              <w:top w:val="single" w:sz="4" w:space="0" w:color="60B8CC" w:themeColor="accent4"/>
              <w:left w:val="nil"/>
              <w:bottom w:val="single" w:sz="4" w:space="0" w:color="60B8CC" w:themeColor="accent4"/>
              <w:right w:val="nil"/>
            </w:tcBorders>
            <w:shd w:val="clear" w:color="auto" w:fill="auto"/>
            <w:noWrap/>
          </w:tcPr>
          <w:p w14:paraId="07808C57" w14:textId="3C314BE9"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$1,673,191</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69948DD7" w14:textId="2F904A1E"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$24,781</w:t>
            </w:r>
          </w:p>
        </w:tc>
        <w:tc>
          <w:tcPr>
            <w:tcW w:w="810" w:type="dxa"/>
            <w:tcBorders>
              <w:top w:val="single" w:sz="4" w:space="0" w:color="60B8CC" w:themeColor="accent4"/>
              <w:left w:val="nil"/>
              <w:bottom w:val="single" w:sz="4" w:space="0" w:color="60B8CC" w:themeColor="accent4"/>
              <w:right w:val="nil"/>
            </w:tcBorders>
            <w:shd w:val="clear" w:color="auto" w:fill="auto"/>
            <w:noWrap/>
          </w:tcPr>
          <w:p w14:paraId="03125FB4" w14:textId="181EDA16" w:rsidR="000E32FF" w:rsidRPr="000E32FF" w:rsidRDefault="000E32FF" w:rsidP="000E32FF">
            <w:pPr>
              <w:jc w:val="right"/>
              <w:rPr>
                <w:rFonts w:ascii="Arial Narrow" w:hAnsi="Arial Narrow" w:cs="Calibri"/>
                <w:color w:val="000000"/>
                <w:sz w:val="16"/>
                <w:szCs w:val="16"/>
              </w:rPr>
            </w:pPr>
            <w:r w:rsidRPr="000E32FF">
              <w:rPr>
                <w:rFonts w:ascii="Arial Narrow" w:hAnsi="Arial Narrow"/>
                <w:sz w:val="16"/>
                <w:szCs w:val="16"/>
              </w:rPr>
              <w:t>$11,339</w:t>
            </w:r>
          </w:p>
        </w:tc>
      </w:tr>
      <w:tr w:rsidR="0091711B" w:rsidRPr="004B3429" w14:paraId="228FD5E1" w14:textId="77777777" w:rsidTr="00BC4B51">
        <w:trPr>
          <w:trHeight w:val="300"/>
        </w:trPr>
        <w:tc>
          <w:tcPr>
            <w:tcW w:w="1809" w:type="dxa"/>
            <w:tcBorders>
              <w:top w:val="single" w:sz="4" w:space="0" w:color="60B8CC" w:themeColor="accent4"/>
              <w:left w:val="nil"/>
              <w:bottom w:val="single" w:sz="12" w:space="0" w:color="036479" w:themeColor="accent3"/>
              <w:right w:val="nil"/>
            </w:tcBorders>
            <w:shd w:val="clear" w:color="000000" w:fill="D9D9D9"/>
            <w:noWrap/>
            <w:vAlign w:val="center"/>
            <w:hideMark/>
          </w:tcPr>
          <w:p w14:paraId="2CFC2599" w14:textId="77777777" w:rsidR="0091711B" w:rsidRPr="0091711B" w:rsidRDefault="0091711B" w:rsidP="0091711B">
            <w:pPr>
              <w:rPr>
                <w:rFonts w:ascii="Arial Narrow" w:hAnsi="Arial Narrow" w:cs="Calibri"/>
                <w:b/>
                <w:bCs/>
                <w:color w:val="000000"/>
                <w:sz w:val="16"/>
                <w:szCs w:val="16"/>
              </w:rPr>
            </w:pPr>
            <w:r w:rsidRPr="0091711B">
              <w:rPr>
                <w:rFonts w:ascii="Arial Narrow" w:hAnsi="Arial Narrow" w:cs="Calibri"/>
                <w:b/>
                <w:bCs/>
                <w:color w:val="000000"/>
                <w:sz w:val="16"/>
                <w:szCs w:val="16"/>
              </w:rPr>
              <w:t>Total</w:t>
            </w:r>
          </w:p>
        </w:tc>
        <w:tc>
          <w:tcPr>
            <w:tcW w:w="1727" w:type="dxa"/>
            <w:tcBorders>
              <w:top w:val="single" w:sz="4" w:space="0" w:color="60B8CC" w:themeColor="accent4"/>
              <w:left w:val="nil"/>
              <w:bottom w:val="single" w:sz="12" w:space="0" w:color="036479" w:themeColor="accent3"/>
              <w:right w:val="nil"/>
            </w:tcBorders>
            <w:shd w:val="clear" w:color="000000" w:fill="D9D9D9"/>
            <w:noWrap/>
            <w:vAlign w:val="center"/>
          </w:tcPr>
          <w:p w14:paraId="603B2E87" w14:textId="1324BB1E" w:rsidR="0091711B" w:rsidRPr="0091711B" w:rsidRDefault="0091711B" w:rsidP="0091711B">
            <w:pPr>
              <w:rPr>
                <w:rFonts w:ascii="Arial Narrow" w:hAnsi="Arial Narrow" w:cs="Calibri"/>
                <w:b/>
                <w:bCs/>
                <w:color w:val="000000"/>
                <w:sz w:val="16"/>
                <w:szCs w:val="16"/>
              </w:rPr>
            </w:pPr>
          </w:p>
        </w:tc>
        <w:tc>
          <w:tcPr>
            <w:tcW w:w="689" w:type="dxa"/>
            <w:tcBorders>
              <w:top w:val="single" w:sz="4" w:space="0" w:color="60B8CC" w:themeColor="accent4"/>
              <w:left w:val="nil"/>
              <w:bottom w:val="single" w:sz="12" w:space="0" w:color="036479" w:themeColor="accent3"/>
              <w:right w:val="nil"/>
            </w:tcBorders>
            <w:shd w:val="clear" w:color="000000" w:fill="D9D9D9"/>
            <w:noWrap/>
            <w:vAlign w:val="center"/>
          </w:tcPr>
          <w:p w14:paraId="5974E9FA" w14:textId="3B38F53B" w:rsidR="0091711B" w:rsidRPr="0091711B" w:rsidRDefault="0091711B" w:rsidP="0091711B">
            <w:pPr>
              <w:rPr>
                <w:rFonts w:ascii="Arial Narrow" w:hAnsi="Arial Narrow" w:cs="Calibri"/>
                <w:b/>
                <w:bCs/>
                <w:color w:val="000000"/>
                <w:sz w:val="16"/>
                <w:szCs w:val="16"/>
              </w:rPr>
            </w:pPr>
          </w:p>
        </w:tc>
        <w:tc>
          <w:tcPr>
            <w:tcW w:w="900" w:type="dxa"/>
            <w:tcBorders>
              <w:top w:val="single" w:sz="4" w:space="0" w:color="60B8CC" w:themeColor="accent4"/>
              <w:left w:val="nil"/>
              <w:bottom w:val="single" w:sz="12" w:space="0" w:color="036479" w:themeColor="accent3"/>
              <w:right w:val="nil"/>
            </w:tcBorders>
            <w:shd w:val="clear" w:color="000000" w:fill="D9D9D9"/>
            <w:noWrap/>
            <w:vAlign w:val="center"/>
          </w:tcPr>
          <w:p w14:paraId="7540FC1A" w14:textId="0AF02E9D" w:rsidR="0091711B" w:rsidRPr="0091711B" w:rsidRDefault="0091711B" w:rsidP="0091711B">
            <w:pPr>
              <w:rPr>
                <w:rFonts w:ascii="Arial Narrow" w:hAnsi="Arial Narrow" w:cs="Calibri"/>
                <w:b/>
                <w:bCs/>
                <w:color w:val="000000"/>
                <w:sz w:val="16"/>
                <w:szCs w:val="16"/>
              </w:rPr>
            </w:pPr>
          </w:p>
        </w:tc>
        <w:tc>
          <w:tcPr>
            <w:tcW w:w="2160" w:type="dxa"/>
            <w:tcBorders>
              <w:top w:val="single" w:sz="4" w:space="0" w:color="60B8CC" w:themeColor="accent4"/>
              <w:left w:val="nil"/>
              <w:bottom w:val="single" w:sz="12" w:space="0" w:color="036479" w:themeColor="accent3"/>
              <w:right w:val="nil"/>
            </w:tcBorders>
            <w:shd w:val="clear" w:color="000000" w:fill="D9D9D9"/>
            <w:noWrap/>
            <w:vAlign w:val="center"/>
          </w:tcPr>
          <w:p w14:paraId="59145AF1" w14:textId="55111219" w:rsidR="0091711B" w:rsidRPr="0091711B" w:rsidRDefault="0091711B" w:rsidP="0091711B">
            <w:pPr>
              <w:rPr>
                <w:rFonts w:ascii="Arial Narrow" w:hAnsi="Arial Narrow" w:cs="Calibri"/>
                <w:b/>
                <w:bCs/>
                <w:color w:val="000000"/>
                <w:sz w:val="16"/>
                <w:szCs w:val="16"/>
              </w:rPr>
            </w:pPr>
          </w:p>
        </w:tc>
        <w:tc>
          <w:tcPr>
            <w:tcW w:w="630" w:type="dxa"/>
            <w:tcBorders>
              <w:top w:val="single" w:sz="4" w:space="0" w:color="60B8CC" w:themeColor="accent4"/>
              <w:left w:val="nil"/>
              <w:bottom w:val="single" w:sz="12" w:space="0" w:color="036479" w:themeColor="accent3"/>
              <w:right w:val="nil"/>
            </w:tcBorders>
            <w:shd w:val="clear" w:color="000000" w:fill="D9D9D9"/>
            <w:noWrap/>
            <w:hideMark/>
          </w:tcPr>
          <w:p w14:paraId="7CF1C629" w14:textId="0BDE5D02" w:rsidR="0091711B" w:rsidRPr="00FF7126" w:rsidRDefault="0091711B" w:rsidP="0091711B">
            <w:pPr>
              <w:jc w:val="right"/>
              <w:rPr>
                <w:rFonts w:ascii="Arial Narrow" w:hAnsi="Arial Narrow" w:cs="Calibri"/>
                <w:b/>
                <w:bCs/>
                <w:color w:val="000000"/>
                <w:sz w:val="16"/>
                <w:szCs w:val="16"/>
              </w:rPr>
            </w:pPr>
            <w:r w:rsidRPr="00FF7126">
              <w:rPr>
                <w:rFonts w:ascii="Arial Narrow" w:hAnsi="Arial Narrow"/>
                <w:b/>
                <w:bCs/>
                <w:sz w:val="16"/>
                <w:szCs w:val="16"/>
              </w:rPr>
              <w:t>6,145</w:t>
            </w:r>
          </w:p>
        </w:tc>
        <w:tc>
          <w:tcPr>
            <w:tcW w:w="1080" w:type="dxa"/>
            <w:tcBorders>
              <w:top w:val="single" w:sz="4" w:space="0" w:color="60B8CC" w:themeColor="accent4"/>
              <w:left w:val="nil"/>
              <w:bottom w:val="single" w:sz="12" w:space="0" w:color="036479" w:themeColor="accent3"/>
              <w:right w:val="nil"/>
            </w:tcBorders>
            <w:shd w:val="clear" w:color="000000" w:fill="D9D9D9"/>
            <w:noWrap/>
            <w:hideMark/>
          </w:tcPr>
          <w:p w14:paraId="624C0156" w14:textId="3B474A7D" w:rsidR="0091711B" w:rsidRPr="00FF7126" w:rsidRDefault="0091711B" w:rsidP="0091711B">
            <w:pPr>
              <w:jc w:val="right"/>
              <w:rPr>
                <w:rFonts w:ascii="Arial Narrow" w:hAnsi="Arial Narrow" w:cs="Calibri"/>
                <w:b/>
                <w:bCs/>
                <w:color w:val="000000"/>
                <w:sz w:val="16"/>
                <w:szCs w:val="16"/>
              </w:rPr>
            </w:pPr>
            <w:r w:rsidRPr="00FF7126">
              <w:rPr>
                <w:rFonts w:ascii="Arial Narrow" w:hAnsi="Arial Narrow"/>
                <w:b/>
                <w:bCs/>
                <w:sz w:val="16"/>
                <w:szCs w:val="16"/>
              </w:rPr>
              <w:t>47,888,775</w:t>
            </w:r>
          </w:p>
        </w:tc>
        <w:tc>
          <w:tcPr>
            <w:tcW w:w="1080" w:type="dxa"/>
            <w:tcBorders>
              <w:top w:val="single" w:sz="4" w:space="0" w:color="60B8CC" w:themeColor="accent4"/>
              <w:left w:val="nil"/>
              <w:bottom w:val="single" w:sz="12" w:space="0" w:color="036479" w:themeColor="accent3"/>
              <w:right w:val="nil"/>
            </w:tcBorders>
            <w:shd w:val="clear" w:color="000000" w:fill="D9D9D9"/>
            <w:noWrap/>
            <w:hideMark/>
          </w:tcPr>
          <w:p w14:paraId="18DC368F" w14:textId="04D90B80" w:rsidR="0091711B" w:rsidRPr="00FF7126" w:rsidRDefault="0091711B" w:rsidP="0091711B">
            <w:pPr>
              <w:jc w:val="right"/>
              <w:rPr>
                <w:rFonts w:ascii="Arial Narrow" w:hAnsi="Arial Narrow" w:cs="Calibri"/>
                <w:b/>
                <w:bCs/>
                <w:color w:val="000000"/>
                <w:sz w:val="16"/>
                <w:szCs w:val="16"/>
              </w:rPr>
            </w:pPr>
            <w:r w:rsidRPr="00FF7126">
              <w:rPr>
                <w:rFonts w:ascii="Arial Narrow" w:hAnsi="Arial Narrow"/>
                <w:b/>
                <w:bCs/>
                <w:sz w:val="16"/>
                <w:szCs w:val="16"/>
              </w:rPr>
              <w:t>367,118</w:t>
            </w:r>
          </w:p>
        </w:tc>
        <w:tc>
          <w:tcPr>
            <w:tcW w:w="1080" w:type="dxa"/>
            <w:tcBorders>
              <w:top w:val="single" w:sz="4" w:space="0" w:color="60B8CC" w:themeColor="accent4"/>
              <w:left w:val="nil"/>
              <w:bottom w:val="single" w:sz="12" w:space="0" w:color="036479" w:themeColor="accent3"/>
              <w:right w:val="nil"/>
            </w:tcBorders>
            <w:shd w:val="clear" w:color="000000" w:fill="D9D9D9"/>
            <w:noWrap/>
            <w:hideMark/>
          </w:tcPr>
          <w:p w14:paraId="5325B828" w14:textId="70E6B1CD" w:rsidR="0091711B" w:rsidRPr="00FF7126" w:rsidRDefault="0091711B" w:rsidP="0091711B">
            <w:pPr>
              <w:jc w:val="right"/>
              <w:rPr>
                <w:rFonts w:ascii="Arial Narrow" w:hAnsi="Arial Narrow" w:cs="Calibri"/>
                <w:b/>
                <w:bCs/>
                <w:color w:val="000000"/>
                <w:sz w:val="16"/>
                <w:szCs w:val="16"/>
              </w:rPr>
            </w:pPr>
            <w:r w:rsidRPr="00FF7126">
              <w:rPr>
                <w:rFonts w:ascii="Arial Narrow" w:hAnsi="Arial Narrow"/>
                <w:b/>
                <w:bCs/>
                <w:sz w:val="16"/>
                <w:szCs w:val="16"/>
              </w:rPr>
              <w:t>3,379,654</w:t>
            </w:r>
          </w:p>
        </w:tc>
        <w:tc>
          <w:tcPr>
            <w:tcW w:w="1170" w:type="dxa"/>
            <w:tcBorders>
              <w:top w:val="single" w:sz="4" w:space="0" w:color="60B8CC" w:themeColor="accent4"/>
              <w:left w:val="nil"/>
              <w:bottom w:val="single" w:sz="12" w:space="0" w:color="036479" w:themeColor="accent3"/>
              <w:right w:val="nil"/>
            </w:tcBorders>
            <w:shd w:val="clear" w:color="000000" w:fill="D9D9D9"/>
            <w:noWrap/>
            <w:hideMark/>
          </w:tcPr>
          <w:p w14:paraId="6916B6D0" w14:textId="7A8E61F5" w:rsidR="0091711B" w:rsidRPr="00FF7126" w:rsidRDefault="0091711B" w:rsidP="0091711B">
            <w:pPr>
              <w:jc w:val="right"/>
              <w:rPr>
                <w:rFonts w:ascii="Arial Narrow" w:hAnsi="Arial Narrow" w:cs="Calibri"/>
                <w:b/>
                <w:bCs/>
                <w:color w:val="000000"/>
                <w:sz w:val="16"/>
                <w:szCs w:val="16"/>
              </w:rPr>
            </w:pPr>
            <w:r w:rsidRPr="00FF7126">
              <w:rPr>
                <w:rFonts w:ascii="Arial Narrow" w:hAnsi="Arial Narrow"/>
                <w:b/>
                <w:bCs/>
                <w:sz w:val="16"/>
                <w:szCs w:val="16"/>
              </w:rPr>
              <w:t>24,603</w:t>
            </w:r>
          </w:p>
        </w:tc>
        <w:tc>
          <w:tcPr>
            <w:tcW w:w="1080" w:type="dxa"/>
            <w:tcBorders>
              <w:top w:val="single" w:sz="4" w:space="0" w:color="60B8CC" w:themeColor="accent4"/>
              <w:left w:val="nil"/>
              <w:bottom w:val="single" w:sz="12" w:space="0" w:color="036479" w:themeColor="accent3"/>
              <w:right w:val="nil"/>
            </w:tcBorders>
            <w:shd w:val="clear" w:color="000000" w:fill="D9D9D9"/>
            <w:noWrap/>
            <w:hideMark/>
          </w:tcPr>
          <w:p w14:paraId="27703310" w14:textId="10656D15" w:rsidR="0091711B" w:rsidRPr="00FF7126" w:rsidRDefault="0091711B" w:rsidP="0091711B">
            <w:pPr>
              <w:jc w:val="right"/>
              <w:rPr>
                <w:rFonts w:ascii="Arial Narrow" w:hAnsi="Arial Narrow" w:cs="Calibri"/>
                <w:b/>
                <w:bCs/>
                <w:color w:val="000000"/>
                <w:sz w:val="16"/>
                <w:szCs w:val="16"/>
              </w:rPr>
            </w:pPr>
            <w:r w:rsidRPr="00FF7126">
              <w:rPr>
                <w:rFonts w:ascii="Arial Narrow" w:hAnsi="Arial Narrow"/>
                <w:b/>
                <w:bCs/>
                <w:sz w:val="16"/>
                <w:szCs w:val="16"/>
              </w:rPr>
              <w:t>126,960,257</w:t>
            </w:r>
          </w:p>
        </w:tc>
        <w:tc>
          <w:tcPr>
            <w:tcW w:w="1080" w:type="dxa"/>
            <w:tcBorders>
              <w:top w:val="single" w:sz="4" w:space="0" w:color="60B8CC" w:themeColor="accent4"/>
              <w:left w:val="nil"/>
              <w:bottom w:val="single" w:sz="12" w:space="0" w:color="036479" w:themeColor="accent3"/>
              <w:right w:val="nil"/>
            </w:tcBorders>
            <w:shd w:val="clear" w:color="000000" w:fill="D9D9D9"/>
            <w:noWrap/>
            <w:hideMark/>
          </w:tcPr>
          <w:p w14:paraId="1663BD10" w14:textId="5C49FCD1" w:rsidR="0091711B" w:rsidRPr="00FF7126" w:rsidRDefault="0091711B" w:rsidP="0091711B">
            <w:pPr>
              <w:jc w:val="right"/>
              <w:rPr>
                <w:rFonts w:ascii="Arial Narrow" w:hAnsi="Arial Narrow" w:cs="Calibri"/>
                <w:b/>
                <w:bCs/>
                <w:color w:val="000000"/>
                <w:sz w:val="16"/>
                <w:szCs w:val="16"/>
              </w:rPr>
            </w:pPr>
            <w:r w:rsidRPr="00FF7126">
              <w:rPr>
                <w:rFonts w:ascii="Arial Narrow" w:hAnsi="Arial Narrow"/>
                <w:b/>
                <w:bCs/>
                <w:sz w:val="16"/>
                <w:szCs w:val="16"/>
              </w:rPr>
              <w:t>79,048,625</w:t>
            </w:r>
          </w:p>
        </w:tc>
        <w:tc>
          <w:tcPr>
            <w:tcW w:w="900" w:type="dxa"/>
            <w:tcBorders>
              <w:top w:val="single" w:sz="4" w:space="0" w:color="60B8CC" w:themeColor="accent4"/>
              <w:left w:val="nil"/>
              <w:bottom w:val="single" w:sz="12" w:space="0" w:color="036479" w:themeColor="accent3"/>
              <w:right w:val="nil"/>
            </w:tcBorders>
            <w:shd w:val="clear" w:color="000000" w:fill="D9D9D9"/>
            <w:noWrap/>
            <w:hideMark/>
          </w:tcPr>
          <w:p w14:paraId="0B58D6E6" w14:textId="25D3DCAC" w:rsidR="0091711B" w:rsidRPr="00FF7126" w:rsidRDefault="0091711B" w:rsidP="0091711B">
            <w:pPr>
              <w:jc w:val="right"/>
              <w:rPr>
                <w:rFonts w:ascii="Arial Narrow" w:hAnsi="Arial Narrow" w:cs="Calibri"/>
                <w:b/>
                <w:bCs/>
                <w:color w:val="000000"/>
                <w:sz w:val="16"/>
                <w:szCs w:val="16"/>
              </w:rPr>
            </w:pPr>
            <w:r w:rsidRPr="00FF7126">
              <w:rPr>
                <w:rFonts w:ascii="Arial Narrow" w:hAnsi="Arial Narrow"/>
                <w:b/>
                <w:bCs/>
                <w:sz w:val="16"/>
                <w:szCs w:val="16"/>
              </w:rPr>
              <w:t>84,042,081</w:t>
            </w:r>
          </w:p>
        </w:tc>
        <w:tc>
          <w:tcPr>
            <w:tcW w:w="810" w:type="dxa"/>
            <w:tcBorders>
              <w:top w:val="single" w:sz="4" w:space="0" w:color="60B8CC" w:themeColor="accent4"/>
              <w:left w:val="nil"/>
              <w:bottom w:val="single" w:sz="12" w:space="0" w:color="036479" w:themeColor="accent3"/>
              <w:right w:val="nil"/>
            </w:tcBorders>
            <w:shd w:val="clear" w:color="000000" w:fill="D9D9D9"/>
            <w:noWrap/>
            <w:hideMark/>
          </w:tcPr>
          <w:p w14:paraId="6A38DEFD" w14:textId="73604C6F" w:rsidR="0091711B" w:rsidRPr="00FF7126" w:rsidRDefault="0091711B" w:rsidP="0091711B">
            <w:pPr>
              <w:jc w:val="right"/>
              <w:rPr>
                <w:rFonts w:ascii="Arial Narrow" w:hAnsi="Arial Narrow" w:cs="Calibri"/>
                <w:b/>
                <w:bCs/>
                <w:color w:val="000000"/>
                <w:sz w:val="16"/>
                <w:szCs w:val="16"/>
              </w:rPr>
            </w:pPr>
            <w:r w:rsidRPr="00FF7126">
              <w:rPr>
                <w:rFonts w:ascii="Arial Narrow" w:hAnsi="Arial Narrow"/>
                <w:b/>
                <w:bCs/>
                <w:sz w:val="16"/>
                <w:szCs w:val="16"/>
              </w:rPr>
              <w:t>0.94</w:t>
            </w:r>
          </w:p>
        </w:tc>
        <w:tc>
          <w:tcPr>
            <w:tcW w:w="900" w:type="dxa"/>
            <w:tcBorders>
              <w:top w:val="single" w:sz="4" w:space="0" w:color="60B8CC" w:themeColor="accent4"/>
              <w:left w:val="nil"/>
              <w:bottom w:val="single" w:sz="12" w:space="0" w:color="036479" w:themeColor="accent3"/>
              <w:right w:val="nil"/>
            </w:tcBorders>
            <w:shd w:val="clear" w:color="000000" w:fill="D9D9D9"/>
            <w:noWrap/>
            <w:hideMark/>
          </w:tcPr>
          <w:p w14:paraId="22CF7AE9" w14:textId="3E636A4F" w:rsidR="0091711B" w:rsidRPr="00FF7126" w:rsidRDefault="0091711B" w:rsidP="0091711B">
            <w:pPr>
              <w:jc w:val="right"/>
              <w:rPr>
                <w:rFonts w:ascii="Arial Narrow" w:hAnsi="Arial Narrow" w:cs="Calibri"/>
                <w:b/>
                <w:bCs/>
                <w:color w:val="000000"/>
                <w:sz w:val="16"/>
                <w:szCs w:val="16"/>
              </w:rPr>
            </w:pPr>
            <w:r w:rsidRPr="00FF7126">
              <w:rPr>
                <w:rFonts w:ascii="Arial Narrow" w:hAnsi="Arial Narrow"/>
                <w:b/>
                <w:bCs/>
                <w:sz w:val="16"/>
                <w:szCs w:val="16"/>
              </w:rPr>
              <w:t>79,097,241</w:t>
            </w:r>
          </w:p>
        </w:tc>
        <w:tc>
          <w:tcPr>
            <w:tcW w:w="630" w:type="dxa"/>
            <w:tcBorders>
              <w:top w:val="single" w:sz="4" w:space="0" w:color="60B8CC" w:themeColor="accent4"/>
              <w:left w:val="nil"/>
              <w:bottom w:val="single" w:sz="12" w:space="0" w:color="036479" w:themeColor="accent3"/>
              <w:right w:val="nil"/>
            </w:tcBorders>
            <w:shd w:val="clear" w:color="000000" w:fill="D9D9D9"/>
            <w:noWrap/>
            <w:hideMark/>
          </w:tcPr>
          <w:p w14:paraId="0CAAFECF" w14:textId="1492496B" w:rsidR="0091711B" w:rsidRPr="00FF7126" w:rsidRDefault="0091711B" w:rsidP="0091711B">
            <w:pPr>
              <w:jc w:val="right"/>
              <w:rPr>
                <w:rFonts w:ascii="Arial Narrow" w:hAnsi="Arial Narrow" w:cs="Calibri"/>
                <w:b/>
                <w:bCs/>
                <w:color w:val="000000"/>
                <w:sz w:val="16"/>
                <w:szCs w:val="16"/>
              </w:rPr>
            </w:pPr>
            <w:r w:rsidRPr="00FF7126">
              <w:rPr>
                <w:rFonts w:ascii="Arial Narrow" w:hAnsi="Arial Narrow"/>
                <w:b/>
                <w:bCs/>
                <w:sz w:val="16"/>
                <w:szCs w:val="16"/>
              </w:rPr>
              <w:t>0.91</w:t>
            </w:r>
          </w:p>
        </w:tc>
        <w:tc>
          <w:tcPr>
            <w:tcW w:w="900" w:type="dxa"/>
            <w:tcBorders>
              <w:top w:val="single" w:sz="4" w:space="0" w:color="60B8CC" w:themeColor="accent4"/>
              <w:left w:val="nil"/>
              <w:bottom w:val="single" w:sz="12" w:space="0" w:color="036479" w:themeColor="accent3"/>
              <w:right w:val="nil"/>
            </w:tcBorders>
            <w:shd w:val="clear" w:color="000000" w:fill="D9D9D9"/>
            <w:noWrap/>
            <w:hideMark/>
          </w:tcPr>
          <w:p w14:paraId="16FE0D97" w14:textId="5A06F8E7" w:rsidR="0091711B" w:rsidRPr="00FF7126" w:rsidRDefault="0091711B" w:rsidP="0091711B">
            <w:pPr>
              <w:jc w:val="right"/>
              <w:rPr>
                <w:rFonts w:ascii="Arial Narrow" w:hAnsi="Arial Narrow" w:cs="Calibri"/>
                <w:b/>
                <w:bCs/>
                <w:color w:val="000000"/>
                <w:sz w:val="16"/>
                <w:szCs w:val="16"/>
              </w:rPr>
            </w:pPr>
            <w:r w:rsidRPr="00FF7126">
              <w:rPr>
                <w:rFonts w:ascii="Arial Narrow" w:hAnsi="Arial Narrow"/>
                <w:b/>
                <w:bCs/>
                <w:sz w:val="16"/>
                <w:szCs w:val="16"/>
              </w:rPr>
              <w:t>71,815,825</w:t>
            </w:r>
          </w:p>
        </w:tc>
        <w:tc>
          <w:tcPr>
            <w:tcW w:w="540" w:type="dxa"/>
            <w:tcBorders>
              <w:top w:val="single" w:sz="4" w:space="0" w:color="60B8CC" w:themeColor="accent4"/>
              <w:left w:val="nil"/>
              <w:bottom w:val="single" w:sz="12" w:space="0" w:color="036479" w:themeColor="accent3"/>
              <w:right w:val="nil"/>
            </w:tcBorders>
            <w:shd w:val="clear" w:color="000000" w:fill="D9D9D9"/>
            <w:noWrap/>
            <w:hideMark/>
          </w:tcPr>
          <w:p w14:paraId="2B5C0AC9" w14:textId="65B0DF7B" w:rsidR="0091711B" w:rsidRPr="00FF7126" w:rsidRDefault="0091711B" w:rsidP="0091711B">
            <w:pPr>
              <w:jc w:val="right"/>
              <w:rPr>
                <w:rFonts w:ascii="Arial Narrow" w:hAnsi="Arial Narrow" w:cs="Calibri"/>
                <w:b/>
                <w:bCs/>
                <w:color w:val="000000"/>
                <w:sz w:val="16"/>
                <w:szCs w:val="16"/>
              </w:rPr>
            </w:pPr>
            <w:r w:rsidRPr="00FF7126">
              <w:rPr>
                <w:rFonts w:ascii="Arial Narrow" w:hAnsi="Arial Narrow"/>
                <w:b/>
                <w:bCs/>
                <w:sz w:val="16"/>
                <w:szCs w:val="16"/>
              </w:rPr>
              <w:t>15.7</w:t>
            </w:r>
          </w:p>
        </w:tc>
        <w:tc>
          <w:tcPr>
            <w:tcW w:w="990" w:type="dxa"/>
            <w:tcBorders>
              <w:top w:val="single" w:sz="4" w:space="0" w:color="60B8CC" w:themeColor="accent4"/>
              <w:left w:val="nil"/>
              <w:bottom w:val="single" w:sz="12" w:space="0" w:color="036479" w:themeColor="accent3"/>
              <w:right w:val="nil"/>
            </w:tcBorders>
            <w:shd w:val="clear" w:color="000000" w:fill="D9D9D9"/>
            <w:noWrap/>
            <w:hideMark/>
          </w:tcPr>
          <w:p w14:paraId="05168BF4" w14:textId="6995EF7E" w:rsidR="0091711B" w:rsidRPr="00FF7126" w:rsidRDefault="0091711B" w:rsidP="0091711B">
            <w:pPr>
              <w:jc w:val="right"/>
              <w:rPr>
                <w:rFonts w:ascii="Arial Narrow" w:hAnsi="Arial Narrow" w:cs="Calibri"/>
                <w:b/>
                <w:bCs/>
                <w:color w:val="000000"/>
                <w:sz w:val="16"/>
                <w:szCs w:val="16"/>
              </w:rPr>
            </w:pPr>
            <w:r w:rsidRPr="00FF7126">
              <w:rPr>
                <w:rFonts w:ascii="Arial Narrow" w:hAnsi="Arial Narrow"/>
                <w:b/>
                <w:bCs/>
                <w:sz w:val="16"/>
                <w:szCs w:val="16"/>
              </w:rPr>
              <w:t>$19,331,121</w:t>
            </w:r>
          </w:p>
        </w:tc>
        <w:tc>
          <w:tcPr>
            <w:tcW w:w="990" w:type="dxa"/>
            <w:tcBorders>
              <w:top w:val="single" w:sz="4" w:space="0" w:color="60B8CC" w:themeColor="accent4"/>
              <w:left w:val="nil"/>
              <w:bottom w:val="single" w:sz="12" w:space="0" w:color="036479" w:themeColor="accent3"/>
              <w:right w:val="nil"/>
            </w:tcBorders>
            <w:shd w:val="clear" w:color="000000" w:fill="D9D9D9"/>
            <w:noWrap/>
            <w:hideMark/>
          </w:tcPr>
          <w:p w14:paraId="4D03B554" w14:textId="1964577D" w:rsidR="0091711B" w:rsidRPr="00FF7126" w:rsidRDefault="0091711B" w:rsidP="0091711B">
            <w:pPr>
              <w:jc w:val="right"/>
              <w:rPr>
                <w:rFonts w:ascii="Arial Narrow" w:hAnsi="Arial Narrow" w:cs="Calibri"/>
                <w:b/>
                <w:bCs/>
                <w:color w:val="000000"/>
                <w:sz w:val="16"/>
                <w:szCs w:val="16"/>
              </w:rPr>
            </w:pPr>
            <w:r w:rsidRPr="00FF7126">
              <w:rPr>
                <w:rFonts w:ascii="Arial Narrow" w:hAnsi="Arial Narrow"/>
                <w:b/>
                <w:bCs/>
                <w:sz w:val="16"/>
                <w:szCs w:val="16"/>
              </w:rPr>
              <w:t>$16,498,580</w:t>
            </w:r>
          </w:p>
        </w:tc>
        <w:tc>
          <w:tcPr>
            <w:tcW w:w="810" w:type="dxa"/>
            <w:tcBorders>
              <w:top w:val="single" w:sz="4" w:space="0" w:color="60B8CC" w:themeColor="accent4"/>
              <w:left w:val="nil"/>
              <w:bottom w:val="single" w:sz="12" w:space="0" w:color="036479" w:themeColor="accent3"/>
              <w:right w:val="nil"/>
            </w:tcBorders>
            <w:shd w:val="clear" w:color="000000" w:fill="D9D9D9"/>
            <w:noWrap/>
            <w:vAlign w:val="center"/>
            <w:hideMark/>
          </w:tcPr>
          <w:p w14:paraId="22503F5E" w14:textId="685DA4AA" w:rsidR="0091711B" w:rsidRPr="0091711B" w:rsidRDefault="0091711B" w:rsidP="0091711B">
            <w:pPr>
              <w:jc w:val="right"/>
              <w:rPr>
                <w:rFonts w:ascii="Arial Narrow" w:hAnsi="Arial Narrow" w:cs="Calibri"/>
                <w:b/>
                <w:bCs/>
                <w:color w:val="000000"/>
                <w:sz w:val="16"/>
                <w:szCs w:val="16"/>
              </w:rPr>
            </w:pPr>
          </w:p>
        </w:tc>
        <w:tc>
          <w:tcPr>
            <w:tcW w:w="810" w:type="dxa"/>
            <w:tcBorders>
              <w:top w:val="single" w:sz="4" w:space="0" w:color="60B8CC" w:themeColor="accent4"/>
              <w:left w:val="nil"/>
              <w:bottom w:val="single" w:sz="12" w:space="0" w:color="036479" w:themeColor="accent3"/>
              <w:right w:val="nil"/>
            </w:tcBorders>
            <w:shd w:val="clear" w:color="000000" w:fill="D9D9D9"/>
            <w:noWrap/>
            <w:vAlign w:val="center"/>
            <w:hideMark/>
          </w:tcPr>
          <w:p w14:paraId="7B9BC98B" w14:textId="0BB54974" w:rsidR="0091711B" w:rsidRPr="0091711B" w:rsidRDefault="0091711B" w:rsidP="0091711B">
            <w:pPr>
              <w:jc w:val="right"/>
              <w:rPr>
                <w:rFonts w:ascii="Arial Narrow" w:hAnsi="Arial Narrow" w:cs="Calibri"/>
                <w:b/>
                <w:bCs/>
                <w:color w:val="000000"/>
                <w:sz w:val="16"/>
                <w:szCs w:val="16"/>
              </w:rPr>
            </w:pPr>
          </w:p>
        </w:tc>
      </w:tr>
    </w:tbl>
    <w:p w14:paraId="5CDA479B" w14:textId="77A3DE6A" w:rsidR="00E97E1A" w:rsidRPr="00E97E1A" w:rsidRDefault="00E97E1A" w:rsidP="00731DF1">
      <w:pPr>
        <w:pStyle w:val="Source"/>
      </w:pPr>
      <w:r>
        <w:t>Source:</w:t>
      </w:r>
      <w:r w:rsidR="00A960A2">
        <w:t xml:space="preserve"> </w:t>
      </w:r>
      <w:r w:rsidR="007522A3">
        <w:t>Guidehouse analysis</w:t>
      </w:r>
    </w:p>
    <w:p w14:paraId="69C9F822" w14:textId="6A43F29F" w:rsidR="00B20D3A" w:rsidRDefault="00B20D3A" w:rsidP="00E97E1A">
      <w:pPr>
        <w:pStyle w:val="BodyText"/>
      </w:pPr>
    </w:p>
    <w:p w14:paraId="4BBFA6E3" w14:textId="77777777" w:rsidR="00B20D3A" w:rsidRDefault="00B20D3A">
      <w:r>
        <w:br w:type="page"/>
      </w:r>
    </w:p>
    <w:p w14:paraId="05A1246F" w14:textId="77777777" w:rsidR="005334CD" w:rsidRDefault="005334CD" w:rsidP="00E97E1A">
      <w:pPr>
        <w:pStyle w:val="BodyText"/>
        <w:sectPr w:rsidR="005334CD" w:rsidSect="00AB26E2">
          <w:headerReference w:type="default" r:id="rId26"/>
          <w:pgSz w:w="24480" w:h="15840"/>
          <w:pgMar w:top="1440" w:right="1440" w:bottom="1440" w:left="1440" w:header="432" w:footer="720" w:gutter="0"/>
          <w:cols w:space="720"/>
          <w:docGrid w:linePitch="360"/>
        </w:sectPr>
      </w:pPr>
    </w:p>
    <w:p w14:paraId="395BFF49" w14:textId="3F08CB7A" w:rsidR="001B5EAD" w:rsidRPr="00694515" w:rsidRDefault="001B5EAD" w:rsidP="001B5EAD">
      <w:pPr>
        <w:pStyle w:val="Heading2"/>
      </w:pPr>
      <w:bookmarkStart w:id="117" w:name="_Toc136536623"/>
      <w:bookmarkStart w:id="118" w:name="_Toc136536624"/>
      <w:bookmarkStart w:id="119" w:name="_Toc440984617"/>
      <w:bookmarkStart w:id="120" w:name="_Toc440985867"/>
      <w:bookmarkStart w:id="121" w:name="_Toc440986363"/>
      <w:bookmarkStart w:id="122" w:name="_Toc440986518"/>
      <w:bookmarkStart w:id="123" w:name="_Toc441008569"/>
      <w:bookmarkStart w:id="124" w:name="_Toc441008695"/>
      <w:bookmarkStart w:id="125" w:name="_Toc440984618"/>
      <w:bookmarkStart w:id="126" w:name="_Toc440985868"/>
      <w:bookmarkStart w:id="127" w:name="_Toc440986364"/>
      <w:bookmarkStart w:id="128" w:name="_Toc440986519"/>
      <w:bookmarkStart w:id="129" w:name="_Toc441008570"/>
      <w:bookmarkStart w:id="130" w:name="_Toc441008696"/>
      <w:bookmarkStart w:id="131" w:name="_Toc440984619"/>
      <w:bookmarkStart w:id="132" w:name="_Toc440985869"/>
      <w:bookmarkStart w:id="133" w:name="_Toc440986365"/>
      <w:bookmarkStart w:id="134" w:name="_Toc440986520"/>
      <w:bookmarkStart w:id="135" w:name="_Toc441008571"/>
      <w:bookmarkStart w:id="136" w:name="_Toc441008697"/>
      <w:bookmarkStart w:id="137" w:name="_Toc440984693"/>
      <w:bookmarkStart w:id="138" w:name="_Toc440985943"/>
      <w:bookmarkStart w:id="139" w:name="_Toc440986439"/>
      <w:bookmarkStart w:id="140" w:name="_Toc440986594"/>
      <w:bookmarkStart w:id="141" w:name="_Toc441008645"/>
      <w:bookmarkStart w:id="142" w:name="_Toc441008771"/>
      <w:bookmarkStart w:id="143" w:name="_Toc508267218"/>
      <w:bookmarkStart w:id="144" w:name="_Toc196925672"/>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lastRenderedPageBreak/>
        <w:t>Incremental and Actual Measure Cost</w:t>
      </w:r>
      <w:bookmarkEnd w:id="143"/>
      <w:r>
        <w:t>s</w:t>
      </w:r>
      <w:bookmarkEnd w:id="144"/>
    </w:p>
    <w:p w14:paraId="31082AC9" w14:textId="4E484D73" w:rsidR="001B5EAD" w:rsidRDefault="00040C86" w:rsidP="001B5EAD">
      <w:pPr>
        <w:pStyle w:val="BodyText"/>
      </w:pPr>
      <w:r>
        <w:t xml:space="preserve">The guidance from the IL TRM and </w:t>
      </w:r>
      <w:r w:rsidRPr="000910A5">
        <w:t>Illinois Energy Efficiency Policy Manual</w:t>
      </w:r>
      <w:r>
        <w:t xml:space="preserve"> </w:t>
      </w:r>
      <w:r w:rsidR="00BC4B51">
        <w:t>indicate</w:t>
      </w:r>
      <w:r>
        <w:t xml:space="preserve"> </w:t>
      </w:r>
      <w:r w:rsidR="00793F2C">
        <w:t xml:space="preserve">that </w:t>
      </w:r>
      <w:r w:rsidR="005251E8">
        <w:t xml:space="preserve">it is </w:t>
      </w:r>
      <w:r w:rsidR="00B24823">
        <w:t xml:space="preserve">appropriate to use actual measure-specific costs in the analysis. </w:t>
      </w:r>
      <w:r w:rsidR="009C7B80">
        <w:t xml:space="preserve">As a result, </w:t>
      </w:r>
      <w:r w:rsidR="001B5EAD" w:rsidRPr="000910A5">
        <w:t xml:space="preserve">Guidehouse compiled </w:t>
      </w:r>
      <w:r w:rsidR="001B5EAD" w:rsidRPr="00427457">
        <w:t xml:space="preserve">the actual cost information from the implementer invoices and the program tracking data provided by ComEd and identified any missing information. The team sourced incremental measure costs from </w:t>
      </w:r>
      <w:r w:rsidR="005767CB" w:rsidRPr="00427457">
        <w:t xml:space="preserve">IL </w:t>
      </w:r>
      <w:r w:rsidR="001B5EAD" w:rsidRPr="00427457">
        <w:t xml:space="preserve">TRM </w:t>
      </w:r>
      <w:r w:rsidR="50E894D4">
        <w:t>v12</w:t>
      </w:r>
      <w:r w:rsidR="001B5EAD" w:rsidRPr="00427457">
        <w:t>.0 and different workpapers provided by the implementation</w:t>
      </w:r>
      <w:r w:rsidR="001B5EAD">
        <w:t xml:space="preserve"> contractor.</w:t>
      </w:r>
    </w:p>
    <w:p w14:paraId="215E1E3D" w14:textId="3751DEFB" w:rsidR="001B5EAD" w:rsidRDefault="001B5EAD" w:rsidP="001B5EAD">
      <w:pPr>
        <w:pStyle w:val="BodyText"/>
      </w:pPr>
      <w:r w:rsidRPr="0090451C">
        <w:t xml:space="preserve">While conducting the cost review, Guidehouse found instances where the program tracking data and the incremental cost value from the reference sources do not align due to differing definitions of program unit and </w:t>
      </w:r>
      <w:r w:rsidR="00E53EA8">
        <w:t xml:space="preserve">then </w:t>
      </w:r>
      <w:r w:rsidRPr="0090451C">
        <w:t xml:space="preserve">made appropriate assumptions to account for these differences. </w:t>
      </w:r>
      <w:proofErr w:type="gramStart"/>
      <w:r w:rsidRPr="0090451C">
        <w:t>Guidehouse</w:t>
      </w:r>
      <w:proofErr w:type="gramEnd"/>
      <w:r w:rsidRPr="0090451C">
        <w:t xml:space="preserve"> also included O&amp;M costs when there was a difference between the efficient measure and the baseline measure based on the guidance provided </w:t>
      </w:r>
      <w:r w:rsidRPr="00BD3798">
        <w:t xml:space="preserve">in </w:t>
      </w:r>
      <w:r w:rsidR="005767CB">
        <w:t xml:space="preserve">IL </w:t>
      </w:r>
      <w:r w:rsidRPr="00BD3798">
        <w:t xml:space="preserve">TRM </w:t>
      </w:r>
      <w:r w:rsidR="2FBB0BEE">
        <w:t>v12</w:t>
      </w:r>
      <w:r w:rsidRPr="00BD3798">
        <w:t xml:space="preserve">.0. </w:t>
      </w:r>
      <w:r>
        <w:t xml:space="preserve">Where the efficient measure has a significantly shorter or longer life than the relevant baseline measure (e.g., LEDs versus halogens), Guidehouse used the avoided baseline replacement measure costs in the TRC analysis. The incremental cost input in the TRC analysis was not reduced by the amount of </w:t>
      </w:r>
      <w:r w:rsidR="00514A85">
        <w:t>incentives</w:t>
      </w:r>
      <w:r w:rsidRPr="00AE3037">
        <w:t>. Some of the methodologies used to estimate the measure costs for different programs are listed below:</w:t>
      </w:r>
      <w:r w:rsidRPr="00AE3037" w:rsidDel="007907EB">
        <w:t xml:space="preserve"> </w:t>
      </w:r>
    </w:p>
    <w:p w14:paraId="02749472" w14:textId="4408BB02" w:rsidR="0005185C" w:rsidRDefault="00032DA1" w:rsidP="00974A91">
      <w:pPr>
        <w:pStyle w:val="ListParagraph"/>
        <w:numPr>
          <w:ilvl w:val="0"/>
          <w:numId w:val="38"/>
        </w:numPr>
      </w:pPr>
      <w:r w:rsidRPr="0005185C">
        <w:rPr>
          <w:b/>
          <w:bCs/>
        </w:rPr>
        <w:t>Custom, Industrial Systems, and Retro</w:t>
      </w:r>
      <w:r w:rsidR="001440BA">
        <w:rPr>
          <w:b/>
          <w:bCs/>
        </w:rPr>
        <w:t>-</w:t>
      </w:r>
      <w:r w:rsidRPr="0005185C">
        <w:rPr>
          <w:b/>
          <w:bCs/>
        </w:rPr>
        <w:t>Commissioning</w:t>
      </w:r>
      <w:r w:rsidR="001B5EAD" w:rsidRPr="0005185C">
        <w:rPr>
          <w:b/>
          <w:bCs/>
        </w:rPr>
        <w:t>:</w:t>
      </w:r>
      <w:r w:rsidR="001B5EAD" w:rsidRPr="00F454A0">
        <w:t xml:space="preserve"> </w:t>
      </w:r>
      <w:r w:rsidR="0005185C" w:rsidRPr="0005185C">
        <w:t xml:space="preserve">Guidehouse analyzed a sample of all the projects to determine if the actual measure cost or an incremental cost should be used for each project. Based on this analysis, </w:t>
      </w:r>
      <w:r w:rsidR="00C92971">
        <w:t>the team</w:t>
      </w:r>
      <w:r w:rsidR="00C92971" w:rsidRPr="00F454A0">
        <w:t xml:space="preserve"> </w:t>
      </w:r>
      <w:r w:rsidR="0005185C" w:rsidRPr="0005185C">
        <w:t xml:space="preserve">developed a $/kWh value that </w:t>
      </w:r>
      <w:r w:rsidR="00117871">
        <w:t>was</w:t>
      </w:r>
      <w:r w:rsidR="00117871" w:rsidRPr="00F454A0">
        <w:t xml:space="preserve"> </w:t>
      </w:r>
      <w:r w:rsidR="0005185C" w:rsidRPr="0005185C">
        <w:t>applied to the entire population of measures installed as a part of this program.</w:t>
      </w:r>
    </w:p>
    <w:p w14:paraId="4D6F815A" w14:textId="64BFBD52" w:rsidR="001B5EAD" w:rsidRPr="002764B7" w:rsidRDefault="00260143" w:rsidP="006460B6">
      <w:pPr>
        <w:pStyle w:val="ListParagraph"/>
        <w:numPr>
          <w:ilvl w:val="0"/>
          <w:numId w:val="38"/>
        </w:numPr>
      </w:pPr>
      <w:r w:rsidRPr="00260143">
        <w:rPr>
          <w:b/>
          <w:bCs/>
        </w:rPr>
        <w:t>Prescriptive Programs (Small Business, Standard, Single Family Upgrades, etc.)</w:t>
      </w:r>
      <w:r w:rsidR="001B5EAD" w:rsidRPr="002764B7">
        <w:rPr>
          <w:b/>
          <w:bCs/>
        </w:rPr>
        <w:t>:</w:t>
      </w:r>
      <w:r w:rsidR="001B5EAD" w:rsidRPr="002764B7">
        <w:t xml:space="preserve"> </w:t>
      </w:r>
      <w:r w:rsidR="00CE0EDC" w:rsidRPr="00CE0EDC">
        <w:t xml:space="preserve">Guidehouse researched the incremental measure cost data from </w:t>
      </w:r>
      <w:r w:rsidR="005767CB">
        <w:t>IL</w:t>
      </w:r>
      <w:r w:rsidR="001B5EAD" w:rsidRPr="002764B7">
        <w:t xml:space="preserve"> </w:t>
      </w:r>
      <w:r w:rsidR="00CE0EDC" w:rsidRPr="00CE0EDC">
        <w:t xml:space="preserve">TRM </w:t>
      </w:r>
      <w:r w:rsidR="463CF0EF">
        <w:t>v12</w:t>
      </w:r>
      <w:r w:rsidR="00CE0EDC" w:rsidRPr="00CE0EDC">
        <w:t>.0, tracking data, and program invoices. For joint programs, only the ComEd portion of the costs were included.</w:t>
      </w:r>
    </w:p>
    <w:p w14:paraId="49C22C6B" w14:textId="783508BE" w:rsidR="001B5EAD" w:rsidRPr="002764B7" w:rsidRDefault="0080060E" w:rsidP="006460B6">
      <w:pPr>
        <w:pStyle w:val="ListParagraph"/>
        <w:numPr>
          <w:ilvl w:val="0"/>
          <w:numId w:val="38"/>
        </w:numPr>
      </w:pPr>
      <w:r w:rsidRPr="0080060E">
        <w:rPr>
          <w:b/>
          <w:bCs/>
        </w:rPr>
        <w:t>Contractor/Midstream Rebates</w:t>
      </w:r>
      <w:r w:rsidR="001B5EAD" w:rsidRPr="002764B7">
        <w:rPr>
          <w:b/>
          <w:bCs/>
        </w:rPr>
        <w:t>:</w:t>
      </w:r>
      <w:r w:rsidR="001B5EAD" w:rsidRPr="002764B7">
        <w:t xml:space="preserve"> </w:t>
      </w:r>
      <w:r w:rsidR="00F2692D" w:rsidRPr="00F2692D">
        <w:t xml:space="preserve">The early replacement HVAC measures installed as a part of this program were treated based on the guidance provided in </w:t>
      </w:r>
      <w:r w:rsidR="005767CB">
        <w:t>IL</w:t>
      </w:r>
      <w:r w:rsidR="001B5EAD" w:rsidRPr="002764B7">
        <w:t xml:space="preserve"> </w:t>
      </w:r>
      <w:r w:rsidR="00F2692D" w:rsidRPr="00F2692D">
        <w:t xml:space="preserve">TRM </w:t>
      </w:r>
      <w:r w:rsidR="463CF0EF">
        <w:t>v12</w:t>
      </w:r>
      <w:r w:rsidR="00F2692D" w:rsidRPr="00F2692D">
        <w:t>.0. The full installation cost subtracted by the NPV deferred future replacement costs was calculated for the analysis.</w:t>
      </w:r>
      <w:r w:rsidR="001B5EAD" w:rsidRPr="002764B7">
        <w:t xml:space="preserve"> </w:t>
      </w:r>
    </w:p>
    <w:p w14:paraId="392EE3BB" w14:textId="5969CC00" w:rsidR="001B5EAD" w:rsidRPr="002764B7" w:rsidRDefault="006C2FB5" w:rsidP="006460B6">
      <w:pPr>
        <w:pStyle w:val="ListParagraph"/>
        <w:numPr>
          <w:ilvl w:val="0"/>
          <w:numId w:val="38"/>
        </w:numPr>
      </w:pPr>
      <w:r>
        <w:rPr>
          <w:b/>
          <w:bCs/>
        </w:rPr>
        <w:t>Product Distribution</w:t>
      </w:r>
      <w:r w:rsidR="001B5EAD" w:rsidRPr="002764B7">
        <w:rPr>
          <w:b/>
          <w:bCs/>
        </w:rPr>
        <w:t xml:space="preserve"> Program (and other similar programs):</w:t>
      </w:r>
      <w:r w:rsidR="001B5EAD" w:rsidRPr="002764B7">
        <w:t xml:space="preserve"> Guidehouse used </w:t>
      </w:r>
      <w:r w:rsidR="00D9301E">
        <w:t>the per measure cost in</w:t>
      </w:r>
      <w:r w:rsidR="001B5EAD" w:rsidRPr="002764B7">
        <w:t xml:space="preserve"> each kit to perform the analysis. </w:t>
      </w:r>
    </w:p>
    <w:p w14:paraId="56E35520" w14:textId="78B7062F" w:rsidR="001B5EAD" w:rsidRDefault="00775B5C" w:rsidP="006460B6">
      <w:pPr>
        <w:pStyle w:val="ListParagraph"/>
        <w:numPr>
          <w:ilvl w:val="0"/>
          <w:numId w:val="38"/>
        </w:numPr>
      </w:pPr>
      <w:r w:rsidRPr="00775B5C">
        <w:rPr>
          <w:b/>
          <w:bCs/>
        </w:rPr>
        <w:t>New Construction – IE</w:t>
      </w:r>
      <w:r w:rsidR="001B5EAD" w:rsidRPr="00A85608">
        <w:rPr>
          <w:b/>
          <w:bCs/>
        </w:rPr>
        <w:t>:</w:t>
      </w:r>
      <w:r w:rsidR="001B5EAD" w:rsidRPr="00A85608">
        <w:t xml:space="preserve"> </w:t>
      </w:r>
      <w:r w:rsidR="003A06C0" w:rsidRPr="003A06C0">
        <w:t xml:space="preserve">Guidehouse researched the incremental measure cost data from IL TRM </w:t>
      </w:r>
      <w:r w:rsidR="463CF0EF">
        <w:t>v12</w:t>
      </w:r>
      <w:r w:rsidR="003A06C0" w:rsidRPr="003A06C0">
        <w:t>.0 and cost data from TRM’s in surrounding jurisdictions</w:t>
      </w:r>
      <w:r w:rsidR="00374C95">
        <w:t>.</w:t>
      </w:r>
    </w:p>
    <w:p w14:paraId="283D276C" w14:textId="60A5C3EF" w:rsidR="00374C95" w:rsidRDefault="005B136B" w:rsidP="00374C95">
      <w:pPr>
        <w:pStyle w:val="ListParagraph"/>
        <w:numPr>
          <w:ilvl w:val="0"/>
          <w:numId w:val="38"/>
        </w:numPr>
      </w:pPr>
      <w:r w:rsidRPr="005B136B">
        <w:rPr>
          <w:b/>
          <w:bCs/>
        </w:rPr>
        <w:t>Non-Residential New Construction</w:t>
      </w:r>
      <w:r w:rsidR="00374C95" w:rsidRPr="00A85608">
        <w:rPr>
          <w:b/>
          <w:bCs/>
        </w:rPr>
        <w:t>:</w:t>
      </w:r>
      <w:r w:rsidR="00374C95" w:rsidRPr="00A85608">
        <w:t xml:space="preserve"> </w:t>
      </w:r>
      <w:r w:rsidR="0018447C" w:rsidRPr="0018447C">
        <w:t>Guidehouse calculated the measure cost based on ASHRAE Standard 90.1 2019-Illinois</w:t>
      </w:r>
      <w:r w:rsidR="006313B5" w:rsidRPr="000910A5">
        <w:rPr>
          <w:rStyle w:val="FootnoteReference"/>
        </w:rPr>
        <w:footnoteReference w:id="9"/>
      </w:r>
      <w:r w:rsidR="0018447C" w:rsidRPr="0018447C">
        <w:t xml:space="preserve"> assuming similar cost to one code cycle improvement.</w:t>
      </w:r>
    </w:p>
    <w:p w14:paraId="0710C2BE" w14:textId="77777777" w:rsidR="001B5EAD" w:rsidRDefault="001B5EAD" w:rsidP="00774592">
      <w:pPr>
        <w:pStyle w:val="Heading2"/>
      </w:pPr>
      <w:bookmarkStart w:id="145" w:name="_Toc168313055"/>
      <w:bookmarkStart w:id="146" w:name="_Toc196925673"/>
      <w:bookmarkEnd w:id="145"/>
      <w:r>
        <w:lastRenderedPageBreak/>
        <w:t>Data Sources and Assumptions</w:t>
      </w:r>
      <w:bookmarkEnd w:id="146"/>
    </w:p>
    <w:p w14:paraId="290BB902" w14:textId="5DCC0C94" w:rsidR="001B5EAD" w:rsidRDefault="001B5EAD" w:rsidP="00774592">
      <w:pPr>
        <w:pStyle w:val="BodyText"/>
        <w:keepNext/>
      </w:pPr>
      <w:r>
        <w:t xml:space="preserve">The </w:t>
      </w:r>
      <w:r w:rsidR="00716561">
        <w:t>analysis</w:t>
      </w:r>
      <w:r>
        <w:t xml:space="preserve"> used the following </w:t>
      </w:r>
      <w:r w:rsidR="00CD7F50">
        <w:t>sources to c</w:t>
      </w:r>
      <w:r w:rsidR="007556DD">
        <w:t>ompile the</w:t>
      </w:r>
      <w:r w:rsidR="00CD7F50">
        <w:t xml:space="preserve"> relevant data</w:t>
      </w:r>
      <w:r>
        <w:t>:</w:t>
      </w:r>
    </w:p>
    <w:p w14:paraId="41C54E3B" w14:textId="46C515AB" w:rsidR="001B5EAD" w:rsidRDefault="001B5EAD" w:rsidP="00774592">
      <w:pPr>
        <w:pStyle w:val="BodyText"/>
        <w:keepNext/>
        <w:numPr>
          <w:ilvl w:val="0"/>
          <w:numId w:val="45"/>
        </w:numPr>
      </w:pPr>
      <w:r w:rsidRPr="00457322">
        <w:rPr>
          <w:b/>
          <w:bCs/>
        </w:rPr>
        <w:t>Program tracking data and evaluation reports</w:t>
      </w:r>
      <w:r w:rsidR="003572B2">
        <w:t xml:space="preserve"> </w:t>
      </w:r>
      <w:r>
        <w:t xml:space="preserve">to compile </w:t>
      </w:r>
      <w:r w:rsidR="003572B2">
        <w:t>measure-</w:t>
      </w:r>
      <w:r>
        <w:t>level savings, quantity, and realization rate values</w:t>
      </w:r>
    </w:p>
    <w:p w14:paraId="4956F25E" w14:textId="0B8722FF" w:rsidR="001B5EAD" w:rsidRDefault="003572B2" w:rsidP="006460B6">
      <w:pPr>
        <w:pStyle w:val="BodyText"/>
        <w:numPr>
          <w:ilvl w:val="0"/>
          <w:numId w:val="45"/>
        </w:numPr>
      </w:pPr>
      <w:r>
        <w:rPr>
          <w:b/>
        </w:rPr>
        <w:t xml:space="preserve">IL </w:t>
      </w:r>
      <w:r w:rsidR="002D2991">
        <w:rPr>
          <w:b/>
          <w:bCs/>
        </w:rPr>
        <w:t xml:space="preserve">TRM </w:t>
      </w:r>
      <w:r w:rsidR="62B44D39" w:rsidRPr="6EA73A9C">
        <w:rPr>
          <w:b/>
          <w:bCs/>
        </w:rPr>
        <w:t>v12</w:t>
      </w:r>
      <w:r w:rsidR="002D2991">
        <w:rPr>
          <w:b/>
          <w:bCs/>
        </w:rPr>
        <w:t>.0</w:t>
      </w:r>
      <w:r w:rsidR="001B5EAD">
        <w:t xml:space="preserve"> to compile measure life and incremental cost data</w:t>
      </w:r>
    </w:p>
    <w:p w14:paraId="72D0F206" w14:textId="207BD870" w:rsidR="00C628A2" w:rsidRDefault="00C628A2" w:rsidP="006460B6">
      <w:pPr>
        <w:pStyle w:val="BodyText"/>
        <w:numPr>
          <w:ilvl w:val="0"/>
          <w:numId w:val="45"/>
        </w:numPr>
      </w:pPr>
      <w:r>
        <w:rPr>
          <w:b/>
          <w:bCs/>
        </w:rPr>
        <w:t>Project invoices</w:t>
      </w:r>
      <w:r w:rsidR="003572B2">
        <w:rPr>
          <w:b/>
          <w:bCs/>
        </w:rPr>
        <w:t xml:space="preserve"> </w:t>
      </w:r>
      <w:r>
        <w:t xml:space="preserve">to </w:t>
      </w:r>
      <w:r w:rsidR="007556DD">
        <w:t>compile actual cost data (if available)</w:t>
      </w:r>
    </w:p>
    <w:p w14:paraId="279CDE2F" w14:textId="4007C784" w:rsidR="001B5EAD" w:rsidRDefault="00933697" w:rsidP="006460B6">
      <w:pPr>
        <w:pStyle w:val="BodyText"/>
        <w:numPr>
          <w:ilvl w:val="0"/>
          <w:numId w:val="45"/>
        </w:numPr>
      </w:pPr>
      <w:r>
        <w:rPr>
          <w:b/>
          <w:bCs/>
        </w:rPr>
        <w:t>Project-level costs</w:t>
      </w:r>
      <w:r w:rsidR="004C38F0">
        <w:t>, including u</w:t>
      </w:r>
      <w:r w:rsidR="001B5EAD">
        <w:t xml:space="preserve">tility incentives </w:t>
      </w:r>
      <w:r w:rsidR="00C628A2">
        <w:t>and non-incentive costs provided by ComEd</w:t>
      </w:r>
    </w:p>
    <w:p w14:paraId="48048957" w14:textId="47601DC3" w:rsidR="001B5EAD" w:rsidRDefault="009864BB" w:rsidP="001B5EAD">
      <w:pPr>
        <w:pStyle w:val="BodyText"/>
      </w:pPr>
      <w:r>
        <w:fldChar w:fldCharType="begin"/>
      </w:r>
      <w:r>
        <w:instrText xml:space="preserve"> REF _Ref168311958 \h </w:instrText>
      </w:r>
      <w:r>
        <w:fldChar w:fldCharType="separate"/>
      </w:r>
      <w:r w:rsidR="00427EE9" w:rsidRPr="00937808">
        <w:t xml:space="preserve">Table </w:t>
      </w:r>
      <w:r w:rsidR="00427EE9">
        <w:rPr>
          <w:noProof/>
        </w:rPr>
        <w:t>3</w:t>
      </w:r>
      <w:r w:rsidR="00427EE9" w:rsidRPr="006857DE">
        <w:noBreakHyphen/>
      </w:r>
      <w:r w:rsidR="00427EE9">
        <w:rPr>
          <w:noProof/>
        </w:rPr>
        <w:t>4</w:t>
      </w:r>
      <w:r>
        <w:fldChar w:fldCharType="end"/>
      </w:r>
      <w:r>
        <w:t xml:space="preserve"> </w:t>
      </w:r>
      <w:r w:rsidR="004C38F0">
        <w:t>p</w:t>
      </w:r>
      <w:r w:rsidR="001B5EAD">
        <w:t xml:space="preserve">rovides the sources and assumptions for the measure costs by program. </w:t>
      </w:r>
    </w:p>
    <w:p w14:paraId="7115A765" w14:textId="0A8B933C" w:rsidR="001B5EAD" w:rsidRDefault="004C38F0" w:rsidP="001B5EAD">
      <w:pPr>
        <w:pStyle w:val="Caption"/>
      </w:pPr>
      <w:bookmarkStart w:id="147" w:name="_Ref168311958"/>
      <w:bookmarkStart w:id="148" w:name="_Toc196925431"/>
      <w:r w:rsidRPr="00316B4F">
        <w:t xml:space="preserve">Table </w:t>
      </w:r>
      <w:r w:rsidRPr="00316B4F">
        <w:fldChar w:fldCharType="begin"/>
      </w:r>
      <w:r w:rsidRPr="00316B4F">
        <w:instrText>STYLEREF 1 \s</w:instrText>
      </w:r>
      <w:r w:rsidRPr="00316B4F">
        <w:fldChar w:fldCharType="separate"/>
      </w:r>
      <w:r w:rsidR="00427EE9" w:rsidRPr="00316B4F">
        <w:rPr>
          <w:noProof/>
        </w:rPr>
        <w:t>3</w:t>
      </w:r>
      <w:r w:rsidRPr="00316B4F">
        <w:fldChar w:fldCharType="end"/>
      </w:r>
      <w:r w:rsidRPr="00316B4F">
        <w:noBreakHyphen/>
      </w:r>
      <w:r w:rsidRPr="00316B4F">
        <w:fldChar w:fldCharType="begin"/>
      </w:r>
      <w:r w:rsidRPr="00316B4F">
        <w:instrText>SEQ Table \* ARABIC \s 1</w:instrText>
      </w:r>
      <w:r w:rsidRPr="00316B4F">
        <w:fldChar w:fldCharType="separate"/>
      </w:r>
      <w:r w:rsidR="00427EE9" w:rsidRPr="00316B4F">
        <w:rPr>
          <w:noProof/>
        </w:rPr>
        <w:t>4</w:t>
      </w:r>
      <w:r w:rsidRPr="00316B4F">
        <w:fldChar w:fldCharType="end"/>
      </w:r>
      <w:bookmarkEnd w:id="147"/>
      <w:r w:rsidRPr="00316B4F">
        <w:rPr>
          <w:noProof/>
        </w:rPr>
        <w:t>.</w:t>
      </w:r>
      <w:r w:rsidR="009864BB" w:rsidRPr="00316B4F">
        <w:t xml:space="preserve"> </w:t>
      </w:r>
      <w:r w:rsidR="004A2674" w:rsidRPr="00316B4F">
        <w:t>CY202</w:t>
      </w:r>
      <w:r w:rsidR="003D6FD8" w:rsidRPr="00316B4F">
        <w:t>4</w:t>
      </w:r>
      <w:r w:rsidR="004A2674" w:rsidRPr="00316B4F">
        <w:t xml:space="preserve"> Program Cost Data Sources and Assumptions</w:t>
      </w:r>
      <w:bookmarkEnd w:id="148"/>
    </w:p>
    <w:tbl>
      <w:tblPr>
        <w:tblW w:w="5000" w:type="pct"/>
        <w:tblLayout w:type="fixed"/>
        <w:tblLook w:val="04A0" w:firstRow="1" w:lastRow="0" w:firstColumn="1" w:lastColumn="0" w:noHBand="0" w:noVBand="1"/>
      </w:tblPr>
      <w:tblGrid>
        <w:gridCol w:w="1846"/>
        <w:gridCol w:w="1632"/>
        <w:gridCol w:w="1782"/>
        <w:gridCol w:w="4100"/>
      </w:tblGrid>
      <w:tr w:rsidR="00AB6CE4" w:rsidRPr="00D17114" w14:paraId="4A5F30E5" w14:textId="77777777" w:rsidTr="006A517A">
        <w:trPr>
          <w:cantSplit/>
          <w:tblHeader/>
        </w:trPr>
        <w:tc>
          <w:tcPr>
            <w:tcW w:w="1846" w:type="dxa"/>
            <w:tcBorders>
              <w:top w:val="nil"/>
              <w:left w:val="nil"/>
              <w:bottom w:val="single" w:sz="12" w:space="0" w:color="93D500" w:themeColor="accent1"/>
            </w:tcBorders>
            <w:shd w:val="clear" w:color="auto" w:fill="036479" w:themeFill="accent3"/>
            <w:vAlign w:val="center"/>
            <w:hideMark/>
          </w:tcPr>
          <w:p w14:paraId="2CDBA65C" w14:textId="77777777" w:rsidR="00F316BD" w:rsidRPr="00F316BD" w:rsidRDefault="00F316BD" w:rsidP="00F316BD">
            <w:pPr>
              <w:rPr>
                <w:rFonts w:cs="Arial"/>
                <w:b/>
                <w:color w:val="FFFFFF" w:themeColor="background1"/>
                <w:sz w:val="17"/>
                <w:szCs w:val="17"/>
              </w:rPr>
            </w:pPr>
            <w:r w:rsidRPr="00F316BD">
              <w:rPr>
                <w:rFonts w:cs="Arial"/>
                <w:b/>
                <w:color w:val="FFFFFF" w:themeColor="background1"/>
                <w:sz w:val="17"/>
                <w:szCs w:val="17"/>
              </w:rPr>
              <w:t>Program</w:t>
            </w:r>
          </w:p>
        </w:tc>
        <w:tc>
          <w:tcPr>
            <w:tcW w:w="1632" w:type="dxa"/>
            <w:tcBorders>
              <w:top w:val="nil"/>
              <w:bottom w:val="single" w:sz="12" w:space="0" w:color="93D500" w:themeColor="accent1"/>
            </w:tcBorders>
            <w:shd w:val="clear" w:color="auto" w:fill="036479" w:themeFill="accent3"/>
            <w:vAlign w:val="center"/>
            <w:hideMark/>
          </w:tcPr>
          <w:p w14:paraId="0189DDDC" w14:textId="77777777" w:rsidR="00F316BD" w:rsidRPr="00F316BD" w:rsidRDefault="00F316BD" w:rsidP="00F316BD">
            <w:pPr>
              <w:rPr>
                <w:rFonts w:cs="Arial"/>
                <w:b/>
                <w:color w:val="FFFFFF" w:themeColor="background1"/>
                <w:sz w:val="17"/>
                <w:szCs w:val="17"/>
              </w:rPr>
            </w:pPr>
            <w:r w:rsidRPr="00F316BD">
              <w:rPr>
                <w:rFonts w:cs="Arial"/>
                <w:b/>
                <w:color w:val="FFFFFF" w:themeColor="background1"/>
                <w:sz w:val="17"/>
                <w:szCs w:val="17"/>
              </w:rPr>
              <w:t>Component</w:t>
            </w:r>
          </w:p>
        </w:tc>
        <w:tc>
          <w:tcPr>
            <w:tcW w:w="1782" w:type="dxa"/>
            <w:tcBorders>
              <w:top w:val="nil"/>
              <w:bottom w:val="single" w:sz="12" w:space="0" w:color="93D500" w:themeColor="accent1"/>
            </w:tcBorders>
            <w:shd w:val="clear" w:color="auto" w:fill="036479" w:themeFill="accent3"/>
            <w:vAlign w:val="center"/>
            <w:hideMark/>
          </w:tcPr>
          <w:p w14:paraId="2110EA82" w14:textId="77777777" w:rsidR="00F316BD" w:rsidRPr="00F316BD" w:rsidRDefault="00F316BD" w:rsidP="00F316BD">
            <w:pPr>
              <w:rPr>
                <w:rFonts w:cs="Arial"/>
                <w:b/>
                <w:color w:val="FFFFFF" w:themeColor="background1"/>
                <w:sz w:val="17"/>
                <w:szCs w:val="17"/>
              </w:rPr>
            </w:pPr>
            <w:r w:rsidRPr="00F316BD">
              <w:rPr>
                <w:rFonts w:cs="Arial"/>
                <w:b/>
                <w:color w:val="FFFFFF" w:themeColor="background1"/>
                <w:sz w:val="17"/>
                <w:szCs w:val="17"/>
              </w:rPr>
              <w:t>Data Source</w:t>
            </w:r>
          </w:p>
        </w:tc>
        <w:tc>
          <w:tcPr>
            <w:tcW w:w="4100" w:type="dxa"/>
            <w:tcBorders>
              <w:top w:val="nil"/>
              <w:bottom w:val="single" w:sz="12" w:space="0" w:color="93D500" w:themeColor="accent1"/>
              <w:right w:val="nil"/>
            </w:tcBorders>
            <w:shd w:val="clear" w:color="auto" w:fill="036479" w:themeFill="accent3"/>
            <w:vAlign w:val="center"/>
            <w:hideMark/>
          </w:tcPr>
          <w:p w14:paraId="21014FCD" w14:textId="77777777" w:rsidR="00F316BD" w:rsidRPr="00F316BD" w:rsidRDefault="00F316BD" w:rsidP="00F316BD">
            <w:pPr>
              <w:rPr>
                <w:rFonts w:cs="Arial"/>
                <w:b/>
                <w:color w:val="FFFFFF" w:themeColor="background1"/>
                <w:sz w:val="17"/>
                <w:szCs w:val="17"/>
              </w:rPr>
            </w:pPr>
            <w:r w:rsidRPr="00F316BD">
              <w:rPr>
                <w:rFonts w:cs="Arial"/>
                <w:b/>
                <w:color w:val="FFFFFF" w:themeColor="background1"/>
                <w:sz w:val="17"/>
                <w:szCs w:val="17"/>
              </w:rPr>
              <w:t>Note</w:t>
            </w:r>
          </w:p>
        </w:tc>
      </w:tr>
      <w:tr w:rsidR="006A517A" w:rsidRPr="00F316BD" w14:paraId="48585FD5" w14:textId="77777777" w:rsidTr="006A517A">
        <w:trPr>
          <w:cantSplit/>
        </w:trPr>
        <w:tc>
          <w:tcPr>
            <w:tcW w:w="1846" w:type="dxa"/>
            <w:tcBorders>
              <w:top w:val="single" w:sz="12" w:space="0" w:color="93D500" w:themeColor="accent1"/>
              <w:left w:val="nil"/>
              <w:bottom w:val="single" w:sz="4" w:space="0" w:color="60B8CC" w:themeColor="accent4"/>
              <w:right w:val="nil"/>
            </w:tcBorders>
            <w:shd w:val="clear" w:color="auto" w:fill="auto"/>
          </w:tcPr>
          <w:p w14:paraId="40E392FA" w14:textId="2DC31CE1" w:rsidR="006A517A" w:rsidRPr="0048713E" w:rsidRDefault="006A517A" w:rsidP="006A517A">
            <w:pPr>
              <w:rPr>
                <w:rFonts w:cs="Arial"/>
                <w:color w:val="000000"/>
                <w:sz w:val="17"/>
                <w:szCs w:val="17"/>
              </w:rPr>
            </w:pPr>
            <w:r w:rsidRPr="0048713E">
              <w:rPr>
                <w:sz w:val="17"/>
                <w:szCs w:val="17"/>
              </w:rPr>
              <w:t>ASI kWh Purchase</w:t>
            </w:r>
          </w:p>
        </w:tc>
        <w:tc>
          <w:tcPr>
            <w:tcW w:w="1632" w:type="dxa"/>
            <w:tcBorders>
              <w:top w:val="single" w:sz="12" w:space="0" w:color="93D500" w:themeColor="accent1"/>
              <w:left w:val="nil"/>
              <w:bottom w:val="single" w:sz="4" w:space="0" w:color="60B8CC" w:themeColor="accent4"/>
              <w:right w:val="nil"/>
            </w:tcBorders>
            <w:shd w:val="clear" w:color="auto" w:fill="auto"/>
          </w:tcPr>
          <w:p w14:paraId="758A5171" w14:textId="49E5414A" w:rsidR="006A517A" w:rsidRPr="0048713E" w:rsidRDefault="006A517A" w:rsidP="006A517A">
            <w:pPr>
              <w:rPr>
                <w:rFonts w:cs="Arial"/>
                <w:color w:val="000000"/>
                <w:sz w:val="17"/>
                <w:szCs w:val="17"/>
              </w:rPr>
            </w:pPr>
            <w:r w:rsidRPr="0048713E">
              <w:rPr>
                <w:sz w:val="17"/>
                <w:szCs w:val="17"/>
              </w:rPr>
              <w:t>ASI kWh Purchase</w:t>
            </w:r>
          </w:p>
        </w:tc>
        <w:tc>
          <w:tcPr>
            <w:tcW w:w="1782" w:type="dxa"/>
            <w:tcBorders>
              <w:top w:val="single" w:sz="12" w:space="0" w:color="93D500" w:themeColor="accent1"/>
              <w:left w:val="nil"/>
              <w:bottom w:val="single" w:sz="4" w:space="0" w:color="60B8CC" w:themeColor="accent4"/>
              <w:right w:val="nil"/>
            </w:tcBorders>
            <w:shd w:val="clear" w:color="auto" w:fill="auto"/>
          </w:tcPr>
          <w:p w14:paraId="566346F9" w14:textId="7B06A146" w:rsidR="006A517A" w:rsidRPr="0048713E" w:rsidRDefault="006A517A" w:rsidP="006A517A">
            <w:pPr>
              <w:rPr>
                <w:rFonts w:cs="Arial"/>
                <w:color w:val="000000"/>
                <w:sz w:val="17"/>
                <w:szCs w:val="17"/>
              </w:rPr>
            </w:pPr>
            <w:r w:rsidRPr="0048713E">
              <w:rPr>
                <w:sz w:val="17"/>
                <w:szCs w:val="17"/>
              </w:rPr>
              <w:t>ComEd Electrification Cost Data</w:t>
            </w:r>
          </w:p>
        </w:tc>
        <w:tc>
          <w:tcPr>
            <w:tcW w:w="4100" w:type="dxa"/>
            <w:tcBorders>
              <w:top w:val="single" w:sz="12" w:space="0" w:color="93D500" w:themeColor="accent1"/>
              <w:left w:val="nil"/>
              <w:bottom w:val="single" w:sz="4" w:space="0" w:color="60B8CC" w:themeColor="accent4"/>
              <w:right w:val="nil"/>
            </w:tcBorders>
            <w:shd w:val="clear" w:color="auto" w:fill="auto"/>
          </w:tcPr>
          <w:p w14:paraId="39A6A017" w14:textId="48660220" w:rsidR="006A517A" w:rsidRPr="0048713E" w:rsidRDefault="006A517A" w:rsidP="006A517A">
            <w:pPr>
              <w:rPr>
                <w:rFonts w:cs="Arial"/>
                <w:color w:val="000000"/>
                <w:sz w:val="17"/>
                <w:szCs w:val="17"/>
              </w:rPr>
            </w:pPr>
            <w:r w:rsidRPr="0048713E">
              <w:rPr>
                <w:sz w:val="17"/>
                <w:szCs w:val="17"/>
              </w:rPr>
              <w:t>Used total IMC $/kWh of ASI from ComEd Electrification Cost data sheet</w:t>
            </w:r>
          </w:p>
        </w:tc>
      </w:tr>
      <w:tr w:rsidR="006A517A" w:rsidRPr="005E752D" w14:paraId="5A78F3D7"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0161412E" w14:textId="0C6C5DAB" w:rsidR="006A517A" w:rsidRPr="0048713E" w:rsidRDefault="006A517A" w:rsidP="006A517A">
            <w:pPr>
              <w:rPr>
                <w:rFonts w:cs="Arial"/>
                <w:color w:val="000000"/>
                <w:sz w:val="17"/>
                <w:szCs w:val="17"/>
              </w:rPr>
            </w:pPr>
            <w:r w:rsidRPr="0048713E">
              <w:rPr>
                <w:sz w:val="17"/>
                <w:szCs w:val="17"/>
              </w:rPr>
              <w:t>Behavior - Res/IE</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0B0E2A2D" w14:textId="34522D02" w:rsidR="006A517A" w:rsidRPr="0048713E" w:rsidRDefault="006A517A" w:rsidP="006A517A">
            <w:pPr>
              <w:rPr>
                <w:rFonts w:cs="Arial"/>
                <w:color w:val="000000"/>
                <w:sz w:val="17"/>
                <w:szCs w:val="17"/>
              </w:rPr>
            </w:pPr>
            <w:r w:rsidRPr="0048713E">
              <w:rPr>
                <w:sz w:val="17"/>
                <w:szCs w:val="17"/>
              </w:rPr>
              <w:t>Behavior - Res-IE</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3974B71F" w14:textId="4F956EEE" w:rsidR="006A517A" w:rsidRPr="0048713E" w:rsidRDefault="006A517A" w:rsidP="006A517A">
            <w:pPr>
              <w:rPr>
                <w:rFonts w:cs="Arial"/>
                <w:color w:val="000000"/>
                <w:sz w:val="17"/>
                <w:szCs w:val="17"/>
              </w:rPr>
            </w:pPr>
            <w:r w:rsidRPr="0048713E">
              <w:rPr>
                <w:sz w:val="17"/>
                <w:szCs w:val="17"/>
              </w:rPr>
              <w:t>NA</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4DA1FD23" w14:textId="32CD8C0F" w:rsidR="006A517A" w:rsidRPr="0048713E" w:rsidRDefault="006A517A" w:rsidP="006A517A">
            <w:pPr>
              <w:rPr>
                <w:rFonts w:cs="Arial"/>
                <w:color w:val="000000"/>
                <w:sz w:val="17"/>
                <w:szCs w:val="17"/>
              </w:rPr>
            </w:pPr>
            <w:r w:rsidRPr="0048713E">
              <w:rPr>
                <w:sz w:val="17"/>
                <w:szCs w:val="17"/>
              </w:rPr>
              <w:t xml:space="preserve">There are no incentives or measure costs, only program administration costs. </w:t>
            </w:r>
          </w:p>
        </w:tc>
      </w:tr>
      <w:tr w:rsidR="006A517A" w:rsidRPr="00F316BD" w14:paraId="347DAD5F"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6D2F6DEC" w14:textId="1282EEFF" w:rsidR="006A517A" w:rsidRPr="0048713E" w:rsidRDefault="006A517A" w:rsidP="006A517A">
            <w:pPr>
              <w:rPr>
                <w:rFonts w:cs="Arial"/>
                <w:color w:val="000000"/>
                <w:sz w:val="17"/>
                <w:szCs w:val="17"/>
              </w:rPr>
            </w:pPr>
            <w:r w:rsidRPr="0048713E">
              <w:rPr>
                <w:sz w:val="17"/>
                <w:szCs w:val="17"/>
              </w:rPr>
              <w:t>Contractor/Midstream Rebates</w:t>
            </w:r>
          </w:p>
        </w:tc>
        <w:tc>
          <w:tcPr>
            <w:tcW w:w="1632" w:type="dxa"/>
            <w:tcBorders>
              <w:top w:val="single" w:sz="4" w:space="0" w:color="60B8CC" w:themeColor="accent4"/>
              <w:left w:val="nil"/>
              <w:bottom w:val="single" w:sz="4" w:space="0" w:color="60B8CC" w:themeColor="accent4"/>
              <w:right w:val="nil"/>
            </w:tcBorders>
            <w:shd w:val="clear" w:color="auto" w:fill="auto"/>
          </w:tcPr>
          <w:p w14:paraId="4F98E960" w14:textId="4417746B" w:rsidR="006A517A" w:rsidRPr="0048713E" w:rsidRDefault="006A517A" w:rsidP="006A517A">
            <w:pPr>
              <w:rPr>
                <w:rFonts w:cs="Arial"/>
                <w:color w:val="000000"/>
                <w:sz w:val="17"/>
                <w:szCs w:val="17"/>
              </w:rPr>
            </w:pPr>
            <w:r w:rsidRPr="0048713E">
              <w:rPr>
                <w:sz w:val="17"/>
                <w:szCs w:val="17"/>
              </w:rPr>
              <w:t>Midstream</w:t>
            </w:r>
          </w:p>
        </w:tc>
        <w:tc>
          <w:tcPr>
            <w:tcW w:w="1782" w:type="dxa"/>
            <w:tcBorders>
              <w:top w:val="single" w:sz="4" w:space="0" w:color="60B8CC" w:themeColor="accent4"/>
              <w:left w:val="nil"/>
              <w:bottom w:val="single" w:sz="4" w:space="0" w:color="60B8CC" w:themeColor="accent4"/>
              <w:right w:val="nil"/>
            </w:tcBorders>
            <w:shd w:val="clear" w:color="auto" w:fill="auto"/>
          </w:tcPr>
          <w:p w14:paraId="383DDE6B" w14:textId="52DA0729" w:rsidR="006A517A" w:rsidRPr="0048713E" w:rsidRDefault="006A517A" w:rsidP="006A517A">
            <w:pPr>
              <w:rPr>
                <w:rFonts w:cs="Arial"/>
                <w:color w:val="000000"/>
                <w:sz w:val="17"/>
                <w:szCs w:val="17"/>
              </w:rPr>
            </w:pPr>
            <w:r w:rsidRPr="0048713E">
              <w:rPr>
                <w:sz w:val="17"/>
                <w:szCs w:val="17"/>
              </w:rPr>
              <w:t>IL TRM v12.0 &amp; ComEd Electrification Cost Data</w:t>
            </w:r>
          </w:p>
        </w:tc>
        <w:tc>
          <w:tcPr>
            <w:tcW w:w="4100" w:type="dxa"/>
            <w:tcBorders>
              <w:top w:val="single" w:sz="4" w:space="0" w:color="60B8CC" w:themeColor="accent4"/>
              <w:left w:val="nil"/>
              <w:bottom w:val="single" w:sz="4" w:space="0" w:color="60B8CC" w:themeColor="accent4"/>
              <w:right w:val="nil"/>
            </w:tcBorders>
            <w:shd w:val="clear" w:color="auto" w:fill="auto"/>
          </w:tcPr>
          <w:p w14:paraId="388A80D8" w14:textId="11518504" w:rsidR="006A517A" w:rsidRPr="0048713E" w:rsidRDefault="006A517A" w:rsidP="006A517A">
            <w:pPr>
              <w:rPr>
                <w:rFonts w:cs="Arial"/>
                <w:color w:val="000000"/>
                <w:sz w:val="17"/>
                <w:szCs w:val="17"/>
              </w:rPr>
            </w:pPr>
            <w:r w:rsidRPr="0048713E">
              <w:rPr>
                <w:sz w:val="17"/>
                <w:szCs w:val="17"/>
              </w:rPr>
              <w:t>IL TRM v12.0 deemed values and cost from ComEd Electrification Cost data were used for the analysis.</w:t>
            </w:r>
          </w:p>
        </w:tc>
      </w:tr>
      <w:tr w:rsidR="006A517A" w:rsidRPr="005E752D" w14:paraId="537971CD"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5470D340" w14:textId="7F68AB1D" w:rsidR="006A517A" w:rsidRPr="0048713E" w:rsidRDefault="006A517A" w:rsidP="006A517A">
            <w:pPr>
              <w:rPr>
                <w:rFonts w:cs="Arial"/>
                <w:color w:val="000000"/>
                <w:sz w:val="17"/>
                <w:szCs w:val="17"/>
              </w:rPr>
            </w:pPr>
            <w:r w:rsidRPr="0048713E">
              <w:rPr>
                <w:sz w:val="17"/>
                <w:szCs w:val="17"/>
              </w:rPr>
              <w:t>Electric Homes New Construction</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076531DE" w14:textId="6D796E5E" w:rsidR="006A517A" w:rsidRPr="0048713E" w:rsidRDefault="006A517A" w:rsidP="006A517A">
            <w:pPr>
              <w:rPr>
                <w:rFonts w:cs="Arial"/>
                <w:color w:val="000000"/>
                <w:sz w:val="17"/>
                <w:szCs w:val="17"/>
              </w:rPr>
            </w:pPr>
            <w:r w:rsidRPr="0048713E">
              <w:rPr>
                <w:sz w:val="17"/>
                <w:szCs w:val="17"/>
              </w:rPr>
              <w:t>EHNC</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5036CF8A" w14:textId="668C0FA5" w:rsidR="006A517A" w:rsidRPr="0048713E" w:rsidRDefault="006A517A" w:rsidP="006A517A">
            <w:pPr>
              <w:rPr>
                <w:rFonts w:cs="Arial"/>
                <w:color w:val="000000"/>
                <w:sz w:val="17"/>
                <w:szCs w:val="17"/>
              </w:rPr>
            </w:pPr>
            <w:r w:rsidRPr="0048713E">
              <w:rPr>
                <w:sz w:val="17"/>
                <w:szCs w:val="17"/>
              </w:rPr>
              <w:t>IL TRM v12.0</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61C4BC52" w14:textId="264124C1" w:rsidR="006A517A" w:rsidRPr="0048713E" w:rsidRDefault="006A517A" w:rsidP="006A517A">
            <w:pPr>
              <w:rPr>
                <w:rFonts w:cs="Arial"/>
                <w:color w:val="000000"/>
                <w:sz w:val="17"/>
                <w:szCs w:val="17"/>
              </w:rPr>
            </w:pPr>
            <w:r w:rsidRPr="0048713E">
              <w:rPr>
                <w:sz w:val="17"/>
                <w:szCs w:val="17"/>
              </w:rPr>
              <w:t>IL TRM v12.0 deemed values were used for the analysis.</w:t>
            </w:r>
          </w:p>
        </w:tc>
      </w:tr>
      <w:tr w:rsidR="006A517A" w:rsidRPr="00F316BD" w14:paraId="2355D0FF"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750FA168" w14:textId="2C2BC499" w:rsidR="006A517A" w:rsidRPr="0048713E" w:rsidRDefault="006A517A" w:rsidP="006A517A">
            <w:pPr>
              <w:rPr>
                <w:rFonts w:cs="Arial"/>
                <w:color w:val="000000"/>
                <w:sz w:val="17"/>
                <w:szCs w:val="17"/>
              </w:rPr>
            </w:pPr>
            <w:r w:rsidRPr="0048713E">
              <w:rPr>
                <w:sz w:val="17"/>
                <w:szCs w:val="17"/>
              </w:rPr>
              <w:t>Midstream/Upstream</w:t>
            </w:r>
          </w:p>
        </w:tc>
        <w:tc>
          <w:tcPr>
            <w:tcW w:w="1632" w:type="dxa"/>
            <w:tcBorders>
              <w:top w:val="single" w:sz="4" w:space="0" w:color="60B8CC" w:themeColor="accent4"/>
              <w:left w:val="nil"/>
              <w:bottom w:val="single" w:sz="4" w:space="0" w:color="60B8CC" w:themeColor="accent4"/>
              <w:right w:val="nil"/>
            </w:tcBorders>
            <w:shd w:val="clear" w:color="auto" w:fill="auto"/>
          </w:tcPr>
          <w:p w14:paraId="73B00E1C" w14:textId="2621FC2C" w:rsidR="006A517A" w:rsidRPr="0048713E" w:rsidRDefault="006A517A" w:rsidP="006A517A">
            <w:pPr>
              <w:rPr>
                <w:rFonts w:cs="Arial"/>
                <w:color w:val="000000"/>
                <w:sz w:val="17"/>
                <w:szCs w:val="17"/>
              </w:rPr>
            </w:pPr>
            <w:r w:rsidRPr="0048713E">
              <w:rPr>
                <w:sz w:val="17"/>
                <w:szCs w:val="17"/>
              </w:rPr>
              <w:t>Instant Discounts</w:t>
            </w:r>
          </w:p>
        </w:tc>
        <w:tc>
          <w:tcPr>
            <w:tcW w:w="1782" w:type="dxa"/>
            <w:tcBorders>
              <w:top w:val="single" w:sz="4" w:space="0" w:color="60B8CC" w:themeColor="accent4"/>
              <w:left w:val="nil"/>
              <w:bottom w:val="single" w:sz="4" w:space="0" w:color="60B8CC" w:themeColor="accent4"/>
              <w:right w:val="nil"/>
            </w:tcBorders>
            <w:shd w:val="clear" w:color="auto" w:fill="auto"/>
          </w:tcPr>
          <w:p w14:paraId="441A47C6" w14:textId="00D3EE9E" w:rsidR="006A517A" w:rsidRPr="0048713E" w:rsidRDefault="006A517A" w:rsidP="006A517A">
            <w:pPr>
              <w:rPr>
                <w:rFonts w:cs="Arial"/>
                <w:color w:val="000000"/>
                <w:sz w:val="17"/>
                <w:szCs w:val="17"/>
              </w:rPr>
            </w:pPr>
            <w:r w:rsidRPr="0048713E">
              <w:rPr>
                <w:sz w:val="17"/>
                <w:szCs w:val="17"/>
              </w:rPr>
              <w:t>Instant Discounts</w:t>
            </w:r>
          </w:p>
        </w:tc>
        <w:tc>
          <w:tcPr>
            <w:tcW w:w="4100" w:type="dxa"/>
            <w:tcBorders>
              <w:top w:val="single" w:sz="4" w:space="0" w:color="60B8CC" w:themeColor="accent4"/>
              <w:left w:val="nil"/>
              <w:bottom w:val="single" w:sz="4" w:space="0" w:color="60B8CC" w:themeColor="accent4"/>
              <w:right w:val="nil"/>
            </w:tcBorders>
            <w:shd w:val="clear" w:color="auto" w:fill="auto"/>
          </w:tcPr>
          <w:p w14:paraId="3F405DA8" w14:textId="5D75D393" w:rsidR="006A517A" w:rsidRPr="0048713E" w:rsidRDefault="006A517A" w:rsidP="006A517A">
            <w:pPr>
              <w:rPr>
                <w:rFonts w:cs="Arial"/>
                <w:color w:val="000000"/>
                <w:sz w:val="17"/>
                <w:szCs w:val="17"/>
              </w:rPr>
            </w:pPr>
            <w:r w:rsidRPr="0048713E">
              <w:rPr>
                <w:sz w:val="17"/>
                <w:szCs w:val="17"/>
              </w:rPr>
              <w:t>IL TRM v12.0</w:t>
            </w:r>
          </w:p>
        </w:tc>
      </w:tr>
      <w:tr w:rsidR="006A517A" w:rsidRPr="005E752D" w14:paraId="3F05160D"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2E3F8DBF" w14:textId="0C42A6BE" w:rsidR="006A517A" w:rsidRPr="0048713E" w:rsidRDefault="006A517A" w:rsidP="006A517A">
            <w:pPr>
              <w:rPr>
                <w:rFonts w:cs="Arial"/>
                <w:color w:val="000000"/>
                <w:sz w:val="17"/>
                <w:szCs w:val="17"/>
              </w:rPr>
            </w:pPr>
            <w:r w:rsidRPr="0048713E">
              <w:rPr>
                <w:sz w:val="17"/>
                <w:szCs w:val="17"/>
              </w:rPr>
              <w:t>Multifamily Upgrades</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572D9A53" w14:textId="74037B05" w:rsidR="006A517A" w:rsidRPr="0048713E" w:rsidRDefault="006A517A" w:rsidP="006A517A">
            <w:pPr>
              <w:rPr>
                <w:rFonts w:cs="Arial"/>
                <w:color w:val="000000"/>
                <w:sz w:val="17"/>
                <w:szCs w:val="17"/>
              </w:rPr>
            </w:pPr>
            <w:r w:rsidRPr="0048713E">
              <w:rPr>
                <w:sz w:val="17"/>
                <w:szCs w:val="17"/>
              </w:rPr>
              <w:t>IHWAP</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0B863600" w14:textId="44937144"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36D25B4B" w14:textId="676D20AE" w:rsidR="006A517A" w:rsidRPr="0048713E" w:rsidRDefault="006A517A" w:rsidP="006A517A">
            <w:pPr>
              <w:rPr>
                <w:rFonts w:cs="Arial"/>
                <w:color w:val="000000"/>
                <w:sz w:val="17"/>
                <w:szCs w:val="17"/>
              </w:rPr>
            </w:pPr>
            <w:r w:rsidRPr="0048713E">
              <w:rPr>
                <w:sz w:val="17"/>
                <w:szCs w:val="17"/>
              </w:rPr>
              <w:t xml:space="preserve">Guidehouse assumed the program tracking data incentive amounts should equal measure costs. </w:t>
            </w:r>
            <w:proofErr w:type="gramStart"/>
            <w:r w:rsidRPr="0048713E">
              <w:rPr>
                <w:sz w:val="17"/>
                <w:szCs w:val="17"/>
              </w:rPr>
              <w:t>Guidehouse</w:t>
            </w:r>
            <w:proofErr w:type="gramEnd"/>
            <w:r w:rsidRPr="0048713E">
              <w:rPr>
                <w:sz w:val="17"/>
                <w:szCs w:val="17"/>
              </w:rPr>
              <w:t xml:space="preserve"> found these incentive amounts accounted for the ComEd allocated costs of joint measures. </w:t>
            </w:r>
          </w:p>
        </w:tc>
      </w:tr>
      <w:tr w:rsidR="006A517A" w:rsidRPr="00F316BD" w14:paraId="70907164"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412BC757" w14:textId="608BB163" w:rsidR="006A517A" w:rsidRPr="0048713E" w:rsidRDefault="006A517A" w:rsidP="006A517A">
            <w:pPr>
              <w:rPr>
                <w:rFonts w:cs="Arial"/>
                <w:color w:val="000000"/>
                <w:sz w:val="17"/>
                <w:szCs w:val="17"/>
              </w:rPr>
            </w:pPr>
            <w:r w:rsidRPr="0048713E">
              <w:rPr>
                <w:sz w:val="17"/>
                <w:szCs w:val="17"/>
              </w:rPr>
              <w:t>Multifamily Upgrades</w:t>
            </w:r>
          </w:p>
        </w:tc>
        <w:tc>
          <w:tcPr>
            <w:tcW w:w="1632" w:type="dxa"/>
            <w:tcBorders>
              <w:top w:val="single" w:sz="4" w:space="0" w:color="60B8CC" w:themeColor="accent4"/>
              <w:left w:val="nil"/>
              <w:bottom w:val="single" w:sz="4" w:space="0" w:color="60B8CC" w:themeColor="accent4"/>
              <w:right w:val="nil"/>
            </w:tcBorders>
            <w:shd w:val="clear" w:color="auto" w:fill="auto"/>
          </w:tcPr>
          <w:p w14:paraId="478B2D8C" w14:textId="6A211EAB" w:rsidR="006A517A" w:rsidRPr="0048713E" w:rsidRDefault="006A517A" w:rsidP="006A517A">
            <w:pPr>
              <w:rPr>
                <w:rFonts w:cs="Arial"/>
                <w:color w:val="000000"/>
                <w:sz w:val="17"/>
                <w:szCs w:val="17"/>
              </w:rPr>
            </w:pPr>
            <w:r w:rsidRPr="0048713E">
              <w:rPr>
                <w:sz w:val="17"/>
                <w:szCs w:val="17"/>
              </w:rPr>
              <w:t>MCA</w:t>
            </w:r>
          </w:p>
        </w:tc>
        <w:tc>
          <w:tcPr>
            <w:tcW w:w="1782" w:type="dxa"/>
            <w:tcBorders>
              <w:top w:val="single" w:sz="4" w:space="0" w:color="60B8CC" w:themeColor="accent4"/>
              <w:left w:val="nil"/>
              <w:bottom w:val="single" w:sz="4" w:space="0" w:color="60B8CC" w:themeColor="accent4"/>
              <w:right w:val="nil"/>
            </w:tcBorders>
            <w:shd w:val="clear" w:color="auto" w:fill="auto"/>
          </w:tcPr>
          <w:p w14:paraId="415F1EA3" w14:textId="13A2820E"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auto"/>
          </w:tcPr>
          <w:p w14:paraId="792737B1" w14:textId="5C641732" w:rsidR="006A517A" w:rsidRPr="0048713E" w:rsidRDefault="006A517A" w:rsidP="006A517A">
            <w:pPr>
              <w:rPr>
                <w:rFonts w:cs="Arial"/>
                <w:color w:val="000000"/>
                <w:sz w:val="17"/>
                <w:szCs w:val="17"/>
              </w:rPr>
            </w:pPr>
            <w:r w:rsidRPr="0048713E">
              <w:rPr>
                <w:sz w:val="17"/>
                <w:szCs w:val="17"/>
              </w:rPr>
              <w:t xml:space="preserve">Guidehouse assumed the program tracking data incentive amounts should equal measure costs. </w:t>
            </w:r>
            <w:proofErr w:type="gramStart"/>
            <w:r w:rsidRPr="0048713E">
              <w:rPr>
                <w:sz w:val="17"/>
                <w:szCs w:val="17"/>
              </w:rPr>
              <w:t>Guidehouse</w:t>
            </w:r>
            <w:proofErr w:type="gramEnd"/>
            <w:r w:rsidRPr="0048713E">
              <w:rPr>
                <w:sz w:val="17"/>
                <w:szCs w:val="17"/>
              </w:rPr>
              <w:t xml:space="preserve"> found these incentive amounts accounted for the ComEd allocated costs of joint measures. </w:t>
            </w:r>
          </w:p>
        </w:tc>
      </w:tr>
      <w:tr w:rsidR="006A517A" w:rsidRPr="005E752D" w14:paraId="1C9FFE96"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705AFF56" w14:textId="06DAB747" w:rsidR="006A517A" w:rsidRPr="0048713E" w:rsidRDefault="006A517A" w:rsidP="006A517A">
            <w:pPr>
              <w:rPr>
                <w:rFonts w:cs="Arial"/>
                <w:color w:val="000000"/>
                <w:sz w:val="17"/>
                <w:szCs w:val="17"/>
              </w:rPr>
            </w:pPr>
            <w:r w:rsidRPr="0048713E">
              <w:rPr>
                <w:sz w:val="17"/>
                <w:szCs w:val="17"/>
              </w:rPr>
              <w:t>Multifamily Upgrades</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6E0289BD" w14:textId="0FB5D7AB" w:rsidR="006A517A" w:rsidRPr="0048713E" w:rsidRDefault="006A517A" w:rsidP="006A517A">
            <w:pPr>
              <w:rPr>
                <w:rFonts w:cs="Arial"/>
                <w:color w:val="000000"/>
                <w:sz w:val="17"/>
                <w:szCs w:val="17"/>
              </w:rPr>
            </w:pPr>
            <w:r w:rsidRPr="0048713E">
              <w:rPr>
                <w:sz w:val="17"/>
                <w:szCs w:val="17"/>
              </w:rPr>
              <w:t>MFLI</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726B0F78" w14:textId="4E1F696D"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103D5985" w14:textId="261C5E2E" w:rsidR="006A517A" w:rsidRPr="0048713E" w:rsidRDefault="006A517A" w:rsidP="006A517A">
            <w:pPr>
              <w:rPr>
                <w:rFonts w:cs="Arial"/>
                <w:color w:val="000000"/>
                <w:sz w:val="17"/>
                <w:szCs w:val="17"/>
              </w:rPr>
            </w:pPr>
            <w:r w:rsidRPr="0048713E">
              <w:rPr>
                <w:sz w:val="17"/>
                <w:szCs w:val="17"/>
              </w:rPr>
              <w:t xml:space="preserve">Guidehouse assumed the program tracking data incentive amounts should equal measure costs. </w:t>
            </w:r>
            <w:proofErr w:type="gramStart"/>
            <w:r w:rsidRPr="0048713E">
              <w:rPr>
                <w:sz w:val="17"/>
                <w:szCs w:val="17"/>
              </w:rPr>
              <w:t>Guidehouse</w:t>
            </w:r>
            <w:proofErr w:type="gramEnd"/>
            <w:r w:rsidRPr="0048713E">
              <w:rPr>
                <w:sz w:val="17"/>
                <w:szCs w:val="17"/>
              </w:rPr>
              <w:t xml:space="preserve"> found these incentive amounts accounted for the ComEd allocated costs of joint measures. </w:t>
            </w:r>
          </w:p>
        </w:tc>
      </w:tr>
      <w:tr w:rsidR="006A517A" w:rsidRPr="00F316BD" w14:paraId="0935B136"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40F68DF8" w14:textId="2955CD8C" w:rsidR="006A517A" w:rsidRPr="0048713E" w:rsidRDefault="006A517A" w:rsidP="006A517A">
            <w:pPr>
              <w:rPr>
                <w:rFonts w:cs="Arial"/>
                <w:color w:val="000000"/>
                <w:sz w:val="17"/>
                <w:szCs w:val="17"/>
              </w:rPr>
            </w:pPr>
            <w:r w:rsidRPr="0048713E">
              <w:rPr>
                <w:sz w:val="17"/>
                <w:szCs w:val="17"/>
              </w:rPr>
              <w:t>Multifamily Upgrades</w:t>
            </w:r>
          </w:p>
        </w:tc>
        <w:tc>
          <w:tcPr>
            <w:tcW w:w="1632" w:type="dxa"/>
            <w:tcBorders>
              <w:top w:val="single" w:sz="4" w:space="0" w:color="60B8CC" w:themeColor="accent4"/>
              <w:left w:val="nil"/>
              <w:bottom w:val="single" w:sz="4" w:space="0" w:color="60B8CC" w:themeColor="accent4"/>
              <w:right w:val="nil"/>
            </w:tcBorders>
            <w:shd w:val="clear" w:color="auto" w:fill="auto"/>
          </w:tcPr>
          <w:p w14:paraId="4DB135E4" w14:textId="5BBB4E99" w:rsidR="006A517A" w:rsidRPr="0048713E" w:rsidRDefault="006A517A" w:rsidP="006A517A">
            <w:pPr>
              <w:rPr>
                <w:rFonts w:cs="Arial"/>
                <w:color w:val="000000"/>
                <w:sz w:val="17"/>
                <w:szCs w:val="17"/>
              </w:rPr>
            </w:pPr>
            <w:r w:rsidRPr="0048713E">
              <w:rPr>
                <w:sz w:val="17"/>
                <w:szCs w:val="17"/>
              </w:rPr>
              <w:t>Public Housing</w:t>
            </w:r>
          </w:p>
        </w:tc>
        <w:tc>
          <w:tcPr>
            <w:tcW w:w="1782" w:type="dxa"/>
            <w:tcBorders>
              <w:top w:val="single" w:sz="4" w:space="0" w:color="60B8CC" w:themeColor="accent4"/>
              <w:left w:val="nil"/>
              <w:bottom w:val="single" w:sz="4" w:space="0" w:color="60B8CC" w:themeColor="accent4"/>
              <w:right w:val="nil"/>
            </w:tcBorders>
            <w:shd w:val="clear" w:color="auto" w:fill="auto"/>
          </w:tcPr>
          <w:p w14:paraId="226D3AA8" w14:textId="3BC31C26"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auto"/>
          </w:tcPr>
          <w:p w14:paraId="536FF5CE" w14:textId="471BAC1B" w:rsidR="006A517A" w:rsidRPr="0048713E" w:rsidRDefault="006A517A" w:rsidP="006A517A">
            <w:pPr>
              <w:rPr>
                <w:rFonts w:cs="Arial"/>
                <w:color w:val="000000"/>
                <w:sz w:val="17"/>
                <w:szCs w:val="17"/>
              </w:rPr>
            </w:pPr>
            <w:r w:rsidRPr="0048713E">
              <w:rPr>
                <w:sz w:val="17"/>
                <w:szCs w:val="17"/>
              </w:rPr>
              <w:t>Guidehouse assumed the program tracking data incentive amounts should equal measure costs.</w:t>
            </w:r>
          </w:p>
        </w:tc>
      </w:tr>
      <w:tr w:rsidR="006A517A" w:rsidRPr="005E752D" w14:paraId="03E93D9D"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6BDC2222" w14:textId="0BA65A88" w:rsidR="006A517A" w:rsidRPr="0048713E" w:rsidRDefault="006A517A" w:rsidP="006A517A">
            <w:pPr>
              <w:rPr>
                <w:rFonts w:cs="Arial"/>
                <w:color w:val="000000"/>
                <w:sz w:val="17"/>
                <w:szCs w:val="17"/>
              </w:rPr>
            </w:pPr>
            <w:r w:rsidRPr="0048713E">
              <w:rPr>
                <w:sz w:val="17"/>
                <w:szCs w:val="17"/>
              </w:rPr>
              <w:t>Multifamily Upgrades</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7716510F" w14:textId="07EBDB44" w:rsidR="006A517A" w:rsidRPr="0048713E" w:rsidRDefault="006A517A" w:rsidP="006A517A">
            <w:pPr>
              <w:rPr>
                <w:rFonts w:cs="Arial"/>
                <w:color w:val="000000"/>
                <w:sz w:val="17"/>
                <w:szCs w:val="17"/>
              </w:rPr>
            </w:pPr>
            <w:r w:rsidRPr="0048713E">
              <w:rPr>
                <w:sz w:val="17"/>
                <w:szCs w:val="17"/>
              </w:rPr>
              <w:t>Strategic Energy Management</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2E309D11" w14:textId="7E477A98"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1A066F51" w14:textId="17371095" w:rsidR="006A517A" w:rsidRPr="0048713E" w:rsidRDefault="006A517A" w:rsidP="006A517A">
            <w:pPr>
              <w:rPr>
                <w:rFonts w:cs="Arial"/>
                <w:color w:val="000000"/>
                <w:sz w:val="17"/>
                <w:szCs w:val="17"/>
              </w:rPr>
            </w:pPr>
            <w:r w:rsidRPr="0048713E">
              <w:rPr>
                <w:sz w:val="17"/>
                <w:szCs w:val="17"/>
              </w:rPr>
              <w:t>Guidehouse assumed the program tracking data incentive amounts should equal measure costs.</w:t>
            </w:r>
          </w:p>
        </w:tc>
      </w:tr>
      <w:tr w:rsidR="006A517A" w:rsidRPr="00F316BD" w14:paraId="3A0E2041"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25ED5294" w14:textId="3683E53E" w:rsidR="006A517A" w:rsidRPr="0048713E" w:rsidRDefault="006A517A" w:rsidP="006A517A">
            <w:pPr>
              <w:rPr>
                <w:rFonts w:cs="Arial"/>
                <w:color w:val="000000"/>
                <w:sz w:val="17"/>
                <w:szCs w:val="17"/>
              </w:rPr>
            </w:pPr>
            <w:r w:rsidRPr="0048713E">
              <w:rPr>
                <w:sz w:val="17"/>
                <w:szCs w:val="17"/>
              </w:rPr>
              <w:t>New Construction - IE</w:t>
            </w:r>
          </w:p>
        </w:tc>
        <w:tc>
          <w:tcPr>
            <w:tcW w:w="1632" w:type="dxa"/>
            <w:tcBorders>
              <w:top w:val="single" w:sz="4" w:space="0" w:color="60B8CC" w:themeColor="accent4"/>
              <w:left w:val="nil"/>
              <w:bottom w:val="single" w:sz="4" w:space="0" w:color="60B8CC" w:themeColor="accent4"/>
              <w:right w:val="nil"/>
            </w:tcBorders>
            <w:shd w:val="clear" w:color="auto" w:fill="auto"/>
          </w:tcPr>
          <w:p w14:paraId="1C85C77E" w14:textId="7CFE4F71" w:rsidR="006A517A" w:rsidRPr="0048713E" w:rsidRDefault="006A517A" w:rsidP="006A517A">
            <w:pPr>
              <w:rPr>
                <w:rFonts w:cs="Arial"/>
                <w:color w:val="000000"/>
                <w:sz w:val="17"/>
                <w:szCs w:val="17"/>
              </w:rPr>
            </w:pPr>
            <w:r w:rsidRPr="0048713E">
              <w:rPr>
                <w:sz w:val="17"/>
                <w:szCs w:val="17"/>
              </w:rPr>
              <w:t>Affordable Housing New Construction</w:t>
            </w:r>
          </w:p>
        </w:tc>
        <w:tc>
          <w:tcPr>
            <w:tcW w:w="1782" w:type="dxa"/>
            <w:tcBorders>
              <w:top w:val="single" w:sz="4" w:space="0" w:color="60B8CC" w:themeColor="accent4"/>
              <w:left w:val="nil"/>
              <w:bottom w:val="single" w:sz="4" w:space="0" w:color="60B8CC" w:themeColor="accent4"/>
              <w:right w:val="nil"/>
            </w:tcBorders>
            <w:shd w:val="clear" w:color="auto" w:fill="auto"/>
          </w:tcPr>
          <w:p w14:paraId="5342EA70" w14:textId="433A8CAD" w:rsidR="006A517A" w:rsidRPr="0048713E" w:rsidRDefault="006A517A" w:rsidP="006A517A">
            <w:pPr>
              <w:rPr>
                <w:rFonts w:cs="Arial"/>
                <w:color w:val="000000"/>
                <w:sz w:val="17"/>
                <w:szCs w:val="17"/>
              </w:rPr>
            </w:pPr>
            <w:r w:rsidRPr="0048713E">
              <w:rPr>
                <w:sz w:val="17"/>
                <w:szCs w:val="17"/>
              </w:rPr>
              <w:t>ComEd</w:t>
            </w:r>
          </w:p>
        </w:tc>
        <w:tc>
          <w:tcPr>
            <w:tcW w:w="4100" w:type="dxa"/>
            <w:tcBorders>
              <w:top w:val="single" w:sz="4" w:space="0" w:color="60B8CC" w:themeColor="accent4"/>
              <w:left w:val="nil"/>
              <w:bottom w:val="single" w:sz="4" w:space="0" w:color="60B8CC" w:themeColor="accent4"/>
              <w:right w:val="nil"/>
            </w:tcBorders>
            <w:shd w:val="clear" w:color="auto" w:fill="auto"/>
          </w:tcPr>
          <w:p w14:paraId="4928B755" w14:textId="52007F1A" w:rsidR="006A517A" w:rsidRPr="0048713E" w:rsidRDefault="006A517A" w:rsidP="006A517A">
            <w:pPr>
              <w:rPr>
                <w:rFonts w:cs="Arial"/>
                <w:color w:val="000000"/>
                <w:sz w:val="17"/>
                <w:szCs w:val="17"/>
              </w:rPr>
            </w:pPr>
            <w:r w:rsidRPr="0048713E">
              <w:rPr>
                <w:sz w:val="17"/>
                <w:szCs w:val="17"/>
              </w:rPr>
              <w:t>Guidehouse used an average of the Incremental Capital Cost per projec</w:t>
            </w:r>
            <w:r w:rsidR="00514A85">
              <w:rPr>
                <w:sz w:val="17"/>
                <w:szCs w:val="17"/>
              </w:rPr>
              <w:t>t</w:t>
            </w:r>
            <w:r w:rsidR="006B4D24">
              <w:rPr>
                <w:sz w:val="17"/>
                <w:szCs w:val="17"/>
              </w:rPr>
              <w:t xml:space="preserve"> derived from TRM v</w:t>
            </w:r>
            <w:r w:rsidR="00B731D4">
              <w:rPr>
                <w:sz w:val="17"/>
                <w:szCs w:val="17"/>
              </w:rPr>
              <w:t>12.0 costs.</w:t>
            </w:r>
          </w:p>
        </w:tc>
      </w:tr>
      <w:tr w:rsidR="006A517A" w:rsidRPr="005E752D" w14:paraId="11F43033"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4AF8386D" w14:textId="2CF2AE45" w:rsidR="006A517A" w:rsidRPr="0048713E" w:rsidRDefault="006A517A" w:rsidP="006A517A">
            <w:pPr>
              <w:rPr>
                <w:rFonts w:cs="Arial"/>
                <w:color w:val="000000"/>
                <w:sz w:val="17"/>
                <w:szCs w:val="17"/>
              </w:rPr>
            </w:pPr>
            <w:r w:rsidRPr="0048713E">
              <w:rPr>
                <w:sz w:val="17"/>
                <w:szCs w:val="17"/>
              </w:rPr>
              <w:t>Product Distribution</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2F998D22" w14:textId="75145E5C" w:rsidR="006A517A" w:rsidRPr="0048713E" w:rsidRDefault="006A517A" w:rsidP="006A517A">
            <w:pPr>
              <w:rPr>
                <w:rFonts w:cs="Arial"/>
                <w:color w:val="000000"/>
                <w:sz w:val="17"/>
                <w:szCs w:val="17"/>
              </w:rPr>
            </w:pPr>
            <w:r w:rsidRPr="0048713E">
              <w:rPr>
                <w:sz w:val="17"/>
                <w:szCs w:val="17"/>
              </w:rPr>
              <w:t>Elementary Ed</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30C81B88" w14:textId="2974F2B3" w:rsidR="006A517A" w:rsidRPr="0048713E" w:rsidRDefault="006A517A" w:rsidP="006A517A">
            <w:pPr>
              <w:rPr>
                <w:rFonts w:cs="Arial"/>
                <w:color w:val="000000"/>
                <w:sz w:val="17"/>
                <w:szCs w:val="17"/>
              </w:rPr>
            </w:pPr>
            <w:r w:rsidRPr="0048713E">
              <w:rPr>
                <w:sz w:val="17"/>
                <w:szCs w:val="17"/>
              </w:rPr>
              <w:t>Tracking Data and Project Invoices</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07D50381" w14:textId="0543CF62" w:rsidR="006A517A" w:rsidRPr="0048713E" w:rsidRDefault="006A517A" w:rsidP="006A517A">
            <w:pPr>
              <w:rPr>
                <w:rFonts w:cs="Arial"/>
                <w:color w:val="000000"/>
                <w:sz w:val="17"/>
                <w:szCs w:val="17"/>
              </w:rPr>
            </w:pPr>
            <w:r w:rsidRPr="0048713E">
              <w:rPr>
                <w:sz w:val="17"/>
                <w:szCs w:val="17"/>
              </w:rPr>
              <w:t xml:space="preserve">Implementer invoices were used to obtain the ComEd allocated costs of joint measures, which were then applied </w:t>
            </w:r>
            <w:r w:rsidR="00497ED1">
              <w:rPr>
                <w:sz w:val="17"/>
                <w:szCs w:val="17"/>
              </w:rPr>
              <w:t>to the incremental costs for each measure within the kits.</w:t>
            </w:r>
            <w:r w:rsidRPr="0048713E">
              <w:rPr>
                <w:sz w:val="17"/>
                <w:szCs w:val="17"/>
              </w:rPr>
              <w:t xml:space="preserve"> </w:t>
            </w:r>
          </w:p>
        </w:tc>
      </w:tr>
      <w:tr w:rsidR="006A517A" w:rsidRPr="00F316BD" w14:paraId="4963AA7F"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5FE9E12D" w14:textId="4934C704" w:rsidR="006A517A" w:rsidRPr="0048713E" w:rsidRDefault="006A517A" w:rsidP="006A517A">
            <w:pPr>
              <w:rPr>
                <w:rFonts w:cs="Arial"/>
                <w:color w:val="000000"/>
                <w:sz w:val="17"/>
                <w:szCs w:val="17"/>
              </w:rPr>
            </w:pPr>
            <w:r w:rsidRPr="0048713E">
              <w:rPr>
                <w:sz w:val="17"/>
                <w:szCs w:val="17"/>
              </w:rPr>
              <w:t>Product Distribution</w:t>
            </w:r>
          </w:p>
        </w:tc>
        <w:tc>
          <w:tcPr>
            <w:tcW w:w="1632" w:type="dxa"/>
            <w:tcBorders>
              <w:top w:val="single" w:sz="4" w:space="0" w:color="60B8CC" w:themeColor="accent4"/>
              <w:left w:val="nil"/>
              <w:bottom w:val="single" w:sz="4" w:space="0" w:color="60B8CC" w:themeColor="accent4"/>
              <w:right w:val="nil"/>
            </w:tcBorders>
            <w:shd w:val="clear" w:color="auto" w:fill="auto"/>
          </w:tcPr>
          <w:p w14:paraId="2A707495" w14:textId="08C3C20B" w:rsidR="006A517A" w:rsidRPr="0048713E" w:rsidRDefault="006A517A" w:rsidP="006A517A">
            <w:pPr>
              <w:rPr>
                <w:rFonts w:cs="Arial"/>
                <w:color w:val="000000"/>
                <w:sz w:val="17"/>
                <w:szCs w:val="17"/>
              </w:rPr>
            </w:pPr>
            <w:r w:rsidRPr="0048713E">
              <w:rPr>
                <w:sz w:val="17"/>
                <w:szCs w:val="17"/>
              </w:rPr>
              <w:t>Food Bank</w:t>
            </w:r>
          </w:p>
        </w:tc>
        <w:tc>
          <w:tcPr>
            <w:tcW w:w="1782" w:type="dxa"/>
            <w:tcBorders>
              <w:top w:val="single" w:sz="4" w:space="0" w:color="60B8CC" w:themeColor="accent4"/>
              <w:left w:val="nil"/>
              <w:bottom w:val="single" w:sz="4" w:space="0" w:color="60B8CC" w:themeColor="accent4"/>
              <w:right w:val="nil"/>
            </w:tcBorders>
            <w:shd w:val="clear" w:color="auto" w:fill="auto"/>
          </w:tcPr>
          <w:p w14:paraId="37354DEC" w14:textId="58F7CE73"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auto"/>
          </w:tcPr>
          <w:p w14:paraId="12FB2FC1" w14:textId="35B8034B" w:rsidR="006A517A" w:rsidRPr="0048713E" w:rsidRDefault="006A517A" w:rsidP="006A517A">
            <w:pPr>
              <w:rPr>
                <w:rFonts w:cs="Arial"/>
                <w:color w:val="000000"/>
                <w:sz w:val="17"/>
                <w:szCs w:val="17"/>
              </w:rPr>
            </w:pPr>
            <w:r w:rsidRPr="0048713E">
              <w:rPr>
                <w:sz w:val="17"/>
                <w:szCs w:val="17"/>
              </w:rPr>
              <w:t>Guidehouse assumed the program tracking data incentive amounts should equal measure costs.</w:t>
            </w:r>
          </w:p>
        </w:tc>
      </w:tr>
      <w:tr w:rsidR="006A517A" w:rsidRPr="00F316BD" w14:paraId="344CF4E7"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0F90AA7F" w14:textId="6F633533" w:rsidR="006A517A" w:rsidRPr="0048713E" w:rsidRDefault="006A517A" w:rsidP="006A517A">
            <w:pPr>
              <w:rPr>
                <w:rFonts w:cs="Arial"/>
                <w:color w:val="000000"/>
                <w:sz w:val="17"/>
                <w:szCs w:val="17"/>
              </w:rPr>
            </w:pPr>
            <w:r w:rsidRPr="0048713E">
              <w:rPr>
                <w:sz w:val="17"/>
                <w:szCs w:val="17"/>
              </w:rPr>
              <w:lastRenderedPageBreak/>
              <w:t>Product Distribution</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3BE9943E" w14:textId="4BFCE761" w:rsidR="006A517A" w:rsidRPr="0048713E" w:rsidRDefault="006A517A" w:rsidP="006A517A">
            <w:pPr>
              <w:rPr>
                <w:rFonts w:cs="Arial"/>
                <w:color w:val="000000"/>
                <w:sz w:val="17"/>
                <w:szCs w:val="17"/>
              </w:rPr>
            </w:pPr>
            <w:r w:rsidRPr="0048713E">
              <w:rPr>
                <w:sz w:val="17"/>
                <w:szCs w:val="17"/>
              </w:rPr>
              <w:t>IE Kits</w:t>
            </w:r>
          </w:p>
        </w:tc>
        <w:tc>
          <w:tcPr>
            <w:tcW w:w="1782" w:type="dxa"/>
            <w:tcBorders>
              <w:top w:val="single" w:sz="4" w:space="0" w:color="60B8CC" w:themeColor="accent4"/>
              <w:left w:val="nil"/>
              <w:bottom w:val="single" w:sz="4" w:space="0" w:color="60B8CC" w:themeColor="accent4"/>
              <w:right w:val="nil"/>
            </w:tcBorders>
            <w:shd w:val="clear" w:color="auto" w:fill="auto"/>
          </w:tcPr>
          <w:p w14:paraId="0AE8DAA7" w14:textId="404545D6" w:rsidR="006A517A" w:rsidRPr="0048713E" w:rsidRDefault="006A517A" w:rsidP="006A517A">
            <w:pPr>
              <w:rPr>
                <w:rFonts w:cs="Arial"/>
                <w:color w:val="000000"/>
                <w:sz w:val="17"/>
                <w:szCs w:val="17"/>
              </w:rPr>
            </w:pPr>
            <w:r w:rsidRPr="0048713E">
              <w:rPr>
                <w:sz w:val="17"/>
                <w:szCs w:val="17"/>
              </w:rPr>
              <w:t>Tracking Data and Project Invoices</w:t>
            </w:r>
          </w:p>
        </w:tc>
        <w:tc>
          <w:tcPr>
            <w:tcW w:w="4100" w:type="dxa"/>
            <w:tcBorders>
              <w:top w:val="single" w:sz="4" w:space="0" w:color="60B8CC" w:themeColor="accent4"/>
              <w:left w:val="nil"/>
              <w:bottom w:val="single" w:sz="4" w:space="0" w:color="60B8CC" w:themeColor="accent4"/>
              <w:right w:val="nil"/>
            </w:tcBorders>
            <w:shd w:val="clear" w:color="auto" w:fill="auto"/>
          </w:tcPr>
          <w:p w14:paraId="22190120" w14:textId="382325B0" w:rsidR="006A517A" w:rsidRPr="0048713E" w:rsidRDefault="004A0696" w:rsidP="006A517A">
            <w:pPr>
              <w:rPr>
                <w:rFonts w:cs="Arial"/>
                <w:color w:val="000000"/>
                <w:sz w:val="17"/>
                <w:szCs w:val="17"/>
              </w:rPr>
            </w:pPr>
            <w:r w:rsidRPr="0048713E">
              <w:rPr>
                <w:sz w:val="17"/>
                <w:szCs w:val="17"/>
              </w:rPr>
              <w:t xml:space="preserve">Implementer invoices were used to obtain the ComEd allocated costs of joint measures, which were then applied </w:t>
            </w:r>
            <w:r>
              <w:rPr>
                <w:sz w:val="17"/>
                <w:szCs w:val="17"/>
              </w:rPr>
              <w:t>to the incremental costs for each measure within the kits.</w:t>
            </w:r>
          </w:p>
        </w:tc>
      </w:tr>
      <w:tr w:rsidR="006A517A" w:rsidRPr="00F316BD" w14:paraId="0A0E32FB"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075C1850" w14:textId="398E1E9B" w:rsidR="006A517A" w:rsidRPr="0048713E" w:rsidRDefault="006A517A" w:rsidP="006A517A">
            <w:pPr>
              <w:rPr>
                <w:rFonts w:cs="Arial"/>
                <w:color w:val="000000"/>
                <w:sz w:val="17"/>
                <w:szCs w:val="17"/>
              </w:rPr>
            </w:pPr>
            <w:r w:rsidRPr="0048713E">
              <w:rPr>
                <w:sz w:val="17"/>
                <w:szCs w:val="17"/>
              </w:rPr>
              <w:t>Retail/Online</w:t>
            </w:r>
          </w:p>
        </w:tc>
        <w:tc>
          <w:tcPr>
            <w:tcW w:w="1632" w:type="dxa"/>
            <w:tcBorders>
              <w:top w:val="single" w:sz="4" w:space="0" w:color="60B8CC" w:themeColor="accent4"/>
              <w:left w:val="nil"/>
              <w:bottom w:val="single" w:sz="4" w:space="0" w:color="60B8CC" w:themeColor="accent4"/>
              <w:right w:val="nil"/>
            </w:tcBorders>
            <w:shd w:val="clear" w:color="auto" w:fill="auto"/>
          </w:tcPr>
          <w:p w14:paraId="731D7918" w14:textId="1C38EBB0" w:rsidR="006A517A" w:rsidRPr="0048713E" w:rsidRDefault="006A517A" w:rsidP="006A517A">
            <w:pPr>
              <w:rPr>
                <w:rFonts w:cs="Arial"/>
                <w:color w:val="000000"/>
                <w:sz w:val="17"/>
                <w:szCs w:val="17"/>
              </w:rPr>
            </w:pPr>
            <w:r w:rsidRPr="0048713E">
              <w:rPr>
                <w:sz w:val="17"/>
                <w:szCs w:val="17"/>
              </w:rPr>
              <w:t>Appliance Rebates</w:t>
            </w:r>
          </w:p>
        </w:tc>
        <w:tc>
          <w:tcPr>
            <w:tcW w:w="1782" w:type="dxa"/>
            <w:tcBorders>
              <w:top w:val="single" w:sz="4" w:space="0" w:color="60B8CC" w:themeColor="accent4"/>
              <w:left w:val="nil"/>
              <w:bottom w:val="single" w:sz="4" w:space="0" w:color="60B8CC" w:themeColor="accent4"/>
              <w:right w:val="nil"/>
            </w:tcBorders>
            <w:shd w:val="clear" w:color="auto" w:fill="auto"/>
          </w:tcPr>
          <w:p w14:paraId="4CBB8B39" w14:textId="4EB68E70" w:rsidR="006A517A" w:rsidRPr="0048713E" w:rsidRDefault="006A517A" w:rsidP="006A517A">
            <w:pPr>
              <w:rPr>
                <w:rFonts w:cs="Arial"/>
                <w:color w:val="000000"/>
                <w:sz w:val="17"/>
                <w:szCs w:val="17"/>
              </w:rPr>
            </w:pPr>
            <w:r w:rsidRPr="0048713E">
              <w:rPr>
                <w:sz w:val="17"/>
                <w:szCs w:val="17"/>
              </w:rPr>
              <w:t>IL TRM v12.0</w:t>
            </w:r>
          </w:p>
        </w:tc>
        <w:tc>
          <w:tcPr>
            <w:tcW w:w="4100" w:type="dxa"/>
            <w:tcBorders>
              <w:top w:val="single" w:sz="4" w:space="0" w:color="60B8CC" w:themeColor="accent4"/>
              <w:left w:val="nil"/>
              <w:bottom w:val="single" w:sz="4" w:space="0" w:color="60B8CC" w:themeColor="accent4"/>
              <w:right w:val="nil"/>
            </w:tcBorders>
            <w:shd w:val="clear" w:color="auto" w:fill="auto"/>
          </w:tcPr>
          <w:p w14:paraId="51D8ED23" w14:textId="4C832DD0" w:rsidR="006A517A" w:rsidRPr="0048713E" w:rsidRDefault="006A517A" w:rsidP="006A517A">
            <w:pPr>
              <w:rPr>
                <w:rFonts w:cs="Arial"/>
                <w:color w:val="000000"/>
                <w:sz w:val="17"/>
                <w:szCs w:val="17"/>
              </w:rPr>
            </w:pPr>
            <w:r w:rsidRPr="0048713E">
              <w:rPr>
                <w:sz w:val="17"/>
                <w:szCs w:val="17"/>
              </w:rPr>
              <w:t>IL TRM v12.0 deemed values were used for the analysis.</w:t>
            </w:r>
          </w:p>
        </w:tc>
      </w:tr>
      <w:tr w:rsidR="006A517A" w:rsidRPr="005E752D" w14:paraId="34FF14B0"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5DC683CD" w14:textId="5F815735" w:rsidR="006A517A" w:rsidRPr="0048713E" w:rsidRDefault="006A517A" w:rsidP="006A517A">
            <w:pPr>
              <w:rPr>
                <w:rFonts w:cs="Arial"/>
                <w:color w:val="000000"/>
                <w:sz w:val="17"/>
                <w:szCs w:val="17"/>
              </w:rPr>
            </w:pPr>
            <w:r w:rsidRPr="0048713E">
              <w:rPr>
                <w:sz w:val="17"/>
                <w:szCs w:val="17"/>
              </w:rPr>
              <w:t>Retail/Online</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23BB274A" w14:textId="7FFB7380" w:rsidR="006A517A" w:rsidRPr="0048713E" w:rsidRDefault="006A517A" w:rsidP="006A517A">
            <w:pPr>
              <w:rPr>
                <w:rFonts w:cs="Arial"/>
                <w:color w:val="000000"/>
                <w:sz w:val="17"/>
                <w:szCs w:val="17"/>
              </w:rPr>
            </w:pPr>
            <w:r w:rsidRPr="0048713E">
              <w:rPr>
                <w:sz w:val="17"/>
                <w:szCs w:val="17"/>
              </w:rPr>
              <w:t>ComEd Marketplace</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5DDF173A" w14:textId="6C8B013D" w:rsidR="006A517A" w:rsidRPr="0048713E" w:rsidRDefault="006A517A" w:rsidP="006A517A">
            <w:pPr>
              <w:rPr>
                <w:rFonts w:cs="Arial"/>
                <w:color w:val="000000"/>
                <w:sz w:val="17"/>
                <w:szCs w:val="17"/>
              </w:rPr>
            </w:pPr>
            <w:r w:rsidRPr="0048713E">
              <w:rPr>
                <w:sz w:val="17"/>
                <w:szCs w:val="17"/>
              </w:rPr>
              <w:t>IL TRM v12.0</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528AE1A3" w14:textId="2BBB7839" w:rsidR="006A517A" w:rsidRPr="0048713E" w:rsidRDefault="006A517A" w:rsidP="006A517A">
            <w:pPr>
              <w:rPr>
                <w:rFonts w:cs="Arial"/>
                <w:color w:val="000000"/>
                <w:sz w:val="17"/>
                <w:szCs w:val="17"/>
              </w:rPr>
            </w:pPr>
            <w:r w:rsidRPr="0048713E">
              <w:rPr>
                <w:sz w:val="17"/>
                <w:szCs w:val="17"/>
              </w:rPr>
              <w:t>IL TRM v12.0 deemed values were used for the analysis.</w:t>
            </w:r>
          </w:p>
        </w:tc>
      </w:tr>
      <w:tr w:rsidR="006A517A" w:rsidRPr="00F316BD" w14:paraId="4C9F0345"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38C9820C" w14:textId="51FFEE4F" w:rsidR="006A517A" w:rsidRPr="0048713E" w:rsidRDefault="006A517A" w:rsidP="006A517A">
            <w:pPr>
              <w:rPr>
                <w:rFonts w:cs="Arial"/>
                <w:color w:val="000000"/>
                <w:sz w:val="17"/>
                <w:szCs w:val="17"/>
              </w:rPr>
            </w:pPr>
            <w:r w:rsidRPr="0048713E">
              <w:rPr>
                <w:sz w:val="17"/>
                <w:szCs w:val="17"/>
              </w:rPr>
              <w:t>Retail/Online</w:t>
            </w:r>
          </w:p>
        </w:tc>
        <w:tc>
          <w:tcPr>
            <w:tcW w:w="1632" w:type="dxa"/>
            <w:tcBorders>
              <w:top w:val="single" w:sz="4" w:space="0" w:color="60B8CC" w:themeColor="accent4"/>
              <w:left w:val="nil"/>
              <w:bottom w:val="single" w:sz="4" w:space="0" w:color="60B8CC" w:themeColor="accent4"/>
              <w:right w:val="nil"/>
            </w:tcBorders>
            <w:shd w:val="clear" w:color="auto" w:fill="auto"/>
          </w:tcPr>
          <w:p w14:paraId="258EE598" w14:textId="6266311A" w:rsidR="006A517A" w:rsidRPr="0048713E" w:rsidRDefault="006A517A" w:rsidP="006A517A">
            <w:pPr>
              <w:rPr>
                <w:rFonts w:cs="Arial"/>
                <w:color w:val="000000"/>
                <w:sz w:val="17"/>
                <w:szCs w:val="17"/>
              </w:rPr>
            </w:pPr>
            <w:r w:rsidRPr="0048713E">
              <w:rPr>
                <w:sz w:val="17"/>
                <w:szCs w:val="17"/>
              </w:rPr>
              <w:t>ESRPP</w:t>
            </w:r>
          </w:p>
        </w:tc>
        <w:tc>
          <w:tcPr>
            <w:tcW w:w="1782" w:type="dxa"/>
            <w:tcBorders>
              <w:top w:val="single" w:sz="4" w:space="0" w:color="60B8CC" w:themeColor="accent4"/>
              <w:left w:val="nil"/>
              <w:bottom w:val="single" w:sz="4" w:space="0" w:color="60B8CC" w:themeColor="accent4"/>
              <w:right w:val="nil"/>
            </w:tcBorders>
            <w:shd w:val="clear" w:color="auto" w:fill="auto"/>
          </w:tcPr>
          <w:p w14:paraId="760ACCE2" w14:textId="05769B93" w:rsidR="006A517A" w:rsidRPr="0048713E" w:rsidRDefault="006A517A" w:rsidP="006A517A">
            <w:pPr>
              <w:rPr>
                <w:rFonts w:cs="Arial"/>
                <w:color w:val="000000"/>
                <w:sz w:val="17"/>
                <w:szCs w:val="17"/>
              </w:rPr>
            </w:pPr>
            <w:r w:rsidRPr="0048713E">
              <w:rPr>
                <w:sz w:val="17"/>
                <w:szCs w:val="17"/>
              </w:rPr>
              <w:t>IL TRM v12.0</w:t>
            </w:r>
          </w:p>
        </w:tc>
        <w:tc>
          <w:tcPr>
            <w:tcW w:w="4100" w:type="dxa"/>
            <w:tcBorders>
              <w:top w:val="single" w:sz="4" w:space="0" w:color="60B8CC" w:themeColor="accent4"/>
              <w:left w:val="nil"/>
              <w:bottom w:val="single" w:sz="4" w:space="0" w:color="60B8CC" w:themeColor="accent4"/>
              <w:right w:val="nil"/>
            </w:tcBorders>
            <w:shd w:val="clear" w:color="auto" w:fill="auto"/>
          </w:tcPr>
          <w:p w14:paraId="1763040C" w14:textId="323B03CF" w:rsidR="006A517A" w:rsidRPr="0048713E" w:rsidRDefault="006A517A" w:rsidP="006A517A">
            <w:pPr>
              <w:rPr>
                <w:rFonts w:cs="Arial"/>
                <w:color w:val="000000"/>
                <w:sz w:val="17"/>
                <w:szCs w:val="17"/>
              </w:rPr>
            </w:pPr>
            <w:r w:rsidRPr="0048713E">
              <w:rPr>
                <w:sz w:val="17"/>
                <w:szCs w:val="17"/>
              </w:rPr>
              <w:t>IL TRM v12.0 deemed values were used for the analysis.</w:t>
            </w:r>
          </w:p>
        </w:tc>
      </w:tr>
      <w:tr w:rsidR="006A517A" w:rsidRPr="00F316BD" w14:paraId="5B52B0D9"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0B4D4FC7" w14:textId="1D0DF8E3" w:rsidR="006A517A" w:rsidRPr="0048713E" w:rsidRDefault="006A517A" w:rsidP="006A517A">
            <w:pPr>
              <w:rPr>
                <w:rFonts w:cs="Arial"/>
                <w:color w:val="000000"/>
                <w:sz w:val="17"/>
                <w:szCs w:val="17"/>
              </w:rPr>
            </w:pPr>
            <w:r w:rsidRPr="0048713E">
              <w:rPr>
                <w:sz w:val="17"/>
                <w:szCs w:val="17"/>
              </w:rPr>
              <w:t>Retail/Online</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2FFA3360" w14:textId="3C11EA64" w:rsidR="006A517A" w:rsidRPr="0048713E" w:rsidRDefault="006A517A" w:rsidP="006A517A">
            <w:pPr>
              <w:rPr>
                <w:rFonts w:cs="Arial"/>
                <w:color w:val="000000"/>
                <w:sz w:val="17"/>
                <w:szCs w:val="17"/>
              </w:rPr>
            </w:pPr>
            <w:r w:rsidRPr="0048713E">
              <w:rPr>
                <w:sz w:val="17"/>
                <w:szCs w:val="17"/>
              </w:rPr>
              <w:t>Income Eligible Retail</w:t>
            </w:r>
          </w:p>
        </w:tc>
        <w:tc>
          <w:tcPr>
            <w:tcW w:w="1782" w:type="dxa"/>
            <w:tcBorders>
              <w:top w:val="single" w:sz="4" w:space="0" w:color="60B8CC" w:themeColor="accent4"/>
              <w:left w:val="nil"/>
              <w:bottom w:val="single" w:sz="4" w:space="0" w:color="60B8CC" w:themeColor="accent4"/>
              <w:right w:val="nil"/>
            </w:tcBorders>
            <w:shd w:val="clear" w:color="auto" w:fill="auto"/>
          </w:tcPr>
          <w:p w14:paraId="2C91B88D" w14:textId="1659D493" w:rsidR="006A517A" w:rsidRPr="0048713E" w:rsidRDefault="006A517A" w:rsidP="006A517A">
            <w:pPr>
              <w:rPr>
                <w:rFonts w:cs="Arial"/>
                <w:color w:val="000000"/>
                <w:sz w:val="17"/>
                <w:szCs w:val="17"/>
              </w:rPr>
            </w:pPr>
            <w:r w:rsidRPr="0048713E">
              <w:rPr>
                <w:sz w:val="17"/>
                <w:szCs w:val="17"/>
              </w:rPr>
              <w:t>IL TRM v12.0</w:t>
            </w:r>
          </w:p>
        </w:tc>
        <w:tc>
          <w:tcPr>
            <w:tcW w:w="4100" w:type="dxa"/>
            <w:tcBorders>
              <w:top w:val="single" w:sz="4" w:space="0" w:color="60B8CC" w:themeColor="accent4"/>
              <w:left w:val="nil"/>
              <w:bottom w:val="single" w:sz="4" w:space="0" w:color="60B8CC" w:themeColor="accent4"/>
              <w:right w:val="nil"/>
            </w:tcBorders>
            <w:shd w:val="clear" w:color="auto" w:fill="auto"/>
          </w:tcPr>
          <w:p w14:paraId="6D61C86B" w14:textId="0F3CC181" w:rsidR="006A517A" w:rsidRPr="0048713E" w:rsidRDefault="006A517A" w:rsidP="006A517A">
            <w:pPr>
              <w:rPr>
                <w:rFonts w:cs="Arial"/>
                <w:color w:val="000000"/>
                <w:sz w:val="17"/>
                <w:szCs w:val="17"/>
              </w:rPr>
            </w:pPr>
            <w:r w:rsidRPr="0048713E">
              <w:rPr>
                <w:sz w:val="17"/>
                <w:szCs w:val="17"/>
              </w:rPr>
              <w:t>IL TRM v12.0 deemed values were used for the analysis.</w:t>
            </w:r>
          </w:p>
        </w:tc>
      </w:tr>
      <w:tr w:rsidR="006A517A" w:rsidRPr="00F316BD" w14:paraId="77AB0EDF"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0E5757F7" w14:textId="28D82AE3" w:rsidR="006A517A" w:rsidRPr="0048713E" w:rsidRDefault="006A517A" w:rsidP="006A517A">
            <w:pPr>
              <w:rPr>
                <w:rFonts w:cs="Arial"/>
                <w:color w:val="000000"/>
                <w:sz w:val="17"/>
                <w:szCs w:val="17"/>
              </w:rPr>
            </w:pPr>
            <w:r w:rsidRPr="0048713E">
              <w:rPr>
                <w:sz w:val="17"/>
                <w:szCs w:val="17"/>
              </w:rPr>
              <w:t>Retail/Online</w:t>
            </w:r>
          </w:p>
        </w:tc>
        <w:tc>
          <w:tcPr>
            <w:tcW w:w="1632" w:type="dxa"/>
            <w:tcBorders>
              <w:top w:val="single" w:sz="4" w:space="0" w:color="60B8CC" w:themeColor="accent4"/>
              <w:left w:val="nil"/>
              <w:bottom w:val="single" w:sz="4" w:space="0" w:color="60B8CC" w:themeColor="accent4"/>
              <w:right w:val="nil"/>
            </w:tcBorders>
            <w:shd w:val="clear" w:color="auto" w:fill="auto"/>
          </w:tcPr>
          <w:p w14:paraId="47D65E1F" w14:textId="07F202B6" w:rsidR="006A517A" w:rsidRPr="0048713E" w:rsidRDefault="006A517A" w:rsidP="006A517A">
            <w:pPr>
              <w:rPr>
                <w:rFonts w:cs="Arial"/>
                <w:color w:val="000000"/>
                <w:sz w:val="17"/>
                <w:szCs w:val="17"/>
              </w:rPr>
            </w:pPr>
            <w:r w:rsidRPr="0048713E">
              <w:rPr>
                <w:sz w:val="17"/>
                <w:szCs w:val="17"/>
              </w:rPr>
              <w:t>Lighting</w:t>
            </w:r>
          </w:p>
        </w:tc>
        <w:tc>
          <w:tcPr>
            <w:tcW w:w="1782" w:type="dxa"/>
            <w:tcBorders>
              <w:top w:val="single" w:sz="4" w:space="0" w:color="60B8CC" w:themeColor="accent4"/>
              <w:left w:val="nil"/>
              <w:bottom w:val="single" w:sz="4" w:space="0" w:color="60B8CC" w:themeColor="accent4"/>
              <w:right w:val="nil"/>
            </w:tcBorders>
            <w:shd w:val="clear" w:color="auto" w:fill="auto"/>
          </w:tcPr>
          <w:p w14:paraId="05E5985E" w14:textId="6A5EB517" w:rsidR="006A517A" w:rsidRPr="0048713E" w:rsidRDefault="006A517A" w:rsidP="006A517A">
            <w:pPr>
              <w:rPr>
                <w:rFonts w:cs="Arial"/>
                <w:color w:val="000000"/>
                <w:sz w:val="17"/>
                <w:szCs w:val="17"/>
              </w:rPr>
            </w:pPr>
            <w:r w:rsidRPr="0048713E">
              <w:rPr>
                <w:sz w:val="17"/>
                <w:szCs w:val="17"/>
              </w:rPr>
              <w:t>IL TRM v12.0</w:t>
            </w:r>
          </w:p>
        </w:tc>
        <w:tc>
          <w:tcPr>
            <w:tcW w:w="4100" w:type="dxa"/>
            <w:tcBorders>
              <w:top w:val="single" w:sz="4" w:space="0" w:color="60B8CC" w:themeColor="accent4"/>
              <w:left w:val="nil"/>
              <w:bottom w:val="single" w:sz="4" w:space="0" w:color="60B8CC" w:themeColor="accent4"/>
              <w:right w:val="nil"/>
            </w:tcBorders>
            <w:shd w:val="clear" w:color="auto" w:fill="auto"/>
          </w:tcPr>
          <w:p w14:paraId="5412FE1A" w14:textId="4E561D4E" w:rsidR="006A517A" w:rsidRPr="0048713E" w:rsidRDefault="006A517A" w:rsidP="006A517A">
            <w:pPr>
              <w:rPr>
                <w:rFonts w:cs="Arial"/>
                <w:color w:val="000000"/>
                <w:sz w:val="17"/>
                <w:szCs w:val="17"/>
              </w:rPr>
            </w:pPr>
            <w:r w:rsidRPr="0048713E">
              <w:rPr>
                <w:sz w:val="17"/>
                <w:szCs w:val="17"/>
              </w:rPr>
              <w:t>IL TRM v12.0 deemed values were used for the analysis.</w:t>
            </w:r>
          </w:p>
        </w:tc>
      </w:tr>
      <w:tr w:rsidR="006A517A" w:rsidRPr="005E752D" w14:paraId="072FF3E9"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786682A2" w14:textId="58AF0D08" w:rsidR="006A517A" w:rsidRPr="0048713E" w:rsidRDefault="006A517A" w:rsidP="006A517A">
            <w:pPr>
              <w:rPr>
                <w:rFonts w:cs="Arial"/>
                <w:color w:val="000000"/>
                <w:sz w:val="17"/>
                <w:szCs w:val="17"/>
              </w:rPr>
            </w:pPr>
            <w:r w:rsidRPr="0048713E">
              <w:rPr>
                <w:sz w:val="17"/>
                <w:szCs w:val="17"/>
              </w:rPr>
              <w:t>Retail/Online</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0FAE8A59" w14:textId="4E93C1A0" w:rsidR="006A517A" w:rsidRPr="0048713E" w:rsidRDefault="006A517A" w:rsidP="006A517A">
            <w:pPr>
              <w:rPr>
                <w:rFonts w:cs="Arial"/>
                <w:color w:val="000000"/>
                <w:sz w:val="17"/>
                <w:szCs w:val="17"/>
              </w:rPr>
            </w:pPr>
            <w:r w:rsidRPr="0048713E">
              <w:rPr>
                <w:sz w:val="17"/>
                <w:szCs w:val="17"/>
              </w:rPr>
              <w:t>MR Lighting</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35FE37CC" w14:textId="1577E92D" w:rsidR="006A517A" w:rsidRPr="0048713E" w:rsidRDefault="006A517A" w:rsidP="006A517A">
            <w:pPr>
              <w:rPr>
                <w:rFonts w:cs="Arial"/>
                <w:color w:val="000000"/>
                <w:sz w:val="17"/>
                <w:szCs w:val="17"/>
              </w:rPr>
            </w:pPr>
            <w:r w:rsidRPr="0048713E">
              <w:rPr>
                <w:sz w:val="17"/>
                <w:szCs w:val="17"/>
              </w:rPr>
              <w:t>IL TRM v12.0</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74AF612D" w14:textId="343912DA" w:rsidR="006A517A" w:rsidRPr="0048713E" w:rsidRDefault="006A517A" w:rsidP="006A517A">
            <w:pPr>
              <w:rPr>
                <w:rFonts w:cs="Arial"/>
                <w:color w:val="000000"/>
                <w:sz w:val="17"/>
                <w:szCs w:val="17"/>
              </w:rPr>
            </w:pPr>
            <w:r w:rsidRPr="0048713E">
              <w:rPr>
                <w:sz w:val="17"/>
                <w:szCs w:val="17"/>
              </w:rPr>
              <w:t>IL TRM v12.0 deemed values were used for the analysis.</w:t>
            </w:r>
          </w:p>
        </w:tc>
      </w:tr>
      <w:tr w:rsidR="006A517A" w:rsidRPr="00F316BD" w14:paraId="363B9174"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55ACEF29" w14:textId="0C95152F" w:rsidR="006A517A" w:rsidRPr="0048713E" w:rsidRDefault="006A517A" w:rsidP="006A517A">
            <w:pPr>
              <w:rPr>
                <w:rFonts w:cs="Arial"/>
                <w:color w:val="000000"/>
                <w:sz w:val="17"/>
                <w:szCs w:val="17"/>
              </w:rPr>
            </w:pPr>
            <w:r w:rsidRPr="0048713E">
              <w:rPr>
                <w:sz w:val="17"/>
                <w:szCs w:val="17"/>
              </w:rPr>
              <w:t>Single-Family Upgrades</w:t>
            </w:r>
          </w:p>
        </w:tc>
        <w:tc>
          <w:tcPr>
            <w:tcW w:w="1632" w:type="dxa"/>
            <w:tcBorders>
              <w:top w:val="single" w:sz="4" w:space="0" w:color="60B8CC" w:themeColor="accent4"/>
              <w:left w:val="nil"/>
              <w:bottom w:val="single" w:sz="4" w:space="0" w:color="60B8CC" w:themeColor="accent4"/>
              <w:right w:val="nil"/>
            </w:tcBorders>
            <w:shd w:val="clear" w:color="auto" w:fill="auto"/>
          </w:tcPr>
          <w:p w14:paraId="665FD69A" w14:textId="4E5A5356" w:rsidR="006A517A" w:rsidRPr="0048713E" w:rsidRDefault="006A517A" w:rsidP="006A517A">
            <w:pPr>
              <w:rPr>
                <w:rFonts w:cs="Arial"/>
                <w:color w:val="000000"/>
                <w:sz w:val="17"/>
                <w:szCs w:val="17"/>
              </w:rPr>
            </w:pPr>
            <w:r w:rsidRPr="0048713E">
              <w:rPr>
                <w:sz w:val="17"/>
                <w:szCs w:val="17"/>
              </w:rPr>
              <w:t>HEA</w:t>
            </w:r>
          </w:p>
        </w:tc>
        <w:tc>
          <w:tcPr>
            <w:tcW w:w="1782" w:type="dxa"/>
            <w:tcBorders>
              <w:top w:val="single" w:sz="4" w:space="0" w:color="60B8CC" w:themeColor="accent4"/>
              <w:left w:val="nil"/>
              <w:bottom w:val="single" w:sz="4" w:space="0" w:color="60B8CC" w:themeColor="accent4"/>
              <w:right w:val="nil"/>
            </w:tcBorders>
            <w:shd w:val="clear" w:color="auto" w:fill="auto"/>
          </w:tcPr>
          <w:p w14:paraId="05B8C291" w14:textId="7A3BEAF9"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auto"/>
          </w:tcPr>
          <w:p w14:paraId="1C0CE861" w14:textId="67B23F67" w:rsidR="006A517A" w:rsidRPr="0048713E" w:rsidRDefault="006A517A" w:rsidP="006A517A">
            <w:pPr>
              <w:rPr>
                <w:rFonts w:cs="Arial"/>
                <w:color w:val="000000"/>
                <w:sz w:val="17"/>
                <w:szCs w:val="17"/>
              </w:rPr>
            </w:pPr>
            <w:r w:rsidRPr="0048713E">
              <w:rPr>
                <w:sz w:val="17"/>
                <w:szCs w:val="17"/>
              </w:rPr>
              <w:t xml:space="preserve">Guidehouse assumed the program tracking data incentive amounts should equal measure costs. </w:t>
            </w:r>
            <w:proofErr w:type="gramStart"/>
            <w:r w:rsidRPr="0048713E">
              <w:rPr>
                <w:sz w:val="17"/>
                <w:szCs w:val="17"/>
              </w:rPr>
              <w:t>Guidehouse</w:t>
            </w:r>
            <w:proofErr w:type="gramEnd"/>
            <w:r w:rsidRPr="0048713E">
              <w:rPr>
                <w:sz w:val="17"/>
                <w:szCs w:val="17"/>
              </w:rPr>
              <w:t xml:space="preserve"> found these incentive amounts accounted for the ComEd allocated costs of joint measures. </w:t>
            </w:r>
          </w:p>
        </w:tc>
      </w:tr>
      <w:tr w:rsidR="006A517A" w:rsidRPr="005E752D" w14:paraId="0736A485"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2647DC2B" w14:textId="3C373074" w:rsidR="006A517A" w:rsidRPr="0048713E" w:rsidRDefault="006A517A" w:rsidP="006A517A">
            <w:pPr>
              <w:rPr>
                <w:rFonts w:cs="Arial"/>
                <w:color w:val="000000"/>
                <w:sz w:val="17"/>
                <w:szCs w:val="17"/>
              </w:rPr>
            </w:pPr>
            <w:r w:rsidRPr="0048713E">
              <w:rPr>
                <w:sz w:val="17"/>
                <w:szCs w:val="17"/>
              </w:rPr>
              <w:t>Single-Family Upgrades</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2DD62CF9" w14:textId="2C4AAA68" w:rsidR="006A517A" w:rsidRPr="0048713E" w:rsidRDefault="006A517A" w:rsidP="006A517A">
            <w:pPr>
              <w:rPr>
                <w:rFonts w:cs="Arial"/>
                <w:color w:val="000000"/>
                <w:sz w:val="17"/>
                <w:szCs w:val="17"/>
              </w:rPr>
            </w:pPr>
            <w:r w:rsidRPr="0048713E">
              <w:rPr>
                <w:sz w:val="17"/>
                <w:szCs w:val="17"/>
              </w:rPr>
              <w:t>IE</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0C880DA6" w14:textId="47783092"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5A804DD4" w14:textId="68EC343E" w:rsidR="006A517A" w:rsidRPr="0048713E" w:rsidRDefault="006A517A" w:rsidP="006A517A">
            <w:pPr>
              <w:rPr>
                <w:rFonts w:cs="Arial"/>
                <w:color w:val="000000"/>
                <w:sz w:val="17"/>
                <w:szCs w:val="17"/>
              </w:rPr>
            </w:pPr>
            <w:r w:rsidRPr="0048713E">
              <w:rPr>
                <w:sz w:val="17"/>
                <w:szCs w:val="17"/>
              </w:rPr>
              <w:t xml:space="preserve">Guidehouse assumed the program tracking data incentive amounts should equal measure costs. </w:t>
            </w:r>
            <w:proofErr w:type="gramStart"/>
            <w:r w:rsidRPr="0048713E">
              <w:rPr>
                <w:sz w:val="17"/>
                <w:szCs w:val="17"/>
              </w:rPr>
              <w:t>Guidehouse</w:t>
            </w:r>
            <w:proofErr w:type="gramEnd"/>
            <w:r w:rsidRPr="0048713E">
              <w:rPr>
                <w:sz w:val="17"/>
                <w:szCs w:val="17"/>
              </w:rPr>
              <w:t xml:space="preserve"> found these incentive amounts accounted for the ComEd allocated costs of joint measures. </w:t>
            </w:r>
          </w:p>
        </w:tc>
      </w:tr>
      <w:tr w:rsidR="006A517A" w:rsidRPr="00F316BD" w14:paraId="3FC789F1"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56524860" w14:textId="489D1B3F" w:rsidR="006A517A" w:rsidRPr="0048713E" w:rsidRDefault="006A517A" w:rsidP="006A517A">
            <w:pPr>
              <w:rPr>
                <w:rFonts w:cs="Arial"/>
                <w:color w:val="000000"/>
                <w:sz w:val="17"/>
                <w:szCs w:val="17"/>
              </w:rPr>
            </w:pPr>
            <w:r w:rsidRPr="0048713E">
              <w:rPr>
                <w:sz w:val="17"/>
                <w:szCs w:val="17"/>
              </w:rPr>
              <w:t>Single-Family Upgrades</w:t>
            </w:r>
          </w:p>
        </w:tc>
        <w:tc>
          <w:tcPr>
            <w:tcW w:w="1632" w:type="dxa"/>
            <w:tcBorders>
              <w:top w:val="single" w:sz="4" w:space="0" w:color="60B8CC" w:themeColor="accent4"/>
              <w:left w:val="nil"/>
              <w:bottom w:val="single" w:sz="4" w:space="0" w:color="60B8CC" w:themeColor="accent4"/>
              <w:right w:val="nil"/>
            </w:tcBorders>
            <w:shd w:val="clear" w:color="auto" w:fill="auto"/>
          </w:tcPr>
          <w:p w14:paraId="2DAF5E59" w14:textId="4E2B08DE" w:rsidR="006A517A" w:rsidRPr="0048713E" w:rsidRDefault="006A517A" w:rsidP="006A517A">
            <w:pPr>
              <w:rPr>
                <w:rFonts w:cs="Arial"/>
                <w:color w:val="000000"/>
                <w:sz w:val="17"/>
                <w:szCs w:val="17"/>
              </w:rPr>
            </w:pPr>
            <w:r w:rsidRPr="0048713E">
              <w:rPr>
                <w:sz w:val="17"/>
                <w:szCs w:val="17"/>
              </w:rPr>
              <w:t>IHWAP</w:t>
            </w:r>
          </w:p>
        </w:tc>
        <w:tc>
          <w:tcPr>
            <w:tcW w:w="1782" w:type="dxa"/>
            <w:tcBorders>
              <w:top w:val="single" w:sz="4" w:space="0" w:color="60B8CC" w:themeColor="accent4"/>
              <w:left w:val="nil"/>
              <w:bottom w:val="single" w:sz="4" w:space="0" w:color="60B8CC" w:themeColor="accent4"/>
              <w:right w:val="nil"/>
            </w:tcBorders>
            <w:shd w:val="clear" w:color="auto" w:fill="auto"/>
          </w:tcPr>
          <w:p w14:paraId="3BC33D25" w14:textId="64000357"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auto"/>
          </w:tcPr>
          <w:p w14:paraId="4C0D92DA" w14:textId="6F8D0083" w:rsidR="006A517A" w:rsidRPr="0048713E" w:rsidRDefault="006A517A" w:rsidP="006A517A">
            <w:pPr>
              <w:rPr>
                <w:rFonts w:cs="Arial"/>
                <w:color w:val="000000"/>
                <w:sz w:val="17"/>
                <w:szCs w:val="17"/>
              </w:rPr>
            </w:pPr>
            <w:r w:rsidRPr="0048713E">
              <w:rPr>
                <w:sz w:val="17"/>
                <w:szCs w:val="17"/>
              </w:rPr>
              <w:t xml:space="preserve">Guidehouse assumed the program tracking data incentive amounts should equal measure costs. </w:t>
            </w:r>
            <w:proofErr w:type="gramStart"/>
            <w:r w:rsidRPr="0048713E">
              <w:rPr>
                <w:sz w:val="17"/>
                <w:szCs w:val="17"/>
              </w:rPr>
              <w:t>Guidehouse</w:t>
            </w:r>
            <w:proofErr w:type="gramEnd"/>
            <w:r w:rsidRPr="0048713E">
              <w:rPr>
                <w:sz w:val="17"/>
                <w:szCs w:val="17"/>
              </w:rPr>
              <w:t xml:space="preserve"> found these incentive amounts accounted for the ComEd allocated costs of joint measures. </w:t>
            </w:r>
          </w:p>
        </w:tc>
      </w:tr>
      <w:tr w:rsidR="006A517A" w:rsidRPr="005E752D" w14:paraId="3C1A36C6"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6503A6BC" w14:textId="0F598E9D" w:rsidR="006A517A" w:rsidRPr="0048713E" w:rsidRDefault="006A517A" w:rsidP="006A517A">
            <w:pPr>
              <w:rPr>
                <w:rFonts w:cs="Arial"/>
                <w:color w:val="000000"/>
                <w:sz w:val="17"/>
                <w:szCs w:val="17"/>
              </w:rPr>
            </w:pPr>
            <w:r w:rsidRPr="0048713E">
              <w:rPr>
                <w:sz w:val="17"/>
                <w:szCs w:val="17"/>
              </w:rPr>
              <w:t>Single-Family Upgrades</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58205F60" w14:textId="79C0DB99" w:rsidR="006A517A" w:rsidRPr="0048713E" w:rsidRDefault="006A517A" w:rsidP="006A517A">
            <w:pPr>
              <w:rPr>
                <w:rFonts w:cs="Arial"/>
                <w:color w:val="000000"/>
                <w:sz w:val="17"/>
                <w:szCs w:val="17"/>
              </w:rPr>
            </w:pPr>
            <w:r w:rsidRPr="0048713E">
              <w:rPr>
                <w:sz w:val="17"/>
                <w:szCs w:val="17"/>
              </w:rPr>
              <w:t>MR</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6CF7C0FC" w14:textId="76B5701E"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77B37EF3" w14:textId="299B32B3" w:rsidR="006A517A" w:rsidRPr="0048713E" w:rsidRDefault="006A517A" w:rsidP="006A517A">
            <w:pPr>
              <w:rPr>
                <w:rFonts w:cs="Arial"/>
                <w:color w:val="000000"/>
                <w:sz w:val="17"/>
                <w:szCs w:val="17"/>
              </w:rPr>
            </w:pPr>
            <w:r w:rsidRPr="0048713E">
              <w:rPr>
                <w:sz w:val="17"/>
                <w:szCs w:val="17"/>
              </w:rPr>
              <w:t xml:space="preserve">Guidehouse assumed the program tracking data incentive amounts should equal measure costs. </w:t>
            </w:r>
            <w:proofErr w:type="gramStart"/>
            <w:r w:rsidRPr="0048713E">
              <w:rPr>
                <w:sz w:val="17"/>
                <w:szCs w:val="17"/>
              </w:rPr>
              <w:t>Guidehouse</w:t>
            </w:r>
            <w:proofErr w:type="gramEnd"/>
            <w:r w:rsidRPr="0048713E">
              <w:rPr>
                <w:sz w:val="17"/>
                <w:szCs w:val="17"/>
              </w:rPr>
              <w:t xml:space="preserve"> found these incentive amounts accounted for the ComEd allocated costs of joint measures. </w:t>
            </w:r>
          </w:p>
        </w:tc>
      </w:tr>
      <w:tr w:rsidR="006A517A" w:rsidRPr="00F316BD" w14:paraId="33FDF663"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54B42591" w14:textId="41F4C3FC" w:rsidR="006A517A" w:rsidRPr="0048713E" w:rsidRDefault="006A517A" w:rsidP="006A517A">
            <w:pPr>
              <w:rPr>
                <w:rFonts w:cs="Arial"/>
                <w:color w:val="000000"/>
                <w:sz w:val="17"/>
                <w:szCs w:val="17"/>
              </w:rPr>
            </w:pPr>
            <w:r w:rsidRPr="0048713E">
              <w:rPr>
                <w:sz w:val="17"/>
                <w:szCs w:val="17"/>
              </w:rPr>
              <w:t>Single-Family Upgrades</w:t>
            </w:r>
          </w:p>
        </w:tc>
        <w:tc>
          <w:tcPr>
            <w:tcW w:w="1632" w:type="dxa"/>
            <w:tcBorders>
              <w:top w:val="single" w:sz="4" w:space="0" w:color="60B8CC" w:themeColor="accent4"/>
              <w:left w:val="nil"/>
              <w:bottom w:val="single" w:sz="4" w:space="0" w:color="60B8CC" w:themeColor="accent4"/>
              <w:right w:val="nil"/>
            </w:tcBorders>
            <w:shd w:val="clear" w:color="auto" w:fill="auto"/>
          </w:tcPr>
          <w:p w14:paraId="1E120B23" w14:textId="660F74E9" w:rsidR="006A517A" w:rsidRPr="0048713E" w:rsidRDefault="006A517A" w:rsidP="006A517A">
            <w:pPr>
              <w:rPr>
                <w:rFonts w:cs="Arial"/>
                <w:color w:val="000000"/>
                <w:sz w:val="17"/>
                <w:szCs w:val="17"/>
              </w:rPr>
            </w:pPr>
            <w:r w:rsidRPr="0048713E">
              <w:rPr>
                <w:sz w:val="17"/>
                <w:szCs w:val="17"/>
              </w:rPr>
              <w:t>SAP</w:t>
            </w:r>
          </w:p>
        </w:tc>
        <w:tc>
          <w:tcPr>
            <w:tcW w:w="1782" w:type="dxa"/>
            <w:tcBorders>
              <w:top w:val="single" w:sz="4" w:space="0" w:color="60B8CC" w:themeColor="accent4"/>
              <w:left w:val="nil"/>
              <w:bottom w:val="single" w:sz="4" w:space="0" w:color="60B8CC" w:themeColor="accent4"/>
              <w:right w:val="nil"/>
            </w:tcBorders>
            <w:shd w:val="clear" w:color="auto" w:fill="auto"/>
          </w:tcPr>
          <w:p w14:paraId="354200ED" w14:textId="7A04EABA"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auto"/>
          </w:tcPr>
          <w:p w14:paraId="402A5B51" w14:textId="29ADEAD7" w:rsidR="006A517A" w:rsidRPr="0048713E" w:rsidRDefault="006A517A" w:rsidP="006A517A">
            <w:pPr>
              <w:rPr>
                <w:rFonts w:cs="Arial"/>
                <w:color w:val="000000"/>
                <w:sz w:val="17"/>
                <w:szCs w:val="17"/>
              </w:rPr>
            </w:pPr>
            <w:r w:rsidRPr="0048713E">
              <w:rPr>
                <w:sz w:val="17"/>
                <w:szCs w:val="17"/>
              </w:rPr>
              <w:t xml:space="preserve">Guidehouse assumed the program tracking data incentive amounts should equal measure costs. Guidehouse found these incentive amounts accounted for the ComEd allocated costs of joint measures. </w:t>
            </w:r>
          </w:p>
        </w:tc>
      </w:tr>
      <w:tr w:rsidR="006A517A" w:rsidRPr="005E752D" w14:paraId="1622EF48"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30E20424" w14:textId="10170AF5" w:rsidR="006A517A" w:rsidRPr="0048713E" w:rsidRDefault="006A517A" w:rsidP="006A517A">
            <w:pPr>
              <w:rPr>
                <w:rFonts w:cs="Arial"/>
                <w:color w:val="000000"/>
                <w:sz w:val="17"/>
                <w:szCs w:val="17"/>
              </w:rPr>
            </w:pPr>
            <w:r w:rsidRPr="0048713E">
              <w:rPr>
                <w:sz w:val="17"/>
                <w:szCs w:val="17"/>
              </w:rPr>
              <w:t>Single-Family Upgrades</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69C59A30" w14:textId="5F0C0C1A" w:rsidR="006A517A" w:rsidRPr="0048713E" w:rsidRDefault="006A517A" w:rsidP="006A517A">
            <w:pPr>
              <w:rPr>
                <w:rFonts w:cs="Arial"/>
                <w:color w:val="000000"/>
                <w:sz w:val="17"/>
                <w:szCs w:val="17"/>
              </w:rPr>
            </w:pPr>
            <w:r w:rsidRPr="0048713E">
              <w:rPr>
                <w:sz w:val="17"/>
                <w:szCs w:val="17"/>
              </w:rPr>
              <w:t>SFLI</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5CB91DB8" w14:textId="6C393D00"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44B60677" w14:textId="6AE616FE" w:rsidR="006A517A" w:rsidRPr="0048713E" w:rsidRDefault="006A517A" w:rsidP="006A517A">
            <w:pPr>
              <w:rPr>
                <w:rFonts w:cs="Arial"/>
                <w:color w:val="000000"/>
                <w:sz w:val="17"/>
                <w:szCs w:val="17"/>
              </w:rPr>
            </w:pPr>
            <w:r w:rsidRPr="0048713E">
              <w:rPr>
                <w:sz w:val="17"/>
                <w:szCs w:val="17"/>
              </w:rPr>
              <w:t xml:space="preserve">Guidehouse assumed the program tracking data incentive amounts should equal measure costs. </w:t>
            </w:r>
            <w:proofErr w:type="gramStart"/>
            <w:r w:rsidRPr="0048713E">
              <w:rPr>
                <w:sz w:val="17"/>
                <w:szCs w:val="17"/>
              </w:rPr>
              <w:t>Guidehouse</w:t>
            </w:r>
            <w:proofErr w:type="gramEnd"/>
            <w:r w:rsidRPr="0048713E">
              <w:rPr>
                <w:sz w:val="17"/>
                <w:szCs w:val="17"/>
              </w:rPr>
              <w:t xml:space="preserve"> found these incentive amounts accounted for the ComEd allocated costs of joint measures. </w:t>
            </w:r>
          </w:p>
        </w:tc>
      </w:tr>
      <w:tr w:rsidR="006A517A" w:rsidRPr="00F316BD" w14:paraId="034C38CF"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55424DC9" w14:textId="180D00FE" w:rsidR="006A517A" w:rsidRPr="0048713E" w:rsidRDefault="006A517A" w:rsidP="006A517A">
            <w:pPr>
              <w:rPr>
                <w:rFonts w:cs="Arial"/>
                <w:color w:val="000000"/>
                <w:sz w:val="17"/>
                <w:szCs w:val="17"/>
              </w:rPr>
            </w:pPr>
            <w:r w:rsidRPr="0048713E">
              <w:rPr>
                <w:sz w:val="17"/>
                <w:szCs w:val="17"/>
              </w:rPr>
              <w:t>Whole Home Electric</w:t>
            </w:r>
          </w:p>
        </w:tc>
        <w:tc>
          <w:tcPr>
            <w:tcW w:w="1632" w:type="dxa"/>
            <w:tcBorders>
              <w:top w:val="single" w:sz="4" w:space="0" w:color="60B8CC" w:themeColor="accent4"/>
              <w:left w:val="nil"/>
              <w:bottom w:val="single" w:sz="4" w:space="0" w:color="60B8CC" w:themeColor="accent4"/>
              <w:right w:val="nil"/>
            </w:tcBorders>
            <w:shd w:val="clear" w:color="auto" w:fill="auto"/>
          </w:tcPr>
          <w:p w14:paraId="6BAEED6F" w14:textId="45EBC758" w:rsidR="006A517A" w:rsidRPr="0048713E" w:rsidRDefault="006A517A" w:rsidP="006A517A">
            <w:pPr>
              <w:rPr>
                <w:rFonts w:cs="Arial"/>
                <w:color w:val="000000"/>
                <w:sz w:val="17"/>
                <w:szCs w:val="17"/>
              </w:rPr>
            </w:pPr>
            <w:r w:rsidRPr="0048713E">
              <w:rPr>
                <w:sz w:val="17"/>
                <w:szCs w:val="17"/>
              </w:rPr>
              <w:t>MF</w:t>
            </w:r>
          </w:p>
        </w:tc>
        <w:tc>
          <w:tcPr>
            <w:tcW w:w="1782" w:type="dxa"/>
            <w:tcBorders>
              <w:top w:val="single" w:sz="4" w:space="0" w:color="60B8CC" w:themeColor="accent4"/>
              <w:left w:val="nil"/>
              <w:bottom w:val="single" w:sz="4" w:space="0" w:color="60B8CC" w:themeColor="accent4"/>
              <w:right w:val="nil"/>
            </w:tcBorders>
            <w:shd w:val="clear" w:color="auto" w:fill="auto"/>
          </w:tcPr>
          <w:p w14:paraId="30D7BE3A" w14:textId="014B6838"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auto"/>
          </w:tcPr>
          <w:p w14:paraId="5FA97722" w14:textId="44E9D960" w:rsidR="006A517A" w:rsidRPr="0048713E" w:rsidRDefault="006A517A" w:rsidP="006A517A">
            <w:pPr>
              <w:rPr>
                <w:rFonts w:cs="Arial"/>
                <w:color w:val="000000"/>
                <w:sz w:val="17"/>
                <w:szCs w:val="17"/>
              </w:rPr>
            </w:pPr>
            <w:r w:rsidRPr="0048713E">
              <w:rPr>
                <w:sz w:val="17"/>
                <w:szCs w:val="17"/>
              </w:rPr>
              <w:t xml:space="preserve">Guidehouse assumed the program tracking data incentive amounts should equal measure costs. </w:t>
            </w:r>
            <w:proofErr w:type="gramStart"/>
            <w:r w:rsidRPr="0048713E">
              <w:rPr>
                <w:sz w:val="17"/>
                <w:szCs w:val="17"/>
              </w:rPr>
              <w:t>Guidehouse</w:t>
            </w:r>
            <w:proofErr w:type="gramEnd"/>
            <w:r w:rsidRPr="0048713E">
              <w:rPr>
                <w:sz w:val="17"/>
                <w:szCs w:val="17"/>
              </w:rPr>
              <w:t xml:space="preserve"> found these incentive amounts accounted for the ComEd allocated costs of joint measures. </w:t>
            </w:r>
          </w:p>
        </w:tc>
      </w:tr>
      <w:tr w:rsidR="006A517A" w:rsidRPr="005E752D" w14:paraId="18BB4661"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1E2C0E6E" w14:textId="5A451815" w:rsidR="006A517A" w:rsidRPr="0048713E" w:rsidRDefault="006A517A" w:rsidP="006A517A">
            <w:pPr>
              <w:rPr>
                <w:rFonts w:cs="Arial"/>
                <w:color w:val="000000"/>
                <w:sz w:val="17"/>
                <w:szCs w:val="17"/>
              </w:rPr>
            </w:pPr>
            <w:r w:rsidRPr="0048713E">
              <w:rPr>
                <w:sz w:val="17"/>
                <w:szCs w:val="17"/>
              </w:rPr>
              <w:t>Whole Home Electric</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1B325267" w14:textId="27B9CBA0" w:rsidR="006A517A" w:rsidRPr="0048713E" w:rsidRDefault="006A517A" w:rsidP="006A517A">
            <w:pPr>
              <w:rPr>
                <w:rFonts w:cs="Arial"/>
                <w:color w:val="000000"/>
                <w:sz w:val="17"/>
                <w:szCs w:val="17"/>
              </w:rPr>
            </w:pPr>
            <w:r w:rsidRPr="0048713E">
              <w:rPr>
                <w:sz w:val="17"/>
                <w:szCs w:val="17"/>
              </w:rPr>
              <w:t>SF</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74900BFC" w14:textId="1DC5857B" w:rsidR="006A517A" w:rsidRPr="0048713E" w:rsidRDefault="006A517A" w:rsidP="006A517A">
            <w:pPr>
              <w:rPr>
                <w:rFonts w:cs="Arial"/>
                <w:color w:val="000000"/>
                <w:sz w:val="17"/>
                <w:szCs w:val="17"/>
              </w:rPr>
            </w:pPr>
            <w:r w:rsidRPr="0048713E">
              <w:rPr>
                <w:sz w:val="17"/>
                <w:szCs w:val="17"/>
              </w:rPr>
              <w:t>ComEd Provided Data Files</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5528C931" w14:textId="3D9E76AE" w:rsidR="006A517A" w:rsidRPr="0048713E" w:rsidRDefault="006A517A" w:rsidP="006A517A">
            <w:pPr>
              <w:rPr>
                <w:rFonts w:cs="Arial"/>
                <w:color w:val="000000"/>
                <w:sz w:val="17"/>
                <w:szCs w:val="17"/>
              </w:rPr>
            </w:pPr>
            <w:r w:rsidRPr="0048713E">
              <w:rPr>
                <w:sz w:val="17"/>
                <w:szCs w:val="17"/>
              </w:rPr>
              <w:t>Guidehouse assumed the Total EEE Incentive Cost should equal the measure costs. Guidehouse brought out specific costs of measures grouped together using a percentage of savings.</w:t>
            </w:r>
          </w:p>
        </w:tc>
      </w:tr>
      <w:tr w:rsidR="006A517A" w:rsidRPr="00F316BD" w14:paraId="6A28DD2F"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6387A817" w14:textId="033BD77E" w:rsidR="006A517A" w:rsidRPr="0048713E" w:rsidRDefault="006A517A" w:rsidP="006A517A">
            <w:pPr>
              <w:rPr>
                <w:rFonts w:cs="Arial"/>
                <w:color w:val="000000"/>
                <w:sz w:val="17"/>
                <w:szCs w:val="17"/>
              </w:rPr>
            </w:pPr>
            <w:r w:rsidRPr="0048713E">
              <w:rPr>
                <w:sz w:val="17"/>
                <w:szCs w:val="17"/>
              </w:rPr>
              <w:t>Behavior Bus/Pub</w:t>
            </w:r>
          </w:p>
        </w:tc>
        <w:tc>
          <w:tcPr>
            <w:tcW w:w="1632" w:type="dxa"/>
            <w:tcBorders>
              <w:top w:val="single" w:sz="4" w:space="0" w:color="60B8CC" w:themeColor="accent4"/>
              <w:left w:val="nil"/>
              <w:bottom w:val="single" w:sz="4" w:space="0" w:color="60B8CC" w:themeColor="accent4"/>
              <w:right w:val="nil"/>
            </w:tcBorders>
            <w:shd w:val="clear" w:color="auto" w:fill="auto"/>
          </w:tcPr>
          <w:p w14:paraId="664864AD" w14:textId="29C6ADEE" w:rsidR="006A517A" w:rsidRPr="0048713E" w:rsidRDefault="006A517A" w:rsidP="006A517A">
            <w:pPr>
              <w:rPr>
                <w:rFonts w:cs="Arial"/>
                <w:color w:val="000000"/>
                <w:sz w:val="17"/>
                <w:szCs w:val="17"/>
              </w:rPr>
            </w:pPr>
            <w:r w:rsidRPr="0048713E">
              <w:rPr>
                <w:sz w:val="17"/>
                <w:szCs w:val="17"/>
              </w:rPr>
              <w:t>Strategic Energy Management</w:t>
            </w:r>
          </w:p>
        </w:tc>
        <w:tc>
          <w:tcPr>
            <w:tcW w:w="1782" w:type="dxa"/>
            <w:tcBorders>
              <w:top w:val="single" w:sz="4" w:space="0" w:color="60B8CC" w:themeColor="accent4"/>
              <w:left w:val="nil"/>
              <w:bottom w:val="single" w:sz="4" w:space="0" w:color="60B8CC" w:themeColor="accent4"/>
              <w:right w:val="nil"/>
            </w:tcBorders>
            <w:shd w:val="clear" w:color="auto" w:fill="auto"/>
          </w:tcPr>
          <w:p w14:paraId="024B3763" w14:textId="460B3CEF"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auto"/>
          </w:tcPr>
          <w:p w14:paraId="1A989215" w14:textId="382D7384" w:rsidR="006A517A" w:rsidRPr="0048713E" w:rsidRDefault="006A517A" w:rsidP="006A517A">
            <w:pPr>
              <w:rPr>
                <w:rFonts w:cs="Arial"/>
                <w:color w:val="000000"/>
                <w:sz w:val="17"/>
                <w:szCs w:val="17"/>
              </w:rPr>
            </w:pPr>
            <w:r w:rsidRPr="0048713E">
              <w:rPr>
                <w:sz w:val="17"/>
                <w:szCs w:val="17"/>
              </w:rPr>
              <w:t>Guidehouse assumed measure cost equals incentives.</w:t>
            </w:r>
          </w:p>
        </w:tc>
      </w:tr>
      <w:tr w:rsidR="006A517A" w:rsidRPr="005E752D" w14:paraId="7EABA9AC"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3CBA55B3" w14:textId="42B56EDD" w:rsidR="006A517A" w:rsidRPr="0048713E" w:rsidRDefault="006A517A" w:rsidP="006A517A">
            <w:pPr>
              <w:rPr>
                <w:rFonts w:cs="Arial"/>
                <w:color w:val="000000"/>
                <w:sz w:val="17"/>
                <w:szCs w:val="17"/>
              </w:rPr>
            </w:pPr>
            <w:r w:rsidRPr="0048713E">
              <w:rPr>
                <w:sz w:val="17"/>
                <w:szCs w:val="17"/>
              </w:rPr>
              <w:t>EMS - Small Business - Pilot</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53769702" w14:textId="456ADAF1" w:rsidR="006A517A" w:rsidRPr="0048713E" w:rsidRDefault="006A517A" w:rsidP="006A517A">
            <w:pPr>
              <w:rPr>
                <w:rFonts w:cs="Arial"/>
                <w:color w:val="000000"/>
                <w:sz w:val="17"/>
                <w:szCs w:val="17"/>
              </w:rPr>
            </w:pPr>
            <w:r w:rsidRPr="0048713E">
              <w:rPr>
                <w:sz w:val="17"/>
                <w:szCs w:val="17"/>
              </w:rPr>
              <w:t>EMS for Small Business</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078BFF8C" w14:textId="6F0564D2" w:rsidR="006A517A" w:rsidRPr="0048713E" w:rsidRDefault="0012542D" w:rsidP="006A517A">
            <w:pPr>
              <w:rPr>
                <w:rFonts w:cs="Arial"/>
                <w:color w:val="000000"/>
                <w:sz w:val="17"/>
                <w:szCs w:val="17"/>
              </w:rPr>
            </w:pPr>
            <w:r>
              <w:rPr>
                <w:rFonts w:cs="Arial"/>
                <w:color w:val="000000"/>
                <w:sz w:val="17"/>
                <w:szCs w:val="17"/>
              </w:rPr>
              <w:t>Tracking Data and Workpapers</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20D74CD7" w14:textId="7063CC39" w:rsidR="006A517A" w:rsidRPr="0048713E" w:rsidRDefault="0012542D" w:rsidP="006A517A">
            <w:pPr>
              <w:rPr>
                <w:rFonts w:cs="Arial"/>
                <w:color w:val="000000"/>
                <w:sz w:val="17"/>
                <w:szCs w:val="17"/>
              </w:rPr>
            </w:pPr>
            <w:proofErr w:type="gramStart"/>
            <w:r>
              <w:rPr>
                <w:rFonts w:cs="Arial"/>
                <w:color w:val="000000"/>
                <w:sz w:val="17"/>
                <w:szCs w:val="17"/>
              </w:rPr>
              <w:t>Guidehouse</w:t>
            </w:r>
            <w:proofErr w:type="gramEnd"/>
            <w:r>
              <w:rPr>
                <w:rFonts w:cs="Arial"/>
                <w:color w:val="000000"/>
                <w:sz w:val="17"/>
                <w:szCs w:val="17"/>
              </w:rPr>
              <w:t xml:space="preserve"> leveraged similar measure costs for EMS measures and the workpaper from the Incentives Program.</w:t>
            </w:r>
          </w:p>
        </w:tc>
      </w:tr>
      <w:tr w:rsidR="006A517A" w:rsidRPr="00F316BD" w14:paraId="470D2094"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1A9915F6" w14:textId="2F5E3468" w:rsidR="006A517A" w:rsidRPr="0048713E" w:rsidRDefault="006A517A" w:rsidP="006A517A">
            <w:pPr>
              <w:rPr>
                <w:rFonts w:cs="Arial"/>
                <w:color w:val="000000"/>
                <w:sz w:val="17"/>
                <w:szCs w:val="17"/>
              </w:rPr>
            </w:pPr>
            <w:r w:rsidRPr="0048713E">
              <w:rPr>
                <w:sz w:val="17"/>
                <w:szCs w:val="17"/>
              </w:rPr>
              <w:t>Incentives</w:t>
            </w:r>
          </w:p>
        </w:tc>
        <w:tc>
          <w:tcPr>
            <w:tcW w:w="1632" w:type="dxa"/>
            <w:tcBorders>
              <w:top w:val="single" w:sz="4" w:space="0" w:color="60B8CC" w:themeColor="accent4"/>
              <w:left w:val="nil"/>
              <w:bottom w:val="single" w:sz="4" w:space="0" w:color="60B8CC" w:themeColor="accent4"/>
              <w:right w:val="nil"/>
            </w:tcBorders>
            <w:shd w:val="clear" w:color="auto" w:fill="auto"/>
          </w:tcPr>
          <w:p w14:paraId="7DEC362F" w14:textId="4C0D3FFD" w:rsidR="006A517A" w:rsidRPr="0048713E" w:rsidRDefault="006A517A" w:rsidP="006A517A">
            <w:pPr>
              <w:rPr>
                <w:rFonts w:cs="Arial"/>
                <w:color w:val="000000"/>
                <w:sz w:val="17"/>
                <w:szCs w:val="17"/>
              </w:rPr>
            </w:pPr>
            <w:r w:rsidRPr="0048713E">
              <w:rPr>
                <w:sz w:val="17"/>
                <w:szCs w:val="17"/>
              </w:rPr>
              <w:t>Custom</w:t>
            </w:r>
          </w:p>
        </w:tc>
        <w:tc>
          <w:tcPr>
            <w:tcW w:w="1782" w:type="dxa"/>
            <w:tcBorders>
              <w:top w:val="single" w:sz="4" w:space="0" w:color="60B8CC" w:themeColor="accent4"/>
              <w:left w:val="nil"/>
              <w:bottom w:val="single" w:sz="4" w:space="0" w:color="60B8CC" w:themeColor="accent4"/>
              <w:right w:val="nil"/>
            </w:tcBorders>
            <w:shd w:val="clear" w:color="auto" w:fill="auto"/>
          </w:tcPr>
          <w:p w14:paraId="69E7B5A3" w14:textId="335CAE51" w:rsidR="006A517A" w:rsidRPr="0048713E" w:rsidRDefault="006A517A" w:rsidP="006A517A">
            <w:pPr>
              <w:rPr>
                <w:rFonts w:cs="Arial"/>
                <w:color w:val="000000"/>
                <w:sz w:val="17"/>
                <w:szCs w:val="17"/>
              </w:rPr>
            </w:pPr>
            <w:r w:rsidRPr="0048713E">
              <w:rPr>
                <w:sz w:val="17"/>
                <w:szCs w:val="17"/>
              </w:rPr>
              <w:t>ComEd Project Files</w:t>
            </w:r>
          </w:p>
        </w:tc>
        <w:tc>
          <w:tcPr>
            <w:tcW w:w="4100" w:type="dxa"/>
            <w:tcBorders>
              <w:top w:val="single" w:sz="4" w:space="0" w:color="60B8CC" w:themeColor="accent4"/>
              <w:left w:val="nil"/>
              <w:bottom w:val="single" w:sz="4" w:space="0" w:color="60B8CC" w:themeColor="accent4"/>
              <w:right w:val="nil"/>
            </w:tcBorders>
            <w:shd w:val="clear" w:color="auto" w:fill="auto"/>
          </w:tcPr>
          <w:p w14:paraId="7930251F" w14:textId="0598385D" w:rsidR="006A517A" w:rsidRPr="0048713E" w:rsidRDefault="006A517A" w:rsidP="006A517A">
            <w:pPr>
              <w:rPr>
                <w:rFonts w:cs="Arial"/>
                <w:color w:val="000000"/>
                <w:sz w:val="17"/>
                <w:szCs w:val="17"/>
              </w:rPr>
            </w:pPr>
            <w:r w:rsidRPr="0048713E">
              <w:rPr>
                <w:sz w:val="17"/>
                <w:szCs w:val="17"/>
              </w:rPr>
              <w:t>Sample of project files, total $/kWh</w:t>
            </w:r>
          </w:p>
        </w:tc>
      </w:tr>
      <w:tr w:rsidR="006A517A" w:rsidRPr="005E752D" w14:paraId="780A1C47"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5DA7B397" w14:textId="3BB70095" w:rsidR="006A517A" w:rsidRPr="0048713E" w:rsidRDefault="006A517A" w:rsidP="006A517A">
            <w:pPr>
              <w:rPr>
                <w:rFonts w:cs="Arial"/>
                <w:color w:val="000000"/>
                <w:sz w:val="17"/>
                <w:szCs w:val="17"/>
              </w:rPr>
            </w:pPr>
            <w:r w:rsidRPr="0048713E">
              <w:rPr>
                <w:sz w:val="17"/>
                <w:szCs w:val="17"/>
              </w:rPr>
              <w:t>Incentives</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05A1A24B" w14:textId="769E21D4" w:rsidR="006A517A" w:rsidRPr="0048713E" w:rsidRDefault="006A517A" w:rsidP="006A517A">
            <w:pPr>
              <w:rPr>
                <w:rFonts w:cs="Arial"/>
                <w:color w:val="000000"/>
                <w:sz w:val="17"/>
                <w:szCs w:val="17"/>
              </w:rPr>
            </w:pPr>
            <w:r w:rsidRPr="0048713E">
              <w:rPr>
                <w:sz w:val="17"/>
                <w:szCs w:val="17"/>
              </w:rPr>
              <w:t>Standard</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24DBC315" w14:textId="2B84A9B8" w:rsidR="006A517A" w:rsidRPr="0048713E" w:rsidRDefault="006A517A" w:rsidP="006A517A">
            <w:pPr>
              <w:rPr>
                <w:rFonts w:cs="Arial"/>
                <w:color w:val="000000"/>
                <w:sz w:val="17"/>
                <w:szCs w:val="17"/>
              </w:rPr>
            </w:pPr>
            <w:r w:rsidRPr="0048713E">
              <w:rPr>
                <w:sz w:val="17"/>
                <w:szCs w:val="17"/>
              </w:rPr>
              <w:t>RI resource workpapers</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1DD7BA13" w14:textId="1B6FBA4F" w:rsidR="006A517A" w:rsidRPr="0048713E" w:rsidRDefault="006A517A" w:rsidP="006A517A">
            <w:pPr>
              <w:rPr>
                <w:rFonts w:cs="Arial"/>
                <w:color w:val="000000"/>
                <w:sz w:val="17"/>
                <w:szCs w:val="17"/>
              </w:rPr>
            </w:pPr>
            <w:r w:rsidRPr="0048713E">
              <w:rPr>
                <w:sz w:val="17"/>
                <w:szCs w:val="17"/>
              </w:rPr>
              <w:t>The workpapers provided reference for incremental measure cost. Guidehouse made assumptions regarding unit definition based on program data.</w:t>
            </w:r>
          </w:p>
        </w:tc>
      </w:tr>
      <w:tr w:rsidR="006A517A" w:rsidRPr="00F316BD" w14:paraId="4F609FD4"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36EBC488" w14:textId="284B2099" w:rsidR="006A517A" w:rsidRPr="0048713E" w:rsidRDefault="006A517A" w:rsidP="006A517A">
            <w:pPr>
              <w:rPr>
                <w:rFonts w:cs="Arial"/>
                <w:color w:val="000000"/>
                <w:sz w:val="17"/>
                <w:szCs w:val="17"/>
              </w:rPr>
            </w:pPr>
            <w:r w:rsidRPr="0048713E">
              <w:rPr>
                <w:sz w:val="17"/>
                <w:szCs w:val="17"/>
              </w:rPr>
              <w:lastRenderedPageBreak/>
              <w:t>Incentives</w:t>
            </w:r>
          </w:p>
        </w:tc>
        <w:tc>
          <w:tcPr>
            <w:tcW w:w="1632" w:type="dxa"/>
            <w:tcBorders>
              <w:top w:val="single" w:sz="4" w:space="0" w:color="60B8CC" w:themeColor="accent4"/>
              <w:left w:val="nil"/>
              <w:bottom w:val="single" w:sz="4" w:space="0" w:color="60B8CC" w:themeColor="accent4"/>
              <w:right w:val="nil"/>
            </w:tcBorders>
            <w:shd w:val="clear" w:color="auto" w:fill="auto"/>
          </w:tcPr>
          <w:p w14:paraId="0DDF6F40" w14:textId="652E5463" w:rsidR="006A517A" w:rsidRPr="0048713E" w:rsidRDefault="006A517A" w:rsidP="006A517A">
            <w:pPr>
              <w:rPr>
                <w:rFonts w:cs="Arial"/>
                <w:color w:val="000000"/>
                <w:sz w:val="17"/>
                <w:szCs w:val="17"/>
              </w:rPr>
            </w:pPr>
            <w:r w:rsidRPr="0048713E">
              <w:rPr>
                <w:sz w:val="17"/>
                <w:szCs w:val="17"/>
              </w:rPr>
              <w:t>Street Lighting</w:t>
            </w:r>
          </w:p>
        </w:tc>
        <w:tc>
          <w:tcPr>
            <w:tcW w:w="1782" w:type="dxa"/>
            <w:tcBorders>
              <w:top w:val="single" w:sz="4" w:space="0" w:color="60B8CC" w:themeColor="accent4"/>
              <w:left w:val="nil"/>
              <w:bottom w:val="single" w:sz="4" w:space="0" w:color="60B8CC" w:themeColor="accent4"/>
              <w:right w:val="nil"/>
            </w:tcBorders>
            <w:shd w:val="clear" w:color="auto" w:fill="auto"/>
          </w:tcPr>
          <w:p w14:paraId="4FBB958F" w14:textId="2153C901" w:rsidR="006A517A" w:rsidRPr="0048713E" w:rsidRDefault="008B4565" w:rsidP="006A517A">
            <w:pPr>
              <w:rPr>
                <w:rFonts w:cs="Arial"/>
                <w:color w:val="000000"/>
                <w:sz w:val="17"/>
                <w:szCs w:val="17"/>
              </w:rPr>
            </w:pPr>
            <w:r w:rsidRPr="008B4565">
              <w:rPr>
                <w:rFonts w:cs="Arial"/>
                <w:color w:val="000000"/>
                <w:sz w:val="17"/>
                <w:szCs w:val="17"/>
              </w:rPr>
              <w:t>IL TRM v12.0</w:t>
            </w:r>
          </w:p>
        </w:tc>
        <w:tc>
          <w:tcPr>
            <w:tcW w:w="4100" w:type="dxa"/>
            <w:tcBorders>
              <w:top w:val="single" w:sz="4" w:space="0" w:color="60B8CC" w:themeColor="accent4"/>
              <w:left w:val="nil"/>
              <w:bottom w:val="single" w:sz="4" w:space="0" w:color="60B8CC" w:themeColor="accent4"/>
              <w:right w:val="nil"/>
            </w:tcBorders>
            <w:shd w:val="clear" w:color="auto" w:fill="auto"/>
          </w:tcPr>
          <w:p w14:paraId="6A656856" w14:textId="28BD7D00" w:rsidR="006A517A" w:rsidRPr="0048713E" w:rsidRDefault="00A128E1" w:rsidP="006A517A">
            <w:pPr>
              <w:rPr>
                <w:rFonts w:cs="Arial"/>
                <w:color w:val="000000"/>
                <w:sz w:val="17"/>
                <w:szCs w:val="17"/>
              </w:rPr>
            </w:pPr>
            <w:r w:rsidRPr="0048713E">
              <w:rPr>
                <w:sz w:val="17"/>
                <w:szCs w:val="17"/>
              </w:rPr>
              <w:t>IL TRM v12.0 deemed values were used for the analysis.</w:t>
            </w:r>
          </w:p>
        </w:tc>
      </w:tr>
      <w:tr w:rsidR="006A517A" w:rsidRPr="005E752D" w14:paraId="7B53E30B"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48E07A22" w14:textId="3D684CC1" w:rsidR="006A517A" w:rsidRPr="0048713E" w:rsidRDefault="006A517A" w:rsidP="006A517A">
            <w:pPr>
              <w:rPr>
                <w:rFonts w:cs="Arial"/>
                <w:color w:val="000000"/>
                <w:sz w:val="17"/>
                <w:szCs w:val="17"/>
              </w:rPr>
            </w:pPr>
            <w:r w:rsidRPr="0048713E">
              <w:rPr>
                <w:sz w:val="17"/>
                <w:szCs w:val="17"/>
              </w:rPr>
              <w:t>Midstream/Upstream</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66BA3654" w14:textId="65556C71" w:rsidR="006A517A" w:rsidRPr="0048713E" w:rsidRDefault="006A517A" w:rsidP="006A517A">
            <w:pPr>
              <w:rPr>
                <w:rFonts w:cs="Arial"/>
                <w:color w:val="000000"/>
                <w:sz w:val="17"/>
                <w:szCs w:val="17"/>
              </w:rPr>
            </w:pPr>
            <w:r w:rsidRPr="0048713E">
              <w:rPr>
                <w:sz w:val="17"/>
                <w:szCs w:val="17"/>
              </w:rPr>
              <w:t>CFS</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10C31567" w14:textId="192E0D36" w:rsidR="006A517A" w:rsidRPr="0048713E" w:rsidRDefault="006A517A" w:rsidP="006A517A">
            <w:pPr>
              <w:rPr>
                <w:rFonts w:cs="Arial"/>
                <w:color w:val="000000"/>
                <w:sz w:val="17"/>
                <w:szCs w:val="17"/>
              </w:rPr>
            </w:pPr>
            <w:r w:rsidRPr="0048713E">
              <w:rPr>
                <w:sz w:val="17"/>
                <w:szCs w:val="17"/>
              </w:rPr>
              <w:t>IL TRM v12.0</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2718BE93" w14:textId="16BD8226" w:rsidR="006A517A" w:rsidRPr="0048713E" w:rsidRDefault="006A517A" w:rsidP="006A517A">
            <w:pPr>
              <w:rPr>
                <w:rFonts w:cs="Arial"/>
                <w:color w:val="000000"/>
                <w:sz w:val="17"/>
                <w:szCs w:val="17"/>
              </w:rPr>
            </w:pPr>
            <w:r w:rsidRPr="0048713E">
              <w:rPr>
                <w:sz w:val="17"/>
                <w:szCs w:val="17"/>
              </w:rPr>
              <w:t>IL TRM v12.0 deemed values were used for the analysis.</w:t>
            </w:r>
          </w:p>
        </w:tc>
      </w:tr>
      <w:tr w:rsidR="006A517A" w:rsidRPr="00F316BD" w14:paraId="42388F0C"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5C3A0E70" w14:textId="7F36A1C0" w:rsidR="006A517A" w:rsidRPr="0048713E" w:rsidRDefault="006A517A" w:rsidP="006A517A">
            <w:pPr>
              <w:rPr>
                <w:rFonts w:cs="Arial"/>
                <w:color w:val="000000"/>
                <w:sz w:val="17"/>
                <w:szCs w:val="17"/>
              </w:rPr>
            </w:pPr>
            <w:r w:rsidRPr="0048713E">
              <w:rPr>
                <w:sz w:val="17"/>
                <w:szCs w:val="17"/>
              </w:rPr>
              <w:t>Midstream/Upstream</w:t>
            </w:r>
          </w:p>
        </w:tc>
        <w:tc>
          <w:tcPr>
            <w:tcW w:w="1632" w:type="dxa"/>
            <w:tcBorders>
              <w:top w:val="single" w:sz="4" w:space="0" w:color="60B8CC" w:themeColor="accent4"/>
              <w:left w:val="nil"/>
              <w:bottom w:val="single" w:sz="4" w:space="0" w:color="60B8CC" w:themeColor="accent4"/>
              <w:right w:val="nil"/>
            </w:tcBorders>
            <w:shd w:val="clear" w:color="auto" w:fill="auto"/>
          </w:tcPr>
          <w:p w14:paraId="3A48B8D4" w14:textId="6DE83A8F" w:rsidR="006A517A" w:rsidRPr="0048713E" w:rsidRDefault="006A517A" w:rsidP="006A517A">
            <w:pPr>
              <w:rPr>
                <w:rFonts w:cs="Arial"/>
                <w:color w:val="000000"/>
                <w:sz w:val="17"/>
                <w:szCs w:val="17"/>
              </w:rPr>
            </w:pPr>
            <w:r w:rsidRPr="0048713E">
              <w:rPr>
                <w:sz w:val="17"/>
                <w:szCs w:val="17"/>
              </w:rPr>
              <w:t>Instant Discounts</w:t>
            </w:r>
          </w:p>
        </w:tc>
        <w:tc>
          <w:tcPr>
            <w:tcW w:w="1782" w:type="dxa"/>
            <w:tcBorders>
              <w:top w:val="single" w:sz="4" w:space="0" w:color="60B8CC" w:themeColor="accent4"/>
              <w:left w:val="nil"/>
              <w:bottom w:val="single" w:sz="4" w:space="0" w:color="60B8CC" w:themeColor="accent4"/>
              <w:right w:val="nil"/>
            </w:tcBorders>
            <w:shd w:val="clear" w:color="auto" w:fill="auto"/>
          </w:tcPr>
          <w:p w14:paraId="12E76433" w14:textId="011B6AE0" w:rsidR="006A517A" w:rsidRPr="0048713E" w:rsidRDefault="006A517A" w:rsidP="006A517A">
            <w:pPr>
              <w:rPr>
                <w:rFonts w:cs="Arial"/>
                <w:color w:val="000000"/>
                <w:sz w:val="17"/>
                <w:szCs w:val="17"/>
              </w:rPr>
            </w:pPr>
            <w:r w:rsidRPr="0048713E">
              <w:rPr>
                <w:sz w:val="17"/>
                <w:szCs w:val="17"/>
              </w:rPr>
              <w:t>IL TRM v12.0</w:t>
            </w:r>
          </w:p>
        </w:tc>
        <w:tc>
          <w:tcPr>
            <w:tcW w:w="4100" w:type="dxa"/>
            <w:tcBorders>
              <w:top w:val="single" w:sz="4" w:space="0" w:color="60B8CC" w:themeColor="accent4"/>
              <w:left w:val="nil"/>
              <w:bottom w:val="single" w:sz="4" w:space="0" w:color="60B8CC" w:themeColor="accent4"/>
              <w:right w:val="nil"/>
            </w:tcBorders>
            <w:shd w:val="clear" w:color="auto" w:fill="auto"/>
          </w:tcPr>
          <w:p w14:paraId="51FBC16F" w14:textId="13DFCEA5" w:rsidR="006A517A" w:rsidRPr="0048713E" w:rsidRDefault="006A517A" w:rsidP="006A517A">
            <w:pPr>
              <w:rPr>
                <w:rFonts w:cs="Arial"/>
                <w:color w:val="000000"/>
                <w:sz w:val="17"/>
                <w:szCs w:val="17"/>
              </w:rPr>
            </w:pPr>
            <w:r w:rsidRPr="0048713E">
              <w:rPr>
                <w:sz w:val="17"/>
                <w:szCs w:val="17"/>
              </w:rPr>
              <w:t xml:space="preserve">IL TRM v12.0 deemed values were used for the analysis. </w:t>
            </w:r>
          </w:p>
        </w:tc>
      </w:tr>
      <w:tr w:rsidR="006A517A" w:rsidRPr="00F316BD" w14:paraId="52DB5084"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0ED4A364" w14:textId="0C075D6C" w:rsidR="006A517A" w:rsidRPr="0048713E" w:rsidRDefault="006A517A" w:rsidP="006A517A">
            <w:pPr>
              <w:rPr>
                <w:rFonts w:cs="Arial"/>
                <w:color w:val="000000"/>
                <w:sz w:val="17"/>
                <w:szCs w:val="17"/>
              </w:rPr>
            </w:pPr>
            <w:r w:rsidRPr="0048713E">
              <w:rPr>
                <w:sz w:val="17"/>
                <w:szCs w:val="17"/>
              </w:rPr>
              <w:t>New Construction - Bus/Pub</w:t>
            </w:r>
          </w:p>
        </w:tc>
        <w:tc>
          <w:tcPr>
            <w:tcW w:w="1632" w:type="dxa"/>
            <w:tcBorders>
              <w:top w:val="single" w:sz="4" w:space="0" w:color="60B8CC" w:themeColor="accent4"/>
              <w:left w:val="nil"/>
              <w:bottom w:val="single" w:sz="4" w:space="0" w:color="60B8CC" w:themeColor="accent4"/>
              <w:right w:val="nil"/>
            </w:tcBorders>
            <w:shd w:val="clear" w:color="auto" w:fill="auto"/>
          </w:tcPr>
          <w:p w14:paraId="0E8CF99D" w14:textId="1197B02C" w:rsidR="006A517A" w:rsidRPr="0048713E" w:rsidRDefault="006A517A" w:rsidP="006A517A">
            <w:pPr>
              <w:rPr>
                <w:rFonts w:cs="Arial"/>
                <w:color w:val="000000"/>
                <w:sz w:val="17"/>
                <w:szCs w:val="17"/>
              </w:rPr>
            </w:pPr>
            <w:r w:rsidRPr="0048713E">
              <w:rPr>
                <w:sz w:val="17"/>
                <w:szCs w:val="17"/>
              </w:rPr>
              <w:t>Non-Residential New Construction</w:t>
            </w:r>
          </w:p>
        </w:tc>
        <w:tc>
          <w:tcPr>
            <w:tcW w:w="1782" w:type="dxa"/>
            <w:tcBorders>
              <w:top w:val="single" w:sz="4" w:space="0" w:color="60B8CC" w:themeColor="accent4"/>
              <w:left w:val="nil"/>
              <w:bottom w:val="single" w:sz="4" w:space="0" w:color="60B8CC" w:themeColor="accent4"/>
              <w:right w:val="nil"/>
            </w:tcBorders>
            <w:shd w:val="clear" w:color="auto" w:fill="auto"/>
          </w:tcPr>
          <w:p w14:paraId="5150BE0C" w14:textId="034E3F19" w:rsidR="006A517A" w:rsidRPr="0048713E" w:rsidRDefault="006A517A" w:rsidP="006A517A">
            <w:pPr>
              <w:rPr>
                <w:rFonts w:cs="Arial"/>
                <w:color w:val="000000"/>
                <w:sz w:val="17"/>
                <w:szCs w:val="17"/>
              </w:rPr>
            </w:pPr>
            <w:r w:rsidRPr="0048713E">
              <w:rPr>
                <w:sz w:val="17"/>
                <w:szCs w:val="17"/>
              </w:rPr>
              <w:t>CY2024 Data</w:t>
            </w:r>
          </w:p>
        </w:tc>
        <w:tc>
          <w:tcPr>
            <w:tcW w:w="4100" w:type="dxa"/>
            <w:tcBorders>
              <w:top w:val="single" w:sz="4" w:space="0" w:color="60B8CC" w:themeColor="accent4"/>
              <w:left w:val="nil"/>
              <w:bottom w:val="single" w:sz="4" w:space="0" w:color="60B8CC" w:themeColor="accent4"/>
              <w:right w:val="nil"/>
            </w:tcBorders>
            <w:shd w:val="clear" w:color="auto" w:fill="auto"/>
          </w:tcPr>
          <w:p w14:paraId="2197AD2D" w14:textId="6803DBBF" w:rsidR="006A517A" w:rsidRPr="0048713E" w:rsidRDefault="00EE1897" w:rsidP="006A517A">
            <w:pPr>
              <w:rPr>
                <w:rFonts w:cs="Arial"/>
                <w:color w:val="000000"/>
                <w:sz w:val="17"/>
                <w:szCs w:val="17"/>
              </w:rPr>
            </w:pPr>
            <w:r w:rsidRPr="0048713E">
              <w:rPr>
                <w:sz w:val="17"/>
                <w:szCs w:val="17"/>
              </w:rPr>
              <w:t xml:space="preserve">IL TRM v12.0 deemed values were used for </w:t>
            </w:r>
            <w:r>
              <w:rPr>
                <w:sz w:val="17"/>
                <w:szCs w:val="17"/>
              </w:rPr>
              <w:t>individual measures, which were aggregated to the project level for sampled projects.</w:t>
            </w:r>
          </w:p>
        </w:tc>
      </w:tr>
      <w:tr w:rsidR="006A517A" w:rsidRPr="005E752D" w14:paraId="0A190B3D"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42ACC87F" w14:textId="6BD75944" w:rsidR="006A517A" w:rsidRPr="0048713E" w:rsidRDefault="006A517A" w:rsidP="006A517A">
            <w:pPr>
              <w:rPr>
                <w:rFonts w:cs="Arial"/>
                <w:color w:val="000000"/>
                <w:sz w:val="17"/>
                <w:szCs w:val="17"/>
              </w:rPr>
            </w:pPr>
            <w:r w:rsidRPr="0048713E">
              <w:rPr>
                <w:sz w:val="17"/>
                <w:szCs w:val="17"/>
              </w:rPr>
              <w:t>Small Business</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7994833B" w14:textId="3F886A39" w:rsidR="006A517A" w:rsidRPr="0048713E" w:rsidRDefault="006A517A" w:rsidP="006A517A">
            <w:pPr>
              <w:rPr>
                <w:rFonts w:cs="Arial"/>
                <w:color w:val="000000"/>
                <w:sz w:val="17"/>
                <w:szCs w:val="17"/>
              </w:rPr>
            </w:pPr>
            <w:r w:rsidRPr="0048713E">
              <w:rPr>
                <w:sz w:val="17"/>
                <w:szCs w:val="17"/>
              </w:rPr>
              <w:t>Small Business</w:t>
            </w:r>
          </w:p>
        </w:tc>
        <w:tc>
          <w:tcPr>
            <w:tcW w:w="1782" w:type="dxa"/>
            <w:tcBorders>
              <w:top w:val="single" w:sz="4" w:space="0" w:color="60B8CC" w:themeColor="accent4"/>
              <w:left w:val="nil"/>
              <w:bottom w:val="single" w:sz="4" w:space="0" w:color="60B8CC" w:themeColor="accent4"/>
              <w:right w:val="nil"/>
            </w:tcBorders>
            <w:shd w:val="clear" w:color="auto" w:fill="FFFFFF" w:themeFill="background1"/>
          </w:tcPr>
          <w:p w14:paraId="517B5921" w14:textId="6F5FDDDA"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FFFFFF" w:themeFill="background1"/>
          </w:tcPr>
          <w:p w14:paraId="04173A02" w14:textId="4BCEE988" w:rsidR="006A517A" w:rsidRPr="0048713E" w:rsidRDefault="006A517A" w:rsidP="006A517A">
            <w:pPr>
              <w:rPr>
                <w:rFonts w:cs="Arial"/>
                <w:color w:val="000000"/>
                <w:sz w:val="17"/>
                <w:szCs w:val="17"/>
              </w:rPr>
            </w:pPr>
            <w:r w:rsidRPr="0048713E">
              <w:rPr>
                <w:sz w:val="17"/>
                <w:szCs w:val="17"/>
              </w:rPr>
              <w:t xml:space="preserve">Guidehouse assumed the program tracking data incentive amounts should equal measure costs. </w:t>
            </w:r>
          </w:p>
        </w:tc>
      </w:tr>
      <w:tr w:rsidR="006A517A" w:rsidRPr="00F316BD" w14:paraId="6621B0D8"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7DD0D296" w14:textId="5BE1F1A1" w:rsidR="006A517A" w:rsidRPr="0048713E" w:rsidRDefault="006A517A" w:rsidP="006A517A">
            <w:pPr>
              <w:rPr>
                <w:rFonts w:cs="Arial"/>
                <w:color w:val="000000"/>
                <w:sz w:val="17"/>
                <w:szCs w:val="17"/>
              </w:rPr>
            </w:pPr>
            <w:r w:rsidRPr="0048713E">
              <w:rPr>
                <w:sz w:val="17"/>
                <w:szCs w:val="17"/>
              </w:rPr>
              <w:t>Targeted Systems</w:t>
            </w:r>
          </w:p>
        </w:tc>
        <w:tc>
          <w:tcPr>
            <w:tcW w:w="1632" w:type="dxa"/>
            <w:tcBorders>
              <w:top w:val="single" w:sz="4" w:space="0" w:color="60B8CC" w:themeColor="accent4"/>
              <w:left w:val="nil"/>
              <w:bottom w:val="single" w:sz="4" w:space="0" w:color="60B8CC" w:themeColor="accent4"/>
              <w:right w:val="nil"/>
            </w:tcBorders>
            <w:shd w:val="clear" w:color="auto" w:fill="auto"/>
          </w:tcPr>
          <w:p w14:paraId="4F2BC3DF" w14:textId="05FF848F" w:rsidR="006A517A" w:rsidRPr="0048713E" w:rsidRDefault="006A517A" w:rsidP="006A517A">
            <w:pPr>
              <w:rPr>
                <w:rFonts w:cs="Arial"/>
                <w:color w:val="000000"/>
                <w:sz w:val="17"/>
                <w:szCs w:val="17"/>
              </w:rPr>
            </w:pPr>
            <w:r w:rsidRPr="0048713E">
              <w:rPr>
                <w:sz w:val="17"/>
                <w:szCs w:val="17"/>
              </w:rPr>
              <w:t>Industrial Systems</w:t>
            </w:r>
          </w:p>
        </w:tc>
        <w:tc>
          <w:tcPr>
            <w:tcW w:w="1782" w:type="dxa"/>
            <w:tcBorders>
              <w:top w:val="single" w:sz="4" w:space="0" w:color="60B8CC" w:themeColor="accent4"/>
              <w:left w:val="nil"/>
              <w:bottom w:val="single" w:sz="4" w:space="0" w:color="60B8CC" w:themeColor="accent4"/>
              <w:right w:val="nil"/>
            </w:tcBorders>
            <w:shd w:val="clear" w:color="auto" w:fill="auto"/>
          </w:tcPr>
          <w:p w14:paraId="5D0613C2" w14:textId="368D17F9" w:rsidR="006A517A" w:rsidRPr="0048713E" w:rsidRDefault="006A517A" w:rsidP="006A517A">
            <w:pPr>
              <w:rPr>
                <w:rFonts w:cs="Arial"/>
                <w:color w:val="000000"/>
                <w:sz w:val="17"/>
                <w:szCs w:val="17"/>
              </w:rPr>
            </w:pPr>
            <w:r w:rsidRPr="0048713E">
              <w:rPr>
                <w:sz w:val="17"/>
                <w:szCs w:val="17"/>
              </w:rPr>
              <w:t>Tracking Data</w:t>
            </w:r>
          </w:p>
        </w:tc>
        <w:tc>
          <w:tcPr>
            <w:tcW w:w="4100" w:type="dxa"/>
            <w:tcBorders>
              <w:top w:val="single" w:sz="4" w:space="0" w:color="60B8CC" w:themeColor="accent4"/>
              <w:left w:val="nil"/>
              <w:bottom w:val="single" w:sz="4" w:space="0" w:color="60B8CC" w:themeColor="accent4"/>
              <w:right w:val="nil"/>
            </w:tcBorders>
            <w:shd w:val="clear" w:color="auto" w:fill="auto"/>
          </w:tcPr>
          <w:p w14:paraId="4D30D9D5" w14:textId="5DDD83DF" w:rsidR="006A517A" w:rsidRPr="0048713E" w:rsidRDefault="006A517A" w:rsidP="006A517A">
            <w:pPr>
              <w:rPr>
                <w:rFonts w:cs="Arial"/>
                <w:color w:val="000000"/>
                <w:sz w:val="17"/>
                <w:szCs w:val="17"/>
              </w:rPr>
            </w:pPr>
            <w:r w:rsidRPr="0048713E">
              <w:rPr>
                <w:sz w:val="17"/>
                <w:szCs w:val="17"/>
              </w:rPr>
              <w:t>Sample of project files, total $/kWh</w:t>
            </w:r>
          </w:p>
        </w:tc>
      </w:tr>
      <w:tr w:rsidR="006A517A" w:rsidRPr="00F316BD" w14:paraId="0A6BC899"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FFFFFF" w:themeFill="background1"/>
          </w:tcPr>
          <w:p w14:paraId="358A40F6" w14:textId="1618E8BE" w:rsidR="006A517A" w:rsidRPr="0048713E" w:rsidRDefault="006A517A" w:rsidP="006A517A">
            <w:pPr>
              <w:rPr>
                <w:rFonts w:cs="Arial"/>
                <w:color w:val="000000"/>
                <w:sz w:val="17"/>
                <w:szCs w:val="17"/>
              </w:rPr>
            </w:pPr>
            <w:r w:rsidRPr="0048713E">
              <w:rPr>
                <w:sz w:val="17"/>
                <w:szCs w:val="17"/>
              </w:rPr>
              <w:t>Targeted Systems</w:t>
            </w:r>
          </w:p>
        </w:tc>
        <w:tc>
          <w:tcPr>
            <w:tcW w:w="1632" w:type="dxa"/>
            <w:tcBorders>
              <w:top w:val="single" w:sz="4" w:space="0" w:color="60B8CC" w:themeColor="accent4"/>
              <w:left w:val="nil"/>
              <w:bottom w:val="single" w:sz="4" w:space="0" w:color="60B8CC" w:themeColor="accent4"/>
              <w:right w:val="nil"/>
            </w:tcBorders>
            <w:shd w:val="clear" w:color="auto" w:fill="FFFFFF" w:themeFill="background1"/>
          </w:tcPr>
          <w:p w14:paraId="13EAE5D3" w14:textId="093127B2" w:rsidR="006A517A" w:rsidRPr="0048713E" w:rsidRDefault="006A517A" w:rsidP="006A517A">
            <w:pPr>
              <w:rPr>
                <w:rFonts w:cs="Arial"/>
                <w:color w:val="000000"/>
                <w:sz w:val="17"/>
                <w:szCs w:val="17"/>
              </w:rPr>
            </w:pPr>
            <w:r w:rsidRPr="0048713E">
              <w:rPr>
                <w:sz w:val="17"/>
                <w:szCs w:val="17"/>
              </w:rPr>
              <w:t>Retro</w:t>
            </w:r>
            <w:r w:rsidR="00223743">
              <w:rPr>
                <w:sz w:val="17"/>
                <w:szCs w:val="17"/>
              </w:rPr>
              <w:t xml:space="preserve"> </w:t>
            </w:r>
            <w:r w:rsidRPr="0048713E">
              <w:rPr>
                <w:sz w:val="17"/>
                <w:szCs w:val="17"/>
              </w:rPr>
              <w:t>Commissioning (RCx)</w:t>
            </w:r>
          </w:p>
        </w:tc>
        <w:tc>
          <w:tcPr>
            <w:tcW w:w="1782" w:type="dxa"/>
            <w:tcBorders>
              <w:top w:val="single" w:sz="4" w:space="0" w:color="60B8CC" w:themeColor="accent4"/>
              <w:left w:val="nil"/>
              <w:bottom w:val="single" w:sz="4" w:space="0" w:color="60B8CC" w:themeColor="accent4"/>
              <w:right w:val="nil"/>
            </w:tcBorders>
            <w:shd w:val="clear" w:color="auto" w:fill="auto"/>
          </w:tcPr>
          <w:p w14:paraId="357F9BEE" w14:textId="6A9E423B" w:rsidR="006A517A" w:rsidRPr="0048713E" w:rsidRDefault="006A517A" w:rsidP="006A517A">
            <w:pPr>
              <w:rPr>
                <w:rFonts w:cs="Arial"/>
                <w:color w:val="000000"/>
                <w:sz w:val="17"/>
                <w:szCs w:val="17"/>
              </w:rPr>
            </w:pPr>
            <w:r w:rsidRPr="0048713E">
              <w:rPr>
                <w:sz w:val="17"/>
                <w:szCs w:val="17"/>
              </w:rPr>
              <w:t>ComEd Project Files</w:t>
            </w:r>
          </w:p>
        </w:tc>
        <w:tc>
          <w:tcPr>
            <w:tcW w:w="4100" w:type="dxa"/>
            <w:tcBorders>
              <w:top w:val="single" w:sz="4" w:space="0" w:color="60B8CC" w:themeColor="accent4"/>
              <w:left w:val="nil"/>
              <w:bottom w:val="single" w:sz="4" w:space="0" w:color="60B8CC" w:themeColor="accent4"/>
              <w:right w:val="nil"/>
            </w:tcBorders>
            <w:shd w:val="clear" w:color="auto" w:fill="auto"/>
          </w:tcPr>
          <w:p w14:paraId="7B8DCFDA" w14:textId="545FB9BC" w:rsidR="006A517A" w:rsidRPr="0048713E" w:rsidRDefault="006A517A" w:rsidP="006A517A">
            <w:pPr>
              <w:rPr>
                <w:rFonts w:cs="Arial"/>
                <w:color w:val="000000"/>
                <w:sz w:val="17"/>
                <w:szCs w:val="17"/>
              </w:rPr>
            </w:pPr>
            <w:r w:rsidRPr="0048713E">
              <w:rPr>
                <w:sz w:val="17"/>
                <w:szCs w:val="17"/>
              </w:rPr>
              <w:t>Sample of project files, total $/kWh</w:t>
            </w:r>
          </w:p>
        </w:tc>
      </w:tr>
      <w:tr w:rsidR="006A517A" w:rsidRPr="00F316BD" w14:paraId="7DA1B3A8" w14:textId="77777777" w:rsidTr="006A517A">
        <w:trPr>
          <w:cantSplit/>
        </w:trPr>
        <w:tc>
          <w:tcPr>
            <w:tcW w:w="1846" w:type="dxa"/>
            <w:tcBorders>
              <w:top w:val="single" w:sz="4" w:space="0" w:color="60B8CC" w:themeColor="accent4"/>
              <w:left w:val="nil"/>
              <w:bottom w:val="single" w:sz="4" w:space="0" w:color="60B8CC" w:themeColor="accent4"/>
              <w:right w:val="nil"/>
            </w:tcBorders>
            <w:shd w:val="clear" w:color="auto" w:fill="auto"/>
          </w:tcPr>
          <w:p w14:paraId="63FB465C" w14:textId="77653523" w:rsidR="006A517A" w:rsidRPr="0048713E" w:rsidRDefault="006A517A" w:rsidP="006A517A">
            <w:pPr>
              <w:rPr>
                <w:rFonts w:cs="Arial"/>
                <w:color w:val="000000"/>
                <w:sz w:val="17"/>
                <w:szCs w:val="17"/>
              </w:rPr>
            </w:pPr>
            <w:r w:rsidRPr="0048713E">
              <w:rPr>
                <w:sz w:val="17"/>
                <w:szCs w:val="17"/>
              </w:rPr>
              <w:t>Targeted Systems</w:t>
            </w:r>
          </w:p>
        </w:tc>
        <w:tc>
          <w:tcPr>
            <w:tcW w:w="1632" w:type="dxa"/>
            <w:tcBorders>
              <w:top w:val="single" w:sz="4" w:space="0" w:color="60B8CC" w:themeColor="accent4"/>
              <w:left w:val="nil"/>
              <w:bottom w:val="single" w:sz="4" w:space="0" w:color="60B8CC" w:themeColor="accent4"/>
              <w:right w:val="nil"/>
            </w:tcBorders>
            <w:shd w:val="clear" w:color="auto" w:fill="auto"/>
          </w:tcPr>
          <w:p w14:paraId="39C71AC7" w14:textId="00B489BD" w:rsidR="006A517A" w:rsidRPr="0048713E" w:rsidRDefault="006A517A" w:rsidP="006A517A">
            <w:pPr>
              <w:rPr>
                <w:rFonts w:cs="Arial"/>
                <w:color w:val="000000"/>
                <w:sz w:val="17"/>
                <w:szCs w:val="17"/>
              </w:rPr>
            </w:pPr>
            <w:r w:rsidRPr="0048713E">
              <w:rPr>
                <w:sz w:val="17"/>
                <w:szCs w:val="17"/>
              </w:rPr>
              <w:t>Virtual Commissioning (</w:t>
            </w:r>
            <w:proofErr w:type="spellStart"/>
            <w:r w:rsidRPr="0048713E">
              <w:rPr>
                <w:sz w:val="17"/>
                <w:szCs w:val="17"/>
              </w:rPr>
              <w:t>VCx</w:t>
            </w:r>
            <w:proofErr w:type="spellEnd"/>
            <w:r w:rsidRPr="0048713E">
              <w:rPr>
                <w:sz w:val="17"/>
                <w:szCs w:val="17"/>
              </w:rPr>
              <w:t>)</w:t>
            </w:r>
          </w:p>
        </w:tc>
        <w:tc>
          <w:tcPr>
            <w:tcW w:w="1782" w:type="dxa"/>
            <w:tcBorders>
              <w:top w:val="single" w:sz="4" w:space="0" w:color="60B8CC" w:themeColor="accent4"/>
              <w:left w:val="nil"/>
              <w:bottom w:val="single" w:sz="4" w:space="0" w:color="60B8CC" w:themeColor="accent4"/>
              <w:right w:val="nil"/>
            </w:tcBorders>
            <w:shd w:val="clear" w:color="auto" w:fill="auto"/>
          </w:tcPr>
          <w:p w14:paraId="265B1897" w14:textId="2914BB41" w:rsidR="006A517A" w:rsidRPr="0048713E" w:rsidRDefault="006A517A" w:rsidP="006A517A">
            <w:pPr>
              <w:rPr>
                <w:rFonts w:cs="Arial"/>
                <w:color w:val="000000"/>
                <w:sz w:val="17"/>
                <w:szCs w:val="17"/>
              </w:rPr>
            </w:pPr>
            <w:r w:rsidRPr="0048713E">
              <w:rPr>
                <w:sz w:val="17"/>
                <w:szCs w:val="17"/>
              </w:rPr>
              <w:t>ComEd Project Files</w:t>
            </w:r>
          </w:p>
        </w:tc>
        <w:tc>
          <w:tcPr>
            <w:tcW w:w="4100" w:type="dxa"/>
            <w:tcBorders>
              <w:top w:val="single" w:sz="4" w:space="0" w:color="60B8CC" w:themeColor="accent4"/>
              <w:left w:val="nil"/>
              <w:bottom w:val="single" w:sz="4" w:space="0" w:color="60B8CC" w:themeColor="accent4"/>
              <w:right w:val="nil"/>
            </w:tcBorders>
            <w:shd w:val="clear" w:color="auto" w:fill="auto"/>
          </w:tcPr>
          <w:p w14:paraId="0FCB1999" w14:textId="1B606ACF" w:rsidR="006A517A" w:rsidRPr="0048713E" w:rsidRDefault="006A517A" w:rsidP="006A517A">
            <w:pPr>
              <w:rPr>
                <w:rFonts w:cs="Arial"/>
                <w:color w:val="000000"/>
                <w:sz w:val="17"/>
                <w:szCs w:val="17"/>
              </w:rPr>
            </w:pPr>
            <w:r w:rsidRPr="0048713E">
              <w:rPr>
                <w:sz w:val="17"/>
                <w:szCs w:val="17"/>
              </w:rPr>
              <w:t>Sample of project files, total $/kWh</w:t>
            </w:r>
          </w:p>
        </w:tc>
      </w:tr>
      <w:tr w:rsidR="00585016" w:rsidRPr="005E752D" w14:paraId="74C6C85D" w14:textId="77777777" w:rsidTr="006A517A">
        <w:trPr>
          <w:cantSplit/>
        </w:trPr>
        <w:tc>
          <w:tcPr>
            <w:tcW w:w="1846" w:type="dxa"/>
            <w:tcBorders>
              <w:top w:val="single" w:sz="4" w:space="0" w:color="60B8CC" w:themeColor="accent4"/>
              <w:left w:val="nil"/>
              <w:bottom w:val="single" w:sz="12" w:space="0" w:color="036479" w:themeColor="accent3"/>
              <w:right w:val="nil"/>
            </w:tcBorders>
            <w:shd w:val="clear" w:color="auto" w:fill="FFFFFF" w:themeFill="background1"/>
          </w:tcPr>
          <w:p w14:paraId="3F763343" w14:textId="79BFEE0E" w:rsidR="00585016" w:rsidRPr="0048713E" w:rsidRDefault="00585016" w:rsidP="00585016">
            <w:pPr>
              <w:rPr>
                <w:rFonts w:cs="Arial"/>
                <w:color w:val="000000"/>
                <w:sz w:val="17"/>
                <w:szCs w:val="17"/>
              </w:rPr>
            </w:pPr>
            <w:r w:rsidRPr="0048713E">
              <w:rPr>
                <w:rFonts w:cs="Arial"/>
                <w:sz w:val="17"/>
                <w:szCs w:val="17"/>
              </w:rPr>
              <w:t>Voltage Optimization</w:t>
            </w:r>
          </w:p>
        </w:tc>
        <w:tc>
          <w:tcPr>
            <w:tcW w:w="1632" w:type="dxa"/>
            <w:tcBorders>
              <w:top w:val="single" w:sz="4" w:space="0" w:color="60B8CC" w:themeColor="accent4"/>
              <w:left w:val="nil"/>
              <w:bottom w:val="single" w:sz="12" w:space="0" w:color="036479" w:themeColor="accent3"/>
              <w:right w:val="nil"/>
            </w:tcBorders>
            <w:shd w:val="clear" w:color="auto" w:fill="FFFFFF" w:themeFill="background1"/>
          </w:tcPr>
          <w:p w14:paraId="3499554D" w14:textId="531C92E2" w:rsidR="00585016" w:rsidRPr="0048713E" w:rsidRDefault="00585016" w:rsidP="00585016">
            <w:pPr>
              <w:rPr>
                <w:rFonts w:cs="Arial"/>
                <w:color w:val="000000"/>
                <w:sz w:val="17"/>
                <w:szCs w:val="17"/>
              </w:rPr>
            </w:pPr>
            <w:r w:rsidRPr="0048713E">
              <w:rPr>
                <w:rFonts w:cs="Arial"/>
                <w:sz w:val="17"/>
                <w:szCs w:val="17"/>
              </w:rPr>
              <w:t>VO</w:t>
            </w:r>
          </w:p>
        </w:tc>
        <w:tc>
          <w:tcPr>
            <w:tcW w:w="1782" w:type="dxa"/>
            <w:tcBorders>
              <w:top w:val="single" w:sz="4" w:space="0" w:color="60B8CC" w:themeColor="accent4"/>
              <w:left w:val="nil"/>
              <w:bottom w:val="single" w:sz="12" w:space="0" w:color="036479" w:themeColor="accent3"/>
              <w:right w:val="nil"/>
            </w:tcBorders>
            <w:shd w:val="clear" w:color="auto" w:fill="FFFFFF" w:themeFill="background1"/>
          </w:tcPr>
          <w:p w14:paraId="796A3B25" w14:textId="0A3BD56D" w:rsidR="00585016" w:rsidRPr="0048713E" w:rsidRDefault="00585016" w:rsidP="00585016">
            <w:pPr>
              <w:rPr>
                <w:rFonts w:cs="Arial"/>
                <w:color w:val="000000"/>
                <w:sz w:val="17"/>
                <w:szCs w:val="17"/>
              </w:rPr>
            </w:pPr>
            <w:r w:rsidRPr="0048713E">
              <w:rPr>
                <w:rFonts w:cs="Arial"/>
                <w:sz w:val="17"/>
                <w:szCs w:val="17"/>
              </w:rPr>
              <w:t>Project Files</w:t>
            </w:r>
          </w:p>
        </w:tc>
        <w:tc>
          <w:tcPr>
            <w:tcW w:w="4100" w:type="dxa"/>
            <w:tcBorders>
              <w:top w:val="single" w:sz="4" w:space="0" w:color="60B8CC" w:themeColor="accent4"/>
              <w:left w:val="nil"/>
              <w:bottom w:val="single" w:sz="12" w:space="0" w:color="036479" w:themeColor="accent3"/>
              <w:right w:val="nil"/>
            </w:tcBorders>
            <w:shd w:val="clear" w:color="auto" w:fill="FFFFFF" w:themeFill="background1"/>
          </w:tcPr>
          <w:p w14:paraId="7B6BE1EA" w14:textId="34776A99" w:rsidR="00585016" w:rsidRPr="0048713E" w:rsidRDefault="00585016" w:rsidP="00585016">
            <w:pPr>
              <w:rPr>
                <w:rFonts w:cs="Arial"/>
                <w:color w:val="000000"/>
                <w:sz w:val="17"/>
                <w:szCs w:val="17"/>
              </w:rPr>
            </w:pPr>
            <w:r w:rsidRPr="0048713E">
              <w:rPr>
                <w:rFonts w:cs="Arial"/>
                <w:sz w:val="17"/>
                <w:szCs w:val="17"/>
              </w:rPr>
              <w:t xml:space="preserve">Total costs obtained from ComEd provided documentation. </w:t>
            </w:r>
          </w:p>
        </w:tc>
      </w:tr>
    </w:tbl>
    <w:p w14:paraId="7D2C95A0" w14:textId="77777777" w:rsidR="001B5EAD" w:rsidRDefault="001B5EAD" w:rsidP="00C55142">
      <w:pPr>
        <w:pStyle w:val="Source"/>
      </w:pPr>
      <w:r w:rsidRPr="00517E14">
        <w:t xml:space="preserve">Source: </w:t>
      </w:r>
      <w:r>
        <w:t>Guidehouse</w:t>
      </w:r>
      <w:r w:rsidRPr="00517E14">
        <w:t xml:space="preserve"> analysis</w:t>
      </w:r>
    </w:p>
    <w:p w14:paraId="32751F00" w14:textId="61626839" w:rsidR="001B5EAD" w:rsidRPr="00F164AD" w:rsidRDefault="001B5EAD" w:rsidP="001B5EAD">
      <w:pPr>
        <w:pStyle w:val="Heading2"/>
      </w:pPr>
      <w:bookmarkStart w:id="149" w:name="_Toc508267220"/>
      <w:bookmarkStart w:id="150" w:name="_Ref509220329"/>
      <w:bookmarkStart w:id="151" w:name="_Ref509924689"/>
      <w:bookmarkStart w:id="152" w:name="_Ref510090130"/>
      <w:bookmarkStart w:id="153" w:name="_Ref510095551"/>
      <w:bookmarkStart w:id="154" w:name="_Ref510111571"/>
      <w:bookmarkStart w:id="155" w:name="_Ref512357860"/>
      <w:bookmarkStart w:id="156" w:name="_Toc196925674"/>
      <w:r w:rsidRPr="00F164AD">
        <w:t>Findings</w:t>
      </w:r>
      <w:bookmarkEnd w:id="149"/>
      <w:bookmarkEnd w:id="150"/>
      <w:bookmarkEnd w:id="151"/>
      <w:bookmarkEnd w:id="152"/>
      <w:bookmarkEnd w:id="153"/>
      <w:bookmarkEnd w:id="154"/>
      <w:bookmarkEnd w:id="155"/>
      <w:bookmarkEnd w:id="156"/>
    </w:p>
    <w:p w14:paraId="523310DA" w14:textId="5BD91EDF" w:rsidR="001B5EAD" w:rsidRPr="007F16B0" w:rsidRDefault="001B5EAD" w:rsidP="001B5EAD">
      <w:pPr>
        <w:pStyle w:val="BodyText"/>
      </w:pPr>
      <w:r w:rsidRPr="007F16B0">
        <w:t>Guidehouse performed a bottom-up analysis for each program in ComEd’s CY202</w:t>
      </w:r>
      <w:r w:rsidR="00066297">
        <w:t>4</w:t>
      </w:r>
      <w:r w:rsidRPr="007F16B0">
        <w:t xml:space="preserve"> portfolio and offers the following finding</w:t>
      </w:r>
      <w:r w:rsidR="0036760E" w:rsidRPr="007F16B0">
        <w:t>s</w:t>
      </w:r>
      <w:r w:rsidR="00195E29">
        <w:t>:</w:t>
      </w:r>
    </w:p>
    <w:p w14:paraId="1315AB6C" w14:textId="4F098FF3" w:rsidR="00060CBA" w:rsidRPr="007F16B0" w:rsidRDefault="001B5EAD" w:rsidP="00195E29">
      <w:pPr>
        <w:pStyle w:val="BodyText"/>
        <w:numPr>
          <w:ilvl w:val="0"/>
          <w:numId w:val="54"/>
        </w:numPr>
      </w:pPr>
      <w:r w:rsidRPr="007F16B0">
        <w:rPr>
          <w:b/>
        </w:rPr>
        <w:t xml:space="preserve">Finding 1. </w:t>
      </w:r>
      <w:r w:rsidR="00650D65">
        <w:t xml:space="preserve">Portfolio TRC </w:t>
      </w:r>
      <w:r w:rsidR="00885B33">
        <w:t xml:space="preserve">(excluding NEIs) </w:t>
      </w:r>
      <w:r w:rsidR="00650D65">
        <w:t>increased significantly</w:t>
      </w:r>
      <w:r w:rsidR="00885B33">
        <w:t xml:space="preserve"> to </w:t>
      </w:r>
      <w:r w:rsidR="00B67133">
        <w:t>3.03</w:t>
      </w:r>
      <w:r w:rsidR="00885B33">
        <w:t>,</w:t>
      </w:r>
      <w:r w:rsidR="00064753">
        <w:t xml:space="preserve"> </w:t>
      </w:r>
      <w:r w:rsidR="00885B33">
        <w:t>up from</w:t>
      </w:r>
      <w:r w:rsidR="00862106">
        <w:t xml:space="preserve"> </w:t>
      </w:r>
      <w:r w:rsidR="007D77E9">
        <w:t>2.05</w:t>
      </w:r>
      <w:r w:rsidR="00885B33">
        <w:t xml:space="preserve"> in CY2023</w:t>
      </w:r>
      <w:r w:rsidR="008340EC">
        <w:t xml:space="preserve">. </w:t>
      </w:r>
      <w:r w:rsidR="00961E79">
        <w:t xml:space="preserve">When including NEI, the TRC rose from </w:t>
      </w:r>
      <w:r w:rsidR="00DE4F27">
        <w:t xml:space="preserve">2.90 to 5.35. </w:t>
      </w:r>
      <w:r w:rsidR="00C068B8">
        <w:t xml:space="preserve">This year-over-year improvement was largely driven by </w:t>
      </w:r>
      <w:r w:rsidR="0016121B">
        <w:t xml:space="preserve">increased electric and </w:t>
      </w:r>
      <w:r w:rsidR="00885B33">
        <w:t xml:space="preserve">societal </w:t>
      </w:r>
      <w:r w:rsidR="00147749">
        <w:t>benefits</w:t>
      </w:r>
      <w:r w:rsidR="00885B33">
        <w:t>, resulting from increased lifetime savings</w:t>
      </w:r>
      <w:r w:rsidR="00FE7482">
        <w:t xml:space="preserve">; </w:t>
      </w:r>
      <w:r w:rsidR="00305E84">
        <w:t>t</w:t>
      </w:r>
      <w:r w:rsidR="00FE7482">
        <w:t xml:space="preserve">he portfolio </w:t>
      </w:r>
      <w:r w:rsidR="00305E84">
        <w:t>accumulated</w:t>
      </w:r>
      <w:r w:rsidR="00881311">
        <w:t xml:space="preserve"> </w:t>
      </w:r>
      <w:r w:rsidR="009841DA">
        <w:t xml:space="preserve">over 21.5B kWh in </w:t>
      </w:r>
      <w:r w:rsidR="009D4B09">
        <w:t xml:space="preserve">electric </w:t>
      </w:r>
      <w:r w:rsidR="00856742">
        <w:t xml:space="preserve">verified net </w:t>
      </w:r>
      <w:r w:rsidR="009841DA">
        <w:t>lifetime savings this year</w:t>
      </w:r>
      <w:r w:rsidR="00700501">
        <w:t xml:space="preserve">, up from 17.2B kWh in </w:t>
      </w:r>
      <w:r w:rsidR="001478B7">
        <w:t>C</w:t>
      </w:r>
      <w:r w:rsidR="00700501">
        <w:t>Y2023.</w:t>
      </w:r>
      <w:r w:rsidR="00961E79">
        <w:t xml:space="preserve"> </w:t>
      </w:r>
    </w:p>
    <w:p w14:paraId="1019A83F" w14:textId="0366CB14" w:rsidR="00491E8F" w:rsidRPr="00491E8F" w:rsidRDefault="002F7925" w:rsidP="00491E8F">
      <w:pPr>
        <w:pStyle w:val="ListParagraph"/>
        <w:numPr>
          <w:ilvl w:val="0"/>
          <w:numId w:val="54"/>
        </w:numPr>
      </w:pPr>
      <w:r>
        <w:rPr>
          <w:b/>
        </w:rPr>
        <w:t>Finding</w:t>
      </w:r>
      <w:r w:rsidRPr="00491E8F">
        <w:t xml:space="preserve"> </w:t>
      </w:r>
      <w:r w:rsidRPr="00CF210D">
        <w:rPr>
          <w:b/>
          <w:bCs/>
        </w:rPr>
        <w:t>2</w:t>
      </w:r>
      <w:r w:rsidR="00CF210D" w:rsidRPr="00CF210D">
        <w:rPr>
          <w:b/>
          <w:bCs/>
        </w:rPr>
        <w:t>.</w:t>
      </w:r>
      <w:r w:rsidR="00CF210D">
        <w:t xml:space="preserve"> </w:t>
      </w:r>
      <w:r w:rsidR="00491E8F" w:rsidRPr="00491E8F">
        <w:t>TRC costs decreased slightly from CY2023 to CY2024, going from $503M to $484M. While measure-level incremental costs stayed relatively consistent year-over-year at ~$270M, program-level administrative costs dropped from $164M to $146M in CY2024.</w:t>
      </w:r>
    </w:p>
    <w:p w14:paraId="4115A025" w14:textId="3CE43CA9" w:rsidR="00491E8F" w:rsidRPr="007F16B0" w:rsidRDefault="00CF210D" w:rsidP="002F7925">
      <w:pPr>
        <w:pStyle w:val="ListParagraph"/>
        <w:numPr>
          <w:ilvl w:val="0"/>
          <w:numId w:val="54"/>
        </w:numPr>
      </w:pPr>
      <w:r>
        <w:rPr>
          <w:b/>
        </w:rPr>
        <w:t>Finding</w:t>
      </w:r>
      <w:r w:rsidRPr="002F7925">
        <w:t xml:space="preserve"> </w:t>
      </w:r>
      <w:r w:rsidRPr="00CF210D">
        <w:rPr>
          <w:b/>
          <w:bCs/>
        </w:rPr>
        <w:t>3.</w:t>
      </w:r>
      <w:r w:rsidR="00F02FBB">
        <w:rPr>
          <w:b/>
          <w:bCs/>
        </w:rPr>
        <w:t xml:space="preserve"> </w:t>
      </w:r>
      <w:r w:rsidR="002F7925" w:rsidRPr="002F7925">
        <w:t>TRC benefits increased significantly in CY2024, leading to the jump in TRC and UCT scores in both the residential and business sectors. The largest benefits increase came from Electricity Avoided Costs, which grew from $595M in CY2023 to $819M in CY2024</w:t>
      </w:r>
      <w:r w:rsidR="00DE4F27">
        <w:t xml:space="preserve">, and </w:t>
      </w:r>
      <w:r w:rsidR="00FC01E0">
        <w:t>Societal NEI</w:t>
      </w:r>
      <w:r w:rsidR="00B442D2">
        <w:t>s, w</w:t>
      </w:r>
      <w:r w:rsidR="00EB4DB4">
        <w:t xml:space="preserve">hich </w:t>
      </w:r>
      <w:r w:rsidR="000C5C43">
        <w:t xml:space="preserve">grew from </w:t>
      </w:r>
      <w:r w:rsidR="004F31A5">
        <w:t xml:space="preserve">$467M to </w:t>
      </w:r>
      <w:r w:rsidR="001E3A81">
        <w:t>$1,252M.</w:t>
      </w:r>
    </w:p>
    <w:p w14:paraId="3034AA5B" w14:textId="6A81063F" w:rsidR="000C4E18" w:rsidRPr="007F16B0" w:rsidRDefault="000C4E18" w:rsidP="00195E29">
      <w:pPr>
        <w:pStyle w:val="BodyText"/>
        <w:numPr>
          <w:ilvl w:val="0"/>
          <w:numId w:val="54"/>
        </w:numPr>
      </w:pPr>
      <w:r>
        <w:rPr>
          <w:b/>
        </w:rPr>
        <w:t xml:space="preserve">Finding </w:t>
      </w:r>
      <w:r w:rsidR="00CF210D">
        <w:rPr>
          <w:b/>
        </w:rPr>
        <w:t>4</w:t>
      </w:r>
      <w:r>
        <w:rPr>
          <w:b/>
        </w:rPr>
        <w:t>.</w:t>
      </w:r>
      <w:r>
        <w:t xml:space="preserve"> </w:t>
      </w:r>
      <w:r w:rsidR="001E3A81">
        <w:t>When</w:t>
      </w:r>
      <w:r w:rsidR="00927795">
        <w:t xml:space="preserve"> including</w:t>
      </w:r>
      <w:r w:rsidR="001478B7">
        <w:t xml:space="preserve"> NEIs, all but </w:t>
      </w:r>
      <w:r w:rsidR="00370F63">
        <w:t>one</w:t>
      </w:r>
      <w:r w:rsidR="002F41F9">
        <w:t xml:space="preserve"> </w:t>
      </w:r>
      <w:r w:rsidR="00EC6CF9">
        <w:t>Residential</w:t>
      </w:r>
      <w:r w:rsidR="001478B7">
        <w:t xml:space="preserve"> program achieved </w:t>
      </w:r>
      <w:r w:rsidR="005B1EDC">
        <w:t xml:space="preserve">TRC </w:t>
      </w:r>
      <w:r w:rsidR="001478B7">
        <w:t>cost-effectiveness in CY202</w:t>
      </w:r>
      <w:r w:rsidR="009C74BB">
        <w:t>4</w:t>
      </w:r>
      <w:r w:rsidR="00466039">
        <w:t>. The TRC for</w:t>
      </w:r>
      <w:r w:rsidR="00370F63">
        <w:t xml:space="preserve"> </w:t>
      </w:r>
      <w:r w:rsidR="008C3887">
        <w:t xml:space="preserve">Whole Home Electric </w:t>
      </w:r>
      <w:r w:rsidR="0092664D">
        <w:t>is</w:t>
      </w:r>
      <w:r w:rsidR="005B1EDC">
        <w:t xml:space="preserve"> </w:t>
      </w:r>
      <w:r w:rsidR="001B3DAB">
        <w:t>0.6</w:t>
      </w:r>
      <w:r w:rsidR="00FC07BC">
        <w:t>9</w:t>
      </w:r>
      <w:r w:rsidR="001B3DAB">
        <w:t xml:space="preserve"> and </w:t>
      </w:r>
      <w:r w:rsidR="009772DC">
        <w:t xml:space="preserve">the </w:t>
      </w:r>
      <w:r w:rsidR="001B3DAB">
        <w:t xml:space="preserve">UCT </w:t>
      </w:r>
      <w:r w:rsidR="009772DC">
        <w:t xml:space="preserve">is </w:t>
      </w:r>
      <w:r w:rsidR="00FF30BE">
        <w:t>0.34</w:t>
      </w:r>
      <w:r w:rsidR="00C04EE9">
        <w:t xml:space="preserve">. </w:t>
      </w:r>
      <w:r w:rsidR="00514A85">
        <w:t>Several</w:t>
      </w:r>
      <w:r w:rsidR="00C04EE9">
        <w:t xml:space="preserve"> other programs came short of UCT cost effectiveness, including </w:t>
      </w:r>
      <w:r w:rsidR="00247F26">
        <w:t>Multifamily Upgrades (</w:t>
      </w:r>
      <w:r w:rsidR="009D2FAC">
        <w:t>0.</w:t>
      </w:r>
      <w:r w:rsidR="00360F1F">
        <w:t>63</w:t>
      </w:r>
      <w:r w:rsidR="009D2FAC">
        <w:t xml:space="preserve">), </w:t>
      </w:r>
      <w:r w:rsidR="00771723">
        <w:t>New Construction – IE (</w:t>
      </w:r>
      <w:r w:rsidR="00F52363">
        <w:t>0.</w:t>
      </w:r>
      <w:r w:rsidR="00360F1F">
        <w:t>70</w:t>
      </w:r>
      <w:r w:rsidR="00F52363">
        <w:t xml:space="preserve">), </w:t>
      </w:r>
      <w:r w:rsidR="006C0D08">
        <w:t xml:space="preserve">and </w:t>
      </w:r>
      <w:r w:rsidR="002F41F9">
        <w:t>Single</w:t>
      </w:r>
      <w:r w:rsidR="00EC6CF9">
        <w:t>-Family Upgrades</w:t>
      </w:r>
      <w:r w:rsidR="006C0D08">
        <w:t xml:space="preserve"> (0.</w:t>
      </w:r>
      <w:r w:rsidR="00EC6CF9">
        <w:t>5</w:t>
      </w:r>
      <w:r w:rsidR="006C0D08">
        <w:t>0).</w:t>
      </w:r>
    </w:p>
    <w:p w14:paraId="2ED19059" w14:textId="5F90A250" w:rsidR="00717398" w:rsidRDefault="00F26408" w:rsidP="00195E29">
      <w:pPr>
        <w:pStyle w:val="BodyText"/>
        <w:numPr>
          <w:ilvl w:val="0"/>
          <w:numId w:val="54"/>
        </w:numPr>
      </w:pPr>
      <w:r w:rsidRPr="007F16B0">
        <w:rPr>
          <w:b/>
        </w:rPr>
        <w:t xml:space="preserve">Finding </w:t>
      </w:r>
      <w:r w:rsidR="00CF210D">
        <w:rPr>
          <w:b/>
        </w:rPr>
        <w:t>5</w:t>
      </w:r>
      <w:r w:rsidRPr="007F16B0">
        <w:rPr>
          <w:b/>
        </w:rPr>
        <w:t xml:space="preserve">. </w:t>
      </w:r>
      <w:r w:rsidR="00501A56">
        <w:t xml:space="preserve">The Retail/Online program </w:t>
      </w:r>
      <w:r w:rsidR="000441FC">
        <w:t xml:space="preserve">saw the largest </w:t>
      </w:r>
      <w:r w:rsidR="004D12FF">
        <w:t>year-over-year</w:t>
      </w:r>
      <w:r w:rsidR="000441FC">
        <w:t xml:space="preserve"> benefits increase of any program, reaching over $500M in TRC benefits in CY2024. This was largely driven by nearly $200M </w:t>
      </w:r>
      <w:r w:rsidR="005879A7">
        <w:t xml:space="preserve">in fossil fuel benefits, resulting from the </w:t>
      </w:r>
      <w:r w:rsidR="009C2093">
        <w:t xml:space="preserve">36 </w:t>
      </w:r>
      <w:r w:rsidR="006A4CDF">
        <w:t>million</w:t>
      </w:r>
      <w:r w:rsidR="009C2093">
        <w:t xml:space="preserve"> Therms of first-year gas savings achieved by the program.</w:t>
      </w:r>
      <w:r w:rsidR="00BA0D28">
        <w:t xml:space="preserve"> Overall growth of the program </w:t>
      </w:r>
      <w:r w:rsidR="003A677A">
        <w:t xml:space="preserve">was </w:t>
      </w:r>
      <w:r w:rsidR="00DB2A61">
        <w:t xml:space="preserve">enhanced by the </w:t>
      </w:r>
      <w:r w:rsidR="00B36973">
        <w:t xml:space="preserve">addition of the ESRPP component </w:t>
      </w:r>
      <w:r w:rsidR="00F76617">
        <w:t xml:space="preserve">in CY2024, which contributed </w:t>
      </w:r>
      <w:r w:rsidR="009B11E0">
        <w:t>4.87</w:t>
      </w:r>
      <w:r w:rsidR="00986441">
        <w:t xml:space="preserve"> GWh of </w:t>
      </w:r>
      <w:r w:rsidR="00451D11">
        <w:t xml:space="preserve">net </w:t>
      </w:r>
      <w:r w:rsidR="00986441">
        <w:t>first-year savings</w:t>
      </w:r>
      <w:r w:rsidR="00CD6592">
        <w:t>.</w:t>
      </w:r>
    </w:p>
    <w:p w14:paraId="1BD9312F" w14:textId="555B2EF6" w:rsidR="001C67A3" w:rsidRDefault="001C67A3" w:rsidP="004C1894">
      <w:pPr>
        <w:pStyle w:val="BodyText"/>
        <w:numPr>
          <w:ilvl w:val="0"/>
          <w:numId w:val="55"/>
        </w:numPr>
      </w:pPr>
      <w:r w:rsidRPr="002C5BD4">
        <w:rPr>
          <w:b/>
        </w:rPr>
        <w:lastRenderedPageBreak/>
        <w:t xml:space="preserve">Finding </w:t>
      </w:r>
      <w:r w:rsidR="00CF210D">
        <w:rPr>
          <w:b/>
        </w:rPr>
        <w:t>6</w:t>
      </w:r>
      <w:r w:rsidRPr="002C5BD4">
        <w:rPr>
          <w:b/>
        </w:rPr>
        <w:t xml:space="preserve">. </w:t>
      </w:r>
      <w:r w:rsidR="00177154">
        <w:t xml:space="preserve">Cost effectiveness for many programs </w:t>
      </w:r>
      <w:r w:rsidR="008433BD">
        <w:t>including</w:t>
      </w:r>
      <w:r w:rsidR="004A1423">
        <w:t xml:space="preserve"> Product Distribution and Retail/Online </w:t>
      </w:r>
      <w:r w:rsidR="00177154">
        <w:t>continues to be driven</w:t>
      </w:r>
      <w:r w:rsidR="008433BD">
        <w:t xml:space="preserve"> largely</w:t>
      </w:r>
      <w:r w:rsidR="00177154">
        <w:t xml:space="preserve"> by </w:t>
      </w:r>
      <w:r w:rsidR="007374A2">
        <w:t>lighting measures</w:t>
      </w:r>
      <w:r w:rsidR="008433BD">
        <w:t xml:space="preserve"> which ca</w:t>
      </w:r>
      <w:r w:rsidR="00FA7848">
        <w:t xml:space="preserve">n accumulate significant energy savings at low cost. </w:t>
      </w:r>
      <w:r w:rsidR="00AC4BA2">
        <w:t xml:space="preserve">Additionally, shell measures such as spray foam </w:t>
      </w:r>
      <w:r w:rsidR="00051096">
        <w:t xml:space="preserve">and </w:t>
      </w:r>
      <w:r w:rsidR="00061C07">
        <w:t xml:space="preserve">insulation </w:t>
      </w:r>
      <w:r w:rsidR="006C395C">
        <w:t xml:space="preserve">and water-saving measures such as showerheads were able to take advantage of </w:t>
      </w:r>
      <w:r w:rsidR="002C03E1">
        <w:t xml:space="preserve">additional </w:t>
      </w:r>
      <w:r w:rsidR="00245524">
        <w:t xml:space="preserve">TRC benefit </w:t>
      </w:r>
      <w:r w:rsidR="00AA325A">
        <w:t xml:space="preserve">streams </w:t>
      </w:r>
      <w:r w:rsidR="00162492">
        <w:t>such as</w:t>
      </w:r>
      <w:r w:rsidR="002A25C3">
        <w:t xml:space="preserve"> societal and</w:t>
      </w:r>
      <w:r w:rsidR="00162492">
        <w:t xml:space="preserve"> </w:t>
      </w:r>
      <w:r w:rsidR="00131C75">
        <w:t>water</w:t>
      </w:r>
      <w:r w:rsidR="002A25C3">
        <w:t>,</w:t>
      </w:r>
      <w:r w:rsidR="00131C75">
        <w:t xml:space="preserve"> </w:t>
      </w:r>
      <w:r w:rsidR="00AA325A">
        <w:t xml:space="preserve">and low customer incremental costs to </w:t>
      </w:r>
      <w:r w:rsidR="00845058">
        <w:t>achieve high TRC out</w:t>
      </w:r>
      <w:r w:rsidR="00B70F9F">
        <w:t>comes.</w:t>
      </w:r>
    </w:p>
    <w:p w14:paraId="43333592" w14:textId="554C9A73" w:rsidR="001C67A3" w:rsidRDefault="004A0EF4">
      <w:pPr>
        <w:pStyle w:val="BodyText"/>
        <w:numPr>
          <w:ilvl w:val="0"/>
          <w:numId w:val="55"/>
        </w:numPr>
      </w:pPr>
      <w:r w:rsidRPr="00305695">
        <w:rPr>
          <w:b/>
        </w:rPr>
        <w:t xml:space="preserve">Finding </w:t>
      </w:r>
      <w:r w:rsidR="00CF210D">
        <w:rPr>
          <w:b/>
        </w:rPr>
        <w:t>7</w:t>
      </w:r>
      <w:r w:rsidRPr="00305695">
        <w:rPr>
          <w:b/>
        </w:rPr>
        <w:t xml:space="preserve">. </w:t>
      </w:r>
      <w:r w:rsidR="00DA1AB1">
        <w:t xml:space="preserve"> </w:t>
      </w:r>
      <w:r w:rsidR="005525E3">
        <w:t>E</w:t>
      </w:r>
      <w:r w:rsidR="00DA1AB1">
        <w:t xml:space="preserve">xcluding </w:t>
      </w:r>
      <w:r w:rsidR="007C4E0C">
        <w:t>Income-Eligible programs</w:t>
      </w:r>
      <w:r w:rsidR="005525E3">
        <w:t xml:space="preserve"> causes</w:t>
      </w:r>
      <w:r w:rsidR="007C4E0C">
        <w:t xml:space="preserve"> portfolio TRC (no NEI</w:t>
      </w:r>
      <w:r w:rsidR="00ED20F4">
        <w:t xml:space="preserve">) </w:t>
      </w:r>
      <w:r w:rsidR="005525E3">
        <w:t>to drop</w:t>
      </w:r>
      <w:r w:rsidR="001F73B5">
        <w:t xml:space="preserve"> from </w:t>
      </w:r>
      <w:r w:rsidR="005525E3">
        <w:t xml:space="preserve">3.03 to 2.85. </w:t>
      </w:r>
      <w:r w:rsidR="00514A85">
        <w:t>The</w:t>
      </w:r>
      <w:r w:rsidR="000F4D4E">
        <w:t xml:space="preserve"> </w:t>
      </w:r>
      <w:r w:rsidR="00F4048D">
        <w:t>IE portions of</w:t>
      </w:r>
      <w:r w:rsidR="009B0FE7">
        <w:t xml:space="preserve"> relevant</w:t>
      </w:r>
      <w:r w:rsidR="00F4048D">
        <w:t xml:space="preserve"> programs </w:t>
      </w:r>
      <w:r w:rsidR="00FA3285">
        <w:t xml:space="preserve">contribute more than </w:t>
      </w:r>
      <w:r w:rsidR="00F25DA7">
        <w:t xml:space="preserve">$450B to the total TRC </w:t>
      </w:r>
      <w:r w:rsidR="00A235F5">
        <w:t xml:space="preserve">benefits </w:t>
      </w:r>
      <w:r w:rsidR="009B0FE7">
        <w:t>of ComEd’s CY2024 portfolio.</w:t>
      </w:r>
    </w:p>
    <w:p w14:paraId="0B067A0E" w14:textId="658C71AF" w:rsidR="001C67A3" w:rsidRPr="001B5EAD" w:rsidRDefault="004677A9">
      <w:pPr>
        <w:pStyle w:val="BodyText"/>
        <w:numPr>
          <w:ilvl w:val="0"/>
          <w:numId w:val="55"/>
        </w:numPr>
      </w:pPr>
      <w:r w:rsidRPr="66898C35">
        <w:rPr>
          <w:b/>
          <w:bCs/>
        </w:rPr>
        <w:t xml:space="preserve">Finding </w:t>
      </w:r>
      <w:r w:rsidR="00CF210D" w:rsidRPr="66898C35">
        <w:rPr>
          <w:b/>
          <w:bCs/>
        </w:rPr>
        <w:t>8</w:t>
      </w:r>
      <w:r w:rsidRPr="66898C35">
        <w:rPr>
          <w:b/>
          <w:bCs/>
        </w:rPr>
        <w:t>.</w:t>
      </w:r>
      <w:r w:rsidR="008304A0">
        <w:t xml:space="preserve"> Emissions and societal benefits </w:t>
      </w:r>
      <w:r w:rsidR="00AB0611">
        <w:t>played an outsized role in TRC growth in CY2024. E</w:t>
      </w:r>
      <w:r w:rsidR="00A51C1C">
        <w:t>missions benefits grew from</w:t>
      </w:r>
      <w:r w:rsidR="00407ECB">
        <w:t xml:space="preserve"> </w:t>
      </w:r>
      <w:r w:rsidR="006D52B7">
        <w:t>$378M</w:t>
      </w:r>
      <w:r w:rsidR="00A51C1C">
        <w:t xml:space="preserve"> </w:t>
      </w:r>
      <w:r w:rsidR="00407ECB">
        <w:t xml:space="preserve">to $562M, </w:t>
      </w:r>
      <w:r w:rsidR="006D52B7">
        <w:t xml:space="preserve">and Societal from $467M to $1,252M; together, these two benefit streams make up </w:t>
      </w:r>
      <w:r w:rsidR="00704DB0">
        <w:t>over 62% of port</w:t>
      </w:r>
      <w:r w:rsidR="003744ED">
        <w:t>folio TRC benefits.</w:t>
      </w:r>
    </w:p>
    <w:p w14:paraId="34CFDD6C" w14:textId="57F23039" w:rsidR="1C1B85D3" w:rsidRDefault="1C1B85D3" w:rsidP="66898C35">
      <w:pPr>
        <w:pStyle w:val="BodyText"/>
        <w:numPr>
          <w:ilvl w:val="0"/>
          <w:numId w:val="55"/>
        </w:numPr>
      </w:pPr>
      <w:r w:rsidRPr="000C6867">
        <w:rPr>
          <w:b/>
          <w:bCs/>
        </w:rPr>
        <w:t>Finding 9.</w:t>
      </w:r>
      <w:r>
        <w:t xml:space="preserve"> </w:t>
      </w:r>
      <w:r w:rsidR="7FD050C3">
        <w:t xml:space="preserve">CY2024 </w:t>
      </w:r>
      <w:r w:rsidR="622D3901">
        <w:t>s</w:t>
      </w:r>
      <w:r w:rsidR="0E63FFB1">
        <w:t xml:space="preserve">ocietal benefits have increased by </w:t>
      </w:r>
      <w:r w:rsidR="4433C0EF">
        <w:t>168% from</w:t>
      </w:r>
      <w:r w:rsidR="46801BD1">
        <w:t xml:space="preserve"> CY2023, this is </w:t>
      </w:r>
      <w:r w:rsidR="66C5C53A">
        <w:t>due to COBRA updates in 2024 by the EPA to estimate changes in annual ambient concentrations of both particulate matter</w:t>
      </w:r>
      <w:r w:rsidR="00977FB0">
        <w:t xml:space="preserve"> </w:t>
      </w:r>
      <w:r w:rsidR="66C5C53A">
        <w:t>(PM</w:t>
      </w:r>
      <w:r w:rsidR="66C5C53A" w:rsidRPr="00977FB0">
        <w:rPr>
          <w:vertAlign w:val="subscript"/>
        </w:rPr>
        <w:t>2.5</w:t>
      </w:r>
      <w:r w:rsidR="66C5C53A">
        <w:t>) and ozone</w:t>
      </w:r>
      <w:r w:rsidR="00D97C6A">
        <w:t>. In</w:t>
      </w:r>
      <w:r w:rsidR="66C5C53A">
        <w:t xml:space="preserve"> previous years COBRA only estimated the health impacts of PM</w:t>
      </w:r>
      <w:r w:rsidR="66C5C53A" w:rsidRPr="00D97C6A">
        <w:rPr>
          <w:vertAlign w:val="subscript"/>
        </w:rPr>
        <w:t>2.5</w:t>
      </w:r>
      <w:r w:rsidR="66C5C53A">
        <w:t>.</w:t>
      </w:r>
      <w:r w:rsidR="39E5A87B">
        <w:t xml:space="preserve"> The </w:t>
      </w:r>
      <w:r w:rsidR="39E5A87B" w:rsidRPr="66898C35">
        <w:rPr>
          <w:rFonts w:eastAsia="Arial" w:cs="Arial"/>
          <w:color w:val="000000" w:themeColor="text1"/>
          <w:szCs w:val="22"/>
        </w:rPr>
        <w:t>COBRA update included additional health incidents (Hospital Admissions related to Alzheimer’s and Parkinson’s Disease, Incidence of Stroke and Lung Cancer, and Hay Fever/Rhinitis)</w:t>
      </w:r>
      <w:r w:rsidR="000C6867">
        <w:rPr>
          <w:rFonts w:eastAsia="Arial" w:cs="Arial"/>
          <w:color w:val="000000" w:themeColor="text1"/>
          <w:szCs w:val="22"/>
        </w:rPr>
        <w:t>.</w:t>
      </w:r>
    </w:p>
    <w:sectPr w:rsidR="1C1B85D3" w:rsidSect="00836982">
      <w:headerReference w:type="default" r:id="rId27"/>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B0426" w14:textId="77777777" w:rsidR="001329A2" w:rsidRDefault="001329A2" w:rsidP="00183005">
      <w:r>
        <w:separator/>
      </w:r>
    </w:p>
  </w:endnote>
  <w:endnote w:type="continuationSeparator" w:id="0">
    <w:p w14:paraId="58123F5A" w14:textId="77777777" w:rsidR="001329A2" w:rsidRDefault="001329A2" w:rsidP="00183005">
      <w:r>
        <w:continuationSeparator/>
      </w:r>
    </w:p>
  </w:endnote>
  <w:endnote w:type="continuationNotice" w:id="1">
    <w:p w14:paraId="7D0AC5E7" w14:textId="77777777" w:rsidR="001329A2" w:rsidRDefault="00132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altName w:val="Arial"/>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902B" w14:textId="77777777" w:rsidR="003D25FC" w:rsidRDefault="003D25FC"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3D25FC" w:rsidRDefault="003D25FC"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44BFD3E5" w14:paraId="397DF08F" w14:textId="77777777" w:rsidTr="44BFD3E5">
      <w:trPr>
        <w:trHeight w:val="300"/>
      </w:trPr>
      <w:tc>
        <w:tcPr>
          <w:tcW w:w="3405" w:type="dxa"/>
        </w:tcPr>
        <w:p w14:paraId="0F4BFE5A" w14:textId="16500641" w:rsidR="44BFD3E5" w:rsidRDefault="44BFD3E5" w:rsidP="44BFD3E5">
          <w:pPr>
            <w:pStyle w:val="Header"/>
            <w:ind w:left="-115"/>
          </w:pPr>
        </w:p>
      </w:tc>
      <w:tc>
        <w:tcPr>
          <w:tcW w:w="3405" w:type="dxa"/>
        </w:tcPr>
        <w:p w14:paraId="61CB904C" w14:textId="0C8A847A" w:rsidR="44BFD3E5" w:rsidRDefault="44BFD3E5" w:rsidP="44BFD3E5">
          <w:pPr>
            <w:pStyle w:val="Header"/>
            <w:jc w:val="center"/>
          </w:pPr>
        </w:p>
      </w:tc>
      <w:tc>
        <w:tcPr>
          <w:tcW w:w="3405" w:type="dxa"/>
        </w:tcPr>
        <w:p w14:paraId="2C832FFB" w14:textId="6A762537" w:rsidR="44BFD3E5" w:rsidRDefault="44BFD3E5" w:rsidP="44BFD3E5">
          <w:pPr>
            <w:pStyle w:val="Header"/>
            <w:ind w:right="-115"/>
            <w:jc w:val="right"/>
          </w:pPr>
        </w:p>
      </w:tc>
    </w:tr>
  </w:tbl>
  <w:p w14:paraId="19C1F44C" w14:textId="1E13F5A3" w:rsidR="005F55FC" w:rsidRDefault="005F5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21E7" w14:textId="77777777" w:rsidR="003D25FC" w:rsidRPr="00153E03" w:rsidRDefault="003D25FC" w:rsidP="00153E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252C" w14:textId="77777777" w:rsidR="001B5EAD" w:rsidRPr="00620083" w:rsidRDefault="001B5EAD" w:rsidP="00657376">
    <w:pPr>
      <w:pStyle w:val="Footer"/>
      <w:tabs>
        <w:tab w:val="clear" w:pos="4320"/>
        <w:tab w:val="center" w:pos="4680"/>
      </w:tabs>
      <w:jc w:val="right"/>
      <w:rPr>
        <w:sz w:val="20"/>
      </w:rPr>
    </w:pPr>
    <w:r w:rsidRPr="00620083">
      <w:rPr>
        <w:sz w:val="20"/>
      </w:rPr>
      <w:t xml:space="preserve">Page </w:t>
    </w:r>
    <w:r w:rsidRPr="00620083">
      <w:rPr>
        <w:rStyle w:val="PageNumber"/>
      </w:rPr>
      <w:fldChar w:fldCharType="begin"/>
    </w:r>
    <w:r w:rsidRPr="00620083">
      <w:rPr>
        <w:rStyle w:val="PageNumber"/>
      </w:rPr>
      <w:instrText xml:space="preserve"> PAGE </w:instrText>
    </w:r>
    <w:r w:rsidRPr="00620083">
      <w:rPr>
        <w:rStyle w:val="PageNumber"/>
      </w:rPr>
      <w:fldChar w:fldCharType="separate"/>
    </w:r>
    <w:r w:rsidRPr="00620083">
      <w:rPr>
        <w:rStyle w:val="PageNumber"/>
        <w:noProof/>
      </w:rPr>
      <w:t>16</w:t>
    </w:r>
    <w:r w:rsidRPr="00620083">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49B0" w14:textId="77777777" w:rsidR="001B5EAD" w:rsidRDefault="001B5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C88F5" w14:textId="77777777" w:rsidR="001329A2" w:rsidRDefault="001329A2" w:rsidP="00183005">
      <w:r>
        <w:separator/>
      </w:r>
    </w:p>
  </w:footnote>
  <w:footnote w:type="continuationSeparator" w:id="0">
    <w:p w14:paraId="5F6406CA" w14:textId="77777777" w:rsidR="001329A2" w:rsidRDefault="001329A2" w:rsidP="00183005">
      <w:r>
        <w:continuationSeparator/>
      </w:r>
    </w:p>
  </w:footnote>
  <w:footnote w:type="continuationNotice" w:id="1">
    <w:p w14:paraId="1AE297C4" w14:textId="77777777" w:rsidR="001329A2" w:rsidRDefault="001329A2"/>
  </w:footnote>
  <w:footnote w:id="2">
    <w:p w14:paraId="00662267" w14:textId="77777777" w:rsidR="001B5EAD" w:rsidRDefault="001B5EAD" w:rsidP="001B5EAD">
      <w:pPr>
        <w:pStyle w:val="FootnoteText"/>
      </w:pPr>
      <w:r>
        <w:rPr>
          <w:rStyle w:val="FootnoteReference"/>
        </w:rPr>
        <w:footnoteRef/>
      </w:r>
      <w:r>
        <w:t xml:space="preserve"> For programs that are jointly offered by ComEd and gas utilities, the therm savings claimed by ComEd are included in this analysis.</w:t>
      </w:r>
    </w:p>
  </w:footnote>
  <w:footnote w:id="3">
    <w:p w14:paraId="6942825C" w14:textId="77777777" w:rsidR="001B5EAD" w:rsidRPr="00AC5DFC" w:rsidRDefault="001B5EAD" w:rsidP="001B5EAD">
      <w:pPr>
        <w:pStyle w:val="FootnoteText"/>
      </w:pPr>
      <w:r>
        <w:rPr>
          <w:rStyle w:val="FootnoteReference"/>
        </w:rPr>
        <w:footnoteRef/>
      </w:r>
      <w:r>
        <w:t xml:space="preserve"> See Section 1-10 Definitions of the Illinois Power Agency Act: </w:t>
      </w:r>
      <w:hyperlink r:id="rId1" w:history="1">
        <w:r w:rsidRPr="00B74BCD">
          <w:rPr>
            <w:rStyle w:val="Hyperlink"/>
            <w:b w:val="0"/>
            <w:sz w:val="18"/>
            <w:szCs w:val="18"/>
          </w:rPr>
          <w:t>http://www.ilga.gov/legislation/ilcs/ilcs5.asp?ActID=2934&amp;ChapterID=5</w:t>
        </w:r>
      </w:hyperlink>
    </w:p>
  </w:footnote>
  <w:footnote w:id="4">
    <w:p w14:paraId="5FF542E9" w14:textId="16A18494" w:rsidR="00B3092C" w:rsidRDefault="00B3092C">
      <w:pPr>
        <w:pStyle w:val="FootnoteText"/>
      </w:pPr>
      <w:r>
        <w:rPr>
          <w:rStyle w:val="FootnoteReference"/>
        </w:rPr>
        <w:footnoteRef/>
      </w:r>
      <w:r>
        <w:t xml:space="preserve"> </w:t>
      </w:r>
      <w:r w:rsidRPr="00194890">
        <w:t>https://www.ilsag.info/wp-content/uploads/IL_EE_Policy_Manual_Version_3.0_Final_11-3-2023.pdf</w:t>
      </w:r>
    </w:p>
  </w:footnote>
  <w:footnote w:id="5">
    <w:p w14:paraId="3790056D" w14:textId="623ED838" w:rsidR="004F53EF" w:rsidRDefault="004F53EF" w:rsidP="001B5EAD">
      <w:pPr>
        <w:pStyle w:val="FootnoteText"/>
      </w:pPr>
      <w:r>
        <w:rPr>
          <w:rStyle w:val="FootnoteReference"/>
        </w:rPr>
        <w:footnoteRef/>
      </w:r>
      <w:r>
        <w:t xml:space="preserve"> From Nicor Gas</w:t>
      </w:r>
      <w:r w:rsidR="002A3977">
        <w:t xml:space="preserve"> and Peoples and North Shore Gas</w:t>
      </w:r>
      <w:r>
        <w:t>.</w:t>
      </w:r>
    </w:p>
  </w:footnote>
  <w:footnote w:id="6">
    <w:p w14:paraId="2B2CEE15" w14:textId="6181AECC" w:rsidR="001B5EAD" w:rsidRDefault="001B5EAD" w:rsidP="001B5EAD">
      <w:pPr>
        <w:pStyle w:val="FootnoteText"/>
      </w:pPr>
      <w:r>
        <w:rPr>
          <w:rStyle w:val="FootnoteReference"/>
        </w:rPr>
        <w:footnoteRef/>
      </w:r>
      <w:r>
        <w:t xml:space="preserve"> Incremental measure costs come from program tracking data, program contractor invoices, and deemed value sources </w:t>
      </w:r>
      <w:r w:rsidR="00496328">
        <w:t>from</w:t>
      </w:r>
      <w:r>
        <w:t xml:space="preserve"> the </w:t>
      </w:r>
      <w:r w:rsidR="00061C1C">
        <w:t xml:space="preserve">IL </w:t>
      </w:r>
      <w:r>
        <w:t>TRM.</w:t>
      </w:r>
    </w:p>
  </w:footnote>
  <w:footnote w:id="7">
    <w:p w14:paraId="1D0F98A3" w14:textId="298E983F" w:rsidR="001B5EAD" w:rsidRDefault="001B5EAD" w:rsidP="001B5EAD">
      <w:pPr>
        <w:pStyle w:val="FootnoteText"/>
      </w:pPr>
      <w:r>
        <w:rPr>
          <w:rStyle w:val="FootnoteReference"/>
        </w:rPr>
        <w:footnoteRef/>
      </w:r>
      <w:r>
        <w:t xml:space="preserve"> Incentive definitions can be found in Section 8.4 TRC Costs of the Illinois Energy Efficiency Policy Manual Version 1.1. The Illinois TRC test requires that “all incremental costs of end use measures (including both utility and participant contributions)” should be reflected as costs in the TRC test calculation. </w:t>
      </w:r>
      <w:proofErr w:type="gramStart"/>
      <w:r>
        <w:t>As long as</w:t>
      </w:r>
      <w:proofErr w:type="gramEnd"/>
      <w:r>
        <w:t xml:space="preserve"> “all incremental costs of end-use measures” are included in the TRC test calculation, there is no need to add </w:t>
      </w:r>
      <w:r w:rsidR="00A03020">
        <w:t xml:space="preserve">program administrator contribution </w:t>
      </w:r>
      <w:r>
        <w:t xml:space="preserve">costs (i.e., </w:t>
      </w:r>
      <w:r w:rsidR="00A03020">
        <w:t>incentives</w:t>
      </w:r>
      <w:r>
        <w:t xml:space="preserve">) and </w:t>
      </w:r>
      <w:r w:rsidR="00A03020">
        <w:t xml:space="preserve">participant contribution </w:t>
      </w:r>
      <w:r>
        <w:t xml:space="preserve">costs as separate components to the TRC test. However, </w:t>
      </w:r>
      <w:r w:rsidR="00A03020">
        <w:t xml:space="preserve">program administrator contribution </w:t>
      </w:r>
      <w:r>
        <w:t xml:space="preserve">costs (i.e., </w:t>
      </w:r>
      <w:r w:rsidR="00A03020">
        <w:t>incentives</w:t>
      </w:r>
      <w:r>
        <w:t xml:space="preserve">) are needed </w:t>
      </w:r>
      <w:r w:rsidR="00A03020">
        <w:t xml:space="preserve">to </w:t>
      </w:r>
      <w:r>
        <w:t>calculat</w:t>
      </w:r>
      <w:r w:rsidR="00A03020">
        <w:t>e</w:t>
      </w:r>
      <w:r>
        <w:t xml:space="preserve"> the Program Administrator Cost Test</w:t>
      </w:r>
      <w:r w:rsidR="000F0694">
        <w:t xml:space="preserve"> </w:t>
      </w:r>
      <w:r>
        <w:t>(PACT</w:t>
      </w:r>
      <w:r w:rsidR="000F0694">
        <w:t>)</w:t>
      </w:r>
      <w:r>
        <w:t xml:space="preserve">/UCT </w:t>
      </w:r>
      <w:r w:rsidR="00AA104D">
        <w:t xml:space="preserve">because </w:t>
      </w:r>
      <w:r>
        <w:t xml:space="preserve">those are a component of the </w:t>
      </w:r>
      <w:r w:rsidR="00AA104D">
        <w:t>program a</w:t>
      </w:r>
      <w:r>
        <w:t xml:space="preserve">dministrator expenses. Most TRC modeling software requires users to input the </w:t>
      </w:r>
      <w:r w:rsidR="00AA104D">
        <w:t xml:space="preserve">incentives </w:t>
      </w:r>
      <w:r>
        <w:t>as a separate input in</w:t>
      </w:r>
      <w:r w:rsidR="00AA104D">
        <w:t xml:space="preserve"> </w:t>
      </w:r>
      <w:r>
        <w:t xml:space="preserve">addition to providing all </w:t>
      </w:r>
      <w:r w:rsidR="00AA104D">
        <w:t xml:space="preserve">incremental costs </w:t>
      </w:r>
      <w:r>
        <w:t>such that the PACT/UCT can be calculated</w:t>
      </w:r>
      <w:r w:rsidR="00AA104D">
        <w:t>. F</w:t>
      </w:r>
      <w:r>
        <w:t>or this reason, the separate</w:t>
      </w:r>
      <w:r w:rsidR="00AA104D">
        <w:t xml:space="preserve"> i</w:t>
      </w:r>
      <w:r>
        <w:t>ncentives input in the TRC model is not used when calculating the TRC test because these costs are already</w:t>
      </w:r>
      <w:r w:rsidR="00AA104D">
        <w:t xml:space="preserve"> </w:t>
      </w:r>
      <w:r>
        <w:t xml:space="preserve">reflected in the </w:t>
      </w:r>
      <w:r w:rsidR="00AA104D">
        <w:t>incremental cost</w:t>
      </w:r>
      <w:r>
        <w:t xml:space="preserve"> input, and if the model were to use both the </w:t>
      </w:r>
      <w:r w:rsidR="00AA104D">
        <w:t xml:space="preserve">incentives </w:t>
      </w:r>
      <w:r>
        <w:t xml:space="preserve">input and the </w:t>
      </w:r>
      <w:r w:rsidR="00AA104D">
        <w:t>incremental c</w:t>
      </w:r>
      <w:r>
        <w:t>ost input, it would result in double counting of costs in the TRC analysis.</w:t>
      </w:r>
    </w:p>
  </w:footnote>
  <w:footnote w:id="8">
    <w:p w14:paraId="7A5F75C2" w14:textId="1D1B2046" w:rsidR="001B5EAD" w:rsidRDefault="001B5EAD" w:rsidP="001B5EAD">
      <w:pPr>
        <w:pStyle w:val="FootnoteText"/>
      </w:pPr>
      <w:r>
        <w:rPr>
          <w:rStyle w:val="FootnoteReference"/>
        </w:rPr>
        <w:footnoteRef/>
      </w:r>
      <w:r>
        <w:t xml:space="preserve"> </w:t>
      </w:r>
      <w:r w:rsidRPr="002F418E">
        <w:t>Payments include non-</w:t>
      </w:r>
      <w:r w:rsidR="0059638D">
        <w:t>m</w:t>
      </w:r>
      <w:r w:rsidRPr="002F418E">
        <w:t>easure items of value that would be treated as transfer payments, e.g.</w:t>
      </w:r>
      <w:r>
        <w:t>,</w:t>
      </w:r>
      <w:r w:rsidRPr="002F418E">
        <w:t xml:space="preserve"> gift cards.</w:t>
      </w:r>
    </w:p>
  </w:footnote>
  <w:footnote w:id="9">
    <w:p w14:paraId="525A91B3" w14:textId="4A4FC731" w:rsidR="006313B5" w:rsidRDefault="006313B5" w:rsidP="006313B5">
      <w:pPr>
        <w:pStyle w:val="FootnoteText"/>
      </w:pPr>
      <w:r w:rsidRPr="001C5074">
        <w:rPr>
          <w:rStyle w:val="FootnoteReference"/>
          <w:b/>
        </w:rPr>
        <w:footnoteRef/>
      </w:r>
      <w:r w:rsidRPr="001C5074">
        <w:rPr>
          <w:b/>
        </w:rPr>
        <w:t xml:space="preserve"> </w:t>
      </w:r>
      <w:hyperlink r:id="rId2" w:history="1">
        <w:r w:rsidR="0035431E" w:rsidRPr="001C5074">
          <w:rPr>
            <w:rStyle w:val="Hyperlink"/>
            <w:b w:val="0"/>
            <w:sz w:val="18"/>
          </w:rPr>
          <w:t>https://www.energycodes.gov/sites/default/files/2021-07/Cost-effectiveness_of_ASHRAE_Standard_90-1-2019-Illinois.pdf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3EB1" w14:textId="77777777" w:rsidR="002E78D5" w:rsidRDefault="002E78D5" w:rsidP="002E78D5">
    <w:pPr>
      <w:pStyle w:val="Header"/>
    </w:pPr>
    <w:bookmarkStart w:id="0" w:name="_Hlk196840773"/>
    <w:bookmarkStart w:id="1" w:name="_Hlk196840774"/>
    <w:bookmarkStart w:id="2" w:name="_Hlk196840900"/>
    <w:bookmarkStart w:id="3" w:name="_Hlk196840901"/>
    <w:r>
      <w:rPr>
        <w:noProof/>
      </w:rPr>
      <w:drawing>
        <wp:anchor distT="0" distB="0" distL="114300" distR="114300" simplePos="0" relativeHeight="251658242" behindDoc="0" locked="0" layoutInCell="1" allowOverlap="1" wp14:anchorId="5ADEC9F7" wp14:editId="2ECE3D05">
          <wp:simplePos x="0" y="0"/>
          <wp:positionH relativeFrom="page">
            <wp:posOffset>-11430</wp:posOffset>
          </wp:positionH>
          <wp:positionV relativeFrom="paragraph">
            <wp:posOffset>-445770</wp:posOffset>
          </wp:positionV>
          <wp:extent cx="7772957" cy="10062176"/>
          <wp:effectExtent l="0" t="0" r="0" b="0"/>
          <wp:wrapNone/>
          <wp:docPr id="15" name="Picture 10" descr="A blue lines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5" name="Picture 10" descr="A blue lines on a white background&#10;&#10;AI-generated content may be incorrect."/>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bookmarkEnd w:id="0"/>
    <w:bookmarkEnd w:id="1"/>
    <w:bookmarkEnd w:id="2"/>
    <w:bookmarkEnd w:id="3"/>
  </w:p>
  <w:p w14:paraId="46E54D99" w14:textId="0F44BAB3" w:rsidR="003D25FC" w:rsidRDefault="003D25FC" w:rsidP="006F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E06F" w14:textId="3EACC465" w:rsidR="003D25FC" w:rsidRPr="003073E0" w:rsidRDefault="003D25FC" w:rsidP="003073E0">
    <w:pPr>
      <w:pStyle w:val="Header"/>
    </w:pPr>
    <w:r>
      <w:rPr>
        <w:noProof/>
      </w:rPr>
      <w:drawing>
        <wp:anchor distT="0" distB="0" distL="114300" distR="114300" simplePos="0" relativeHeight="251658240" behindDoc="1" locked="1" layoutInCell="1" allowOverlap="1" wp14:anchorId="4C917F85" wp14:editId="04D5E3F7">
          <wp:simplePos x="0" y="0"/>
          <wp:positionH relativeFrom="page">
            <wp:align>center</wp:align>
          </wp:positionH>
          <wp:positionV relativeFrom="page">
            <wp:align>center</wp:align>
          </wp:positionV>
          <wp:extent cx="7772400" cy="10061688"/>
          <wp:effectExtent l="0" t="0" r="0" b="0"/>
          <wp:wrapNone/>
          <wp:docPr id="80" name="Pictur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H Proposal Cover_v3-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6168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85DE" w14:textId="5C058D1C" w:rsidR="000D3D3A" w:rsidRDefault="000D3D3A" w:rsidP="00102A62">
    <w:pPr>
      <w:pStyle w:val="Header"/>
      <w:rPr>
        <w:noProof/>
      </w:rPr>
    </w:pPr>
  </w:p>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3D25FC" w14:paraId="31615F57" w14:textId="77777777" w:rsidTr="00FD35C0">
      <w:trPr>
        <w:trHeight w:val="576"/>
        <w:jc w:val="center"/>
      </w:trPr>
      <w:tc>
        <w:tcPr>
          <w:tcW w:w="1980" w:type="dxa"/>
          <w:vAlign w:val="center"/>
        </w:tcPr>
        <w:p w14:paraId="7A739277" w14:textId="31ECB1C4" w:rsidR="003D25FC" w:rsidRPr="006A71F6" w:rsidRDefault="000D3D3A" w:rsidP="00102A62">
          <w:pPr>
            <w:pStyle w:val="Header"/>
          </w:pPr>
          <w:r>
            <w:rPr>
              <w:noProof/>
            </w:rPr>
            <w:drawing>
              <wp:inline distT="0" distB="0" distL="0" distR="0" wp14:anchorId="606C68F8" wp14:editId="3A03D7D9">
                <wp:extent cx="1066800" cy="35381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459" cy="360332"/>
                        </a:xfrm>
                        <a:prstGeom prst="rect">
                          <a:avLst/>
                        </a:prstGeom>
                        <a:noFill/>
                        <a:ln>
                          <a:noFill/>
                        </a:ln>
                      </pic:spPr>
                    </pic:pic>
                  </a:graphicData>
                </a:graphic>
              </wp:inline>
            </w:drawing>
          </w:r>
        </w:p>
      </w:tc>
      <w:tc>
        <w:tcPr>
          <w:tcW w:w="7380" w:type="dxa"/>
          <w:vAlign w:val="bottom"/>
        </w:tcPr>
        <w:p w14:paraId="5B74F82B" w14:textId="7930B347" w:rsidR="003D25FC" w:rsidRPr="007B09EC" w:rsidRDefault="003D25FC" w:rsidP="00102A62">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5459AB">
            <w:rPr>
              <w:bCs/>
              <w:noProof/>
            </w:rPr>
            <w:t>ComEd CY2024 Cost-Effectiveness Research Report</w:t>
          </w:r>
          <w:r>
            <w:rPr>
              <w:bCs/>
              <w:noProof/>
            </w:rPr>
            <w:fldChar w:fldCharType="end"/>
          </w:r>
        </w:p>
      </w:tc>
    </w:tr>
  </w:tbl>
  <w:p w14:paraId="7F935EA6" w14:textId="77777777" w:rsidR="003D25FC" w:rsidRPr="00722F7D" w:rsidRDefault="003D25FC" w:rsidP="00722F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222C6" w14:textId="77777777" w:rsidR="001B5EAD" w:rsidRDefault="001B5E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9C68" w14:textId="77777777" w:rsidR="001B5EAD" w:rsidRDefault="001B5EAD">
    <w:pPr>
      <w:pStyle w:val="Header"/>
      <w:spacing w:line="200" w:lineRule="exact"/>
    </w:pPr>
  </w:p>
  <w:p w14:paraId="6B5AF0C3" w14:textId="77777777" w:rsidR="001B5EAD" w:rsidRDefault="001B5EAD">
    <w:pPr>
      <w:pStyle w:val="Header"/>
      <w:spacing w:line="200" w:lineRule="exact"/>
    </w:pPr>
  </w:p>
  <w:p w14:paraId="1AD349E9" w14:textId="77777777" w:rsidR="001B5EAD" w:rsidRDefault="001B5EAD">
    <w:pPr>
      <w:pStyle w:val="Header"/>
      <w:spacing w:line="200" w:lineRule="exact"/>
    </w:pPr>
    <w:r>
      <w:rPr>
        <w:noProof/>
      </w:rPr>
      <w:drawing>
        <wp:anchor distT="0" distB="0" distL="114300" distR="114300" simplePos="0" relativeHeight="251658241" behindDoc="0" locked="0" layoutInCell="1" allowOverlap="1" wp14:anchorId="4CA7F238" wp14:editId="62041E11">
          <wp:simplePos x="0" y="0"/>
          <wp:positionH relativeFrom="column">
            <wp:posOffset>-497840</wp:posOffset>
          </wp:positionH>
          <wp:positionV relativeFrom="paragraph">
            <wp:posOffset>635</wp:posOffset>
          </wp:positionV>
          <wp:extent cx="1562100" cy="276225"/>
          <wp:effectExtent l="19050" t="0" r="0" b="0"/>
          <wp:wrapNone/>
          <wp:docPr id="5" name="Picture 5" descr="E:\Graphics\Marketing\Brand Refresh\Logos\M_Navigant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raphics\Marketing\Brand Refresh\Logos\M_NavigantLogo_CMYK.jpg"/>
                  <pic:cNvPicPr>
                    <a:picLocks noChangeAspect="1" noChangeArrowheads="1"/>
                  </pic:cNvPicPr>
                </pic:nvPicPr>
                <pic:blipFill>
                  <a:blip r:embed="rId1"/>
                  <a:srcRect/>
                  <a:stretch>
                    <a:fillRect/>
                  </a:stretch>
                </pic:blipFill>
                <pic:spPr bwMode="auto">
                  <a:xfrm>
                    <a:off x="0" y="0"/>
                    <a:ext cx="1562100" cy="276225"/>
                  </a:xfrm>
                  <a:prstGeom prst="rect">
                    <a:avLst/>
                  </a:prstGeom>
                  <a:noFill/>
                  <a:ln w="9525">
                    <a:noFill/>
                    <a:miter lim="800000"/>
                    <a:headEnd/>
                    <a:tailEnd/>
                  </a:ln>
                </pic:spPr>
              </pic:pic>
            </a:graphicData>
          </a:graphic>
        </wp:anchor>
      </w:drawing>
    </w:r>
  </w:p>
  <w:p w14:paraId="36C74271" w14:textId="77777777" w:rsidR="001B5EAD" w:rsidRDefault="001B5EAD">
    <w:pPr>
      <w:pStyle w:val="Header"/>
      <w:spacing w:line="200" w:lineRule="exact"/>
    </w:pPr>
  </w:p>
  <w:p w14:paraId="102017C1" w14:textId="04255B94" w:rsidR="001B5EAD" w:rsidRDefault="001B5EAD">
    <w:pPr>
      <w:pStyle w:val="Heade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1844"/>
      <w:gridCol w:w="8380"/>
    </w:tblGrid>
    <w:tr w:rsidR="005928A9" w14:paraId="7650344F" w14:textId="77777777" w:rsidTr="00E630C1">
      <w:trPr>
        <w:trHeight w:val="576"/>
        <w:jc w:val="center"/>
      </w:trPr>
      <w:tc>
        <w:tcPr>
          <w:tcW w:w="902" w:type="pct"/>
          <w:vAlign w:val="center"/>
        </w:tcPr>
        <w:p w14:paraId="0D832FE4" w14:textId="088EA702" w:rsidR="007D2426" w:rsidRPr="006A71F6" w:rsidRDefault="00290A78" w:rsidP="007D2426">
          <w:pPr>
            <w:pStyle w:val="Header"/>
          </w:pPr>
          <w:r>
            <w:rPr>
              <w:noProof/>
            </w:rPr>
            <w:drawing>
              <wp:inline distT="0" distB="0" distL="0" distR="0" wp14:anchorId="45D5EC83" wp14:editId="3ADF45BE">
                <wp:extent cx="1066800" cy="353812"/>
                <wp:effectExtent l="0" t="0" r="0" b="8255"/>
                <wp:docPr id="1664399487" name="Picture 1664399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459" cy="360332"/>
                        </a:xfrm>
                        <a:prstGeom prst="rect">
                          <a:avLst/>
                        </a:prstGeom>
                        <a:noFill/>
                        <a:ln>
                          <a:noFill/>
                        </a:ln>
                      </pic:spPr>
                    </pic:pic>
                  </a:graphicData>
                </a:graphic>
              </wp:inline>
            </w:drawing>
          </w:r>
        </w:p>
      </w:tc>
      <w:tc>
        <w:tcPr>
          <w:tcW w:w="4098" w:type="pct"/>
          <w:vAlign w:val="bottom"/>
        </w:tcPr>
        <w:p w14:paraId="7CD0EE3A" w14:textId="0E4A3828" w:rsidR="007D2426" w:rsidRPr="007B09EC" w:rsidRDefault="007D2426" w:rsidP="007D2426">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5459AB">
            <w:rPr>
              <w:bCs/>
              <w:noProof/>
            </w:rPr>
            <w:t>ComEd CY2024 Cost-Effectiveness Research Report</w:t>
          </w:r>
          <w:r>
            <w:rPr>
              <w:bCs/>
              <w:noProof/>
            </w:rPr>
            <w:fldChar w:fldCharType="end"/>
          </w:r>
        </w:p>
      </w:tc>
    </w:tr>
  </w:tbl>
  <w:p w14:paraId="7DF3A3AC" w14:textId="77777777" w:rsidR="001B5EAD" w:rsidRPr="00722F7D" w:rsidRDefault="001B5EAD" w:rsidP="002F3A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2F3AF5" w14:paraId="0B5ACFFD" w14:textId="77777777" w:rsidTr="002F3AF5">
      <w:trPr>
        <w:jc w:val="center"/>
      </w:trPr>
      <w:tc>
        <w:tcPr>
          <w:tcW w:w="1980" w:type="dxa"/>
          <w:vAlign w:val="center"/>
        </w:tcPr>
        <w:p w14:paraId="58727341" w14:textId="77777777" w:rsidR="002F3AF5" w:rsidRPr="006A71F6" w:rsidRDefault="006F7EB6" w:rsidP="002F3AF5">
          <w:pPr>
            <w:pStyle w:val="Header"/>
          </w:pPr>
          <w:r>
            <w:rPr>
              <w:noProof/>
            </w:rPr>
            <w:drawing>
              <wp:inline distT="0" distB="0" distL="0" distR="0" wp14:anchorId="6D5E0771" wp14:editId="4B507349">
                <wp:extent cx="1097282" cy="27752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39BC6426" w14:textId="271FEFBC" w:rsidR="002F3AF5" w:rsidRPr="007B09EC" w:rsidRDefault="006F7EB6" w:rsidP="002F3AF5">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5459AB">
            <w:rPr>
              <w:bCs/>
              <w:noProof/>
            </w:rPr>
            <w:t>ComEd CY2024 Cost-Effectiveness Research Report</w:t>
          </w:r>
          <w:r>
            <w:rPr>
              <w:bCs/>
              <w:noProof/>
            </w:rPr>
            <w:fldChar w:fldCharType="end"/>
          </w:r>
        </w:p>
      </w:tc>
    </w:tr>
  </w:tbl>
  <w:p w14:paraId="35E9C9A5" w14:textId="77777777" w:rsidR="002F3AF5" w:rsidRPr="00795049" w:rsidRDefault="002F3AF5" w:rsidP="002F3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228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A65297"/>
    <w:multiLevelType w:val="hybridMultilevel"/>
    <w:tmpl w:val="4D20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5179FF"/>
    <w:multiLevelType w:val="multilevel"/>
    <w:tmpl w:val="696CB6DA"/>
    <w:lvl w:ilvl="0">
      <w:start w:val="1"/>
      <w:numFmt w:val="decimal"/>
      <w:pStyle w:val="Heading1"/>
      <w:suff w:val="space"/>
      <w:lvlText w:val="%1."/>
      <w:lvlJc w:val="left"/>
      <w:pPr>
        <w:ind w:left="432" w:hanging="432"/>
      </w:pPr>
      <w:rPr>
        <w:rFonts w:ascii="Arial" w:hAnsi="Arial" w:cs="Arial" w:hint="default"/>
        <w:b/>
        <w:i w:val="0"/>
        <w:caps w:val="0"/>
        <w:color w:val="auto"/>
        <w:spacing w:val="0"/>
        <w:sz w:val="32"/>
      </w:rPr>
    </w:lvl>
    <w:lvl w:ilvl="1">
      <w:start w:val="1"/>
      <w:numFmt w:val="decimal"/>
      <w:pStyle w:val="Heading2"/>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0A36AFB"/>
    <w:multiLevelType w:val="hybridMultilevel"/>
    <w:tmpl w:val="5ACA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F848CB"/>
    <w:multiLevelType w:val="hybridMultilevel"/>
    <w:tmpl w:val="D3863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9A4EC2"/>
    <w:multiLevelType w:val="hybridMultilevel"/>
    <w:tmpl w:val="4DD8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236E82"/>
    <w:multiLevelType w:val="hybridMultilevel"/>
    <w:tmpl w:val="810ADE1E"/>
    <w:lvl w:ilvl="0" w:tplc="0409000F">
      <w:start w:val="1"/>
      <w:numFmt w:val="bullet"/>
      <w:pStyle w:val="Bullets-ShortSingleSpace"/>
      <w:lvlText w:val="o"/>
      <w:lvlJc w:val="left"/>
      <w:pPr>
        <w:tabs>
          <w:tab w:val="num" w:pos="720"/>
        </w:tabs>
        <w:ind w:left="720" w:hanging="360"/>
      </w:pPr>
      <w:rPr>
        <w:rFonts w:ascii="Courier New" w:hAnsi="Courier New" w:cs="Courier New"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tentative="1">
      <w:start w:val="1"/>
      <w:numFmt w:val="bullet"/>
      <w:lvlText w:val=""/>
      <w:lvlJc w:val="left"/>
      <w:pPr>
        <w:tabs>
          <w:tab w:val="num" w:pos="2880"/>
        </w:tabs>
        <w:ind w:left="2880" w:hanging="360"/>
      </w:pPr>
      <w:rPr>
        <w:rFonts w:ascii="Symbol" w:hAnsi="Symbol" w:cs="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cs="Wingdings" w:hint="default"/>
      </w:rPr>
    </w:lvl>
    <w:lvl w:ilvl="6" w:tplc="0409000F" w:tentative="1">
      <w:start w:val="1"/>
      <w:numFmt w:val="bullet"/>
      <w:lvlText w:val=""/>
      <w:lvlJc w:val="left"/>
      <w:pPr>
        <w:tabs>
          <w:tab w:val="num" w:pos="5040"/>
        </w:tabs>
        <w:ind w:left="5040" w:hanging="360"/>
      </w:pPr>
      <w:rPr>
        <w:rFonts w:ascii="Symbol" w:hAnsi="Symbol" w:cs="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A23DD6"/>
    <w:multiLevelType w:val="hybridMultilevel"/>
    <w:tmpl w:val="D446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5707EA"/>
    <w:multiLevelType w:val="hybridMultilevel"/>
    <w:tmpl w:val="67F0C0C4"/>
    <w:styleLink w:val="CnAListBullets"/>
    <w:lvl w:ilvl="0" w:tplc="5196590A">
      <w:start w:val="1"/>
      <w:numFmt w:val="bullet"/>
      <w:lvlText w:val=""/>
      <w:lvlJc w:val="left"/>
      <w:pPr>
        <w:ind w:left="720" w:hanging="432"/>
      </w:pPr>
      <w:rPr>
        <w:rFonts w:ascii="Wingdings" w:hAnsi="Wingdings" w:hint="default"/>
        <w:sz w:val="16"/>
      </w:rPr>
    </w:lvl>
    <w:lvl w:ilvl="1" w:tplc="2EDAE052">
      <w:start w:val="1"/>
      <w:numFmt w:val="bullet"/>
      <w:lvlText w:val="─"/>
      <w:lvlJc w:val="left"/>
      <w:pPr>
        <w:ind w:left="1152" w:hanging="432"/>
      </w:pPr>
      <w:rPr>
        <w:rFonts w:ascii="Times New Roman" w:hAnsi="Times New Roman" w:hint="default"/>
        <w:b/>
        <w:sz w:val="24"/>
      </w:rPr>
    </w:lvl>
    <w:lvl w:ilvl="2" w:tplc="583C7AB6">
      <w:start w:val="1"/>
      <w:numFmt w:val="bullet"/>
      <w:lvlText w:val="-"/>
      <w:lvlJc w:val="left"/>
      <w:pPr>
        <w:ind w:left="1584" w:hanging="432"/>
      </w:pPr>
      <w:rPr>
        <w:rFonts w:ascii="Times New Roman" w:hAnsi="Times New Roman" w:hint="default"/>
        <w:sz w:val="24"/>
      </w:rPr>
    </w:lvl>
    <w:lvl w:ilvl="3" w:tplc="2CDA3500">
      <w:start w:val="1"/>
      <w:numFmt w:val="bullet"/>
      <w:lvlText w:val=""/>
      <w:lvlJc w:val="left"/>
      <w:pPr>
        <w:ind w:left="2016" w:hanging="432"/>
      </w:pPr>
      <w:rPr>
        <w:rFonts w:ascii="Symbol" w:hAnsi="Symbol" w:hint="default"/>
      </w:rPr>
    </w:lvl>
    <w:lvl w:ilvl="4" w:tplc="B336C6CE">
      <w:start w:val="1"/>
      <w:numFmt w:val="bullet"/>
      <w:lvlText w:val=""/>
      <w:lvlJc w:val="left"/>
      <w:pPr>
        <w:ind w:left="2448" w:hanging="432"/>
      </w:pPr>
      <w:rPr>
        <w:rFonts w:ascii="Symbol" w:hAnsi="Symbol" w:hint="default"/>
      </w:rPr>
    </w:lvl>
    <w:lvl w:ilvl="5" w:tplc="585AF61C">
      <w:start w:val="1"/>
      <w:numFmt w:val="bullet"/>
      <w:lvlText w:val=""/>
      <w:lvlJc w:val="left"/>
      <w:pPr>
        <w:ind w:left="2880" w:hanging="432"/>
      </w:pPr>
      <w:rPr>
        <w:rFonts w:ascii="Wingdings" w:hAnsi="Wingdings" w:hint="default"/>
      </w:rPr>
    </w:lvl>
    <w:lvl w:ilvl="6" w:tplc="2528D63A">
      <w:start w:val="1"/>
      <w:numFmt w:val="bullet"/>
      <w:lvlText w:val=""/>
      <w:lvlJc w:val="left"/>
      <w:pPr>
        <w:ind w:left="3312" w:hanging="432"/>
      </w:pPr>
      <w:rPr>
        <w:rFonts w:ascii="Wingdings" w:hAnsi="Wingdings" w:hint="default"/>
      </w:rPr>
    </w:lvl>
    <w:lvl w:ilvl="7" w:tplc="262CC3FA">
      <w:start w:val="1"/>
      <w:numFmt w:val="bullet"/>
      <w:lvlText w:val=""/>
      <w:lvlJc w:val="left"/>
      <w:pPr>
        <w:ind w:left="3744" w:hanging="432"/>
      </w:pPr>
      <w:rPr>
        <w:rFonts w:ascii="Symbol" w:hAnsi="Symbol" w:hint="default"/>
      </w:rPr>
    </w:lvl>
    <w:lvl w:ilvl="8" w:tplc="E076BFA2">
      <w:start w:val="1"/>
      <w:numFmt w:val="bullet"/>
      <w:lvlText w:val=""/>
      <w:lvlJc w:val="left"/>
      <w:pPr>
        <w:ind w:left="4176" w:hanging="432"/>
      </w:pPr>
      <w:rPr>
        <w:rFonts w:ascii="Symbol" w:hAnsi="Symbol" w:hint="default"/>
      </w:rPr>
    </w:lvl>
  </w:abstractNum>
  <w:abstractNum w:abstractNumId="27" w15:restartNumberingAfterBreak="0">
    <w:nsid w:val="30D227C5"/>
    <w:multiLevelType w:val="hybridMultilevel"/>
    <w:tmpl w:val="E250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461A04"/>
    <w:multiLevelType w:val="singleLevel"/>
    <w:tmpl w:val="EA704EB4"/>
    <w:lvl w:ilvl="0">
      <w:start w:val="1"/>
      <w:numFmt w:val="bullet"/>
      <w:pStyle w:val="Bullets-Major"/>
      <w:lvlText w:val=""/>
      <w:lvlJc w:val="left"/>
      <w:pPr>
        <w:tabs>
          <w:tab w:val="num" w:pos="504"/>
        </w:tabs>
        <w:ind w:left="504" w:hanging="504"/>
      </w:pPr>
      <w:rPr>
        <w:rFonts w:ascii="Symbol" w:hAnsi="Symbol" w:hint="default"/>
        <w:position w:val="4"/>
        <w:sz w:val="22"/>
      </w:rPr>
    </w:lvl>
  </w:abstractNum>
  <w:abstractNum w:abstractNumId="29"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2B097D"/>
    <w:multiLevelType w:val="hybridMultilevel"/>
    <w:tmpl w:val="5D08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A026D7"/>
    <w:multiLevelType w:val="hybridMultilevel"/>
    <w:tmpl w:val="5C32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C00671"/>
    <w:multiLevelType w:val="hybridMultilevel"/>
    <w:tmpl w:val="4DD2D904"/>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4C0A5D"/>
    <w:multiLevelType w:val="hybridMultilevel"/>
    <w:tmpl w:val="8E3E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2" w15:restartNumberingAfterBreak="0">
    <w:nsid w:val="65CD478D"/>
    <w:multiLevelType w:val="hybridMultilevel"/>
    <w:tmpl w:val="829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6B6EDD"/>
    <w:multiLevelType w:val="hybridMultilevel"/>
    <w:tmpl w:val="D12A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49560B"/>
    <w:multiLevelType w:val="hybridMultilevel"/>
    <w:tmpl w:val="405A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BC0982"/>
    <w:multiLevelType w:val="hybridMultilevel"/>
    <w:tmpl w:val="04090021"/>
    <w:styleLink w:val="Itron"/>
    <w:lvl w:ilvl="0" w:tplc="78549400">
      <w:start w:val="1"/>
      <w:numFmt w:val="bullet"/>
      <w:lvlText w:val=""/>
      <w:lvlJc w:val="left"/>
      <w:pPr>
        <w:ind w:left="1080" w:hanging="360"/>
      </w:pPr>
      <w:rPr>
        <w:rFonts w:ascii="Wingdings" w:hAnsi="Wingdings"/>
      </w:rPr>
    </w:lvl>
    <w:lvl w:ilvl="1" w:tplc="39D28F34">
      <w:start w:val="1"/>
      <w:numFmt w:val="bullet"/>
      <w:lvlText w:val="─"/>
      <w:lvlJc w:val="left"/>
      <w:pPr>
        <w:ind w:left="1800" w:hanging="360"/>
      </w:pPr>
      <w:rPr>
        <w:rFonts w:ascii="Times New Roman" w:hAnsi="Times New Roman" w:hint="default"/>
        <w:b/>
        <w:sz w:val="24"/>
      </w:rPr>
    </w:lvl>
    <w:lvl w:ilvl="2" w:tplc="302C5B08">
      <w:start w:val="1"/>
      <w:numFmt w:val="bullet"/>
      <w:lvlText w:val="-"/>
      <w:lvlJc w:val="left"/>
      <w:pPr>
        <w:ind w:left="2520" w:hanging="360"/>
      </w:pPr>
      <w:rPr>
        <w:rFonts w:ascii="Times New Roman" w:hAnsi="Times New Roman" w:hint="default"/>
        <w:sz w:val="24"/>
      </w:rPr>
    </w:lvl>
    <w:lvl w:ilvl="3" w:tplc="B12422DC">
      <w:start w:val="1"/>
      <w:numFmt w:val="bullet"/>
      <w:lvlText w:val=""/>
      <w:lvlJc w:val="left"/>
      <w:pPr>
        <w:ind w:left="3240" w:hanging="360"/>
      </w:pPr>
      <w:rPr>
        <w:rFonts w:ascii="Symbol" w:hAnsi="Symbol" w:hint="default"/>
      </w:rPr>
    </w:lvl>
    <w:lvl w:ilvl="4" w:tplc="D1FAE682">
      <w:start w:val="1"/>
      <w:numFmt w:val="bullet"/>
      <w:lvlText w:val=""/>
      <w:lvlJc w:val="left"/>
      <w:pPr>
        <w:ind w:left="3960" w:hanging="360"/>
      </w:pPr>
      <w:rPr>
        <w:rFonts w:ascii="Symbol" w:hAnsi="Symbol" w:hint="default"/>
      </w:rPr>
    </w:lvl>
    <w:lvl w:ilvl="5" w:tplc="9EB4F814">
      <w:start w:val="1"/>
      <w:numFmt w:val="bullet"/>
      <w:lvlText w:val=""/>
      <w:lvlJc w:val="left"/>
      <w:pPr>
        <w:ind w:left="4680" w:hanging="360"/>
      </w:pPr>
      <w:rPr>
        <w:rFonts w:ascii="Wingdings" w:hAnsi="Wingdings" w:hint="default"/>
      </w:rPr>
    </w:lvl>
    <w:lvl w:ilvl="6" w:tplc="D8EC8988">
      <w:start w:val="1"/>
      <w:numFmt w:val="bullet"/>
      <w:lvlText w:val=""/>
      <w:lvlJc w:val="left"/>
      <w:pPr>
        <w:ind w:left="5400" w:hanging="360"/>
      </w:pPr>
      <w:rPr>
        <w:rFonts w:ascii="Wingdings" w:hAnsi="Wingdings" w:hint="default"/>
      </w:rPr>
    </w:lvl>
    <w:lvl w:ilvl="7" w:tplc="CC3CC7A8">
      <w:start w:val="1"/>
      <w:numFmt w:val="bullet"/>
      <w:lvlText w:val=""/>
      <w:lvlJc w:val="left"/>
      <w:pPr>
        <w:ind w:left="6120" w:hanging="360"/>
      </w:pPr>
      <w:rPr>
        <w:rFonts w:ascii="Symbol" w:hAnsi="Symbol" w:hint="default"/>
      </w:rPr>
    </w:lvl>
    <w:lvl w:ilvl="8" w:tplc="F7C26742">
      <w:start w:val="1"/>
      <w:numFmt w:val="bullet"/>
      <w:lvlText w:val=""/>
      <w:lvlJc w:val="left"/>
      <w:pPr>
        <w:ind w:left="6840" w:hanging="360"/>
      </w:pPr>
      <w:rPr>
        <w:rFonts w:ascii="Symbol" w:hAnsi="Symbol" w:hint="default"/>
      </w:rPr>
    </w:lvl>
  </w:abstractNum>
  <w:abstractNum w:abstractNumId="46" w15:restartNumberingAfterBreak="0">
    <w:nsid w:val="6C665317"/>
    <w:multiLevelType w:val="hybridMultilevel"/>
    <w:tmpl w:val="9CCA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E325C5"/>
    <w:multiLevelType w:val="hybridMultilevel"/>
    <w:tmpl w:val="473C26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2424A6"/>
    <w:multiLevelType w:val="hybridMultilevel"/>
    <w:tmpl w:val="83747D7A"/>
    <w:styleLink w:val="StyleNumbered"/>
    <w:lvl w:ilvl="0" w:tplc="791EF32E">
      <w:start w:val="1"/>
      <w:numFmt w:val="decimal"/>
      <w:lvlText w:val="%1."/>
      <w:lvlJc w:val="left"/>
      <w:pPr>
        <w:ind w:left="720" w:hanging="360"/>
      </w:pPr>
      <w:rPr>
        <w:rFonts w:ascii="Times New Roman" w:hAnsi="Times New Roman" w:cs="Times New Roman"/>
        <w:sz w:val="22"/>
      </w:rPr>
    </w:lvl>
    <w:lvl w:ilvl="1" w:tplc="BEC2A4CA">
      <w:start w:val="1"/>
      <w:numFmt w:val="lowerLetter"/>
      <w:lvlText w:val="%2."/>
      <w:lvlJc w:val="left"/>
      <w:pPr>
        <w:ind w:left="1440" w:hanging="360"/>
      </w:pPr>
      <w:rPr>
        <w:rFonts w:cs="Times New Roman"/>
      </w:rPr>
    </w:lvl>
    <w:lvl w:ilvl="2" w:tplc="6662310C">
      <w:start w:val="1"/>
      <w:numFmt w:val="lowerRoman"/>
      <w:lvlText w:val="%3."/>
      <w:lvlJc w:val="right"/>
      <w:pPr>
        <w:ind w:left="2160" w:hanging="180"/>
      </w:pPr>
      <w:rPr>
        <w:rFonts w:cs="Times New Roman"/>
      </w:rPr>
    </w:lvl>
    <w:lvl w:ilvl="3" w:tplc="24C4CA2E">
      <w:start w:val="1"/>
      <w:numFmt w:val="decimal"/>
      <w:lvlText w:val="%4."/>
      <w:lvlJc w:val="left"/>
      <w:pPr>
        <w:ind w:left="2880" w:hanging="360"/>
      </w:pPr>
      <w:rPr>
        <w:rFonts w:cs="Times New Roman"/>
      </w:rPr>
    </w:lvl>
    <w:lvl w:ilvl="4" w:tplc="F7F65CB6">
      <w:start w:val="1"/>
      <w:numFmt w:val="lowerLetter"/>
      <w:lvlText w:val="%5."/>
      <w:lvlJc w:val="left"/>
      <w:pPr>
        <w:ind w:left="3600" w:hanging="360"/>
      </w:pPr>
      <w:rPr>
        <w:rFonts w:cs="Times New Roman"/>
      </w:rPr>
    </w:lvl>
    <w:lvl w:ilvl="5" w:tplc="4244B850">
      <w:start w:val="1"/>
      <w:numFmt w:val="lowerRoman"/>
      <w:lvlText w:val="%6."/>
      <w:lvlJc w:val="right"/>
      <w:pPr>
        <w:ind w:left="4320" w:hanging="180"/>
      </w:pPr>
      <w:rPr>
        <w:rFonts w:cs="Times New Roman"/>
      </w:rPr>
    </w:lvl>
    <w:lvl w:ilvl="6" w:tplc="5D6C68EE">
      <w:start w:val="1"/>
      <w:numFmt w:val="decimal"/>
      <w:lvlText w:val="%7."/>
      <w:lvlJc w:val="left"/>
      <w:pPr>
        <w:ind w:left="5040" w:hanging="360"/>
      </w:pPr>
      <w:rPr>
        <w:rFonts w:cs="Times New Roman"/>
      </w:rPr>
    </w:lvl>
    <w:lvl w:ilvl="7" w:tplc="0B889A14">
      <w:start w:val="1"/>
      <w:numFmt w:val="lowerLetter"/>
      <w:lvlText w:val="%8."/>
      <w:lvlJc w:val="left"/>
      <w:pPr>
        <w:ind w:left="5760" w:hanging="360"/>
      </w:pPr>
      <w:rPr>
        <w:rFonts w:cs="Times New Roman"/>
      </w:rPr>
    </w:lvl>
    <w:lvl w:ilvl="8" w:tplc="90C2D8CC">
      <w:start w:val="1"/>
      <w:numFmt w:val="lowerRoman"/>
      <w:lvlText w:val="%9."/>
      <w:lvlJc w:val="right"/>
      <w:pPr>
        <w:ind w:left="6480" w:hanging="180"/>
      </w:pPr>
      <w:rPr>
        <w:rFonts w:cs="Times New Roman"/>
      </w:rPr>
    </w:lvl>
  </w:abstractNum>
  <w:abstractNum w:abstractNumId="49"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1"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abstractNum w:abstractNumId="52" w15:restartNumberingAfterBreak="0">
    <w:nsid w:val="7E526D8A"/>
    <w:multiLevelType w:val="hybridMultilevel"/>
    <w:tmpl w:val="0A28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F2619F7"/>
    <w:multiLevelType w:val="hybridMultilevel"/>
    <w:tmpl w:val="9B0C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170739">
    <w:abstractNumId w:val="45"/>
  </w:num>
  <w:num w:numId="2" w16cid:durableId="296839770">
    <w:abstractNumId w:val="26"/>
  </w:num>
  <w:num w:numId="3" w16cid:durableId="1132558531">
    <w:abstractNumId w:val="50"/>
  </w:num>
  <w:num w:numId="4" w16cid:durableId="695617659">
    <w:abstractNumId w:val="16"/>
  </w:num>
  <w:num w:numId="5" w16cid:durableId="1606309267">
    <w:abstractNumId w:val="39"/>
  </w:num>
  <w:num w:numId="6" w16cid:durableId="1121723242">
    <w:abstractNumId w:val="13"/>
  </w:num>
  <w:num w:numId="7" w16cid:durableId="1282151466">
    <w:abstractNumId w:val="34"/>
  </w:num>
  <w:num w:numId="8" w16cid:durableId="1075515339">
    <w:abstractNumId w:val="49"/>
  </w:num>
  <w:num w:numId="9" w16cid:durableId="277107962">
    <w:abstractNumId w:val="51"/>
  </w:num>
  <w:num w:numId="10" w16cid:durableId="1216741895">
    <w:abstractNumId w:val="33"/>
  </w:num>
  <w:num w:numId="11" w16cid:durableId="1704011671">
    <w:abstractNumId w:val="48"/>
  </w:num>
  <w:num w:numId="12" w16cid:durableId="172380178">
    <w:abstractNumId w:val="41"/>
  </w:num>
  <w:num w:numId="13" w16cid:durableId="53281396">
    <w:abstractNumId w:val="40"/>
  </w:num>
  <w:num w:numId="14" w16cid:durableId="1262911267">
    <w:abstractNumId w:val="21"/>
  </w:num>
  <w:num w:numId="15" w16cid:durableId="960302450">
    <w:abstractNumId w:val="22"/>
  </w:num>
  <w:num w:numId="16" w16cid:durableId="245920162">
    <w:abstractNumId w:val="11"/>
  </w:num>
  <w:num w:numId="17" w16cid:durableId="779371116">
    <w:abstractNumId w:val="9"/>
  </w:num>
  <w:num w:numId="18" w16cid:durableId="1521966564">
    <w:abstractNumId w:val="7"/>
  </w:num>
  <w:num w:numId="19" w16cid:durableId="852499953">
    <w:abstractNumId w:val="6"/>
  </w:num>
  <w:num w:numId="20" w16cid:durableId="1433697209">
    <w:abstractNumId w:val="5"/>
  </w:num>
  <w:num w:numId="21" w16cid:durableId="1277982619">
    <w:abstractNumId w:val="4"/>
  </w:num>
  <w:num w:numId="22" w16cid:durableId="1068502964">
    <w:abstractNumId w:val="8"/>
  </w:num>
  <w:num w:numId="23" w16cid:durableId="666981715">
    <w:abstractNumId w:val="3"/>
  </w:num>
  <w:num w:numId="24" w16cid:durableId="132917127">
    <w:abstractNumId w:val="2"/>
  </w:num>
  <w:num w:numId="25" w16cid:durableId="801534751">
    <w:abstractNumId w:val="1"/>
  </w:num>
  <w:num w:numId="26" w16cid:durableId="1063916463">
    <w:abstractNumId w:val="0"/>
  </w:num>
  <w:num w:numId="27" w16cid:durableId="1607082770">
    <w:abstractNumId w:val="23"/>
  </w:num>
  <w:num w:numId="28" w16cid:durableId="469635613">
    <w:abstractNumId w:val="31"/>
  </w:num>
  <w:num w:numId="29" w16cid:durableId="589893216">
    <w:abstractNumId w:val="29"/>
  </w:num>
  <w:num w:numId="30" w16cid:durableId="871462245">
    <w:abstractNumId w:val="14"/>
  </w:num>
  <w:num w:numId="31" w16cid:durableId="1895653853">
    <w:abstractNumId w:val="15"/>
  </w:num>
  <w:num w:numId="32" w16cid:durableId="636111209">
    <w:abstractNumId w:val="25"/>
  </w:num>
  <w:num w:numId="33" w16cid:durableId="361050712">
    <w:abstractNumId w:val="36"/>
  </w:num>
  <w:num w:numId="34" w16cid:durableId="152180365">
    <w:abstractNumId w:val="20"/>
  </w:num>
  <w:num w:numId="35" w16cid:durableId="1557205875">
    <w:abstractNumId w:val="35"/>
  </w:num>
  <w:num w:numId="36" w16cid:durableId="1523473465">
    <w:abstractNumId w:val="28"/>
  </w:num>
  <w:num w:numId="37" w16cid:durableId="1266377373">
    <w:abstractNumId w:val="18"/>
  </w:num>
  <w:num w:numId="38" w16cid:durableId="2079941420">
    <w:abstractNumId w:val="44"/>
  </w:num>
  <w:num w:numId="39" w16cid:durableId="1792896865">
    <w:abstractNumId w:val="38"/>
  </w:num>
  <w:num w:numId="40" w16cid:durableId="595938398">
    <w:abstractNumId w:val="12"/>
  </w:num>
  <w:num w:numId="41" w16cid:durableId="1699433788">
    <w:abstractNumId w:val="32"/>
  </w:num>
  <w:num w:numId="42" w16cid:durableId="777025335">
    <w:abstractNumId w:val="27"/>
  </w:num>
  <w:num w:numId="43" w16cid:durableId="1179545643">
    <w:abstractNumId w:val="46"/>
  </w:num>
  <w:num w:numId="44" w16cid:durableId="1799108481">
    <w:abstractNumId w:val="37"/>
  </w:num>
  <w:num w:numId="45" w16cid:durableId="296380949">
    <w:abstractNumId w:val="42"/>
  </w:num>
  <w:num w:numId="46" w16cid:durableId="2037192216">
    <w:abstractNumId w:val="43"/>
  </w:num>
  <w:num w:numId="47" w16cid:durableId="1387682214">
    <w:abstractNumId w:val="53"/>
  </w:num>
  <w:num w:numId="48" w16cid:durableId="2122336960">
    <w:abstractNumId w:val="52"/>
  </w:num>
  <w:num w:numId="49" w16cid:durableId="2096709844">
    <w:abstractNumId w:val="24"/>
  </w:num>
  <w:num w:numId="50" w16cid:durableId="1369262996">
    <w:abstractNumId w:val="47"/>
  </w:num>
  <w:num w:numId="51" w16cid:durableId="1010569128">
    <w:abstractNumId w:val="17"/>
  </w:num>
  <w:num w:numId="52" w16cid:durableId="1187911910">
    <w:abstractNumId w:val="52"/>
  </w:num>
  <w:num w:numId="53" w16cid:durableId="1377661148">
    <w:abstractNumId w:val="10"/>
  </w:num>
  <w:num w:numId="54" w16cid:durableId="426927746">
    <w:abstractNumId w:val="30"/>
  </w:num>
  <w:num w:numId="55" w16cid:durableId="514882636">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TU3MTU0sjA2trBQ0lEKTi0uzszPAykwqgUAb7PBVywAAAA="/>
    <w:docVar w:name="EditGoTo" w:val="x1"/>
  </w:docVars>
  <w:rsids>
    <w:rsidRoot w:val="008A5D8E"/>
    <w:rsid w:val="00000262"/>
    <w:rsid w:val="000005E6"/>
    <w:rsid w:val="0000068A"/>
    <w:rsid w:val="00000B20"/>
    <w:rsid w:val="00000D5D"/>
    <w:rsid w:val="00000E8E"/>
    <w:rsid w:val="00001472"/>
    <w:rsid w:val="00001545"/>
    <w:rsid w:val="000018DF"/>
    <w:rsid w:val="00002515"/>
    <w:rsid w:val="00002571"/>
    <w:rsid w:val="000026C0"/>
    <w:rsid w:val="0000278F"/>
    <w:rsid w:val="00002BC6"/>
    <w:rsid w:val="000030C8"/>
    <w:rsid w:val="0000320A"/>
    <w:rsid w:val="00003341"/>
    <w:rsid w:val="00003452"/>
    <w:rsid w:val="000036AE"/>
    <w:rsid w:val="00003A33"/>
    <w:rsid w:val="00004723"/>
    <w:rsid w:val="00004A85"/>
    <w:rsid w:val="00005206"/>
    <w:rsid w:val="00005891"/>
    <w:rsid w:val="00005CE1"/>
    <w:rsid w:val="00005DB4"/>
    <w:rsid w:val="00005E48"/>
    <w:rsid w:val="00005FB9"/>
    <w:rsid w:val="00006268"/>
    <w:rsid w:val="00006744"/>
    <w:rsid w:val="00006D7F"/>
    <w:rsid w:val="0000732D"/>
    <w:rsid w:val="00007639"/>
    <w:rsid w:val="00007A6A"/>
    <w:rsid w:val="00007C0D"/>
    <w:rsid w:val="00007EE5"/>
    <w:rsid w:val="000105CC"/>
    <w:rsid w:val="000106EE"/>
    <w:rsid w:val="00010803"/>
    <w:rsid w:val="0001086C"/>
    <w:rsid w:val="00010CF1"/>
    <w:rsid w:val="00010EB5"/>
    <w:rsid w:val="000116B2"/>
    <w:rsid w:val="00011A7A"/>
    <w:rsid w:val="00012020"/>
    <w:rsid w:val="00012252"/>
    <w:rsid w:val="00012344"/>
    <w:rsid w:val="00012529"/>
    <w:rsid w:val="000126F4"/>
    <w:rsid w:val="00012815"/>
    <w:rsid w:val="00012CA5"/>
    <w:rsid w:val="00012D2E"/>
    <w:rsid w:val="00012E47"/>
    <w:rsid w:val="00013033"/>
    <w:rsid w:val="00013376"/>
    <w:rsid w:val="00013669"/>
    <w:rsid w:val="00013A7D"/>
    <w:rsid w:val="00013ACC"/>
    <w:rsid w:val="00013ED7"/>
    <w:rsid w:val="00013F93"/>
    <w:rsid w:val="000147F5"/>
    <w:rsid w:val="00014C87"/>
    <w:rsid w:val="00014CD2"/>
    <w:rsid w:val="000151D8"/>
    <w:rsid w:val="0001525A"/>
    <w:rsid w:val="0001590A"/>
    <w:rsid w:val="000159CA"/>
    <w:rsid w:val="000160C9"/>
    <w:rsid w:val="00016960"/>
    <w:rsid w:val="0001698A"/>
    <w:rsid w:val="00016ACD"/>
    <w:rsid w:val="00016ADC"/>
    <w:rsid w:val="00016D18"/>
    <w:rsid w:val="00016DB0"/>
    <w:rsid w:val="000170C4"/>
    <w:rsid w:val="000174D8"/>
    <w:rsid w:val="000174F3"/>
    <w:rsid w:val="00020022"/>
    <w:rsid w:val="0002009B"/>
    <w:rsid w:val="00020216"/>
    <w:rsid w:val="000207B0"/>
    <w:rsid w:val="000210FD"/>
    <w:rsid w:val="000211DC"/>
    <w:rsid w:val="0002156F"/>
    <w:rsid w:val="00021870"/>
    <w:rsid w:val="00021A3B"/>
    <w:rsid w:val="00021F40"/>
    <w:rsid w:val="0002282C"/>
    <w:rsid w:val="00022DC9"/>
    <w:rsid w:val="00022EDC"/>
    <w:rsid w:val="00022EE7"/>
    <w:rsid w:val="00022F0D"/>
    <w:rsid w:val="00022FF6"/>
    <w:rsid w:val="000233DB"/>
    <w:rsid w:val="00023607"/>
    <w:rsid w:val="00023A5E"/>
    <w:rsid w:val="00023CDE"/>
    <w:rsid w:val="00023D4D"/>
    <w:rsid w:val="00024110"/>
    <w:rsid w:val="000243AD"/>
    <w:rsid w:val="0002442E"/>
    <w:rsid w:val="00024EA8"/>
    <w:rsid w:val="00024EFD"/>
    <w:rsid w:val="00025122"/>
    <w:rsid w:val="000253D2"/>
    <w:rsid w:val="000253FE"/>
    <w:rsid w:val="000254D7"/>
    <w:rsid w:val="00025C8D"/>
    <w:rsid w:val="00025DE8"/>
    <w:rsid w:val="00025EE1"/>
    <w:rsid w:val="00025FFF"/>
    <w:rsid w:val="00026046"/>
    <w:rsid w:val="0002631A"/>
    <w:rsid w:val="0002649E"/>
    <w:rsid w:val="000264AD"/>
    <w:rsid w:val="000269A6"/>
    <w:rsid w:val="00026D0D"/>
    <w:rsid w:val="00026E65"/>
    <w:rsid w:val="00026F29"/>
    <w:rsid w:val="0002735D"/>
    <w:rsid w:val="00027FDF"/>
    <w:rsid w:val="00030F51"/>
    <w:rsid w:val="00031A81"/>
    <w:rsid w:val="000322AC"/>
    <w:rsid w:val="0003252A"/>
    <w:rsid w:val="000325CF"/>
    <w:rsid w:val="000329AA"/>
    <w:rsid w:val="00032A52"/>
    <w:rsid w:val="00032DA1"/>
    <w:rsid w:val="00032FA4"/>
    <w:rsid w:val="000335FE"/>
    <w:rsid w:val="000339E5"/>
    <w:rsid w:val="00033E0E"/>
    <w:rsid w:val="000341E9"/>
    <w:rsid w:val="000343C2"/>
    <w:rsid w:val="00034502"/>
    <w:rsid w:val="00034C84"/>
    <w:rsid w:val="00034F8B"/>
    <w:rsid w:val="00034F90"/>
    <w:rsid w:val="00034FFB"/>
    <w:rsid w:val="00035038"/>
    <w:rsid w:val="000352C3"/>
    <w:rsid w:val="000352CC"/>
    <w:rsid w:val="00035699"/>
    <w:rsid w:val="00035715"/>
    <w:rsid w:val="000358BE"/>
    <w:rsid w:val="00035D7B"/>
    <w:rsid w:val="00035F61"/>
    <w:rsid w:val="00035FF6"/>
    <w:rsid w:val="000360F1"/>
    <w:rsid w:val="000362B2"/>
    <w:rsid w:val="000369C0"/>
    <w:rsid w:val="00036D8C"/>
    <w:rsid w:val="0003708B"/>
    <w:rsid w:val="000370AE"/>
    <w:rsid w:val="000371E9"/>
    <w:rsid w:val="000373F5"/>
    <w:rsid w:val="00037629"/>
    <w:rsid w:val="00037C03"/>
    <w:rsid w:val="000407AB"/>
    <w:rsid w:val="00040AE2"/>
    <w:rsid w:val="00040C86"/>
    <w:rsid w:val="00040DE0"/>
    <w:rsid w:val="00041202"/>
    <w:rsid w:val="00041347"/>
    <w:rsid w:val="000413A7"/>
    <w:rsid w:val="000414B6"/>
    <w:rsid w:val="000414D4"/>
    <w:rsid w:val="000416E4"/>
    <w:rsid w:val="00041E6D"/>
    <w:rsid w:val="000422A1"/>
    <w:rsid w:val="00042D17"/>
    <w:rsid w:val="0004353F"/>
    <w:rsid w:val="00043567"/>
    <w:rsid w:val="0004376E"/>
    <w:rsid w:val="000441FC"/>
    <w:rsid w:val="000443DB"/>
    <w:rsid w:val="000445E3"/>
    <w:rsid w:val="000447CF"/>
    <w:rsid w:val="00044E59"/>
    <w:rsid w:val="00045B20"/>
    <w:rsid w:val="00045C57"/>
    <w:rsid w:val="00045D1B"/>
    <w:rsid w:val="0004642C"/>
    <w:rsid w:val="000466A2"/>
    <w:rsid w:val="000467F4"/>
    <w:rsid w:val="00046804"/>
    <w:rsid w:val="000468F8"/>
    <w:rsid w:val="00046E2C"/>
    <w:rsid w:val="000479A9"/>
    <w:rsid w:val="00047C36"/>
    <w:rsid w:val="00047C9E"/>
    <w:rsid w:val="00047D30"/>
    <w:rsid w:val="00050721"/>
    <w:rsid w:val="00050B2E"/>
    <w:rsid w:val="00050EC6"/>
    <w:rsid w:val="00051096"/>
    <w:rsid w:val="0005152B"/>
    <w:rsid w:val="0005185C"/>
    <w:rsid w:val="000521F1"/>
    <w:rsid w:val="0005225A"/>
    <w:rsid w:val="0005287F"/>
    <w:rsid w:val="00052A82"/>
    <w:rsid w:val="00052B2A"/>
    <w:rsid w:val="00052BB0"/>
    <w:rsid w:val="000531E0"/>
    <w:rsid w:val="00053A22"/>
    <w:rsid w:val="00054143"/>
    <w:rsid w:val="0005439A"/>
    <w:rsid w:val="000545CE"/>
    <w:rsid w:val="000547A7"/>
    <w:rsid w:val="00054A24"/>
    <w:rsid w:val="00054B79"/>
    <w:rsid w:val="000553CF"/>
    <w:rsid w:val="0005540B"/>
    <w:rsid w:val="000554A9"/>
    <w:rsid w:val="00055567"/>
    <w:rsid w:val="00055868"/>
    <w:rsid w:val="000559B3"/>
    <w:rsid w:val="00055CA1"/>
    <w:rsid w:val="0005640D"/>
    <w:rsid w:val="00056457"/>
    <w:rsid w:val="00056651"/>
    <w:rsid w:val="00056713"/>
    <w:rsid w:val="00056B32"/>
    <w:rsid w:val="00056C9E"/>
    <w:rsid w:val="00056CF8"/>
    <w:rsid w:val="00057122"/>
    <w:rsid w:val="00057490"/>
    <w:rsid w:val="000575F6"/>
    <w:rsid w:val="0005768F"/>
    <w:rsid w:val="00057904"/>
    <w:rsid w:val="00057915"/>
    <w:rsid w:val="000600EE"/>
    <w:rsid w:val="00060120"/>
    <w:rsid w:val="0006077D"/>
    <w:rsid w:val="00060889"/>
    <w:rsid w:val="00060CBA"/>
    <w:rsid w:val="00060E3D"/>
    <w:rsid w:val="000612B3"/>
    <w:rsid w:val="00061729"/>
    <w:rsid w:val="00061C05"/>
    <w:rsid w:val="00061C07"/>
    <w:rsid w:val="00061C1C"/>
    <w:rsid w:val="00061F80"/>
    <w:rsid w:val="000623A9"/>
    <w:rsid w:val="00062533"/>
    <w:rsid w:val="00062E2E"/>
    <w:rsid w:val="0006306A"/>
    <w:rsid w:val="00063070"/>
    <w:rsid w:val="00063144"/>
    <w:rsid w:val="00063428"/>
    <w:rsid w:val="0006396D"/>
    <w:rsid w:val="00063AEB"/>
    <w:rsid w:val="00063AFC"/>
    <w:rsid w:val="00063B8D"/>
    <w:rsid w:val="00063CA7"/>
    <w:rsid w:val="00064055"/>
    <w:rsid w:val="00064753"/>
    <w:rsid w:val="00064FC0"/>
    <w:rsid w:val="00065187"/>
    <w:rsid w:val="000655D2"/>
    <w:rsid w:val="00065687"/>
    <w:rsid w:val="000658A8"/>
    <w:rsid w:val="00065C48"/>
    <w:rsid w:val="00065D22"/>
    <w:rsid w:val="000661F0"/>
    <w:rsid w:val="00066297"/>
    <w:rsid w:val="00066630"/>
    <w:rsid w:val="00066748"/>
    <w:rsid w:val="00066BA2"/>
    <w:rsid w:val="00067292"/>
    <w:rsid w:val="000676F4"/>
    <w:rsid w:val="00067744"/>
    <w:rsid w:val="00067CA3"/>
    <w:rsid w:val="000700B7"/>
    <w:rsid w:val="0007038A"/>
    <w:rsid w:val="000706A7"/>
    <w:rsid w:val="00070B0A"/>
    <w:rsid w:val="00070E7C"/>
    <w:rsid w:val="00071121"/>
    <w:rsid w:val="00071205"/>
    <w:rsid w:val="000719AE"/>
    <w:rsid w:val="000719C1"/>
    <w:rsid w:val="00071B69"/>
    <w:rsid w:val="00071C12"/>
    <w:rsid w:val="00071FAD"/>
    <w:rsid w:val="00072117"/>
    <w:rsid w:val="00072549"/>
    <w:rsid w:val="00072A85"/>
    <w:rsid w:val="00072A98"/>
    <w:rsid w:val="00072B81"/>
    <w:rsid w:val="00072BEC"/>
    <w:rsid w:val="000730D2"/>
    <w:rsid w:val="000730DC"/>
    <w:rsid w:val="0007382D"/>
    <w:rsid w:val="00074361"/>
    <w:rsid w:val="00074509"/>
    <w:rsid w:val="00074737"/>
    <w:rsid w:val="000749AD"/>
    <w:rsid w:val="00074A0A"/>
    <w:rsid w:val="00074A7E"/>
    <w:rsid w:val="00074BF0"/>
    <w:rsid w:val="000750C5"/>
    <w:rsid w:val="000752D9"/>
    <w:rsid w:val="000758A8"/>
    <w:rsid w:val="00075BCE"/>
    <w:rsid w:val="00075F5F"/>
    <w:rsid w:val="00076A0C"/>
    <w:rsid w:val="00076AA5"/>
    <w:rsid w:val="00076CC4"/>
    <w:rsid w:val="00077682"/>
    <w:rsid w:val="00077AB0"/>
    <w:rsid w:val="00077E6E"/>
    <w:rsid w:val="000801C7"/>
    <w:rsid w:val="000801E7"/>
    <w:rsid w:val="0008063D"/>
    <w:rsid w:val="000809D9"/>
    <w:rsid w:val="00080B44"/>
    <w:rsid w:val="00080BF3"/>
    <w:rsid w:val="00080EAD"/>
    <w:rsid w:val="00081491"/>
    <w:rsid w:val="00081FE5"/>
    <w:rsid w:val="000822B2"/>
    <w:rsid w:val="00082E23"/>
    <w:rsid w:val="00082F19"/>
    <w:rsid w:val="00083180"/>
    <w:rsid w:val="00083216"/>
    <w:rsid w:val="00083478"/>
    <w:rsid w:val="000838AE"/>
    <w:rsid w:val="00083C45"/>
    <w:rsid w:val="00084017"/>
    <w:rsid w:val="000840AD"/>
    <w:rsid w:val="00084F5A"/>
    <w:rsid w:val="00085595"/>
    <w:rsid w:val="00085B5D"/>
    <w:rsid w:val="00086098"/>
    <w:rsid w:val="000860E0"/>
    <w:rsid w:val="0008674B"/>
    <w:rsid w:val="000868CB"/>
    <w:rsid w:val="00087E45"/>
    <w:rsid w:val="00087FA6"/>
    <w:rsid w:val="0009061C"/>
    <w:rsid w:val="00090803"/>
    <w:rsid w:val="00090E0E"/>
    <w:rsid w:val="00090FCE"/>
    <w:rsid w:val="00091057"/>
    <w:rsid w:val="000910A5"/>
    <w:rsid w:val="00091496"/>
    <w:rsid w:val="000917D7"/>
    <w:rsid w:val="00091938"/>
    <w:rsid w:val="00092031"/>
    <w:rsid w:val="000925BD"/>
    <w:rsid w:val="00092603"/>
    <w:rsid w:val="00092D85"/>
    <w:rsid w:val="00092DD9"/>
    <w:rsid w:val="00093033"/>
    <w:rsid w:val="00093173"/>
    <w:rsid w:val="00093521"/>
    <w:rsid w:val="0009382D"/>
    <w:rsid w:val="00093918"/>
    <w:rsid w:val="00093A3A"/>
    <w:rsid w:val="00093DD1"/>
    <w:rsid w:val="0009401B"/>
    <w:rsid w:val="000942E9"/>
    <w:rsid w:val="000946FF"/>
    <w:rsid w:val="00094BFC"/>
    <w:rsid w:val="00094D45"/>
    <w:rsid w:val="00094F80"/>
    <w:rsid w:val="000950A8"/>
    <w:rsid w:val="00095519"/>
    <w:rsid w:val="00095E41"/>
    <w:rsid w:val="000964F3"/>
    <w:rsid w:val="00096C8D"/>
    <w:rsid w:val="0009759E"/>
    <w:rsid w:val="00097B62"/>
    <w:rsid w:val="00097E45"/>
    <w:rsid w:val="00097E4B"/>
    <w:rsid w:val="000A0166"/>
    <w:rsid w:val="000A02FA"/>
    <w:rsid w:val="000A04E5"/>
    <w:rsid w:val="000A0514"/>
    <w:rsid w:val="000A0966"/>
    <w:rsid w:val="000A1046"/>
    <w:rsid w:val="000A1518"/>
    <w:rsid w:val="000A154A"/>
    <w:rsid w:val="000A1553"/>
    <w:rsid w:val="000A15EC"/>
    <w:rsid w:val="000A1966"/>
    <w:rsid w:val="000A1D8B"/>
    <w:rsid w:val="000A2306"/>
    <w:rsid w:val="000A2693"/>
    <w:rsid w:val="000A2F42"/>
    <w:rsid w:val="000A35D6"/>
    <w:rsid w:val="000A3D16"/>
    <w:rsid w:val="000A3D2B"/>
    <w:rsid w:val="000A3E51"/>
    <w:rsid w:val="000A42FC"/>
    <w:rsid w:val="000A46CD"/>
    <w:rsid w:val="000A4B3B"/>
    <w:rsid w:val="000A4C8B"/>
    <w:rsid w:val="000A526A"/>
    <w:rsid w:val="000A5378"/>
    <w:rsid w:val="000A5609"/>
    <w:rsid w:val="000A59A2"/>
    <w:rsid w:val="000A5A16"/>
    <w:rsid w:val="000A5E1B"/>
    <w:rsid w:val="000A6047"/>
    <w:rsid w:val="000A64FD"/>
    <w:rsid w:val="000A6B52"/>
    <w:rsid w:val="000A72F8"/>
    <w:rsid w:val="000A743A"/>
    <w:rsid w:val="000A74E8"/>
    <w:rsid w:val="000A752B"/>
    <w:rsid w:val="000A75C9"/>
    <w:rsid w:val="000A77B8"/>
    <w:rsid w:val="000A77DF"/>
    <w:rsid w:val="000A7948"/>
    <w:rsid w:val="000A7ABA"/>
    <w:rsid w:val="000A7DD9"/>
    <w:rsid w:val="000B002D"/>
    <w:rsid w:val="000B04B9"/>
    <w:rsid w:val="000B06DF"/>
    <w:rsid w:val="000B0886"/>
    <w:rsid w:val="000B0A9A"/>
    <w:rsid w:val="000B0E08"/>
    <w:rsid w:val="000B1278"/>
    <w:rsid w:val="000B1524"/>
    <w:rsid w:val="000B1EA3"/>
    <w:rsid w:val="000B1FBA"/>
    <w:rsid w:val="000B21F5"/>
    <w:rsid w:val="000B27B8"/>
    <w:rsid w:val="000B2AB5"/>
    <w:rsid w:val="000B2FB3"/>
    <w:rsid w:val="000B353B"/>
    <w:rsid w:val="000B38B5"/>
    <w:rsid w:val="000B3E79"/>
    <w:rsid w:val="000B3E90"/>
    <w:rsid w:val="000B4636"/>
    <w:rsid w:val="000B46CB"/>
    <w:rsid w:val="000B4F83"/>
    <w:rsid w:val="000B4FD7"/>
    <w:rsid w:val="000B54FE"/>
    <w:rsid w:val="000B55E0"/>
    <w:rsid w:val="000B5638"/>
    <w:rsid w:val="000B567F"/>
    <w:rsid w:val="000B5721"/>
    <w:rsid w:val="000B5A3A"/>
    <w:rsid w:val="000B5A47"/>
    <w:rsid w:val="000B5BF1"/>
    <w:rsid w:val="000B633C"/>
    <w:rsid w:val="000B6441"/>
    <w:rsid w:val="000B66CC"/>
    <w:rsid w:val="000B670A"/>
    <w:rsid w:val="000B6AB3"/>
    <w:rsid w:val="000B6DD1"/>
    <w:rsid w:val="000B6F8F"/>
    <w:rsid w:val="000B708F"/>
    <w:rsid w:val="000B7543"/>
    <w:rsid w:val="000B759B"/>
    <w:rsid w:val="000B75A6"/>
    <w:rsid w:val="000B7771"/>
    <w:rsid w:val="000B7BFE"/>
    <w:rsid w:val="000B7FF6"/>
    <w:rsid w:val="000C02AA"/>
    <w:rsid w:val="000C045F"/>
    <w:rsid w:val="000C057F"/>
    <w:rsid w:val="000C058A"/>
    <w:rsid w:val="000C05B4"/>
    <w:rsid w:val="000C099A"/>
    <w:rsid w:val="000C0AD5"/>
    <w:rsid w:val="000C0C4E"/>
    <w:rsid w:val="000C0DA6"/>
    <w:rsid w:val="000C0FC7"/>
    <w:rsid w:val="000C1878"/>
    <w:rsid w:val="000C1997"/>
    <w:rsid w:val="000C1C6C"/>
    <w:rsid w:val="000C1E16"/>
    <w:rsid w:val="000C1E59"/>
    <w:rsid w:val="000C1ED8"/>
    <w:rsid w:val="000C1F39"/>
    <w:rsid w:val="000C2176"/>
    <w:rsid w:val="000C2908"/>
    <w:rsid w:val="000C2D78"/>
    <w:rsid w:val="000C2FDE"/>
    <w:rsid w:val="000C3008"/>
    <w:rsid w:val="000C30C7"/>
    <w:rsid w:val="000C31C2"/>
    <w:rsid w:val="000C3260"/>
    <w:rsid w:val="000C369C"/>
    <w:rsid w:val="000C37E3"/>
    <w:rsid w:val="000C39FF"/>
    <w:rsid w:val="000C3AEF"/>
    <w:rsid w:val="000C3AF8"/>
    <w:rsid w:val="000C3D11"/>
    <w:rsid w:val="000C400C"/>
    <w:rsid w:val="000C404A"/>
    <w:rsid w:val="000C4998"/>
    <w:rsid w:val="000C4A0F"/>
    <w:rsid w:val="000C4C28"/>
    <w:rsid w:val="000C4E18"/>
    <w:rsid w:val="000C4E71"/>
    <w:rsid w:val="000C52DC"/>
    <w:rsid w:val="000C52FE"/>
    <w:rsid w:val="000C56FB"/>
    <w:rsid w:val="000C5C0D"/>
    <w:rsid w:val="000C5C43"/>
    <w:rsid w:val="000C5C61"/>
    <w:rsid w:val="000C5D1A"/>
    <w:rsid w:val="000C5E12"/>
    <w:rsid w:val="000C6355"/>
    <w:rsid w:val="000C652C"/>
    <w:rsid w:val="000C6867"/>
    <w:rsid w:val="000C68E9"/>
    <w:rsid w:val="000C6994"/>
    <w:rsid w:val="000C6AD9"/>
    <w:rsid w:val="000C705F"/>
    <w:rsid w:val="000C73D0"/>
    <w:rsid w:val="000C74B3"/>
    <w:rsid w:val="000C75C8"/>
    <w:rsid w:val="000C7B6D"/>
    <w:rsid w:val="000C7FEA"/>
    <w:rsid w:val="000D0248"/>
    <w:rsid w:val="000D0A9D"/>
    <w:rsid w:val="000D0EB1"/>
    <w:rsid w:val="000D0F15"/>
    <w:rsid w:val="000D172F"/>
    <w:rsid w:val="000D18C3"/>
    <w:rsid w:val="000D1B04"/>
    <w:rsid w:val="000D1BBC"/>
    <w:rsid w:val="000D1EDA"/>
    <w:rsid w:val="000D1F5C"/>
    <w:rsid w:val="000D225B"/>
    <w:rsid w:val="000D234F"/>
    <w:rsid w:val="000D2378"/>
    <w:rsid w:val="000D243A"/>
    <w:rsid w:val="000D24DD"/>
    <w:rsid w:val="000D25D9"/>
    <w:rsid w:val="000D29A5"/>
    <w:rsid w:val="000D2E6C"/>
    <w:rsid w:val="000D398C"/>
    <w:rsid w:val="000D3CA9"/>
    <w:rsid w:val="000D3D32"/>
    <w:rsid w:val="000D3D3A"/>
    <w:rsid w:val="000D3F97"/>
    <w:rsid w:val="000D44F3"/>
    <w:rsid w:val="000D4AAA"/>
    <w:rsid w:val="000D4E55"/>
    <w:rsid w:val="000D4F17"/>
    <w:rsid w:val="000D5028"/>
    <w:rsid w:val="000D521B"/>
    <w:rsid w:val="000D582B"/>
    <w:rsid w:val="000D58C6"/>
    <w:rsid w:val="000D59AA"/>
    <w:rsid w:val="000D59B1"/>
    <w:rsid w:val="000D59FE"/>
    <w:rsid w:val="000D5A3A"/>
    <w:rsid w:val="000D5A3D"/>
    <w:rsid w:val="000D6786"/>
    <w:rsid w:val="000D7C92"/>
    <w:rsid w:val="000E0AF4"/>
    <w:rsid w:val="000E0D25"/>
    <w:rsid w:val="000E0E17"/>
    <w:rsid w:val="000E13D8"/>
    <w:rsid w:val="000E142F"/>
    <w:rsid w:val="000E182F"/>
    <w:rsid w:val="000E1958"/>
    <w:rsid w:val="000E1AA0"/>
    <w:rsid w:val="000E1B85"/>
    <w:rsid w:val="000E2618"/>
    <w:rsid w:val="000E266A"/>
    <w:rsid w:val="000E2B17"/>
    <w:rsid w:val="000E2E27"/>
    <w:rsid w:val="000E3030"/>
    <w:rsid w:val="000E31EC"/>
    <w:rsid w:val="000E32FF"/>
    <w:rsid w:val="000E371C"/>
    <w:rsid w:val="000E4024"/>
    <w:rsid w:val="000E43F2"/>
    <w:rsid w:val="000E477F"/>
    <w:rsid w:val="000E493D"/>
    <w:rsid w:val="000E5468"/>
    <w:rsid w:val="000E5B57"/>
    <w:rsid w:val="000E5D1F"/>
    <w:rsid w:val="000E5D30"/>
    <w:rsid w:val="000E5F14"/>
    <w:rsid w:val="000E6083"/>
    <w:rsid w:val="000E657F"/>
    <w:rsid w:val="000E66D7"/>
    <w:rsid w:val="000E6933"/>
    <w:rsid w:val="000E6A59"/>
    <w:rsid w:val="000E6D16"/>
    <w:rsid w:val="000E727A"/>
    <w:rsid w:val="000F0317"/>
    <w:rsid w:val="000F03B5"/>
    <w:rsid w:val="000F0557"/>
    <w:rsid w:val="000F0694"/>
    <w:rsid w:val="000F076F"/>
    <w:rsid w:val="000F12D3"/>
    <w:rsid w:val="000F1386"/>
    <w:rsid w:val="000F14AC"/>
    <w:rsid w:val="000F1848"/>
    <w:rsid w:val="000F1AE3"/>
    <w:rsid w:val="000F1CD7"/>
    <w:rsid w:val="000F2004"/>
    <w:rsid w:val="000F21C5"/>
    <w:rsid w:val="000F2797"/>
    <w:rsid w:val="000F2D70"/>
    <w:rsid w:val="000F2ED8"/>
    <w:rsid w:val="000F2FDF"/>
    <w:rsid w:val="000F321A"/>
    <w:rsid w:val="000F3AB5"/>
    <w:rsid w:val="000F3C24"/>
    <w:rsid w:val="000F3C4C"/>
    <w:rsid w:val="000F3DD8"/>
    <w:rsid w:val="000F407B"/>
    <w:rsid w:val="000F490B"/>
    <w:rsid w:val="000F49A8"/>
    <w:rsid w:val="000F4D4E"/>
    <w:rsid w:val="000F54B7"/>
    <w:rsid w:val="000F5556"/>
    <w:rsid w:val="000F58E1"/>
    <w:rsid w:val="000F5A38"/>
    <w:rsid w:val="000F6277"/>
    <w:rsid w:val="000F6914"/>
    <w:rsid w:val="000F6970"/>
    <w:rsid w:val="000F6B58"/>
    <w:rsid w:val="000F6D6F"/>
    <w:rsid w:val="000F7449"/>
    <w:rsid w:val="000F7467"/>
    <w:rsid w:val="000F788B"/>
    <w:rsid w:val="000F7A49"/>
    <w:rsid w:val="0010003A"/>
    <w:rsid w:val="001004CB"/>
    <w:rsid w:val="001004E4"/>
    <w:rsid w:val="00100894"/>
    <w:rsid w:val="0010102D"/>
    <w:rsid w:val="00101A70"/>
    <w:rsid w:val="001020B3"/>
    <w:rsid w:val="001020BC"/>
    <w:rsid w:val="001022BD"/>
    <w:rsid w:val="0010288C"/>
    <w:rsid w:val="00102A62"/>
    <w:rsid w:val="00102AA2"/>
    <w:rsid w:val="00102E47"/>
    <w:rsid w:val="00102F2F"/>
    <w:rsid w:val="0010326B"/>
    <w:rsid w:val="0010387E"/>
    <w:rsid w:val="00103B93"/>
    <w:rsid w:val="00103CE6"/>
    <w:rsid w:val="00104AD7"/>
    <w:rsid w:val="00104AF2"/>
    <w:rsid w:val="00104CDB"/>
    <w:rsid w:val="00104D80"/>
    <w:rsid w:val="001053B0"/>
    <w:rsid w:val="001058C2"/>
    <w:rsid w:val="00105937"/>
    <w:rsid w:val="001059D6"/>
    <w:rsid w:val="00105A93"/>
    <w:rsid w:val="00105D7F"/>
    <w:rsid w:val="00105E41"/>
    <w:rsid w:val="00106088"/>
    <w:rsid w:val="00106230"/>
    <w:rsid w:val="001069CC"/>
    <w:rsid w:val="001069E6"/>
    <w:rsid w:val="00106B0A"/>
    <w:rsid w:val="00106B3B"/>
    <w:rsid w:val="00106CD8"/>
    <w:rsid w:val="00106D6C"/>
    <w:rsid w:val="00106F0C"/>
    <w:rsid w:val="001070AB"/>
    <w:rsid w:val="001072A6"/>
    <w:rsid w:val="001072D0"/>
    <w:rsid w:val="001073A5"/>
    <w:rsid w:val="00107439"/>
    <w:rsid w:val="00107442"/>
    <w:rsid w:val="001076DA"/>
    <w:rsid w:val="001077FC"/>
    <w:rsid w:val="0010788C"/>
    <w:rsid w:val="00107DFF"/>
    <w:rsid w:val="00107ED1"/>
    <w:rsid w:val="00110B25"/>
    <w:rsid w:val="00110DD0"/>
    <w:rsid w:val="00110F66"/>
    <w:rsid w:val="00111135"/>
    <w:rsid w:val="00111156"/>
    <w:rsid w:val="00111256"/>
    <w:rsid w:val="00111350"/>
    <w:rsid w:val="001119E9"/>
    <w:rsid w:val="00112585"/>
    <w:rsid w:val="00112D5D"/>
    <w:rsid w:val="00112F6E"/>
    <w:rsid w:val="00113104"/>
    <w:rsid w:val="00114009"/>
    <w:rsid w:val="001140FE"/>
    <w:rsid w:val="001142A7"/>
    <w:rsid w:val="0011490B"/>
    <w:rsid w:val="001149F8"/>
    <w:rsid w:val="00114AEA"/>
    <w:rsid w:val="00114BE9"/>
    <w:rsid w:val="00114E6D"/>
    <w:rsid w:val="001153A6"/>
    <w:rsid w:val="001156EE"/>
    <w:rsid w:val="00115F6C"/>
    <w:rsid w:val="00115FB5"/>
    <w:rsid w:val="00115FE1"/>
    <w:rsid w:val="00116254"/>
    <w:rsid w:val="00116261"/>
    <w:rsid w:val="001165C2"/>
    <w:rsid w:val="001165FC"/>
    <w:rsid w:val="001167ED"/>
    <w:rsid w:val="00116DC5"/>
    <w:rsid w:val="00116F47"/>
    <w:rsid w:val="00117024"/>
    <w:rsid w:val="00117871"/>
    <w:rsid w:val="001179CB"/>
    <w:rsid w:val="00117A3A"/>
    <w:rsid w:val="00117F1E"/>
    <w:rsid w:val="00117FA8"/>
    <w:rsid w:val="001204B5"/>
    <w:rsid w:val="0012054F"/>
    <w:rsid w:val="0012072B"/>
    <w:rsid w:val="00120CEE"/>
    <w:rsid w:val="00120CF3"/>
    <w:rsid w:val="00120FE7"/>
    <w:rsid w:val="001213F0"/>
    <w:rsid w:val="00121438"/>
    <w:rsid w:val="00121455"/>
    <w:rsid w:val="001215FA"/>
    <w:rsid w:val="0012164D"/>
    <w:rsid w:val="00121677"/>
    <w:rsid w:val="001216DC"/>
    <w:rsid w:val="001217D7"/>
    <w:rsid w:val="00121810"/>
    <w:rsid w:val="001219E4"/>
    <w:rsid w:val="00121A17"/>
    <w:rsid w:val="00121A74"/>
    <w:rsid w:val="00121C6D"/>
    <w:rsid w:val="00121CBB"/>
    <w:rsid w:val="00122022"/>
    <w:rsid w:val="00122440"/>
    <w:rsid w:val="00122450"/>
    <w:rsid w:val="0012255F"/>
    <w:rsid w:val="001227B4"/>
    <w:rsid w:val="001229B6"/>
    <w:rsid w:val="00122B36"/>
    <w:rsid w:val="00122BBC"/>
    <w:rsid w:val="00122CD3"/>
    <w:rsid w:val="001234C6"/>
    <w:rsid w:val="00123F6F"/>
    <w:rsid w:val="00124118"/>
    <w:rsid w:val="001241EA"/>
    <w:rsid w:val="001241EF"/>
    <w:rsid w:val="001244BA"/>
    <w:rsid w:val="001249C1"/>
    <w:rsid w:val="00124DC7"/>
    <w:rsid w:val="00124FEC"/>
    <w:rsid w:val="0012542D"/>
    <w:rsid w:val="00125BFB"/>
    <w:rsid w:val="00125DC4"/>
    <w:rsid w:val="0012621D"/>
    <w:rsid w:val="00126821"/>
    <w:rsid w:val="00127794"/>
    <w:rsid w:val="001279FA"/>
    <w:rsid w:val="00127C18"/>
    <w:rsid w:val="00127D26"/>
    <w:rsid w:val="00127E0E"/>
    <w:rsid w:val="00127EB8"/>
    <w:rsid w:val="00127F0A"/>
    <w:rsid w:val="00130045"/>
    <w:rsid w:val="001302BE"/>
    <w:rsid w:val="0013060C"/>
    <w:rsid w:val="00130732"/>
    <w:rsid w:val="00131005"/>
    <w:rsid w:val="001310F2"/>
    <w:rsid w:val="0013128F"/>
    <w:rsid w:val="00131649"/>
    <w:rsid w:val="00131C75"/>
    <w:rsid w:val="00131D2F"/>
    <w:rsid w:val="0013233C"/>
    <w:rsid w:val="001323B9"/>
    <w:rsid w:val="00132404"/>
    <w:rsid w:val="00132756"/>
    <w:rsid w:val="001329A2"/>
    <w:rsid w:val="00132D6B"/>
    <w:rsid w:val="00132F0E"/>
    <w:rsid w:val="00133303"/>
    <w:rsid w:val="001335CB"/>
    <w:rsid w:val="00133A86"/>
    <w:rsid w:val="00133D33"/>
    <w:rsid w:val="00133EA1"/>
    <w:rsid w:val="00133F52"/>
    <w:rsid w:val="00134324"/>
    <w:rsid w:val="0013450F"/>
    <w:rsid w:val="00134876"/>
    <w:rsid w:val="00134C08"/>
    <w:rsid w:val="00134CE6"/>
    <w:rsid w:val="00134EE3"/>
    <w:rsid w:val="001353D9"/>
    <w:rsid w:val="0013541F"/>
    <w:rsid w:val="001355C7"/>
    <w:rsid w:val="001356F5"/>
    <w:rsid w:val="00135725"/>
    <w:rsid w:val="00135863"/>
    <w:rsid w:val="0013676A"/>
    <w:rsid w:val="00136E6D"/>
    <w:rsid w:val="00136FF2"/>
    <w:rsid w:val="001372B4"/>
    <w:rsid w:val="00137AA3"/>
    <w:rsid w:val="00137E93"/>
    <w:rsid w:val="0014001F"/>
    <w:rsid w:val="001406D4"/>
    <w:rsid w:val="001407AF"/>
    <w:rsid w:val="001408B0"/>
    <w:rsid w:val="001409C9"/>
    <w:rsid w:val="00141051"/>
    <w:rsid w:val="00141348"/>
    <w:rsid w:val="001414C7"/>
    <w:rsid w:val="001414D1"/>
    <w:rsid w:val="001414FE"/>
    <w:rsid w:val="00142056"/>
    <w:rsid w:val="001425FB"/>
    <w:rsid w:val="00142982"/>
    <w:rsid w:val="00142A13"/>
    <w:rsid w:val="0014338B"/>
    <w:rsid w:val="00143472"/>
    <w:rsid w:val="0014398E"/>
    <w:rsid w:val="00143CCB"/>
    <w:rsid w:val="001440BA"/>
    <w:rsid w:val="0014420B"/>
    <w:rsid w:val="00144476"/>
    <w:rsid w:val="00144949"/>
    <w:rsid w:val="00144EA2"/>
    <w:rsid w:val="00144FC5"/>
    <w:rsid w:val="00145041"/>
    <w:rsid w:val="00145168"/>
    <w:rsid w:val="001452B5"/>
    <w:rsid w:val="001453DB"/>
    <w:rsid w:val="0014573D"/>
    <w:rsid w:val="001465AB"/>
    <w:rsid w:val="001467E9"/>
    <w:rsid w:val="00146D45"/>
    <w:rsid w:val="00146D93"/>
    <w:rsid w:val="00146EFA"/>
    <w:rsid w:val="0014704B"/>
    <w:rsid w:val="0014709C"/>
    <w:rsid w:val="001475C5"/>
    <w:rsid w:val="00147749"/>
    <w:rsid w:val="001478B7"/>
    <w:rsid w:val="00147CC3"/>
    <w:rsid w:val="0015023F"/>
    <w:rsid w:val="0015032E"/>
    <w:rsid w:val="00150643"/>
    <w:rsid w:val="001506C6"/>
    <w:rsid w:val="00150A26"/>
    <w:rsid w:val="00150A5F"/>
    <w:rsid w:val="001511DA"/>
    <w:rsid w:val="001514BE"/>
    <w:rsid w:val="00151601"/>
    <w:rsid w:val="0015182F"/>
    <w:rsid w:val="00151DE8"/>
    <w:rsid w:val="00151EC6"/>
    <w:rsid w:val="0015220A"/>
    <w:rsid w:val="0015245F"/>
    <w:rsid w:val="001526D9"/>
    <w:rsid w:val="0015286A"/>
    <w:rsid w:val="0015286C"/>
    <w:rsid w:val="00152B70"/>
    <w:rsid w:val="00152C1D"/>
    <w:rsid w:val="00152E05"/>
    <w:rsid w:val="00152F41"/>
    <w:rsid w:val="00153012"/>
    <w:rsid w:val="00153174"/>
    <w:rsid w:val="0015338F"/>
    <w:rsid w:val="001539F1"/>
    <w:rsid w:val="00153E03"/>
    <w:rsid w:val="00154456"/>
    <w:rsid w:val="001547F9"/>
    <w:rsid w:val="00154CB0"/>
    <w:rsid w:val="00154CD4"/>
    <w:rsid w:val="001552DE"/>
    <w:rsid w:val="00155729"/>
    <w:rsid w:val="00155767"/>
    <w:rsid w:val="00155A12"/>
    <w:rsid w:val="00155B58"/>
    <w:rsid w:val="00155C4C"/>
    <w:rsid w:val="00155F42"/>
    <w:rsid w:val="001562AF"/>
    <w:rsid w:val="0015633C"/>
    <w:rsid w:val="0015697A"/>
    <w:rsid w:val="00156BF0"/>
    <w:rsid w:val="00156C70"/>
    <w:rsid w:val="00156E8C"/>
    <w:rsid w:val="00156F49"/>
    <w:rsid w:val="001572D3"/>
    <w:rsid w:val="001573CF"/>
    <w:rsid w:val="001574E4"/>
    <w:rsid w:val="001579F4"/>
    <w:rsid w:val="00157CB5"/>
    <w:rsid w:val="001601AB"/>
    <w:rsid w:val="001607AA"/>
    <w:rsid w:val="001609DE"/>
    <w:rsid w:val="00160ADE"/>
    <w:rsid w:val="00160EB3"/>
    <w:rsid w:val="0016121B"/>
    <w:rsid w:val="00161BB9"/>
    <w:rsid w:val="00161FA8"/>
    <w:rsid w:val="00161FCE"/>
    <w:rsid w:val="001622C9"/>
    <w:rsid w:val="00162492"/>
    <w:rsid w:val="0016255F"/>
    <w:rsid w:val="001628C5"/>
    <w:rsid w:val="00162AEF"/>
    <w:rsid w:val="00162E0A"/>
    <w:rsid w:val="001636C7"/>
    <w:rsid w:val="00163A95"/>
    <w:rsid w:val="00163EB9"/>
    <w:rsid w:val="00164016"/>
    <w:rsid w:val="0016456A"/>
    <w:rsid w:val="001647B1"/>
    <w:rsid w:val="00164A5F"/>
    <w:rsid w:val="00164C3C"/>
    <w:rsid w:val="00164CDE"/>
    <w:rsid w:val="0016509E"/>
    <w:rsid w:val="0016520B"/>
    <w:rsid w:val="001652BC"/>
    <w:rsid w:val="0016589D"/>
    <w:rsid w:val="001665EC"/>
    <w:rsid w:val="00166738"/>
    <w:rsid w:val="00166D9B"/>
    <w:rsid w:val="00167008"/>
    <w:rsid w:val="001672DB"/>
    <w:rsid w:val="00167456"/>
    <w:rsid w:val="0016754C"/>
    <w:rsid w:val="001677FC"/>
    <w:rsid w:val="0016792E"/>
    <w:rsid w:val="00167A21"/>
    <w:rsid w:val="00167FBB"/>
    <w:rsid w:val="00170231"/>
    <w:rsid w:val="0017049D"/>
    <w:rsid w:val="001705D3"/>
    <w:rsid w:val="00170830"/>
    <w:rsid w:val="0017091A"/>
    <w:rsid w:val="00170A6A"/>
    <w:rsid w:val="00170A7F"/>
    <w:rsid w:val="00170FBD"/>
    <w:rsid w:val="00171074"/>
    <w:rsid w:val="00171187"/>
    <w:rsid w:val="001712C8"/>
    <w:rsid w:val="0017136D"/>
    <w:rsid w:val="001713B1"/>
    <w:rsid w:val="00171406"/>
    <w:rsid w:val="00171431"/>
    <w:rsid w:val="00171A46"/>
    <w:rsid w:val="0017217B"/>
    <w:rsid w:val="001721C1"/>
    <w:rsid w:val="0017240D"/>
    <w:rsid w:val="0017247C"/>
    <w:rsid w:val="001724C5"/>
    <w:rsid w:val="00172972"/>
    <w:rsid w:val="0017336F"/>
    <w:rsid w:val="0017400B"/>
    <w:rsid w:val="0017426B"/>
    <w:rsid w:val="001748FC"/>
    <w:rsid w:val="00174BAE"/>
    <w:rsid w:val="00174BF5"/>
    <w:rsid w:val="0017518E"/>
    <w:rsid w:val="00175264"/>
    <w:rsid w:val="001753CF"/>
    <w:rsid w:val="00175478"/>
    <w:rsid w:val="0017564A"/>
    <w:rsid w:val="00175E9E"/>
    <w:rsid w:val="0017602F"/>
    <w:rsid w:val="00176446"/>
    <w:rsid w:val="0017685C"/>
    <w:rsid w:val="00176B0D"/>
    <w:rsid w:val="00176B3D"/>
    <w:rsid w:val="00176CDA"/>
    <w:rsid w:val="00176DA3"/>
    <w:rsid w:val="00177154"/>
    <w:rsid w:val="001773BF"/>
    <w:rsid w:val="001777B9"/>
    <w:rsid w:val="001778B4"/>
    <w:rsid w:val="00180391"/>
    <w:rsid w:val="00180404"/>
    <w:rsid w:val="00180A88"/>
    <w:rsid w:val="00180B64"/>
    <w:rsid w:val="001816C2"/>
    <w:rsid w:val="0018171C"/>
    <w:rsid w:val="00181C0C"/>
    <w:rsid w:val="00182044"/>
    <w:rsid w:val="00182083"/>
    <w:rsid w:val="001820B3"/>
    <w:rsid w:val="00182326"/>
    <w:rsid w:val="00182806"/>
    <w:rsid w:val="00182860"/>
    <w:rsid w:val="00182A7D"/>
    <w:rsid w:val="00182EAD"/>
    <w:rsid w:val="00183005"/>
    <w:rsid w:val="00183048"/>
    <w:rsid w:val="00183174"/>
    <w:rsid w:val="00183575"/>
    <w:rsid w:val="0018387D"/>
    <w:rsid w:val="001839BF"/>
    <w:rsid w:val="001843F7"/>
    <w:rsid w:val="0018441B"/>
    <w:rsid w:val="0018447C"/>
    <w:rsid w:val="00184796"/>
    <w:rsid w:val="0018485A"/>
    <w:rsid w:val="001849D8"/>
    <w:rsid w:val="00184DA4"/>
    <w:rsid w:val="00184E4B"/>
    <w:rsid w:val="001855A3"/>
    <w:rsid w:val="00185629"/>
    <w:rsid w:val="001858AA"/>
    <w:rsid w:val="001858CE"/>
    <w:rsid w:val="00185F95"/>
    <w:rsid w:val="001873D0"/>
    <w:rsid w:val="00187797"/>
    <w:rsid w:val="0018785D"/>
    <w:rsid w:val="00187E8C"/>
    <w:rsid w:val="00187F27"/>
    <w:rsid w:val="0019032F"/>
    <w:rsid w:val="00190CD5"/>
    <w:rsid w:val="00190E37"/>
    <w:rsid w:val="001912E4"/>
    <w:rsid w:val="00191889"/>
    <w:rsid w:val="001919E5"/>
    <w:rsid w:val="00191AD0"/>
    <w:rsid w:val="00191AF5"/>
    <w:rsid w:val="00191B3D"/>
    <w:rsid w:val="00191C74"/>
    <w:rsid w:val="00191D6B"/>
    <w:rsid w:val="00191F34"/>
    <w:rsid w:val="0019212E"/>
    <w:rsid w:val="0019220D"/>
    <w:rsid w:val="00192467"/>
    <w:rsid w:val="0019307C"/>
    <w:rsid w:val="00193542"/>
    <w:rsid w:val="001944A0"/>
    <w:rsid w:val="0019450B"/>
    <w:rsid w:val="00194648"/>
    <w:rsid w:val="00194890"/>
    <w:rsid w:val="001955ED"/>
    <w:rsid w:val="00195614"/>
    <w:rsid w:val="001957CB"/>
    <w:rsid w:val="00195861"/>
    <w:rsid w:val="00195E29"/>
    <w:rsid w:val="00195E4B"/>
    <w:rsid w:val="00197319"/>
    <w:rsid w:val="00197B1E"/>
    <w:rsid w:val="00197BC3"/>
    <w:rsid w:val="00197BDD"/>
    <w:rsid w:val="00197C30"/>
    <w:rsid w:val="00197D5F"/>
    <w:rsid w:val="00197F86"/>
    <w:rsid w:val="001A016D"/>
    <w:rsid w:val="001A016F"/>
    <w:rsid w:val="001A018E"/>
    <w:rsid w:val="001A021B"/>
    <w:rsid w:val="001A0572"/>
    <w:rsid w:val="001A0801"/>
    <w:rsid w:val="001A0A98"/>
    <w:rsid w:val="001A0C85"/>
    <w:rsid w:val="001A1C4B"/>
    <w:rsid w:val="001A1FDD"/>
    <w:rsid w:val="001A21E3"/>
    <w:rsid w:val="001A2646"/>
    <w:rsid w:val="001A266E"/>
    <w:rsid w:val="001A2E52"/>
    <w:rsid w:val="001A348C"/>
    <w:rsid w:val="001A36DB"/>
    <w:rsid w:val="001A373D"/>
    <w:rsid w:val="001A3741"/>
    <w:rsid w:val="001A3754"/>
    <w:rsid w:val="001A383A"/>
    <w:rsid w:val="001A3BEE"/>
    <w:rsid w:val="001A3F65"/>
    <w:rsid w:val="001A3FC6"/>
    <w:rsid w:val="001A4138"/>
    <w:rsid w:val="001A4284"/>
    <w:rsid w:val="001A4905"/>
    <w:rsid w:val="001A4F7D"/>
    <w:rsid w:val="001A5073"/>
    <w:rsid w:val="001A50A2"/>
    <w:rsid w:val="001A51A2"/>
    <w:rsid w:val="001A5619"/>
    <w:rsid w:val="001A58B4"/>
    <w:rsid w:val="001A58FC"/>
    <w:rsid w:val="001A5B65"/>
    <w:rsid w:val="001A5F7B"/>
    <w:rsid w:val="001A600E"/>
    <w:rsid w:val="001A6385"/>
    <w:rsid w:val="001A6567"/>
    <w:rsid w:val="001A6783"/>
    <w:rsid w:val="001A6BFA"/>
    <w:rsid w:val="001A6C86"/>
    <w:rsid w:val="001A7279"/>
    <w:rsid w:val="001A72A1"/>
    <w:rsid w:val="001A730F"/>
    <w:rsid w:val="001A7481"/>
    <w:rsid w:val="001A7E40"/>
    <w:rsid w:val="001A7FA7"/>
    <w:rsid w:val="001B087A"/>
    <w:rsid w:val="001B0BA8"/>
    <w:rsid w:val="001B0C03"/>
    <w:rsid w:val="001B0CAE"/>
    <w:rsid w:val="001B12C0"/>
    <w:rsid w:val="001B1325"/>
    <w:rsid w:val="001B1412"/>
    <w:rsid w:val="001B1662"/>
    <w:rsid w:val="001B1B4A"/>
    <w:rsid w:val="001B1D47"/>
    <w:rsid w:val="001B1EB4"/>
    <w:rsid w:val="001B1FDD"/>
    <w:rsid w:val="001B2B93"/>
    <w:rsid w:val="001B3664"/>
    <w:rsid w:val="001B36CD"/>
    <w:rsid w:val="001B38AF"/>
    <w:rsid w:val="001B3BC3"/>
    <w:rsid w:val="001B3DAB"/>
    <w:rsid w:val="001B3F3A"/>
    <w:rsid w:val="001B41A5"/>
    <w:rsid w:val="001B447E"/>
    <w:rsid w:val="001B4587"/>
    <w:rsid w:val="001B4794"/>
    <w:rsid w:val="001B4807"/>
    <w:rsid w:val="001B4B88"/>
    <w:rsid w:val="001B4D7D"/>
    <w:rsid w:val="001B4D85"/>
    <w:rsid w:val="001B4DE9"/>
    <w:rsid w:val="001B5085"/>
    <w:rsid w:val="001B5185"/>
    <w:rsid w:val="001B58FB"/>
    <w:rsid w:val="001B5E06"/>
    <w:rsid w:val="001B5EAD"/>
    <w:rsid w:val="001B606B"/>
    <w:rsid w:val="001B6650"/>
    <w:rsid w:val="001B6B90"/>
    <w:rsid w:val="001B6F99"/>
    <w:rsid w:val="001B7362"/>
    <w:rsid w:val="001B7446"/>
    <w:rsid w:val="001B7466"/>
    <w:rsid w:val="001B74BE"/>
    <w:rsid w:val="001B76B1"/>
    <w:rsid w:val="001B788E"/>
    <w:rsid w:val="001B7B86"/>
    <w:rsid w:val="001B7C03"/>
    <w:rsid w:val="001B7C6C"/>
    <w:rsid w:val="001B7E4E"/>
    <w:rsid w:val="001B7F3D"/>
    <w:rsid w:val="001C0314"/>
    <w:rsid w:val="001C10A1"/>
    <w:rsid w:val="001C1158"/>
    <w:rsid w:val="001C1482"/>
    <w:rsid w:val="001C1526"/>
    <w:rsid w:val="001C1583"/>
    <w:rsid w:val="001C1692"/>
    <w:rsid w:val="001C1E38"/>
    <w:rsid w:val="001C21F4"/>
    <w:rsid w:val="001C2673"/>
    <w:rsid w:val="001C2D45"/>
    <w:rsid w:val="001C313A"/>
    <w:rsid w:val="001C36FB"/>
    <w:rsid w:val="001C3A18"/>
    <w:rsid w:val="001C3A41"/>
    <w:rsid w:val="001C3A98"/>
    <w:rsid w:val="001C3AFE"/>
    <w:rsid w:val="001C4C0D"/>
    <w:rsid w:val="001C5074"/>
    <w:rsid w:val="001C51AC"/>
    <w:rsid w:val="001C5896"/>
    <w:rsid w:val="001C6049"/>
    <w:rsid w:val="001C62AF"/>
    <w:rsid w:val="001C67A3"/>
    <w:rsid w:val="001C6949"/>
    <w:rsid w:val="001C6AEF"/>
    <w:rsid w:val="001C6D1D"/>
    <w:rsid w:val="001C6DED"/>
    <w:rsid w:val="001C7550"/>
    <w:rsid w:val="001C7705"/>
    <w:rsid w:val="001C79FB"/>
    <w:rsid w:val="001D004C"/>
    <w:rsid w:val="001D0212"/>
    <w:rsid w:val="001D0513"/>
    <w:rsid w:val="001D05C6"/>
    <w:rsid w:val="001D0687"/>
    <w:rsid w:val="001D06B4"/>
    <w:rsid w:val="001D0BFD"/>
    <w:rsid w:val="001D0DAA"/>
    <w:rsid w:val="001D0F86"/>
    <w:rsid w:val="001D1230"/>
    <w:rsid w:val="001D12FA"/>
    <w:rsid w:val="001D1B5C"/>
    <w:rsid w:val="001D224F"/>
    <w:rsid w:val="001D2264"/>
    <w:rsid w:val="001D22B3"/>
    <w:rsid w:val="001D2421"/>
    <w:rsid w:val="001D2A1B"/>
    <w:rsid w:val="001D2DD0"/>
    <w:rsid w:val="001D34F6"/>
    <w:rsid w:val="001D3762"/>
    <w:rsid w:val="001D3839"/>
    <w:rsid w:val="001D43B3"/>
    <w:rsid w:val="001D4893"/>
    <w:rsid w:val="001D48F6"/>
    <w:rsid w:val="001D4B5B"/>
    <w:rsid w:val="001D4F0E"/>
    <w:rsid w:val="001D5205"/>
    <w:rsid w:val="001D56E0"/>
    <w:rsid w:val="001D5870"/>
    <w:rsid w:val="001D58F4"/>
    <w:rsid w:val="001D63F5"/>
    <w:rsid w:val="001D6702"/>
    <w:rsid w:val="001D6D97"/>
    <w:rsid w:val="001D7047"/>
    <w:rsid w:val="001D722D"/>
    <w:rsid w:val="001D7346"/>
    <w:rsid w:val="001D7492"/>
    <w:rsid w:val="001D7C63"/>
    <w:rsid w:val="001E0156"/>
    <w:rsid w:val="001E0350"/>
    <w:rsid w:val="001E0A07"/>
    <w:rsid w:val="001E0CC0"/>
    <w:rsid w:val="001E0DA9"/>
    <w:rsid w:val="001E1819"/>
    <w:rsid w:val="001E1962"/>
    <w:rsid w:val="001E22EB"/>
    <w:rsid w:val="001E284D"/>
    <w:rsid w:val="001E29EB"/>
    <w:rsid w:val="001E39AA"/>
    <w:rsid w:val="001E3A0B"/>
    <w:rsid w:val="001E3A81"/>
    <w:rsid w:val="001E44C6"/>
    <w:rsid w:val="001E46C3"/>
    <w:rsid w:val="001E4706"/>
    <w:rsid w:val="001E4F03"/>
    <w:rsid w:val="001E5177"/>
    <w:rsid w:val="001E57FC"/>
    <w:rsid w:val="001E5CB3"/>
    <w:rsid w:val="001E6690"/>
    <w:rsid w:val="001E6B3E"/>
    <w:rsid w:val="001E6BED"/>
    <w:rsid w:val="001E6D5E"/>
    <w:rsid w:val="001E6EA9"/>
    <w:rsid w:val="001E7238"/>
    <w:rsid w:val="001E7688"/>
    <w:rsid w:val="001E76D5"/>
    <w:rsid w:val="001E79DB"/>
    <w:rsid w:val="001E7AA6"/>
    <w:rsid w:val="001F01E2"/>
    <w:rsid w:val="001F053A"/>
    <w:rsid w:val="001F0798"/>
    <w:rsid w:val="001F0906"/>
    <w:rsid w:val="001F09F4"/>
    <w:rsid w:val="001F0D06"/>
    <w:rsid w:val="001F1728"/>
    <w:rsid w:val="001F1A49"/>
    <w:rsid w:val="001F1D06"/>
    <w:rsid w:val="001F20DE"/>
    <w:rsid w:val="001F210D"/>
    <w:rsid w:val="001F2314"/>
    <w:rsid w:val="001F25AE"/>
    <w:rsid w:val="001F2D70"/>
    <w:rsid w:val="001F2DF7"/>
    <w:rsid w:val="001F2FBE"/>
    <w:rsid w:val="001F2FC7"/>
    <w:rsid w:val="001F3245"/>
    <w:rsid w:val="001F3C5F"/>
    <w:rsid w:val="001F3CF2"/>
    <w:rsid w:val="001F3D19"/>
    <w:rsid w:val="001F40F0"/>
    <w:rsid w:val="001F42D9"/>
    <w:rsid w:val="001F4636"/>
    <w:rsid w:val="001F4836"/>
    <w:rsid w:val="001F4C75"/>
    <w:rsid w:val="001F4F9B"/>
    <w:rsid w:val="001F5867"/>
    <w:rsid w:val="001F590A"/>
    <w:rsid w:val="001F5F0A"/>
    <w:rsid w:val="001F62D7"/>
    <w:rsid w:val="001F631C"/>
    <w:rsid w:val="001F6653"/>
    <w:rsid w:val="001F6700"/>
    <w:rsid w:val="001F681B"/>
    <w:rsid w:val="001F6833"/>
    <w:rsid w:val="001F7276"/>
    <w:rsid w:val="001F73B5"/>
    <w:rsid w:val="001F7A5F"/>
    <w:rsid w:val="001F7E17"/>
    <w:rsid w:val="00200136"/>
    <w:rsid w:val="00200505"/>
    <w:rsid w:val="002005C9"/>
    <w:rsid w:val="00200898"/>
    <w:rsid w:val="002008AC"/>
    <w:rsid w:val="00200EFA"/>
    <w:rsid w:val="00201069"/>
    <w:rsid w:val="0020198F"/>
    <w:rsid w:val="00201B16"/>
    <w:rsid w:val="00201F6A"/>
    <w:rsid w:val="002021C8"/>
    <w:rsid w:val="00202ECE"/>
    <w:rsid w:val="00202FCF"/>
    <w:rsid w:val="00203022"/>
    <w:rsid w:val="002030BF"/>
    <w:rsid w:val="00203167"/>
    <w:rsid w:val="00203390"/>
    <w:rsid w:val="0020356A"/>
    <w:rsid w:val="00203958"/>
    <w:rsid w:val="00203B6E"/>
    <w:rsid w:val="00204024"/>
    <w:rsid w:val="0020402E"/>
    <w:rsid w:val="0020491C"/>
    <w:rsid w:val="00204A11"/>
    <w:rsid w:val="00204C5C"/>
    <w:rsid w:val="00204D4E"/>
    <w:rsid w:val="00205330"/>
    <w:rsid w:val="0020554A"/>
    <w:rsid w:val="0020598B"/>
    <w:rsid w:val="00205CFF"/>
    <w:rsid w:val="00205D71"/>
    <w:rsid w:val="0020623C"/>
    <w:rsid w:val="0020671B"/>
    <w:rsid w:val="00206DF7"/>
    <w:rsid w:val="00206E2F"/>
    <w:rsid w:val="00206F01"/>
    <w:rsid w:val="0020732B"/>
    <w:rsid w:val="002076AF"/>
    <w:rsid w:val="0020794F"/>
    <w:rsid w:val="0020799F"/>
    <w:rsid w:val="00207BEE"/>
    <w:rsid w:val="00207CE7"/>
    <w:rsid w:val="00207DD2"/>
    <w:rsid w:val="00207EC1"/>
    <w:rsid w:val="00210559"/>
    <w:rsid w:val="0021064D"/>
    <w:rsid w:val="00210CDB"/>
    <w:rsid w:val="00211340"/>
    <w:rsid w:val="002114AF"/>
    <w:rsid w:val="00211E89"/>
    <w:rsid w:val="00211E9F"/>
    <w:rsid w:val="002120FA"/>
    <w:rsid w:val="002121C5"/>
    <w:rsid w:val="0021231B"/>
    <w:rsid w:val="002126C7"/>
    <w:rsid w:val="00212A56"/>
    <w:rsid w:val="0021302D"/>
    <w:rsid w:val="0021322D"/>
    <w:rsid w:val="00213374"/>
    <w:rsid w:val="00214154"/>
    <w:rsid w:val="00214333"/>
    <w:rsid w:val="0021438E"/>
    <w:rsid w:val="002143AF"/>
    <w:rsid w:val="0021472A"/>
    <w:rsid w:val="00214BAF"/>
    <w:rsid w:val="00214C73"/>
    <w:rsid w:val="00214CC0"/>
    <w:rsid w:val="00214D19"/>
    <w:rsid w:val="002151EB"/>
    <w:rsid w:val="002155D9"/>
    <w:rsid w:val="00215A07"/>
    <w:rsid w:val="00215F0F"/>
    <w:rsid w:val="00215FA5"/>
    <w:rsid w:val="00216146"/>
    <w:rsid w:val="00217020"/>
    <w:rsid w:val="002170BD"/>
    <w:rsid w:val="0021721C"/>
    <w:rsid w:val="00217379"/>
    <w:rsid w:val="00217442"/>
    <w:rsid w:val="002174DA"/>
    <w:rsid w:val="0021757D"/>
    <w:rsid w:val="002175B2"/>
    <w:rsid w:val="00217635"/>
    <w:rsid w:val="00217702"/>
    <w:rsid w:val="00217943"/>
    <w:rsid w:val="002179F8"/>
    <w:rsid w:val="00217B09"/>
    <w:rsid w:val="00217B2F"/>
    <w:rsid w:val="00217CB0"/>
    <w:rsid w:val="00220066"/>
    <w:rsid w:val="002200F8"/>
    <w:rsid w:val="00220312"/>
    <w:rsid w:val="002203BB"/>
    <w:rsid w:val="002204D3"/>
    <w:rsid w:val="0022053C"/>
    <w:rsid w:val="002206BD"/>
    <w:rsid w:val="00220B46"/>
    <w:rsid w:val="002211A5"/>
    <w:rsid w:val="00221228"/>
    <w:rsid w:val="0022153A"/>
    <w:rsid w:val="002219FE"/>
    <w:rsid w:val="00221B39"/>
    <w:rsid w:val="00221C92"/>
    <w:rsid w:val="00221F16"/>
    <w:rsid w:val="00222075"/>
    <w:rsid w:val="0022220A"/>
    <w:rsid w:val="00222866"/>
    <w:rsid w:val="002228D3"/>
    <w:rsid w:val="002230A5"/>
    <w:rsid w:val="00223743"/>
    <w:rsid w:val="00223B08"/>
    <w:rsid w:val="00224205"/>
    <w:rsid w:val="002246FB"/>
    <w:rsid w:val="0022486C"/>
    <w:rsid w:val="00224921"/>
    <w:rsid w:val="00224AAE"/>
    <w:rsid w:val="00224B8D"/>
    <w:rsid w:val="00224DF9"/>
    <w:rsid w:val="00225369"/>
    <w:rsid w:val="00225618"/>
    <w:rsid w:val="00225767"/>
    <w:rsid w:val="00225C5E"/>
    <w:rsid w:val="0022649A"/>
    <w:rsid w:val="00226936"/>
    <w:rsid w:val="00226AF0"/>
    <w:rsid w:val="00226EB1"/>
    <w:rsid w:val="002274DC"/>
    <w:rsid w:val="00227B6D"/>
    <w:rsid w:val="00230030"/>
    <w:rsid w:val="002301F3"/>
    <w:rsid w:val="0023086E"/>
    <w:rsid w:val="00230D2A"/>
    <w:rsid w:val="0023155A"/>
    <w:rsid w:val="002318B0"/>
    <w:rsid w:val="0023228A"/>
    <w:rsid w:val="0023240D"/>
    <w:rsid w:val="00232E09"/>
    <w:rsid w:val="0023364A"/>
    <w:rsid w:val="00233AB9"/>
    <w:rsid w:val="00233CA5"/>
    <w:rsid w:val="00233E28"/>
    <w:rsid w:val="00233E4B"/>
    <w:rsid w:val="00233FE5"/>
    <w:rsid w:val="002346A1"/>
    <w:rsid w:val="002349AD"/>
    <w:rsid w:val="00234DCD"/>
    <w:rsid w:val="00234F08"/>
    <w:rsid w:val="002352BC"/>
    <w:rsid w:val="002354BE"/>
    <w:rsid w:val="00235568"/>
    <w:rsid w:val="0023584A"/>
    <w:rsid w:val="00235E74"/>
    <w:rsid w:val="0023625B"/>
    <w:rsid w:val="002363CD"/>
    <w:rsid w:val="00236817"/>
    <w:rsid w:val="00236CB1"/>
    <w:rsid w:val="00236D35"/>
    <w:rsid w:val="00237657"/>
    <w:rsid w:val="00237B1D"/>
    <w:rsid w:val="00240190"/>
    <w:rsid w:val="00240832"/>
    <w:rsid w:val="00240A29"/>
    <w:rsid w:val="00240CD2"/>
    <w:rsid w:val="00240FB3"/>
    <w:rsid w:val="002414DD"/>
    <w:rsid w:val="00241791"/>
    <w:rsid w:val="002417C3"/>
    <w:rsid w:val="002418E4"/>
    <w:rsid w:val="002419F4"/>
    <w:rsid w:val="00241B2D"/>
    <w:rsid w:val="002421FB"/>
    <w:rsid w:val="00242BA7"/>
    <w:rsid w:val="00242BF9"/>
    <w:rsid w:val="00242D38"/>
    <w:rsid w:val="00243144"/>
    <w:rsid w:val="00243735"/>
    <w:rsid w:val="00243EAF"/>
    <w:rsid w:val="00244035"/>
    <w:rsid w:val="0024403B"/>
    <w:rsid w:val="002443FA"/>
    <w:rsid w:val="00244970"/>
    <w:rsid w:val="00244B08"/>
    <w:rsid w:val="0024502D"/>
    <w:rsid w:val="00245176"/>
    <w:rsid w:val="0024529F"/>
    <w:rsid w:val="00245524"/>
    <w:rsid w:val="002456FB"/>
    <w:rsid w:val="00245B81"/>
    <w:rsid w:val="00245EF3"/>
    <w:rsid w:val="00246016"/>
    <w:rsid w:val="00246063"/>
    <w:rsid w:val="002463E2"/>
    <w:rsid w:val="0024651F"/>
    <w:rsid w:val="002467A3"/>
    <w:rsid w:val="00246C8D"/>
    <w:rsid w:val="00246D5F"/>
    <w:rsid w:val="00246EF1"/>
    <w:rsid w:val="00247265"/>
    <w:rsid w:val="002474B8"/>
    <w:rsid w:val="002479D1"/>
    <w:rsid w:val="00247C18"/>
    <w:rsid w:val="00247C2E"/>
    <w:rsid w:val="00247E62"/>
    <w:rsid w:val="00247F26"/>
    <w:rsid w:val="00247FA6"/>
    <w:rsid w:val="002506AB"/>
    <w:rsid w:val="00250820"/>
    <w:rsid w:val="002508E5"/>
    <w:rsid w:val="00250903"/>
    <w:rsid w:val="00251659"/>
    <w:rsid w:val="0025183B"/>
    <w:rsid w:val="00251981"/>
    <w:rsid w:val="00251E54"/>
    <w:rsid w:val="002521C6"/>
    <w:rsid w:val="00252AD1"/>
    <w:rsid w:val="00252DF5"/>
    <w:rsid w:val="00252E81"/>
    <w:rsid w:val="0025331D"/>
    <w:rsid w:val="00253353"/>
    <w:rsid w:val="00253503"/>
    <w:rsid w:val="0025355E"/>
    <w:rsid w:val="00253882"/>
    <w:rsid w:val="0025394F"/>
    <w:rsid w:val="00253A6A"/>
    <w:rsid w:val="00253C8A"/>
    <w:rsid w:val="00253E6B"/>
    <w:rsid w:val="00253EB9"/>
    <w:rsid w:val="002540D8"/>
    <w:rsid w:val="002541E2"/>
    <w:rsid w:val="00254F2E"/>
    <w:rsid w:val="002550C1"/>
    <w:rsid w:val="002555BC"/>
    <w:rsid w:val="00255691"/>
    <w:rsid w:val="00255D46"/>
    <w:rsid w:val="00255D6A"/>
    <w:rsid w:val="00255F20"/>
    <w:rsid w:val="00255FE2"/>
    <w:rsid w:val="002560F8"/>
    <w:rsid w:val="00256675"/>
    <w:rsid w:val="0025682B"/>
    <w:rsid w:val="00256E8D"/>
    <w:rsid w:val="00257142"/>
    <w:rsid w:val="002571F0"/>
    <w:rsid w:val="00257363"/>
    <w:rsid w:val="00257635"/>
    <w:rsid w:val="002600BC"/>
    <w:rsid w:val="00260107"/>
    <w:rsid w:val="00260143"/>
    <w:rsid w:val="002606A3"/>
    <w:rsid w:val="00260A18"/>
    <w:rsid w:val="00261175"/>
    <w:rsid w:val="00261176"/>
    <w:rsid w:val="00261762"/>
    <w:rsid w:val="002617D0"/>
    <w:rsid w:val="00261997"/>
    <w:rsid w:val="00261C45"/>
    <w:rsid w:val="00261E65"/>
    <w:rsid w:val="002620B4"/>
    <w:rsid w:val="002620F1"/>
    <w:rsid w:val="002621D2"/>
    <w:rsid w:val="00262392"/>
    <w:rsid w:val="0026318F"/>
    <w:rsid w:val="00263313"/>
    <w:rsid w:val="00263893"/>
    <w:rsid w:val="00263DE8"/>
    <w:rsid w:val="00264429"/>
    <w:rsid w:val="002644DB"/>
    <w:rsid w:val="00264579"/>
    <w:rsid w:val="002647CF"/>
    <w:rsid w:val="00264963"/>
    <w:rsid w:val="00265674"/>
    <w:rsid w:val="002657E3"/>
    <w:rsid w:val="0026599D"/>
    <w:rsid w:val="00266629"/>
    <w:rsid w:val="00266D13"/>
    <w:rsid w:val="002679BC"/>
    <w:rsid w:val="00267C39"/>
    <w:rsid w:val="002704F9"/>
    <w:rsid w:val="0027062F"/>
    <w:rsid w:val="0027068D"/>
    <w:rsid w:val="00270752"/>
    <w:rsid w:val="00270F6D"/>
    <w:rsid w:val="00270FE7"/>
    <w:rsid w:val="00271009"/>
    <w:rsid w:val="002710D7"/>
    <w:rsid w:val="00271331"/>
    <w:rsid w:val="00271338"/>
    <w:rsid w:val="00271669"/>
    <w:rsid w:val="0027185A"/>
    <w:rsid w:val="002721AA"/>
    <w:rsid w:val="002724FB"/>
    <w:rsid w:val="00272510"/>
    <w:rsid w:val="00272617"/>
    <w:rsid w:val="00272AA1"/>
    <w:rsid w:val="00272AA6"/>
    <w:rsid w:val="00272FDF"/>
    <w:rsid w:val="00273045"/>
    <w:rsid w:val="00273385"/>
    <w:rsid w:val="002739CE"/>
    <w:rsid w:val="00273A60"/>
    <w:rsid w:val="00273BA5"/>
    <w:rsid w:val="00273D4A"/>
    <w:rsid w:val="00273F4D"/>
    <w:rsid w:val="00273F76"/>
    <w:rsid w:val="00274047"/>
    <w:rsid w:val="00274118"/>
    <w:rsid w:val="002742A8"/>
    <w:rsid w:val="002746B2"/>
    <w:rsid w:val="002747D2"/>
    <w:rsid w:val="002747DF"/>
    <w:rsid w:val="00274B9F"/>
    <w:rsid w:val="00274EC7"/>
    <w:rsid w:val="00275248"/>
    <w:rsid w:val="002754D0"/>
    <w:rsid w:val="002757A7"/>
    <w:rsid w:val="00275B66"/>
    <w:rsid w:val="00275F29"/>
    <w:rsid w:val="00276242"/>
    <w:rsid w:val="002764B7"/>
    <w:rsid w:val="0027681D"/>
    <w:rsid w:val="00276CC4"/>
    <w:rsid w:val="00276EF3"/>
    <w:rsid w:val="002772B7"/>
    <w:rsid w:val="002778BA"/>
    <w:rsid w:val="00277EC5"/>
    <w:rsid w:val="00277EDA"/>
    <w:rsid w:val="00280852"/>
    <w:rsid w:val="0028091E"/>
    <w:rsid w:val="00280C9A"/>
    <w:rsid w:val="00281308"/>
    <w:rsid w:val="0028156B"/>
    <w:rsid w:val="0028188A"/>
    <w:rsid w:val="00281E9C"/>
    <w:rsid w:val="002820E1"/>
    <w:rsid w:val="00282441"/>
    <w:rsid w:val="00282559"/>
    <w:rsid w:val="00282B07"/>
    <w:rsid w:val="00282BD5"/>
    <w:rsid w:val="002835CD"/>
    <w:rsid w:val="00284C0E"/>
    <w:rsid w:val="00284C4A"/>
    <w:rsid w:val="00284DBE"/>
    <w:rsid w:val="002852A1"/>
    <w:rsid w:val="00285553"/>
    <w:rsid w:val="0028581F"/>
    <w:rsid w:val="0028585D"/>
    <w:rsid w:val="002858A5"/>
    <w:rsid w:val="002859CC"/>
    <w:rsid w:val="00285A22"/>
    <w:rsid w:val="00285B2A"/>
    <w:rsid w:val="00285CCE"/>
    <w:rsid w:val="00285E08"/>
    <w:rsid w:val="00285E58"/>
    <w:rsid w:val="00285F1D"/>
    <w:rsid w:val="00286081"/>
    <w:rsid w:val="002866C4"/>
    <w:rsid w:val="002866F7"/>
    <w:rsid w:val="0028685D"/>
    <w:rsid w:val="00286903"/>
    <w:rsid w:val="00286E44"/>
    <w:rsid w:val="002870B4"/>
    <w:rsid w:val="002875BB"/>
    <w:rsid w:val="00287842"/>
    <w:rsid w:val="00287941"/>
    <w:rsid w:val="002879D2"/>
    <w:rsid w:val="00287DE4"/>
    <w:rsid w:val="002901C7"/>
    <w:rsid w:val="002907FF"/>
    <w:rsid w:val="00290897"/>
    <w:rsid w:val="002909DF"/>
    <w:rsid w:val="00290A78"/>
    <w:rsid w:val="00290C00"/>
    <w:rsid w:val="00290D96"/>
    <w:rsid w:val="00290ECB"/>
    <w:rsid w:val="00290F0B"/>
    <w:rsid w:val="00290FE2"/>
    <w:rsid w:val="002910A1"/>
    <w:rsid w:val="002911B0"/>
    <w:rsid w:val="00291644"/>
    <w:rsid w:val="00291646"/>
    <w:rsid w:val="00291C34"/>
    <w:rsid w:val="00291CBE"/>
    <w:rsid w:val="00291E22"/>
    <w:rsid w:val="00291E80"/>
    <w:rsid w:val="00291F1B"/>
    <w:rsid w:val="0029201B"/>
    <w:rsid w:val="00292152"/>
    <w:rsid w:val="0029226E"/>
    <w:rsid w:val="0029231D"/>
    <w:rsid w:val="0029262E"/>
    <w:rsid w:val="00292901"/>
    <w:rsid w:val="00292BAF"/>
    <w:rsid w:val="00292D3C"/>
    <w:rsid w:val="00293041"/>
    <w:rsid w:val="002930F0"/>
    <w:rsid w:val="00293198"/>
    <w:rsid w:val="00293315"/>
    <w:rsid w:val="00293581"/>
    <w:rsid w:val="00293609"/>
    <w:rsid w:val="0029377B"/>
    <w:rsid w:val="0029420C"/>
    <w:rsid w:val="0029428F"/>
    <w:rsid w:val="0029485E"/>
    <w:rsid w:val="0029487F"/>
    <w:rsid w:val="002948C4"/>
    <w:rsid w:val="002948EE"/>
    <w:rsid w:val="00295093"/>
    <w:rsid w:val="00295316"/>
    <w:rsid w:val="002955EE"/>
    <w:rsid w:val="00295BFC"/>
    <w:rsid w:val="00295FD2"/>
    <w:rsid w:val="0029676A"/>
    <w:rsid w:val="00296AC3"/>
    <w:rsid w:val="00296B7E"/>
    <w:rsid w:val="00296C40"/>
    <w:rsid w:val="00297254"/>
    <w:rsid w:val="002973C1"/>
    <w:rsid w:val="002975CF"/>
    <w:rsid w:val="00297694"/>
    <w:rsid w:val="00297B43"/>
    <w:rsid w:val="00297C66"/>
    <w:rsid w:val="00297C81"/>
    <w:rsid w:val="002A0050"/>
    <w:rsid w:val="002A031C"/>
    <w:rsid w:val="002A057C"/>
    <w:rsid w:val="002A0706"/>
    <w:rsid w:val="002A0B40"/>
    <w:rsid w:val="002A0DDD"/>
    <w:rsid w:val="002A0E6A"/>
    <w:rsid w:val="002A0ED5"/>
    <w:rsid w:val="002A10A0"/>
    <w:rsid w:val="002A1214"/>
    <w:rsid w:val="002A1400"/>
    <w:rsid w:val="002A1858"/>
    <w:rsid w:val="002A1B84"/>
    <w:rsid w:val="002A1BD2"/>
    <w:rsid w:val="002A1C49"/>
    <w:rsid w:val="002A1CF5"/>
    <w:rsid w:val="002A1DF8"/>
    <w:rsid w:val="002A2445"/>
    <w:rsid w:val="002A25C3"/>
    <w:rsid w:val="002A2E12"/>
    <w:rsid w:val="002A3128"/>
    <w:rsid w:val="002A325B"/>
    <w:rsid w:val="002A33F2"/>
    <w:rsid w:val="002A3491"/>
    <w:rsid w:val="002A34D8"/>
    <w:rsid w:val="002A3782"/>
    <w:rsid w:val="002A3977"/>
    <w:rsid w:val="002A39DB"/>
    <w:rsid w:val="002A3A1D"/>
    <w:rsid w:val="002A3B86"/>
    <w:rsid w:val="002A3DE3"/>
    <w:rsid w:val="002A410F"/>
    <w:rsid w:val="002A413A"/>
    <w:rsid w:val="002A41A1"/>
    <w:rsid w:val="002A4679"/>
    <w:rsid w:val="002A4A4C"/>
    <w:rsid w:val="002A4FE3"/>
    <w:rsid w:val="002A5B3D"/>
    <w:rsid w:val="002A5EF6"/>
    <w:rsid w:val="002A6140"/>
    <w:rsid w:val="002A6329"/>
    <w:rsid w:val="002A64C5"/>
    <w:rsid w:val="002A67A3"/>
    <w:rsid w:val="002A6A98"/>
    <w:rsid w:val="002A6ADD"/>
    <w:rsid w:val="002A6EAD"/>
    <w:rsid w:val="002A7039"/>
    <w:rsid w:val="002A72C7"/>
    <w:rsid w:val="002A744D"/>
    <w:rsid w:val="002A7671"/>
    <w:rsid w:val="002A7687"/>
    <w:rsid w:val="002A7709"/>
    <w:rsid w:val="002A77FD"/>
    <w:rsid w:val="002A7A88"/>
    <w:rsid w:val="002A7C81"/>
    <w:rsid w:val="002A7F3C"/>
    <w:rsid w:val="002B007A"/>
    <w:rsid w:val="002B0741"/>
    <w:rsid w:val="002B07CF"/>
    <w:rsid w:val="002B09D6"/>
    <w:rsid w:val="002B0A77"/>
    <w:rsid w:val="002B0B2F"/>
    <w:rsid w:val="002B1329"/>
    <w:rsid w:val="002B1649"/>
    <w:rsid w:val="002B17E8"/>
    <w:rsid w:val="002B1D1D"/>
    <w:rsid w:val="002B1EFA"/>
    <w:rsid w:val="002B1F0F"/>
    <w:rsid w:val="002B200E"/>
    <w:rsid w:val="002B25E9"/>
    <w:rsid w:val="002B26B2"/>
    <w:rsid w:val="002B2856"/>
    <w:rsid w:val="002B285E"/>
    <w:rsid w:val="002B2E9F"/>
    <w:rsid w:val="002B3297"/>
    <w:rsid w:val="002B360B"/>
    <w:rsid w:val="002B4005"/>
    <w:rsid w:val="002B47E9"/>
    <w:rsid w:val="002B4AC4"/>
    <w:rsid w:val="002B4E24"/>
    <w:rsid w:val="002B529A"/>
    <w:rsid w:val="002B52AF"/>
    <w:rsid w:val="002B595B"/>
    <w:rsid w:val="002B59EB"/>
    <w:rsid w:val="002B5C14"/>
    <w:rsid w:val="002B5C54"/>
    <w:rsid w:val="002B5E34"/>
    <w:rsid w:val="002B5EC2"/>
    <w:rsid w:val="002B697F"/>
    <w:rsid w:val="002B6BB2"/>
    <w:rsid w:val="002B7236"/>
    <w:rsid w:val="002B75DB"/>
    <w:rsid w:val="002B770C"/>
    <w:rsid w:val="002B78A9"/>
    <w:rsid w:val="002B7979"/>
    <w:rsid w:val="002B7D02"/>
    <w:rsid w:val="002B7DD8"/>
    <w:rsid w:val="002B7FA9"/>
    <w:rsid w:val="002C03E1"/>
    <w:rsid w:val="002C0813"/>
    <w:rsid w:val="002C0E16"/>
    <w:rsid w:val="002C22B4"/>
    <w:rsid w:val="002C279F"/>
    <w:rsid w:val="002C29AC"/>
    <w:rsid w:val="002C29D8"/>
    <w:rsid w:val="002C2AAA"/>
    <w:rsid w:val="002C2D89"/>
    <w:rsid w:val="002C2DA1"/>
    <w:rsid w:val="002C3050"/>
    <w:rsid w:val="002C3465"/>
    <w:rsid w:val="002C3579"/>
    <w:rsid w:val="002C3C93"/>
    <w:rsid w:val="002C40DB"/>
    <w:rsid w:val="002C4533"/>
    <w:rsid w:val="002C4D9F"/>
    <w:rsid w:val="002C526B"/>
    <w:rsid w:val="002C539E"/>
    <w:rsid w:val="002C5B78"/>
    <w:rsid w:val="002C5BD4"/>
    <w:rsid w:val="002C5D2B"/>
    <w:rsid w:val="002C5FF1"/>
    <w:rsid w:val="002C617E"/>
    <w:rsid w:val="002C61B8"/>
    <w:rsid w:val="002C64D7"/>
    <w:rsid w:val="002C6511"/>
    <w:rsid w:val="002C6769"/>
    <w:rsid w:val="002C6930"/>
    <w:rsid w:val="002C6C03"/>
    <w:rsid w:val="002C6FF8"/>
    <w:rsid w:val="002C70AE"/>
    <w:rsid w:val="002C713E"/>
    <w:rsid w:val="002C782A"/>
    <w:rsid w:val="002C788E"/>
    <w:rsid w:val="002C7C50"/>
    <w:rsid w:val="002D07AE"/>
    <w:rsid w:val="002D08DC"/>
    <w:rsid w:val="002D0EE9"/>
    <w:rsid w:val="002D1033"/>
    <w:rsid w:val="002D150D"/>
    <w:rsid w:val="002D152F"/>
    <w:rsid w:val="002D16D0"/>
    <w:rsid w:val="002D1B0B"/>
    <w:rsid w:val="002D1C65"/>
    <w:rsid w:val="002D2108"/>
    <w:rsid w:val="002D22C9"/>
    <w:rsid w:val="002D2492"/>
    <w:rsid w:val="002D291C"/>
    <w:rsid w:val="002D2991"/>
    <w:rsid w:val="002D2C0F"/>
    <w:rsid w:val="002D2C35"/>
    <w:rsid w:val="002D2D72"/>
    <w:rsid w:val="002D2FC8"/>
    <w:rsid w:val="002D31C8"/>
    <w:rsid w:val="002D32D5"/>
    <w:rsid w:val="002D34BC"/>
    <w:rsid w:val="002D3914"/>
    <w:rsid w:val="002D3F78"/>
    <w:rsid w:val="002D420B"/>
    <w:rsid w:val="002D421F"/>
    <w:rsid w:val="002D4678"/>
    <w:rsid w:val="002D46AC"/>
    <w:rsid w:val="002D48A3"/>
    <w:rsid w:val="002D4C2A"/>
    <w:rsid w:val="002D523A"/>
    <w:rsid w:val="002D59F2"/>
    <w:rsid w:val="002D59FD"/>
    <w:rsid w:val="002D6079"/>
    <w:rsid w:val="002D6360"/>
    <w:rsid w:val="002D6495"/>
    <w:rsid w:val="002D667C"/>
    <w:rsid w:val="002D6B58"/>
    <w:rsid w:val="002D6ECD"/>
    <w:rsid w:val="002D709D"/>
    <w:rsid w:val="002D7439"/>
    <w:rsid w:val="002D74C4"/>
    <w:rsid w:val="002D7CA4"/>
    <w:rsid w:val="002D7E98"/>
    <w:rsid w:val="002D7F08"/>
    <w:rsid w:val="002E02D6"/>
    <w:rsid w:val="002E0B0D"/>
    <w:rsid w:val="002E0C12"/>
    <w:rsid w:val="002E0D4E"/>
    <w:rsid w:val="002E0D95"/>
    <w:rsid w:val="002E0DA5"/>
    <w:rsid w:val="002E10C0"/>
    <w:rsid w:val="002E110F"/>
    <w:rsid w:val="002E16B6"/>
    <w:rsid w:val="002E18A4"/>
    <w:rsid w:val="002E1939"/>
    <w:rsid w:val="002E19BE"/>
    <w:rsid w:val="002E1F09"/>
    <w:rsid w:val="002E21C7"/>
    <w:rsid w:val="002E296E"/>
    <w:rsid w:val="002E2A3A"/>
    <w:rsid w:val="002E2AB4"/>
    <w:rsid w:val="002E2B29"/>
    <w:rsid w:val="002E2D14"/>
    <w:rsid w:val="002E2DE3"/>
    <w:rsid w:val="002E3103"/>
    <w:rsid w:val="002E319F"/>
    <w:rsid w:val="002E3318"/>
    <w:rsid w:val="002E3B87"/>
    <w:rsid w:val="002E3B96"/>
    <w:rsid w:val="002E3BBC"/>
    <w:rsid w:val="002E3F99"/>
    <w:rsid w:val="002E41F1"/>
    <w:rsid w:val="002E475A"/>
    <w:rsid w:val="002E4D44"/>
    <w:rsid w:val="002E4E48"/>
    <w:rsid w:val="002E521B"/>
    <w:rsid w:val="002E5436"/>
    <w:rsid w:val="002E552A"/>
    <w:rsid w:val="002E558A"/>
    <w:rsid w:val="002E55AE"/>
    <w:rsid w:val="002E5888"/>
    <w:rsid w:val="002E5D38"/>
    <w:rsid w:val="002E5DEB"/>
    <w:rsid w:val="002E5FF2"/>
    <w:rsid w:val="002E6397"/>
    <w:rsid w:val="002E66F3"/>
    <w:rsid w:val="002E6C4D"/>
    <w:rsid w:val="002E78D5"/>
    <w:rsid w:val="002F0948"/>
    <w:rsid w:val="002F0BA1"/>
    <w:rsid w:val="002F0BD1"/>
    <w:rsid w:val="002F12B9"/>
    <w:rsid w:val="002F12D2"/>
    <w:rsid w:val="002F1487"/>
    <w:rsid w:val="002F18A8"/>
    <w:rsid w:val="002F1A0B"/>
    <w:rsid w:val="002F201F"/>
    <w:rsid w:val="002F2180"/>
    <w:rsid w:val="002F2368"/>
    <w:rsid w:val="002F260C"/>
    <w:rsid w:val="002F2D8B"/>
    <w:rsid w:val="002F320D"/>
    <w:rsid w:val="002F33F5"/>
    <w:rsid w:val="002F354B"/>
    <w:rsid w:val="002F368B"/>
    <w:rsid w:val="002F386D"/>
    <w:rsid w:val="002F3AF5"/>
    <w:rsid w:val="002F3C08"/>
    <w:rsid w:val="002F41F9"/>
    <w:rsid w:val="002F48C4"/>
    <w:rsid w:val="002F52A0"/>
    <w:rsid w:val="002F547C"/>
    <w:rsid w:val="002F58AB"/>
    <w:rsid w:val="002F59FF"/>
    <w:rsid w:val="002F66FA"/>
    <w:rsid w:val="002F6703"/>
    <w:rsid w:val="002F6CBC"/>
    <w:rsid w:val="002F6D26"/>
    <w:rsid w:val="002F7173"/>
    <w:rsid w:val="002F7925"/>
    <w:rsid w:val="002F7A34"/>
    <w:rsid w:val="002F7AF6"/>
    <w:rsid w:val="002F7BD0"/>
    <w:rsid w:val="0030044B"/>
    <w:rsid w:val="00300834"/>
    <w:rsid w:val="003008C3"/>
    <w:rsid w:val="00301479"/>
    <w:rsid w:val="00301844"/>
    <w:rsid w:val="00301931"/>
    <w:rsid w:val="00301D3B"/>
    <w:rsid w:val="00301DFA"/>
    <w:rsid w:val="00302077"/>
    <w:rsid w:val="003020FB"/>
    <w:rsid w:val="003024AF"/>
    <w:rsid w:val="00302AF7"/>
    <w:rsid w:val="00302C48"/>
    <w:rsid w:val="00302F67"/>
    <w:rsid w:val="0030341D"/>
    <w:rsid w:val="0030343E"/>
    <w:rsid w:val="00303476"/>
    <w:rsid w:val="003039A3"/>
    <w:rsid w:val="003039F6"/>
    <w:rsid w:val="00303D7E"/>
    <w:rsid w:val="0030413F"/>
    <w:rsid w:val="00304633"/>
    <w:rsid w:val="00304824"/>
    <w:rsid w:val="00304A89"/>
    <w:rsid w:val="00305428"/>
    <w:rsid w:val="003054AC"/>
    <w:rsid w:val="00305695"/>
    <w:rsid w:val="00305DE0"/>
    <w:rsid w:val="00305E84"/>
    <w:rsid w:val="00306F17"/>
    <w:rsid w:val="0030739D"/>
    <w:rsid w:val="003073B4"/>
    <w:rsid w:val="003073E0"/>
    <w:rsid w:val="003074ED"/>
    <w:rsid w:val="003075CB"/>
    <w:rsid w:val="00307980"/>
    <w:rsid w:val="00307E27"/>
    <w:rsid w:val="00307E5C"/>
    <w:rsid w:val="0031046E"/>
    <w:rsid w:val="0031058B"/>
    <w:rsid w:val="003106DC"/>
    <w:rsid w:val="00310CD8"/>
    <w:rsid w:val="00310D31"/>
    <w:rsid w:val="00311204"/>
    <w:rsid w:val="00311417"/>
    <w:rsid w:val="00311435"/>
    <w:rsid w:val="003114EE"/>
    <w:rsid w:val="00311A12"/>
    <w:rsid w:val="00311D50"/>
    <w:rsid w:val="00312159"/>
    <w:rsid w:val="00312413"/>
    <w:rsid w:val="003126B9"/>
    <w:rsid w:val="003129E5"/>
    <w:rsid w:val="00312B6A"/>
    <w:rsid w:val="00313317"/>
    <w:rsid w:val="00313866"/>
    <w:rsid w:val="0031391A"/>
    <w:rsid w:val="00313A0F"/>
    <w:rsid w:val="00313F0C"/>
    <w:rsid w:val="0031409E"/>
    <w:rsid w:val="003140D9"/>
    <w:rsid w:val="00314724"/>
    <w:rsid w:val="0031472E"/>
    <w:rsid w:val="0031494B"/>
    <w:rsid w:val="0031554E"/>
    <w:rsid w:val="00315678"/>
    <w:rsid w:val="00315985"/>
    <w:rsid w:val="00315989"/>
    <w:rsid w:val="00315DE5"/>
    <w:rsid w:val="0031627F"/>
    <w:rsid w:val="0031642E"/>
    <w:rsid w:val="003165DE"/>
    <w:rsid w:val="00316B02"/>
    <w:rsid w:val="00316B4F"/>
    <w:rsid w:val="00316E2B"/>
    <w:rsid w:val="00317131"/>
    <w:rsid w:val="003174DB"/>
    <w:rsid w:val="003175A5"/>
    <w:rsid w:val="003177CF"/>
    <w:rsid w:val="00317BB6"/>
    <w:rsid w:val="00317EF1"/>
    <w:rsid w:val="00320124"/>
    <w:rsid w:val="003205C7"/>
    <w:rsid w:val="00320CC6"/>
    <w:rsid w:val="0032140A"/>
    <w:rsid w:val="003215A7"/>
    <w:rsid w:val="00321652"/>
    <w:rsid w:val="00321A0A"/>
    <w:rsid w:val="00321B9E"/>
    <w:rsid w:val="00321C0F"/>
    <w:rsid w:val="00321FB0"/>
    <w:rsid w:val="003220EC"/>
    <w:rsid w:val="003221EF"/>
    <w:rsid w:val="0032299D"/>
    <w:rsid w:val="00322CC9"/>
    <w:rsid w:val="003234F0"/>
    <w:rsid w:val="003234F3"/>
    <w:rsid w:val="00323657"/>
    <w:rsid w:val="00323C03"/>
    <w:rsid w:val="00323CFC"/>
    <w:rsid w:val="00323FF6"/>
    <w:rsid w:val="0032413A"/>
    <w:rsid w:val="003243D0"/>
    <w:rsid w:val="00325177"/>
    <w:rsid w:val="003251FA"/>
    <w:rsid w:val="00325307"/>
    <w:rsid w:val="0032598F"/>
    <w:rsid w:val="00325AAA"/>
    <w:rsid w:val="00325BD0"/>
    <w:rsid w:val="003265FE"/>
    <w:rsid w:val="003267D2"/>
    <w:rsid w:val="00326CD8"/>
    <w:rsid w:val="00326DE4"/>
    <w:rsid w:val="00327024"/>
    <w:rsid w:val="00327C04"/>
    <w:rsid w:val="00327C6C"/>
    <w:rsid w:val="00327EDE"/>
    <w:rsid w:val="00330621"/>
    <w:rsid w:val="00330889"/>
    <w:rsid w:val="00330AB6"/>
    <w:rsid w:val="00330E0B"/>
    <w:rsid w:val="003310AD"/>
    <w:rsid w:val="00331283"/>
    <w:rsid w:val="00331511"/>
    <w:rsid w:val="003316A6"/>
    <w:rsid w:val="00331847"/>
    <w:rsid w:val="00331F7B"/>
    <w:rsid w:val="0033295A"/>
    <w:rsid w:val="0033307C"/>
    <w:rsid w:val="0033356A"/>
    <w:rsid w:val="003343BB"/>
    <w:rsid w:val="003347DE"/>
    <w:rsid w:val="00334C46"/>
    <w:rsid w:val="00334F34"/>
    <w:rsid w:val="0033508F"/>
    <w:rsid w:val="003351A6"/>
    <w:rsid w:val="00335514"/>
    <w:rsid w:val="00335896"/>
    <w:rsid w:val="00335964"/>
    <w:rsid w:val="00335C9F"/>
    <w:rsid w:val="00336233"/>
    <w:rsid w:val="00336316"/>
    <w:rsid w:val="00336A1F"/>
    <w:rsid w:val="00336B1D"/>
    <w:rsid w:val="0033785F"/>
    <w:rsid w:val="00337A21"/>
    <w:rsid w:val="00337CE1"/>
    <w:rsid w:val="003401D9"/>
    <w:rsid w:val="00340B79"/>
    <w:rsid w:val="00340B9C"/>
    <w:rsid w:val="003410EB"/>
    <w:rsid w:val="00341103"/>
    <w:rsid w:val="00341365"/>
    <w:rsid w:val="00341892"/>
    <w:rsid w:val="00341E7B"/>
    <w:rsid w:val="00341FEC"/>
    <w:rsid w:val="00342012"/>
    <w:rsid w:val="0034203B"/>
    <w:rsid w:val="003421FC"/>
    <w:rsid w:val="00342203"/>
    <w:rsid w:val="003428B9"/>
    <w:rsid w:val="00342E73"/>
    <w:rsid w:val="003430C1"/>
    <w:rsid w:val="003431B6"/>
    <w:rsid w:val="00343230"/>
    <w:rsid w:val="00343512"/>
    <w:rsid w:val="003438C4"/>
    <w:rsid w:val="003439BB"/>
    <w:rsid w:val="00343A4F"/>
    <w:rsid w:val="00343F15"/>
    <w:rsid w:val="00344671"/>
    <w:rsid w:val="003447F8"/>
    <w:rsid w:val="00344F6E"/>
    <w:rsid w:val="003455AD"/>
    <w:rsid w:val="0034567F"/>
    <w:rsid w:val="003456AA"/>
    <w:rsid w:val="003456B5"/>
    <w:rsid w:val="00345AE8"/>
    <w:rsid w:val="00345DE0"/>
    <w:rsid w:val="00345F96"/>
    <w:rsid w:val="00345FB1"/>
    <w:rsid w:val="00346280"/>
    <w:rsid w:val="00346913"/>
    <w:rsid w:val="00346B68"/>
    <w:rsid w:val="00346BB7"/>
    <w:rsid w:val="00346BF8"/>
    <w:rsid w:val="003471B8"/>
    <w:rsid w:val="003502CB"/>
    <w:rsid w:val="003508F2"/>
    <w:rsid w:val="0035098D"/>
    <w:rsid w:val="00350D55"/>
    <w:rsid w:val="0035168B"/>
    <w:rsid w:val="00351769"/>
    <w:rsid w:val="00351A1D"/>
    <w:rsid w:val="00351CA6"/>
    <w:rsid w:val="00351CA7"/>
    <w:rsid w:val="00351CCA"/>
    <w:rsid w:val="00351E21"/>
    <w:rsid w:val="00352044"/>
    <w:rsid w:val="0035229F"/>
    <w:rsid w:val="003528EE"/>
    <w:rsid w:val="00352B59"/>
    <w:rsid w:val="00352C14"/>
    <w:rsid w:val="0035302A"/>
    <w:rsid w:val="0035324E"/>
    <w:rsid w:val="003532DC"/>
    <w:rsid w:val="00353D4F"/>
    <w:rsid w:val="00353F00"/>
    <w:rsid w:val="003541D2"/>
    <w:rsid w:val="0035431E"/>
    <w:rsid w:val="00355088"/>
    <w:rsid w:val="003552A7"/>
    <w:rsid w:val="003555D5"/>
    <w:rsid w:val="00355A3A"/>
    <w:rsid w:val="00355BA7"/>
    <w:rsid w:val="00355D9C"/>
    <w:rsid w:val="0035615A"/>
    <w:rsid w:val="00356242"/>
    <w:rsid w:val="003569D8"/>
    <w:rsid w:val="00357052"/>
    <w:rsid w:val="003570E2"/>
    <w:rsid w:val="003572B2"/>
    <w:rsid w:val="003573A3"/>
    <w:rsid w:val="00357F0D"/>
    <w:rsid w:val="00360F1F"/>
    <w:rsid w:val="0036165E"/>
    <w:rsid w:val="003620D9"/>
    <w:rsid w:val="00362D12"/>
    <w:rsid w:val="00362DCF"/>
    <w:rsid w:val="003632A3"/>
    <w:rsid w:val="003633CD"/>
    <w:rsid w:val="003636FB"/>
    <w:rsid w:val="00363AB8"/>
    <w:rsid w:val="00363D18"/>
    <w:rsid w:val="0036487E"/>
    <w:rsid w:val="00364AA6"/>
    <w:rsid w:val="00365349"/>
    <w:rsid w:val="00365402"/>
    <w:rsid w:val="003660D8"/>
    <w:rsid w:val="003665AD"/>
    <w:rsid w:val="003668E8"/>
    <w:rsid w:val="003673C3"/>
    <w:rsid w:val="00367434"/>
    <w:rsid w:val="00367491"/>
    <w:rsid w:val="0036760E"/>
    <w:rsid w:val="003677D2"/>
    <w:rsid w:val="00367877"/>
    <w:rsid w:val="003702B0"/>
    <w:rsid w:val="003705D0"/>
    <w:rsid w:val="00370753"/>
    <w:rsid w:val="00370D98"/>
    <w:rsid w:val="00370F63"/>
    <w:rsid w:val="00371001"/>
    <w:rsid w:val="0037101A"/>
    <w:rsid w:val="0037106A"/>
    <w:rsid w:val="003713E1"/>
    <w:rsid w:val="003717C4"/>
    <w:rsid w:val="00371F32"/>
    <w:rsid w:val="00372021"/>
    <w:rsid w:val="003720BD"/>
    <w:rsid w:val="00372209"/>
    <w:rsid w:val="003725A9"/>
    <w:rsid w:val="00372683"/>
    <w:rsid w:val="003739F9"/>
    <w:rsid w:val="00373CF9"/>
    <w:rsid w:val="003744ED"/>
    <w:rsid w:val="0037455E"/>
    <w:rsid w:val="003746BC"/>
    <w:rsid w:val="00374B7B"/>
    <w:rsid w:val="00374BD7"/>
    <w:rsid w:val="00374C95"/>
    <w:rsid w:val="003752F4"/>
    <w:rsid w:val="00375657"/>
    <w:rsid w:val="00375784"/>
    <w:rsid w:val="003759A7"/>
    <w:rsid w:val="00375A16"/>
    <w:rsid w:val="00375E56"/>
    <w:rsid w:val="003761BD"/>
    <w:rsid w:val="0037641B"/>
    <w:rsid w:val="00376866"/>
    <w:rsid w:val="00376C1F"/>
    <w:rsid w:val="00376D59"/>
    <w:rsid w:val="00376E74"/>
    <w:rsid w:val="00377446"/>
    <w:rsid w:val="003776B6"/>
    <w:rsid w:val="003779A4"/>
    <w:rsid w:val="00377ADA"/>
    <w:rsid w:val="00377D3F"/>
    <w:rsid w:val="00377DD2"/>
    <w:rsid w:val="00380A7A"/>
    <w:rsid w:val="00380C56"/>
    <w:rsid w:val="00380E99"/>
    <w:rsid w:val="003811F4"/>
    <w:rsid w:val="0038122B"/>
    <w:rsid w:val="00381377"/>
    <w:rsid w:val="00381603"/>
    <w:rsid w:val="003825C0"/>
    <w:rsid w:val="003827EB"/>
    <w:rsid w:val="00382800"/>
    <w:rsid w:val="00382BC4"/>
    <w:rsid w:val="00382DCF"/>
    <w:rsid w:val="003831D1"/>
    <w:rsid w:val="003833BF"/>
    <w:rsid w:val="00383571"/>
    <w:rsid w:val="00383658"/>
    <w:rsid w:val="00383901"/>
    <w:rsid w:val="00383C82"/>
    <w:rsid w:val="00383F8E"/>
    <w:rsid w:val="0038408A"/>
    <w:rsid w:val="0038446B"/>
    <w:rsid w:val="00384517"/>
    <w:rsid w:val="00384D08"/>
    <w:rsid w:val="003850A3"/>
    <w:rsid w:val="003853A6"/>
    <w:rsid w:val="0038548A"/>
    <w:rsid w:val="003854F4"/>
    <w:rsid w:val="003856D6"/>
    <w:rsid w:val="00386693"/>
    <w:rsid w:val="0038685F"/>
    <w:rsid w:val="00386C4B"/>
    <w:rsid w:val="00386E04"/>
    <w:rsid w:val="00386F57"/>
    <w:rsid w:val="00387042"/>
    <w:rsid w:val="00387108"/>
    <w:rsid w:val="0038748E"/>
    <w:rsid w:val="003875CD"/>
    <w:rsid w:val="003879AF"/>
    <w:rsid w:val="00387B2E"/>
    <w:rsid w:val="00387D3E"/>
    <w:rsid w:val="00387E98"/>
    <w:rsid w:val="00390081"/>
    <w:rsid w:val="003905C2"/>
    <w:rsid w:val="003906EE"/>
    <w:rsid w:val="003909B1"/>
    <w:rsid w:val="00390C46"/>
    <w:rsid w:val="003910C1"/>
    <w:rsid w:val="00391340"/>
    <w:rsid w:val="00391A39"/>
    <w:rsid w:val="00391B4A"/>
    <w:rsid w:val="00391E78"/>
    <w:rsid w:val="0039254D"/>
    <w:rsid w:val="00392DAD"/>
    <w:rsid w:val="00392EA6"/>
    <w:rsid w:val="0039310A"/>
    <w:rsid w:val="00393303"/>
    <w:rsid w:val="0039340F"/>
    <w:rsid w:val="00393569"/>
    <w:rsid w:val="00393D96"/>
    <w:rsid w:val="00394317"/>
    <w:rsid w:val="00394D1E"/>
    <w:rsid w:val="00395454"/>
    <w:rsid w:val="00395582"/>
    <w:rsid w:val="003955B3"/>
    <w:rsid w:val="003957AE"/>
    <w:rsid w:val="00395FFE"/>
    <w:rsid w:val="00396149"/>
    <w:rsid w:val="003961E0"/>
    <w:rsid w:val="00396423"/>
    <w:rsid w:val="0039645D"/>
    <w:rsid w:val="00396484"/>
    <w:rsid w:val="003964A1"/>
    <w:rsid w:val="003965F6"/>
    <w:rsid w:val="0039685C"/>
    <w:rsid w:val="00396889"/>
    <w:rsid w:val="0039738F"/>
    <w:rsid w:val="003974F5"/>
    <w:rsid w:val="00397618"/>
    <w:rsid w:val="003976ED"/>
    <w:rsid w:val="00397911"/>
    <w:rsid w:val="003A06C0"/>
    <w:rsid w:val="003A079F"/>
    <w:rsid w:val="003A07BD"/>
    <w:rsid w:val="003A0EF4"/>
    <w:rsid w:val="003A0F15"/>
    <w:rsid w:val="003A10A9"/>
    <w:rsid w:val="003A112B"/>
    <w:rsid w:val="003A167B"/>
    <w:rsid w:val="003A1C87"/>
    <w:rsid w:val="003A1CF6"/>
    <w:rsid w:val="003A2382"/>
    <w:rsid w:val="003A2D10"/>
    <w:rsid w:val="003A2FEB"/>
    <w:rsid w:val="003A32A1"/>
    <w:rsid w:val="003A353E"/>
    <w:rsid w:val="003A3596"/>
    <w:rsid w:val="003A3784"/>
    <w:rsid w:val="003A383A"/>
    <w:rsid w:val="003A3A4A"/>
    <w:rsid w:val="003A3C44"/>
    <w:rsid w:val="003A3D0E"/>
    <w:rsid w:val="003A3EF3"/>
    <w:rsid w:val="003A45EF"/>
    <w:rsid w:val="003A4777"/>
    <w:rsid w:val="003A4B04"/>
    <w:rsid w:val="003A4B3B"/>
    <w:rsid w:val="003A5AE2"/>
    <w:rsid w:val="003A5C6C"/>
    <w:rsid w:val="003A5DE6"/>
    <w:rsid w:val="003A5FC9"/>
    <w:rsid w:val="003A6369"/>
    <w:rsid w:val="003A6579"/>
    <w:rsid w:val="003A677A"/>
    <w:rsid w:val="003A67E4"/>
    <w:rsid w:val="003A685F"/>
    <w:rsid w:val="003A69F1"/>
    <w:rsid w:val="003A6A2E"/>
    <w:rsid w:val="003A6D28"/>
    <w:rsid w:val="003A6FAE"/>
    <w:rsid w:val="003A72A9"/>
    <w:rsid w:val="003A73CF"/>
    <w:rsid w:val="003A766C"/>
    <w:rsid w:val="003A7BF4"/>
    <w:rsid w:val="003B0795"/>
    <w:rsid w:val="003B08C8"/>
    <w:rsid w:val="003B099A"/>
    <w:rsid w:val="003B0B2A"/>
    <w:rsid w:val="003B17E0"/>
    <w:rsid w:val="003B18BD"/>
    <w:rsid w:val="003B1AA3"/>
    <w:rsid w:val="003B1B20"/>
    <w:rsid w:val="003B1B62"/>
    <w:rsid w:val="003B2006"/>
    <w:rsid w:val="003B2582"/>
    <w:rsid w:val="003B29AD"/>
    <w:rsid w:val="003B2B5E"/>
    <w:rsid w:val="003B2BF7"/>
    <w:rsid w:val="003B2D8A"/>
    <w:rsid w:val="003B2F0D"/>
    <w:rsid w:val="003B2F45"/>
    <w:rsid w:val="003B3117"/>
    <w:rsid w:val="003B39D3"/>
    <w:rsid w:val="003B3A3B"/>
    <w:rsid w:val="003B3B25"/>
    <w:rsid w:val="003B3E2E"/>
    <w:rsid w:val="003B444E"/>
    <w:rsid w:val="003B44EB"/>
    <w:rsid w:val="003B451A"/>
    <w:rsid w:val="003B4640"/>
    <w:rsid w:val="003B4A2D"/>
    <w:rsid w:val="003B4B25"/>
    <w:rsid w:val="003B5170"/>
    <w:rsid w:val="003B54E2"/>
    <w:rsid w:val="003B5748"/>
    <w:rsid w:val="003B5E31"/>
    <w:rsid w:val="003B6531"/>
    <w:rsid w:val="003B7252"/>
    <w:rsid w:val="003B75AB"/>
    <w:rsid w:val="003B762E"/>
    <w:rsid w:val="003B7BD4"/>
    <w:rsid w:val="003C06B7"/>
    <w:rsid w:val="003C075B"/>
    <w:rsid w:val="003C07C3"/>
    <w:rsid w:val="003C0853"/>
    <w:rsid w:val="003C09D5"/>
    <w:rsid w:val="003C0DD1"/>
    <w:rsid w:val="003C1018"/>
    <w:rsid w:val="003C11FE"/>
    <w:rsid w:val="003C1530"/>
    <w:rsid w:val="003C16F4"/>
    <w:rsid w:val="003C1878"/>
    <w:rsid w:val="003C1913"/>
    <w:rsid w:val="003C1A95"/>
    <w:rsid w:val="003C1C68"/>
    <w:rsid w:val="003C2059"/>
    <w:rsid w:val="003C2308"/>
    <w:rsid w:val="003C2325"/>
    <w:rsid w:val="003C2A5C"/>
    <w:rsid w:val="003C2C35"/>
    <w:rsid w:val="003C2D79"/>
    <w:rsid w:val="003C2F3E"/>
    <w:rsid w:val="003C335D"/>
    <w:rsid w:val="003C35EA"/>
    <w:rsid w:val="003C3C37"/>
    <w:rsid w:val="003C4026"/>
    <w:rsid w:val="003C4138"/>
    <w:rsid w:val="003C4409"/>
    <w:rsid w:val="003C44C1"/>
    <w:rsid w:val="003C44F8"/>
    <w:rsid w:val="003C4DBE"/>
    <w:rsid w:val="003C54C3"/>
    <w:rsid w:val="003C55F3"/>
    <w:rsid w:val="003C5604"/>
    <w:rsid w:val="003C57D7"/>
    <w:rsid w:val="003C58EB"/>
    <w:rsid w:val="003C5A3B"/>
    <w:rsid w:val="003C5B88"/>
    <w:rsid w:val="003C62C0"/>
    <w:rsid w:val="003C6331"/>
    <w:rsid w:val="003C6469"/>
    <w:rsid w:val="003C6A07"/>
    <w:rsid w:val="003C6A24"/>
    <w:rsid w:val="003C6E2F"/>
    <w:rsid w:val="003C70BA"/>
    <w:rsid w:val="003C7288"/>
    <w:rsid w:val="003C7580"/>
    <w:rsid w:val="003C7889"/>
    <w:rsid w:val="003D0436"/>
    <w:rsid w:val="003D0838"/>
    <w:rsid w:val="003D08BD"/>
    <w:rsid w:val="003D0E80"/>
    <w:rsid w:val="003D1347"/>
    <w:rsid w:val="003D16E2"/>
    <w:rsid w:val="003D1745"/>
    <w:rsid w:val="003D1DD8"/>
    <w:rsid w:val="003D1E28"/>
    <w:rsid w:val="003D25FC"/>
    <w:rsid w:val="003D29B7"/>
    <w:rsid w:val="003D2E8E"/>
    <w:rsid w:val="003D2F80"/>
    <w:rsid w:val="003D3263"/>
    <w:rsid w:val="003D33F3"/>
    <w:rsid w:val="003D35F7"/>
    <w:rsid w:val="003D3880"/>
    <w:rsid w:val="003D38D6"/>
    <w:rsid w:val="003D3F1E"/>
    <w:rsid w:val="003D3F43"/>
    <w:rsid w:val="003D4173"/>
    <w:rsid w:val="003D428A"/>
    <w:rsid w:val="003D457E"/>
    <w:rsid w:val="003D4962"/>
    <w:rsid w:val="003D4E88"/>
    <w:rsid w:val="003D4F7B"/>
    <w:rsid w:val="003D53D9"/>
    <w:rsid w:val="003D54B0"/>
    <w:rsid w:val="003D56A1"/>
    <w:rsid w:val="003D63C3"/>
    <w:rsid w:val="003D66B8"/>
    <w:rsid w:val="003D6705"/>
    <w:rsid w:val="003D6B28"/>
    <w:rsid w:val="003D6FD8"/>
    <w:rsid w:val="003D7090"/>
    <w:rsid w:val="003D75E6"/>
    <w:rsid w:val="003D7870"/>
    <w:rsid w:val="003D7AA3"/>
    <w:rsid w:val="003D7FD3"/>
    <w:rsid w:val="003E0494"/>
    <w:rsid w:val="003E05F4"/>
    <w:rsid w:val="003E0AD1"/>
    <w:rsid w:val="003E0BBF"/>
    <w:rsid w:val="003E0C4A"/>
    <w:rsid w:val="003E0E6C"/>
    <w:rsid w:val="003E0EF6"/>
    <w:rsid w:val="003E1138"/>
    <w:rsid w:val="003E11B0"/>
    <w:rsid w:val="003E1585"/>
    <w:rsid w:val="003E161B"/>
    <w:rsid w:val="003E1708"/>
    <w:rsid w:val="003E1AA9"/>
    <w:rsid w:val="003E1B45"/>
    <w:rsid w:val="003E1F6C"/>
    <w:rsid w:val="003E2682"/>
    <w:rsid w:val="003E28D9"/>
    <w:rsid w:val="003E2AAD"/>
    <w:rsid w:val="003E2DD5"/>
    <w:rsid w:val="003E2FDF"/>
    <w:rsid w:val="003E3196"/>
    <w:rsid w:val="003E386B"/>
    <w:rsid w:val="003E3A58"/>
    <w:rsid w:val="003E3B53"/>
    <w:rsid w:val="003E3CAF"/>
    <w:rsid w:val="003E3CDB"/>
    <w:rsid w:val="003E40B9"/>
    <w:rsid w:val="003E4128"/>
    <w:rsid w:val="003E4412"/>
    <w:rsid w:val="003E4439"/>
    <w:rsid w:val="003E44C4"/>
    <w:rsid w:val="003E45BB"/>
    <w:rsid w:val="003E46D6"/>
    <w:rsid w:val="003E4710"/>
    <w:rsid w:val="003E4859"/>
    <w:rsid w:val="003E48C5"/>
    <w:rsid w:val="003E4909"/>
    <w:rsid w:val="003E4DAA"/>
    <w:rsid w:val="003E5159"/>
    <w:rsid w:val="003E55C8"/>
    <w:rsid w:val="003E57B0"/>
    <w:rsid w:val="003E57DA"/>
    <w:rsid w:val="003E58BA"/>
    <w:rsid w:val="003E5B46"/>
    <w:rsid w:val="003E65D5"/>
    <w:rsid w:val="003E67A3"/>
    <w:rsid w:val="003E67A4"/>
    <w:rsid w:val="003E6923"/>
    <w:rsid w:val="003E698C"/>
    <w:rsid w:val="003E6996"/>
    <w:rsid w:val="003E70A0"/>
    <w:rsid w:val="003E77D3"/>
    <w:rsid w:val="003E7909"/>
    <w:rsid w:val="003E7CA0"/>
    <w:rsid w:val="003F002B"/>
    <w:rsid w:val="003F05A6"/>
    <w:rsid w:val="003F07EB"/>
    <w:rsid w:val="003F0B2D"/>
    <w:rsid w:val="003F0DE5"/>
    <w:rsid w:val="003F19A6"/>
    <w:rsid w:val="003F19B9"/>
    <w:rsid w:val="003F19C7"/>
    <w:rsid w:val="003F1D36"/>
    <w:rsid w:val="003F1FFA"/>
    <w:rsid w:val="003F24BD"/>
    <w:rsid w:val="003F2694"/>
    <w:rsid w:val="003F2AE6"/>
    <w:rsid w:val="003F2BDA"/>
    <w:rsid w:val="003F2F33"/>
    <w:rsid w:val="003F2F59"/>
    <w:rsid w:val="003F2F80"/>
    <w:rsid w:val="003F2FB8"/>
    <w:rsid w:val="003F3721"/>
    <w:rsid w:val="003F384D"/>
    <w:rsid w:val="003F3D98"/>
    <w:rsid w:val="003F3FD9"/>
    <w:rsid w:val="003F3FFB"/>
    <w:rsid w:val="003F4478"/>
    <w:rsid w:val="003F4CA6"/>
    <w:rsid w:val="003F505E"/>
    <w:rsid w:val="003F557B"/>
    <w:rsid w:val="003F5700"/>
    <w:rsid w:val="003F57C9"/>
    <w:rsid w:val="003F5E48"/>
    <w:rsid w:val="003F6144"/>
    <w:rsid w:val="003F6214"/>
    <w:rsid w:val="003F69E5"/>
    <w:rsid w:val="003F6BD6"/>
    <w:rsid w:val="003F7290"/>
    <w:rsid w:val="003F7586"/>
    <w:rsid w:val="003F75CC"/>
    <w:rsid w:val="003F769B"/>
    <w:rsid w:val="0040039F"/>
    <w:rsid w:val="004008A8"/>
    <w:rsid w:val="00400989"/>
    <w:rsid w:val="004009D3"/>
    <w:rsid w:val="00400E3C"/>
    <w:rsid w:val="004012E3"/>
    <w:rsid w:val="00401385"/>
    <w:rsid w:val="00401444"/>
    <w:rsid w:val="00401D3E"/>
    <w:rsid w:val="00401E8E"/>
    <w:rsid w:val="00401F8F"/>
    <w:rsid w:val="004020B7"/>
    <w:rsid w:val="00402837"/>
    <w:rsid w:val="00402A35"/>
    <w:rsid w:val="004034B2"/>
    <w:rsid w:val="00403C47"/>
    <w:rsid w:val="0040420D"/>
    <w:rsid w:val="004046D8"/>
    <w:rsid w:val="004047A7"/>
    <w:rsid w:val="004047E0"/>
    <w:rsid w:val="00404AE0"/>
    <w:rsid w:val="0040536B"/>
    <w:rsid w:val="004054C0"/>
    <w:rsid w:val="004057FE"/>
    <w:rsid w:val="00405823"/>
    <w:rsid w:val="004061FD"/>
    <w:rsid w:val="0040624A"/>
    <w:rsid w:val="004065BB"/>
    <w:rsid w:val="00406913"/>
    <w:rsid w:val="004069E9"/>
    <w:rsid w:val="00406C4A"/>
    <w:rsid w:val="004075F4"/>
    <w:rsid w:val="00407BE9"/>
    <w:rsid w:val="00407C9A"/>
    <w:rsid w:val="00407ECB"/>
    <w:rsid w:val="00410125"/>
    <w:rsid w:val="004107ED"/>
    <w:rsid w:val="004110FA"/>
    <w:rsid w:val="0041114B"/>
    <w:rsid w:val="004113F3"/>
    <w:rsid w:val="004115F4"/>
    <w:rsid w:val="004116CA"/>
    <w:rsid w:val="00411794"/>
    <w:rsid w:val="004118B0"/>
    <w:rsid w:val="004120D6"/>
    <w:rsid w:val="004123BC"/>
    <w:rsid w:val="0041241F"/>
    <w:rsid w:val="0041251F"/>
    <w:rsid w:val="00412BC7"/>
    <w:rsid w:val="00412E9F"/>
    <w:rsid w:val="004130F1"/>
    <w:rsid w:val="004130F4"/>
    <w:rsid w:val="00413815"/>
    <w:rsid w:val="004138F4"/>
    <w:rsid w:val="00413957"/>
    <w:rsid w:val="004139AD"/>
    <w:rsid w:val="00413B96"/>
    <w:rsid w:val="00413BC7"/>
    <w:rsid w:val="00414124"/>
    <w:rsid w:val="00414287"/>
    <w:rsid w:val="00414A9D"/>
    <w:rsid w:val="00414DBE"/>
    <w:rsid w:val="0041527B"/>
    <w:rsid w:val="004152C0"/>
    <w:rsid w:val="0041534A"/>
    <w:rsid w:val="004159C7"/>
    <w:rsid w:val="00415C46"/>
    <w:rsid w:val="00415C54"/>
    <w:rsid w:val="00415E7C"/>
    <w:rsid w:val="00415ECC"/>
    <w:rsid w:val="004161F3"/>
    <w:rsid w:val="004162D7"/>
    <w:rsid w:val="004169AC"/>
    <w:rsid w:val="00416FD9"/>
    <w:rsid w:val="00417708"/>
    <w:rsid w:val="004177C2"/>
    <w:rsid w:val="0041784B"/>
    <w:rsid w:val="00417A59"/>
    <w:rsid w:val="00417ADC"/>
    <w:rsid w:val="00417AF8"/>
    <w:rsid w:val="00417D1A"/>
    <w:rsid w:val="00417E24"/>
    <w:rsid w:val="00417E3A"/>
    <w:rsid w:val="00417E7D"/>
    <w:rsid w:val="00420185"/>
    <w:rsid w:val="004209B1"/>
    <w:rsid w:val="00420B3A"/>
    <w:rsid w:val="00420DCA"/>
    <w:rsid w:val="004212DF"/>
    <w:rsid w:val="00421961"/>
    <w:rsid w:val="00421AD0"/>
    <w:rsid w:val="00421B08"/>
    <w:rsid w:val="00421FFF"/>
    <w:rsid w:val="004223B2"/>
    <w:rsid w:val="00422B0A"/>
    <w:rsid w:val="00422D66"/>
    <w:rsid w:val="004231F5"/>
    <w:rsid w:val="00423652"/>
    <w:rsid w:val="00423A37"/>
    <w:rsid w:val="0042425A"/>
    <w:rsid w:val="004246BC"/>
    <w:rsid w:val="00424857"/>
    <w:rsid w:val="004249A7"/>
    <w:rsid w:val="00424AAC"/>
    <w:rsid w:val="00424FB9"/>
    <w:rsid w:val="00425375"/>
    <w:rsid w:val="0042546B"/>
    <w:rsid w:val="00425AC5"/>
    <w:rsid w:val="00425D78"/>
    <w:rsid w:val="00426213"/>
    <w:rsid w:val="004262F7"/>
    <w:rsid w:val="00426CBA"/>
    <w:rsid w:val="00426E8C"/>
    <w:rsid w:val="00426E90"/>
    <w:rsid w:val="00427287"/>
    <w:rsid w:val="00427457"/>
    <w:rsid w:val="004279F4"/>
    <w:rsid w:val="00427B29"/>
    <w:rsid w:val="00427EC2"/>
    <w:rsid w:val="00427EE9"/>
    <w:rsid w:val="0043073F"/>
    <w:rsid w:val="00430BCC"/>
    <w:rsid w:val="0043144A"/>
    <w:rsid w:val="004316B6"/>
    <w:rsid w:val="004318B7"/>
    <w:rsid w:val="004319C2"/>
    <w:rsid w:val="00432337"/>
    <w:rsid w:val="00432373"/>
    <w:rsid w:val="00432AAF"/>
    <w:rsid w:val="00432AB4"/>
    <w:rsid w:val="00432BAB"/>
    <w:rsid w:val="00432CBC"/>
    <w:rsid w:val="00432DDB"/>
    <w:rsid w:val="00432E08"/>
    <w:rsid w:val="00433537"/>
    <w:rsid w:val="00433B7E"/>
    <w:rsid w:val="00433BD4"/>
    <w:rsid w:val="00433E18"/>
    <w:rsid w:val="004341D1"/>
    <w:rsid w:val="00434385"/>
    <w:rsid w:val="004344F6"/>
    <w:rsid w:val="00434565"/>
    <w:rsid w:val="004350F5"/>
    <w:rsid w:val="00435872"/>
    <w:rsid w:val="00435B31"/>
    <w:rsid w:val="00435E4A"/>
    <w:rsid w:val="00435EA7"/>
    <w:rsid w:val="00436DF6"/>
    <w:rsid w:val="00436FEE"/>
    <w:rsid w:val="00436FF5"/>
    <w:rsid w:val="00437132"/>
    <w:rsid w:val="00437615"/>
    <w:rsid w:val="00437667"/>
    <w:rsid w:val="00437786"/>
    <w:rsid w:val="00437B0B"/>
    <w:rsid w:val="00437D93"/>
    <w:rsid w:val="00437FCD"/>
    <w:rsid w:val="00440246"/>
    <w:rsid w:val="004409B1"/>
    <w:rsid w:val="00440C52"/>
    <w:rsid w:val="00440FBF"/>
    <w:rsid w:val="004410E1"/>
    <w:rsid w:val="004411A5"/>
    <w:rsid w:val="0044132E"/>
    <w:rsid w:val="00441458"/>
    <w:rsid w:val="004417F9"/>
    <w:rsid w:val="00441ACE"/>
    <w:rsid w:val="00441D7E"/>
    <w:rsid w:val="0044206C"/>
    <w:rsid w:val="00442A37"/>
    <w:rsid w:val="00442F9D"/>
    <w:rsid w:val="00443539"/>
    <w:rsid w:val="00443600"/>
    <w:rsid w:val="004440D9"/>
    <w:rsid w:val="00444236"/>
    <w:rsid w:val="00444568"/>
    <w:rsid w:val="004447BA"/>
    <w:rsid w:val="0044480C"/>
    <w:rsid w:val="00444DFF"/>
    <w:rsid w:val="00444E36"/>
    <w:rsid w:val="00444FDF"/>
    <w:rsid w:val="00445252"/>
    <w:rsid w:val="00445517"/>
    <w:rsid w:val="00445C22"/>
    <w:rsid w:val="00445FED"/>
    <w:rsid w:val="0044602F"/>
    <w:rsid w:val="00446539"/>
    <w:rsid w:val="00446AAC"/>
    <w:rsid w:val="0044705A"/>
    <w:rsid w:val="0044731A"/>
    <w:rsid w:val="00447424"/>
    <w:rsid w:val="00447972"/>
    <w:rsid w:val="00447E84"/>
    <w:rsid w:val="00450789"/>
    <w:rsid w:val="00450850"/>
    <w:rsid w:val="00450FFF"/>
    <w:rsid w:val="0045126D"/>
    <w:rsid w:val="004514D5"/>
    <w:rsid w:val="00451536"/>
    <w:rsid w:val="004516CA"/>
    <w:rsid w:val="00451AC1"/>
    <w:rsid w:val="00451BCD"/>
    <w:rsid w:val="00451C0C"/>
    <w:rsid w:val="00451CA3"/>
    <w:rsid w:val="00451D11"/>
    <w:rsid w:val="00452223"/>
    <w:rsid w:val="004522E9"/>
    <w:rsid w:val="004524B9"/>
    <w:rsid w:val="00452854"/>
    <w:rsid w:val="00452CD2"/>
    <w:rsid w:val="00453321"/>
    <w:rsid w:val="004534D3"/>
    <w:rsid w:val="004536C7"/>
    <w:rsid w:val="0045379B"/>
    <w:rsid w:val="004537E6"/>
    <w:rsid w:val="0045398A"/>
    <w:rsid w:val="004539F3"/>
    <w:rsid w:val="00453DCE"/>
    <w:rsid w:val="0045456A"/>
    <w:rsid w:val="004546AB"/>
    <w:rsid w:val="00454E4E"/>
    <w:rsid w:val="004550B1"/>
    <w:rsid w:val="004550E2"/>
    <w:rsid w:val="004550F1"/>
    <w:rsid w:val="004552E1"/>
    <w:rsid w:val="004557F1"/>
    <w:rsid w:val="004558AA"/>
    <w:rsid w:val="00455CF7"/>
    <w:rsid w:val="00455D14"/>
    <w:rsid w:val="00456540"/>
    <w:rsid w:val="0045654C"/>
    <w:rsid w:val="004565E5"/>
    <w:rsid w:val="004566C9"/>
    <w:rsid w:val="00456A47"/>
    <w:rsid w:val="00456A67"/>
    <w:rsid w:val="00456BEF"/>
    <w:rsid w:val="00456C5D"/>
    <w:rsid w:val="00456C6F"/>
    <w:rsid w:val="00457159"/>
    <w:rsid w:val="00457265"/>
    <w:rsid w:val="00457322"/>
    <w:rsid w:val="004573FE"/>
    <w:rsid w:val="00457582"/>
    <w:rsid w:val="00457A3D"/>
    <w:rsid w:val="00457E0B"/>
    <w:rsid w:val="004606CC"/>
    <w:rsid w:val="00460DC0"/>
    <w:rsid w:val="00461138"/>
    <w:rsid w:val="0046121B"/>
    <w:rsid w:val="00461548"/>
    <w:rsid w:val="00461791"/>
    <w:rsid w:val="0046179B"/>
    <w:rsid w:val="00461971"/>
    <w:rsid w:val="00461B16"/>
    <w:rsid w:val="00461B47"/>
    <w:rsid w:val="00461D90"/>
    <w:rsid w:val="00461FF4"/>
    <w:rsid w:val="0046222D"/>
    <w:rsid w:val="004624F2"/>
    <w:rsid w:val="004626EE"/>
    <w:rsid w:val="00462704"/>
    <w:rsid w:val="00462719"/>
    <w:rsid w:val="004628FD"/>
    <w:rsid w:val="00462957"/>
    <w:rsid w:val="00462B7A"/>
    <w:rsid w:val="00462C06"/>
    <w:rsid w:val="00462E46"/>
    <w:rsid w:val="00462FE2"/>
    <w:rsid w:val="00463077"/>
    <w:rsid w:val="004630BB"/>
    <w:rsid w:val="00463A24"/>
    <w:rsid w:val="004640A5"/>
    <w:rsid w:val="00464353"/>
    <w:rsid w:val="00464F7A"/>
    <w:rsid w:val="004654FF"/>
    <w:rsid w:val="004656AB"/>
    <w:rsid w:val="0046596A"/>
    <w:rsid w:val="00465E30"/>
    <w:rsid w:val="00466039"/>
    <w:rsid w:val="004661A3"/>
    <w:rsid w:val="004661CD"/>
    <w:rsid w:val="004664B5"/>
    <w:rsid w:val="0046666E"/>
    <w:rsid w:val="00466D65"/>
    <w:rsid w:val="004673C9"/>
    <w:rsid w:val="004674FC"/>
    <w:rsid w:val="00467515"/>
    <w:rsid w:val="00467784"/>
    <w:rsid w:val="004677A9"/>
    <w:rsid w:val="004678F8"/>
    <w:rsid w:val="00467C98"/>
    <w:rsid w:val="00470291"/>
    <w:rsid w:val="00470A9A"/>
    <w:rsid w:val="00470B43"/>
    <w:rsid w:val="00470C2E"/>
    <w:rsid w:val="00470ECD"/>
    <w:rsid w:val="004711C9"/>
    <w:rsid w:val="004712E9"/>
    <w:rsid w:val="00471516"/>
    <w:rsid w:val="00471629"/>
    <w:rsid w:val="004719C3"/>
    <w:rsid w:val="00471DCF"/>
    <w:rsid w:val="00471E6F"/>
    <w:rsid w:val="004722BB"/>
    <w:rsid w:val="0047256C"/>
    <w:rsid w:val="004726B3"/>
    <w:rsid w:val="00473041"/>
    <w:rsid w:val="00473248"/>
    <w:rsid w:val="004733F0"/>
    <w:rsid w:val="00473628"/>
    <w:rsid w:val="004736EA"/>
    <w:rsid w:val="00473805"/>
    <w:rsid w:val="00473927"/>
    <w:rsid w:val="004739C4"/>
    <w:rsid w:val="00473A06"/>
    <w:rsid w:val="00473DEF"/>
    <w:rsid w:val="00473FB1"/>
    <w:rsid w:val="00474098"/>
    <w:rsid w:val="004743B6"/>
    <w:rsid w:val="00474C73"/>
    <w:rsid w:val="00474E64"/>
    <w:rsid w:val="00474F87"/>
    <w:rsid w:val="00475110"/>
    <w:rsid w:val="00475188"/>
    <w:rsid w:val="00475478"/>
    <w:rsid w:val="004755BA"/>
    <w:rsid w:val="00475766"/>
    <w:rsid w:val="00475AA9"/>
    <w:rsid w:val="00475CE6"/>
    <w:rsid w:val="004761AD"/>
    <w:rsid w:val="00476237"/>
    <w:rsid w:val="00476253"/>
    <w:rsid w:val="00477031"/>
    <w:rsid w:val="00477668"/>
    <w:rsid w:val="00477E2A"/>
    <w:rsid w:val="00480120"/>
    <w:rsid w:val="0048018B"/>
    <w:rsid w:val="0048083A"/>
    <w:rsid w:val="00480C15"/>
    <w:rsid w:val="0048105A"/>
    <w:rsid w:val="004813E8"/>
    <w:rsid w:val="00481680"/>
    <w:rsid w:val="00481956"/>
    <w:rsid w:val="00481C7B"/>
    <w:rsid w:val="00482A44"/>
    <w:rsid w:val="00482ECD"/>
    <w:rsid w:val="004832F8"/>
    <w:rsid w:val="0048343B"/>
    <w:rsid w:val="004834DA"/>
    <w:rsid w:val="004836FC"/>
    <w:rsid w:val="004838AA"/>
    <w:rsid w:val="00483985"/>
    <w:rsid w:val="004839AA"/>
    <w:rsid w:val="00483A8D"/>
    <w:rsid w:val="00483C63"/>
    <w:rsid w:val="0048400A"/>
    <w:rsid w:val="00484A83"/>
    <w:rsid w:val="004851E5"/>
    <w:rsid w:val="004853F1"/>
    <w:rsid w:val="004854BD"/>
    <w:rsid w:val="00485885"/>
    <w:rsid w:val="00485E62"/>
    <w:rsid w:val="00485F66"/>
    <w:rsid w:val="00486086"/>
    <w:rsid w:val="004860C6"/>
    <w:rsid w:val="004867C8"/>
    <w:rsid w:val="00486860"/>
    <w:rsid w:val="00486AB1"/>
    <w:rsid w:val="0048713E"/>
    <w:rsid w:val="00487B59"/>
    <w:rsid w:val="00487D94"/>
    <w:rsid w:val="00490074"/>
    <w:rsid w:val="0049028B"/>
    <w:rsid w:val="004903AA"/>
    <w:rsid w:val="00490464"/>
    <w:rsid w:val="00490729"/>
    <w:rsid w:val="00490B93"/>
    <w:rsid w:val="00490BDB"/>
    <w:rsid w:val="00490C1C"/>
    <w:rsid w:val="00490D42"/>
    <w:rsid w:val="00491305"/>
    <w:rsid w:val="0049135C"/>
    <w:rsid w:val="004917AD"/>
    <w:rsid w:val="00491E8F"/>
    <w:rsid w:val="004928DF"/>
    <w:rsid w:val="00492B2E"/>
    <w:rsid w:val="00493256"/>
    <w:rsid w:val="00493543"/>
    <w:rsid w:val="00493D92"/>
    <w:rsid w:val="00493E0B"/>
    <w:rsid w:val="0049401A"/>
    <w:rsid w:val="004945B8"/>
    <w:rsid w:val="0049491C"/>
    <w:rsid w:val="00494B31"/>
    <w:rsid w:val="00494B4D"/>
    <w:rsid w:val="00494CD6"/>
    <w:rsid w:val="00495279"/>
    <w:rsid w:val="004952DB"/>
    <w:rsid w:val="0049564B"/>
    <w:rsid w:val="00495719"/>
    <w:rsid w:val="00495C62"/>
    <w:rsid w:val="00495DEF"/>
    <w:rsid w:val="00496328"/>
    <w:rsid w:val="00496564"/>
    <w:rsid w:val="004965FF"/>
    <w:rsid w:val="00496625"/>
    <w:rsid w:val="00497B7D"/>
    <w:rsid w:val="00497BEE"/>
    <w:rsid w:val="00497CF5"/>
    <w:rsid w:val="00497E84"/>
    <w:rsid w:val="00497ED1"/>
    <w:rsid w:val="004A057A"/>
    <w:rsid w:val="004A0696"/>
    <w:rsid w:val="004A0A02"/>
    <w:rsid w:val="004A0EE0"/>
    <w:rsid w:val="004A0EF4"/>
    <w:rsid w:val="004A12F7"/>
    <w:rsid w:val="004A1423"/>
    <w:rsid w:val="004A1611"/>
    <w:rsid w:val="004A1700"/>
    <w:rsid w:val="004A1FED"/>
    <w:rsid w:val="004A23FE"/>
    <w:rsid w:val="004A254B"/>
    <w:rsid w:val="004A2674"/>
    <w:rsid w:val="004A297C"/>
    <w:rsid w:val="004A2E8B"/>
    <w:rsid w:val="004A35F9"/>
    <w:rsid w:val="004A3868"/>
    <w:rsid w:val="004A391E"/>
    <w:rsid w:val="004A3F45"/>
    <w:rsid w:val="004A4045"/>
    <w:rsid w:val="004A4410"/>
    <w:rsid w:val="004A4938"/>
    <w:rsid w:val="004A4E38"/>
    <w:rsid w:val="004A50DD"/>
    <w:rsid w:val="004A515D"/>
    <w:rsid w:val="004A5165"/>
    <w:rsid w:val="004A52E4"/>
    <w:rsid w:val="004A53EB"/>
    <w:rsid w:val="004A5460"/>
    <w:rsid w:val="004A5A6B"/>
    <w:rsid w:val="004A5EF7"/>
    <w:rsid w:val="004A5F50"/>
    <w:rsid w:val="004A6294"/>
    <w:rsid w:val="004A62B4"/>
    <w:rsid w:val="004A6EE8"/>
    <w:rsid w:val="004A7055"/>
    <w:rsid w:val="004A778A"/>
    <w:rsid w:val="004A7977"/>
    <w:rsid w:val="004A7ACB"/>
    <w:rsid w:val="004A7D61"/>
    <w:rsid w:val="004A7F35"/>
    <w:rsid w:val="004B023D"/>
    <w:rsid w:val="004B060F"/>
    <w:rsid w:val="004B061D"/>
    <w:rsid w:val="004B06F9"/>
    <w:rsid w:val="004B0BDB"/>
    <w:rsid w:val="004B0CFF"/>
    <w:rsid w:val="004B0E7B"/>
    <w:rsid w:val="004B0FE3"/>
    <w:rsid w:val="004B13CB"/>
    <w:rsid w:val="004B19DB"/>
    <w:rsid w:val="004B1C1C"/>
    <w:rsid w:val="004B202B"/>
    <w:rsid w:val="004B2657"/>
    <w:rsid w:val="004B27C1"/>
    <w:rsid w:val="004B29CE"/>
    <w:rsid w:val="004B2F17"/>
    <w:rsid w:val="004B30A4"/>
    <w:rsid w:val="004B32BA"/>
    <w:rsid w:val="004B3429"/>
    <w:rsid w:val="004B3477"/>
    <w:rsid w:val="004B3AE1"/>
    <w:rsid w:val="004B3DEA"/>
    <w:rsid w:val="004B42C0"/>
    <w:rsid w:val="004B45F0"/>
    <w:rsid w:val="004B56CF"/>
    <w:rsid w:val="004B5737"/>
    <w:rsid w:val="004B5A90"/>
    <w:rsid w:val="004B5C79"/>
    <w:rsid w:val="004B5C87"/>
    <w:rsid w:val="004B602C"/>
    <w:rsid w:val="004B64E9"/>
    <w:rsid w:val="004B6917"/>
    <w:rsid w:val="004B6A5A"/>
    <w:rsid w:val="004B6D28"/>
    <w:rsid w:val="004B6DD0"/>
    <w:rsid w:val="004B6EEE"/>
    <w:rsid w:val="004B6F7E"/>
    <w:rsid w:val="004B7596"/>
    <w:rsid w:val="004B7648"/>
    <w:rsid w:val="004B7712"/>
    <w:rsid w:val="004B7A6D"/>
    <w:rsid w:val="004B7FC2"/>
    <w:rsid w:val="004C0200"/>
    <w:rsid w:val="004C022F"/>
    <w:rsid w:val="004C0718"/>
    <w:rsid w:val="004C07BB"/>
    <w:rsid w:val="004C1894"/>
    <w:rsid w:val="004C250E"/>
    <w:rsid w:val="004C2930"/>
    <w:rsid w:val="004C38F0"/>
    <w:rsid w:val="004C3945"/>
    <w:rsid w:val="004C3E27"/>
    <w:rsid w:val="004C3FF0"/>
    <w:rsid w:val="004C453A"/>
    <w:rsid w:val="004C488D"/>
    <w:rsid w:val="004C4AE8"/>
    <w:rsid w:val="004C5264"/>
    <w:rsid w:val="004C65C0"/>
    <w:rsid w:val="004C6AA6"/>
    <w:rsid w:val="004C6B93"/>
    <w:rsid w:val="004C72B6"/>
    <w:rsid w:val="004C7991"/>
    <w:rsid w:val="004C7C65"/>
    <w:rsid w:val="004C7DDC"/>
    <w:rsid w:val="004D0094"/>
    <w:rsid w:val="004D0173"/>
    <w:rsid w:val="004D03FA"/>
    <w:rsid w:val="004D042C"/>
    <w:rsid w:val="004D08B3"/>
    <w:rsid w:val="004D09D3"/>
    <w:rsid w:val="004D0F3B"/>
    <w:rsid w:val="004D11AE"/>
    <w:rsid w:val="004D1284"/>
    <w:rsid w:val="004D12FF"/>
    <w:rsid w:val="004D15AB"/>
    <w:rsid w:val="004D16A1"/>
    <w:rsid w:val="004D1882"/>
    <w:rsid w:val="004D2059"/>
    <w:rsid w:val="004D2068"/>
    <w:rsid w:val="004D2387"/>
    <w:rsid w:val="004D2641"/>
    <w:rsid w:val="004D273F"/>
    <w:rsid w:val="004D2D3B"/>
    <w:rsid w:val="004D2F6E"/>
    <w:rsid w:val="004D33D5"/>
    <w:rsid w:val="004D367E"/>
    <w:rsid w:val="004D38F7"/>
    <w:rsid w:val="004D39AE"/>
    <w:rsid w:val="004D3A8D"/>
    <w:rsid w:val="004D4046"/>
    <w:rsid w:val="004D41BB"/>
    <w:rsid w:val="004D4862"/>
    <w:rsid w:val="004D4989"/>
    <w:rsid w:val="004D4B9B"/>
    <w:rsid w:val="004D4D50"/>
    <w:rsid w:val="004D505D"/>
    <w:rsid w:val="004D529C"/>
    <w:rsid w:val="004D54B0"/>
    <w:rsid w:val="004D5808"/>
    <w:rsid w:val="004D59EF"/>
    <w:rsid w:val="004D5CA8"/>
    <w:rsid w:val="004D6143"/>
    <w:rsid w:val="004D70E0"/>
    <w:rsid w:val="004D74EC"/>
    <w:rsid w:val="004D756D"/>
    <w:rsid w:val="004D7637"/>
    <w:rsid w:val="004D7AA6"/>
    <w:rsid w:val="004D7B0B"/>
    <w:rsid w:val="004D7D03"/>
    <w:rsid w:val="004D7E84"/>
    <w:rsid w:val="004D7F11"/>
    <w:rsid w:val="004E00C3"/>
    <w:rsid w:val="004E0313"/>
    <w:rsid w:val="004E0377"/>
    <w:rsid w:val="004E03DD"/>
    <w:rsid w:val="004E05DF"/>
    <w:rsid w:val="004E063E"/>
    <w:rsid w:val="004E0A53"/>
    <w:rsid w:val="004E0CEF"/>
    <w:rsid w:val="004E12F4"/>
    <w:rsid w:val="004E1A26"/>
    <w:rsid w:val="004E1C25"/>
    <w:rsid w:val="004E1CA6"/>
    <w:rsid w:val="004E209F"/>
    <w:rsid w:val="004E23D4"/>
    <w:rsid w:val="004E2556"/>
    <w:rsid w:val="004E26E8"/>
    <w:rsid w:val="004E2DD7"/>
    <w:rsid w:val="004E2E8B"/>
    <w:rsid w:val="004E2F98"/>
    <w:rsid w:val="004E2FD0"/>
    <w:rsid w:val="004E3624"/>
    <w:rsid w:val="004E3DBF"/>
    <w:rsid w:val="004E4158"/>
    <w:rsid w:val="004E4BBB"/>
    <w:rsid w:val="004E4F23"/>
    <w:rsid w:val="004E511A"/>
    <w:rsid w:val="004E53D3"/>
    <w:rsid w:val="004E594E"/>
    <w:rsid w:val="004E5CB6"/>
    <w:rsid w:val="004E5F3D"/>
    <w:rsid w:val="004E5FAA"/>
    <w:rsid w:val="004E6139"/>
    <w:rsid w:val="004E680E"/>
    <w:rsid w:val="004E6AE3"/>
    <w:rsid w:val="004E701C"/>
    <w:rsid w:val="004E725B"/>
    <w:rsid w:val="004E7419"/>
    <w:rsid w:val="004E77AE"/>
    <w:rsid w:val="004E7C2F"/>
    <w:rsid w:val="004E7DE0"/>
    <w:rsid w:val="004E7E09"/>
    <w:rsid w:val="004F015C"/>
    <w:rsid w:val="004F028C"/>
    <w:rsid w:val="004F030D"/>
    <w:rsid w:val="004F0661"/>
    <w:rsid w:val="004F0669"/>
    <w:rsid w:val="004F0A30"/>
    <w:rsid w:val="004F0FCE"/>
    <w:rsid w:val="004F1017"/>
    <w:rsid w:val="004F10AC"/>
    <w:rsid w:val="004F10D1"/>
    <w:rsid w:val="004F1225"/>
    <w:rsid w:val="004F1447"/>
    <w:rsid w:val="004F1CB4"/>
    <w:rsid w:val="004F1D0C"/>
    <w:rsid w:val="004F207A"/>
    <w:rsid w:val="004F20F3"/>
    <w:rsid w:val="004F2425"/>
    <w:rsid w:val="004F2555"/>
    <w:rsid w:val="004F2F09"/>
    <w:rsid w:val="004F31A5"/>
    <w:rsid w:val="004F3623"/>
    <w:rsid w:val="004F37A6"/>
    <w:rsid w:val="004F3946"/>
    <w:rsid w:val="004F3CDF"/>
    <w:rsid w:val="004F4189"/>
    <w:rsid w:val="004F4BD8"/>
    <w:rsid w:val="004F4C5E"/>
    <w:rsid w:val="004F4D71"/>
    <w:rsid w:val="004F4DE5"/>
    <w:rsid w:val="004F4EC4"/>
    <w:rsid w:val="004F517F"/>
    <w:rsid w:val="004F5286"/>
    <w:rsid w:val="004F53EF"/>
    <w:rsid w:val="004F54D6"/>
    <w:rsid w:val="004F5812"/>
    <w:rsid w:val="004F5836"/>
    <w:rsid w:val="004F5883"/>
    <w:rsid w:val="004F5A71"/>
    <w:rsid w:val="004F5B1C"/>
    <w:rsid w:val="004F5F8F"/>
    <w:rsid w:val="004F6516"/>
    <w:rsid w:val="004F65B7"/>
    <w:rsid w:val="004F6672"/>
    <w:rsid w:val="004F6820"/>
    <w:rsid w:val="004F770C"/>
    <w:rsid w:val="004F7999"/>
    <w:rsid w:val="005000C0"/>
    <w:rsid w:val="005000CF"/>
    <w:rsid w:val="005001C1"/>
    <w:rsid w:val="005008D0"/>
    <w:rsid w:val="005009FD"/>
    <w:rsid w:val="00500E03"/>
    <w:rsid w:val="00501304"/>
    <w:rsid w:val="005013B4"/>
    <w:rsid w:val="00501470"/>
    <w:rsid w:val="00501513"/>
    <w:rsid w:val="005019B2"/>
    <w:rsid w:val="00501A56"/>
    <w:rsid w:val="0050249A"/>
    <w:rsid w:val="005024AC"/>
    <w:rsid w:val="00502A2E"/>
    <w:rsid w:val="00502A64"/>
    <w:rsid w:val="005032FC"/>
    <w:rsid w:val="0050330F"/>
    <w:rsid w:val="00503D7E"/>
    <w:rsid w:val="0050438D"/>
    <w:rsid w:val="005054A5"/>
    <w:rsid w:val="00505716"/>
    <w:rsid w:val="005057B4"/>
    <w:rsid w:val="00505B4F"/>
    <w:rsid w:val="00505E13"/>
    <w:rsid w:val="005060C7"/>
    <w:rsid w:val="005060E1"/>
    <w:rsid w:val="00506204"/>
    <w:rsid w:val="00506847"/>
    <w:rsid w:val="005071E2"/>
    <w:rsid w:val="00507485"/>
    <w:rsid w:val="005075A7"/>
    <w:rsid w:val="005076FE"/>
    <w:rsid w:val="005077C2"/>
    <w:rsid w:val="005078B9"/>
    <w:rsid w:val="00507B31"/>
    <w:rsid w:val="00507CC9"/>
    <w:rsid w:val="00507D6D"/>
    <w:rsid w:val="00507FC0"/>
    <w:rsid w:val="0051002C"/>
    <w:rsid w:val="00510626"/>
    <w:rsid w:val="00510836"/>
    <w:rsid w:val="00510D4D"/>
    <w:rsid w:val="005110F1"/>
    <w:rsid w:val="005111BA"/>
    <w:rsid w:val="00511520"/>
    <w:rsid w:val="00511623"/>
    <w:rsid w:val="00512069"/>
    <w:rsid w:val="00512179"/>
    <w:rsid w:val="0051223D"/>
    <w:rsid w:val="00512502"/>
    <w:rsid w:val="00512512"/>
    <w:rsid w:val="00512811"/>
    <w:rsid w:val="005133E0"/>
    <w:rsid w:val="005135FF"/>
    <w:rsid w:val="00513E1D"/>
    <w:rsid w:val="00514659"/>
    <w:rsid w:val="00514698"/>
    <w:rsid w:val="00514859"/>
    <w:rsid w:val="00514A85"/>
    <w:rsid w:val="00514ACA"/>
    <w:rsid w:val="00514F87"/>
    <w:rsid w:val="0051589B"/>
    <w:rsid w:val="00515F1E"/>
    <w:rsid w:val="005163A8"/>
    <w:rsid w:val="0051663A"/>
    <w:rsid w:val="00516715"/>
    <w:rsid w:val="00516746"/>
    <w:rsid w:val="00516885"/>
    <w:rsid w:val="005173D5"/>
    <w:rsid w:val="00517832"/>
    <w:rsid w:val="00517CA6"/>
    <w:rsid w:val="00517D08"/>
    <w:rsid w:val="00517E01"/>
    <w:rsid w:val="00517FE0"/>
    <w:rsid w:val="00520230"/>
    <w:rsid w:val="00520945"/>
    <w:rsid w:val="00521166"/>
    <w:rsid w:val="005214EF"/>
    <w:rsid w:val="0052170B"/>
    <w:rsid w:val="005217EF"/>
    <w:rsid w:val="00522249"/>
    <w:rsid w:val="0052224A"/>
    <w:rsid w:val="00522A84"/>
    <w:rsid w:val="0052310A"/>
    <w:rsid w:val="005236A0"/>
    <w:rsid w:val="005237A7"/>
    <w:rsid w:val="00523998"/>
    <w:rsid w:val="00523BBA"/>
    <w:rsid w:val="00523BC0"/>
    <w:rsid w:val="00524BDB"/>
    <w:rsid w:val="00525045"/>
    <w:rsid w:val="005251E8"/>
    <w:rsid w:val="005252BC"/>
    <w:rsid w:val="00525A48"/>
    <w:rsid w:val="00525BCA"/>
    <w:rsid w:val="005266F4"/>
    <w:rsid w:val="005267D2"/>
    <w:rsid w:val="0052693D"/>
    <w:rsid w:val="00526C1C"/>
    <w:rsid w:val="005270A3"/>
    <w:rsid w:val="005270C2"/>
    <w:rsid w:val="00527A13"/>
    <w:rsid w:val="00527B6E"/>
    <w:rsid w:val="00527CA9"/>
    <w:rsid w:val="00527D3A"/>
    <w:rsid w:val="0053028C"/>
    <w:rsid w:val="00530873"/>
    <w:rsid w:val="00530939"/>
    <w:rsid w:val="00530963"/>
    <w:rsid w:val="00530B42"/>
    <w:rsid w:val="005310E5"/>
    <w:rsid w:val="005312BE"/>
    <w:rsid w:val="00531894"/>
    <w:rsid w:val="00531B89"/>
    <w:rsid w:val="00531CD1"/>
    <w:rsid w:val="00531DE1"/>
    <w:rsid w:val="00531E36"/>
    <w:rsid w:val="00531FCB"/>
    <w:rsid w:val="00532365"/>
    <w:rsid w:val="0053258E"/>
    <w:rsid w:val="00532A5A"/>
    <w:rsid w:val="00532D35"/>
    <w:rsid w:val="00533264"/>
    <w:rsid w:val="005334CD"/>
    <w:rsid w:val="00533DB3"/>
    <w:rsid w:val="00534956"/>
    <w:rsid w:val="00534AAC"/>
    <w:rsid w:val="00534F37"/>
    <w:rsid w:val="0053519E"/>
    <w:rsid w:val="0053591C"/>
    <w:rsid w:val="00535CBF"/>
    <w:rsid w:val="00535D3F"/>
    <w:rsid w:val="00536053"/>
    <w:rsid w:val="005360F7"/>
    <w:rsid w:val="00536353"/>
    <w:rsid w:val="005367ED"/>
    <w:rsid w:val="0053686D"/>
    <w:rsid w:val="0053686F"/>
    <w:rsid w:val="00536973"/>
    <w:rsid w:val="00536FE7"/>
    <w:rsid w:val="005376EE"/>
    <w:rsid w:val="005400B6"/>
    <w:rsid w:val="005406A6"/>
    <w:rsid w:val="005409D4"/>
    <w:rsid w:val="00540C70"/>
    <w:rsid w:val="0054139E"/>
    <w:rsid w:val="005413B7"/>
    <w:rsid w:val="00541C39"/>
    <w:rsid w:val="0054205E"/>
    <w:rsid w:val="00542260"/>
    <w:rsid w:val="005425E9"/>
    <w:rsid w:val="005429D6"/>
    <w:rsid w:val="00542BA0"/>
    <w:rsid w:val="00542D14"/>
    <w:rsid w:val="00542D30"/>
    <w:rsid w:val="005435AE"/>
    <w:rsid w:val="00543676"/>
    <w:rsid w:val="0054375F"/>
    <w:rsid w:val="00544070"/>
    <w:rsid w:val="00544332"/>
    <w:rsid w:val="00544441"/>
    <w:rsid w:val="005448EA"/>
    <w:rsid w:val="00544A56"/>
    <w:rsid w:val="00544EE3"/>
    <w:rsid w:val="005452FD"/>
    <w:rsid w:val="005453C4"/>
    <w:rsid w:val="005459AB"/>
    <w:rsid w:val="00545B5A"/>
    <w:rsid w:val="00545DA9"/>
    <w:rsid w:val="00546096"/>
    <w:rsid w:val="0054628F"/>
    <w:rsid w:val="005464B5"/>
    <w:rsid w:val="005467C4"/>
    <w:rsid w:val="00546906"/>
    <w:rsid w:val="00546C4E"/>
    <w:rsid w:val="005472E7"/>
    <w:rsid w:val="0054757A"/>
    <w:rsid w:val="00547737"/>
    <w:rsid w:val="00547A9B"/>
    <w:rsid w:val="00547CC9"/>
    <w:rsid w:val="005500F0"/>
    <w:rsid w:val="0055014E"/>
    <w:rsid w:val="00550641"/>
    <w:rsid w:val="0055087C"/>
    <w:rsid w:val="005508E3"/>
    <w:rsid w:val="00550985"/>
    <w:rsid w:val="00550A32"/>
    <w:rsid w:val="00550B66"/>
    <w:rsid w:val="00550FDB"/>
    <w:rsid w:val="00551022"/>
    <w:rsid w:val="00551408"/>
    <w:rsid w:val="00551856"/>
    <w:rsid w:val="005518BA"/>
    <w:rsid w:val="00551A06"/>
    <w:rsid w:val="00552302"/>
    <w:rsid w:val="005525E3"/>
    <w:rsid w:val="00552DD1"/>
    <w:rsid w:val="00552EE7"/>
    <w:rsid w:val="005530D4"/>
    <w:rsid w:val="00553C2E"/>
    <w:rsid w:val="0055447E"/>
    <w:rsid w:val="00554492"/>
    <w:rsid w:val="005544DE"/>
    <w:rsid w:val="0055461D"/>
    <w:rsid w:val="00554621"/>
    <w:rsid w:val="0055476C"/>
    <w:rsid w:val="00555072"/>
    <w:rsid w:val="0055515A"/>
    <w:rsid w:val="00555347"/>
    <w:rsid w:val="00555537"/>
    <w:rsid w:val="00556179"/>
    <w:rsid w:val="005564D9"/>
    <w:rsid w:val="005565DB"/>
    <w:rsid w:val="0055673E"/>
    <w:rsid w:val="00556809"/>
    <w:rsid w:val="0055694D"/>
    <w:rsid w:val="00556D6D"/>
    <w:rsid w:val="00556E90"/>
    <w:rsid w:val="00557403"/>
    <w:rsid w:val="00557577"/>
    <w:rsid w:val="005576D0"/>
    <w:rsid w:val="0055780E"/>
    <w:rsid w:val="00557D93"/>
    <w:rsid w:val="00557E59"/>
    <w:rsid w:val="00557FC5"/>
    <w:rsid w:val="00557FEC"/>
    <w:rsid w:val="0056018B"/>
    <w:rsid w:val="00560871"/>
    <w:rsid w:val="005608AF"/>
    <w:rsid w:val="00560F19"/>
    <w:rsid w:val="005614A1"/>
    <w:rsid w:val="005615FB"/>
    <w:rsid w:val="00561847"/>
    <w:rsid w:val="005619CC"/>
    <w:rsid w:val="00561C0D"/>
    <w:rsid w:val="00561D02"/>
    <w:rsid w:val="00561ED3"/>
    <w:rsid w:val="005621C7"/>
    <w:rsid w:val="005622B9"/>
    <w:rsid w:val="00562373"/>
    <w:rsid w:val="0056241B"/>
    <w:rsid w:val="00562A6C"/>
    <w:rsid w:val="00562B5B"/>
    <w:rsid w:val="00562DA0"/>
    <w:rsid w:val="00562EE1"/>
    <w:rsid w:val="00562FA1"/>
    <w:rsid w:val="00563481"/>
    <w:rsid w:val="00563B8A"/>
    <w:rsid w:val="00563E89"/>
    <w:rsid w:val="005641E6"/>
    <w:rsid w:val="0056445A"/>
    <w:rsid w:val="0056472A"/>
    <w:rsid w:val="0056474B"/>
    <w:rsid w:val="005652A6"/>
    <w:rsid w:val="005654AB"/>
    <w:rsid w:val="005655A2"/>
    <w:rsid w:val="00565838"/>
    <w:rsid w:val="0056588D"/>
    <w:rsid w:val="00565AA3"/>
    <w:rsid w:val="005664F1"/>
    <w:rsid w:val="005673C6"/>
    <w:rsid w:val="0056770B"/>
    <w:rsid w:val="0056780A"/>
    <w:rsid w:val="005679F3"/>
    <w:rsid w:val="00567AEB"/>
    <w:rsid w:val="00567E86"/>
    <w:rsid w:val="00567EF3"/>
    <w:rsid w:val="00570015"/>
    <w:rsid w:val="005700D5"/>
    <w:rsid w:val="0057011B"/>
    <w:rsid w:val="005703B3"/>
    <w:rsid w:val="00570D75"/>
    <w:rsid w:val="005711E4"/>
    <w:rsid w:val="005719E1"/>
    <w:rsid w:val="00571A3B"/>
    <w:rsid w:val="00571B0E"/>
    <w:rsid w:val="00571B61"/>
    <w:rsid w:val="00571B93"/>
    <w:rsid w:val="00571DFF"/>
    <w:rsid w:val="00571E6C"/>
    <w:rsid w:val="00571E86"/>
    <w:rsid w:val="0057209F"/>
    <w:rsid w:val="005722B1"/>
    <w:rsid w:val="00572307"/>
    <w:rsid w:val="005724A7"/>
    <w:rsid w:val="005724F7"/>
    <w:rsid w:val="00572605"/>
    <w:rsid w:val="00572876"/>
    <w:rsid w:val="00572DF9"/>
    <w:rsid w:val="00572E1C"/>
    <w:rsid w:val="00572EF5"/>
    <w:rsid w:val="005732D4"/>
    <w:rsid w:val="0057350F"/>
    <w:rsid w:val="00573723"/>
    <w:rsid w:val="00573AA9"/>
    <w:rsid w:val="00573AE8"/>
    <w:rsid w:val="00573AEA"/>
    <w:rsid w:val="00573D54"/>
    <w:rsid w:val="00573E14"/>
    <w:rsid w:val="00573E3B"/>
    <w:rsid w:val="00573E42"/>
    <w:rsid w:val="00574199"/>
    <w:rsid w:val="00574200"/>
    <w:rsid w:val="005748DD"/>
    <w:rsid w:val="00574A82"/>
    <w:rsid w:val="0057563E"/>
    <w:rsid w:val="00576339"/>
    <w:rsid w:val="005767CB"/>
    <w:rsid w:val="00576A7B"/>
    <w:rsid w:val="00576C22"/>
    <w:rsid w:val="005770A6"/>
    <w:rsid w:val="005772E9"/>
    <w:rsid w:val="00577909"/>
    <w:rsid w:val="00577ED3"/>
    <w:rsid w:val="00577F67"/>
    <w:rsid w:val="00580014"/>
    <w:rsid w:val="00580187"/>
    <w:rsid w:val="005803AA"/>
    <w:rsid w:val="005803E0"/>
    <w:rsid w:val="0058044E"/>
    <w:rsid w:val="00581437"/>
    <w:rsid w:val="00581466"/>
    <w:rsid w:val="005815A3"/>
    <w:rsid w:val="0058162B"/>
    <w:rsid w:val="005817C6"/>
    <w:rsid w:val="0058189B"/>
    <w:rsid w:val="00581B97"/>
    <w:rsid w:val="00581DDB"/>
    <w:rsid w:val="00582158"/>
    <w:rsid w:val="00582DAB"/>
    <w:rsid w:val="00583DD0"/>
    <w:rsid w:val="005840A7"/>
    <w:rsid w:val="005840B5"/>
    <w:rsid w:val="0058425E"/>
    <w:rsid w:val="00584353"/>
    <w:rsid w:val="005844BA"/>
    <w:rsid w:val="00584590"/>
    <w:rsid w:val="00584847"/>
    <w:rsid w:val="00584EC3"/>
    <w:rsid w:val="00585016"/>
    <w:rsid w:val="005850C6"/>
    <w:rsid w:val="00585123"/>
    <w:rsid w:val="005851D2"/>
    <w:rsid w:val="0058557E"/>
    <w:rsid w:val="00585598"/>
    <w:rsid w:val="00585DE0"/>
    <w:rsid w:val="00585FA2"/>
    <w:rsid w:val="0058609A"/>
    <w:rsid w:val="005866F4"/>
    <w:rsid w:val="00586723"/>
    <w:rsid w:val="00586850"/>
    <w:rsid w:val="00586C9F"/>
    <w:rsid w:val="0058764D"/>
    <w:rsid w:val="00587692"/>
    <w:rsid w:val="0058778F"/>
    <w:rsid w:val="0058789D"/>
    <w:rsid w:val="005878F1"/>
    <w:rsid w:val="005879A7"/>
    <w:rsid w:val="00587B5C"/>
    <w:rsid w:val="00587C07"/>
    <w:rsid w:val="00587F73"/>
    <w:rsid w:val="00590109"/>
    <w:rsid w:val="005903EB"/>
    <w:rsid w:val="00590682"/>
    <w:rsid w:val="005907D4"/>
    <w:rsid w:val="00590A32"/>
    <w:rsid w:val="0059142D"/>
    <w:rsid w:val="00591703"/>
    <w:rsid w:val="005919EE"/>
    <w:rsid w:val="00591C0F"/>
    <w:rsid w:val="00592054"/>
    <w:rsid w:val="005926A8"/>
    <w:rsid w:val="005926CF"/>
    <w:rsid w:val="0059271B"/>
    <w:rsid w:val="005928A9"/>
    <w:rsid w:val="005930DC"/>
    <w:rsid w:val="0059317B"/>
    <w:rsid w:val="00593190"/>
    <w:rsid w:val="0059324A"/>
    <w:rsid w:val="00593871"/>
    <w:rsid w:val="00593C26"/>
    <w:rsid w:val="00593DF2"/>
    <w:rsid w:val="00593F70"/>
    <w:rsid w:val="00594356"/>
    <w:rsid w:val="00594A83"/>
    <w:rsid w:val="00594E4C"/>
    <w:rsid w:val="005950D7"/>
    <w:rsid w:val="00595AD3"/>
    <w:rsid w:val="00595DA6"/>
    <w:rsid w:val="00595F6B"/>
    <w:rsid w:val="00595FAA"/>
    <w:rsid w:val="00596134"/>
    <w:rsid w:val="00596135"/>
    <w:rsid w:val="005961EE"/>
    <w:rsid w:val="00596373"/>
    <w:rsid w:val="0059638D"/>
    <w:rsid w:val="005963CD"/>
    <w:rsid w:val="00596691"/>
    <w:rsid w:val="005967E1"/>
    <w:rsid w:val="00596857"/>
    <w:rsid w:val="00596985"/>
    <w:rsid w:val="00596AAD"/>
    <w:rsid w:val="00596AE9"/>
    <w:rsid w:val="00596EAC"/>
    <w:rsid w:val="0059705D"/>
    <w:rsid w:val="0059717A"/>
    <w:rsid w:val="00597555"/>
    <w:rsid w:val="005975BE"/>
    <w:rsid w:val="005977CA"/>
    <w:rsid w:val="00597CB1"/>
    <w:rsid w:val="005A07E2"/>
    <w:rsid w:val="005A0858"/>
    <w:rsid w:val="005A088F"/>
    <w:rsid w:val="005A0941"/>
    <w:rsid w:val="005A0C95"/>
    <w:rsid w:val="005A0D12"/>
    <w:rsid w:val="005A17EC"/>
    <w:rsid w:val="005A19C1"/>
    <w:rsid w:val="005A2527"/>
    <w:rsid w:val="005A25BE"/>
    <w:rsid w:val="005A2A37"/>
    <w:rsid w:val="005A2ECA"/>
    <w:rsid w:val="005A3671"/>
    <w:rsid w:val="005A3680"/>
    <w:rsid w:val="005A368F"/>
    <w:rsid w:val="005A398B"/>
    <w:rsid w:val="005A3EB8"/>
    <w:rsid w:val="005A3FEB"/>
    <w:rsid w:val="005A42CD"/>
    <w:rsid w:val="005A46CE"/>
    <w:rsid w:val="005A474A"/>
    <w:rsid w:val="005A499F"/>
    <w:rsid w:val="005A4EA8"/>
    <w:rsid w:val="005A4EBE"/>
    <w:rsid w:val="005A5191"/>
    <w:rsid w:val="005A537B"/>
    <w:rsid w:val="005A5AE1"/>
    <w:rsid w:val="005A5F06"/>
    <w:rsid w:val="005A66A4"/>
    <w:rsid w:val="005A68BB"/>
    <w:rsid w:val="005A68D8"/>
    <w:rsid w:val="005A6CEC"/>
    <w:rsid w:val="005A708A"/>
    <w:rsid w:val="005A70C2"/>
    <w:rsid w:val="005A726F"/>
    <w:rsid w:val="005A7321"/>
    <w:rsid w:val="005A751E"/>
    <w:rsid w:val="005A77B0"/>
    <w:rsid w:val="005A7C65"/>
    <w:rsid w:val="005B0419"/>
    <w:rsid w:val="005B04D8"/>
    <w:rsid w:val="005B0721"/>
    <w:rsid w:val="005B0D16"/>
    <w:rsid w:val="005B0DD7"/>
    <w:rsid w:val="005B0FBE"/>
    <w:rsid w:val="005B111D"/>
    <w:rsid w:val="005B1263"/>
    <w:rsid w:val="005B12F9"/>
    <w:rsid w:val="005B136B"/>
    <w:rsid w:val="005B1374"/>
    <w:rsid w:val="005B15C2"/>
    <w:rsid w:val="005B15DB"/>
    <w:rsid w:val="005B17A6"/>
    <w:rsid w:val="005B18E3"/>
    <w:rsid w:val="005B1980"/>
    <w:rsid w:val="005B1EA7"/>
    <w:rsid w:val="005B1EDC"/>
    <w:rsid w:val="005B235A"/>
    <w:rsid w:val="005B278D"/>
    <w:rsid w:val="005B27DC"/>
    <w:rsid w:val="005B2A20"/>
    <w:rsid w:val="005B2AEC"/>
    <w:rsid w:val="005B2D7E"/>
    <w:rsid w:val="005B2ED8"/>
    <w:rsid w:val="005B30C1"/>
    <w:rsid w:val="005B3251"/>
    <w:rsid w:val="005B338F"/>
    <w:rsid w:val="005B3505"/>
    <w:rsid w:val="005B35D9"/>
    <w:rsid w:val="005B365F"/>
    <w:rsid w:val="005B394D"/>
    <w:rsid w:val="005B3F4F"/>
    <w:rsid w:val="005B4053"/>
    <w:rsid w:val="005B419C"/>
    <w:rsid w:val="005B4530"/>
    <w:rsid w:val="005B467C"/>
    <w:rsid w:val="005B474F"/>
    <w:rsid w:val="005B4A8B"/>
    <w:rsid w:val="005B4AFF"/>
    <w:rsid w:val="005B4DA0"/>
    <w:rsid w:val="005B4FC9"/>
    <w:rsid w:val="005B5035"/>
    <w:rsid w:val="005B52B9"/>
    <w:rsid w:val="005B5461"/>
    <w:rsid w:val="005B56F9"/>
    <w:rsid w:val="005B58AF"/>
    <w:rsid w:val="005B5C34"/>
    <w:rsid w:val="005B5C7D"/>
    <w:rsid w:val="005B656C"/>
    <w:rsid w:val="005B6F36"/>
    <w:rsid w:val="005B707F"/>
    <w:rsid w:val="005B757F"/>
    <w:rsid w:val="005B778D"/>
    <w:rsid w:val="005B77C2"/>
    <w:rsid w:val="005B77D6"/>
    <w:rsid w:val="005B7FA5"/>
    <w:rsid w:val="005C0115"/>
    <w:rsid w:val="005C0171"/>
    <w:rsid w:val="005C0326"/>
    <w:rsid w:val="005C0ABA"/>
    <w:rsid w:val="005C0AE0"/>
    <w:rsid w:val="005C0C4A"/>
    <w:rsid w:val="005C0E4E"/>
    <w:rsid w:val="005C1561"/>
    <w:rsid w:val="005C16A3"/>
    <w:rsid w:val="005C1B8F"/>
    <w:rsid w:val="005C1D18"/>
    <w:rsid w:val="005C200D"/>
    <w:rsid w:val="005C2106"/>
    <w:rsid w:val="005C2247"/>
    <w:rsid w:val="005C2473"/>
    <w:rsid w:val="005C2A60"/>
    <w:rsid w:val="005C2C62"/>
    <w:rsid w:val="005C2DCD"/>
    <w:rsid w:val="005C2EFB"/>
    <w:rsid w:val="005C2F0C"/>
    <w:rsid w:val="005C3A4F"/>
    <w:rsid w:val="005C41A0"/>
    <w:rsid w:val="005C474A"/>
    <w:rsid w:val="005C4867"/>
    <w:rsid w:val="005C4949"/>
    <w:rsid w:val="005C49AF"/>
    <w:rsid w:val="005C4A0C"/>
    <w:rsid w:val="005C4E8A"/>
    <w:rsid w:val="005C4E93"/>
    <w:rsid w:val="005C4ED1"/>
    <w:rsid w:val="005C5311"/>
    <w:rsid w:val="005C54B0"/>
    <w:rsid w:val="005C5908"/>
    <w:rsid w:val="005C5D2C"/>
    <w:rsid w:val="005C5F5E"/>
    <w:rsid w:val="005C663C"/>
    <w:rsid w:val="005C6799"/>
    <w:rsid w:val="005C69A2"/>
    <w:rsid w:val="005C6AEF"/>
    <w:rsid w:val="005C6BDC"/>
    <w:rsid w:val="005C6E85"/>
    <w:rsid w:val="005C6F1F"/>
    <w:rsid w:val="005C71B0"/>
    <w:rsid w:val="005C7267"/>
    <w:rsid w:val="005C79FF"/>
    <w:rsid w:val="005C7B9C"/>
    <w:rsid w:val="005C7E61"/>
    <w:rsid w:val="005D0220"/>
    <w:rsid w:val="005D02ED"/>
    <w:rsid w:val="005D08A9"/>
    <w:rsid w:val="005D0A10"/>
    <w:rsid w:val="005D0B34"/>
    <w:rsid w:val="005D0B4D"/>
    <w:rsid w:val="005D0CA8"/>
    <w:rsid w:val="005D1967"/>
    <w:rsid w:val="005D1973"/>
    <w:rsid w:val="005D1B4E"/>
    <w:rsid w:val="005D1F82"/>
    <w:rsid w:val="005D2A75"/>
    <w:rsid w:val="005D2BBF"/>
    <w:rsid w:val="005D2DD2"/>
    <w:rsid w:val="005D2E94"/>
    <w:rsid w:val="005D326F"/>
    <w:rsid w:val="005D3CCA"/>
    <w:rsid w:val="005D3CF7"/>
    <w:rsid w:val="005D4190"/>
    <w:rsid w:val="005D447B"/>
    <w:rsid w:val="005D49E4"/>
    <w:rsid w:val="005D4A0F"/>
    <w:rsid w:val="005D4EF3"/>
    <w:rsid w:val="005D5083"/>
    <w:rsid w:val="005D5394"/>
    <w:rsid w:val="005D5F49"/>
    <w:rsid w:val="005D651C"/>
    <w:rsid w:val="005D6610"/>
    <w:rsid w:val="005D6F5D"/>
    <w:rsid w:val="005D7058"/>
    <w:rsid w:val="005D749A"/>
    <w:rsid w:val="005D7889"/>
    <w:rsid w:val="005D7B23"/>
    <w:rsid w:val="005D7C6E"/>
    <w:rsid w:val="005E002F"/>
    <w:rsid w:val="005E019F"/>
    <w:rsid w:val="005E0424"/>
    <w:rsid w:val="005E0622"/>
    <w:rsid w:val="005E063A"/>
    <w:rsid w:val="005E0751"/>
    <w:rsid w:val="005E08E3"/>
    <w:rsid w:val="005E09D7"/>
    <w:rsid w:val="005E0C13"/>
    <w:rsid w:val="005E0F3A"/>
    <w:rsid w:val="005E1222"/>
    <w:rsid w:val="005E12A7"/>
    <w:rsid w:val="005E1363"/>
    <w:rsid w:val="005E17FE"/>
    <w:rsid w:val="005E1B36"/>
    <w:rsid w:val="005E1E62"/>
    <w:rsid w:val="005E225C"/>
    <w:rsid w:val="005E2610"/>
    <w:rsid w:val="005E2FBA"/>
    <w:rsid w:val="005E311E"/>
    <w:rsid w:val="005E31D7"/>
    <w:rsid w:val="005E32E4"/>
    <w:rsid w:val="005E34F9"/>
    <w:rsid w:val="005E36CA"/>
    <w:rsid w:val="005E37E4"/>
    <w:rsid w:val="005E3929"/>
    <w:rsid w:val="005E489F"/>
    <w:rsid w:val="005E53F0"/>
    <w:rsid w:val="005E58A2"/>
    <w:rsid w:val="005E5B4A"/>
    <w:rsid w:val="005E5F38"/>
    <w:rsid w:val="005E606D"/>
    <w:rsid w:val="005E6094"/>
    <w:rsid w:val="005E6259"/>
    <w:rsid w:val="005E6378"/>
    <w:rsid w:val="005E6471"/>
    <w:rsid w:val="005E6E58"/>
    <w:rsid w:val="005E701B"/>
    <w:rsid w:val="005E752D"/>
    <w:rsid w:val="005E7898"/>
    <w:rsid w:val="005F0340"/>
    <w:rsid w:val="005F08DF"/>
    <w:rsid w:val="005F1376"/>
    <w:rsid w:val="005F145D"/>
    <w:rsid w:val="005F14B8"/>
    <w:rsid w:val="005F14F5"/>
    <w:rsid w:val="005F1539"/>
    <w:rsid w:val="005F1634"/>
    <w:rsid w:val="005F175C"/>
    <w:rsid w:val="005F1A36"/>
    <w:rsid w:val="005F1A7C"/>
    <w:rsid w:val="005F1B5F"/>
    <w:rsid w:val="005F1CA1"/>
    <w:rsid w:val="005F2144"/>
    <w:rsid w:val="005F2217"/>
    <w:rsid w:val="005F22AC"/>
    <w:rsid w:val="005F23E8"/>
    <w:rsid w:val="005F245B"/>
    <w:rsid w:val="005F246A"/>
    <w:rsid w:val="005F298B"/>
    <w:rsid w:val="005F2B6E"/>
    <w:rsid w:val="005F2CCC"/>
    <w:rsid w:val="005F2F8F"/>
    <w:rsid w:val="005F3042"/>
    <w:rsid w:val="005F3094"/>
    <w:rsid w:val="005F345E"/>
    <w:rsid w:val="005F34A7"/>
    <w:rsid w:val="005F3C04"/>
    <w:rsid w:val="005F3F49"/>
    <w:rsid w:val="005F44DC"/>
    <w:rsid w:val="005F46CF"/>
    <w:rsid w:val="005F4CB6"/>
    <w:rsid w:val="005F509C"/>
    <w:rsid w:val="005F5371"/>
    <w:rsid w:val="005F549E"/>
    <w:rsid w:val="005F55FC"/>
    <w:rsid w:val="005F57D5"/>
    <w:rsid w:val="005F57DD"/>
    <w:rsid w:val="005F5865"/>
    <w:rsid w:val="005F59BD"/>
    <w:rsid w:val="005F5A1C"/>
    <w:rsid w:val="005F5ADB"/>
    <w:rsid w:val="005F5C4A"/>
    <w:rsid w:val="005F6479"/>
    <w:rsid w:val="005F6937"/>
    <w:rsid w:val="005F6AB2"/>
    <w:rsid w:val="005F6F1E"/>
    <w:rsid w:val="005F7304"/>
    <w:rsid w:val="005F7307"/>
    <w:rsid w:val="005F7442"/>
    <w:rsid w:val="005F7581"/>
    <w:rsid w:val="005F77B7"/>
    <w:rsid w:val="005F7FFA"/>
    <w:rsid w:val="0060078F"/>
    <w:rsid w:val="006009EE"/>
    <w:rsid w:val="00600AF4"/>
    <w:rsid w:val="00600DDC"/>
    <w:rsid w:val="00601008"/>
    <w:rsid w:val="006014E0"/>
    <w:rsid w:val="006017FF"/>
    <w:rsid w:val="00601814"/>
    <w:rsid w:val="006023CC"/>
    <w:rsid w:val="006026E8"/>
    <w:rsid w:val="006028D2"/>
    <w:rsid w:val="00602F7A"/>
    <w:rsid w:val="006030DE"/>
    <w:rsid w:val="006037F6"/>
    <w:rsid w:val="00603A18"/>
    <w:rsid w:val="00603DB7"/>
    <w:rsid w:val="00603E3A"/>
    <w:rsid w:val="0060408E"/>
    <w:rsid w:val="006044B6"/>
    <w:rsid w:val="00604696"/>
    <w:rsid w:val="00604AE9"/>
    <w:rsid w:val="006051C3"/>
    <w:rsid w:val="006052DC"/>
    <w:rsid w:val="0060538D"/>
    <w:rsid w:val="00605764"/>
    <w:rsid w:val="0060578A"/>
    <w:rsid w:val="00605D0E"/>
    <w:rsid w:val="00605EB8"/>
    <w:rsid w:val="00606278"/>
    <w:rsid w:val="006062BC"/>
    <w:rsid w:val="006066F9"/>
    <w:rsid w:val="00606AEE"/>
    <w:rsid w:val="00606BD3"/>
    <w:rsid w:val="00606E6E"/>
    <w:rsid w:val="00607591"/>
    <w:rsid w:val="006079CB"/>
    <w:rsid w:val="00607A62"/>
    <w:rsid w:val="00607C96"/>
    <w:rsid w:val="00607D99"/>
    <w:rsid w:val="00607F8C"/>
    <w:rsid w:val="0061003A"/>
    <w:rsid w:val="006100EB"/>
    <w:rsid w:val="006101F9"/>
    <w:rsid w:val="00610228"/>
    <w:rsid w:val="006102BD"/>
    <w:rsid w:val="00610370"/>
    <w:rsid w:val="0061056C"/>
    <w:rsid w:val="006108A9"/>
    <w:rsid w:val="006109E3"/>
    <w:rsid w:val="00610B9A"/>
    <w:rsid w:val="00610C97"/>
    <w:rsid w:val="00610FC7"/>
    <w:rsid w:val="006113F7"/>
    <w:rsid w:val="00611532"/>
    <w:rsid w:val="00611A7B"/>
    <w:rsid w:val="00611B03"/>
    <w:rsid w:val="00612406"/>
    <w:rsid w:val="00612568"/>
    <w:rsid w:val="00612582"/>
    <w:rsid w:val="006126D2"/>
    <w:rsid w:val="006128EE"/>
    <w:rsid w:val="006135E6"/>
    <w:rsid w:val="0061379C"/>
    <w:rsid w:val="0061380C"/>
    <w:rsid w:val="00613AFE"/>
    <w:rsid w:val="00613B22"/>
    <w:rsid w:val="00613D32"/>
    <w:rsid w:val="00613F28"/>
    <w:rsid w:val="00614397"/>
    <w:rsid w:val="006146D1"/>
    <w:rsid w:val="00614738"/>
    <w:rsid w:val="00614946"/>
    <w:rsid w:val="00614C83"/>
    <w:rsid w:val="00615046"/>
    <w:rsid w:val="0061593B"/>
    <w:rsid w:val="00616144"/>
    <w:rsid w:val="00616289"/>
    <w:rsid w:val="006165D8"/>
    <w:rsid w:val="00616E22"/>
    <w:rsid w:val="00617197"/>
    <w:rsid w:val="0061762E"/>
    <w:rsid w:val="00617671"/>
    <w:rsid w:val="00617C48"/>
    <w:rsid w:val="00617E19"/>
    <w:rsid w:val="00617F05"/>
    <w:rsid w:val="00617F22"/>
    <w:rsid w:val="006200A1"/>
    <w:rsid w:val="00620102"/>
    <w:rsid w:val="00620113"/>
    <w:rsid w:val="006202D0"/>
    <w:rsid w:val="006203C3"/>
    <w:rsid w:val="006204E1"/>
    <w:rsid w:val="0062058C"/>
    <w:rsid w:val="00620682"/>
    <w:rsid w:val="00620874"/>
    <w:rsid w:val="00620920"/>
    <w:rsid w:val="00620B27"/>
    <w:rsid w:val="00620B35"/>
    <w:rsid w:val="0062125C"/>
    <w:rsid w:val="00621485"/>
    <w:rsid w:val="00621521"/>
    <w:rsid w:val="006215D1"/>
    <w:rsid w:val="00621D1E"/>
    <w:rsid w:val="0062201E"/>
    <w:rsid w:val="00622054"/>
    <w:rsid w:val="006220D4"/>
    <w:rsid w:val="006220DB"/>
    <w:rsid w:val="00622365"/>
    <w:rsid w:val="006223F3"/>
    <w:rsid w:val="006228F4"/>
    <w:rsid w:val="006229DC"/>
    <w:rsid w:val="00622CAD"/>
    <w:rsid w:val="00622DEB"/>
    <w:rsid w:val="0062329F"/>
    <w:rsid w:val="006232F4"/>
    <w:rsid w:val="00623453"/>
    <w:rsid w:val="0062365A"/>
    <w:rsid w:val="006238C9"/>
    <w:rsid w:val="00623915"/>
    <w:rsid w:val="006239BC"/>
    <w:rsid w:val="00623A9A"/>
    <w:rsid w:val="00623B10"/>
    <w:rsid w:val="00623B97"/>
    <w:rsid w:val="00623C93"/>
    <w:rsid w:val="00623E9B"/>
    <w:rsid w:val="00623FE6"/>
    <w:rsid w:val="00624310"/>
    <w:rsid w:val="006248A5"/>
    <w:rsid w:val="00624A0E"/>
    <w:rsid w:val="00624E15"/>
    <w:rsid w:val="006250F4"/>
    <w:rsid w:val="00625169"/>
    <w:rsid w:val="00625366"/>
    <w:rsid w:val="0062538C"/>
    <w:rsid w:val="006255EA"/>
    <w:rsid w:val="00625AAA"/>
    <w:rsid w:val="00625BE0"/>
    <w:rsid w:val="00625F95"/>
    <w:rsid w:val="00626005"/>
    <w:rsid w:val="00626117"/>
    <w:rsid w:val="006265F7"/>
    <w:rsid w:val="00626C25"/>
    <w:rsid w:val="00627149"/>
    <w:rsid w:val="00627503"/>
    <w:rsid w:val="0062766D"/>
    <w:rsid w:val="00627713"/>
    <w:rsid w:val="0062792F"/>
    <w:rsid w:val="00627A60"/>
    <w:rsid w:val="00627A85"/>
    <w:rsid w:val="00627C6A"/>
    <w:rsid w:val="0063011B"/>
    <w:rsid w:val="0063018E"/>
    <w:rsid w:val="006304AA"/>
    <w:rsid w:val="0063052E"/>
    <w:rsid w:val="006306FC"/>
    <w:rsid w:val="006307C0"/>
    <w:rsid w:val="00631052"/>
    <w:rsid w:val="006310C8"/>
    <w:rsid w:val="006311D8"/>
    <w:rsid w:val="00631269"/>
    <w:rsid w:val="00631306"/>
    <w:rsid w:val="006313B5"/>
    <w:rsid w:val="00631495"/>
    <w:rsid w:val="00631C29"/>
    <w:rsid w:val="00631D64"/>
    <w:rsid w:val="00631F52"/>
    <w:rsid w:val="006320D9"/>
    <w:rsid w:val="00632165"/>
    <w:rsid w:val="00632548"/>
    <w:rsid w:val="006325F0"/>
    <w:rsid w:val="00632C14"/>
    <w:rsid w:val="00632C34"/>
    <w:rsid w:val="00632F22"/>
    <w:rsid w:val="00633037"/>
    <w:rsid w:val="006338D1"/>
    <w:rsid w:val="00633A4B"/>
    <w:rsid w:val="00633B80"/>
    <w:rsid w:val="00633EC8"/>
    <w:rsid w:val="00634BA4"/>
    <w:rsid w:val="00634E1D"/>
    <w:rsid w:val="006350AD"/>
    <w:rsid w:val="00635756"/>
    <w:rsid w:val="00635A3C"/>
    <w:rsid w:val="00635C43"/>
    <w:rsid w:val="00635C71"/>
    <w:rsid w:val="00635E9E"/>
    <w:rsid w:val="00635F59"/>
    <w:rsid w:val="0063616E"/>
    <w:rsid w:val="00636845"/>
    <w:rsid w:val="006368F5"/>
    <w:rsid w:val="0063697B"/>
    <w:rsid w:val="00636E79"/>
    <w:rsid w:val="0063722D"/>
    <w:rsid w:val="00637495"/>
    <w:rsid w:val="006378EC"/>
    <w:rsid w:val="0063797B"/>
    <w:rsid w:val="00637B00"/>
    <w:rsid w:val="00637BCD"/>
    <w:rsid w:val="00640151"/>
    <w:rsid w:val="006402B4"/>
    <w:rsid w:val="00640391"/>
    <w:rsid w:val="006404EC"/>
    <w:rsid w:val="00640B10"/>
    <w:rsid w:val="00641054"/>
    <w:rsid w:val="0064119A"/>
    <w:rsid w:val="00641A3B"/>
    <w:rsid w:val="00641A8D"/>
    <w:rsid w:val="00641CBB"/>
    <w:rsid w:val="00641E89"/>
    <w:rsid w:val="00641FF8"/>
    <w:rsid w:val="0064246B"/>
    <w:rsid w:val="006426F0"/>
    <w:rsid w:val="00642C5E"/>
    <w:rsid w:val="00642D40"/>
    <w:rsid w:val="00643066"/>
    <w:rsid w:val="00643259"/>
    <w:rsid w:val="0064337A"/>
    <w:rsid w:val="006434CA"/>
    <w:rsid w:val="006435E2"/>
    <w:rsid w:val="00643657"/>
    <w:rsid w:val="00643983"/>
    <w:rsid w:val="006439DE"/>
    <w:rsid w:val="00643D6F"/>
    <w:rsid w:val="00643F62"/>
    <w:rsid w:val="0064449A"/>
    <w:rsid w:val="0064468C"/>
    <w:rsid w:val="006447DD"/>
    <w:rsid w:val="00644A77"/>
    <w:rsid w:val="00644AF4"/>
    <w:rsid w:val="0064557F"/>
    <w:rsid w:val="006457B0"/>
    <w:rsid w:val="0064586C"/>
    <w:rsid w:val="006459D1"/>
    <w:rsid w:val="00645AAB"/>
    <w:rsid w:val="00645AEE"/>
    <w:rsid w:val="00645E19"/>
    <w:rsid w:val="006460B6"/>
    <w:rsid w:val="00646665"/>
    <w:rsid w:val="006467D4"/>
    <w:rsid w:val="006467FF"/>
    <w:rsid w:val="00646813"/>
    <w:rsid w:val="00646CEE"/>
    <w:rsid w:val="00647205"/>
    <w:rsid w:val="00647206"/>
    <w:rsid w:val="006472E5"/>
    <w:rsid w:val="0064744F"/>
    <w:rsid w:val="0064769F"/>
    <w:rsid w:val="00647CF9"/>
    <w:rsid w:val="00647D19"/>
    <w:rsid w:val="0065037B"/>
    <w:rsid w:val="006507CD"/>
    <w:rsid w:val="0065095A"/>
    <w:rsid w:val="00650D65"/>
    <w:rsid w:val="00650D89"/>
    <w:rsid w:val="00650D8E"/>
    <w:rsid w:val="00650F79"/>
    <w:rsid w:val="006514A8"/>
    <w:rsid w:val="006517DC"/>
    <w:rsid w:val="00651922"/>
    <w:rsid w:val="006519C5"/>
    <w:rsid w:val="00651EA9"/>
    <w:rsid w:val="0065219B"/>
    <w:rsid w:val="00652462"/>
    <w:rsid w:val="00652B77"/>
    <w:rsid w:val="00653A36"/>
    <w:rsid w:val="00653F10"/>
    <w:rsid w:val="0065409B"/>
    <w:rsid w:val="0065431A"/>
    <w:rsid w:val="00654865"/>
    <w:rsid w:val="0065498D"/>
    <w:rsid w:val="00654D83"/>
    <w:rsid w:val="00654DAE"/>
    <w:rsid w:val="00655A16"/>
    <w:rsid w:val="00656007"/>
    <w:rsid w:val="00656212"/>
    <w:rsid w:val="006564A5"/>
    <w:rsid w:val="00656D98"/>
    <w:rsid w:val="00656E0C"/>
    <w:rsid w:val="00656F17"/>
    <w:rsid w:val="0065701A"/>
    <w:rsid w:val="0065715D"/>
    <w:rsid w:val="0065730A"/>
    <w:rsid w:val="00657376"/>
    <w:rsid w:val="00657995"/>
    <w:rsid w:val="006579FB"/>
    <w:rsid w:val="00657F81"/>
    <w:rsid w:val="00660466"/>
    <w:rsid w:val="006606D2"/>
    <w:rsid w:val="00660A59"/>
    <w:rsid w:val="00660ACC"/>
    <w:rsid w:val="0066131E"/>
    <w:rsid w:val="00661605"/>
    <w:rsid w:val="006616BC"/>
    <w:rsid w:val="00662263"/>
    <w:rsid w:val="00662371"/>
    <w:rsid w:val="00662705"/>
    <w:rsid w:val="0066302A"/>
    <w:rsid w:val="00663387"/>
    <w:rsid w:val="006634E3"/>
    <w:rsid w:val="0066390A"/>
    <w:rsid w:val="00663B7D"/>
    <w:rsid w:val="00663EE1"/>
    <w:rsid w:val="00663F0A"/>
    <w:rsid w:val="00664158"/>
    <w:rsid w:val="006646CE"/>
    <w:rsid w:val="00664F05"/>
    <w:rsid w:val="00664F4A"/>
    <w:rsid w:val="0066549C"/>
    <w:rsid w:val="0066589A"/>
    <w:rsid w:val="00665B6C"/>
    <w:rsid w:val="00665DA0"/>
    <w:rsid w:val="00666424"/>
    <w:rsid w:val="00666811"/>
    <w:rsid w:val="006668C0"/>
    <w:rsid w:val="00666A2F"/>
    <w:rsid w:val="00666C0E"/>
    <w:rsid w:val="00666E4D"/>
    <w:rsid w:val="00667663"/>
    <w:rsid w:val="00667762"/>
    <w:rsid w:val="006678F8"/>
    <w:rsid w:val="0067027E"/>
    <w:rsid w:val="00670358"/>
    <w:rsid w:val="006706D8"/>
    <w:rsid w:val="006707FB"/>
    <w:rsid w:val="00670956"/>
    <w:rsid w:val="00670A6B"/>
    <w:rsid w:val="00671EB3"/>
    <w:rsid w:val="00672412"/>
    <w:rsid w:val="00672C58"/>
    <w:rsid w:val="00672CC7"/>
    <w:rsid w:val="0067315D"/>
    <w:rsid w:val="006732A1"/>
    <w:rsid w:val="006733C4"/>
    <w:rsid w:val="006737F6"/>
    <w:rsid w:val="006738D5"/>
    <w:rsid w:val="00673A5E"/>
    <w:rsid w:val="00673B53"/>
    <w:rsid w:val="00673E4D"/>
    <w:rsid w:val="00673F52"/>
    <w:rsid w:val="00674520"/>
    <w:rsid w:val="00674625"/>
    <w:rsid w:val="006747FA"/>
    <w:rsid w:val="00674838"/>
    <w:rsid w:val="00674963"/>
    <w:rsid w:val="00675004"/>
    <w:rsid w:val="00675111"/>
    <w:rsid w:val="00675224"/>
    <w:rsid w:val="00675410"/>
    <w:rsid w:val="006756D8"/>
    <w:rsid w:val="00675806"/>
    <w:rsid w:val="00675FC5"/>
    <w:rsid w:val="0067602F"/>
    <w:rsid w:val="006760A9"/>
    <w:rsid w:val="006765FC"/>
    <w:rsid w:val="00676FC5"/>
    <w:rsid w:val="006773BD"/>
    <w:rsid w:val="006773D2"/>
    <w:rsid w:val="006777E6"/>
    <w:rsid w:val="00677DFB"/>
    <w:rsid w:val="00677E54"/>
    <w:rsid w:val="00680187"/>
    <w:rsid w:val="00680540"/>
    <w:rsid w:val="00680710"/>
    <w:rsid w:val="00680DE5"/>
    <w:rsid w:val="006816DB"/>
    <w:rsid w:val="006816FC"/>
    <w:rsid w:val="0068182C"/>
    <w:rsid w:val="00681B80"/>
    <w:rsid w:val="00681BEE"/>
    <w:rsid w:val="00681EF4"/>
    <w:rsid w:val="00681F8A"/>
    <w:rsid w:val="0068205F"/>
    <w:rsid w:val="006821D3"/>
    <w:rsid w:val="0068236D"/>
    <w:rsid w:val="00682C58"/>
    <w:rsid w:val="00682CA5"/>
    <w:rsid w:val="006830C4"/>
    <w:rsid w:val="0068354C"/>
    <w:rsid w:val="00683633"/>
    <w:rsid w:val="00683A59"/>
    <w:rsid w:val="00683ADA"/>
    <w:rsid w:val="00683CA1"/>
    <w:rsid w:val="00683D71"/>
    <w:rsid w:val="00684B7F"/>
    <w:rsid w:val="00684BFE"/>
    <w:rsid w:val="00684E8E"/>
    <w:rsid w:val="00684ECD"/>
    <w:rsid w:val="00685243"/>
    <w:rsid w:val="006853E3"/>
    <w:rsid w:val="006857DE"/>
    <w:rsid w:val="0068597D"/>
    <w:rsid w:val="00685AEC"/>
    <w:rsid w:val="00685B11"/>
    <w:rsid w:val="0068668A"/>
    <w:rsid w:val="00686CAC"/>
    <w:rsid w:val="00686D04"/>
    <w:rsid w:val="00686DC9"/>
    <w:rsid w:val="00686F7D"/>
    <w:rsid w:val="006870C5"/>
    <w:rsid w:val="00687257"/>
    <w:rsid w:val="0068730C"/>
    <w:rsid w:val="0068764A"/>
    <w:rsid w:val="00687E0C"/>
    <w:rsid w:val="00690337"/>
    <w:rsid w:val="00690579"/>
    <w:rsid w:val="006905E3"/>
    <w:rsid w:val="00690DB7"/>
    <w:rsid w:val="006915C1"/>
    <w:rsid w:val="00691F79"/>
    <w:rsid w:val="0069207E"/>
    <w:rsid w:val="00692196"/>
    <w:rsid w:val="006923AA"/>
    <w:rsid w:val="006924A9"/>
    <w:rsid w:val="00692672"/>
    <w:rsid w:val="006926D8"/>
    <w:rsid w:val="006927A2"/>
    <w:rsid w:val="00692C2F"/>
    <w:rsid w:val="00692D39"/>
    <w:rsid w:val="00692F7E"/>
    <w:rsid w:val="00693883"/>
    <w:rsid w:val="00693D4C"/>
    <w:rsid w:val="0069419F"/>
    <w:rsid w:val="00694719"/>
    <w:rsid w:val="00694785"/>
    <w:rsid w:val="00694C90"/>
    <w:rsid w:val="006953CE"/>
    <w:rsid w:val="006954DC"/>
    <w:rsid w:val="006957E1"/>
    <w:rsid w:val="00695914"/>
    <w:rsid w:val="006959BE"/>
    <w:rsid w:val="006961B3"/>
    <w:rsid w:val="006962C7"/>
    <w:rsid w:val="006968EB"/>
    <w:rsid w:val="00696969"/>
    <w:rsid w:val="00696F92"/>
    <w:rsid w:val="00697005"/>
    <w:rsid w:val="00697023"/>
    <w:rsid w:val="0069703F"/>
    <w:rsid w:val="00697CA8"/>
    <w:rsid w:val="00697D57"/>
    <w:rsid w:val="00697E2D"/>
    <w:rsid w:val="006A0451"/>
    <w:rsid w:val="006A072D"/>
    <w:rsid w:val="006A0F85"/>
    <w:rsid w:val="006A13A4"/>
    <w:rsid w:val="006A1698"/>
    <w:rsid w:val="006A1835"/>
    <w:rsid w:val="006A1D06"/>
    <w:rsid w:val="006A1F57"/>
    <w:rsid w:val="006A2681"/>
    <w:rsid w:val="006A2A7C"/>
    <w:rsid w:val="006A2F0A"/>
    <w:rsid w:val="006A3AAC"/>
    <w:rsid w:val="006A3AB3"/>
    <w:rsid w:val="006A3DAC"/>
    <w:rsid w:val="006A3EAC"/>
    <w:rsid w:val="006A4073"/>
    <w:rsid w:val="006A4076"/>
    <w:rsid w:val="006A490A"/>
    <w:rsid w:val="006A4C6A"/>
    <w:rsid w:val="006A4CDF"/>
    <w:rsid w:val="006A4DE4"/>
    <w:rsid w:val="006A517A"/>
    <w:rsid w:val="006A53DB"/>
    <w:rsid w:val="006A580F"/>
    <w:rsid w:val="006A5814"/>
    <w:rsid w:val="006A5FA5"/>
    <w:rsid w:val="006A6240"/>
    <w:rsid w:val="006A6521"/>
    <w:rsid w:val="006A65C6"/>
    <w:rsid w:val="006A65FF"/>
    <w:rsid w:val="006A6C61"/>
    <w:rsid w:val="006A7B91"/>
    <w:rsid w:val="006A7D23"/>
    <w:rsid w:val="006A7D38"/>
    <w:rsid w:val="006A7F12"/>
    <w:rsid w:val="006B02F4"/>
    <w:rsid w:val="006B03FD"/>
    <w:rsid w:val="006B0803"/>
    <w:rsid w:val="006B0B72"/>
    <w:rsid w:val="006B0ECC"/>
    <w:rsid w:val="006B0F07"/>
    <w:rsid w:val="006B114B"/>
    <w:rsid w:val="006B130B"/>
    <w:rsid w:val="006B1A05"/>
    <w:rsid w:val="006B1B2D"/>
    <w:rsid w:val="006B21AD"/>
    <w:rsid w:val="006B2679"/>
    <w:rsid w:val="006B2723"/>
    <w:rsid w:val="006B28E7"/>
    <w:rsid w:val="006B2BBF"/>
    <w:rsid w:val="006B2D59"/>
    <w:rsid w:val="006B2E5E"/>
    <w:rsid w:val="006B302C"/>
    <w:rsid w:val="006B383D"/>
    <w:rsid w:val="006B3B41"/>
    <w:rsid w:val="006B3C10"/>
    <w:rsid w:val="006B3D7A"/>
    <w:rsid w:val="006B3E5E"/>
    <w:rsid w:val="006B3FB2"/>
    <w:rsid w:val="006B41DD"/>
    <w:rsid w:val="006B444B"/>
    <w:rsid w:val="006B45F8"/>
    <w:rsid w:val="006B4903"/>
    <w:rsid w:val="006B490C"/>
    <w:rsid w:val="006B4AD1"/>
    <w:rsid w:val="006B4C71"/>
    <w:rsid w:val="006B4D24"/>
    <w:rsid w:val="006B5041"/>
    <w:rsid w:val="006B50A0"/>
    <w:rsid w:val="006B5534"/>
    <w:rsid w:val="006B57AF"/>
    <w:rsid w:val="006B5F98"/>
    <w:rsid w:val="006B61CB"/>
    <w:rsid w:val="006B6391"/>
    <w:rsid w:val="006B6C39"/>
    <w:rsid w:val="006B6F09"/>
    <w:rsid w:val="006B6F9D"/>
    <w:rsid w:val="006B7036"/>
    <w:rsid w:val="006B7041"/>
    <w:rsid w:val="006B73CD"/>
    <w:rsid w:val="006B77E2"/>
    <w:rsid w:val="006C00BC"/>
    <w:rsid w:val="006C00D7"/>
    <w:rsid w:val="006C0438"/>
    <w:rsid w:val="006C05C1"/>
    <w:rsid w:val="006C077C"/>
    <w:rsid w:val="006C0957"/>
    <w:rsid w:val="006C0A6F"/>
    <w:rsid w:val="006C0B20"/>
    <w:rsid w:val="006C0D08"/>
    <w:rsid w:val="006C0E7A"/>
    <w:rsid w:val="006C112A"/>
    <w:rsid w:val="006C133B"/>
    <w:rsid w:val="006C21BC"/>
    <w:rsid w:val="006C2235"/>
    <w:rsid w:val="006C2D27"/>
    <w:rsid w:val="006C2ED7"/>
    <w:rsid w:val="006C2FB5"/>
    <w:rsid w:val="006C2FCF"/>
    <w:rsid w:val="006C2FDE"/>
    <w:rsid w:val="006C309E"/>
    <w:rsid w:val="006C33CD"/>
    <w:rsid w:val="006C34A8"/>
    <w:rsid w:val="006C352D"/>
    <w:rsid w:val="006C3854"/>
    <w:rsid w:val="006C395C"/>
    <w:rsid w:val="006C397D"/>
    <w:rsid w:val="006C39C3"/>
    <w:rsid w:val="006C3D8A"/>
    <w:rsid w:val="006C44C8"/>
    <w:rsid w:val="006C4AFA"/>
    <w:rsid w:val="006C4EAC"/>
    <w:rsid w:val="006C5052"/>
    <w:rsid w:val="006C5A90"/>
    <w:rsid w:val="006C6D38"/>
    <w:rsid w:val="006C6EBF"/>
    <w:rsid w:val="006C6F5B"/>
    <w:rsid w:val="006C74F7"/>
    <w:rsid w:val="006C7B0B"/>
    <w:rsid w:val="006C7DDB"/>
    <w:rsid w:val="006C7F5D"/>
    <w:rsid w:val="006D0200"/>
    <w:rsid w:val="006D0258"/>
    <w:rsid w:val="006D0FEB"/>
    <w:rsid w:val="006D123A"/>
    <w:rsid w:val="006D15E7"/>
    <w:rsid w:val="006D1729"/>
    <w:rsid w:val="006D17CF"/>
    <w:rsid w:val="006D1B6C"/>
    <w:rsid w:val="006D1C43"/>
    <w:rsid w:val="006D1CD3"/>
    <w:rsid w:val="006D2300"/>
    <w:rsid w:val="006D233D"/>
    <w:rsid w:val="006D26E8"/>
    <w:rsid w:val="006D26EF"/>
    <w:rsid w:val="006D3039"/>
    <w:rsid w:val="006D3447"/>
    <w:rsid w:val="006D3B72"/>
    <w:rsid w:val="006D40FC"/>
    <w:rsid w:val="006D4631"/>
    <w:rsid w:val="006D4EDD"/>
    <w:rsid w:val="006D4EFE"/>
    <w:rsid w:val="006D514F"/>
    <w:rsid w:val="006D5187"/>
    <w:rsid w:val="006D51AD"/>
    <w:rsid w:val="006D528C"/>
    <w:rsid w:val="006D52B7"/>
    <w:rsid w:val="006D58D3"/>
    <w:rsid w:val="006D5B42"/>
    <w:rsid w:val="006D5D39"/>
    <w:rsid w:val="006D6846"/>
    <w:rsid w:val="006D6C36"/>
    <w:rsid w:val="006D6FCB"/>
    <w:rsid w:val="006D706C"/>
    <w:rsid w:val="006D7744"/>
    <w:rsid w:val="006D7C05"/>
    <w:rsid w:val="006D7DF1"/>
    <w:rsid w:val="006D7ED4"/>
    <w:rsid w:val="006E0400"/>
    <w:rsid w:val="006E07ED"/>
    <w:rsid w:val="006E0CDC"/>
    <w:rsid w:val="006E1040"/>
    <w:rsid w:val="006E14E0"/>
    <w:rsid w:val="006E1517"/>
    <w:rsid w:val="006E1ADA"/>
    <w:rsid w:val="006E1B0B"/>
    <w:rsid w:val="006E2089"/>
    <w:rsid w:val="006E2A62"/>
    <w:rsid w:val="006E2DF5"/>
    <w:rsid w:val="006E2F8E"/>
    <w:rsid w:val="006E3177"/>
    <w:rsid w:val="006E32E7"/>
    <w:rsid w:val="006E3A5C"/>
    <w:rsid w:val="006E3EBD"/>
    <w:rsid w:val="006E44AD"/>
    <w:rsid w:val="006E499F"/>
    <w:rsid w:val="006E4F2B"/>
    <w:rsid w:val="006E5322"/>
    <w:rsid w:val="006E5709"/>
    <w:rsid w:val="006E5734"/>
    <w:rsid w:val="006E5D13"/>
    <w:rsid w:val="006E5F54"/>
    <w:rsid w:val="006E60AC"/>
    <w:rsid w:val="006E6116"/>
    <w:rsid w:val="006E61CF"/>
    <w:rsid w:val="006E63B9"/>
    <w:rsid w:val="006E683A"/>
    <w:rsid w:val="006E68DE"/>
    <w:rsid w:val="006E6D71"/>
    <w:rsid w:val="006E6F42"/>
    <w:rsid w:val="006E70EB"/>
    <w:rsid w:val="006E71DC"/>
    <w:rsid w:val="006E72EA"/>
    <w:rsid w:val="006E7A4A"/>
    <w:rsid w:val="006E7E73"/>
    <w:rsid w:val="006F03A8"/>
    <w:rsid w:val="006F03CF"/>
    <w:rsid w:val="006F0718"/>
    <w:rsid w:val="006F0735"/>
    <w:rsid w:val="006F08C0"/>
    <w:rsid w:val="006F0DBC"/>
    <w:rsid w:val="006F0EE7"/>
    <w:rsid w:val="006F1581"/>
    <w:rsid w:val="006F1774"/>
    <w:rsid w:val="006F1DE2"/>
    <w:rsid w:val="006F208B"/>
    <w:rsid w:val="006F2349"/>
    <w:rsid w:val="006F24C0"/>
    <w:rsid w:val="006F2683"/>
    <w:rsid w:val="006F27B8"/>
    <w:rsid w:val="006F2A4B"/>
    <w:rsid w:val="006F2C18"/>
    <w:rsid w:val="006F3009"/>
    <w:rsid w:val="006F398D"/>
    <w:rsid w:val="006F426F"/>
    <w:rsid w:val="006F4968"/>
    <w:rsid w:val="006F49C7"/>
    <w:rsid w:val="006F4E1D"/>
    <w:rsid w:val="006F4F86"/>
    <w:rsid w:val="006F4FD5"/>
    <w:rsid w:val="006F526D"/>
    <w:rsid w:val="006F5275"/>
    <w:rsid w:val="006F57E5"/>
    <w:rsid w:val="006F59D7"/>
    <w:rsid w:val="006F5FCC"/>
    <w:rsid w:val="006F6A2C"/>
    <w:rsid w:val="006F74AB"/>
    <w:rsid w:val="006F789F"/>
    <w:rsid w:val="006F7D21"/>
    <w:rsid w:val="006F7EB6"/>
    <w:rsid w:val="00700115"/>
    <w:rsid w:val="00700376"/>
    <w:rsid w:val="00700501"/>
    <w:rsid w:val="00700B52"/>
    <w:rsid w:val="00701D94"/>
    <w:rsid w:val="00701EF0"/>
    <w:rsid w:val="0070207B"/>
    <w:rsid w:val="00702228"/>
    <w:rsid w:val="007024DC"/>
    <w:rsid w:val="007025A1"/>
    <w:rsid w:val="007026C6"/>
    <w:rsid w:val="00702734"/>
    <w:rsid w:val="007027E3"/>
    <w:rsid w:val="0070281B"/>
    <w:rsid w:val="00702A53"/>
    <w:rsid w:val="00702AFB"/>
    <w:rsid w:val="0070309D"/>
    <w:rsid w:val="00703726"/>
    <w:rsid w:val="0070372C"/>
    <w:rsid w:val="00703E7C"/>
    <w:rsid w:val="00704389"/>
    <w:rsid w:val="00704660"/>
    <w:rsid w:val="00704831"/>
    <w:rsid w:val="0070489F"/>
    <w:rsid w:val="00704974"/>
    <w:rsid w:val="00704AD6"/>
    <w:rsid w:val="00704DB0"/>
    <w:rsid w:val="00705263"/>
    <w:rsid w:val="007057E2"/>
    <w:rsid w:val="007059DC"/>
    <w:rsid w:val="00705EB2"/>
    <w:rsid w:val="00705FB0"/>
    <w:rsid w:val="007060DA"/>
    <w:rsid w:val="007061DC"/>
    <w:rsid w:val="00706524"/>
    <w:rsid w:val="0070658C"/>
    <w:rsid w:val="0070679E"/>
    <w:rsid w:val="00706B61"/>
    <w:rsid w:val="00706B8A"/>
    <w:rsid w:val="007078A5"/>
    <w:rsid w:val="0070796A"/>
    <w:rsid w:val="00707F66"/>
    <w:rsid w:val="00710107"/>
    <w:rsid w:val="00710123"/>
    <w:rsid w:val="007102D2"/>
    <w:rsid w:val="00710624"/>
    <w:rsid w:val="00710790"/>
    <w:rsid w:val="00710930"/>
    <w:rsid w:val="00710958"/>
    <w:rsid w:val="00710D3E"/>
    <w:rsid w:val="00710DD6"/>
    <w:rsid w:val="00710E5B"/>
    <w:rsid w:val="00711189"/>
    <w:rsid w:val="007113C6"/>
    <w:rsid w:val="0071174F"/>
    <w:rsid w:val="007118A5"/>
    <w:rsid w:val="007120F1"/>
    <w:rsid w:val="007123AA"/>
    <w:rsid w:val="0071292F"/>
    <w:rsid w:val="007129BB"/>
    <w:rsid w:val="00712BDE"/>
    <w:rsid w:val="00712DEB"/>
    <w:rsid w:val="00713129"/>
    <w:rsid w:val="00713379"/>
    <w:rsid w:val="0071341D"/>
    <w:rsid w:val="00713793"/>
    <w:rsid w:val="00713884"/>
    <w:rsid w:val="00713A9F"/>
    <w:rsid w:val="00713B87"/>
    <w:rsid w:val="00713F89"/>
    <w:rsid w:val="0071410B"/>
    <w:rsid w:val="0071420E"/>
    <w:rsid w:val="007146EB"/>
    <w:rsid w:val="007149D6"/>
    <w:rsid w:val="00714CDF"/>
    <w:rsid w:val="00714E85"/>
    <w:rsid w:val="0071569D"/>
    <w:rsid w:val="00715966"/>
    <w:rsid w:val="007159A4"/>
    <w:rsid w:val="00715EFC"/>
    <w:rsid w:val="007161A0"/>
    <w:rsid w:val="00716434"/>
    <w:rsid w:val="007164DD"/>
    <w:rsid w:val="00716561"/>
    <w:rsid w:val="007167E8"/>
    <w:rsid w:val="00716B97"/>
    <w:rsid w:val="00716BF1"/>
    <w:rsid w:val="00716F0E"/>
    <w:rsid w:val="00717398"/>
    <w:rsid w:val="00717DDA"/>
    <w:rsid w:val="007201BA"/>
    <w:rsid w:val="007203BD"/>
    <w:rsid w:val="00720798"/>
    <w:rsid w:val="007207F1"/>
    <w:rsid w:val="00720BA1"/>
    <w:rsid w:val="00720FC8"/>
    <w:rsid w:val="007210DD"/>
    <w:rsid w:val="00721111"/>
    <w:rsid w:val="00721685"/>
    <w:rsid w:val="00721D7F"/>
    <w:rsid w:val="00721EBD"/>
    <w:rsid w:val="0072240A"/>
    <w:rsid w:val="00722F3F"/>
    <w:rsid w:val="00722F7D"/>
    <w:rsid w:val="0072321D"/>
    <w:rsid w:val="007234DA"/>
    <w:rsid w:val="007235CE"/>
    <w:rsid w:val="0072384C"/>
    <w:rsid w:val="00724302"/>
    <w:rsid w:val="007244F3"/>
    <w:rsid w:val="00724583"/>
    <w:rsid w:val="007248B2"/>
    <w:rsid w:val="00724966"/>
    <w:rsid w:val="00724977"/>
    <w:rsid w:val="00724A3B"/>
    <w:rsid w:val="00724A71"/>
    <w:rsid w:val="00724C8C"/>
    <w:rsid w:val="00724D82"/>
    <w:rsid w:val="00724DF6"/>
    <w:rsid w:val="00724FBD"/>
    <w:rsid w:val="00725216"/>
    <w:rsid w:val="007252A4"/>
    <w:rsid w:val="00725DBD"/>
    <w:rsid w:val="00725F6B"/>
    <w:rsid w:val="00726390"/>
    <w:rsid w:val="0072688B"/>
    <w:rsid w:val="00726DE2"/>
    <w:rsid w:val="00726F7C"/>
    <w:rsid w:val="007270EF"/>
    <w:rsid w:val="00727175"/>
    <w:rsid w:val="00727306"/>
    <w:rsid w:val="00727377"/>
    <w:rsid w:val="00727568"/>
    <w:rsid w:val="00727EB1"/>
    <w:rsid w:val="00727ECB"/>
    <w:rsid w:val="00727EE5"/>
    <w:rsid w:val="007303A6"/>
    <w:rsid w:val="007306C8"/>
    <w:rsid w:val="007306C9"/>
    <w:rsid w:val="007308B3"/>
    <w:rsid w:val="00730BCD"/>
    <w:rsid w:val="00731541"/>
    <w:rsid w:val="00731DF1"/>
    <w:rsid w:val="0073206D"/>
    <w:rsid w:val="00732843"/>
    <w:rsid w:val="007329D3"/>
    <w:rsid w:val="00733572"/>
    <w:rsid w:val="00733667"/>
    <w:rsid w:val="00733776"/>
    <w:rsid w:val="00734826"/>
    <w:rsid w:val="00734CF3"/>
    <w:rsid w:val="00734F14"/>
    <w:rsid w:val="00734FD5"/>
    <w:rsid w:val="007351DA"/>
    <w:rsid w:val="007352D7"/>
    <w:rsid w:val="00735633"/>
    <w:rsid w:val="007357CD"/>
    <w:rsid w:val="00735871"/>
    <w:rsid w:val="007359BE"/>
    <w:rsid w:val="00735A94"/>
    <w:rsid w:val="00735CD8"/>
    <w:rsid w:val="0073650C"/>
    <w:rsid w:val="00736765"/>
    <w:rsid w:val="00736793"/>
    <w:rsid w:val="0073692E"/>
    <w:rsid w:val="00736EF6"/>
    <w:rsid w:val="007374A2"/>
    <w:rsid w:val="007374CA"/>
    <w:rsid w:val="00737A2F"/>
    <w:rsid w:val="00737D2D"/>
    <w:rsid w:val="007402A1"/>
    <w:rsid w:val="00740606"/>
    <w:rsid w:val="00740836"/>
    <w:rsid w:val="00740FF4"/>
    <w:rsid w:val="00741389"/>
    <w:rsid w:val="007421BF"/>
    <w:rsid w:val="007424CA"/>
    <w:rsid w:val="007427DE"/>
    <w:rsid w:val="00742D29"/>
    <w:rsid w:val="00742F97"/>
    <w:rsid w:val="00742FC2"/>
    <w:rsid w:val="007431D3"/>
    <w:rsid w:val="007432F4"/>
    <w:rsid w:val="00743442"/>
    <w:rsid w:val="00743452"/>
    <w:rsid w:val="00743981"/>
    <w:rsid w:val="00743B22"/>
    <w:rsid w:val="0074421F"/>
    <w:rsid w:val="0074424C"/>
    <w:rsid w:val="007442CF"/>
    <w:rsid w:val="00744712"/>
    <w:rsid w:val="00744A00"/>
    <w:rsid w:val="00744FC1"/>
    <w:rsid w:val="00745376"/>
    <w:rsid w:val="00745380"/>
    <w:rsid w:val="00745422"/>
    <w:rsid w:val="007454D2"/>
    <w:rsid w:val="007455E2"/>
    <w:rsid w:val="00745A96"/>
    <w:rsid w:val="00746048"/>
    <w:rsid w:val="00746938"/>
    <w:rsid w:val="0074747A"/>
    <w:rsid w:val="007478F9"/>
    <w:rsid w:val="00747AF3"/>
    <w:rsid w:val="00747C39"/>
    <w:rsid w:val="00747D32"/>
    <w:rsid w:val="00750151"/>
    <w:rsid w:val="0075038A"/>
    <w:rsid w:val="0075062E"/>
    <w:rsid w:val="007506A4"/>
    <w:rsid w:val="00750747"/>
    <w:rsid w:val="00750B08"/>
    <w:rsid w:val="00750D75"/>
    <w:rsid w:val="00750E2A"/>
    <w:rsid w:val="00751305"/>
    <w:rsid w:val="007519BA"/>
    <w:rsid w:val="00751A4A"/>
    <w:rsid w:val="00751C24"/>
    <w:rsid w:val="00751C5B"/>
    <w:rsid w:val="00751EB2"/>
    <w:rsid w:val="00751FEE"/>
    <w:rsid w:val="007522A3"/>
    <w:rsid w:val="007524F5"/>
    <w:rsid w:val="00752DE6"/>
    <w:rsid w:val="0075316C"/>
    <w:rsid w:val="007532D9"/>
    <w:rsid w:val="007534B8"/>
    <w:rsid w:val="007534FC"/>
    <w:rsid w:val="007537F9"/>
    <w:rsid w:val="00753984"/>
    <w:rsid w:val="007539AF"/>
    <w:rsid w:val="00753B96"/>
    <w:rsid w:val="00753C28"/>
    <w:rsid w:val="00753EE8"/>
    <w:rsid w:val="00753F89"/>
    <w:rsid w:val="007541C3"/>
    <w:rsid w:val="007544B9"/>
    <w:rsid w:val="007545B8"/>
    <w:rsid w:val="0075463F"/>
    <w:rsid w:val="0075480E"/>
    <w:rsid w:val="007549B4"/>
    <w:rsid w:val="00754B4B"/>
    <w:rsid w:val="007554EF"/>
    <w:rsid w:val="00755526"/>
    <w:rsid w:val="007556DD"/>
    <w:rsid w:val="0075597E"/>
    <w:rsid w:val="00755988"/>
    <w:rsid w:val="00756325"/>
    <w:rsid w:val="0075633E"/>
    <w:rsid w:val="00756693"/>
    <w:rsid w:val="00756997"/>
    <w:rsid w:val="00756D75"/>
    <w:rsid w:val="00756D9C"/>
    <w:rsid w:val="00757035"/>
    <w:rsid w:val="007573B5"/>
    <w:rsid w:val="00757817"/>
    <w:rsid w:val="0075783F"/>
    <w:rsid w:val="007578DF"/>
    <w:rsid w:val="00757C56"/>
    <w:rsid w:val="007600AE"/>
    <w:rsid w:val="007603EC"/>
    <w:rsid w:val="00760AC5"/>
    <w:rsid w:val="00760FE8"/>
    <w:rsid w:val="00761303"/>
    <w:rsid w:val="00761684"/>
    <w:rsid w:val="0076181C"/>
    <w:rsid w:val="00762019"/>
    <w:rsid w:val="00762051"/>
    <w:rsid w:val="00762062"/>
    <w:rsid w:val="007624E0"/>
    <w:rsid w:val="00762CB5"/>
    <w:rsid w:val="00763D07"/>
    <w:rsid w:val="00763D23"/>
    <w:rsid w:val="00763D90"/>
    <w:rsid w:val="007644CD"/>
    <w:rsid w:val="00764A21"/>
    <w:rsid w:val="007657DC"/>
    <w:rsid w:val="00765B0B"/>
    <w:rsid w:val="00766550"/>
    <w:rsid w:val="0076671A"/>
    <w:rsid w:val="007672CB"/>
    <w:rsid w:val="007673BC"/>
    <w:rsid w:val="007673DB"/>
    <w:rsid w:val="00767E79"/>
    <w:rsid w:val="00770220"/>
    <w:rsid w:val="007703D3"/>
    <w:rsid w:val="007704A7"/>
    <w:rsid w:val="00770D5A"/>
    <w:rsid w:val="00770D8A"/>
    <w:rsid w:val="00771668"/>
    <w:rsid w:val="00771723"/>
    <w:rsid w:val="00771C9F"/>
    <w:rsid w:val="0077220F"/>
    <w:rsid w:val="00772AD8"/>
    <w:rsid w:val="00772C92"/>
    <w:rsid w:val="007733C4"/>
    <w:rsid w:val="007738CC"/>
    <w:rsid w:val="00773954"/>
    <w:rsid w:val="00773B29"/>
    <w:rsid w:val="00773F07"/>
    <w:rsid w:val="00774024"/>
    <w:rsid w:val="0077407C"/>
    <w:rsid w:val="00774592"/>
    <w:rsid w:val="007756C8"/>
    <w:rsid w:val="007757F5"/>
    <w:rsid w:val="00775B5C"/>
    <w:rsid w:val="00775CDC"/>
    <w:rsid w:val="00775EBF"/>
    <w:rsid w:val="00776190"/>
    <w:rsid w:val="007761BE"/>
    <w:rsid w:val="0077623D"/>
    <w:rsid w:val="007762D3"/>
    <w:rsid w:val="007766B0"/>
    <w:rsid w:val="007768AB"/>
    <w:rsid w:val="00776AA2"/>
    <w:rsid w:val="00776B69"/>
    <w:rsid w:val="00776D4A"/>
    <w:rsid w:val="00777429"/>
    <w:rsid w:val="0077753B"/>
    <w:rsid w:val="00777C63"/>
    <w:rsid w:val="007809D5"/>
    <w:rsid w:val="00780F4F"/>
    <w:rsid w:val="00780F68"/>
    <w:rsid w:val="00781023"/>
    <w:rsid w:val="0078112C"/>
    <w:rsid w:val="00781295"/>
    <w:rsid w:val="007813E7"/>
    <w:rsid w:val="00781420"/>
    <w:rsid w:val="00781ECB"/>
    <w:rsid w:val="00781F4D"/>
    <w:rsid w:val="007826CD"/>
    <w:rsid w:val="0078277F"/>
    <w:rsid w:val="007827F9"/>
    <w:rsid w:val="00782A20"/>
    <w:rsid w:val="00782EFD"/>
    <w:rsid w:val="00783BB1"/>
    <w:rsid w:val="007841E3"/>
    <w:rsid w:val="00784241"/>
    <w:rsid w:val="00784255"/>
    <w:rsid w:val="007842BB"/>
    <w:rsid w:val="0078430B"/>
    <w:rsid w:val="00784543"/>
    <w:rsid w:val="00784E4F"/>
    <w:rsid w:val="00784FD1"/>
    <w:rsid w:val="00785188"/>
    <w:rsid w:val="007851F9"/>
    <w:rsid w:val="00785513"/>
    <w:rsid w:val="00785B10"/>
    <w:rsid w:val="00785FB2"/>
    <w:rsid w:val="007864AC"/>
    <w:rsid w:val="007870ED"/>
    <w:rsid w:val="00787282"/>
    <w:rsid w:val="007873AB"/>
    <w:rsid w:val="007873FA"/>
    <w:rsid w:val="0078791B"/>
    <w:rsid w:val="007879D6"/>
    <w:rsid w:val="00787EBA"/>
    <w:rsid w:val="0079013B"/>
    <w:rsid w:val="007903C1"/>
    <w:rsid w:val="007903C6"/>
    <w:rsid w:val="00790701"/>
    <w:rsid w:val="00790766"/>
    <w:rsid w:val="007907C6"/>
    <w:rsid w:val="007908E8"/>
    <w:rsid w:val="00790AF0"/>
    <w:rsid w:val="00790DC1"/>
    <w:rsid w:val="00791206"/>
    <w:rsid w:val="007915D1"/>
    <w:rsid w:val="00791B15"/>
    <w:rsid w:val="00791CA7"/>
    <w:rsid w:val="00791DFC"/>
    <w:rsid w:val="00791E4B"/>
    <w:rsid w:val="007921FE"/>
    <w:rsid w:val="007922B8"/>
    <w:rsid w:val="007923E9"/>
    <w:rsid w:val="007929D7"/>
    <w:rsid w:val="00792BE6"/>
    <w:rsid w:val="00792BFB"/>
    <w:rsid w:val="00792E51"/>
    <w:rsid w:val="007932DD"/>
    <w:rsid w:val="007932E1"/>
    <w:rsid w:val="007934AB"/>
    <w:rsid w:val="0079369B"/>
    <w:rsid w:val="00793A9C"/>
    <w:rsid w:val="00793D98"/>
    <w:rsid w:val="00793F2C"/>
    <w:rsid w:val="00793F34"/>
    <w:rsid w:val="0079473D"/>
    <w:rsid w:val="007950CA"/>
    <w:rsid w:val="007950F8"/>
    <w:rsid w:val="0079531D"/>
    <w:rsid w:val="0079539B"/>
    <w:rsid w:val="00795514"/>
    <w:rsid w:val="00795944"/>
    <w:rsid w:val="00795F42"/>
    <w:rsid w:val="00796089"/>
    <w:rsid w:val="00796C01"/>
    <w:rsid w:val="0079705D"/>
    <w:rsid w:val="00797449"/>
    <w:rsid w:val="00797519"/>
    <w:rsid w:val="007977C0"/>
    <w:rsid w:val="007979D2"/>
    <w:rsid w:val="00797DAD"/>
    <w:rsid w:val="007A0076"/>
    <w:rsid w:val="007A04C9"/>
    <w:rsid w:val="007A06BA"/>
    <w:rsid w:val="007A082F"/>
    <w:rsid w:val="007A0841"/>
    <w:rsid w:val="007A191D"/>
    <w:rsid w:val="007A1A61"/>
    <w:rsid w:val="007A2087"/>
    <w:rsid w:val="007A2137"/>
    <w:rsid w:val="007A2221"/>
    <w:rsid w:val="007A227D"/>
    <w:rsid w:val="007A278D"/>
    <w:rsid w:val="007A2D90"/>
    <w:rsid w:val="007A2E34"/>
    <w:rsid w:val="007A2EA1"/>
    <w:rsid w:val="007A2F77"/>
    <w:rsid w:val="007A313A"/>
    <w:rsid w:val="007A32C2"/>
    <w:rsid w:val="007A3C6F"/>
    <w:rsid w:val="007A3DD8"/>
    <w:rsid w:val="007A4266"/>
    <w:rsid w:val="007A4665"/>
    <w:rsid w:val="007A4673"/>
    <w:rsid w:val="007A47E6"/>
    <w:rsid w:val="007A48C8"/>
    <w:rsid w:val="007A48F0"/>
    <w:rsid w:val="007A4AB7"/>
    <w:rsid w:val="007A4CE1"/>
    <w:rsid w:val="007A516B"/>
    <w:rsid w:val="007A5BD2"/>
    <w:rsid w:val="007A60B7"/>
    <w:rsid w:val="007A6454"/>
    <w:rsid w:val="007A6499"/>
    <w:rsid w:val="007A64DA"/>
    <w:rsid w:val="007A6E99"/>
    <w:rsid w:val="007A7687"/>
    <w:rsid w:val="007A77B9"/>
    <w:rsid w:val="007A793A"/>
    <w:rsid w:val="007A7B75"/>
    <w:rsid w:val="007A7E37"/>
    <w:rsid w:val="007A7FF4"/>
    <w:rsid w:val="007B0099"/>
    <w:rsid w:val="007B0743"/>
    <w:rsid w:val="007B0B12"/>
    <w:rsid w:val="007B0BF0"/>
    <w:rsid w:val="007B0EFB"/>
    <w:rsid w:val="007B19B6"/>
    <w:rsid w:val="007B1D5C"/>
    <w:rsid w:val="007B2514"/>
    <w:rsid w:val="007B284B"/>
    <w:rsid w:val="007B30A7"/>
    <w:rsid w:val="007B327B"/>
    <w:rsid w:val="007B32D7"/>
    <w:rsid w:val="007B353C"/>
    <w:rsid w:val="007B4044"/>
    <w:rsid w:val="007B4806"/>
    <w:rsid w:val="007B4FA3"/>
    <w:rsid w:val="007B57F5"/>
    <w:rsid w:val="007B59D4"/>
    <w:rsid w:val="007B67BA"/>
    <w:rsid w:val="007B6B6D"/>
    <w:rsid w:val="007B721D"/>
    <w:rsid w:val="007B75A2"/>
    <w:rsid w:val="007B7641"/>
    <w:rsid w:val="007B7ABE"/>
    <w:rsid w:val="007B7BBE"/>
    <w:rsid w:val="007B7D1D"/>
    <w:rsid w:val="007C050D"/>
    <w:rsid w:val="007C058F"/>
    <w:rsid w:val="007C0D7C"/>
    <w:rsid w:val="007C1175"/>
    <w:rsid w:val="007C11E1"/>
    <w:rsid w:val="007C14C9"/>
    <w:rsid w:val="007C1656"/>
    <w:rsid w:val="007C182A"/>
    <w:rsid w:val="007C1998"/>
    <w:rsid w:val="007C19F3"/>
    <w:rsid w:val="007C19FD"/>
    <w:rsid w:val="007C1A06"/>
    <w:rsid w:val="007C1E8C"/>
    <w:rsid w:val="007C27DC"/>
    <w:rsid w:val="007C2FDA"/>
    <w:rsid w:val="007C3058"/>
    <w:rsid w:val="007C337C"/>
    <w:rsid w:val="007C348F"/>
    <w:rsid w:val="007C36A5"/>
    <w:rsid w:val="007C3972"/>
    <w:rsid w:val="007C3A55"/>
    <w:rsid w:val="007C3A73"/>
    <w:rsid w:val="007C3D12"/>
    <w:rsid w:val="007C3EA1"/>
    <w:rsid w:val="007C4066"/>
    <w:rsid w:val="007C4283"/>
    <w:rsid w:val="007C4335"/>
    <w:rsid w:val="007C439F"/>
    <w:rsid w:val="007C46D5"/>
    <w:rsid w:val="007C4928"/>
    <w:rsid w:val="007C49F8"/>
    <w:rsid w:val="007C4B84"/>
    <w:rsid w:val="007C4D11"/>
    <w:rsid w:val="007C4E0C"/>
    <w:rsid w:val="007C5106"/>
    <w:rsid w:val="007C52DA"/>
    <w:rsid w:val="007C5314"/>
    <w:rsid w:val="007C531C"/>
    <w:rsid w:val="007C5473"/>
    <w:rsid w:val="007C57EC"/>
    <w:rsid w:val="007C6205"/>
    <w:rsid w:val="007C6249"/>
    <w:rsid w:val="007C63C7"/>
    <w:rsid w:val="007C653E"/>
    <w:rsid w:val="007C6630"/>
    <w:rsid w:val="007C6B48"/>
    <w:rsid w:val="007C71BD"/>
    <w:rsid w:val="007C74E9"/>
    <w:rsid w:val="007C7A10"/>
    <w:rsid w:val="007C7A2E"/>
    <w:rsid w:val="007C7BEC"/>
    <w:rsid w:val="007C7F87"/>
    <w:rsid w:val="007D04F0"/>
    <w:rsid w:val="007D0680"/>
    <w:rsid w:val="007D0A05"/>
    <w:rsid w:val="007D0A1D"/>
    <w:rsid w:val="007D0BB0"/>
    <w:rsid w:val="007D1377"/>
    <w:rsid w:val="007D14F2"/>
    <w:rsid w:val="007D17C8"/>
    <w:rsid w:val="007D1BA1"/>
    <w:rsid w:val="007D1C0A"/>
    <w:rsid w:val="007D1E31"/>
    <w:rsid w:val="007D20C3"/>
    <w:rsid w:val="007D2426"/>
    <w:rsid w:val="007D24E2"/>
    <w:rsid w:val="007D262B"/>
    <w:rsid w:val="007D2639"/>
    <w:rsid w:val="007D2831"/>
    <w:rsid w:val="007D32DF"/>
    <w:rsid w:val="007D337A"/>
    <w:rsid w:val="007D3712"/>
    <w:rsid w:val="007D3B2A"/>
    <w:rsid w:val="007D3C4A"/>
    <w:rsid w:val="007D3E42"/>
    <w:rsid w:val="007D3EF1"/>
    <w:rsid w:val="007D3F2C"/>
    <w:rsid w:val="007D4141"/>
    <w:rsid w:val="007D438F"/>
    <w:rsid w:val="007D4499"/>
    <w:rsid w:val="007D4585"/>
    <w:rsid w:val="007D458A"/>
    <w:rsid w:val="007D4800"/>
    <w:rsid w:val="007D4A40"/>
    <w:rsid w:val="007D4EFC"/>
    <w:rsid w:val="007D52DD"/>
    <w:rsid w:val="007D52E6"/>
    <w:rsid w:val="007D549A"/>
    <w:rsid w:val="007D56CA"/>
    <w:rsid w:val="007D58CE"/>
    <w:rsid w:val="007D591E"/>
    <w:rsid w:val="007D5DF2"/>
    <w:rsid w:val="007D61CF"/>
    <w:rsid w:val="007D65E5"/>
    <w:rsid w:val="007D670D"/>
    <w:rsid w:val="007D676B"/>
    <w:rsid w:val="007D6E3B"/>
    <w:rsid w:val="007D6E69"/>
    <w:rsid w:val="007D70E2"/>
    <w:rsid w:val="007D7302"/>
    <w:rsid w:val="007D77E9"/>
    <w:rsid w:val="007D7B99"/>
    <w:rsid w:val="007D7D5A"/>
    <w:rsid w:val="007D7FE1"/>
    <w:rsid w:val="007E0947"/>
    <w:rsid w:val="007E1079"/>
    <w:rsid w:val="007E1155"/>
    <w:rsid w:val="007E171B"/>
    <w:rsid w:val="007E17C2"/>
    <w:rsid w:val="007E17D9"/>
    <w:rsid w:val="007E17DD"/>
    <w:rsid w:val="007E1B25"/>
    <w:rsid w:val="007E1B37"/>
    <w:rsid w:val="007E1BE5"/>
    <w:rsid w:val="007E1CDF"/>
    <w:rsid w:val="007E1F1C"/>
    <w:rsid w:val="007E2034"/>
    <w:rsid w:val="007E21FA"/>
    <w:rsid w:val="007E298B"/>
    <w:rsid w:val="007E2B4F"/>
    <w:rsid w:val="007E2EA1"/>
    <w:rsid w:val="007E2F79"/>
    <w:rsid w:val="007E301B"/>
    <w:rsid w:val="007E3269"/>
    <w:rsid w:val="007E3412"/>
    <w:rsid w:val="007E35C3"/>
    <w:rsid w:val="007E39B1"/>
    <w:rsid w:val="007E3A99"/>
    <w:rsid w:val="007E3AEB"/>
    <w:rsid w:val="007E3D0A"/>
    <w:rsid w:val="007E3EB4"/>
    <w:rsid w:val="007E4641"/>
    <w:rsid w:val="007E4B3F"/>
    <w:rsid w:val="007E4D1E"/>
    <w:rsid w:val="007E4F6B"/>
    <w:rsid w:val="007E5318"/>
    <w:rsid w:val="007E5445"/>
    <w:rsid w:val="007E58F7"/>
    <w:rsid w:val="007E5C9A"/>
    <w:rsid w:val="007E5E51"/>
    <w:rsid w:val="007E6414"/>
    <w:rsid w:val="007E6AA9"/>
    <w:rsid w:val="007E6EC5"/>
    <w:rsid w:val="007E7092"/>
    <w:rsid w:val="007E718D"/>
    <w:rsid w:val="007E71AE"/>
    <w:rsid w:val="007E7B1E"/>
    <w:rsid w:val="007E7D48"/>
    <w:rsid w:val="007F0F6A"/>
    <w:rsid w:val="007F103D"/>
    <w:rsid w:val="007F11C6"/>
    <w:rsid w:val="007F1502"/>
    <w:rsid w:val="007F1524"/>
    <w:rsid w:val="007F16B0"/>
    <w:rsid w:val="007F1893"/>
    <w:rsid w:val="007F230D"/>
    <w:rsid w:val="007F25EE"/>
    <w:rsid w:val="007F2F21"/>
    <w:rsid w:val="007F3039"/>
    <w:rsid w:val="007F34BE"/>
    <w:rsid w:val="007F357A"/>
    <w:rsid w:val="007F35E0"/>
    <w:rsid w:val="007F3908"/>
    <w:rsid w:val="007F39CB"/>
    <w:rsid w:val="007F39F2"/>
    <w:rsid w:val="007F427D"/>
    <w:rsid w:val="007F4358"/>
    <w:rsid w:val="007F43D1"/>
    <w:rsid w:val="007F446E"/>
    <w:rsid w:val="007F4BAC"/>
    <w:rsid w:val="007F4EBC"/>
    <w:rsid w:val="007F5357"/>
    <w:rsid w:val="007F5E6A"/>
    <w:rsid w:val="007F64BA"/>
    <w:rsid w:val="007F651B"/>
    <w:rsid w:val="007F6747"/>
    <w:rsid w:val="007F69CF"/>
    <w:rsid w:val="007F6A15"/>
    <w:rsid w:val="007F6D13"/>
    <w:rsid w:val="007F71D2"/>
    <w:rsid w:val="007F7753"/>
    <w:rsid w:val="007F7761"/>
    <w:rsid w:val="007F7A37"/>
    <w:rsid w:val="007F7AAA"/>
    <w:rsid w:val="007F7C6E"/>
    <w:rsid w:val="00800120"/>
    <w:rsid w:val="0080060E"/>
    <w:rsid w:val="008006EE"/>
    <w:rsid w:val="00800842"/>
    <w:rsid w:val="008008CF"/>
    <w:rsid w:val="00800A40"/>
    <w:rsid w:val="00800C4F"/>
    <w:rsid w:val="00800D13"/>
    <w:rsid w:val="00800E23"/>
    <w:rsid w:val="00800EB0"/>
    <w:rsid w:val="00800F4E"/>
    <w:rsid w:val="00800F68"/>
    <w:rsid w:val="008016A9"/>
    <w:rsid w:val="00801996"/>
    <w:rsid w:val="00801C06"/>
    <w:rsid w:val="00801DDF"/>
    <w:rsid w:val="00801E0C"/>
    <w:rsid w:val="008022CF"/>
    <w:rsid w:val="008026B6"/>
    <w:rsid w:val="008028E7"/>
    <w:rsid w:val="0080297C"/>
    <w:rsid w:val="00802C36"/>
    <w:rsid w:val="00802E3A"/>
    <w:rsid w:val="00803127"/>
    <w:rsid w:val="00803212"/>
    <w:rsid w:val="008032A3"/>
    <w:rsid w:val="008037C0"/>
    <w:rsid w:val="008038A7"/>
    <w:rsid w:val="008038AE"/>
    <w:rsid w:val="008038B3"/>
    <w:rsid w:val="00803989"/>
    <w:rsid w:val="0080406A"/>
    <w:rsid w:val="008040FB"/>
    <w:rsid w:val="00804528"/>
    <w:rsid w:val="00804672"/>
    <w:rsid w:val="00804735"/>
    <w:rsid w:val="00804C13"/>
    <w:rsid w:val="00804E85"/>
    <w:rsid w:val="00804F51"/>
    <w:rsid w:val="008052B7"/>
    <w:rsid w:val="00805487"/>
    <w:rsid w:val="00805EE1"/>
    <w:rsid w:val="008060A8"/>
    <w:rsid w:val="00806E38"/>
    <w:rsid w:val="00806E9F"/>
    <w:rsid w:val="00807A28"/>
    <w:rsid w:val="00807D87"/>
    <w:rsid w:val="00810201"/>
    <w:rsid w:val="00810793"/>
    <w:rsid w:val="00810FE6"/>
    <w:rsid w:val="00811294"/>
    <w:rsid w:val="008112DA"/>
    <w:rsid w:val="008112FB"/>
    <w:rsid w:val="008113DD"/>
    <w:rsid w:val="008115DF"/>
    <w:rsid w:val="00811780"/>
    <w:rsid w:val="0081189B"/>
    <w:rsid w:val="00811912"/>
    <w:rsid w:val="0081192A"/>
    <w:rsid w:val="00812735"/>
    <w:rsid w:val="0081275E"/>
    <w:rsid w:val="00812B7A"/>
    <w:rsid w:val="00813398"/>
    <w:rsid w:val="00813681"/>
    <w:rsid w:val="0081372B"/>
    <w:rsid w:val="008139C7"/>
    <w:rsid w:val="008139EB"/>
    <w:rsid w:val="00813C42"/>
    <w:rsid w:val="00814350"/>
    <w:rsid w:val="008145F1"/>
    <w:rsid w:val="0081499E"/>
    <w:rsid w:val="00814CAC"/>
    <w:rsid w:val="00814D3B"/>
    <w:rsid w:val="008152C0"/>
    <w:rsid w:val="0081543A"/>
    <w:rsid w:val="008155B3"/>
    <w:rsid w:val="008156CD"/>
    <w:rsid w:val="00815845"/>
    <w:rsid w:val="00815BE9"/>
    <w:rsid w:val="00815C3F"/>
    <w:rsid w:val="00815E56"/>
    <w:rsid w:val="00816524"/>
    <w:rsid w:val="00816900"/>
    <w:rsid w:val="008169AE"/>
    <w:rsid w:val="00816B74"/>
    <w:rsid w:val="00817023"/>
    <w:rsid w:val="008170ED"/>
    <w:rsid w:val="00817248"/>
    <w:rsid w:val="00817433"/>
    <w:rsid w:val="00817E04"/>
    <w:rsid w:val="00817F25"/>
    <w:rsid w:val="008201EC"/>
    <w:rsid w:val="00820567"/>
    <w:rsid w:val="00820689"/>
    <w:rsid w:val="0082102D"/>
    <w:rsid w:val="0082131F"/>
    <w:rsid w:val="008217B0"/>
    <w:rsid w:val="00821B68"/>
    <w:rsid w:val="00821BE4"/>
    <w:rsid w:val="00821E8F"/>
    <w:rsid w:val="00821F85"/>
    <w:rsid w:val="008225E9"/>
    <w:rsid w:val="00822883"/>
    <w:rsid w:val="0082294F"/>
    <w:rsid w:val="00822954"/>
    <w:rsid w:val="00822C29"/>
    <w:rsid w:val="00822E36"/>
    <w:rsid w:val="00822F88"/>
    <w:rsid w:val="008234C6"/>
    <w:rsid w:val="00823731"/>
    <w:rsid w:val="0082395C"/>
    <w:rsid w:val="00823AFD"/>
    <w:rsid w:val="00823C7C"/>
    <w:rsid w:val="00823E36"/>
    <w:rsid w:val="00823E91"/>
    <w:rsid w:val="0082403D"/>
    <w:rsid w:val="00824255"/>
    <w:rsid w:val="00824E7D"/>
    <w:rsid w:val="00825022"/>
    <w:rsid w:val="00825BE0"/>
    <w:rsid w:val="00825C22"/>
    <w:rsid w:val="008260E4"/>
    <w:rsid w:val="00826773"/>
    <w:rsid w:val="00826D2C"/>
    <w:rsid w:val="0082728A"/>
    <w:rsid w:val="00827449"/>
    <w:rsid w:val="0082764E"/>
    <w:rsid w:val="00827DDF"/>
    <w:rsid w:val="008304A0"/>
    <w:rsid w:val="0083050D"/>
    <w:rsid w:val="008305A4"/>
    <w:rsid w:val="0083061C"/>
    <w:rsid w:val="00830640"/>
    <w:rsid w:val="0083067A"/>
    <w:rsid w:val="00830955"/>
    <w:rsid w:val="00831057"/>
    <w:rsid w:val="008310DC"/>
    <w:rsid w:val="00831491"/>
    <w:rsid w:val="00831560"/>
    <w:rsid w:val="00831738"/>
    <w:rsid w:val="0083186A"/>
    <w:rsid w:val="008319E1"/>
    <w:rsid w:val="00831AC6"/>
    <w:rsid w:val="00831E16"/>
    <w:rsid w:val="00831E41"/>
    <w:rsid w:val="00831FB7"/>
    <w:rsid w:val="008321B2"/>
    <w:rsid w:val="008326CD"/>
    <w:rsid w:val="00832CAF"/>
    <w:rsid w:val="00832FFB"/>
    <w:rsid w:val="00833054"/>
    <w:rsid w:val="0083333D"/>
    <w:rsid w:val="0083364B"/>
    <w:rsid w:val="008338E8"/>
    <w:rsid w:val="00833E77"/>
    <w:rsid w:val="00833F2E"/>
    <w:rsid w:val="008340B1"/>
    <w:rsid w:val="008340EC"/>
    <w:rsid w:val="00834194"/>
    <w:rsid w:val="008345D0"/>
    <w:rsid w:val="00834B2F"/>
    <w:rsid w:val="00834C8E"/>
    <w:rsid w:val="00835057"/>
    <w:rsid w:val="008353CB"/>
    <w:rsid w:val="008358B6"/>
    <w:rsid w:val="00836982"/>
    <w:rsid w:val="00836B43"/>
    <w:rsid w:val="00836CB6"/>
    <w:rsid w:val="00836D60"/>
    <w:rsid w:val="00837318"/>
    <w:rsid w:val="0083764F"/>
    <w:rsid w:val="00837DF7"/>
    <w:rsid w:val="008401B2"/>
    <w:rsid w:val="00840338"/>
    <w:rsid w:val="008409B5"/>
    <w:rsid w:val="00840B41"/>
    <w:rsid w:val="008416DC"/>
    <w:rsid w:val="00841856"/>
    <w:rsid w:val="008419F0"/>
    <w:rsid w:val="00842208"/>
    <w:rsid w:val="0084237F"/>
    <w:rsid w:val="00842589"/>
    <w:rsid w:val="008425FD"/>
    <w:rsid w:val="00842698"/>
    <w:rsid w:val="0084288F"/>
    <w:rsid w:val="00842B65"/>
    <w:rsid w:val="00842FC5"/>
    <w:rsid w:val="00843239"/>
    <w:rsid w:val="008433BD"/>
    <w:rsid w:val="0084356A"/>
    <w:rsid w:val="00843572"/>
    <w:rsid w:val="00843603"/>
    <w:rsid w:val="00843698"/>
    <w:rsid w:val="008439BD"/>
    <w:rsid w:val="00843AE8"/>
    <w:rsid w:val="00843B55"/>
    <w:rsid w:val="0084481C"/>
    <w:rsid w:val="00844EA7"/>
    <w:rsid w:val="00844F51"/>
    <w:rsid w:val="00845058"/>
    <w:rsid w:val="008456B1"/>
    <w:rsid w:val="008456F1"/>
    <w:rsid w:val="00845B1D"/>
    <w:rsid w:val="00845BCA"/>
    <w:rsid w:val="00846233"/>
    <w:rsid w:val="00846741"/>
    <w:rsid w:val="00847050"/>
    <w:rsid w:val="0084742A"/>
    <w:rsid w:val="0084744E"/>
    <w:rsid w:val="00847644"/>
    <w:rsid w:val="008476C4"/>
    <w:rsid w:val="00847842"/>
    <w:rsid w:val="00847873"/>
    <w:rsid w:val="00847C60"/>
    <w:rsid w:val="00847F19"/>
    <w:rsid w:val="00850172"/>
    <w:rsid w:val="008502F5"/>
    <w:rsid w:val="00850445"/>
    <w:rsid w:val="008506BA"/>
    <w:rsid w:val="00850A9C"/>
    <w:rsid w:val="00850C01"/>
    <w:rsid w:val="00850E28"/>
    <w:rsid w:val="00851070"/>
    <w:rsid w:val="00851228"/>
    <w:rsid w:val="008515F2"/>
    <w:rsid w:val="00851D33"/>
    <w:rsid w:val="0085226D"/>
    <w:rsid w:val="00852408"/>
    <w:rsid w:val="00852455"/>
    <w:rsid w:val="0085285C"/>
    <w:rsid w:val="0085285F"/>
    <w:rsid w:val="00852A9D"/>
    <w:rsid w:val="00852AF6"/>
    <w:rsid w:val="00852B5E"/>
    <w:rsid w:val="00852E2D"/>
    <w:rsid w:val="00852F99"/>
    <w:rsid w:val="00852FC5"/>
    <w:rsid w:val="00853004"/>
    <w:rsid w:val="00853047"/>
    <w:rsid w:val="00853641"/>
    <w:rsid w:val="00853D66"/>
    <w:rsid w:val="00854686"/>
    <w:rsid w:val="00854941"/>
    <w:rsid w:val="008553E8"/>
    <w:rsid w:val="00855624"/>
    <w:rsid w:val="0085563D"/>
    <w:rsid w:val="00855870"/>
    <w:rsid w:val="00855BFA"/>
    <w:rsid w:val="00855D36"/>
    <w:rsid w:val="00855ED8"/>
    <w:rsid w:val="00855F33"/>
    <w:rsid w:val="00855FCD"/>
    <w:rsid w:val="008564A4"/>
    <w:rsid w:val="00856542"/>
    <w:rsid w:val="00856742"/>
    <w:rsid w:val="00856825"/>
    <w:rsid w:val="00856B89"/>
    <w:rsid w:val="008571F4"/>
    <w:rsid w:val="0085755F"/>
    <w:rsid w:val="00857622"/>
    <w:rsid w:val="0085769C"/>
    <w:rsid w:val="00857CD2"/>
    <w:rsid w:val="00857D35"/>
    <w:rsid w:val="008607F4"/>
    <w:rsid w:val="00860851"/>
    <w:rsid w:val="008608DD"/>
    <w:rsid w:val="0086091B"/>
    <w:rsid w:val="00860B5B"/>
    <w:rsid w:val="00860CDD"/>
    <w:rsid w:val="00860D25"/>
    <w:rsid w:val="008618EE"/>
    <w:rsid w:val="00861C02"/>
    <w:rsid w:val="00861D85"/>
    <w:rsid w:val="00862106"/>
    <w:rsid w:val="0086263B"/>
    <w:rsid w:val="00863584"/>
    <w:rsid w:val="008638EE"/>
    <w:rsid w:val="008639EF"/>
    <w:rsid w:val="008643A8"/>
    <w:rsid w:val="008645E3"/>
    <w:rsid w:val="008646DA"/>
    <w:rsid w:val="00864AB7"/>
    <w:rsid w:val="00864C83"/>
    <w:rsid w:val="008653AD"/>
    <w:rsid w:val="008653F6"/>
    <w:rsid w:val="0086555E"/>
    <w:rsid w:val="008656EA"/>
    <w:rsid w:val="00865707"/>
    <w:rsid w:val="00865A0C"/>
    <w:rsid w:val="00865C96"/>
    <w:rsid w:val="00865D2B"/>
    <w:rsid w:val="00865FE6"/>
    <w:rsid w:val="00866150"/>
    <w:rsid w:val="008666A4"/>
    <w:rsid w:val="00866C9C"/>
    <w:rsid w:val="00866CFD"/>
    <w:rsid w:val="00866FF8"/>
    <w:rsid w:val="00867205"/>
    <w:rsid w:val="00867C26"/>
    <w:rsid w:val="00867DC7"/>
    <w:rsid w:val="00870000"/>
    <w:rsid w:val="00870166"/>
    <w:rsid w:val="00870255"/>
    <w:rsid w:val="0087083E"/>
    <w:rsid w:val="008709C0"/>
    <w:rsid w:val="0087159E"/>
    <w:rsid w:val="008716FC"/>
    <w:rsid w:val="00871A3F"/>
    <w:rsid w:val="00871BD4"/>
    <w:rsid w:val="00871C50"/>
    <w:rsid w:val="00872111"/>
    <w:rsid w:val="008722E8"/>
    <w:rsid w:val="00872550"/>
    <w:rsid w:val="00872C03"/>
    <w:rsid w:val="008730C3"/>
    <w:rsid w:val="0087339F"/>
    <w:rsid w:val="0087351F"/>
    <w:rsid w:val="0087353E"/>
    <w:rsid w:val="00873D93"/>
    <w:rsid w:val="00873DDB"/>
    <w:rsid w:val="0087444C"/>
    <w:rsid w:val="008746DB"/>
    <w:rsid w:val="00874DE5"/>
    <w:rsid w:val="00874F0D"/>
    <w:rsid w:val="008752A9"/>
    <w:rsid w:val="00875C22"/>
    <w:rsid w:val="00875EAF"/>
    <w:rsid w:val="00875F00"/>
    <w:rsid w:val="008765C8"/>
    <w:rsid w:val="00876668"/>
    <w:rsid w:val="008768B7"/>
    <w:rsid w:val="00876CC0"/>
    <w:rsid w:val="00876ED2"/>
    <w:rsid w:val="00876EE7"/>
    <w:rsid w:val="00876F08"/>
    <w:rsid w:val="00877020"/>
    <w:rsid w:val="00877254"/>
    <w:rsid w:val="0087729A"/>
    <w:rsid w:val="00877319"/>
    <w:rsid w:val="0087776B"/>
    <w:rsid w:val="008777B4"/>
    <w:rsid w:val="00877C14"/>
    <w:rsid w:val="00880450"/>
    <w:rsid w:val="00880475"/>
    <w:rsid w:val="008807B1"/>
    <w:rsid w:val="008809E0"/>
    <w:rsid w:val="00880A20"/>
    <w:rsid w:val="008811C8"/>
    <w:rsid w:val="00881311"/>
    <w:rsid w:val="0088162F"/>
    <w:rsid w:val="0088188F"/>
    <w:rsid w:val="00881A26"/>
    <w:rsid w:val="00881B08"/>
    <w:rsid w:val="00881E2C"/>
    <w:rsid w:val="008820FE"/>
    <w:rsid w:val="00882282"/>
    <w:rsid w:val="00882448"/>
    <w:rsid w:val="0088256E"/>
    <w:rsid w:val="00882D83"/>
    <w:rsid w:val="00882F02"/>
    <w:rsid w:val="00883409"/>
    <w:rsid w:val="00883A37"/>
    <w:rsid w:val="00883E33"/>
    <w:rsid w:val="00883E94"/>
    <w:rsid w:val="008840A5"/>
    <w:rsid w:val="008841F5"/>
    <w:rsid w:val="0088439B"/>
    <w:rsid w:val="00884887"/>
    <w:rsid w:val="00884ABB"/>
    <w:rsid w:val="00884B5D"/>
    <w:rsid w:val="00885138"/>
    <w:rsid w:val="0088582E"/>
    <w:rsid w:val="00885B33"/>
    <w:rsid w:val="00885C4A"/>
    <w:rsid w:val="00886319"/>
    <w:rsid w:val="008863AC"/>
    <w:rsid w:val="00886B2B"/>
    <w:rsid w:val="00886C45"/>
    <w:rsid w:val="00886D5F"/>
    <w:rsid w:val="00886E10"/>
    <w:rsid w:val="00887146"/>
    <w:rsid w:val="008876AB"/>
    <w:rsid w:val="008877B6"/>
    <w:rsid w:val="00887A68"/>
    <w:rsid w:val="0089027B"/>
    <w:rsid w:val="00891009"/>
    <w:rsid w:val="00891263"/>
    <w:rsid w:val="008913DC"/>
    <w:rsid w:val="008915EA"/>
    <w:rsid w:val="00891AF4"/>
    <w:rsid w:val="008925D9"/>
    <w:rsid w:val="00892DE5"/>
    <w:rsid w:val="00893364"/>
    <w:rsid w:val="00893451"/>
    <w:rsid w:val="0089355A"/>
    <w:rsid w:val="008941A7"/>
    <w:rsid w:val="00894578"/>
    <w:rsid w:val="0089509B"/>
    <w:rsid w:val="0089578B"/>
    <w:rsid w:val="00895952"/>
    <w:rsid w:val="00895D27"/>
    <w:rsid w:val="00895D64"/>
    <w:rsid w:val="00896068"/>
    <w:rsid w:val="008965FD"/>
    <w:rsid w:val="00896B06"/>
    <w:rsid w:val="00896C2F"/>
    <w:rsid w:val="00896C6D"/>
    <w:rsid w:val="008A00B8"/>
    <w:rsid w:val="008A0386"/>
    <w:rsid w:val="008A082C"/>
    <w:rsid w:val="008A0973"/>
    <w:rsid w:val="008A0CD7"/>
    <w:rsid w:val="008A0D61"/>
    <w:rsid w:val="008A0D87"/>
    <w:rsid w:val="008A0EA0"/>
    <w:rsid w:val="008A142F"/>
    <w:rsid w:val="008A14D8"/>
    <w:rsid w:val="008A1996"/>
    <w:rsid w:val="008A1AED"/>
    <w:rsid w:val="008A1C3B"/>
    <w:rsid w:val="008A1D2A"/>
    <w:rsid w:val="008A1FE2"/>
    <w:rsid w:val="008A218F"/>
    <w:rsid w:val="008A231D"/>
    <w:rsid w:val="008A249E"/>
    <w:rsid w:val="008A2775"/>
    <w:rsid w:val="008A28A4"/>
    <w:rsid w:val="008A29AE"/>
    <w:rsid w:val="008A2B1A"/>
    <w:rsid w:val="008A30F5"/>
    <w:rsid w:val="008A3208"/>
    <w:rsid w:val="008A35B5"/>
    <w:rsid w:val="008A369D"/>
    <w:rsid w:val="008A423E"/>
    <w:rsid w:val="008A4571"/>
    <w:rsid w:val="008A54EA"/>
    <w:rsid w:val="008A5691"/>
    <w:rsid w:val="008A580D"/>
    <w:rsid w:val="008A5B7C"/>
    <w:rsid w:val="008A5BBA"/>
    <w:rsid w:val="008A5C5F"/>
    <w:rsid w:val="008A5CBE"/>
    <w:rsid w:val="008A5D8E"/>
    <w:rsid w:val="008A5F3D"/>
    <w:rsid w:val="008A5F5C"/>
    <w:rsid w:val="008A6012"/>
    <w:rsid w:val="008A6116"/>
    <w:rsid w:val="008A64E6"/>
    <w:rsid w:val="008A710E"/>
    <w:rsid w:val="008A745F"/>
    <w:rsid w:val="008A75B2"/>
    <w:rsid w:val="008A7A0B"/>
    <w:rsid w:val="008A7E1E"/>
    <w:rsid w:val="008B0186"/>
    <w:rsid w:val="008B04A2"/>
    <w:rsid w:val="008B0802"/>
    <w:rsid w:val="008B0829"/>
    <w:rsid w:val="008B09AE"/>
    <w:rsid w:val="008B0A10"/>
    <w:rsid w:val="008B1302"/>
    <w:rsid w:val="008B13BE"/>
    <w:rsid w:val="008B23D0"/>
    <w:rsid w:val="008B2458"/>
    <w:rsid w:val="008B26F1"/>
    <w:rsid w:val="008B2920"/>
    <w:rsid w:val="008B2D03"/>
    <w:rsid w:val="008B2F2B"/>
    <w:rsid w:val="008B30C3"/>
    <w:rsid w:val="008B392C"/>
    <w:rsid w:val="008B3A71"/>
    <w:rsid w:val="008B3B7B"/>
    <w:rsid w:val="008B3C61"/>
    <w:rsid w:val="008B3D2C"/>
    <w:rsid w:val="008B3ED0"/>
    <w:rsid w:val="008B4303"/>
    <w:rsid w:val="008B4384"/>
    <w:rsid w:val="008B44A8"/>
    <w:rsid w:val="008B4565"/>
    <w:rsid w:val="008B45DF"/>
    <w:rsid w:val="008B48F5"/>
    <w:rsid w:val="008B4B01"/>
    <w:rsid w:val="008B4B93"/>
    <w:rsid w:val="008B4C72"/>
    <w:rsid w:val="008B4D83"/>
    <w:rsid w:val="008B4F51"/>
    <w:rsid w:val="008B508D"/>
    <w:rsid w:val="008B513D"/>
    <w:rsid w:val="008B528B"/>
    <w:rsid w:val="008B543D"/>
    <w:rsid w:val="008B5479"/>
    <w:rsid w:val="008B5500"/>
    <w:rsid w:val="008B5563"/>
    <w:rsid w:val="008B604B"/>
    <w:rsid w:val="008B6125"/>
    <w:rsid w:val="008B615A"/>
    <w:rsid w:val="008B63A7"/>
    <w:rsid w:val="008B6744"/>
    <w:rsid w:val="008B687C"/>
    <w:rsid w:val="008B6DE7"/>
    <w:rsid w:val="008B70D8"/>
    <w:rsid w:val="008B7397"/>
    <w:rsid w:val="008B75F7"/>
    <w:rsid w:val="008B788E"/>
    <w:rsid w:val="008B7A64"/>
    <w:rsid w:val="008B7AB0"/>
    <w:rsid w:val="008B7FAB"/>
    <w:rsid w:val="008C0615"/>
    <w:rsid w:val="008C06A9"/>
    <w:rsid w:val="008C0824"/>
    <w:rsid w:val="008C085C"/>
    <w:rsid w:val="008C0878"/>
    <w:rsid w:val="008C0A86"/>
    <w:rsid w:val="008C0CD7"/>
    <w:rsid w:val="008C0D85"/>
    <w:rsid w:val="008C0F45"/>
    <w:rsid w:val="008C12FB"/>
    <w:rsid w:val="008C14AF"/>
    <w:rsid w:val="008C1694"/>
    <w:rsid w:val="008C1BA4"/>
    <w:rsid w:val="008C1D91"/>
    <w:rsid w:val="008C2133"/>
    <w:rsid w:val="008C223F"/>
    <w:rsid w:val="008C234F"/>
    <w:rsid w:val="008C23C0"/>
    <w:rsid w:val="008C2626"/>
    <w:rsid w:val="008C2C21"/>
    <w:rsid w:val="008C2E03"/>
    <w:rsid w:val="008C2EBC"/>
    <w:rsid w:val="008C3313"/>
    <w:rsid w:val="008C339D"/>
    <w:rsid w:val="008C36E4"/>
    <w:rsid w:val="008C3887"/>
    <w:rsid w:val="008C3889"/>
    <w:rsid w:val="008C3F1D"/>
    <w:rsid w:val="008C410C"/>
    <w:rsid w:val="008C4496"/>
    <w:rsid w:val="008C4969"/>
    <w:rsid w:val="008C4E8D"/>
    <w:rsid w:val="008C4EFE"/>
    <w:rsid w:val="008C5535"/>
    <w:rsid w:val="008C55E4"/>
    <w:rsid w:val="008C5F20"/>
    <w:rsid w:val="008C5FD5"/>
    <w:rsid w:val="008C61D6"/>
    <w:rsid w:val="008C62DA"/>
    <w:rsid w:val="008C638A"/>
    <w:rsid w:val="008C6683"/>
    <w:rsid w:val="008C683E"/>
    <w:rsid w:val="008C69A3"/>
    <w:rsid w:val="008C6C92"/>
    <w:rsid w:val="008C6CBD"/>
    <w:rsid w:val="008C6D53"/>
    <w:rsid w:val="008C6D88"/>
    <w:rsid w:val="008C6F18"/>
    <w:rsid w:val="008C70EA"/>
    <w:rsid w:val="008C7253"/>
    <w:rsid w:val="008C7552"/>
    <w:rsid w:val="008C755C"/>
    <w:rsid w:val="008C756A"/>
    <w:rsid w:val="008C75B5"/>
    <w:rsid w:val="008C7B38"/>
    <w:rsid w:val="008D01A0"/>
    <w:rsid w:val="008D03FD"/>
    <w:rsid w:val="008D0565"/>
    <w:rsid w:val="008D081D"/>
    <w:rsid w:val="008D09A0"/>
    <w:rsid w:val="008D0BF3"/>
    <w:rsid w:val="008D0C4A"/>
    <w:rsid w:val="008D0C71"/>
    <w:rsid w:val="008D12BC"/>
    <w:rsid w:val="008D1493"/>
    <w:rsid w:val="008D1655"/>
    <w:rsid w:val="008D17E3"/>
    <w:rsid w:val="008D1905"/>
    <w:rsid w:val="008D1C2C"/>
    <w:rsid w:val="008D1D1A"/>
    <w:rsid w:val="008D1E26"/>
    <w:rsid w:val="008D1F0B"/>
    <w:rsid w:val="008D1F1F"/>
    <w:rsid w:val="008D2872"/>
    <w:rsid w:val="008D2BF7"/>
    <w:rsid w:val="008D2E4B"/>
    <w:rsid w:val="008D3312"/>
    <w:rsid w:val="008D33CE"/>
    <w:rsid w:val="008D3F1D"/>
    <w:rsid w:val="008D4279"/>
    <w:rsid w:val="008D4367"/>
    <w:rsid w:val="008D43AE"/>
    <w:rsid w:val="008D48C9"/>
    <w:rsid w:val="008D4909"/>
    <w:rsid w:val="008D4E11"/>
    <w:rsid w:val="008D534D"/>
    <w:rsid w:val="008D54E4"/>
    <w:rsid w:val="008D5687"/>
    <w:rsid w:val="008D5C74"/>
    <w:rsid w:val="008D65CD"/>
    <w:rsid w:val="008D67BA"/>
    <w:rsid w:val="008D74A0"/>
    <w:rsid w:val="008D7DFD"/>
    <w:rsid w:val="008D7FEE"/>
    <w:rsid w:val="008E004C"/>
    <w:rsid w:val="008E0339"/>
    <w:rsid w:val="008E03D6"/>
    <w:rsid w:val="008E0AF3"/>
    <w:rsid w:val="008E0C43"/>
    <w:rsid w:val="008E1026"/>
    <w:rsid w:val="008E1133"/>
    <w:rsid w:val="008E1309"/>
    <w:rsid w:val="008E149C"/>
    <w:rsid w:val="008E16A4"/>
    <w:rsid w:val="008E17B3"/>
    <w:rsid w:val="008E1C11"/>
    <w:rsid w:val="008E1DB2"/>
    <w:rsid w:val="008E201E"/>
    <w:rsid w:val="008E219F"/>
    <w:rsid w:val="008E30B8"/>
    <w:rsid w:val="008E345B"/>
    <w:rsid w:val="008E365B"/>
    <w:rsid w:val="008E4298"/>
    <w:rsid w:val="008E4580"/>
    <w:rsid w:val="008E53A9"/>
    <w:rsid w:val="008E5DC8"/>
    <w:rsid w:val="008E5E72"/>
    <w:rsid w:val="008E6382"/>
    <w:rsid w:val="008E6629"/>
    <w:rsid w:val="008E6644"/>
    <w:rsid w:val="008E68B7"/>
    <w:rsid w:val="008E6D7E"/>
    <w:rsid w:val="008E6F7C"/>
    <w:rsid w:val="008E7073"/>
    <w:rsid w:val="008E70FB"/>
    <w:rsid w:val="008E74BA"/>
    <w:rsid w:val="008E75DB"/>
    <w:rsid w:val="008E7993"/>
    <w:rsid w:val="008E7B17"/>
    <w:rsid w:val="008F023E"/>
    <w:rsid w:val="008F0365"/>
    <w:rsid w:val="008F0424"/>
    <w:rsid w:val="008F063A"/>
    <w:rsid w:val="008F077B"/>
    <w:rsid w:val="008F0A5E"/>
    <w:rsid w:val="008F0DBE"/>
    <w:rsid w:val="008F0F8D"/>
    <w:rsid w:val="008F1315"/>
    <w:rsid w:val="008F1D9D"/>
    <w:rsid w:val="008F1E0E"/>
    <w:rsid w:val="008F2121"/>
    <w:rsid w:val="008F25DA"/>
    <w:rsid w:val="008F26EE"/>
    <w:rsid w:val="008F27F8"/>
    <w:rsid w:val="008F2969"/>
    <w:rsid w:val="008F2C51"/>
    <w:rsid w:val="008F2C8E"/>
    <w:rsid w:val="008F33D8"/>
    <w:rsid w:val="008F380F"/>
    <w:rsid w:val="008F387C"/>
    <w:rsid w:val="008F403A"/>
    <w:rsid w:val="008F45DC"/>
    <w:rsid w:val="008F4A20"/>
    <w:rsid w:val="008F4C1F"/>
    <w:rsid w:val="008F51E6"/>
    <w:rsid w:val="008F5A0A"/>
    <w:rsid w:val="008F5E5D"/>
    <w:rsid w:val="008F5F22"/>
    <w:rsid w:val="008F5F5C"/>
    <w:rsid w:val="008F5FB2"/>
    <w:rsid w:val="008F6430"/>
    <w:rsid w:val="008F6AC5"/>
    <w:rsid w:val="008F6B4B"/>
    <w:rsid w:val="008F7011"/>
    <w:rsid w:val="008F70B6"/>
    <w:rsid w:val="008F7304"/>
    <w:rsid w:val="008F75B5"/>
    <w:rsid w:val="008F76C3"/>
    <w:rsid w:val="008F770D"/>
    <w:rsid w:val="008F7D16"/>
    <w:rsid w:val="008F7D80"/>
    <w:rsid w:val="008F7F32"/>
    <w:rsid w:val="009002BC"/>
    <w:rsid w:val="00900ACD"/>
    <w:rsid w:val="00900CCD"/>
    <w:rsid w:val="00901090"/>
    <w:rsid w:val="009015ED"/>
    <w:rsid w:val="009016FF"/>
    <w:rsid w:val="00901984"/>
    <w:rsid w:val="00901FF3"/>
    <w:rsid w:val="009024D4"/>
    <w:rsid w:val="009025CE"/>
    <w:rsid w:val="0090327E"/>
    <w:rsid w:val="00903C0F"/>
    <w:rsid w:val="00903C64"/>
    <w:rsid w:val="00903E10"/>
    <w:rsid w:val="00903FE5"/>
    <w:rsid w:val="0090451C"/>
    <w:rsid w:val="00904B72"/>
    <w:rsid w:val="00904BC3"/>
    <w:rsid w:val="0090509D"/>
    <w:rsid w:val="00905113"/>
    <w:rsid w:val="00905266"/>
    <w:rsid w:val="009054B9"/>
    <w:rsid w:val="009058AB"/>
    <w:rsid w:val="009059FD"/>
    <w:rsid w:val="00905EB5"/>
    <w:rsid w:val="00906228"/>
    <w:rsid w:val="0090637C"/>
    <w:rsid w:val="009063B2"/>
    <w:rsid w:val="009067F6"/>
    <w:rsid w:val="00906E62"/>
    <w:rsid w:val="00906EC8"/>
    <w:rsid w:val="00907019"/>
    <w:rsid w:val="0090744B"/>
    <w:rsid w:val="00907BEF"/>
    <w:rsid w:val="00907CB1"/>
    <w:rsid w:val="00907D5B"/>
    <w:rsid w:val="009103F2"/>
    <w:rsid w:val="009104B6"/>
    <w:rsid w:val="009108F8"/>
    <w:rsid w:val="00910C3C"/>
    <w:rsid w:val="00910E98"/>
    <w:rsid w:val="00910FEE"/>
    <w:rsid w:val="0091127D"/>
    <w:rsid w:val="0091147C"/>
    <w:rsid w:val="00911925"/>
    <w:rsid w:val="00911BF2"/>
    <w:rsid w:val="009120F2"/>
    <w:rsid w:val="009125C5"/>
    <w:rsid w:val="00912906"/>
    <w:rsid w:val="00912EDB"/>
    <w:rsid w:val="00913201"/>
    <w:rsid w:val="00913308"/>
    <w:rsid w:val="00913679"/>
    <w:rsid w:val="00913891"/>
    <w:rsid w:val="00913892"/>
    <w:rsid w:val="00914203"/>
    <w:rsid w:val="0091442B"/>
    <w:rsid w:val="009144BB"/>
    <w:rsid w:val="009149EE"/>
    <w:rsid w:val="00914E9F"/>
    <w:rsid w:val="00915343"/>
    <w:rsid w:val="00915400"/>
    <w:rsid w:val="00915421"/>
    <w:rsid w:val="00915524"/>
    <w:rsid w:val="0091554A"/>
    <w:rsid w:val="0091558D"/>
    <w:rsid w:val="00915684"/>
    <w:rsid w:val="00915732"/>
    <w:rsid w:val="00915C49"/>
    <w:rsid w:val="009160FC"/>
    <w:rsid w:val="009164E5"/>
    <w:rsid w:val="009165DE"/>
    <w:rsid w:val="009167B8"/>
    <w:rsid w:val="00916A41"/>
    <w:rsid w:val="00916ADA"/>
    <w:rsid w:val="0091711B"/>
    <w:rsid w:val="00917165"/>
    <w:rsid w:val="00917983"/>
    <w:rsid w:val="00917B1D"/>
    <w:rsid w:val="00917CF3"/>
    <w:rsid w:val="00917DC6"/>
    <w:rsid w:val="00917E33"/>
    <w:rsid w:val="00917EFC"/>
    <w:rsid w:val="00920127"/>
    <w:rsid w:val="0092083B"/>
    <w:rsid w:val="009211B8"/>
    <w:rsid w:val="00921261"/>
    <w:rsid w:val="00921CFD"/>
    <w:rsid w:val="00921F92"/>
    <w:rsid w:val="00921FB3"/>
    <w:rsid w:val="00922130"/>
    <w:rsid w:val="009223EA"/>
    <w:rsid w:val="009229D0"/>
    <w:rsid w:val="009229D4"/>
    <w:rsid w:val="00922B40"/>
    <w:rsid w:val="009230DA"/>
    <w:rsid w:val="0092352D"/>
    <w:rsid w:val="009237B7"/>
    <w:rsid w:val="00923969"/>
    <w:rsid w:val="00924157"/>
    <w:rsid w:val="009243B0"/>
    <w:rsid w:val="00924887"/>
    <w:rsid w:val="009249C9"/>
    <w:rsid w:val="009256E5"/>
    <w:rsid w:val="00925739"/>
    <w:rsid w:val="00925AFE"/>
    <w:rsid w:val="00925F61"/>
    <w:rsid w:val="0092664D"/>
    <w:rsid w:val="009267BE"/>
    <w:rsid w:val="00926A1F"/>
    <w:rsid w:val="00926BD0"/>
    <w:rsid w:val="00926BE5"/>
    <w:rsid w:val="00926EDE"/>
    <w:rsid w:val="00927028"/>
    <w:rsid w:val="00927270"/>
    <w:rsid w:val="00927487"/>
    <w:rsid w:val="00927605"/>
    <w:rsid w:val="00927795"/>
    <w:rsid w:val="00927AD4"/>
    <w:rsid w:val="00927E96"/>
    <w:rsid w:val="009300FC"/>
    <w:rsid w:val="00930774"/>
    <w:rsid w:val="009308AC"/>
    <w:rsid w:val="009312B5"/>
    <w:rsid w:val="009317C4"/>
    <w:rsid w:val="00931E93"/>
    <w:rsid w:val="00932327"/>
    <w:rsid w:val="009324BE"/>
    <w:rsid w:val="00932A1C"/>
    <w:rsid w:val="00932DD4"/>
    <w:rsid w:val="009330E3"/>
    <w:rsid w:val="009330E5"/>
    <w:rsid w:val="00933223"/>
    <w:rsid w:val="00933436"/>
    <w:rsid w:val="00933697"/>
    <w:rsid w:val="00933879"/>
    <w:rsid w:val="00934122"/>
    <w:rsid w:val="0093499C"/>
    <w:rsid w:val="00934B7C"/>
    <w:rsid w:val="009353E3"/>
    <w:rsid w:val="00935460"/>
    <w:rsid w:val="009354BB"/>
    <w:rsid w:val="009359FF"/>
    <w:rsid w:val="00935D07"/>
    <w:rsid w:val="00935E89"/>
    <w:rsid w:val="0093623A"/>
    <w:rsid w:val="009362FF"/>
    <w:rsid w:val="0093649A"/>
    <w:rsid w:val="009367B9"/>
    <w:rsid w:val="00936919"/>
    <w:rsid w:val="00936B20"/>
    <w:rsid w:val="00936C5B"/>
    <w:rsid w:val="00936CAF"/>
    <w:rsid w:val="009376F0"/>
    <w:rsid w:val="00937808"/>
    <w:rsid w:val="00937837"/>
    <w:rsid w:val="00937874"/>
    <w:rsid w:val="00937D78"/>
    <w:rsid w:val="00940094"/>
    <w:rsid w:val="009400A7"/>
    <w:rsid w:val="00940262"/>
    <w:rsid w:val="009402B9"/>
    <w:rsid w:val="00940462"/>
    <w:rsid w:val="009408E0"/>
    <w:rsid w:val="00940BA2"/>
    <w:rsid w:val="00940EC3"/>
    <w:rsid w:val="00940EE4"/>
    <w:rsid w:val="00941397"/>
    <w:rsid w:val="0094195E"/>
    <w:rsid w:val="00941CA7"/>
    <w:rsid w:val="00941EF6"/>
    <w:rsid w:val="00941EFD"/>
    <w:rsid w:val="0094280C"/>
    <w:rsid w:val="009428F5"/>
    <w:rsid w:val="009431E1"/>
    <w:rsid w:val="00943259"/>
    <w:rsid w:val="0094342D"/>
    <w:rsid w:val="00943448"/>
    <w:rsid w:val="00943EC9"/>
    <w:rsid w:val="00943F0A"/>
    <w:rsid w:val="00943F64"/>
    <w:rsid w:val="009442C8"/>
    <w:rsid w:val="009445FC"/>
    <w:rsid w:val="00944780"/>
    <w:rsid w:val="009447BC"/>
    <w:rsid w:val="009448DD"/>
    <w:rsid w:val="00944A52"/>
    <w:rsid w:val="00944C13"/>
    <w:rsid w:val="00944C1C"/>
    <w:rsid w:val="00944C47"/>
    <w:rsid w:val="00944C89"/>
    <w:rsid w:val="009451C2"/>
    <w:rsid w:val="00945637"/>
    <w:rsid w:val="009456E3"/>
    <w:rsid w:val="00945FA7"/>
    <w:rsid w:val="009463EC"/>
    <w:rsid w:val="009467B8"/>
    <w:rsid w:val="00946840"/>
    <w:rsid w:val="00947018"/>
    <w:rsid w:val="009473DA"/>
    <w:rsid w:val="00947B11"/>
    <w:rsid w:val="00947B5A"/>
    <w:rsid w:val="00947DA1"/>
    <w:rsid w:val="00947E3C"/>
    <w:rsid w:val="00950400"/>
    <w:rsid w:val="00950548"/>
    <w:rsid w:val="0095066E"/>
    <w:rsid w:val="009509A0"/>
    <w:rsid w:val="00950B32"/>
    <w:rsid w:val="00950EB1"/>
    <w:rsid w:val="00950EC0"/>
    <w:rsid w:val="009510F1"/>
    <w:rsid w:val="0095212A"/>
    <w:rsid w:val="0095253F"/>
    <w:rsid w:val="00952FE7"/>
    <w:rsid w:val="00953493"/>
    <w:rsid w:val="00953581"/>
    <w:rsid w:val="009535CD"/>
    <w:rsid w:val="00953C94"/>
    <w:rsid w:val="00953CF5"/>
    <w:rsid w:val="009541B0"/>
    <w:rsid w:val="00954493"/>
    <w:rsid w:val="0095505E"/>
    <w:rsid w:val="009551D0"/>
    <w:rsid w:val="0095561B"/>
    <w:rsid w:val="009557AB"/>
    <w:rsid w:val="00955D00"/>
    <w:rsid w:val="00955D85"/>
    <w:rsid w:val="009560AC"/>
    <w:rsid w:val="0095638B"/>
    <w:rsid w:val="009565B6"/>
    <w:rsid w:val="0095660E"/>
    <w:rsid w:val="009567AD"/>
    <w:rsid w:val="009569FF"/>
    <w:rsid w:val="00956D6A"/>
    <w:rsid w:val="00956F44"/>
    <w:rsid w:val="00956FCB"/>
    <w:rsid w:val="009573CE"/>
    <w:rsid w:val="00957439"/>
    <w:rsid w:val="00957532"/>
    <w:rsid w:val="0095795A"/>
    <w:rsid w:val="00957F55"/>
    <w:rsid w:val="009603D5"/>
    <w:rsid w:val="00960581"/>
    <w:rsid w:val="009608F9"/>
    <w:rsid w:val="00960A25"/>
    <w:rsid w:val="00960CE0"/>
    <w:rsid w:val="00960E59"/>
    <w:rsid w:val="00961068"/>
    <w:rsid w:val="00961867"/>
    <w:rsid w:val="00961B91"/>
    <w:rsid w:val="00961C50"/>
    <w:rsid w:val="00961E10"/>
    <w:rsid w:val="00961E79"/>
    <w:rsid w:val="0096206A"/>
    <w:rsid w:val="00962A08"/>
    <w:rsid w:val="00962BCD"/>
    <w:rsid w:val="00963178"/>
    <w:rsid w:val="00963533"/>
    <w:rsid w:val="00963774"/>
    <w:rsid w:val="00963D6E"/>
    <w:rsid w:val="00963E3F"/>
    <w:rsid w:val="00963F73"/>
    <w:rsid w:val="009640DB"/>
    <w:rsid w:val="009647AE"/>
    <w:rsid w:val="00964A20"/>
    <w:rsid w:val="00964C15"/>
    <w:rsid w:val="00964C3F"/>
    <w:rsid w:val="00965649"/>
    <w:rsid w:val="00965BA4"/>
    <w:rsid w:val="00965CBA"/>
    <w:rsid w:val="00965D2F"/>
    <w:rsid w:val="00966318"/>
    <w:rsid w:val="00966F0B"/>
    <w:rsid w:val="00966FC4"/>
    <w:rsid w:val="009673F4"/>
    <w:rsid w:val="009675C9"/>
    <w:rsid w:val="009679B4"/>
    <w:rsid w:val="009679B6"/>
    <w:rsid w:val="0097038B"/>
    <w:rsid w:val="00970615"/>
    <w:rsid w:val="00970A10"/>
    <w:rsid w:val="00970C34"/>
    <w:rsid w:val="00970DCB"/>
    <w:rsid w:val="00970FA5"/>
    <w:rsid w:val="009710D4"/>
    <w:rsid w:val="0097114D"/>
    <w:rsid w:val="009712EF"/>
    <w:rsid w:val="00971426"/>
    <w:rsid w:val="0097226B"/>
    <w:rsid w:val="0097260D"/>
    <w:rsid w:val="009726C7"/>
    <w:rsid w:val="0097279A"/>
    <w:rsid w:val="00972887"/>
    <w:rsid w:val="00972ECF"/>
    <w:rsid w:val="00972F27"/>
    <w:rsid w:val="00973165"/>
    <w:rsid w:val="0097316E"/>
    <w:rsid w:val="009739F3"/>
    <w:rsid w:val="00973AC5"/>
    <w:rsid w:val="00973B53"/>
    <w:rsid w:val="00973DC8"/>
    <w:rsid w:val="00973E4B"/>
    <w:rsid w:val="00973E90"/>
    <w:rsid w:val="00974332"/>
    <w:rsid w:val="00974A91"/>
    <w:rsid w:val="009750D6"/>
    <w:rsid w:val="00975306"/>
    <w:rsid w:val="009755DE"/>
    <w:rsid w:val="00975D3C"/>
    <w:rsid w:val="0097615A"/>
    <w:rsid w:val="00976219"/>
    <w:rsid w:val="00976A30"/>
    <w:rsid w:val="009772DC"/>
    <w:rsid w:val="009772F1"/>
    <w:rsid w:val="00977779"/>
    <w:rsid w:val="009777C8"/>
    <w:rsid w:val="0097787A"/>
    <w:rsid w:val="0097798C"/>
    <w:rsid w:val="00977C8C"/>
    <w:rsid w:val="00977EF8"/>
    <w:rsid w:val="00977FB0"/>
    <w:rsid w:val="00977FB1"/>
    <w:rsid w:val="00980339"/>
    <w:rsid w:val="00980589"/>
    <w:rsid w:val="0098075B"/>
    <w:rsid w:val="0098089B"/>
    <w:rsid w:val="00980BF7"/>
    <w:rsid w:val="00980C13"/>
    <w:rsid w:val="00980F3F"/>
    <w:rsid w:val="009814C9"/>
    <w:rsid w:val="00981632"/>
    <w:rsid w:val="00981705"/>
    <w:rsid w:val="00981973"/>
    <w:rsid w:val="00981A44"/>
    <w:rsid w:val="00981F7A"/>
    <w:rsid w:val="009822AD"/>
    <w:rsid w:val="0098263F"/>
    <w:rsid w:val="00982A69"/>
    <w:rsid w:val="00982B35"/>
    <w:rsid w:val="00982BDC"/>
    <w:rsid w:val="00982BE4"/>
    <w:rsid w:val="00983498"/>
    <w:rsid w:val="009838C3"/>
    <w:rsid w:val="00983A56"/>
    <w:rsid w:val="00983ABB"/>
    <w:rsid w:val="009841DA"/>
    <w:rsid w:val="00984CAE"/>
    <w:rsid w:val="00984CF8"/>
    <w:rsid w:val="00984F20"/>
    <w:rsid w:val="00985261"/>
    <w:rsid w:val="0098559A"/>
    <w:rsid w:val="00985D17"/>
    <w:rsid w:val="009862A6"/>
    <w:rsid w:val="00986441"/>
    <w:rsid w:val="009864BB"/>
    <w:rsid w:val="00986B81"/>
    <w:rsid w:val="00986EC5"/>
    <w:rsid w:val="00986F00"/>
    <w:rsid w:val="00987218"/>
    <w:rsid w:val="0099054F"/>
    <w:rsid w:val="00990ED8"/>
    <w:rsid w:val="00991117"/>
    <w:rsid w:val="0099141A"/>
    <w:rsid w:val="00991733"/>
    <w:rsid w:val="009918B0"/>
    <w:rsid w:val="0099193B"/>
    <w:rsid w:val="00991DDD"/>
    <w:rsid w:val="009920A3"/>
    <w:rsid w:val="00992378"/>
    <w:rsid w:val="009924C0"/>
    <w:rsid w:val="009926C7"/>
    <w:rsid w:val="00992780"/>
    <w:rsid w:val="00992EED"/>
    <w:rsid w:val="00993221"/>
    <w:rsid w:val="00993B3E"/>
    <w:rsid w:val="00994069"/>
    <w:rsid w:val="009940F1"/>
    <w:rsid w:val="009941C4"/>
    <w:rsid w:val="0099466E"/>
    <w:rsid w:val="009946E4"/>
    <w:rsid w:val="00994B6D"/>
    <w:rsid w:val="00994BC0"/>
    <w:rsid w:val="00995838"/>
    <w:rsid w:val="00995AE4"/>
    <w:rsid w:val="00995F67"/>
    <w:rsid w:val="0099689E"/>
    <w:rsid w:val="00996CB8"/>
    <w:rsid w:val="009974D6"/>
    <w:rsid w:val="00997689"/>
    <w:rsid w:val="009A07CC"/>
    <w:rsid w:val="009A0A5C"/>
    <w:rsid w:val="009A0B9A"/>
    <w:rsid w:val="009A0DD0"/>
    <w:rsid w:val="009A0F87"/>
    <w:rsid w:val="009A1669"/>
    <w:rsid w:val="009A18AB"/>
    <w:rsid w:val="009A1B1A"/>
    <w:rsid w:val="009A1B4A"/>
    <w:rsid w:val="009A298A"/>
    <w:rsid w:val="009A2A65"/>
    <w:rsid w:val="009A2E3B"/>
    <w:rsid w:val="009A3077"/>
    <w:rsid w:val="009A389D"/>
    <w:rsid w:val="009A3E38"/>
    <w:rsid w:val="009A3E89"/>
    <w:rsid w:val="009A3FEA"/>
    <w:rsid w:val="009A4339"/>
    <w:rsid w:val="009A451E"/>
    <w:rsid w:val="009A4FAC"/>
    <w:rsid w:val="009A500B"/>
    <w:rsid w:val="009A5073"/>
    <w:rsid w:val="009A55E3"/>
    <w:rsid w:val="009A59F0"/>
    <w:rsid w:val="009A5B2C"/>
    <w:rsid w:val="009A603C"/>
    <w:rsid w:val="009A61DF"/>
    <w:rsid w:val="009A6562"/>
    <w:rsid w:val="009A6B51"/>
    <w:rsid w:val="009A6C78"/>
    <w:rsid w:val="009A6D8C"/>
    <w:rsid w:val="009A7C2E"/>
    <w:rsid w:val="009B00FA"/>
    <w:rsid w:val="009B06E0"/>
    <w:rsid w:val="009B0928"/>
    <w:rsid w:val="009B0968"/>
    <w:rsid w:val="009B09E6"/>
    <w:rsid w:val="009B0EE2"/>
    <w:rsid w:val="009B0FE7"/>
    <w:rsid w:val="009B10E8"/>
    <w:rsid w:val="009B11E0"/>
    <w:rsid w:val="009B1809"/>
    <w:rsid w:val="009B1BA4"/>
    <w:rsid w:val="009B217E"/>
    <w:rsid w:val="009B282F"/>
    <w:rsid w:val="009B2B8D"/>
    <w:rsid w:val="009B2B97"/>
    <w:rsid w:val="009B2BC8"/>
    <w:rsid w:val="009B35B3"/>
    <w:rsid w:val="009B3615"/>
    <w:rsid w:val="009B390D"/>
    <w:rsid w:val="009B39C2"/>
    <w:rsid w:val="009B3A22"/>
    <w:rsid w:val="009B3C80"/>
    <w:rsid w:val="009B3E6C"/>
    <w:rsid w:val="009B3E7A"/>
    <w:rsid w:val="009B409B"/>
    <w:rsid w:val="009B4202"/>
    <w:rsid w:val="009B4303"/>
    <w:rsid w:val="009B446D"/>
    <w:rsid w:val="009B46E2"/>
    <w:rsid w:val="009B46EE"/>
    <w:rsid w:val="009B46FD"/>
    <w:rsid w:val="009B4795"/>
    <w:rsid w:val="009B4B8D"/>
    <w:rsid w:val="009B5704"/>
    <w:rsid w:val="009B5720"/>
    <w:rsid w:val="009B5EE5"/>
    <w:rsid w:val="009B632D"/>
    <w:rsid w:val="009B66AD"/>
    <w:rsid w:val="009B66F3"/>
    <w:rsid w:val="009B6B6B"/>
    <w:rsid w:val="009B7091"/>
    <w:rsid w:val="009B72B2"/>
    <w:rsid w:val="009B73ED"/>
    <w:rsid w:val="009B7B16"/>
    <w:rsid w:val="009B7E99"/>
    <w:rsid w:val="009B7FBC"/>
    <w:rsid w:val="009C052B"/>
    <w:rsid w:val="009C066E"/>
    <w:rsid w:val="009C09E8"/>
    <w:rsid w:val="009C0A84"/>
    <w:rsid w:val="009C0A96"/>
    <w:rsid w:val="009C0D29"/>
    <w:rsid w:val="009C1299"/>
    <w:rsid w:val="009C14E0"/>
    <w:rsid w:val="009C1681"/>
    <w:rsid w:val="009C1827"/>
    <w:rsid w:val="009C19F0"/>
    <w:rsid w:val="009C1A7C"/>
    <w:rsid w:val="009C1BDC"/>
    <w:rsid w:val="009C2093"/>
    <w:rsid w:val="009C20BC"/>
    <w:rsid w:val="009C20F2"/>
    <w:rsid w:val="009C2934"/>
    <w:rsid w:val="009C2F80"/>
    <w:rsid w:val="009C3519"/>
    <w:rsid w:val="009C362F"/>
    <w:rsid w:val="009C395C"/>
    <w:rsid w:val="009C3CDA"/>
    <w:rsid w:val="009C3F74"/>
    <w:rsid w:val="009C43BF"/>
    <w:rsid w:val="009C4945"/>
    <w:rsid w:val="009C49B2"/>
    <w:rsid w:val="009C4F27"/>
    <w:rsid w:val="009C517A"/>
    <w:rsid w:val="009C519E"/>
    <w:rsid w:val="009C51BE"/>
    <w:rsid w:val="009C532D"/>
    <w:rsid w:val="009C5949"/>
    <w:rsid w:val="009C5D11"/>
    <w:rsid w:val="009C64D9"/>
    <w:rsid w:val="009C6800"/>
    <w:rsid w:val="009C6C8F"/>
    <w:rsid w:val="009C6CE0"/>
    <w:rsid w:val="009C7124"/>
    <w:rsid w:val="009C74BB"/>
    <w:rsid w:val="009C7593"/>
    <w:rsid w:val="009C76D2"/>
    <w:rsid w:val="009C7B80"/>
    <w:rsid w:val="009C7C3E"/>
    <w:rsid w:val="009C7E30"/>
    <w:rsid w:val="009C7F49"/>
    <w:rsid w:val="009D0052"/>
    <w:rsid w:val="009D01D1"/>
    <w:rsid w:val="009D08A2"/>
    <w:rsid w:val="009D08C9"/>
    <w:rsid w:val="009D0A2B"/>
    <w:rsid w:val="009D0D09"/>
    <w:rsid w:val="009D0E9D"/>
    <w:rsid w:val="009D16DC"/>
    <w:rsid w:val="009D1C14"/>
    <w:rsid w:val="009D1F25"/>
    <w:rsid w:val="009D29DA"/>
    <w:rsid w:val="009D2AB1"/>
    <w:rsid w:val="009D2FAC"/>
    <w:rsid w:val="009D32F1"/>
    <w:rsid w:val="009D33CB"/>
    <w:rsid w:val="009D3548"/>
    <w:rsid w:val="009D3C54"/>
    <w:rsid w:val="009D3E62"/>
    <w:rsid w:val="009D3E90"/>
    <w:rsid w:val="009D4414"/>
    <w:rsid w:val="009D4B09"/>
    <w:rsid w:val="009D4D82"/>
    <w:rsid w:val="009D53EF"/>
    <w:rsid w:val="009D5588"/>
    <w:rsid w:val="009D5920"/>
    <w:rsid w:val="009D61DB"/>
    <w:rsid w:val="009D6274"/>
    <w:rsid w:val="009D658C"/>
    <w:rsid w:val="009D6597"/>
    <w:rsid w:val="009D7076"/>
    <w:rsid w:val="009D7107"/>
    <w:rsid w:val="009D720A"/>
    <w:rsid w:val="009D7457"/>
    <w:rsid w:val="009D7DCB"/>
    <w:rsid w:val="009D7F5E"/>
    <w:rsid w:val="009E013F"/>
    <w:rsid w:val="009E0360"/>
    <w:rsid w:val="009E0473"/>
    <w:rsid w:val="009E054A"/>
    <w:rsid w:val="009E06B2"/>
    <w:rsid w:val="009E06F5"/>
    <w:rsid w:val="009E07CA"/>
    <w:rsid w:val="009E0A24"/>
    <w:rsid w:val="009E0BAB"/>
    <w:rsid w:val="009E0BB4"/>
    <w:rsid w:val="009E0D80"/>
    <w:rsid w:val="009E13EB"/>
    <w:rsid w:val="009E1636"/>
    <w:rsid w:val="009E170D"/>
    <w:rsid w:val="009E1922"/>
    <w:rsid w:val="009E2159"/>
    <w:rsid w:val="009E216C"/>
    <w:rsid w:val="009E2393"/>
    <w:rsid w:val="009E23BD"/>
    <w:rsid w:val="009E26B0"/>
    <w:rsid w:val="009E2724"/>
    <w:rsid w:val="009E2926"/>
    <w:rsid w:val="009E2929"/>
    <w:rsid w:val="009E293F"/>
    <w:rsid w:val="009E2983"/>
    <w:rsid w:val="009E2B71"/>
    <w:rsid w:val="009E302F"/>
    <w:rsid w:val="009E308D"/>
    <w:rsid w:val="009E333D"/>
    <w:rsid w:val="009E3468"/>
    <w:rsid w:val="009E34EC"/>
    <w:rsid w:val="009E360F"/>
    <w:rsid w:val="009E3B46"/>
    <w:rsid w:val="009E429F"/>
    <w:rsid w:val="009E4651"/>
    <w:rsid w:val="009E4656"/>
    <w:rsid w:val="009E5F05"/>
    <w:rsid w:val="009E5F3C"/>
    <w:rsid w:val="009E5FDC"/>
    <w:rsid w:val="009E6048"/>
    <w:rsid w:val="009E628D"/>
    <w:rsid w:val="009E637A"/>
    <w:rsid w:val="009E66A4"/>
    <w:rsid w:val="009E6AB7"/>
    <w:rsid w:val="009E7500"/>
    <w:rsid w:val="009E77EB"/>
    <w:rsid w:val="009E7C03"/>
    <w:rsid w:val="009E7D4C"/>
    <w:rsid w:val="009E7DC4"/>
    <w:rsid w:val="009E7E50"/>
    <w:rsid w:val="009E7F39"/>
    <w:rsid w:val="009F0196"/>
    <w:rsid w:val="009F0445"/>
    <w:rsid w:val="009F0545"/>
    <w:rsid w:val="009F105A"/>
    <w:rsid w:val="009F1764"/>
    <w:rsid w:val="009F1C58"/>
    <w:rsid w:val="009F1E3F"/>
    <w:rsid w:val="009F22F4"/>
    <w:rsid w:val="009F254E"/>
    <w:rsid w:val="009F27DD"/>
    <w:rsid w:val="009F2846"/>
    <w:rsid w:val="009F2944"/>
    <w:rsid w:val="009F296A"/>
    <w:rsid w:val="009F2CC2"/>
    <w:rsid w:val="009F3428"/>
    <w:rsid w:val="009F36D8"/>
    <w:rsid w:val="009F3ED2"/>
    <w:rsid w:val="009F4E39"/>
    <w:rsid w:val="009F4F61"/>
    <w:rsid w:val="009F6001"/>
    <w:rsid w:val="009F6359"/>
    <w:rsid w:val="009F6610"/>
    <w:rsid w:val="009F66BC"/>
    <w:rsid w:val="009F67B0"/>
    <w:rsid w:val="009F6A04"/>
    <w:rsid w:val="009F6EC1"/>
    <w:rsid w:val="009F72A9"/>
    <w:rsid w:val="009F79D6"/>
    <w:rsid w:val="009F7AD8"/>
    <w:rsid w:val="009F7B09"/>
    <w:rsid w:val="00A002AB"/>
    <w:rsid w:val="00A00428"/>
    <w:rsid w:val="00A00717"/>
    <w:rsid w:val="00A00A16"/>
    <w:rsid w:val="00A00B9E"/>
    <w:rsid w:val="00A00C3E"/>
    <w:rsid w:val="00A00E67"/>
    <w:rsid w:val="00A01788"/>
    <w:rsid w:val="00A020A4"/>
    <w:rsid w:val="00A024B6"/>
    <w:rsid w:val="00A02520"/>
    <w:rsid w:val="00A02600"/>
    <w:rsid w:val="00A02753"/>
    <w:rsid w:val="00A02E9A"/>
    <w:rsid w:val="00A02ED4"/>
    <w:rsid w:val="00A02EF1"/>
    <w:rsid w:val="00A03020"/>
    <w:rsid w:val="00A03101"/>
    <w:rsid w:val="00A03ED0"/>
    <w:rsid w:val="00A040A0"/>
    <w:rsid w:val="00A0420C"/>
    <w:rsid w:val="00A04480"/>
    <w:rsid w:val="00A044D8"/>
    <w:rsid w:val="00A0450E"/>
    <w:rsid w:val="00A04B0A"/>
    <w:rsid w:val="00A04D78"/>
    <w:rsid w:val="00A0543C"/>
    <w:rsid w:val="00A0567C"/>
    <w:rsid w:val="00A05790"/>
    <w:rsid w:val="00A06133"/>
    <w:rsid w:val="00A0622D"/>
    <w:rsid w:val="00A063C5"/>
    <w:rsid w:val="00A06EE0"/>
    <w:rsid w:val="00A072A3"/>
    <w:rsid w:val="00A07638"/>
    <w:rsid w:val="00A077ED"/>
    <w:rsid w:val="00A07A4A"/>
    <w:rsid w:val="00A07E0D"/>
    <w:rsid w:val="00A103B9"/>
    <w:rsid w:val="00A1048A"/>
    <w:rsid w:val="00A10587"/>
    <w:rsid w:val="00A1060E"/>
    <w:rsid w:val="00A106C1"/>
    <w:rsid w:val="00A10929"/>
    <w:rsid w:val="00A10A6D"/>
    <w:rsid w:val="00A110E3"/>
    <w:rsid w:val="00A113C3"/>
    <w:rsid w:val="00A118E4"/>
    <w:rsid w:val="00A11D03"/>
    <w:rsid w:val="00A11FC8"/>
    <w:rsid w:val="00A12130"/>
    <w:rsid w:val="00A122C3"/>
    <w:rsid w:val="00A128E1"/>
    <w:rsid w:val="00A12ACA"/>
    <w:rsid w:val="00A12AF4"/>
    <w:rsid w:val="00A12DB0"/>
    <w:rsid w:val="00A12E4E"/>
    <w:rsid w:val="00A12FF4"/>
    <w:rsid w:val="00A13790"/>
    <w:rsid w:val="00A139B7"/>
    <w:rsid w:val="00A13A73"/>
    <w:rsid w:val="00A14279"/>
    <w:rsid w:val="00A143BE"/>
    <w:rsid w:val="00A14447"/>
    <w:rsid w:val="00A14604"/>
    <w:rsid w:val="00A1487D"/>
    <w:rsid w:val="00A149A3"/>
    <w:rsid w:val="00A149D8"/>
    <w:rsid w:val="00A14BE9"/>
    <w:rsid w:val="00A14C5D"/>
    <w:rsid w:val="00A15088"/>
    <w:rsid w:val="00A152AF"/>
    <w:rsid w:val="00A1559C"/>
    <w:rsid w:val="00A15750"/>
    <w:rsid w:val="00A159F0"/>
    <w:rsid w:val="00A15DFC"/>
    <w:rsid w:val="00A16049"/>
    <w:rsid w:val="00A160AE"/>
    <w:rsid w:val="00A160B8"/>
    <w:rsid w:val="00A160F1"/>
    <w:rsid w:val="00A16F21"/>
    <w:rsid w:val="00A16FD4"/>
    <w:rsid w:val="00A1706C"/>
    <w:rsid w:val="00A176F5"/>
    <w:rsid w:val="00A178BC"/>
    <w:rsid w:val="00A17D60"/>
    <w:rsid w:val="00A204C9"/>
    <w:rsid w:val="00A2053A"/>
    <w:rsid w:val="00A206A1"/>
    <w:rsid w:val="00A207A8"/>
    <w:rsid w:val="00A2080C"/>
    <w:rsid w:val="00A20963"/>
    <w:rsid w:val="00A20C94"/>
    <w:rsid w:val="00A20F09"/>
    <w:rsid w:val="00A21701"/>
    <w:rsid w:val="00A2193B"/>
    <w:rsid w:val="00A21F94"/>
    <w:rsid w:val="00A226E4"/>
    <w:rsid w:val="00A22A4C"/>
    <w:rsid w:val="00A22A54"/>
    <w:rsid w:val="00A22AD4"/>
    <w:rsid w:val="00A22FE1"/>
    <w:rsid w:val="00A235E5"/>
    <w:rsid w:val="00A235F5"/>
    <w:rsid w:val="00A23618"/>
    <w:rsid w:val="00A2373D"/>
    <w:rsid w:val="00A242C3"/>
    <w:rsid w:val="00A24336"/>
    <w:rsid w:val="00A24CD3"/>
    <w:rsid w:val="00A24E51"/>
    <w:rsid w:val="00A24EA8"/>
    <w:rsid w:val="00A24FEB"/>
    <w:rsid w:val="00A24FF7"/>
    <w:rsid w:val="00A25150"/>
    <w:rsid w:val="00A257C1"/>
    <w:rsid w:val="00A25A51"/>
    <w:rsid w:val="00A26203"/>
    <w:rsid w:val="00A262E5"/>
    <w:rsid w:val="00A2632D"/>
    <w:rsid w:val="00A263F8"/>
    <w:rsid w:val="00A26770"/>
    <w:rsid w:val="00A26828"/>
    <w:rsid w:val="00A268B7"/>
    <w:rsid w:val="00A268CA"/>
    <w:rsid w:val="00A26AB2"/>
    <w:rsid w:val="00A26D93"/>
    <w:rsid w:val="00A2750C"/>
    <w:rsid w:val="00A27585"/>
    <w:rsid w:val="00A27679"/>
    <w:rsid w:val="00A27CF2"/>
    <w:rsid w:val="00A27DCC"/>
    <w:rsid w:val="00A3099A"/>
    <w:rsid w:val="00A30E49"/>
    <w:rsid w:val="00A3110B"/>
    <w:rsid w:val="00A3145B"/>
    <w:rsid w:val="00A317F5"/>
    <w:rsid w:val="00A3185F"/>
    <w:rsid w:val="00A3189E"/>
    <w:rsid w:val="00A31A2A"/>
    <w:rsid w:val="00A32016"/>
    <w:rsid w:val="00A320F8"/>
    <w:rsid w:val="00A3230C"/>
    <w:rsid w:val="00A32375"/>
    <w:rsid w:val="00A32493"/>
    <w:rsid w:val="00A3262C"/>
    <w:rsid w:val="00A328E1"/>
    <w:rsid w:val="00A32E96"/>
    <w:rsid w:val="00A331E4"/>
    <w:rsid w:val="00A3396D"/>
    <w:rsid w:val="00A33C0E"/>
    <w:rsid w:val="00A33F90"/>
    <w:rsid w:val="00A343A2"/>
    <w:rsid w:val="00A34460"/>
    <w:rsid w:val="00A34B9F"/>
    <w:rsid w:val="00A34D9E"/>
    <w:rsid w:val="00A34DCC"/>
    <w:rsid w:val="00A34F52"/>
    <w:rsid w:val="00A34FAD"/>
    <w:rsid w:val="00A3500A"/>
    <w:rsid w:val="00A35461"/>
    <w:rsid w:val="00A3562E"/>
    <w:rsid w:val="00A36405"/>
    <w:rsid w:val="00A3641E"/>
    <w:rsid w:val="00A36EA9"/>
    <w:rsid w:val="00A36ED7"/>
    <w:rsid w:val="00A37691"/>
    <w:rsid w:val="00A37AF2"/>
    <w:rsid w:val="00A37E7F"/>
    <w:rsid w:val="00A37F6D"/>
    <w:rsid w:val="00A4012D"/>
    <w:rsid w:val="00A4016C"/>
    <w:rsid w:val="00A40394"/>
    <w:rsid w:val="00A407AD"/>
    <w:rsid w:val="00A408DC"/>
    <w:rsid w:val="00A40CC6"/>
    <w:rsid w:val="00A41C03"/>
    <w:rsid w:val="00A41D01"/>
    <w:rsid w:val="00A41F90"/>
    <w:rsid w:val="00A429AA"/>
    <w:rsid w:val="00A42A4D"/>
    <w:rsid w:val="00A42A82"/>
    <w:rsid w:val="00A42A88"/>
    <w:rsid w:val="00A42A9F"/>
    <w:rsid w:val="00A42F0B"/>
    <w:rsid w:val="00A42F38"/>
    <w:rsid w:val="00A433DF"/>
    <w:rsid w:val="00A4371F"/>
    <w:rsid w:val="00A43765"/>
    <w:rsid w:val="00A43B48"/>
    <w:rsid w:val="00A43EE6"/>
    <w:rsid w:val="00A43F4E"/>
    <w:rsid w:val="00A440A6"/>
    <w:rsid w:val="00A441C5"/>
    <w:rsid w:val="00A44530"/>
    <w:rsid w:val="00A44BBF"/>
    <w:rsid w:val="00A453AD"/>
    <w:rsid w:val="00A4547D"/>
    <w:rsid w:val="00A45D04"/>
    <w:rsid w:val="00A45E1E"/>
    <w:rsid w:val="00A45E41"/>
    <w:rsid w:val="00A46564"/>
    <w:rsid w:val="00A46A09"/>
    <w:rsid w:val="00A46E3C"/>
    <w:rsid w:val="00A47A10"/>
    <w:rsid w:val="00A47CB1"/>
    <w:rsid w:val="00A500C5"/>
    <w:rsid w:val="00A500EA"/>
    <w:rsid w:val="00A50155"/>
    <w:rsid w:val="00A50209"/>
    <w:rsid w:val="00A50973"/>
    <w:rsid w:val="00A50A34"/>
    <w:rsid w:val="00A50ADC"/>
    <w:rsid w:val="00A50DF0"/>
    <w:rsid w:val="00A50F2A"/>
    <w:rsid w:val="00A5195A"/>
    <w:rsid w:val="00A51A5F"/>
    <w:rsid w:val="00A51C1C"/>
    <w:rsid w:val="00A51F5C"/>
    <w:rsid w:val="00A51F62"/>
    <w:rsid w:val="00A5212A"/>
    <w:rsid w:val="00A52A68"/>
    <w:rsid w:val="00A52CB5"/>
    <w:rsid w:val="00A52D5D"/>
    <w:rsid w:val="00A53122"/>
    <w:rsid w:val="00A532DD"/>
    <w:rsid w:val="00A5398D"/>
    <w:rsid w:val="00A53DE8"/>
    <w:rsid w:val="00A541D3"/>
    <w:rsid w:val="00A547C1"/>
    <w:rsid w:val="00A54827"/>
    <w:rsid w:val="00A54B30"/>
    <w:rsid w:val="00A54B8C"/>
    <w:rsid w:val="00A54CAC"/>
    <w:rsid w:val="00A551D8"/>
    <w:rsid w:val="00A55459"/>
    <w:rsid w:val="00A556C4"/>
    <w:rsid w:val="00A55763"/>
    <w:rsid w:val="00A56905"/>
    <w:rsid w:val="00A56AF1"/>
    <w:rsid w:val="00A571F2"/>
    <w:rsid w:val="00A5744D"/>
    <w:rsid w:val="00A57615"/>
    <w:rsid w:val="00A57758"/>
    <w:rsid w:val="00A5793B"/>
    <w:rsid w:val="00A57BA7"/>
    <w:rsid w:val="00A604A1"/>
    <w:rsid w:val="00A605E3"/>
    <w:rsid w:val="00A60BE0"/>
    <w:rsid w:val="00A60C59"/>
    <w:rsid w:val="00A6148D"/>
    <w:rsid w:val="00A61A13"/>
    <w:rsid w:val="00A61CE4"/>
    <w:rsid w:val="00A623B9"/>
    <w:rsid w:val="00A63125"/>
    <w:rsid w:val="00A636EA"/>
    <w:rsid w:val="00A63B03"/>
    <w:rsid w:val="00A63BD6"/>
    <w:rsid w:val="00A63DE0"/>
    <w:rsid w:val="00A640BA"/>
    <w:rsid w:val="00A642C4"/>
    <w:rsid w:val="00A644C4"/>
    <w:rsid w:val="00A648C4"/>
    <w:rsid w:val="00A64985"/>
    <w:rsid w:val="00A64E5C"/>
    <w:rsid w:val="00A64E84"/>
    <w:rsid w:val="00A654C7"/>
    <w:rsid w:val="00A6552B"/>
    <w:rsid w:val="00A65CA1"/>
    <w:rsid w:val="00A665F5"/>
    <w:rsid w:val="00A66618"/>
    <w:rsid w:val="00A66862"/>
    <w:rsid w:val="00A66B55"/>
    <w:rsid w:val="00A66C7D"/>
    <w:rsid w:val="00A66D36"/>
    <w:rsid w:val="00A67362"/>
    <w:rsid w:val="00A67415"/>
    <w:rsid w:val="00A674EE"/>
    <w:rsid w:val="00A67626"/>
    <w:rsid w:val="00A6772E"/>
    <w:rsid w:val="00A67D42"/>
    <w:rsid w:val="00A67F98"/>
    <w:rsid w:val="00A70701"/>
    <w:rsid w:val="00A707B8"/>
    <w:rsid w:val="00A70ACA"/>
    <w:rsid w:val="00A70CB4"/>
    <w:rsid w:val="00A715DE"/>
    <w:rsid w:val="00A716AE"/>
    <w:rsid w:val="00A7179C"/>
    <w:rsid w:val="00A717D1"/>
    <w:rsid w:val="00A722C0"/>
    <w:rsid w:val="00A72C28"/>
    <w:rsid w:val="00A72F2D"/>
    <w:rsid w:val="00A736B4"/>
    <w:rsid w:val="00A73847"/>
    <w:rsid w:val="00A73866"/>
    <w:rsid w:val="00A73889"/>
    <w:rsid w:val="00A73F28"/>
    <w:rsid w:val="00A74072"/>
    <w:rsid w:val="00A7427D"/>
    <w:rsid w:val="00A74961"/>
    <w:rsid w:val="00A74CC8"/>
    <w:rsid w:val="00A754C1"/>
    <w:rsid w:val="00A760FD"/>
    <w:rsid w:val="00A76595"/>
    <w:rsid w:val="00A76CB0"/>
    <w:rsid w:val="00A76D50"/>
    <w:rsid w:val="00A77196"/>
    <w:rsid w:val="00A7731D"/>
    <w:rsid w:val="00A773C1"/>
    <w:rsid w:val="00A7740D"/>
    <w:rsid w:val="00A776A9"/>
    <w:rsid w:val="00A7783D"/>
    <w:rsid w:val="00A77FE8"/>
    <w:rsid w:val="00A800FD"/>
    <w:rsid w:val="00A80509"/>
    <w:rsid w:val="00A80535"/>
    <w:rsid w:val="00A808E1"/>
    <w:rsid w:val="00A809F9"/>
    <w:rsid w:val="00A80A5A"/>
    <w:rsid w:val="00A80B1F"/>
    <w:rsid w:val="00A80FC1"/>
    <w:rsid w:val="00A8100E"/>
    <w:rsid w:val="00A811FA"/>
    <w:rsid w:val="00A81583"/>
    <w:rsid w:val="00A8180C"/>
    <w:rsid w:val="00A819D1"/>
    <w:rsid w:val="00A81B78"/>
    <w:rsid w:val="00A81F42"/>
    <w:rsid w:val="00A824D0"/>
    <w:rsid w:val="00A8266B"/>
    <w:rsid w:val="00A82916"/>
    <w:rsid w:val="00A82921"/>
    <w:rsid w:val="00A82ACF"/>
    <w:rsid w:val="00A8330F"/>
    <w:rsid w:val="00A83482"/>
    <w:rsid w:val="00A8362D"/>
    <w:rsid w:val="00A83863"/>
    <w:rsid w:val="00A83B2F"/>
    <w:rsid w:val="00A83F24"/>
    <w:rsid w:val="00A84033"/>
    <w:rsid w:val="00A84255"/>
    <w:rsid w:val="00A84AC7"/>
    <w:rsid w:val="00A84B89"/>
    <w:rsid w:val="00A8529B"/>
    <w:rsid w:val="00A855E5"/>
    <w:rsid w:val="00A85608"/>
    <w:rsid w:val="00A85667"/>
    <w:rsid w:val="00A857B4"/>
    <w:rsid w:val="00A85E3D"/>
    <w:rsid w:val="00A8627B"/>
    <w:rsid w:val="00A862CE"/>
    <w:rsid w:val="00A86942"/>
    <w:rsid w:val="00A86AEA"/>
    <w:rsid w:val="00A86D0C"/>
    <w:rsid w:val="00A86D34"/>
    <w:rsid w:val="00A86E55"/>
    <w:rsid w:val="00A871EC"/>
    <w:rsid w:val="00A8785C"/>
    <w:rsid w:val="00A8791D"/>
    <w:rsid w:val="00A87B15"/>
    <w:rsid w:val="00A87C68"/>
    <w:rsid w:val="00A87FB3"/>
    <w:rsid w:val="00A90413"/>
    <w:rsid w:val="00A90601"/>
    <w:rsid w:val="00A90DF0"/>
    <w:rsid w:val="00A91094"/>
    <w:rsid w:val="00A91A38"/>
    <w:rsid w:val="00A91BC2"/>
    <w:rsid w:val="00A91D96"/>
    <w:rsid w:val="00A92843"/>
    <w:rsid w:val="00A92D61"/>
    <w:rsid w:val="00A939F2"/>
    <w:rsid w:val="00A93C29"/>
    <w:rsid w:val="00A942DB"/>
    <w:rsid w:val="00A945B7"/>
    <w:rsid w:val="00A94672"/>
    <w:rsid w:val="00A94B11"/>
    <w:rsid w:val="00A94DCE"/>
    <w:rsid w:val="00A94F56"/>
    <w:rsid w:val="00A95005"/>
    <w:rsid w:val="00A9559E"/>
    <w:rsid w:val="00A9574B"/>
    <w:rsid w:val="00A95815"/>
    <w:rsid w:val="00A958E5"/>
    <w:rsid w:val="00A95BF8"/>
    <w:rsid w:val="00A95E88"/>
    <w:rsid w:val="00A960A2"/>
    <w:rsid w:val="00A96101"/>
    <w:rsid w:val="00A96318"/>
    <w:rsid w:val="00A967A5"/>
    <w:rsid w:val="00A96C4D"/>
    <w:rsid w:val="00A96C67"/>
    <w:rsid w:val="00A96E32"/>
    <w:rsid w:val="00A975CB"/>
    <w:rsid w:val="00A97791"/>
    <w:rsid w:val="00A97E8C"/>
    <w:rsid w:val="00AA018B"/>
    <w:rsid w:val="00AA0243"/>
    <w:rsid w:val="00AA0327"/>
    <w:rsid w:val="00AA03F2"/>
    <w:rsid w:val="00AA04BA"/>
    <w:rsid w:val="00AA0826"/>
    <w:rsid w:val="00AA0D1E"/>
    <w:rsid w:val="00AA0DB2"/>
    <w:rsid w:val="00AA0E81"/>
    <w:rsid w:val="00AA0ED0"/>
    <w:rsid w:val="00AA0EF9"/>
    <w:rsid w:val="00AA0F74"/>
    <w:rsid w:val="00AA104D"/>
    <w:rsid w:val="00AA10D1"/>
    <w:rsid w:val="00AA1301"/>
    <w:rsid w:val="00AA1772"/>
    <w:rsid w:val="00AA18B3"/>
    <w:rsid w:val="00AA18E2"/>
    <w:rsid w:val="00AA1D22"/>
    <w:rsid w:val="00AA1EC4"/>
    <w:rsid w:val="00AA2562"/>
    <w:rsid w:val="00AA2A23"/>
    <w:rsid w:val="00AA2E34"/>
    <w:rsid w:val="00AA325A"/>
    <w:rsid w:val="00AA3D5D"/>
    <w:rsid w:val="00AA3F09"/>
    <w:rsid w:val="00AA411E"/>
    <w:rsid w:val="00AA423B"/>
    <w:rsid w:val="00AA46ED"/>
    <w:rsid w:val="00AA48D2"/>
    <w:rsid w:val="00AA4B21"/>
    <w:rsid w:val="00AA4B2B"/>
    <w:rsid w:val="00AA4BF9"/>
    <w:rsid w:val="00AA4D96"/>
    <w:rsid w:val="00AA54E8"/>
    <w:rsid w:val="00AA586A"/>
    <w:rsid w:val="00AA5AAB"/>
    <w:rsid w:val="00AA5BB7"/>
    <w:rsid w:val="00AA5C86"/>
    <w:rsid w:val="00AA611B"/>
    <w:rsid w:val="00AA68FA"/>
    <w:rsid w:val="00AA692A"/>
    <w:rsid w:val="00AA6A61"/>
    <w:rsid w:val="00AA75DA"/>
    <w:rsid w:val="00AA7D49"/>
    <w:rsid w:val="00AB0288"/>
    <w:rsid w:val="00AB03EB"/>
    <w:rsid w:val="00AB0611"/>
    <w:rsid w:val="00AB08C7"/>
    <w:rsid w:val="00AB0C16"/>
    <w:rsid w:val="00AB0EBB"/>
    <w:rsid w:val="00AB0F27"/>
    <w:rsid w:val="00AB0F77"/>
    <w:rsid w:val="00AB11F6"/>
    <w:rsid w:val="00AB13F2"/>
    <w:rsid w:val="00AB143A"/>
    <w:rsid w:val="00AB16EE"/>
    <w:rsid w:val="00AB1A5B"/>
    <w:rsid w:val="00AB1D25"/>
    <w:rsid w:val="00AB2199"/>
    <w:rsid w:val="00AB23B8"/>
    <w:rsid w:val="00AB261D"/>
    <w:rsid w:val="00AB26E2"/>
    <w:rsid w:val="00AB2BC2"/>
    <w:rsid w:val="00AB3710"/>
    <w:rsid w:val="00AB3789"/>
    <w:rsid w:val="00AB3881"/>
    <w:rsid w:val="00AB3B09"/>
    <w:rsid w:val="00AB3C9F"/>
    <w:rsid w:val="00AB42B5"/>
    <w:rsid w:val="00AB4A4E"/>
    <w:rsid w:val="00AB4C35"/>
    <w:rsid w:val="00AB4DA7"/>
    <w:rsid w:val="00AB4FB3"/>
    <w:rsid w:val="00AB5213"/>
    <w:rsid w:val="00AB5480"/>
    <w:rsid w:val="00AB553A"/>
    <w:rsid w:val="00AB55C8"/>
    <w:rsid w:val="00AB5AF1"/>
    <w:rsid w:val="00AB5E86"/>
    <w:rsid w:val="00AB5E9C"/>
    <w:rsid w:val="00AB605E"/>
    <w:rsid w:val="00AB6626"/>
    <w:rsid w:val="00AB69E0"/>
    <w:rsid w:val="00AB6AB5"/>
    <w:rsid w:val="00AB6B39"/>
    <w:rsid w:val="00AB6CE4"/>
    <w:rsid w:val="00AB716F"/>
    <w:rsid w:val="00AB765F"/>
    <w:rsid w:val="00AB7798"/>
    <w:rsid w:val="00AB793E"/>
    <w:rsid w:val="00AB7BC1"/>
    <w:rsid w:val="00AB7F4B"/>
    <w:rsid w:val="00AC0117"/>
    <w:rsid w:val="00AC0324"/>
    <w:rsid w:val="00AC0D9B"/>
    <w:rsid w:val="00AC0DC7"/>
    <w:rsid w:val="00AC1009"/>
    <w:rsid w:val="00AC116D"/>
    <w:rsid w:val="00AC129D"/>
    <w:rsid w:val="00AC1BB9"/>
    <w:rsid w:val="00AC1C1E"/>
    <w:rsid w:val="00AC1EC2"/>
    <w:rsid w:val="00AC2141"/>
    <w:rsid w:val="00AC21F6"/>
    <w:rsid w:val="00AC39E5"/>
    <w:rsid w:val="00AC3FE4"/>
    <w:rsid w:val="00AC4049"/>
    <w:rsid w:val="00AC40E3"/>
    <w:rsid w:val="00AC45C3"/>
    <w:rsid w:val="00AC49B4"/>
    <w:rsid w:val="00AC4BA2"/>
    <w:rsid w:val="00AC4BA8"/>
    <w:rsid w:val="00AC4BC2"/>
    <w:rsid w:val="00AC4FF6"/>
    <w:rsid w:val="00AC59C7"/>
    <w:rsid w:val="00AC5A64"/>
    <w:rsid w:val="00AC6555"/>
    <w:rsid w:val="00AC6CD9"/>
    <w:rsid w:val="00AC6CFB"/>
    <w:rsid w:val="00AC6E54"/>
    <w:rsid w:val="00AC712D"/>
    <w:rsid w:val="00AC731B"/>
    <w:rsid w:val="00AC766C"/>
    <w:rsid w:val="00AC78E5"/>
    <w:rsid w:val="00AC7926"/>
    <w:rsid w:val="00AC7D40"/>
    <w:rsid w:val="00AD0124"/>
    <w:rsid w:val="00AD0128"/>
    <w:rsid w:val="00AD07D9"/>
    <w:rsid w:val="00AD1386"/>
    <w:rsid w:val="00AD1471"/>
    <w:rsid w:val="00AD15C5"/>
    <w:rsid w:val="00AD19BE"/>
    <w:rsid w:val="00AD1B48"/>
    <w:rsid w:val="00AD1EE4"/>
    <w:rsid w:val="00AD1FAE"/>
    <w:rsid w:val="00AD2253"/>
    <w:rsid w:val="00AD2888"/>
    <w:rsid w:val="00AD2A76"/>
    <w:rsid w:val="00AD2B89"/>
    <w:rsid w:val="00AD3456"/>
    <w:rsid w:val="00AD34CB"/>
    <w:rsid w:val="00AD3E19"/>
    <w:rsid w:val="00AD3FF3"/>
    <w:rsid w:val="00AD44E2"/>
    <w:rsid w:val="00AD4835"/>
    <w:rsid w:val="00AD4F12"/>
    <w:rsid w:val="00AD56FB"/>
    <w:rsid w:val="00AD5707"/>
    <w:rsid w:val="00AD5798"/>
    <w:rsid w:val="00AD5A59"/>
    <w:rsid w:val="00AD5EA9"/>
    <w:rsid w:val="00AD629A"/>
    <w:rsid w:val="00AD62AE"/>
    <w:rsid w:val="00AD6BF1"/>
    <w:rsid w:val="00AD7116"/>
    <w:rsid w:val="00AD71EB"/>
    <w:rsid w:val="00AD78FE"/>
    <w:rsid w:val="00AD78FF"/>
    <w:rsid w:val="00AD7A25"/>
    <w:rsid w:val="00AD7DBE"/>
    <w:rsid w:val="00AD7E08"/>
    <w:rsid w:val="00AE0201"/>
    <w:rsid w:val="00AE0C4F"/>
    <w:rsid w:val="00AE0C56"/>
    <w:rsid w:val="00AE14D4"/>
    <w:rsid w:val="00AE152F"/>
    <w:rsid w:val="00AE1568"/>
    <w:rsid w:val="00AE19E1"/>
    <w:rsid w:val="00AE1C2D"/>
    <w:rsid w:val="00AE1EBE"/>
    <w:rsid w:val="00AE2735"/>
    <w:rsid w:val="00AE27FF"/>
    <w:rsid w:val="00AE2A7B"/>
    <w:rsid w:val="00AE3037"/>
    <w:rsid w:val="00AE30FD"/>
    <w:rsid w:val="00AE35CF"/>
    <w:rsid w:val="00AE3683"/>
    <w:rsid w:val="00AE3860"/>
    <w:rsid w:val="00AE3A43"/>
    <w:rsid w:val="00AE3DE8"/>
    <w:rsid w:val="00AE4075"/>
    <w:rsid w:val="00AE40A4"/>
    <w:rsid w:val="00AE4312"/>
    <w:rsid w:val="00AE4E45"/>
    <w:rsid w:val="00AE527F"/>
    <w:rsid w:val="00AE52B4"/>
    <w:rsid w:val="00AE5789"/>
    <w:rsid w:val="00AE57C2"/>
    <w:rsid w:val="00AE58D0"/>
    <w:rsid w:val="00AE5C36"/>
    <w:rsid w:val="00AE62EF"/>
    <w:rsid w:val="00AE643B"/>
    <w:rsid w:val="00AE64C8"/>
    <w:rsid w:val="00AE684D"/>
    <w:rsid w:val="00AE7437"/>
    <w:rsid w:val="00AE75FB"/>
    <w:rsid w:val="00AE783D"/>
    <w:rsid w:val="00AE7B51"/>
    <w:rsid w:val="00AF03E1"/>
    <w:rsid w:val="00AF082D"/>
    <w:rsid w:val="00AF0878"/>
    <w:rsid w:val="00AF0944"/>
    <w:rsid w:val="00AF101C"/>
    <w:rsid w:val="00AF18F5"/>
    <w:rsid w:val="00AF1906"/>
    <w:rsid w:val="00AF1BE6"/>
    <w:rsid w:val="00AF1CD0"/>
    <w:rsid w:val="00AF1DE2"/>
    <w:rsid w:val="00AF1F47"/>
    <w:rsid w:val="00AF219E"/>
    <w:rsid w:val="00AF223B"/>
    <w:rsid w:val="00AF2341"/>
    <w:rsid w:val="00AF2E88"/>
    <w:rsid w:val="00AF2F8D"/>
    <w:rsid w:val="00AF3238"/>
    <w:rsid w:val="00AF3334"/>
    <w:rsid w:val="00AF33C8"/>
    <w:rsid w:val="00AF34FA"/>
    <w:rsid w:val="00AF382C"/>
    <w:rsid w:val="00AF3B0D"/>
    <w:rsid w:val="00AF4374"/>
    <w:rsid w:val="00AF481F"/>
    <w:rsid w:val="00AF4983"/>
    <w:rsid w:val="00AF507D"/>
    <w:rsid w:val="00AF5146"/>
    <w:rsid w:val="00AF56CB"/>
    <w:rsid w:val="00AF573A"/>
    <w:rsid w:val="00AF5803"/>
    <w:rsid w:val="00AF5AAE"/>
    <w:rsid w:val="00AF630B"/>
    <w:rsid w:val="00AF6479"/>
    <w:rsid w:val="00AF66CA"/>
    <w:rsid w:val="00AF68BC"/>
    <w:rsid w:val="00AF69B4"/>
    <w:rsid w:val="00AF6B0C"/>
    <w:rsid w:val="00AF6E89"/>
    <w:rsid w:val="00AF7609"/>
    <w:rsid w:val="00AF7684"/>
    <w:rsid w:val="00AF7AC4"/>
    <w:rsid w:val="00AF7C69"/>
    <w:rsid w:val="00AF7D74"/>
    <w:rsid w:val="00B000EF"/>
    <w:rsid w:val="00B00105"/>
    <w:rsid w:val="00B003CD"/>
    <w:rsid w:val="00B00B11"/>
    <w:rsid w:val="00B00F4A"/>
    <w:rsid w:val="00B01143"/>
    <w:rsid w:val="00B01162"/>
    <w:rsid w:val="00B023CB"/>
    <w:rsid w:val="00B02660"/>
    <w:rsid w:val="00B02CA3"/>
    <w:rsid w:val="00B02FC1"/>
    <w:rsid w:val="00B0306D"/>
    <w:rsid w:val="00B030C5"/>
    <w:rsid w:val="00B0347D"/>
    <w:rsid w:val="00B04810"/>
    <w:rsid w:val="00B048AF"/>
    <w:rsid w:val="00B0496E"/>
    <w:rsid w:val="00B04D2A"/>
    <w:rsid w:val="00B05179"/>
    <w:rsid w:val="00B051D1"/>
    <w:rsid w:val="00B052D3"/>
    <w:rsid w:val="00B0561C"/>
    <w:rsid w:val="00B05663"/>
    <w:rsid w:val="00B058D6"/>
    <w:rsid w:val="00B06390"/>
    <w:rsid w:val="00B06496"/>
    <w:rsid w:val="00B066E1"/>
    <w:rsid w:val="00B06FD5"/>
    <w:rsid w:val="00B07370"/>
    <w:rsid w:val="00B07776"/>
    <w:rsid w:val="00B07C20"/>
    <w:rsid w:val="00B07E5B"/>
    <w:rsid w:val="00B10269"/>
    <w:rsid w:val="00B107CB"/>
    <w:rsid w:val="00B108D3"/>
    <w:rsid w:val="00B10C21"/>
    <w:rsid w:val="00B10CE9"/>
    <w:rsid w:val="00B10D90"/>
    <w:rsid w:val="00B10FAF"/>
    <w:rsid w:val="00B11056"/>
    <w:rsid w:val="00B1109C"/>
    <w:rsid w:val="00B11170"/>
    <w:rsid w:val="00B118E1"/>
    <w:rsid w:val="00B1193E"/>
    <w:rsid w:val="00B11B82"/>
    <w:rsid w:val="00B11C6E"/>
    <w:rsid w:val="00B11E25"/>
    <w:rsid w:val="00B1201B"/>
    <w:rsid w:val="00B123D0"/>
    <w:rsid w:val="00B12549"/>
    <w:rsid w:val="00B129C6"/>
    <w:rsid w:val="00B12ADB"/>
    <w:rsid w:val="00B13008"/>
    <w:rsid w:val="00B13692"/>
    <w:rsid w:val="00B136CB"/>
    <w:rsid w:val="00B136CF"/>
    <w:rsid w:val="00B13E93"/>
    <w:rsid w:val="00B1474E"/>
    <w:rsid w:val="00B14AA6"/>
    <w:rsid w:val="00B14B29"/>
    <w:rsid w:val="00B14BF7"/>
    <w:rsid w:val="00B14CAC"/>
    <w:rsid w:val="00B14D32"/>
    <w:rsid w:val="00B151B2"/>
    <w:rsid w:val="00B15662"/>
    <w:rsid w:val="00B1592B"/>
    <w:rsid w:val="00B15B14"/>
    <w:rsid w:val="00B15CBC"/>
    <w:rsid w:val="00B15D3C"/>
    <w:rsid w:val="00B15F12"/>
    <w:rsid w:val="00B15FB7"/>
    <w:rsid w:val="00B15FD1"/>
    <w:rsid w:val="00B16114"/>
    <w:rsid w:val="00B16129"/>
    <w:rsid w:val="00B16172"/>
    <w:rsid w:val="00B161A1"/>
    <w:rsid w:val="00B1695F"/>
    <w:rsid w:val="00B16ACD"/>
    <w:rsid w:val="00B16DFD"/>
    <w:rsid w:val="00B16E75"/>
    <w:rsid w:val="00B174B6"/>
    <w:rsid w:val="00B17CEF"/>
    <w:rsid w:val="00B17DEB"/>
    <w:rsid w:val="00B17F89"/>
    <w:rsid w:val="00B20293"/>
    <w:rsid w:val="00B20320"/>
    <w:rsid w:val="00B203B8"/>
    <w:rsid w:val="00B20407"/>
    <w:rsid w:val="00B20802"/>
    <w:rsid w:val="00B20D3A"/>
    <w:rsid w:val="00B20E9A"/>
    <w:rsid w:val="00B21113"/>
    <w:rsid w:val="00B2180D"/>
    <w:rsid w:val="00B219D5"/>
    <w:rsid w:val="00B21BE6"/>
    <w:rsid w:val="00B21DC6"/>
    <w:rsid w:val="00B21E74"/>
    <w:rsid w:val="00B21F64"/>
    <w:rsid w:val="00B2229A"/>
    <w:rsid w:val="00B223AE"/>
    <w:rsid w:val="00B22B49"/>
    <w:rsid w:val="00B22E53"/>
    <w:rsid w:val="00B22E5B"/>
    <w:rsid w:val="00B22F35"/>
    <w:rsid w:val="00B2344A"/>
    <w:rsid w:val="00B23C76"/>
    <w:rsid w:val="00B23FE1"/>
    <w:rsid w:val="00B24081"/>
    <w:rsid w:val="00B2417B"/>
    <w:rsid w:val="00B24378"/>
    <w:rsid w:val="00B247B1"/>
    <w:rsid w:val="00B24823"/>
    <w:rsid w:val="00B24976"/>
    <w:rsid w:val="00B24B65"/>
    <w:rsid w:val="00B24EB2"/>
    <w:rsid w:val="00B24F72"/>
    <w:rsid w:val="00B25253"/>
    <w:rsid w:val="00B2545E"/>
    <w:rsid w:val="00B257D1"/>
    <w:rsid w:val="00B25B2A"/>
    <w:rsid w:val="00B26BF7"/>
    <w:rsid w:val="00B26ED6"/>
    <w:rsid w:val="00B271CD"/>
    <w:rsid w:val="00B27E3D"/>
    <w:rsid w:val="00B300A3"/>
    <w:rsid w:val="00B30113"/>
    <w:rsid w:val="00B30303"/>
    <w:rsid w:val="00B304C8"/>
    <w:rsid w:val="00B3092C"/>
    <w:rsid w:val="00B30A9A"/>
    <w:rsid w:val="00B31338"/>
    <w:rsid w:val="00B315D0"/>
    <w:rsid w:val="00B31A1E"/>
    <w:rsid w:val="00B31CD0"/>
    <w:rsid w:val="00B32056"/>
    <w:rsid w:val="00B3235F"/>
    <w:rsid w:val="00B32479"/>
    <w:rsid w:val="00B32E5D"/>
    <w:rsid w:val="00B338CE"/>
    <w:rsid w:val="00B33CD8"/>
    <w:rsid w:val="00B33FDC"/>
    <w:rsid w:val="00B3414E"/>
    <w:rsid w:val="00B34315"/>
    <w:rsid w:val="00B35145"/>
    <w:rsid w:val="00B358D5"/>
    <w:rsid w:val="00B35C51"/>
    <w:rsid w:val="00B35CF8"/>
    <w:rsid w:val="00B35E6E"/>
    <w:rsid w:val="00B35EA5"/>
    <w:rsid w:val="00B36973"/>
    <w:rsid w:val="00B36A6D"/>
    <w:rsid w:val="00B36CBF"/>
    <w:rsid w:val="00B36DCC"/>
    <w:rsid w:val="00B371DB"/>
    <w:rsid w:val="00B37623"/>
    <w:rsid w:val="00B37670"/>
    <w:rsid w:val="00B37980"/>
    <w:rsid w:val="00B37A66"/>
    <w:rsid w:val="00B37C49"/>
    <w:rsid w:val="00B37D0B"/>
    <w:rsid w:val="00B37DCC"/>
    <w:rsid w:val="00B37E70"/>
    <w:rsid w:val="00B40381"/>
    <w:rsid w:val="00B4051C"/>
    <w:rsid w:val="00B409F3"/>
    <w:rsid w:val="00B40FF3"/>
    <w:rsid w:val="00B41326"/>
    <w:rsid w:val="00B4153A"/>
    <w:rsid w:val="00B415A4"/>
    <w:rsid w:val="00B41AAF"/>
    <w:rsid w:val="00B41CB4"/>
    <w:rsid w:val="00B41D79"/>
    <w:rsid w:val="00B41D7A"/>
    <w:rsid w:val="00B421CB"/>
    <w:rsid w:val="00B42663"/>
    <w:rsid w:val="00B42A6F"/>
    <w:rsid w:val="00B42B9D"/>
    <w:rsid w:val="00B42F90"/>
    <w:rsid w:val="00B4339E"/>
    <w:rsid w:val="00B4354F"/>
    <w:rsid w:val="00B43749"/>
    <w:rsid w:val="00B43A39"/>
    <w:rsid w:val="00B43ECD"/>
    <w:rsid w:val="00B44063"/>
    <w:rsid w:val="00B442D2"/>
    <w:rsid w:val="00B44AFE"/>
    <w:rsid w:val="00B44D19"/>
    <w:rsid w:val="00B44DD6"/>
    <w:rsid w:val="00B4501D"/>
    <w:rsid w:val="00B4556D"/>
    <w:rsid w:val="00B45804"/>
    <w:rsid w:val="00B45A43"/>
    <w:rsid w:val="00B45D01"/>
    <w:rsid w:val="00B45DBD"/>
    <w:rsid w:val="00B45E49"/>
    <w:rsid w:val="00B45E64"/>
    <w:rsid w:val="00B45F0B"/>
    <w:rsid w:val="00B4633C"/>
    <w:rsid w:val="00B46429"/>
    <w:rsid w:val="00B4649F"/>
    <w:rsid w:val="00B469EE"/>
    <w:rsid w:val="00B46BD9"/>
    <w:rsid w:val="00B46ED2"/>
    <w:rsid w:val="00B471BB"/>
    <w:rsid w:val="00B474D3"/>
    <w:rsid w:val="00B47579"/>
    <w:rsid w:val="00B47723"/>
    <w:rsid w:val="00B478B4"/>
    <w:rsid w:val="00B478F2"/>
    <w:rsid w:val="00B47E0C"/>
    <w:rsid w:val="00B50A7A"/>
    <w:rsid w:val="00B50C69"/>
    <w:rsid w:val="00B50E0F"/>
    <w:rsid w:val="00B50E1E"/>
    <w:rsid w:val="00B51228"/>
    <w:rsid w:val="00B512CD"/>
    <w:rsid w:val="00B513D7"/>
    <w:rsid w:val="00B5177D"/>
    <w:rsid w:val="00B517F2"/>
    <w:rsid w:val="00B51848"/>
    <w:rsid w:val="00B518B1"/>
    <w:rsid w:val="00B51B7E"/>
    <w:rsid w:val="00B51F09"/>
    <w:rsid w:val="00B52349"/>
    <w:rsid w:val="00B52A58"/>
    <w:rsid w:val="00B52AF7"/>
    <w:rsid w:val="00B52C70"/>
    <w:rsid w:val="00B52DE9"/>
    <w:rsid w:val="00B53798"/>
    <w:rsid w:val="00B537B5"/>
    <w:rsid w:val="00B53B1D"/>
    <w:rsid w:val="00B5408A"/>
    <w:rsid w:val="00B5415B"/>
    <w:rsid w:val="00B54566"/>
    <w:rsid w:val="00B5485A"/>
    <w:rsid w:val="00B5494F"/>
    <w:rsid w:val="00B54AFF"/>
    <w:rsid w:val="00B54DC3"/>
    <w:rsid w:val="00B55111"/>
    <w:rsid w:val="00B55545"/>
    <w:rsid w:val="00B5559B"/>
    <w:rsid w:val="00B5561F"/>
    <w:rsid w:val="00B55AB0"/>
    <w:rsid w:val="00B55B6D"/>
    <w:rsid w:val="00B55F3F"/>
    <w:rsid w:val="00B561D1"/>
    <w:rsid w:val="00B56303"/>
    <w:rsid w:val="00B56379"/>
    <w:rsid w:val="00B56B19"/>
    <w:rsid w:val="00B56D4A"/>
    <w:rsid w:val="00B5729C"/>
    <w:rsid w:val="00B5793D"/>
    <w:rsid w:val="00B57DCF"/>
    <w:rsid w:val="00B60081"/>
    <w:rsid w:val="00B60104"/>
    <w:rsid w:val="00B603F8"/>
    <w:rsid w:val="00B606CB"/>
    <w:rsid w:val="00B607A2"/>
    <w:rsid w:val="00B607B6"/>
    <w:rsid w:val="00B60EAB"/>
    <w:rsid w:val="00B60EDB"/>
    <w:rsid w:val="00B61144"/>
    <w:rsid w:val="00B613C0"/>
    <w:rsid w:val="00B618AA"/>
    <w:rsid w:val="00B61A03"/>
    <w:rsid w:val="00B61C9E"/>
    <w:rsid w:val="00B61FD3"/>
    <w:rsid w:val="00B621BE"/>
    <w:rsid w:val="00B6262F"/>
    <w:rsid w:val="00B627AF"/>
    <w:rsid w:val="00B62C70"/>
    <w:rsid w:val="00B63076"/>
    <w:rsid w:val="00B630F4"/>
    <w:rsid w:val="00B63539"/>
    <w:rsid w:val="00B63A66"/>
    <w:rsid w:val="00B63E45"/>
    <w:rsid w:val="00B640C1"/>
    <w:rsid w:val="00B64342"/>
    <w:rsid w:val="00B643E2"/>
    <w:rsid w:val="00B64522"/>
    <w:rsid w:val="00B64660"/>
    <w:rsid w:val="00B64A2C"/>
    <w:rsid w:val="00B64E3E"/>
    <w:rsid w:val="00B64F82"/>
    <w:rsid w:val="00B64FEA"/>
    <w:rsid w:val="00B65080"/>
    <w:rsid w:val="00B65154"/>
    <w:rsid w:val="00B65214"/>
    <w:rsid w:val="00B659E6"/>
    <w:rsid w:val="00B65A58"/>
    <w:rsid w:val="00B65CBF"/>
    <w:rsid w:val="00B66208"/>
    <w:rsid w:val="00B66BFB"/>
    <w:rsid w:val="00B67133"/>
    <w:rsid w:val="00B6721D"/>
    <w:rsid w:val="00B67730"/>
    <w:rsid w:val="00B67D31"/>
    <w:rsid w:val="00B67D95"/>
    <w:rsid w:val="00B702E0"/>
    <w:rsid w:val="00B7065A"/>
    <w:rsid w:val="00B70837"/>
    <w:rsid w:val="00B70BB0"/>
    <w:rsid w:val="00B70C8D"/>
    <w:rsid w:val="00B70F9F"/>
    <w:rsid w:val="00B7102D"/>
    <w:rsid w:val="00B718BE"/>
    <w:rsid w:val="00B718F0"/>
    <w:rsid w:val="00B71901"/>
    <w:rsid w:val="00B71DA2"/>
    <w:rsid w:val="00B71EF4"/>
    <w:rsid w:val="00B724F1"/>
    <w:rsid w:val="00B72D46"/>
    <w:rsid w:val="00B731D4"/>
    <w:rsid w:val="00B7329F"/>
    <w:rsid w:val="00B73376"/>
    <w:rsid w:val="00B7341F"/>
    <w:rsid w:val="00B7380B"/>
    <w:rsid w:val="00B7395E"/>
    <w:rsid w:val="00B73BFB"/>
    <w:rsid w:val="00B73CFD"/>
    <w:rsid w:val="00B73DDD"/>
    <w:rsid w:val="00B747BC"/>
    <w:rsid w:val="00B74AC8"/>
    <w:rsid w:val="00B74BCD"/>
    <w:rsid w:val="00B74D3C"/>
    <w:rsid w:val="00B74D62"/>
    <w:rsid w:val="00B74FED"/>
    <w:rsid w:val="00B74FEE"/>
    <w:rsid w:val="00B750C5"/>
    <w:rsid w:val="00B753A0"/>
    <w:rsid w:val="00B759DC"/>
    <w:rsid w:val="00B75AD7"/>
    <w:rsid w:val="00B75FFD"/>
    <w:rsid w:val="00B76475"/>
    <w:rsid w:val="00B76699"/>
    <w:rsid w:val="00B767E8"/>
    <w:rsid w:val="00B76C9E"/>
    <w:rsid w:val="00B76F31"/>
    <w:rsid w:val="00B7703C"/>
    <w:rsid w:val="00B77695"/>
    <w:rsid w:val="00B77713"/>
    <w:rsid w:val="00B77CB1"/>
    <w:rsid w:val="00B77D19"/>
    <w:rsid w:val="00B77EF8"/>
    <w:rsid w:val="00B80252"/>
    <w:rsid w:val="00B802C6"/>
    <w:rsid w:val="00B8078E"/>
    <w:rsid w:val="00B8082D"/>
    <w:rsid w:val="00B80B5E"/>
    <w:rsid w:val="00B81419"/>
    <w:rsid w:val="00B81575"/>
    <w:rsid w:val="00B819F6"/>
    <w:rsid w:val="00B81C59"/>
    <w:rsid w:val="00B81EAD"/>
    <w:rsid w:val="00B81F78"/>
    <w:rsid w:val="00B81FD3"/>
    <w:rsid w:val="00B823D6"/>
    <w:rsid w:val="00B82667"/>
    <w:rsid w:val="00B827D2"/>
    <w:rsid w:val="00B82ABB"/>
    <w:rsid w:val="00B82BBA"/>
    <w:rsid w:val="00B8353D"/>
    <w:rsid w:val="00B8353E"/>
    <w:rsid w:val="00B83A5A"/>
    <w:rsid w:val="00B83BC9"/>
    <w:rsid w:val="00B83EEE"/>
    <w:rsid w:val="00B83F72"/>
    <w:rsid w:val="00B84288"/>
    <w:rsid w:val="00B842E0"/>
    <w:rsid w:val="00B84766"/>
    <w:rsid w:val="00B8487A"/>
    <w:rsid w:val="00B84D1E"/>
    <w:rsid w:val="00B84F22"/>
    <w:rsid w:val="00B851FA"/>
    <w:rsid w:val="00B85676"/>
    <w:rsid w:val="00B8571A"/>
    <w:rsid w:val="00B857CF"/>
    <w:rsid w:val="00B858FE"/>
    <w:rsid w:val="00B85BA7"/>
    <w:rsid w:val="00B85BFB"/>
    <w:rsid w:val="00B85C4E"/>
    <w:rsid w:val="00B85CC9"/>
    <w:rsid w:val="00B85E7D"/>
    <w:rsid w:val="00B86018"/>
    <w:rsid w:val="00B865D3"/>
    <w:rsid w:val="00B86EAA"/>
    <w:rsid w:val="00B8797F"/>
    <w:rsid w:val="00B90042"/>
    <w:rsid w:val="00B9008F"/>
    <w:rsid w:val="00B90435"/>
    <w:rsid w:val="00B90467"/>
    <w:rsid w:val="00B906AD"/>
    <w:rsid w:val="00B9078B"/>
    <w:rsid w:val="00B90E22"/>
    <w:rsid w:val="00B911EF"/>
    <w:rsid w:val="00B9120E"/>
    <w:rsid w:val="00B9172A"/>
    <w:rsid w:val="00B9183E"/>
    <w:rsid w:val="00B91B7E"/>
    <w:rsid w:val="00B91E7A"/>
    <w:rsid w:val="00B92023"/>
    <w:rsid w:val="00B9206E"/>
    <w:rsid w:val="00B9273C"/>
    <w:rsid w:val="00B92CA4"/>
    <w:rsid w:val="00B9306E"/>
    <w:rsid w:val="00B93557"/>
    <w:rsid w:val="00B935F4"/>
    <w:rsid w:val="00B93667"/>
    <w:rsid w:val="00B938F0"/>
    <w:rsid w:val="00B93A04"/>
    <w:rsid w:val="00B93BBF"/>
    <w:rsid w:val="00B93FBF"/>
    <w:rsid w:val="00B9414E"/>
    <w:rsid w:val="00B94723"/>
    <w:rsid w:val="00B94B13"/>
    <w:rsid w:val="00B94B83"/>
    <w:rsid w:val="00B94CDB"/>
    <w:rsid w:val="00B94D56"/>
    <w:rsid w:val="00B95031"/>
    <w:rsid w:val="00B95524"/>
    <w:rsid w:val="00B95550"/>
    <w:rsid w:val="00B9590B"/>
    <w:rsid w:val="00B959BF"/>
    <w:rsid w:val="00B959C7"/>
    <w:rsid w:val="00B95EE3"/>
    <w:rsid w:val="00B9635A"/>
    <w:rsid w:val="00B96368"/>
    <w:rsid w:val="00B96AC5"/>
    <w:rsid w:val="00B96B65"/>
    <w:rsid w:val="00B96BFE"/>
    <w:rsid w:val="00B96ED0"/>
    <w:rsid w:val="00B97031"/>
    <w:rsid w:val="00B970C0"/>
    <w:rsid w:val="00B9714F"/>
    <w:rsid w:val="00B97452"/>
    <w:rsid w:val="00B97A95"/>
    <w:rsid w:val="00B97B3A"/>
    <w:rsid w:val="00B97D79"/>
    <w:rsid w:val="00B97E93"/>
    <w:rsid w:val="00BA09FF"/>
    <w:rsid w:val="00BA0A65"/>
    <w:rsid w:val="00BA0AA2"/>
    <w:rsid w:val="00BA0D28"/>
    <w:rsid w:val="00BA1AED"/>
    <w:rsid w:val="00BA1D38"/>
    <w:rsid w:val="00BA2B49"/>
    <w:rsid w:val="00BA2B9D"/>
    <w:rsid w:val="00BA2EB7"/>
    <w:rsid w:val="00BA2FE2"/>
    <w:rsid w:val="00BA3F5B"/>
    <w:rsid w:val="00BA427A"/>
    <w:rsid w:val="00BA4B09"/>
    <w:rsid w:val="00BA570D"/>
    <w:rsid w:val="00BA5B8D"/>
    <w:rsid w:val="00BA5BFE"/>
    <w:rsid w:val="00BA5F17"/>
    <w:rsid w:val="00BA5FC3"/>
    <w:rsid w:val="00BA6775"/>
    <w:rsid w:val="00BA6E3D"/>
    <w:rsid w:val="00BA70C1"/>
    <w:rsid w:val="00BA722E"/>
    <w:rsid w:val="00BA7384"/>
    <w:rsid w:val="00BA7473"/>
    <w:rsid w:val="00BA79DF"/>
    <w:rsid w:val="00BA7B81"/>
    <w:rsid w:val="00BA7C49"/>
    <w:rsid w:val="00BA7D63"/>
    <w:rsid w:val="00BA7F0F"/>
    <w:rsid w:val="00BB017A"/>
    <w:rsid w:val="00BB01CB"/>
    <w:rsid w:val="00BB0E24"/>
    <w:rsid w:val="00BB0EFC"/>
    <w:rsid w:val="00BB1982"/>
    <w:rsid w:val="00BB1A6C"/>
    <w:rsid w:val="00BB1E26"/>
    <w:rsid w:val="00BB2059"/>
    <w:rsid w:val="00BB28A5"/>
    <w:rsid w:val="00BB29D7"/>
    <w:rsid w:val="00BB2CFF"/>
    <w:rsid w:val="00BB2D5F"/>
    <w:rsid w:val="00BB30AA"/>
    <w:rsid w:val="00BB3133"/>
    <w:rsid w:val="00BB328C"/>
    <w:rsid w:val="00BB3654"/>
    <w:rsid w:val="00BB4178"/>
    <w:rsid w:val="00BB4817"/>
    <w:rsid w:val="00BB4847"/>
    <w:rsid w:val="00BB49E8"/>
    <w:rsid w:val="00BB4A37"/>
    <w:rsid w:val="00BB4C57"/>
    <w:rsid w:val="00BB525D"/>
    <w:rsid w:val="00BB547E"/>
    <w:rsid w:val="00BB5DEA"/>
    <w:rsid w:val="00BB5FF4"/>
    <w:rsid w:val="00BB613C"/>
    <w:rsid w:val="00BB6E26"/>
    <w:rsid w:val="00BB6E68"/>
    <w:rsid w:val="00BB6F7D"/>
    <w:rsid w:val="00BB707B"/>
    <w:rsid w:val="00BB7082"/>
    <w:rsid w:val="00BB71B4"/>
    <w:rsid w:val="00BB735C"/>
    <w:rsid w:val="00BB7609"/>
    <w:rsid w:val="00BB773A"/>
    <w:rsid w:val="00BB7A18"/>
    <w:rsid w:val="00BB7ED8"/>
    <w:rsid w:val="00BC024A"/>
    <w:rsid w:val="00BC02C1"/>
    <w:rsid w:val="00BC065E"/>
    <w:rsid w:val="00BC07ED"/>
    <w:rsid w:val="00BC0829"/>
    <w:rsid w:val="00BC0D60"/>
    <w:rsid w:val="00BC14EF"/>
    <w:rsid w:val="00BC1563"/>
    <w:rsid w:val="00BC1615"/>
    <w:rsid w:val="00BC18A8"/>
    <w:rsid w:val="00BC1966"/>
    <w:rsid w:val="00BC1B10"/>
    <w:rsid w:val="00BC1DA3"/>
    <w:rsid w:val="00BC1E50"/>
    <w:rsid w:val="00BC1E87"/>
    <w:rsid w:val="00BC1FF3"/>
    <w:rsid w:val="00BC20B7"/>
    <w:rsid w:val="00BC20D4"/>
    <w:rsid w:val="00BC265B"/>
    <w:rsid w:val="00BC2778"/>
    <w:rsid w:val="00BC2BC5"/>
    <w:rsid w:val="00BC2DEB"/>
    <w:rsid w:val="00BC2E42"/>
    <w:rsid w:val="00BC2E53"/>
    <w:rsid w:val="00BC3345"/>
    <w:rsid w:val="00BC3818"/>
    <w:rsid w:val="00BC3AC8"/>
    <w:rsid w:val="00BC3B61"/>
    <w:rsid w:val="00BC3E61"/>
    <w:rsid w:val="00BC4024"/>
    <w:rsid w:val="00BC40FD"/>
    <w:rsid w:val="00BC4506"/>
    <w:rsid w:val="00BC45D7"/>
    <w:rsid w:val="00BC494F"/>
    <w:rsid w:val="00BC4B51"/>
    <w:rsid w:val="00BC526F"/>
    <w:rsid w:val="00BC52B4"/>
    <w:rsid w:val="00BC5372"/>
    <w:rsid w:val="00BC538F"/>
    <w:rsid w:val="00BC5614"/>
    <w:rsid w:val="00BC5AD1"/>
    <w:rsid w:val="00BC64DB"/>
    <w:rsid w:val="00BC6C42"/>
    <w:rsid w:val="00BC6D55"/>
    <w:rsid w:val="00BC7449"/>
    <w:rsid w:val="00BC7D40"/>
    <w:rsid w:val="00BC7E4F"/>
    <w:rsid w:val="00BD01D9"/>
    <w:rsid w:val="00BD042D"/>
    <w:rsid w:val="00BD06D3"/>
    <w:rsid w:val="00BD070C"/>
    <w:rsid w:val="00BD07D1"/>
    <w:rsid w:val="00BD0AAE"/>
    <w:rsid w:val="00BD184B"/>
    <w:rsid w:val="00BD1A39"/>
    <w:rsid w:val="00BD1E48"/>
    <w:rsid w:val="00BD1FFA"/>
    <w:rsid w:val="00BD21C3"/>
    <w:rsid w:val="00BD302B"/>
    <w:rsid w:val="00BD31E2"/>
    <w:rsid w:val="00BD32F3"/>
    <w:rsid w:val="00BD3636"/>
    <w:rsid w:val="00BD3798"/>
    <w:rsid w:val="00BD38E8"/>
    <w:rsid w:val="00BD3AD4"/>
    <w:rsid w:val="00BD3CAC"/>
    <w:rsid w:val="00BD3E41"/>
    <w:rsid w:val="00BD3F6F"/>
    <w:rsid w:val="00BD403D"/>
    <w:rsid w:val="00BD410B"/>
    <w:rsid w:val="00BD454F"/>
    <w:rsid w:val="00BD4660"/>
    <w:rsid w:val="00BD4C80"/>
    <w:rsid w:val="00BD4D2C"/>
    <w:rsid w:val="00BD4FF9"/>
    <w:rsid w:val="00BD5B61"/>
    <w:rsid w:val="00BD60D1"/>
    <w:rsid w:val="00BD6778"/>
    <w:rsid w:val="00BD6B7C"/>
    <w:rsid w:val="00BD6FD6"/>
    <w:rsid w:val="00BD72C6"/>
    <w:rsid w:val="00BD77AD"/>
    <w:rsid w:val="00BD79B1"/>
    <w:rsid w:val="00BD7E21"/>
    <w:rsid w:val="00BD7EFC"/>
    <w:rsid w:val="00BE0149"/>
    <w:rsid w:val="00BE06A4"/>
    <w:rsid w:val="00BE06B6"/>
    <w:rsid w:val="00BE0768"/>
    <w:rsid w:val="00BE0A22"/>
    <w:rsid w:val="00BE0B75"/>
    <w:rsid w:val="00BE0DAB"/>
    <w:rsid w:val="00BE1265"/>
    <w:rsid w:val="00BE14B5"/>
    <w:rsid w:val="00BE195E"/>
    <w:rsid w:val="00BE2194"/>
    <w:rsid w:val="00BE2424"/>
    <w:rsid w:val="00BE265D"/>
    <w:rsid w:val="00BE2741"/>
    <w:rsid w:val="00BE30CB"/>
    <w:rsid w:val="00BE372E"/>
    <w:rsid w:val="00BE389C"/>
    <w:rsid w:val="00BE4047"/>
    <w:rsid w:val="00BE41F5"/>
    <w:rsid w:val="00BE4481"/>
    <w:rsid w:val="00BE4F55"/>
    <w:rsid w:val="00BE528A"/>
    <w:rsid w:val="00BE55B9"/>
    <w:rsid w:val="00BE63EE"/>
    <w:rsid w:val="00BE6554"/>
    <w:rsid w:val="00BE66B0"/>
    <w:rsid w:val="00BE6B3B"/>
    <w:rsid w:val="00BE6CFA"/>
    <w:rsid w:val="00BE6F12"/>
    <w:rsid w:val="00BE700C"/>
    <w:rsid w:val="00BE718B"/>
    <w:rsid w:val="00BE71BF"/>
    <w:rsid w:val="00BE72E4"/>
    <w:rsid w:val="00BE781D"/>
    <w:rsid w:val="00BE7BDF"/>
    <w:rsid w:val="00BE7D7D"/>
    <w:rsid w:val="00BE7E2F"/>
    <w:rsid w:val="00BE7F2A"/>
    <w:rsid w:val="00BE7F5E"/>
    <w:rsid w:val="00BF03E2"/>
    <w:rsid w:val="00BF0D6B"/>
    <w:rsid w:val="00BF10FB"/>
    <w:rsid w:val="00BF158B"/>
    <w:rsid w:val="00BF1594"/>
    <w:rsid w:val="00BF15D1"/>
    <w:rsid w:val="00BF1678"/>
    <w:rsid w:val="00BF17D0"/>
    <w:rsid w:val="00BF1A67"/>
    <w:rsid w:val="00BF1AA2"/>
    <w:rsid w:val="00BF1B4C"/>
    <w:rsid w:val="00BF1E27"/>
    <w:rsid w:val="00BF1F76"/>
    <w:rsid w:val="00BF200C"/>
    <w:rsid w:val="00BF206F"/>
    <w:rsid w:val="00BF2B32"/>
    <w:rsid w:val="00BF2CD3"/>
    <w:rsid w:val="00BF324A"/>
    <w:rsid w:val="00BF331E"/>
    <w:rsid w:val="00BF38C3"/>
    <w:rsid w:val="00BF3BC9"/>
    <w:rsid w:val="00BF3C3B"/>
    <w:rsid w:val="00BF442D"/>
    <w:rsid w:val="00BF44EF"/>
    <w:rsid w:val="00BF4608"/>
    <w:rsid w:val="00BF48A0"/>
    <w:rsid w:val="00BF571F"/>
    <w:rsid w:val="00BF594C"/>
    <w:rsid w:val="00BF5DCD"/>
    <w:rsid w:val="00BF6070"/>
    <w:rsid w:val="00BF62C9"/>
    <w:rsid w:val="00BF7027"/>
    <w:rsid w:val="00BF7170"/>
    <w:rsid w:val="00BF7457"/>
    <w:rsid w:val="00BF74CA"/>
    <w:rsid w:val="00BF7525"/>
    <w:rsid w:val="00BF7658"/>
    <w:rsid w:val="00BF777D"/>
    <w:rsid w:val="00BF7870"/>
    <w:rsid w:val="00BF7D3C"/>
    <w:rsid w:val="00C00025"/>
    <w:rsid w:val="00C004D8"/>
    <w:rsid w:val="00C006AC"/>
    <w:rsid w:val="00C00968"/>
    <w:rsid w:val="00C00C5F"/>
    <w:rsid w:val="00C0139F"/>
    <w:rsid w:val="00C021C6"/>
    <w:rsid w:val="00C024B9"/>
    <w:rsid w:val="00C02768"/>
    <w:rsid w:val="00C02D69"/>
    <w:rsid w:val="00C03026"/>
    <w:rsid w:val="00C030FE"/>
    <w:rsid w:val="00C0311A"/>
    <w:rsid w:val="00C0344C"/>
    <w:rsid w:val="00C03924"/>
    <w:rsid w:val="00C0395F"/>
    <w:rsid w:val="00C039A0"/>
    <w:rsid w:val="00C03C45"/>
    <w:rsid w:val="00C03D9E"/>
    <w:rsid w:val="00C03E3C"/>
    <w:rsid w:val="00C03FEF"/>
    <w:rsid w:val="00C044A0"/>
    <w:rsid w:val="00C045C4"/>
    <w:rsid w:val="00C046C9"/>
    <w:rsid w:val="00C048AB"/>
    <w:rsid w:val="00C04A3A"/>
    <w:rsid w:val="00C04EE9"/>
    <w:rsid w:val="00C0532B"/>
    <w:rsid w:val="00C053D2"/>
    <w:rsid w:val="00C055F0"/>
    <w:rsid w:val="00C05741"/>
    <w:rsid w:val="00C0576F"/>
    <w:rsid w:val="00C05B2A"/>
    <w:rsid w:val="00C05D0E"/>
    <w:rsid w:val="00C06007"/>
    <w:rsid w:val="00C06290"/>
    <w:rsid w:val="00C068B8"/>
    <w:rsid w:val="00C06EFA"/>
    <w:rsid w:val="00C07662"/>
    <w:rsid w:val="00C07959"/>
    <w:rsid w:val="00C07A4E"/>
    <w:rsid w:val="00C08216"/>
    <w:rsid w:val="00C10474"/>
    <w:rsid w:val="00C1079C"/>
    <w:rsid w:val="00C10ADE"/>
    <w:rsid w:val="00C10D2C"/>
    <w:rsid w:val="00C10E19"/>
    <w:rsid w:val="00C10EBF"/>
    <w:rsid w:val="00C10ECD"/>
    <w:rsid w:val="00C1112C"/>
    <w:rsid w:val="00C112E4"/>
    <w:rsid w:val="00C11815"/>
    <w:rsid w:val="00C1190D"/>
    <w:rsid w:val="00C11D8A"/>
    <w:rsid w:val="00C1211C"/>
    <w:rsid w:val="00C12448"/>
    <w:rsid w:val="00C12808"/>
    <w:rsid w:val="00C1294D"/>
    <w:rsid w:val="00C12C5C"/>
    <w:rsid w:val="00C12EAD"/>
    <w:rsid w:val="00C12EE8"/>
    <w:rsid w:val="00C12FD0"/>
    <w:rsid w:val="00C13102"/>
    <w:rsid w:val="00C1356C"/>
    <w:rsid w:val="00C136A3"/>
    <w:rsid w:val="00C13878"/>
    <w:rsid w:val="00C13E8B"/>
    <w:rsid w:val="00C13ECE"/>
    <w:rsid w:val="00C140B1"/>
    <w:rsid w:val="00C146A4"/>
    <w:rsid w:val="00C147AE"/>
    <w:rsid w:val="00C147B0"/>
    <w:rsid w:val="00C14ABE"/>
    <w:rsid w:val="00C14C1F"/>
    <w:rsid w:val="00C14D6F"/>
    <w:rsid w:val="00C14DE0"/>
    <w:rsid w:val="00C1589C"/>
    <w:rsid w:val="00C15A97"/>
    <w:rsid w:val="00C15BB7"/>
    <w:rsid w:val="00C15D0C"/>
    <w:rsid w:val="00C16391"/>
    <w:rsid w:val="00C16494"/>
    <w:rsid w:val="00C16519"/>
    <w:rsid w:val="00C16582"/>
    <w:rsid w:val="00C165FB"/>
    <w:rsid w:val="00C16AB8"/>
    <w:rsid w:val="00C16FCE"/>
    <w:rsid w:val="00C16FF7"/>
    <w:rsid w:val="00C17518"/>
    <w:rsid w:val="00C1766E"/>
    <w:rsid w:val="00C1782A"/>
    <w:rsid w:val="00C178A7"/>
    <w:rsid w:val="00C17E4C"/>
    <w:rsid w:val="00C17FEB"/>
    <w:rsid w:val="00C20119"/>
    <w:rsid w:val="00C2087E"/>
    <w:rsid w:val="00C212F1"/>
    <w:rsid w:val="00C21470"/>
    <w:rsid w:val="00C217AA"/>
    <w:rsid w:val="00C21A5C"/>
    <w:rsid w:val="00C22308"/>
    <w:rsid w:val="00C22314"/>
    <w:rsid w:val="00C22356"/>
    <w:rsid w:val="00C22441"/>
    <w:rsid w:val="00C22507"/>
    <w:rsid w:val="00C22606"/>
    <w:rsid w:val="00C22917"/>
    <w:rsid w:val="00C22972"/>
    <w:rsid w:val="00C229FF"/>
    <w:rsid w:val="00C22D9F"/>
    <w:rsid w:val="00C2353C"/>
    <w:rsid w:val="00C236C5"/>
    <w:rsid w:val="00C23858"/>
    <w:rsid w:val="00C239E6"/>
    <w:rsid w:val="00C23C60"/>
    <w:rsid w:val="00C23F7E"/>
    <w:rsid w:val="00C243D2"/>
    <w:rsid w:val="00C246C0"/>
    <w:rsid w:val="00C248C0"/>
    <w:rsid w:val="00C24C19"/>
    <w:rsid w:val="00C24F86"/>
    <w:rsid w:val="00C25317"/>
    <w:rsid w:val="00C25379"/>
    <w:rsid w:val="00C25480"/>
    <w:rsid w:val="00C25524"/>
    <w:rsid w:val="00C255EA"/>
    <w:rsid w:val="00C256CE"/>
    <w:rsid w:val="00C259DA"/>
    <w:rsid w:val="00C25D93"/>
    <w:rsid w:val="00C26980"/>
    <w:rsid w:val="00C26CC9"/>
    <w:rsid w:val="00C2708E"/>
    <w:rsid w:val="00C276D7"/>
    <w:rsid w:val="00C30083"/>
    <w:rsid w:val="00C30770"/>
    <w:rsid w:val="00C30990"/>
    <w:rsid w:val="00C30D57"/>
    <w:rsid w:val="00C30F4B"/>
    <w:rsid w:val="00C310BD"/>
    <w:rsid w:val="00C31726"/>
    <w:rsid w:val="00C31B98"/>
    <w:rsid w:val="00C3206F"/>
    <w:rsid w:val="00C320EA"/>
    <w:rsid w:val="00C320F6"/>
    <w:rsid w:val="00C321C6"/>
    <w:rsid w:val="00C32626"/>
    <w:rsid w:val="00C32629"/>
    <w:rsid w:val="00C32651"/>
    <w:rsid w:val="00C33082"/>
    <w:rsid w:val="00C33139"/>
    <w:rsid w:val="00C33206"/>
    <w:rsid w:val="00C3329C"/>
    <w:rsid w:val="00C335D4"/>
    <w:rsid w:val="00C33933"/>
    <w:rsid w:val="00C33D3A"/>
    <w:rsid w:val="00C34016"/>
    <w:rsid w:val="00C34116"/>
    <w:rsid w:val="00C34677"/>
    <w:rsid w:val="00C34A61"/>
    <w:rsid w:val="00C34A7A"/>
    <w:rsid w:val="00C34BC4"/>
    <w:rsid w:val="00C3512C"/>
    <w:rsid w:val="00C354E5"/>
    <w:rsid w:val="00C354F8"/>
    <w:rsid w:val="00C355A3"/>
    <w:rsid w:val="00C355AE"/>
    <w:rsid w:val="00C355BB"/>
    <w:rsid w:val="00C359BC"/>
    <w:rsid w:val="00C359D7"/>
    <w:rsid w:val="00C35B09"/>
    <w:rsid w:val="00C35B92"/>
    <w:rsid w:val="00C35B99"/>
    <w:rsid w:val="00C35C12"/>
    <w:rsid w:val="00C35C4B"/>
    <w:rsid w:val="00C35C98"/>
    <w:rsid w:val="00C35D0B"/>
    <w:rsid w:val="00C35DBE"/>
    <w:rsid w:val="00C363DB"/>
    <w:rsid w:val="00C36485"/>
    <w:rsid w:val="00C366F8"/>
    <w:rsid w:val="00C368BD"/>
    <w:rsid w:val="00C36A8E"/>
    <w:rsid w:val="00C36D23"/>
    <w:rsid w:val="00C3708B"/>
    <w:rsid w:val="00C377E0"/>
    <w:rsid w:val="00C37A86"/>
    <w:rsid w:val="00C37BAC"/>
    <w:rsid w:val="00C37D67"/>
    <w:rsid w:val="00C37F2E"/>
    <w:rsid w:val="00C402B9"/>
    <w:rsid w:val="00C403D3"/>
    <w:rsid w:val="00C4041D"/>
    <w:rsid w:val="00C40568"/>
    <w:rsid w:val="00C406D8"/>
    <w:rsid w:val="00C41412"/>
    <w:rsid w:val="00C4173F"/>
    <w:rsid w:val="00C417AF"/>
    <w:rsid w:val="00C419D5"/>
    <w:rsid w:val="00C42060"/>
    <w:rsid w:val="00C423FD"/>
    <w:rsid w:val="00C4264B"/>
    <w:rsid w:val="00C428BD"/>
    <w:rsid w:val="00C42916"/>
    <w:rsid w:val="00C42B06"/>
    <w:rsid w:val="00C42CB0"/>
    <w:rsid w:val="00C43BAF"/>
    <w:rsid w:val="00C44FD4"/>
    <w:rsid w:val="00C45173"/>
    <w:rsid w:val="00C45795"/>
    <w:rsid w:val="00C45B05"/>
    <w:rsid w:val="00C45CF7"/>
    <w:rsid w:val="00C45D15"/>
    <w:rsid w:val="00C45FB5"/>
    <w:rsid w:val="00C46567"/>
    <w:rsid w:val="00C46775"/>
    <w:rsid w:val="00C46940"/>
    <w:rsid w:val="00C470F6"/>
    <w:rsid w:val="00C47130"/>
    <w:rsid w:val="00C47594"/>
    <w:rsid w:val="00C47663"/>
    <w:rsid w:val="00C478C6"/>
    <w:rsid w:val="00C47E90"/>
    <w:rsid w:val="00C47F10"/>
    <w:rsid w:val="00C50528"/>
    <w:rsid w:val="00C50F67"/>
    <w:rsid w:val="00C51245"/>
    <w:rsid w:val="00C51321"/>
    <w:rsid w:val="00C51471"/>
    <w:rsid w:val="00C518D4"/>
    <w:rsid w:val="00C51CE8"/>
    <w:rsid w:val="00C51ECE"/>
    <w:rsid w:val="00C522A6"/>
    <w:rsid w:val="00C5273F"/>
    <w:rsid w:val="00C52860"/>
    <w:rsid w:val="00C52DAD"/>
    <w:rsid w:val="00C52EFD"/>
    <w:rsid w:val="00C52F5C"/>
    <w:rsid w:val="00C52F97"/>
    <w:rsid w:val="00C532C1"/>
    <w:rsid w:val="00C532E5"/>
    <w:rsid w:val="00C5347F"/>
    <w:rsid w:val="00C53485"/>
    <w:rsid w:val="00C53516"/>
    <w:rsid w:val="00C535FD"/>
    <w:rsid w:val="00C53752"/>
    <w:rsid w:val="00C538CB"/>
    <w:rsid w:val="00C538FA"/>
    <w:rsid w:val="00C53B03"/>
    <w:rsid w:val="00C53B11"/>
    <w:rsid w:val="00C53DAD"/>
    <w:rsid w:val="00C542A0"/>
    <w:rsid w:val="00C543D0"/>
    <w:rsid w:val="00C54842"/>
    <w:rsid w:val="00C549C2"/>
    <w:rsid w:val="00C549F9"/>
    <w:rsid w:val="00C54CAF"/>
    <w:rsid w:val="00C55142"/>
    <w:rsid w:val="00C55348"/>
    <w:rsid w:val="00C553C3"/>
    <w:rsid w:val="00C55B41"/>
    <w:rsid w:val="00C55DA3"/>
    <w:rsid w:val="00C55DB8"/>
    <w:rsid w:val="00C55ED5"/>
    <w:rsid w:val="00C564D7"/>
    <w:rsid w:val="00C569EC"/>
    <w:rsid w:val="00C56A15"/>
    <w:rsid w:val="00C56D2E"/>
    <w:rsid w:val="00C56E83"/>
    <w:rsid w:val="00C5707E"/>
    <w:rsid w:val="00C57150"/>
    <w:rsid w:val="00C57491"/>
    <w:rsid w:val="00C574B4"/>
    <w:rsid w:val="00C57F6C"/>
    <w:rsid w:val="00C6018F"/>
    <w:rsid w:val="00C6028A"/>
    <w:rsid w:val="00C60365"/>
    <w:rsid w:val="00C605FE"/>
    <w:rsid w:val="00C607FA"/>
    <w:rsid w:val="00C60920"/>
    <w:rsid w:val="00C60A92"/>
    <w:rsid w:val="00C60BB6"/>
    <w:rsid w:val="00C60FED"/>
    <w:rsid w:val="00C61270"/>
    <w:rsid w:val="00C6128F"/>
    <w:rsid w:val="00C616E9"/>
    <w:rsid w:val="00C61895"/>
    <w:rsid w:val="00C61DAC"/>
    <w:rsid w:val="00C61F2D"/>
    <w:rsid w:val="00C62126"/>
    <w:rsid w:val="00C6221E"/>
    <w:rsid w:val="00C62826"/>
    <w:rsid w:val="00C628A2"/>
    <w:rsid w:val="00C6290F"/>
    <w:rsid w:val="00C62AB9"/>
    <w:rsid w:val="00C62C12"/>
    <w:rsid w:val="00C6342C"/>
    <w:rsid w:val="00C6365B"/>
    <w:rsid w:val="00C639B1"/>
    <w:rsid w:val="00C63BCF"/>
    <w:rsid w:val="00C63EA3"/>
    <w:rsid w:val="00C641D5"/>
    <w:rsid w:val="00C64224"/>
    <w:rsid w:val="00C647E0"/>
    <w:rsid w:val="00C65470"/>
    <w:rsid w:val="00C65553"/>
    <w:rsid w:val="00C6556E"/>
    <w:rsid w:val="00C655E1"/>
    <w:rsid w:val="00C6560E"/>
    <w:rsid w:val="00C65793"/>
    <w:rsid w:val="00C66143"/>
    <w:rsid w:val="00C66402"/>
    <w:rsid w:val="00C66A79"/>
    <w:rsid w:val="00C66E5E"/>
    <w:rsid w:val="00C671A8"/>
    <w:rsid w:val="00C6751B"/>
    <w:rsid w:val="00C67ED2"/>
    <w:rsid w:val="00C7003A"/>
    <w:rsid w:val="00C7058F"/>
    <w:rsid w:val="00C70829"/>
    <w:rsid w:val="00C708CF"/>
    <w:rsid w:val="00C70B1B"/>
    <w:rsid w:val="00C70CC8"/>
    <w:rsid w:val="00C70CE3"/>
    <w:rsid w:val="00C711B4"/>
    <w:rsid w:val="00C714F2"/>
    <w:rsid w:val="00C71C48"/>
    <w:rsid w:val="00C72A47"/>
    <w:rsid w:val="00C72E32"/>
    <w:rsid w:val="00C7356A"/>
    <w:rsid w:val="00C73838"/>
    <w:rsid w:val="00C7455A"/>
    <w:rsid w:val="00C74930"/>
    <w:rsid w:val="00C74EA1"/>
    <w:rsid w:val="00C753E1"/>
    <w:rsid w:val="00C75506"/>
    <w:rsid w:val="00C75713"/>
    <w:rsid w:val="00C75718"/>
    <w:rsid w:val="00C75815"/>
    <w:rsid w:val="00C7624C"/>
    <w:rsid w:val="00C766BB"/>
    <w:rsid w:val="00C76BA2"/>
    <w:rsid w:val="00C771D7"/>
    <w:rsid w:val="00C7745E"/>
    <w:rsid w:val="00C77A2F"/>
    <w:rsid w:val="00C8003D"/>
    <w:rsid w:val="00C8007B"/>
    <w:rsid w:val="00C80142"/>
    <w:rsid w:val="00C80372"/>
    <w:rsid w:val="00C806A7"/>
    <w:rsid w:val="00C808BB"/>
    <w:rsid w:val="00C80CF2"/>
    <w:rsid w:val="00C80DA7"/>
    <w:rsid w:val="00C80DD1"/>
    <w:rsid w:val="00C811D0"/>
    <w:rsid w:val="00C812B0"/>
    <w:rsid w:val="00C815D5"/>
    <w:rsid w:val="00C81948"/>
    <w:rsid w:val="00C81B84"/>
    <w:rsid w:val="00C81F39"/>
    <w:rsid w:val="00C81FC8"/>
    <w:rsid w:val="00C82080"/>
    <w:rsid w:val="00C820D5"/>
    <w:rsid w:val="00C820EC"/>
    <w:rsid w:val="00C822BA"/>
    <w:rsid w:val="00C8231F"/>
    <w:rsid w:val="00C8269E"/>
    <w:rsid w:val="00C8287D"/>
    <w:rsid w:val="00C83238"/>
    <w:rsid w:val="00C836E0"/>
    <w:rsid w:val="00C8372F"/>
    <w:rsid w:val="00C83BC6"/>
    <w:rsid w:val="00C83E97"/>
    <w:rsid w:val="00C83F4D"/>
    <w:rsid w:val="00C83FB5"/>
    <w:rsid w:val="00C84288"/>
    <w:rsid w:val="00C84A2A"/>
    <w:rsid w:val="00C8521F"/>
    <w:rsid w:val="00C852B2"/>
    <w:rsid w:val="00C8581B"/>
    <w:rsid w:val="00C859B5"/>
    <w:rsid w:val="00C86049"/>
    <w:rsid w:val="00C8629A"/>
    <w:rsid w:val="00C8634B"/>
    <w:rsid w:val="00C863E9"/>
    <w:rsid w:val="00C8657B"/>
    <w:rsid w:val="00C868BF"/>
    <w:rsid w:val="00C868D7"/>
    <w:rsid w:val="00C86B81"/>
    <w:rsid w:val="00C86CC5"/>
    <w:rsid w:val="00C86DB9"/>
    <w:rsid w:val="00C86F0D"/>
    <w:rsid w:val="00C87254"/>
    <w:rsid w:val="00C8747C"/>
    <w:rsid w:val="00C8760C"/>
    <w:rsid w:val="00C90351"/>
    <w:rsid w:val="00C90AFA"/>
    <w:rsid w:val="00C90D2D"/>
    <w:rsid w:val="00C90F70"/>
    <w:rsid w:val="00C91709"/>
    <w:rsid w:val="00C91979"/>
    <w:rsid w:val="00C91D8D"/>
    <w:rsid w:val="00C91DC9"/>
    <w:rsid w:val="00C921DB"/>
    <w:rsid w:val="00C925FA"/>
    <w:rsid w:val="00C92971"/>
    <w:rsid w:val="00C92B80"/>
    <w:rsid w:val="00C92B82"/>
    <w:rsid w:val="00C930FD"/>
    <w:rsid w:val="00C931B0"/>
    <w:rsid w:val="00C932A4"/>
    <w:rsid w:val="00C9334B"/>
    <w:rsid w:val="00C934F3"/>
    <w:rsid w:val="00C93A01"/>
    <w:rsid w:val="00C93A65"/>
    <w:rsid w:val="00C944D5"/>
    <w:rsid w:val="00C947AD"/>
    <w:rsid w:val="00C94962"/>
    <w:rsid w:val="00C94F4C"/>
    <w:rsid w:val="00C94FED"/>
    <w:rsid w:val="00C9525E"/>
    <w:rsid w:val="00C952AB"/>
    <w:rsid w:val="00C95446"/>
    <w:rsid w:val="00C955CB"/>
    <w:rsid w:val="00C958A3"/>
    <w:rsid w:val="00C958BB"/>
    <w:rsid w:val="00C95A1E"/>
    <w:rsid w:val="00C95B4A"/>
    <w:rsid w:val="00C95CEC"/>
    <w:rsid w:val="00C961F0"/>
    <w:rsid w:val="00C965D9"/>
    <w:rsid w:val="00C96AFB"/>
    <w:rsid w:val="00C96E93"/>
    <w:rsid w:val="00C9702F"/>
    <w:rsid w:val="00C970E4"/>
    <w:rsid w:val="00C97378"/>
    <w:rsid w:val="00C973B2"/>
    <w:rsid w:val="00C97867"/>
    <w:rsid w:val="00C97F09"/>
    <w:rsid w:val="00CA06DC"/>
    <w:rsid w:val="00CA0A70"/>
    <w:rsid w:val="00CA0B00"/>
    <w:rsid w:val="00CA0F00"/>
    <w:rsid w:val="00CA0F62"/>
    <w:rsid w:val="00CA0F9A"/>
    <w:rsid w:val="00CA10C1"/>
    <w:rsid w:val="00CA110D"/>
    <w:rsid w:val="00CA1444"/>
    <w:rsid w:val="00CA19EA"/>
    <w:rsid w:val="00CA1AC8"/>
    <w:rsid w:val="00CA2084"/>
    <w:rsid w:val="00CA2383"/>
    <w:rsid w:val="00CA25CC"/>
    <w:rsid w:val="00CA28DE"/>
    <w:rsid w:val="00CA2A69"/>
    <w:rsid w:val="00CA2E0D"/>
    <w:rsid w:val="00CA32FD"/>
    <w:rsid w:val="00CA3579"/>
    <w:rsid w:val="00CA38DB"/>
    <w:rsid w:val="00CA38F5"/>
    <w:rsid w:val="00CA3A01"/>
    <w:rsid w:val="00CA3DF1"/>
    <w:rsid w:val="00CA43DF"/>
    <w:rsid w:val="00CA4418"/>
    <w:rsid w:val="00CA4AE0"/>
    <w:rsid w:val="00CA4C29"/>
    <w:rsid w:val="00CA4DD8"/>
    <w:rsid w:val="00CA55E6"/>
    <w:rsid w:val="00CA5E92"/>
    <w:rsid w:val="00CA612E"/>
    <w:rsid w:val="00CA62BE"/>
    <w:rsid w:val="00CA6381"/>
    <w:rsid w:val="00CA6991"/>
    <w:rsid w:val="00CA6A74"/>
    <w:rsid w:val="00CA6F3A"/>
    <w:rsid w:val="00CA7A7C"/>
    <w:rsid w:val="00CA7B06"/>
    <w:rsid w:val="00CA7BBD"/>
    <w:rsid w:val="00CA7CA3"/>
    <w:rsid w:val="00CB006E"/>
    <w:rsid w:val="00CB041B"/>
    <w:rsid w:val="00CB0BB6"/>
    <w:rsid w:val="00CB0BE2"/>
    <w:rsid w:val="00CB1159"/>
    <w:rsid w:val="00CB146B"/>
    <w:rsid w:val="00CB1908"/>
    <w:rsid w:val="00CB1EC6"/>
    <w:rsid w:val="00CB1F3B"/>
    <w:rsid w:val="00CB2310"/>
    <w:rsid w:val="00CB299E"/>
    <w:rsid w:val="00CB2B8F"/>
    <w:rsid w:val="00CB2CC0"/>
    <w:rsid w:val="00CB2EFF"/>
    <w:rsid w:val="00CB2FF4"/>
    <w:rsid w:val="00CB31A6"/>
    <w:rsid w:val="00CB32A8"/>
    <w:rsid w:val="00CB32C9"/>
    <w:rsid w:val="00CB350C"/>
    <w:rsid w:val="00CB35AE"/>
    <w:rsid w:val="00CB3678"/>
    <w:rsid w:val="00CB3E49"/>
    <w:rsid w:val="00CB409D"/>
    <w:rsid w:val="00CB41CF"/>
    <w:rsid w:val="00CB4507"/>
    <w:rsid w:val="00CB4710"/>
    <w:rsid w:val="00CB47FD"/>
    <w:rsid w:val="00CB4C5F"/>
    <w:rsid w:val="00CB4D71"/>
    <w:rsid w:val="00CB4D8F"/>
    <w:rsid w:val="00CB4FD3"/>
    <w:rsid w:val="00CB5075"/>
    <w:rsid w:val="00CB5081"/>
    <w:rsid w:val="00CB5250"/>
    <w:rsid w:val="00CB52D8"/>
    <w:rsid w:val="00CB57F8"/>
    <w:rsid w:val="00CB5830"/>
    <w:rsid w:val="00CB59A8"/>
    <w:rsid w:val="00CB5FDD"/>
    <w:rsid w:val="00CB6301"/>
    <w:rsid w:val="00CB67FA"/>
    <w:rsid w:val="00CB6A83"/>
    <w:rsid w:val="00CB6D31"/>
    <w:rsid w:val="00CB6D5B"/>
    <w:rsid w:val="00CB6E6A"/>
    <w:rsid w:val="00CB74F9"/>
    <w:rsid w:val="00CB7668"/>
    <w:rsid w:val="00CB7715"/>
    <w:rsid w:val="00CB7938"/>
    <w:rsid w:val="00CB7A34"/>
    <w:rsid w:val="00CB7D57"/>
    <w:rsid w:val="00CC07B4"/>
    <w:rsid w:val="00CC0B38"/>
    <w:rsid w:val="00CC0C43"/>
    <w:rsid w:val="00CC0E46"/>
    <w:rsid w:val="00CC1046"/>
    <w:rsid w:val="00CC10A7"/>
    <w:rsid w:val="00CC11D3"/>
    <w:rsid w:val="00CC1792"/>
    <w:rsid w:val="00CC20AD"/>
    <w:rsid w:val="00CC21A4"/>
    <w:rsid w:val="00CC23FB"/>
    <w:rsid w:val="00CC25AF"/>
    <w:rsid w:val="00CC26E1"/>
    <w:rsid w:val="00CC27E1"/>
    <w:rsid w:val="00CC282E"/>
    <w:rsid w:val="00CC2ABE"/>
    <w:rsid w:val="00CC2B50"/>
    <w:rsid w:val="00CC2B7C"/>
    <w:rsid w:val="00CC2B83"/>
    <w:rsid w:val="00CC3026"/>
    <w:rsid w:val="00CC306E"/>
    <w:rsid w:val="00CC33E0"/>
    <w:rsid w:val="00CC38C4"/>
    <w:rsid w:val="00CC3FAB"/>
    <w:rsid w:val="00CC461C"/>
    <w:rsid w:val="00CC4831"/>
    <w:rsid w:val="00CC48E3"/>
    <w:rsid w:val="00CC52AD"/>
    <w:rsid w:val="00CC5870"/>
    <w:rsid w:val="00CC5A95"/>
    <w:rsid w:val="00CC5D77"/>
    <w:rsid w:val="00CC5DA6"/>
    <w:rsid w:val="00CC656B"/>
    <w:rsid w:val="00CC6A2D"/>
    <w:rsid w:val="00CC6D26"/>
    <w:rsid w:val="00CC6D5C"/>
    <w:rsid w:val="00CC6E5E"/>
    <w:rsid w:val="00CC6E91"/>
    <w:rsid w:val="00CC6F5F"/>
    <w:rsid w:val="00CC7413"/>
    <w:rsid w:val="00CC7D6D"/>
    <w:rsid w:val="00CC7E01"/>
    <w:rsid w:val="00CD03DA"/>
    <w:rsid w:val="00CD08AA"/>
    <w:rsid w:val="00CD0AF5"/>
    <w:rsid w:val="00CD0B69"/>
    <w:rsid w:val="00CD0C01"/>
    <w:rsid w:val="00CD0D46"/>
    <w:rsid w:val="00CD151E"/>
    <w:rsid w:val="00CD1521"/>
    <w:rsid w:val="00CD1680"/>
    <w:rsid w:val="00CD174B"/>
    <w:rsid w:val="00CD1AE8"/>
    <w:rsid w:val="00CD1B96"/>
    <w:rsid w:val="00CD1DEA"/>
    <w:rsid w:val="00CD1E73"/>
    <w:rsid w:val="00CD29CE"/>
    <w:rsid w:val="00CD32D6"/>
    <w:rsid w:val="00CD330D"/>
    <w:rsid w:val="00CD35D7"/>
    <w:rsid w:val="00CD365F"/>
    <w:rsid w:val="00CD392D"/>
    <w:rsid w:val="00CD3980"/>
    <w:rsid w:val="00CD39AB"/>
    <w:rsid w:val="00CD3C9E"/>
    <w:rsid w:val="00CD3CB9"/>
    <w:rsid w:val="00CD3F1F"/>
    <w:rsid w:val="00CD3F2C"/>
    <w:rsid w:val="00CD42F5"/>
    <w:rsid w:val="00CD436A"/>
    <w:rsid w:val="00CD484B"/>
    <w:rsid w:val="00CD4879"/>
    <w:rsid w:val="00CD48B1"/>
    <w:rsid w:val="00CD4F73"/>
    <w:rsid w:val="00CD4FAF"/>
    <w:rsid w:val="00CD519F"/>
    <w:rsid w:val="00CD53E4"/>
    <w:rsid w:val="00CD5D40"/>
    <w:rsid w:val="00CD5D69"/>
    <w:rsid w:val="00CD5EB9"/>
    <w:rsid w:val="00CD611A"/>
    <w:rsid w:val="00CD6184"/>
    <w:rsid w:val="00CD622E"/>
    <w:rsid w:val="00CD6592"/>
    <w:rsid w:val="00CD6CA1"/>
    <w:rsid w:val="00CD780C"/>
    <w:rsid w:val="00CD7BB4"/>
    <w:rsid w:val="00CD7F50"/>
    <w:rsid w:val="00CE004A"/>
    <w:rsid w:val="00CE0370"/>
    <w:rsid w:val="00CE04D5"/>
    <w:rsid w:val="00CE09F1"/>
    <w:rsid w:val="00CE09FC"/>
    <w:rsid w:val="00CE0AF1"/>
    <w:rsid w:val="00CE0EDC"/>
    <w:rsid w:val="00CE1B80"/>
    <w:rsid w:val="00CE1BDB"/>
    <w:rsid w:val="00CE1EBA"/>
    <w:rsid w:val="00CE206C"/>
    <w:rsid w:val="00CE20C2"/>
    <w:rsid w:val="00CE24C6"/>
    <w:rsid w:val="00CE2BE1"/>
    <w:rsid w:val="00CE2E74"/>
    <w:rsid w:val="00CE3053"/>
    <w:rsid w:val="00CE3CC1"/>
    <w:rsid w:val="00CE3EEC"/>
    <w:rsid w:val="00CE4BAE"/>
    <w:rsid w:val="00CE5320"/>
    <w:rsid w:val="00CE55A6"/>
    <w:rsid w:val="00CE59A9"/>
    <w:rsid w:val="00CE5BEF"/>
    <w:rsid w:val="00CE67EF"/>
    <w:rsid w:val="00CE68E9"/>
    <w:rsid w:val="00CE6986"/>
    <w:rsid w:val="00CE6C49"/>
    <w:rsid w:val="00CE7794"/>
    <w:rsid w:val="00CE7879"/>
    <w:rsid w:val="00CE7A97"/>
    <w:rsid w:val="00CE7FF6"/>
    <w:rsid w:val="00CF0721"/>
    <w:rsid w:val="00CF0907"/>
    <w:rsid w:val="00CF0B86"/>
    <w:rsid w:val="00CF0EB0"/>
    <w:rsid w:val="00CF13FC"/>
    <w:rsid w:val="00CF1452"/>
    <w:rsid w:val="00CF15D7"/>
    <w:rsid w:val="00CF16AE"/>
    <w:rsid w:val="00CF16B6"/>
    <w:rsid w:val="00CF192A"/>
    <w:rsid w:val="00CF1A23"/>
    <w:rsid w:val="00CF2054"/>
    <w:rsid w:val="00CF210D"/>
    <w:rsid w:val="00CF230F"/>
    <w:rsid w:val="00CF2A31"/>
    <w:rsid w:val="00CF2CF1"/>
    <w:rsid w:val="00CF2F22"/>
    <w:rsid w:val="00CF2F71"/>
    <w:rsid w:val="00CF2FBE"/>
    <w:rsid w:val="00CF3336"/>
    <w:rsid w:val="00CF33C3"/>
    <w:rsid w:val="00CF346A"/>
    <w:rsid w:val="00CF361D"/>
    <w:rsid w:val="00CF3865"/>
    <w:rsid w:val="00CF3DDC"/>
    <w:rsid w:val="00CF41A6"/>
    <w:rsid w:val="00CF41F0"/>
    <w:rsid w:val="00CF437A"/>
    <w:rsid w:val="00CF46DF"/>
    <w:rsid w:val="00CF4836"/>
    <w:rsid w:val="00CF49AC"/>
    <w:rsid w:val="00CF4D80"/>
    <w:rsid w:val="00CF54C7"/>
    <w:rsid w:val="00CF57EC"/>
    <w:rsid w:val="00CF5CE4"/>
    <w:rsid w:val="00CF5F01"/>
    <w:rsid w:val="00CF6549"/>
    <w:rsid w:val="00CF667F"/>
    <w:rsid w:val="00CF696A"/>
    <w:rsid w:val="00CF69D2"/>
    <w:rsid w:val="00CF6CDF"/>
    <w:rsid w:val="00CF7125"/>
    <w:rsid w:val="00CF765D"/>
    <w:rsid w:val="00CF783A"/>
    <w:rsid w:val="00CF7923"/>
    <w:rsid w:val="00CF7950"/>
    <w:rsid w:val="00CF7AB0"/>
    <w:rsid w:val="00CF7D14"/>
    <w:rsid w:val="00D0061D"/>
    <w:rsid w:val="00D008D8"/>
    <w:rsid w:val="00D01003"/>
    <w:rsid w:val="00D01289"/>
    <w:rsid w:val="00D01677"/>
    <w:rsid w:val="00D02998"/>
    <w:rsid w:val="00D02AF4"/>
    <w:rsid w:val="00D02B06"/>
    <w:rsid w:val="00D02E5A"/>
    <w:rsid w:val="00D02ED8"/>
    <w:rsid w:val="00D02F95"/>
    <w:rsid w:val="00D036F7"/>
    <w:rsid w:val="00D0370D"/>
    <w:rsid w:val="00D039D0"/>
    <w:rsid w:val="00D03F28"/>
    <w:rsid w:val="00D041DF"/>
    <w:rsid w:val="00D0436A"/>
    <w:rsid w:val="00D04889"/>
    <w:rsid w:val="00D048B6"/>
    <w:rsid w:val="00D049D5"/>
    <w:rsid w:val="00D04BEB"/>
    <w:rsid w:val="00D04C42"/>
    <w:rsid w:val="00D04EA5"/>
    <w:rsid w:val="00D05090"/>
    <w:rsid w:val="00D058D4"/>
    <w:rsid w:val="00D05B4B"/>
    <w:rsid w:val="00D06096"/>
    <w:rsid w:val="00D060B1"/>
    <w:rsid w:val="00D06821"/>
    <w:rsid w:val="00D06F53"/>
    <w:rsid w:val="00D06F91"/>
    <w:rsid w:val="00D070B5"/>
    <w:rsid w:val="00D073EE"/>
    <w:rsid w:val="00D0769C"/>
    <w:rsid w:val="00D07A44"/>
    <w:rsid w:val="00D10042"/>
    <w:rsid w:val="00D100CB"/>
    <w:rsid w:val="00D10463"/>
    <w:rsid w:val="00D10684"/>
    <w:rsid w:val="00D106EA"/>
    <w:rsid w:val="00D10825"/>
    <w:rsid w:val="00D10C99"/>
    <w:rsid w:val="00D1122C"/>
    <w:rsid w:val="00D1168C"/>
    <w:rsid w:val="00D11A32"/>
    <w:rsid w:val="00D11DF0"/>
    <w:rsid w:val="00D12539"/>
    <w:rsid w:val="00D129B7"/>
    <w:rsid w:val="00D12D24"/>
    <w:rsid w:val="00D12F95"/>
    <w:rsid w:val="00D133AB"/>
    <w:rsid w:val="00D14116"/>
    <w:rsid w:val="00D1419B"/>
    <w:rsid w:val="00D1426B"/>
    <w:rsid w:val="00D14848"/>
    <w:rsid w:val="00D148BF"/>
    <w:rsid w:val="00D14954"/>
    <w:rsid w:val="00D14967"/>
    <w:rsid w:val="00D14A53"/>
    <w:rsid w:val="00D15337"/>
    <w:rsid w:val="00D153AC"/>
    <w:rsid w:val="00D153C1"/>
    <w:rsid w:val="00D157C8"/>
    <w:rsid w:val="00D159C8"/>
    <w:rsid w:val="00D15A16"/>
    <w:rsid w:val="00D15BDC"/>
    <w:rsid w:val="00D16216"/>
    <w:rsid w:val="00D1622E"/>
    <w:rsid w:val="00D16373"/>
    <w:rsid w:val="00D167D0"/>
    <w:rsid w:val="00D16DED"/>
    <w:rsid w:val="00D17114"/>
    <w:rsid w:val="00D17807"/>
    <w:rsid w:val="00D1782F"/>
    <w:rsid w:val="00D17868"/>
    <w:rsid w:val="00D17C51"/>
    <w:rsid w:val="00D200C4"/>
    <w:rsid w:val="00D205F0"/>
    <w:rsid w:val="00D208DD"/>
    <w:rsid w:val="00D20ABC"/>
    <w:rsid w:val="00D20B9A"/>
    <w:rsid w:val="00D20EB4"/>
    <w:rsid w:val="00D21276"/>
    <w:rsid w:val="00D214EB"/>
    <w:rsid w:val="00D21B85"/>
    <w:rsid w:val="00D21BBD"/>
    <w:rsid w:val="00D21C38"/>
    <w:rsid w:val="00D21DA1"/>
    <w:rsid w:val="00D2201F"/>
    <w:rsid w:val="00D220E0"/>
    <w:rsid w:val="00D22429"/>
    <w:rsid w:val="00D225CA"/>
    <w:rsid w:val="00D22B95"/>
    <w:rsid w:val="00D22BB8"/>
    <w:rsid w:val="00D22BDC"/>
    <w:rsid w:val="00D22D7F"/>
    <w:rsid w:val="00D22FCD"/>
    <w:rsid w:val="00D2313D"/>
    <w:rsid w:val="00D23540"/>
    <w:rsid w:val="00D23A6D"/>
    <w:rsid w:val="00D23B44"/>
    <w:rsid w:val="00D23DA3"/>
    <w:rsid w:val="00D23E5B"/>
    <w:rsid w:val="00D2436B"/>
    <w:rsid w:val="00D24738"/>
    <w:rsid w:val="00D24D71"/>
    <w:rsid w:val="00D24E8D"/>
    <w:rsid w:val="00D24FBF"/>
    <w:rsid w:val="00D250B0"/>
    <w:rsid w:val="00D25545"/>
    <w:rsid w:val="00D257B0"/>
    <w:rsid w:val="00D257F7"/>
    <w:rsid w:val="00D261A2"/>
    <w:rsid w:val="00D2623D"/>
    <w:rsid w:val="00D264B2"/>
    <w:rsid w:val="00D26510"/>
    <w:rsid w:val="00D266B5"/>
    <w:rsid w:val="00D26826"/>
    <w:rsid w:val="00D2686B"/>
    <w:rsid w:val="00D2733D"/>
    <w:rsid w:val="00D2747F"/>
    <w:rsid w:val="00D277E8"/>
    <w:rsid w:val="00D277EC"/>
    <w:rsid w:val="00D27AC3"/>
    <w:rsid w:val="00D27D1F"/>
    <w:rsid w:val="00D30148"/>
    <w:rsid w:val="00D30737"/>
    <w:rsid w:val="00D3092C"/>
    <w:rsid w:val="00D30B64"/>
    <w:rsid w:val="00D30BC8"/>
    <w:rsid w:val="00D311AD"/>
    <w:rsid w:val="00D31BCA"/>
    <w:rsid w:val="00D31D90"/>
    <w:rsid w:val="00D31EC3"/>
    <w:rsid w:val="00D3274E"/>
    <w:rsid w:val="00D3280D"/>
    <w:rsid w:val="00D328C0"/>
    <w:rsid w:val="00D32B6D"/>
    <w:rsid w:val="00D32D1A"/>
    <w:rsid w:val="00D33245"/>
    <w:rsid w:val="00D3376A"/>
    <w:rsid w:val="00D3394E"/>
    <w:rsid w:val="00D33CF7"/>
    <w:rsid w:val="00D33E45"/>
    <w:rsid w:val="00D340C9"/>
    <w:rsid w:val="00D34152"/>
    <w:rsid w:val="00D3418C"/>
    <w:rsid w:val="00D34752"/>
    <w:rsid w:val="00D349CF"/>
    <w:rsid w:val="00D34C79"/>
    <w:rsid w:val="00D34CDA"/>
    <w:rsid w:val="00D35BE4"/>
    <w:rsid w:val="00D35F17"/>
    <w:rsid w:val="00D35FD9"/>
    <w:rsid w:val="00D36109"/>
    <w:rsid w:val="00D36685"/>
    <w:rsid w:val="00D36783"/>
    <w:rsid w:val="00D379F4"/>
    <w:rsid w:val="00D37AFF"/>
    <w:rsid w:val="00D37CF3"/>
    <w:rsid w:val="00D40067"/>
    <w:rsid w:val="00D40086"/>
    <w:rsid w:val="00D400B8"/>
    <w:rsid w:val="00D400BA"/>
    <w:rsid w:val="00D40415"/>
    <w:rsid w:val="00D404E2"/>
    <w:rsid w:val="00D406F6"/>
    <w:rsid w:val="00D40BB1"/>
    <w:rsid w:val="00D40EB8"/>
    <w:rsid w:val="00D41199"/>
    <w:rsid w:val="00D41281"/>
    <w:rsid w:val="00D41425"/>
    <w:rsid w:val="00D41919"/>
    <w:rsid w:val="00D41CFA"/>
    <w:rsid w:val="00D41D05"/>
    <w:rsid w:val="00D421FE"/>
    <w:rsid w:val="00D4235E"/>
    <w:rsid w:val="00D428B1"/>
    <w:rsid w:val="00D43916"/>
    <w:rsid w:val="00D43F3E"/>
    <w:rsid w:val="00D44884"/>
    <w:rsid w:val="00D44AEE"/>
    <w:rsid w:val="00D44DEF"/>
    <w:rsid w:val="00D44EC3"/>
    <w:rsid w:val="00D45060"/>
    <w:rsid w:val="00D458C4"/>
    <w:rsid w:val="00D45909"/>
    <w:rsid w:val="00D45BB5"/>
    <w:rsid w:val="00D4694D"/>
    <w:rsid w:val="00D46B93"/>
    <w:rsid w:val="00D47256"/>
    <w:rsid w:val="00D47274"/>
    <w:rsid w:val="00D47F74"/>
    <w:rsid w:val="00D47FB3"/>
    <w:rsid w:val="00D50254"/>
    <w:rsid w:val="00D506DE"/>
    <w:rsid w:val="00D50813"/>
    <w:rsid w:val="00D50FC7"/>
    <w:rsid w:val="00D5136C"/>
    <w:rsid w:val="00D5158C"/>
    <w:rsid w:val="00D5193F"/>
    <w:rsid w:val="00D51ADC"/>
    <w:rsid w:val="00D52D5C"/>
    <w:rsid w:val="00D52FA3"/>
    <w:rsid w:val="00D52FDD"/>
    <w:rsid w:val="00D53153"/>
    <w:rsid w:val="00D53A22"/>
    <w:rsid w:val="00D53A97"/>
    <w:rsid w:val="00D53CAE"/>
    <w:rsid w:val="00D53E13"/>
    <w:rsid w:val="00D5468A"/>
    <w:rsid w:val="00D54A8B"/>
    <w:rsid w:val="00D54C29"/>
    <w:rsid w:val="00D54E3E"/>
    <w:rsid w:val="00D54EA0"/>
    <w:rsid w:val="00D55292"/>
    <w:rsid w:val="00D558EF"/>
    <w:rsid w:val="00D55AFF"/>
    <w:rsid w:val="00D55C45"/>
    <w:rsid w:val="00D561E6"/>
    <w:rsid w:val="00D561F3"/>
    <w:rsid w:val="00D56437"/>
    <w:rsid w:val="00D56577"/>
    <w:rsid w:val="00D5658F"/>
    <w:rsid w:val="00D56836"/>
    <w:rsid w:val="00D5685B"/>
    <w:rsid w:val="00D568F8"/>
    <w:rsid w:val="00D56AB1"/>
    <w:rsid w:val="00D56D9E"/>
    <w:rsid w:val="00D57102"/>
    <w:rsid w:val="00D604EB"/>
    <w:rsid w:val="00D60A55"/>
    <w:rsid w:val="00D619D8"/>
    <w:rsid w:val="00D61A0F"/>
    <w:rsid w:val="00D61A7A"/>
    <w:rsid w:val="00D6255B"/>
    <w:rsid w:val="00D62749"/>
    <w:rsid w:val="00D63171"/>
    <w:rsid w:val="00D63670"/>
    <w:rsid w:val="00D63680"/>
    <w:rsid w:val="00D63A48"/>
    <w:rsid w:val="00D63DC0"/>
    <w:rsid w:val="00D63DCE"/>
    <w:rsid w:val="00D64037"/>
    <w:rsid w:val="00D64178"/>
    <w:rsid w:val="00D6418C"/>
    <w:rsid w:val="00D64760"/>
    <w:rsid w:val="00D648E2"/>
    <w:rsid w:val="00D649AE"/>
    <w:rsid w:val="00D64C47"/>
    <w:rsid w:val="00D6512B"/>
    <w:rsid w:val="00D65405"/>
    <w:rsid w:val="00D656B3"/>
    <w:rsid w:val="00D6593F"/>
    <w:rsid w:val="00D65A5E"/>
    <w:rsid w:val="00D65A81"/>
    <w:rsid w:val="00D65AE0"/>
    <w:rsid w:val="00D65D5A"/>
    <w:rsid w:val="00D65E6D"/>
    <w:rsid w:val="00D65EFA"/>
    <w:rsid w:val="00D66301"/>
    <w:rsid w:val="00D664B8"/>
    <w:rsid w:val="00D66DE2"/>
    <w:rsid w:val="00D66E54"/>
    <w:rsid w:val="00D66F05"/>
    <w:rsid w:val="00D66FC8"/>
    <w:rsid w:val="00D6725D"/>
    <w:rsid w:val="00D6753F"/>
    <w:rsid w:val="00D67FCA"/>
    <w:rsid w:val="00D70199"/>
    <w:rsid w:val="00D70585"/>
    <w:rsid w:val="00D70A8C"/>
    <w:rsid w:val="00D70AE9"/>
    <w:rsid w:val="00D70B30"/>
    <w:rsid w:val="00D70CD7"/>
    <w:rsid w:val="00D7133D"/>
    <w:rsid w:val="00D7136A"/>
    <w:rsid w:val="00D714E1"/>
    <w:rsid w:val="00D7150E"/>
    <w:rsid w:val="00D725E2"/>
    <w:rsid w:val="00D727E7"/>
    <w:rsid w:val="00D729EC"/>
    <w:rsid w:val="00D72CFD"/>
    <w:rsid w:val="00D72F9C"/>
    <w:rsid w:val="00D7352B"/>
    <w:rsid w:val="00D7383D"/>
    <w:rsid w:val="00D73EA0"/>
    <w:rsid w:val="00D741D5"/>
    <w:rsid w:val="00D74230"/>
    <w:rsid w:val="00D7440C"/>
    <w:rsid w:val="00D74438"/>
    <w:rsid w:val="00D74493"/>
    <w:rsid w:val="00D74648"/>
    <w:rsid w:val="00D74BDC"/>
    <w:rsid w:val="00D74E6E"/>
    <w:rsid w:val="00D7524E"/>
    <w:rsid w:val="00D752BE"/>
    <w:rsid w:val="00D75489"/>
    <w:rsid w:val="00D75F17"/>
    <w:rsid w:val="00D76198"/>
    <w:rsid w:val="00D76282"/>
    <w:rsid w:val="00D763F7"/>
    <w:rsid w:val="00D76700"/>
    <w:rsid w:val="00D769D2"/>
    <w:rsid w:val="00D76A6F"/>
    <w:rsid w:val="00D76A7D"/>
    <w:rsid w:val="00D76ACB"/>
    <w:rsid w:val="00D76ADB"/>
    <w:rsid w:val="00D77807"/>
    <w:rsid w:val="00D77844"/>
    <w:rsid w:val="00D778D4"/>
    <w:rsid w:val="00D77A37"/>
    <w:rsid w:val="00D77BC7"/>
    <w:rsid w:val="00D77F6A"/>
    <w:rsid w:val="00D800E9"/>
    <w:rsid w:val="00D806F7"/>
    <w:rsid w:val="00D80823"/>
    <w:rsid w:val="00D80B21"/>
    <w:rsid w:val="00D80E2F"/>
    <w:rsid w:val="00D80FBB"/>
    <w:rsid w:val="00D810B2"/>
    <w:rsid w:val="00D81601"/>
    <w:rsid w:val="00D81836"/>
    <w:rsid w:val="00D81B79"/>
    <w:rsid w:val="00D81D16"/>
    <w:rsid w:val="00D8225B"/>
    <w:rsid w:val="00D82A02"/>
    <w:rsid w:val="00D82A63"/>
    <w:rsid w:val="00D82BB2"/>
    <w:rsid w:val="00D82ECB"/>
    <w:rsid w:val="00D832C0"/>
    <w:rsid w:val="00D83676"/>
    <w:rsid w:val="00D83727"/>
    <w:rsid w:val="00D83963"/>
    <w:rsid w:val="00D83A9E"/>
    <w:rsid w:val="00D843E7"/>
    <w:rsid w:val="00D8477F"/>
    <w:rsid w:val="00D84EC8"/>
    <w:rsid w:val="00D84F4C"/>
    <w:rsid w:val="00D85418"/>
    <w:rsid w:val="00D854E3"/>
    <w:rsid w:val="00D8569F"/>
    <w:rsid w:val="00D856C4"/>
    <w:rsid w:val="00D8584A"/>
    <w:rsid w:val="00D85BE3"/>
    <w:rsid w:val="00D85F7C"/>
    <w:rsid w:val="00D863BA"/>
    <w:rsid w:val="00D8694F"/>
    <w:rsid w:val="00D8717E"/>
    <w:rsid w:val="00D8766A"/>
    <w:rsid w:val="00D877A5"/>
    <w:rsid w:val="00D8D2F4"/>
    <w:rsid w:val="00D90169"/>
    <w:rsid w:val="00D902F1"/>
    <w:rsid w:val="00D905C3"/>
    <w:rsid w:val="00D907B8"/>
    <w:rsid w:val="00D90AAC"/>
    <w:rsid w:val="00D90AE3"/>
    <w:rsid w:val="00D91358"/>
    <w:rsid w:val="00D91581"/>
    <w:rsid w:val="00D91987"/>
    <w:rsid w:val="00D91D81"/>
    <w:rsid w:val="00D91EE7"/>
    <w:rsid w:val="00D9278A"/>
    <w:rsid w:val="00D928CE"/>
    <w:rsid w:val="00D92906"/>
    <w:rsid w:val="00D9301E"/>
    <w:rsid w:val="00D93180"/>
    <w:rsid w:val="00D938BD"/>
    <w:rsid w:val="00D9394E"/>
    <w:rsid w:val="00D93D4C"/>
    <w:rsid w:val="00D942E3"/>
    <w:rsid w:val="00D9477E"/>
    <w:rsid w:val="00D947B2"/>
    <w:rsid w:val="00D94A0E"/>
    <w:rsid w:val="00D94AA0"/>
    <w:rsid w:val="00D94D96"/>
    <w:rsid w:val="00D9536F"/>
    <w:rsid w:val="00D956DB"/>
    <w:rsid w:val="00D95761"/>
    <w:rsid w:val="00D95D44"/>
    <w:rsid w:val="00D95FCF"/>
    <w:rsid w:val="00D963B6"/>
    <w:rsid w:val="00D964C3"/>
    <w:rsid w:val="00D96ACE"/>
    <w:rsid w:val="00D96D11"/>
    <w:rsid w:val="00D971A1"/>
    <w:rsid w:val="00D971D9"/>
    <w:rsid w:val="00D977E0"/>
    <w:rsid w:val="00D97A61"/>
    <w:rsid w:val="00D97C30"/>
    <w:rsid w:val="00D97C6A"/>
    <w:rsid w:val="00D97CD9"/>
    <w:rsid w:val="00D97DA8"/>
    <w:rsid w:val="00D97F7B"/>
    <w:rsid w:val="00DA003E"/>
    <w:rsid w:val="00DA0411"/>
    <w:rsid w:val="00DA0A3B"/>
    <w:rsid w:val="00DA0C09"/>
    <w:rsid w:val="00DA0C85"/>
    <w:rsid w:val="00DA119D"/>
    <w:rsid w:val="00DA1323"/>
    <w:rsid w:val="00DA1A2F"/>
    <w:rsid w:val="00DA1AB1"/>
    <w:rsid w:val="00DA1BB5"/>
    <w:rsid w:val="00DA2305"/>
    <w:rsid w:val="00DA27BC"/>
    <w:rsid w:val="00DA2963"/>
    <w:rsid w:val="00DA2B49"/>
    <w:rsid w:val="00DA30C6"/>
    <w:rsid w:val="00DA3206"/>
    <w:rsid w:val="00DA343F"/>
    <w:rsid w:val="00DA3C09"/>
    <w:rsid w:val="00DA3C1E"/>
    <w:rsid w:val="00DA437A"/>
    <w:rsid w:val="00DA5544"/>
    <w:rsid w:val="00DA5602"/>
    <w:rsid w:val="00DA578F"/>
    <w:rsid w:val="00DA5B05"/>
    <w:rsid w:val="00DA5D43"/>
    <w:rsid w:val="00DA5D4C"/>
    <w:rsid w:val="00DA60A5"/>
    <w:rsid w:val="00DA6732"/>
    <w:rsid w:val="00DA6739"/>
    <w:rsid w:val="00DA67D3"/>
    <w:rsid w:val="00DA69FD"/>
    <w:rsid w:val="00DA6D9E"/>
    <w:rsid w:val="00DA6DB0"/>
    <w:rsid w:val="00DA6E1C"/>
    <w:rsid w:val="00DA6EEF"/>
    <w:rsid w:val="00DA6FEA"/>
    <w:rsid w:val="00DA7108"/>
    <w:rsid w:val="00DA7225"/>
    <w:rsid w:val="00DA76BA"/>
    <w:rsid w:val="00DA79B2"/>
    <w:rsid w:val="00DA7A2E"/>
    <w:rsid w:val="00DB0185"/>
    <w:rsid w:val="00DB071A"/>
    <w:rsid w:val="00DB07C2"/>
    <w:rsid w:val="00DB0C4A"/>
    <w:rsid w:val="00DB0FE9"/>
    <w:rsid w:val="00DB19C6"/>
    <w:rsid w:val="00DB1B0A"/>
    <w:rsid w:val="00DB1FB3"/>
    <w:rsid w:val="00DB22AF"/>
    <w:rsid w:val="00DB23F2"/>
    <w:rsid w:val="00DB27FB"/>
    <w:rsid w:val="00DB2967"/>
    <w:rsid w:val="00DB2994"/>
    <w:rsid w:val="00DB2A61"/>
    <w:rsid w:val="00DB2ABA"/>
    <w:rsid w:val="00DB2CF3"/>
    <w:rsid w:val="00DB318E"/>
    <w:rsid w:val="00DB3261"/>
    <w:rsid w:val="00DB341A"/>
    <w:rsid w:val="00DB3582"/>
    <w:rsid w:val="00DB3660"/>
    <w:rsid w:val="00DB3858"/>
    <w:rsid w:val="00DB407F"/>
    <w:rsid w:val="00DB40A9"/>
    <w:rsid w:val="00DB4174"/>
    <w:rsid w:val="00DB4203"/>
    <w:rsid w:val="00DB4300"/>
    <w:rsid w:val="00DB43BA"/>
    <w:rsid w:val="00DB4416"/>
    <w:rsid w:val="00DB445A"/>
    <w:rsid w:val="00DB452F"/>
    <w:rsid w:val="00DB4573"/>
    <w:rsid w:val="00DB459D"/>
    <w:rsid w:val="00DB47B2"/>
    <w:rsid w:val="00DB47C7"/>
    <w:rsid w:val="00DB493B"/>
    <w:rsid w:val="00DB497A"/>
    <w:rsid w:val="00DB549B"/>
    <w:rsid w:val="00DB54B5"/>
    <w:rsid w:val="00DB54B7"/>
    <w:rsid w:val="00DB5AC5"/>
    <w:rsid w:val="00DB678B"/>
    <w:rsid w:val="00DB6B6C"/>
    <w:rsid w:val="00DB6BD7"/>
    <w:rsid w:val="00DB6E5D"/>
    <w:rsid w:val="00DB7331"/>
    <w:rsid w:val="00DB7550"/>
    <w:rsid w:val="00DB7614"/>
    <w:rsid w:val="00DB7791"/>
    <w:rsid w:val="00DB78FF"/>
    <w:rsid w:val="00DB7B7F"/>
    <w:rsid w:val="00DB7B96"/>
    <w:rsid w:val="00DB7CDB"/>
    <w:rsid w:val="00DC04E2"/>
    <w:rsid w:val="00DC0B6B"/>
    <w:rsid w:val="00DC0BAE"/>
    <w:rsid w:val="00DC0C42"/>
    <w:rsid w:val="00DC0CF9"/>
    <w:rsid w:val="00DC1110"/>
    <w:rsid w:val="00DC114E"/>
    <w:rsid w:val="00DC13AD"/>
    <w:rsid w:val="00DC153A"/>
    <w:rsid w:val="00DC15D2"/>
    <w:rsid w:val="00DC1D4C"/>
    <w:rsid w:val="00DC21B2"/>
    <w:rsid w:val="00DC2551"/>
    <w:rsid w:val="00DC29E8"/>
    <w:rsid w:val="00DC2F54"/>
    <w:rsid w:val="00DC3399"/>
    <w:rsid w:val="00DC3414"/>
    <w:rsid w:val="00DC35B9"/>
    <w:rsid w:val="00DC361C"/>
    <w:rsid w:val="00DC36D2"/>
    <w:rsid w:val="00DC390A"/>
    <w:rsid w:val="00DC3BB6"/>
    <w:rsid w:val="00DC4569"/>
    <w:rsid w:val="00DC47C4"/>
    <w:rsid w:val="00DC4BC0"/>
    <w:rsid w:val="00DC4BD0"/>
    <w:rsid w:val="00DC4FD0"/>
    <w:rsid w:val="00DC52D0"/>
    <w:rsid w:val="00DC571F"/>
    <w:rsid w:val="00DC581E"/>
    <w:rsid w:val="00DC5BA8"/>
    <w:rsid w:val="00DC5DE0"/>
    <w:rsid w:val="00DC613C"/>
    <w:rsid w:val="00DC62F2"/>
    <w:rsid w:val="00DC65E0"/>
    <w:rsid w:val="00DC66E4"/>
    <w:rsid w:val="00DC68C0"/>
    <w:rsid w:val="00DC6CD8"/>
    <w:rsid w:val="00DC70BF"/>
    <w:rsid w:val="00DC7421"/>
    <w:rsid w:val="00DC773E"/>
    <w:rsid w:val="00DC7F51"/>
    <w:rsid w:val="00DC7F69"/>
    <w:rsid w:val="00DD01DA"/>
    <w:rsid w:val="00DD036F"/>
    <w:rsid w:val="00DD087A"/>
    <w:rsid w:val="00DD0944"/>
    <w:rsid w:val="00DD0B51"/>
    <w:rsid w:val="00DD11B7"/>
    <w:rsid w:val="00DD1349"/>
    <w:rsid w:val="00DD1444"/>
    <w:rsid w:val="00DD14D5"/>
    <w:rsid w:val="00DD15A1"/>
    <w:rsid w:val="00DD16F2"/>
    <w:rsid w:val="00DD1942"/>
    <w:rsid w:val="00DD21A8"/>
    <w:rsid w:val="00DD2292"/>
    <w:rsid w:val="00DD2694"/>
    <w:rsid w:val="00DD2F3C"/>
    <w:rsid w:val="00DD3402"/>
    <w:rsid w:val="00DD3894"/>
    <w:rsid w:val="00DD38A4"/>
    <w:rsid w:val="00DD39D4"/>
    <w:rsid w:val="00DD3B3E"/>
    <w:rsid w:val="00DD3CD9"/>
    <w:rsid w:val="00DD3D7A"/>
    <w:rsid w:val="00DD3DA4"/>
    <w:rsid w:val="00DD41CB"/>
    <w:rsid w:val="00DD4362"/>
    <w:rsid w:val="00DD4715"/>
    <w:rsid w:val="00DD48C1"/>
    <w:rsid w:val="00DD4C35"/>
    <w:rsid w:val="00DD4E74"/>
    <w:rsid w:val="00DD548F"/>
    <w:rsid w:val="00DD5A74"/>
    <w:rsid w:val="00DD5C60"/>
    <w:rsid w:val="00DD5D6B"/>
    <w:rsid w:val="00DD5EF3"/>
    <w:rsid w:val="00DD6097"/>
    <w:rsid w:val="00DD6136"/>
    <w:rsid w:val="00DD6179"/>
    <w:rsid w:val="00DD6880"/>
    <w:rsid w:val="00DD7160"/>
    <w:rsid w:val="00DD724D"/>
    <w:rsid w:val="00DD763F"/>
    <w:rsid w:val="00DD7999"/>
    <w:rsid w:val="00DD7CC9"/>
    <w:rsid w:val="00DD7DA3"/>
    <w:rsid w:val="00DD7FA5"/>
    <w:rsid w:val="00DE00BF"/>
    <w:rsid w:val="00DE0479"/>
    <w:rsid w:val="00DE051F"/>
    <w:rsid w:val="00DE055A"/>
    <w:rsid w:val="00DE05C6"/>
    <w:rsid w:val="00DE0648"/>
    <w:rsid w:val="00DE0F26"/>
    <w:rsid w:val="00DE0F49"/>
    <w:rsid w:val="00DE0F76"/>
    <w:rsid w:val="00DE132A"/>
    <w:rsid w:val="00DE17F5"/>
    <w:rsid w:val="00DE1816"/>
    <w:rsid w:val="00DE1A54"/>
    <w:rsid w:val="00DE1B8B"/>
    <w:rsid w:val="00DE1DC4"/>
    <w:rsid w:val="00DE1DF1"/>
    <w:rsid w:val="00DE1EAB"/>
    <w:rsid w:val="00DE285D"/>
    <w:rsid w:val="00DE2DD1"/>
    <w:rsid w:val="00DE2EB7"/>
    <w:rsid w:val="00DE3170"/>
    <w:rsid w:val="00DE3206"/>
    <w:rsid w:val="00DE336D"/>
    <w:rsid w:val="00DE35C9"/>
    <w:rsid w:val="00DE38C6"/>
    <w:rsid w:val="00DE3A22"/>
    <w:rsid w:val="00DE3B94"/>
    <w:rsid w:val="00DE3EB6"/>
    <w:rsid w:val="00DE3F5C"/>
    <w:rsid w:val="00DE402C"/>
    <w:rsid w:val="00DE4374"/>
    <w:rsid w:val="00DE4436"/>
    <w:rsid w:val="00DE474E"/>
    <w:rsid w:val="00DE4F27"/>
    <w:rsid w:val="00DE5170"/>
    <w:rsid w:val="00DE51A3"/>
    <w:rsid w:val="00DE53D1"/>
    <w:rsid w:val="00DE5504"/>
    <w:rsid w:val="00DE5734"/>
    <w:rsid w:val="00DE58A5"/>
    <w:rsid w:val="00DE5A3A"/>
    <w:rsid w:val="00DE5AA4"/>
    <w:rsid w:val="00DE5E7F"/>
    <w:rsid w:val="00DE5FE1"/>
    <w:rsid w:val="00DE6222"/>
    <w:rsid w:val="00DE681D"/>
    <w:rsid w:val="00DE6ADF"/>
    <w:rsid w:val="00DE6CDA"/>
    <w:rsid w:val="00DE70F0"/>
    <w:rsid w:val="00DE75E9"/>
    <w:rsid w:val="00DE765F"/>
    <w:rsid w:val="00DE774A"/>
    <w:rsid w:val="00DE7B6B"/>
    <w:rsid w:val="00DF0072"/>
    <w:rsid w:val="00DF0342"/>
    <w:rsid w:val="00DF089F"/>
    <w:rsid w:val="00DF08A4"/>
    <w:rsid w:val="00DF10C8"/>
    <w:rsid w:val="00DF15DD"/>
    <w:rsid w:val="00DF18A8"/>
    <w:rsid w:val="00DF199F"/>
    <w:rsid w:val="00DF1A9D"/>
    <w:rsid w:val="00DF1AE4"/>
    <w:rsid w:val="00DF2281"/>
    <w:rsid w:val="00DF2338"/>
    <w:rsid w:val="00DF25FD"/>
    <w:rsid w:val="00DF2C16"/>
    <w:rsid w:val="00DF2D2A"/>
    <w:rsid w:val="00DF2EB1"/>
    <w:rsid w:val="00DF32A7"/>
    <w:rsid w:val="00DF372F"/>
    <w:rsid w:val="00DF381F"/>
    <w:rsid w:val="00DF3BF8"/>
    <w:rsid w:val="00DF3FC8"/>
    <w:rsid w:val="00DF4149"/>
    <w:rsid w:val="00DF42B2"/>
    <w:rsid w:val="00DF47E3"/>
    <w:rsid w:val="00DF4859"/>
    <w:rsid w:val="00DF4B68"/>
    <w:rsid w:val="00DF516D"/>
    <w:rsid w:val="00DF5383"/>
    <w:rsid w:val="00DF54FE"/>
    <w:rsid w:val="00DF550F"/>
    <w:rsid w:val="00DF5512"/>
    <w:rsid w:val="00DF5707"/>
    <w:rsid w:val="00DF5816"/>
    <w:rsid w:val="00DF5903"/>
    <w:rsid w:val="00DF5963"/>
    <w:rsid w:val="00DF5BB8"/>
    <w:rsid w:val="00DF5C2C"/>
    <w:rsid w:val="00DF5F3E"/>
    <w:rsid w:val="00DF6702"/>
    <w:rsid w:val="00DF6C2D"/>
    <w:rsid w:val="00DF6C9A"/>
    <w:rsid w:val="00DF6EE5"/>
    <w:rsid w:val="00DF701E"/>
    <w:rsid w:val="00DF71D9"/>
    <w:rsid w:val="00DF746E"/>
    <w:rsid w:val="00DF7C07"/>
    <w:rsid w:val="00E0003A"/>
    <w:rsid w:val="00E001BC"/>
    <w:rsid w:val="00E0057B"/>
    <w:rsid w:val="00E00619"/>
    <w:rsid w:val="00E00998"/>
    <w:rsid w:val="00E00A5E"/>
    <w:rsid w:val="00E00C72"/>
    <w:rsid w:val="00E00EE3"/>
    <w:rsid w:val="00E01B0F"/>
    <w:rsid w:val="00E0203D"/>
    <w:rsid w:val="00E02178"/>
    <w:rsid w:val="00E037F9"/>
    <w:rsid w:val="00E03DE2"/>
    <w:rsid w:val="00E03E41"/>
    <w:rsid w:val="00E04044"/>
    <w:rsid w:val="00E0423F"/>
    <w:rsid w:val="00E04402"/>
    <w:rsid w:val="00E0461A"/>
    <w:rsid w:val="00E04814"/>
    <w:rsid w:val="00E04B60"/>
    <w:rsid w:val="00E05374"/>
    <w:rsid w:val="00E05462"/>
    <w:rsid w:val="00E05698"/>
    <w:rsid w:val="00E05820"/>
    <w:rsid w:val="00E05910"/>
    <w:rsid w:val="00E06059"/>
    <w:rsid w:val="00E061F7"/>
    <w:rsid w:val="00E063E6"/>
    <w:rsid w:val="00E0685A"/>
    <w:rsid w:val="00E06A69"/>
    <w:rsid w:val="00E06DC2"/>
    <w:rsid w:val="00E06F94"/>
    <w:rsid w:val="00E105BE"/>
    <w:rsid w:val="00E10912"/>
    <w:rsid w:val="00E10943"/>
    <w:rsid w:val="00E10A4E"/>
    <w:rsid w:val="00E10BA2"/>
    <w:rsid w:val="00E11301"/>
    <w:rsid w:val="00E11637"/>
    <w:rsid w:val="00E11B8F"/>
    <w:rsid w:val="00E11BFE"/>
    <w:rsid w:val="00E11C26"/>
    <w:rsid w:val="00E122B1"/>
    <w:rsid w:val="00E12560"/>
    <w:rsid w:val="00E131C8"/>
    <w:rsid w:val="00E13448"/>
    <w:rsid w:val="00E13697"/>
    <w:rsid w:val="00E138B2"/>
    <w:rsid w:val="00E13AA2"/>
    <w:rsid w:val="00E13B69"/>
    <w:rsid w:val="00E13DBA"/>
    <w:rsid w:val="00E147E0"/>
    <w:rsid w:val="00E14DC9"/>
    <w:rsid w:val="00E1511B"/>
    <w:rsid w:val="00E1568C"/>
    <w:rsid w:val="00E15E1A"/>
    <w:rsid w:val="00E16C8F"/>
    <w:rsid w:val="00E17041"/>
    <w:rsid w:val="00E17081"/>
    <w:rsid w:val="00E17815"/>
    <w:rsid w:val="00E1784D"/>
    <w:rsid w:val="00E17923"/>
    <w:rsid w:val="00E17967"/>
    <w:rsid w:val="00E17DEE"/>
    <w:rsid w:val="00E200FF"/>
    <w:rsid w:val="00E20177"/>
    <w:rsid w:val="00E20424"/>
    <w:rsid w:val="00E20AB5"/>
    <w:rsid w:val="00E20E72"/>
    <w:rsid w:val="00E2106A"/>
    <w:rsid w:val="00E211F9"/>
    <w:rsid w:val="00E2161C"/>
    <w:rsid w:val="00E2181C"/>
    <w:rsid w:val="00E21969"/>
    <w:rsid w:val="00E21A3A"/>
    <w:rsid w:val="00E21B4B"/>
    <w:rsid w:val="00E21C5E"/>
    <w:rsid w:val="00E2233A"/>
    <w:rsid w:val="00E223BB"/>
    <w:rsid w:val="00E22F00"/>
    <w:rsid w:val="00E22F46"/>
    <w:rsid w:val="00E22F76"/>
    <w:rsid w:val="00E23120"/>
    <w:rsid w:val="00E23A75"/>
    <w:rsid w:val="00E23D8C"/>
    <w:rsid w:val="00E243F6"/>
    <w:rsid w:val="00E2494C"/>
    <w:rsid w:val="00E24A04"/>
    <w:rsid w:val="00E24D6F"/>
    <w:rsid w:val="00E24F4A"/>
    <w:rsid w:val="00E25140"/>
    <w:rsid w:val="00E2593C"/>
    <w:rsid w:val="00E25E5D"/>
    <w:rsid w:val="00E25E76"/>
    <w:rsid w:val="00E260E1"/>
    <w:rsid w:val="00E266BF"/>
    <w:rsid w:val="00E26D5B"/>
    <w:rsid w:val="00E26E6B"/>
    <w:rsid w:val="00E26FFC"/>
    <w:rsid w:val="00E27572"/>
    <w:rsid w:val="00E275D8"/>
    <w:rsid w:val="00E27AD3"/>
    <w:rsid w:val="00E27B4B"/>
    <w:rsid w:val="00E27C08"/>
    <w:rsid w:val="00E3017E"/>
    <w:rsid w:val="00E306B9"/>
    <w:rsid w:val="00E3120B"/>
    <w:rsid w:val="00E31411"/>
    <w:rsid w:val="00E3159B"/>
    <w:rsid w:val="00E316BE"/>
    <w:rsid w:val="00E3188C"/>
    <w:rsid w:val="00E32086"/>
    <w:rsid w:val="00E322AD"/>
    <w:rsid w:val="00E32477"/>
    <w:rsid w:val="00E3267B"/>
    <w:rsid w:val="00E327AB"/>
    <w:rsid w:val="00E32E86"/>
    <w:rsid w:val="00E32ED0"/>
    <w:rsid w:val="00E32F20"/>
    <w:rsid w:val="00E33253"/>
    <w:rsid w:val="00E33379"/>
    <w:rsid w:val="00E335F1"/>
    <w:rsid w:val="00E3362A"/>
    <w:rsid w:val="00E33B1C"/>
    <w:rsid w:val="00E33BE7"/>
    <w:rsid w:val="00E33D80"/>
    <w:rsid w:val="00E34285"/>
    <w:rsid w:val="00E34393"/>
    <w:rsid w:val="00E3441B"/>
    <w:rsid w:val="00E347B3"/>
    <w:rsid w:val="00E34A66"/>
    <w:rsid w:val="00E35142"/>
    <w:rsid w:val="00E35145"/>
    <w:rsid w:val="00E35337"/>
    <w:rsid w:val="00E35342"/>
    <w:rsid w:val="00E35481"/>
    <w:rsid w:val="00E35788"/>
    <w:rsid w:val="00E359B6"/>
    <w:rsid w:val="00E35B91"/>
    <w:rsid w:val="00E35CBD"/>
    <w:rsid w:val="00E35D4C"/>
    <w:rsid w:val="00E3648F"/>
    <w:rsid w:val="00E364C3"/>
    <w:rsid w:val="00E36789"/>
    <w:rsid w:val="00E368FC"/>
    <w:rsid w:val="00E36903"/>
    <w:rsid w:val="00E36F0B"/>
    <w:rsid w:val="00E36F63"/>
    <w:rsid w:val="00E36F6E"/>
    <w:rsid w:val="00E372B2"/>
    <w:rsid w:val="00E37525"/>
    <w:rsid w:val="00E375AB"/>
    <w:rsid w:val="00E37755"/>
    <w:rsid w:val="00E3795D"/>
    <w:rsid w:val="00E37A90"/>
    <w:rsid w:val="00E37D23"/>
    <w:rsid w:val="00E37F99"/>
    <w:rsid w:val="00E40096"/>
    <w:rsid w:val="00E401E9"/>
    <w:rsid w:val="00E40896"/>
    <w:rsid w:val="00E4111C"/>
    <w:rsid w:val="00E417B7"/>
    <w:rsid w:val="00E41A25"/>
    <w:rsid w:val="00E41FEC"/>
    <w:rsid w:val="00E42074"/>
    <w:rsid w:val="00E42252"/>
    <w:rsid w:val="00E42361"/>
    <w:rsid w:val="00E423E2"/>
    <w:rsid w:val="00E425C4"/>
    <w:rsid w:val="00E42B61"/>
    <w:rsid w:val="00E42C2C"/>
    <w:rsid w:val="00E42D52"/>
    <w:rsid w:val="00E42F86"/>
    <w:rsid w:val="00E432E0"/>
    <w:rsid w:val="00E43596"/>
    <w:rsid w:val="00E43944"/>
    <w:rsid w:val="00E43AC5"/>
    <w:rsid w:val="00E43B63"/>
    <w:rsid w:val="00E43BAE"/>
    <w:rsid w:val="00E43C97"/>
    <w:rsid w:val="00E43CF9"/>
    <w:rsid w:val="00E440D2"/>
    <w:rsid w:val="00E440E4"/>
    <w:rsid w:val="00E44188"/>
    <w:rsid w:val="00E447AF"/>
    <w:rsid w:val="00E447D9"/>
    <w:rsid w:val="00E4497C"/>
    <w:rsid w:val="00E44C68"/>
    <w:rsid w:val="00E44FEE"/>
    <w:rsid w:val="00E45E19"/>
    <w:rsid w:val="00E46004"/>
    <w:rsid w:val="00E46212"/>
    <w:rsid w:val="00E463BA"/>
    <w:rsid w:val="00E46CBF"/>
    <w:rsid w:val="00E47434"/>
    <w:rsid w:val="00E4788B"/>
    <w:rsid w:val="00E47E0B"/>
    <w:rsid w:val="00E50105"/>
    <w:rsid w:val="00E50193"/>
    <w:rsid w:val="00E5025B"/>
    <w:rsid w:val="00E503DC"/>
    <w:rsid w:val="00E5046E"/>
    <w:rsid w:val="00E50E62"/>
    <w:rsid w:val="00E50EE9"/>
    <w:rsid w:val="00E5157E"/>
    <w:rsid w:val="00E516B1"/>
    <w:rsid w:val="00E5174C"/>
    <w:rsid w:val="00E524C0"/>
    <w:rsid w:val="00E527EC"/>
    <w:rsid w:val="00E5280A"/>
    <w:rsid w:val="00E52A89"/>
    <w:rsid w:val="00E52EA5"/>
    <w:rsid w:val="00E533A7"/>
    <w:rsid w:val="00E53411"/>
    <w:rsid w:val="00E5354D"/>
    <w:rsid w:val="00E5387E"/>
    <w:rsid w:val="00E53A88"/>
    <w:rsid w:val="00E53EA8"/>
    <w:rsid w:val="00E5427B"/>
    <w:rsid w:val="00E545B9"/>
    <w:rsid w:val="00E546F7"/>
    <w:rsid w:val="00E54713"/>
    <w:rsid w:val="00E54A8C"/>
    <w:rsid w:val="00E54B8E"/>
    <w:rsid w:val="00E54C67"/>
    <w:rsid w:val="00E54E97"/>
    <w:rsid w:val="00E54F63"/>
    <w:rsid w:val="00E55099"/>
    <w:rsid w:val="00E55296"/>
    <w:rsid w:val="00E5542F"/>
    <w:rsid w:val="00E5544B"/>
    <w:rsid w:val="00E55566"/>
    <w:rsid w:val="00E5567A"/>
    <w:rsid w:val="00E556A7"/>
    <w:rsid w:val="00E55795"/>
    <w:rsid w:val="00E559E0"/>
    <w:rsid w:val="00E55A4B"/>
    <w:rsid w:val="00E55CDB"/>
    <w:rsid w:val="00E55D6E"/>
    <w:rsid w:val="00E560C3"/>
    <w:rsid w:val="00E561C7"/>
    <w:rsid w:val="00E56563"/>
    <w:rsid w:val="00E5663A"/>
    <w:rsid w:val="00E568D8"/>
    <w:rsid w:val="00E5702F"/>
    <w:rsid w:val="00E573BA"/>
    <w:rsid w:val="00E57497"/>
    <w:rsid w:val="00E57691"/>
    <w:rsid w:val="00E601AB"/>
    <w:rsid w:val="00E6025B"/>
    <w:rsid w:val="00E60314"/>
    <w:rsid w:val="00E60344"/>
    <w:rsid w:val="00E6087E"/>
    <w:rsid w:val="00E6109E"/>
    <w:rsid w:val="00E6114E"/>
    <w:rsid w:val="00E616B5"/>
    <w:rsid w:val="00E616C0"/>
    <w:rsid w:val="00E61D0F"/>
    <w:rsid w:val="00E62123"/>
    <w:rsid w:val="00E62609"/>
    <w:rsid w:val="00E62818"/>
    <w:rsid w:val="00E630C1"/>
    <w:rsid w:val="00E6318C"/>
    <w:rsid w:val="00E63218"/>
    <w:rsid w:val="00E6349F"/>
    <w:rsid w:val="00E63680"/>
    <w:rsid w:val="00E6386F"/>
    <w:rsid w:val="00E63A73"/>
    <w:rsid w:val="00E63BC7"/>
    <w:rsid w:val="00E63CD8"/>
    <w:rsid w:val="00E6434E"/>
    <w:rsid w:val="00E6445A"/>
    <w:rsid w:val="00E64737"/>
    <w:rsid w:val="00E64A0C"/>
    <w:rsid w:val="00E64B49"/>
    <w:rsid w:val="00E64BFF"/>
    <w:rsid w:val="00E64CB2"/>
    <w:rsid w:val="00E64CFA"/>
    <w:rsid w:val="00E64E90"/>
    <w:rsid w:val="00E65079"/>
    <w:rsid w:val="00E6568F"/>
    <w:rsid w:val="00E658D0"/>
    <w:rsid w:val="00E65B64"/>
    <w:rsid w:val="00E66083"/>
    <w:rsid w:val="00E66177"/>
    <w:rsid w:val="00E6661A"/>
    <w:rsid w:val="00E66933"/>
    <w:rsid w:val="00E66A7E"/>
    <w:rsid w:val="00E66AD5"/>
    <w:rsid w:val="00E66BA8"/>
    <w:rsid w:val="00E66D96"/>
    <w:rsid w:val="00E66FDE"/>
    <w:rsid w:val="00E677F0"/>
    <w:rsid w:val="00E6787B"/>
    <w:rsid w:val="00E70119"/>
    <w:rsid w:val="00E7043E"/>
    <w:rsid w:val="00E706D1"/>
    <w:rsid w:val="00E70A3F"/>
    <w:rsid w:val="00E70FA3"/>
    <w:rsid w:val="00E718C2"/>
    <w:rsid w:val="00E71E8C"/>
    <w:rsid w:val="00E7218D"/>
    <w:rsid w:val="00E72DAB"/>
    <w:rsid w:val="00E73471"/>
    <w:rsid w:val="00E73780"/>
    <w:rsid w:val="00E73DB3"/>
    <w:rsid w:val="00E74F89"/>
    <w:rsid w:val="00E75101"/>
    <w:rsid w:val="00E7520A"/>
    <w:rsid w:val="00E755D8"/>
    <w:rsid w:val="00E75634"/>
    <w:rsid w:val="00E7566D"/>
    <w:rsid w:val="00E756B1"/>
    <w:rsid w:val="00E7599A"/>
    <w:rsid w:val="00E75B9F"/>
    <w:rsid w:val="00E763AB"/>
    <w:rsid w:val="00E76432"/>
    <w:rsid w:val="00E76877"/>
    <w:rsid w:val="00E768F5"/>
    <w:rsid w:val="00E76BBB"/>
    <w:rsid w:val="00E777AC"/>
    <w:rsid w:val="00E77C96"/>
    <w:rsid w:val="00E77E85"/>
    <w:rsid w:val="00E77F51"/>
    <w:rsid w:val="00E80606"/>
    <w:rsid w:val="00E80626"/>
    <w:rsid w:val="00E80B48"/>
    <w:rsid w:val="00E80F00"/>
    <w:rsid w:val="00E8124F"/>
    <w:rsid w:val="00E81571"/>
    <w:rsid w:val="00E81711"/>
    <w:rsid w:val="00E8189A"/>
    <w:rsid w:val="00E81BF2"/>
    <w:rsid w:val="00E81C45"/>
    <w:rsid w:val="00E8209C"/>
    <w:rsid w:val="00E82781"/>
    <w:rsid w:val="00E828B3"/>
    <w:rsid w:val="00E82FF0"/>
    <w:rsid w:val="00E83285"/>
    <w:rsid w:val="00E835B4"/>
    <w:rsid w:val="00E83626"/>
    <w:rsid w:val="00E83766"/>
    <w:rsid w:val="00E842DB"/>
    <w:rsid w:val="00E84384"/>
    <w:rsid w:val="00E8470D"/>
    <w:rsid w:val="00E84748"/>
    <w:rsid w:val="00E84907"/>
    <w:rsid w:val="00E84A3F"/>
    <w:rsid w:val="00E84AAD"/>
    <w:rsid w:val="00E8506E"/>
    <w:rsid w:val="00E85135"/>
    <w:rsid w:val="00E85778"/>
    <w:rsid w:val="00E85872"/>
    <w:rsid w:val="00E85B9A"/>
    <w:rsid w:val="00E85C71"/>
    <w:rsid w:val="00E85CC0"/>
    <w:rsid w:val="00E85F41"/>
    <w:rsid w:val="00E8604E"/>
    <w:rsid w:val="00E86070"/>
    <w:rsid w:val="00E863CA"/>
    <w:rsid w:val="00E86462"/>
    <w:rsid w:val="00E864E7"/>
    <w:rsid w:val="00E866E3"/>
    <w:rsid w:val="00E86F99"/>
    <w:rsid w:val="00E8764D"/>
    <w:rsid w:val="00E87CBB"/>
    <w:rsid w:val="00E901D8"/>
    <w:rsid w:val="00E90424"/>
    <w:rsid w:val="00E90434"/>
    <w:rsid w:val="00E90C7B"/>
    <w:rsid w:val="00E90ED2"/>
    <w:rsid w:val="00E91C28"/>
    <w:rsid w:val="00E9279F"/>
    <w:rsid w:val="00E92823"/>
    <w:rsid w:val="00E92887"/>
    <w:rsid w:val="00E92AB8"/>
    <w:rsid w:val="00E932AD"/>
    <w:rsid w:val="00E93A92"/>
    <w:rsid w:val="00E93B0F"/>
    <w:rsid w:val="00E93D48"/>
    <w:rsid w:val="00E94015"/>
    <w:rsid w:val="00E94138"/>
    <w:rsid w:val="00E94579"/>
    <w:rsid w:val="00E946E1"/>
    <w:rsid w:val="00E9487D"/>
    <w:rsid w:val="00E9494B"/>
    <w:rsid w:val="00E94B48"/>
    <w:rsid w:val="00E94C09"/>
    <w:rsid w:val="00E94C77"/>
    <w:rsid w:val="00E94D5E"/>
    <w:rsid w:val="00E94DE4"/>
    <w:rsid w:val="00E953DD"/>
    <w:rsid w:val="00E95514"/>
    <w:rsid w:val="00E95998"/>
    <w:rsid w:val="00E95EAB"/>
    <w:rsid w:val="00E96054"/>
    <w:rsid w:val="00E962CA"/>
    <w:rsid w:val="00E964AF"/>
    <w:rsid w:val="00E977C3"/>
    <w:rsid w:val="00E97B84"/>
    <w:rsid w:val="00E97C70"/>
    <w:rsid w:val="00E97E1A"/>
    <w:rsid w:val="00E97FEB"/>
    <w:rsid w:val="00EA0048"/>
    <w:rsid w:val="00EA0756"/>
    <w:rsid w:val="00EA0805"/>
    <w:rsid w:val="00EA081A"/>
    <w:rsid w:val="00EA083A"/>
    <w:rsid w:val="00EA0F83"/>
    <w:rsid w:val="00EA169F"/>
    <w:rsid w:val="00EA1965"/>
    <w:rsid w:val="00EA1A03"/>
    <w:rsid w:val="00EA1A07"/>
    <w:rsid w:val="00EA1E31"/>
    <w:rsid w:val="00EA21D5"/>
    <w:rsid w:val="00EA2380"/>
    <w:rsid w:val="00EA23E7"/>
    <w:rsid w:val="00EA25AD"/>
    <w:rsid w:val="00EA29AE"/>
    <w:rsid w:val="00EA2EEC"/>
    <w:rsid w:val="00EA3395"/>
    <w:rsid w:val="00EA3667"/>
    <w:rsid w:val="00EA3867"/>
    <w:rsid w:val="00EA399C"/>
    <w:rsid w:val="00EA3B62"/>
    <w:rsid w:val="00EA3CA8"/>
    <w:rsid w:val="00EA3DAB"/>
    <w:rsid w:val="00EA463C"/>
    <w:rsid w:val="00EA47AE"/>
    <w:rsid w:val="00EA4C82"/>
    <w:rsid w:val="00EA4FBE"/>
    <w:rsid w:val="00EA5146"/>
    <w:rsid w:val="00EA56F8"/>
    <w:rsid w:val="00EA5A54"/>
    <w:rsid w:val="00EA5CD6"/>
    <w:rsid w:val="00EA5F2C"/>
    <w:rsid w:val="00EA60D3"/>
    <w:rsid w:val="00EA64A3"/>
    <w:rsid w:val="00EA65E9"/>
    <w:rsid w:val="00EA7406"/>
    <w:rsid w:val="00EA79EA"/>
    <w:rsid w:val="00EB0083"/>
    <w:rsid w:val="00EB0117"/>
    <w:rsid w:val="00EB05F2"/>
    <w:rsid w:val="00EB0B50"/>
    <w:rsid w:val="00EB0BA6"/>
    <w:rsid w:val="00EB11AB"/>
    <w:rsid w:val="00EB1355"/>
    <w:rsid w:val="00EB13D3"/>
    <w:rsid w:val="00EB1827"/>
    <w:rsid w:val="00EB1BB7"/>
    <w:rsid w:val="00EB1DDE"/>
    <w:rsid w:val="00EB21BB"/>
    <w:rsid w:val="00EB223A"/>
    <w:rsid w:val="00EB2248"/>
    <w:rsid w:val="00EB2292"/>
    <w:rsid w:val="00EB22F2"/>
    <w:rsid w:val="00EB249E"/>
    <w:rsid w:val="00EB284A"/>
    <w:rsid w:val="00EB2974"/>
    <w:rsid w:val="00EB2B2A"/>
    <w:rsid w:val="00EB2CDF"/>
    <w:rsid w:val="00EB3851"/>
    <w:rsid w:val="00EB38C9"/>
    <w:rsid w:val="00EB38F2"/>
    <w:rsid w:val="00EB3ECF"/>
    <w:rsid w:val="00EB4B09"/>
    <w:rsid w:val="00EB4BEC"/>
    <w:rsid w:val="00EB4DB4"/>
    <w:rsid w:val="00EB4DEE"/>
    <w:rsid w:val="00EB5060"/>
    <w:rsid w:val="00EB5321"/>
    <w:rsid w:val="00EB53C9"/>
    <w:rsid w:val="00EB569A"/>
    <w:rsid w:val="00EB57FB"/>
    <w:rsid w:val="00EB58B8"/>
    <w:rsid w:val="00EB5A3E"/>
    <w:rsid w:val="00EB5DDD"/>
    <w:rsid w:val="00EB6764"/>
    <w:rsid w:val="00EB67AD"/>
    <w:rsid w:val="00EB6BE0"/>
    <w:rsid w:val="00EB6E15"/>
    <w:rsid w:val="00EB708A"/>
    <w:rsid w:val="00EB717E"/>
    <w:rsid w:val="00EB74E1"/>
    <w:rsid w:val="00EB7C0D"/>
    <w:rsid w:val="00EB7CF8"/>
    <w:rsid w:val="00EB7D63"/>
    <w:rsid w:val="00EB7E3D"/>
    <w:rsid w:val="00EC017C"/>
    <w:rsid w:val="00EC046C"/>
    <w:rsid w:val="00EC0879"/>
    <w:rsid w:val="00EC0E8E"/>
    <w:rsid w:val="00EC0FFF"/>
    <w:rsid w:val="00EC10AA"/>
    <w:rsid w:val="00EC1638"/>
    <w:rsid w:val="00EC1AD3"/>
    <w:rsid w:val="00EC1CD2"/>
    <w:rsid w:val="00EC234C"/>
    <w:rsid w:val="00EC245A"/>
    <w:rsid w:val="00EC25D9"/>
    <w:rsid w:val="00EC28C4"/>
    <w:rsid w:val="00EC2EED"/>
    <w:rsid w:val="00EC31B0"/>
    <w:rsid w:val="00EC320F"/>
    <w:rsid w:val="00EC35B2"/>
    <w:rsid w:val="00EC3C71"/>
    <w:rsid w:val="00EC3CAE"/>
    <w:rsid w:val="00EC3EA2"/>
    <w:rsid w:val="00EC3F9E"/>
    <w:rsid w:val="00EC3FF9"/>
    <w:rsid w:val="00EC409E"/>
    <w:rsid w:val="00EC4AD2"/>
    <w:rsid w:val="00EC4CED"/>
    <w:rsid w:val="00EC4EF6"/>
    <w:rsid w:val="00EC52FF"/>
    <w:rsid w:val="00EC54AF"/>
    <w:rsid w:val="00EC593F"/>
    <w:rsid w:val="00EC5EF9"/>
    <w:rsid w:val="00EC6AD9"/>
    <w:rsid w:val="00EC6AF8"/>
    <w:rsid w:val="00EC6CF9"/>
    <w:rsid w:val="00EC7026"/>
    <w:rsid w:val="00EC779B"/>
    <w:rsid w:val="00EC785C"/>
    <w:rsid w:val="00EC7A8B"/>
    <w:rsid w:val="00EC7C5D"/>
    <w:rsid w:val="00EC7D17"/>
    <w:rsid w:val="00ED0580"/>
    <w:rsid w:val="00ED07BF"/>
    <w:rsid w:val="00ED0900"/>
    <w:rsid w:val="00ED0963"/>
    <w:rsid w:val="00ED0B37"/>
    <w:rsid w:val="00ED0B49"/>
    <w:rsid w:val="00ED0BDD"/>
    <w:rsid w:val="00ED0D9C"/>
    <w:rsid w:val="00ED0DDF"/>
    <w:rsid w:val="00ED0F39"/>
    <w:rsid w:val="00ED11AF"/>
    <w:rsid w:val="00ED11C6"/>
    <w:rsid w:val="00ED1228"/>
    <w:rsid w:val="00ED18ED"/>
    <w:rsid w:val="00ED1927"/>
    <w:rsid w:val="00ED1D41"/>
    <w:rsid w:val="00ED1FC0"/>
    <w:rsid w:val="00ED20F4"/>
    <w:rsid w:val="00ED2770"/>
    <w:rsid w:val="00ED30BC"/>
    <w:rsid w:val="00ED36AC"/>
    <w:rsid w:val="00ED36D1"/>
    <w:rsid w:val="00ED3806"/>
    <w:rsid w:val="00ED409E"/>
    <w:rsid w:val="00ED4766"/>
    <w:rsid w:val="00ED4A29"/>
    <w:rsid w:val="00ED4CA8"/>
    <w:rsid w:val="00ED5023"/>
    <w:rsid w:val="00ED507A"/>
    <w:rsid w:val="00ED51D2"/>
    <w:rsid w:val="00ED5278"/>
    <w:rsid w:val="00ED55E0"/>
    <w:rsid w:val="00ED56C5"/>
    <w:rsid w:val="00ED56C8"/>
    <w:rsid w:val="00ED5D2B"/>
    <w:rsid w:val="00ED6144"/>
    <w:rsid w:val="00ED6257"/>
    <w:rsid w:val="00ED62BB"/>
    <w:rsid w:val="00ED67A5"/>
    <w:rsid w:val="00ED67F0"/>
    <w:rsid w:val="00ED6AEE"/>
    <w:rsid w:val="00ED6F25"/>
    <w:rsid w:val="00ED72F9"/>
    <w:rsid w:val="00ED75A9"/>
    <w:rsid w:val="00ED75EE"/>
    <w:rsid w:val="00ED7625"/>
    <w:rsid w:val="00ED762E"/>
    <w:rsid w:val="00ED7937"/>
    <w:rsid w:val="00ED79C3"/>
    <w:rsid w:val="00ED7B75"/>
    <w:rsid w:val="00ED7DB9"/>
    <w:rsid w:val="00ED7E36"/>
    <w:rsid w:val="00EE088E"/>
    <w:rsid w:val="00EE0D06"/>
    <w:rsid w:val="00EE1260"/>
    <w:rsid w:val="00EE1300"/>
    <w:rsid w:val="00EE1897"/>
    <w:rsid w:val="00EE2132"/>
    <w:rsid w:val="00EE29EC"/>
    <w:rsid w:val="00EE2FD3"/>
    <w:rsid w:val="00EE3406"/>
    <w:rsid w:val="00EE3752"/>
    <w:rsid w:val="00EE3A59"/>
    <w:rsid w:val="00EE4037"/>
    <w:rsid w:val="00EE4570"/>
    <w:rsid w:val="00EE4606"/>
    <w:rsid w:val="00EE4763"/>
    <w:rsid w:val="00EE484D"/>
    <w:rsid w:val="00EE48F6"/>
    <w:rsid w:val="00EE4901"/>
    <w:rsid w:val="00EE495E"/>
    <w:rsid w:val="00EE4F03"/>
    <w:rsid w:val="00EE50CB"/>
    <w:rsid w:val="00EE52BC"/>
    <w:rsid w:val="00EE5670"/>
    <w:rsid w:val="00EE58F3"/>
    <w:rsid w:val="00EE59AF"/>
    <w:rsid w:val="00EE5DC9"/>
    <w:rsid w:val="00EE5FC8"/>
    <w:rsid w:val="00EE5FE4"/>
    <w:rsid w:val="00EE60CC"/>
    <w:rsid w:val="00EE64AF"/>
    <w:rsid w:val="00EE64E3"/>
    <w:rsid w:val="00EE665E"/>
    <w:rsid w:val="00EE67FB"/>
    <w:rsid w:val="00EE68E1"/>
    <w:rsid w:val="00EE6D40"/>
    <w:rsid w:val="00EE7159"/>
    <w:rsid w:val="00EE71B2"/>
    <w:rsid w:val="00EE7272"/>
    <w:rsid w:val="00EE72BD"/>
    <w:rsid w:val="00EE730A"/>
    <w:rsid w:val="00EE74A5"/>
    <w:rsid w:val="00EE772E"/>
    <w:rsid w:val="00EE7AD5"/>
    <w:rsid w:val="00EE7BD8"/>
    <w:rsid w:val="00EE7E2D"/>
    <w:rsid w:val="00EE7EEC"/>
    <w:rsid w:val="00EF076D"/>
    <w:rsid w:val="00EF0A4B"/>
    <w:rsid w:val="00EF16D9"/>
    <w:rsid w:val="00EF1732"/>
    <w:rsid w:val="00EF1734"/>
    <w:rsid w:val="00EF199A"/>
    <w:rsid w:val="00EF1CB2"/>
    <w:rsid w:val="00EF288A"/>
    <w:rsid w:val="00EF3B49"/>
    <w:rsid w:val="00EF3BEE"/>
    <w:rsid w:val="00EF3BF3"/>
    <w:rsid w:val="00EF3CD7"/>
    <w:rsid w:val="00EF3CFE"/>
    <w:rsid w:val="00EF3DCC"/>
    <w:rsid w:val="00EF3F5F"/>
    <w:rsid w:val="00EF4430"/>
    <w:rsid w:val="00EF4D71"/>
    <w:rsid w:val="00EF4E1F"/>
    <w:rsid w:val="00EF4F3D"/>
    <w:rsid w:val="00EF5017"/>
    <w:rsid w:val="00EF5C13"/>
    <w:rsid w:val="00EF5DD8"/>
    <w:rsid w:val="00EF5EB2"/>
    <w:rsid w:val="00EF6400"/>
    <w:rsid w:val="00EF6755"/>
    <w:rsid w:val="00EF6B15"/>
    <w:rsid w:val="00EF6CD5"/>
    <w:rsid w:val="00EF70B6"/>
    <w:rsid w:val="00EF7443"/>
    <w:rsid w:val="00EF7992"/>
    <w:rsid w:val="00EF79CE"/>
    <w:rsid w:val="00EF7A45"/>
    <w:rsid w:val="00EF7A4B"/>
    <w:rsid w:val="00EF7CEF"/>
    <w:rsid w:val="00EF7EF7"/>
    <w:rsid w:val="00F00594"/>
    <w:rsid w:val="00F00914"/>
    <w:rsid w:val="00F009B4"/>
    <w:rsid w:val="00F00AAC"/>
    <w:rsid w:val="00F0147F"/>
    <w:rsid w:val="00F015E7"/>
    <w:rsid w:val="00F02199"/>
    <w:rsid w:val="00F026DB"/>
    <w:rsid w:val="00F02965"/>
    <w:rsid w:val="00F02CA6"/>
    <w:rsid w:val="00F02CE0"/>
    <w:rsid w:val="00F02E74"/>
    <w:rsid w:val="00F02FBB"/>
    <w:rsid w:val="00F031A2"/>
    <w:rsid w:val="00F03A18"/>
    <w:rsid w:val="00F04178"/>
    <w:rsid w:val="00F04614"/>
    <w:rsid w:val="00F0474C"/>
    <w:rsid w:val="00F04B44"/>
    <w:rsid w:val="00F05050"/>
    <w:rsid w:val="00F0508E"/>
    <w:rsid w:val="00F054A2"/>
    <w:rsid w:val="00F05511"/>
    <w:rsid w:val="00F055E7"/>
    <w:rsid w:val="00F057A3"/>
    <w:rsid w:val="00F05CF5"/>
    <w:rsid w:val="00F06426"/>
    <w:rsid w:val="00F06921"/>
    <w:rsid w:val="00F06B48"/>
    <w:rsid w:val="00F06F62"/>
    <w:rsid w:val="00F07097"/>
    <w:rsid w:val="00F07483"/>
    <w:rsid w:val="00F075D6"/>
    <w:rsid w:val="00F07BDE"/>
    <w:rsid w:val="00F100E0"/>
    <w:rsid w:val="00F1022B"/>
    <w:rsid w:val="00F103FC"/>
    <w:rsid w:val="00F105E2"/>
    <w:rsid w:val="00F10D77"/>
    <w:rsid w:val="00F111BB"/>
    <w:rsid w:val="00F1127B"/>
    <w:rsid w:val="00F1157B"/>
    <w:rsid w:val="00F11695"/>
    <w:rsid w:val="00F1220F"/>
    <w:rsid w:val="00F122BE"/>
    <w:rsid w:val="00F12EED"/>
    <w:rsid w:val="00F1310E"/>
    <w:rsid w:val="00F1377A"/>
    <w:rsid w:val="00F1378B"/>
    <w:rsid w:val="00F13B44"/>
    <w:rsid w:val="00F13C8F"/>
    <w:rsid w:val="00F14A66"/>
    <w:rsid w:val="00F15097"/>
    <w:rsid w:val="00F15198"/>
    <w:rsid w:val="00F151CE"/>
    <w:rsid w:val="00F153DE"/>
    <w:rsid w:val="00F15618"/>
    <w:rsid w:val="00F157C3"/>
    <w:rsid w:val="00F157F0"/>
    <w:rsid w:val="00F157FA"/>
    <w:rsid w:val="00F15D61"/>
    <w:rsid w:val="00F15E92"/>
    <w:rsid w:val="00F15E9D"/>
    <w:rsid w:val="00F15FB8"/>
    <w:rsid w:val="00F160C8"/>
    <w:rsid w:val="00F16410"/>
    <w:rsid w:val="00F164AD"/>
    <w:rsid w:val="00F167CB"/>
    <w:rsid w:val="00F1687A"/>
    <w:rsid w:val="00F16895"/>
    <w:rsid w:val="00F169BE"/>
    <w:rsid w:val="00F16E5A"/>
    <w:rsid w:val="00F17091"/>
    <w:rsid w:val="00F170D8"/>
    <w:rsid w:val="00F17279"/>
    <w:rsid w:val="00F1779B"/>
    <w:rsid w:val="00F17C3A"/>
    <w:rsid w:val="00F17C5D"/>
    <w:rsid w:val="00F2022C"/>
    <w:rsid w:val="00F207EC"/>
    <w:rsid w:val="00F21065"/>
    <w:rsid w:val="00F2113B"/>
    <w:rsid w:val="00F21227"/>
    <w:rsid w:val="00F218AD"/>
    <w:rsid w:val="00F21C45"/>
    <w:rsid w:val="00F22094"/>
    <w:rsid w:val="00F22341"/>
    <w:rsid w:val="00F2251F"/>
    <w:rsid w:val="00F2273C"/>
    <w:rsid w:val="00F22874"/>
    <w:rsid w:val="00F22A11"/>
    <w:rsid w:val="00F22B9D"/>
    <w:rsid w:val="00F239C5"/>
    <w:rsid w:val="00F23D39"/>
    <w:rsid w:val="00F23FB7"/>
    <w:rsid w:val="00F23FBC"/>
    <w:rsid w:val="00F240B5"/>
    <w:rsid w:val="00F2417A"/>
    <w:rsid w:val="00F24652"/>
    <w:rsid w:val="00F247BE"/>
    <w:rsid w:val="00F24B0E"/>
    <w:rsid w:val="00F24EE8"/>
    <w:rsid w:val="00F25157"/>
    <w:rsid w:val="00F253DA"/>
    <w:rsid w:val="00F2542A"/>
    <w:rsid w:val="00F258BD"/>
    <w:rsid w:val="00F25DA7"/>
    <w:rsid w:val="00F2635A"/>
    <w:rsid w:val="00F26408"/>
    <w:rsid w:val="00F2644C"/>
    <w:rsid w:val="00F264EB"/>
    <w:rsid w:val="00F265CF"/>
    <w:rsid w:val="00F2692D"/>
    <w:rsid w:val="00F26F0B"/>
    <w:rsid w:val="00F27478"/>
    <w:rsid w:val="00F27BE0"/>
    <w:rsid w:val="00F27C61"/>
    <w:rsid w:val="00F301C3"/>
    <w:rsid w:val="00F301E2"/>
    <w:rsid w:val="00F30C72"/>
    <w:rsid w:val="00F30C76"/>
    <w:rsid w:val="00F30DD8"/>
    <w:rsid w:val="00F30EC4"/>
    <w:rsid w:val="00F31400"/>
    <w:rsid w:val="00F316BD"/>
    <w:rsid w:val="00F318F0"/>
    <w:rsid w:val="00F31939"/>
    <w:rsid w:val="00F31BBB"/>
    <w:rsid w:val="00F320B8"/>
    <w:rsid w:val="00F32459"/>
    <w:rsid w:val="00F325A7"/>
    <w:rsid w:val="00F32BFA"/>
    <w:rsid w:val="00F32E20"/>
    <w:rsid w:val="00F3334F"/>
    <w:rsid w:val="00F335AC"/>
    <w:rsid w:val="00F3369A"/>
    <w:rsid w:val="00F33968"/>
    <w:rsid w:val="00F339A7"/>
    <w:rsid w:val="00F34705"/>
    <w:rsid w:val="00F34C6B"/>
    <w:rsid w:val="00F34DC7"/>
    <w:rsid w:val="00F353DB"/>
    <w:rsid w:val="00F3545F"/>
    <w:rsid w:val="00F35768"/>
    <w:rsid w:val="00F3595C"/>
    <w:rsid w:val="00F366B8"/>
    <w:rsid w:val="00F36BB2"/>
    <w:rsid w:val="00F37BF2"/>
    <w:rsid w:val="00F37C60"/>
    <w:rsid w:val="00F37D5E"/>
    <w:rsid w:val="00F37D90"/>
    <w:rsid w:val="00F4048D"/>
    <w:rsid w:val="00F404D2"/>
    <w:rsid w:val="00F40B11"/>
    <w:rsid w:val="00F40C6A"/>
    <w:rsid w:val="00F41151"/>
    <w:rsid w:val="00F42C56"/>
    <w:rsid w:val="00F433E0"/>
    <w:rsid w:val="00F4359F"/>
    <w:rsid w:val="00F43A96"/>
    <w:rsid w:val="00F43B72"/>
    <w:rsid w:val="00F44246"/>
    <w:rsid w:val="00F442B9"/>
    <w:rsid w:val="00F44343"/>
    <w:rsid w:val="00F4436E"/>
    <w:rsid w:val="00F443C2"/>
    <w:rsid w:val="00F44732"/>
    <w:rsid w:val="00F44E0D"/>
    <w:rsid w:val="00F45277"/>
    <w:rsid w:val="00F452D2"/>
    <w:rsid w:val="00F452E8"/>
    <w:rsid w:val="00F454A0"/>
    <w:rsid w:val="00F45C81"/>
    <w:rsid w:val="00F46116"/>
    <w:rsid w:val="00F46541"/>
    <w:rsid w:val="00F4665B"/>
    <w:rsid w:val="00F468D6"/>
    <w:rsid w:val="00F477CE"/>
    <w:rsid w:val="00F477D6"/>
    <w:rsid w:val="00F47DFA"/>
    <w:rsid w:val="00F47FA1"/>
    <w:rsid w:val="00F50260"/>
    <w:rsid w:val="00F50476"/>
    <w:rsid w:val="00F507E8"/>
    <w:rsid w:val="00F50838"/>
    <w:rsid w:val="00F50DDF"/>
    <w:rsid w:val="00F5149A"/>
    <w:rsid w:val="00F516E2"/>
    <w:rsid w:val="00F51DD2"/>
    <w:rsid w:val="00F51ED4"/>
    <w:rsid w:val="00F51F56"/>
    <w:rsid w:val="00F52190"/>
    <w:rsid w:val="00F52270"/>
    <w:rsid w:val="00F52363"/>
    <w:rsid w:val="00F524A8"/>
    <w:rsid w:val="00F5297D"/>
    <w:rsid w:val="00F52C8E"/>
    <w:rsid w:val="00F52FCC"/>
    <w:rsid w:val="00F53673"/>
    <w:rsid w:val="00F53777"/>
    <w:rsid w:val="00F537FA"/>
    <w:rsid w:val="00F53982"/>
    <w:rsid w:val="00F547A8"/>
    <w:rsid w:val="00F54E7D"/>
    <w:rsid w:val="00F54F6A"/>
    <w:rsid w:val="00F54F8C"/>
    <w:rsid w:val="00F55354"/>
    <w:rsid w:val="00F55B50"/>
    <w:rsid w:val="00F55EEF"/>
    <w:rsid w:val="00F55EF1"/>
    <w:rsid w:val="00F565B8"/>
    <w:rsid w:val="00F567A9"/>
    <w:rsid w:val="00F56C63"/>
    <w:rsid w:val="00F56C6C"/>
    <w:rsid w:val="00F56FBF"/>
    <w:rsid w:val="00F5718F"/>
    <w:rsid w:val="00F57334"/>
    <w:rsid w:val="00F57371"/>
    <w:rsid w:val="00F57472"/>
    <w:rsid w:val="00F5761C"/>
    <w:rsid w:val="00F57694"/>
    <w:rsid w:val="00F579CA"/>
    <w:rsid w:val="00F57C72"/>
    <w:rsid w:val="00F57CA8"/>
    <w:rsid w:val="00F6050F"/>
    <w:rsid w:val="00F60F9E"/>
    <w:rsid w:val="00F61721"/>
    <w:rsid w:val="00F6175A"/>
    <w:rsid w:val="00F618F4"/>
    <w:rsid w:val="00F61A2C"/>
    <w:rsid w:val="00F61BBB"/>
    <w:rsid w:val="00F61E56"/>
    <w:rsid w:val="00F62515"/>
    <w:rsid w:val="00F625E9"/>
    <w:rsid w:val="00F6286E"/>
    <w:rsid w:val="00F62A19"/>
    <w:rsid w:val="00F62C88"/>
    <w:rsid w:val="00F63270"/>
    <w:rsid w:val="00F6328A"/>
    <w:rsid w:val="00F635E4"/>
    <w:rsid w:val="00F637BE"/>
    <w:rsid w:val="00F63C70"/>
    <w:rsid w:val="00F63D4C"/>
    <w:rsid w:val="00F63E72"/>
    <w:rsid w:val="00F644C7"/>
    <w:rsid w:val="00F645BE"/>
    <w:rsid w:val="00F64EE3"/>
    <w:rsid w:val="00F6540C"/>
    <w:rsid w:val="00F6560D"/>
    <w:rsid w:val="00F657A7"/>
    <w:rsid w:val="00F65C2F"/>
    <w:rsid w:val="00F65F57"/>
    <w:rsid w:val="00F6600A"/>
    <w:rsid w:val="00F666B3"/>
    <w:rsid w:val="00F66734"/>
    <w:rsid w:val="00F66E00"/>
    <w:rsid w:val="00F66E10"/>
    <w:rsid w:val="00F6755B"/>
    <w:rsid w:val="00F67580"/>
    <w:rsid w:val="00F67D8F"/>
    <w:rsid w:val="00F67EC0"/>
    <w:rsid w:val="00F70302"/>
    <w:rsid w:val="00F7059B"/>
    <w:rsid w:val="00F7087A"/>
    <w:rsid w:val="00F70A66"/>
    <w:rsid w:val="00F71624"/>
    <w:rsid w:val="00F7174A"/>
    <w:rsid w:val="00F71B39"/>
    <w:rsid w:val="00F71B6B"/>
    <w:rsid w:val="00F71C65"/>
    <w:rsid w:val="00F71C82"/>
    <w:rsid w:val="00F71D56"/>
    <w:rsid w:val="00F71DE6"/>
    <w:rsid w:val="00F72029"/>
    <w:rsid w:val="00F72427"/>
    <w:rsid w:val="00F724FE"/>
    <w:rsid w:val="00F7343F"/>
    <w:rsid w:val="00F73441"/>
    <w:rsid w:val="00F734E1"/>
    <w:rsid w:val="00F7356B"/>
    <w:rsid w:val="00F738F7"/>
    <w:rsid w:val="00F73BFB"/>
    <w:rsid w:val="00F73C72"/>
    <w:rsid w:val="00F73CCA"/>
    <w:rsid w:val="00F740EE"/>
    <w:rsid w:val="00F74417"/>
    <w:rsid w:val="00F7449B"/>
    <w:rsid w:val="00F74BD7"/>
    <w:rsid w:val="00F74FC1"/>
    <w:rsid w:val="00F75015"/>
    <w:rsid w:val="00F75100"/>
    <w:rsid w:val="00F754DB"/>
    <w:rsid w:val="00F757BD"/>
    <w:rsid w:val="00F75C6B"/>
    <w:rsid w:val="00F75F74"/>
    <w:rsid w:val="00F75FCB"/>
    <w:rsid w:val="00F76617"/>
    <w:rsid w:val="00F76715"/>
    <w:rsid w:val="00F76973"/>
    <w:rsid w:val="00F76AB6"/>
    <w:rsid w:val="00F771CA"/>
    <w:rsid w:val="00F7734B"/>
    <w:rsid w:val="00F7748E"/>
    <w:rsid w:val="00F778AF"/>
    <w:rsid w:val="00F779D7"/>
    <w:rsid w:val="00F77E38"/>
    <w:rsid w:val="00F77E5F"/>
    <w:rsid w:val="00F80066"/>
    <w:rsid w:val="00F80413"/>
    <w:rsid w:val="00F80537"/>
    <w:rsid w:val="00F80ADB"/>
    <w:rsid w:val="00F80DB4"/>
    <w:rsid w:val="00F815D7"/>
    <w:rsid w:val="00F816CC"/>
    <w:rsid w:val="00F81A6E"/>
    <w:rsid w:val="00F81CCD"/>
    <w:rsid w:val="00F81D0A"/>
    <w:rsid w:val="00F82047"/>
    <w:rsid w:val="00F82394"/>
    <w:rsid w:val="00F823CC"/>
    <w:rsid w:val="00F823F4"/>
    <w:rsid w:val="00F82466"/>
    <w:rsid w:val="00F826C6"/>
    <w:rsid w:val="00F82796"/>
    <w:rsid w:val="00F82950"/>
    <w:rsid w:val="00F82F8C"/>
    <w:rsid w:val="00F833A7"/>
    <w:rsid w:val="00F83432"/>
    <w:rsid w:val="00F83788"/>
    <w:rsid w:val="00F83F26"/>
    <w:rsid w:val="00F8400F"/>
    <w:rsid w:val="00F842BE"/>
    <w:rsid w:val="00F846BC"/>
    <w:rsid w:val="00F84E5F"/>
    <w:rsid w:val="00F84ED9"/>
    <w:rsid w:val="00F852F2"/>
    <w:rsid w:val="00F85360"/>
    <w:rsid w:val="00F8540A"/>
    <w:rsid w:val="00F85647"/>
    <w:rsid w:val="00F85890"/>
    <w:rsid w:val="00F858DC"/>
    <w:rsid w:val="00F85913"/>
    <w:rsid w:val="00F85A4C"/>
    <w:rsid w:val="00F85DBB"/>
    <w:rsid w:val="00F85E65"/>
    <w:rsid w:val="00F8628B"/>
    <w:rsid w:val="00F86638"/>
    <w:rsid w:val="00F86702"/>
    <w:rsid w:val="00F86827"/>
    <w:rsid w:val="00F868CB"/>
    <w:rsid w:val="00F8697D"/>
    <w:rsid w:val="00F86A5A"/>
    <w:rsid w:val="00F86C82"/>
    <w:rsid w:val="00F86DD6"/>
    <w:rsid w:val="00F87128"/>
    <w:rsid w:val="00F87186"/>
    <w:rsid w:val="00F87702"/>
    <w:rsid w:val="00F900CC"/>
    <w:rsid w:val="00F9069E"/>
    <w:rsid w:val="00F90D6E"/>
    <w:rsid w:val="00F91E2D"/>
    <w:rsid w:val="00F9279D"/>
    <w:rsid w:val="00F93101"/>
    <w:rsid w:val="00F93500"/>
    <w:rsid w:val="00F93851"/>
    <w:rsid w:val="00F9387C"/>
    <w:rsid w:val="00F938AF"/>
    <w:rsid w:val="00F93A8B"/>
    <w:rsid w:val="00F93F82"/>
    <w:rsid w:val="00F944E2"/>
    <w:rsid w:val="00F94606"/>
    <w:rsid w:val="00F94741"/>
    <w:rsid w:val="00F94A45"/>
    <w:rsid w:val="00F94B6E"/>
    <w:rsid w:val="00F94CA7"/>
    <w:rsid w:val="00F94CF9"/>
    <w:rsid w:val="00F95246"/>
    <w:rsid w:val="00F953BA"/>
    <w:rsid w:val="00F958B4"/>
    <w:rsid w:val="00F9594B"/>
    <w:rsid w:val="00F95C44"/>
    <w:rsid w:val="00F961F4"/>
    <w:rsid w:val="00F96468"/>
    <w:rsid w:val="00F964B5"/>
    <w:rsid w:val="00F967DE"/>
    <w:rsid w:val="00F96AFA"/>
    <w:rsid w:val="00F96C61"/>
    <w:rsid w:val="00F9702C"/>
    <w:rsid w:val="00F970AB"/>
    <w:rsid w:val="00F97116"/>
    <w:rsid w:val="00F97165"/>
    <w:rsid w:val="00F971CE"/>
    <w:rsid w:val="00F975FA"/>
    <w:rsid w:val="00F97627"/>
    <w:rsid w:val="00F97E6B"/>
    <w:rsid w:val="00F97FD7"/>
    <w:rsid w:val="00FA0834"/>
    <w:rsid w:val="00FA0865"/>
    <w:rsid w:val="00FA099C"/>
    <w:rsid w:val="00FA0D4C"/>
    <w:rsid w:val="00FA0F5A"/>
    <w:rsid w:val="00FA17C5"/>
    <w:rsid w:val="00FA18E3"/>
    <w:rsid w:val="00FA1AF6"/>
    <w:rsid w:val="00FA1BDE"/>
    <w:rsid w:val="00FA1C56"/>
    <w:rsid w:val="00FA1F57"/>
    <w:rsid w:val="00FA224E"/>
    <w:rsid w:val="00FA2599"/>
    <w:rsid w:val="00FA2653"/>
    <w:rsid w:val="00FA273D"/>
    <w:rsid w:val="00FA2942"/>
    <w:rsid w:val="00FA296D"/>
    <w:rsid w:val="00FA2D9E"/>
    <w:rsid w:val="00FA2F22"/>
    <w:rsid w:val="00FA3285"/>
    <w:rsid w:val="00FA3AA5"/>
    <w:rsid w:val="00FA3C2D"/>
    <w:rsid w:val="00FA411C"/>
    <w:rsid w:val="00FA423E"/>
    <w:rsid w:val="00FA43A0"/>
    <w:rsid w:val="00FA44A5"/>
    <w:rsid w:val="00FA47FC"/>
    <w:rsid w:val="00FA4A56"/>
    <w:rsid w:val="00FA5097"/>
    <w:rsid w:val="00FA5682"/>
    <w:rsid w:val="00FA56B7"/>
    <w:rsid w:val="00FA5A00"/>
    <w:rsid w:val="00FA5D40"/>
    <w:rsid w:val="00FA5E99"/>
    <w:rsid w:val="00FA5F08"/>
    <w:rsid w:val="00FA63A8"/>
    <w:rsid w:val="00FA6446"/>
    <w:rsid w:val="00FA6685"/>
    <w:rsid w:val="00FA6966"/>
    <w:rsid w:val="00FA6A17"/>
    <w:rsid w:val="00FA6F76"/>
    <w:rsid w:val="00FA7175"/>
    <w:rsid w:val="00FA7490"/>
    <w:rsid w:val="00FA7848"/>
    <w:rsid w:val="00FA7E62"/>
    <w:rsid w:val="00FA7E72"/>
    <w:rsid w:val="00FB0035"/>
    <w:rsid w:val="00FB0089"/>
    <w:rsid w:val="00FB0283"/>
    <w:rsid w:val="00FB09CF"/>
    <w:rsid w:val="00FB0F59"/>
    <w:rsid w:val="00FB1023"/>
    <w:rsid w:val="00FB1364"/>
    <w:rsid w:val="00FB15DE"/>
    <w:rsid w:val="00FB1983"/>
    <w:rsid w:val="00FB1C27"/>
    <w:rsid w:val="00FB209A"/>
    <w:rsid w:val="00FB223E"/>
    <w:rsid w:val="00FB259B"/>
    <w:rsid w:val="00FB25A2"/>
    <w:rsid w:val="00FB2A72"/>
    <w:rsid w:val="00FB3024"/>
    <w:rsid w:val="00FB333C"/>
    <w:rsid w:val="00FB3591"/>
    <w:rsid w:val="00FB393B"/>
    <w:rsid w:val="00FB3FF5"/>
    <w:rsid w:val="00FB4070"/>
    <w:rsid w:val="00FB41BB"/>
    <w:rsid w:val="00FB47E3"/>
    <w:rsid w:val="00FB4846"/>
    <w:rsid w:val="00FB4D74"/>
    <w:rsid w:val="00FB4FD1"/>
    <w:rsid w:val="00FB50B0"/>
    <w:rsid w:val="00FB5270"/>
    <w:rsid w:val="00FB5282"/>
    <w:rsid w:val="00FB55A7"/>
    <w:rsid w:val="00FB562F"/>
    <w:rsid w:val="00FB5BDA"/>
    <w:rsid w:val="00FB6176"/>
    <w:rsid w:val="00FB6274"/>
    <w:rsid w:val="00FB646C"/>
    <w:rsid w:val="00FB64C8"/>
    <w:rsid w:val="00FB694F"/>
    <w:rsid w:val="00FB703F"/>
    <w:rsid w:val="00FB7234"/>
    <w:rsid w:val="00FB7417"/>
    <w:rsid w:val="00FB7D76"/>
    <w:rsid w:val="00FC014F"/>
    <w:rsid w:val="00FC01E0"/>
    <w:rsid w:val="00FC07BC"/>
    <w:rsid w:val="00FC1608"/>
    <w:rsid w:val="00FC1962"/>
    <w:rsid w:val="00FC1DB4"/>
    <w:rsid w:val="00FC204A"/>
    <w:rsid w:val="00FC2334"/>
    <w:rsid w:val="00FC28D8"/>
    <w:rsid w:val="00FC29D6"/>
    <w:rsid w:val="00FC356E"/>
    <w:rsid w:val="00FC3C05"/>
    <w:rsid w:val="00FC3CD9"/>
    <w:rsid w:val="00FC440C"/>
    <w:rsid w:val="00FC4524"/>
    <w:rsid w:val="00FC4CA9"/>
    <w:rsid w:val="00FC4D0D"/>
    <w:rsid w:val="00FC503E"/>
    <w:rsid w:val="00FC5080"/>
    <w:rsid w:val="00FC5294"/>
    <w:rsid w:val="00FC5E60"/>
    <w:rsid w:val="00FC608E"/>
    <w:rsid w:val="00FC6402"/>
    <w:rsid w:val="00FC6425"/>
    <w:rsid w:val="00FC67DF"/>
    <w:rsid w:val="00FC681A"/>
    <w:rsid w:val="00FC6CB0"/>
    <w:rsid w:val="00FC7039"/>
    <w:rsid w:val="00FC7267"/>
    <w:rsid w:val="00FC72B4"/>
    <w:rsid w:val="00FC7361"/>
    <w:rsid w:val="00FC75D0"/>
    <w:rsid w:val="00FC76AE"/>
    <w:rsid w:val="00FC7851"/>
    <w:rsid w:val="00FC78A6"/>
    <w:rsid w:val="00FC7C7D"/>
    <w:rsid w:val="00FC7C7F"/>
    <w:rsid w:val="00FD00B5"/>
    <w:rsid w:val="00FD0B65"/>
    <w:rsid w:val="00FD0C98"/>
    <w:rsid w:val="00FD0E39"/>
    <w:rsid w:val="00FD10F8"/>
    <w:rsid w:val="00FD1525"/>
    <w:rsid w:val="00FD1602"/>
    <w:rsid w:val="00FD1C52"/>
    <w:rsid w:val="00FD1ED5"/>
    <w:rsid w:val="00FD2099"/>
    <w:rsid w:val="00FD21AC"/>
    <w:rsid w:val="00FD23F3"/>
    <w:rsid w:val="00FD256C"/>
    <w:rsid w:val="00FD260C"/>
    <w:rsid w:val="00FD2A37"/>
    <w:rsid w:val="00FD2EC2"/>
    <w:rsid w:val="00FD2FDD"/>
    <w:rsid w:val="00FD3187"/>
    <w:rsid w:val="00FD3347"/>
    <w:rsid w:val="00FD35C0"/>
    <w:rsid w:val="00FD3DAD"/>
    <w:rsid w:val="00FD40B8"/>
    <w:rsid w:val="00FD4491"/>
    <w:rsid w:val="00FD4627"/>
    <w:rsid w:val="00FD5B0C"/>
    <w:rsid w:val="00FD5E1F"/>
    <w:rsid w:val="00FD5F5E"/>
    <w:rsid w:val="00FD6078"/>
    <w:rsid w:val="00FD658C"/>
    <w:rsid w:val="00FD68BB"/>
    <w:rsid w:val="00FD6A88"/>
    <w:rsid w:val="00FD6BF6"/>
    <w:rsid w:val="00FD6C04"/>
    <w:rsid w:val="00FD6CD1"/>
    <w:rsid w:val="00FD763C"/>
    <w:rsid w:val="00FD7BB9"/>
    <w:rsid w:val="00FD7DFC"/>
    <w:rsid w:val="00FD7ED0"/>
    <w:rsid w:val="00FE025D"/>
    <w:rsid w:val="00FE0977"/>
    <w:rsid w:val="00FE0A29"/>
    <w:rsid w:val="00FE0DA4"/>
    <w:rsid w:val="00FE0DF7"/>
    <w:rsid w:val="00FE1431"/>
    <w:rsid w:val="00FE1A3D"/>
    <w:rsid w:val="00FE232B"/>
    <w:rsid w:val="00FE25B8"/>
    <w:rsid w:val="00FE2839"/>
    <w:rsid w:val="00FE2A32"/>
    <w:rsid w:val="00FE2C2C"/>
    <w:rsid w:val="00FE2DB6"/>
    <w:rsid w:val="00FE3311"/>
    <w:rsid w:val="00FE33AF"/>
    <w:rsid w:val="00FE3861"/>
    <w:rsid w:val="00FE3D77"/>
    <w:rsid w:val="00FE3F76"/>
    <w:rsid w:val="00FE3F9A"/>
    <w:rsid w:val="00FE3FF1"/>
    <w:rsid w:val="00FE45FF"/>
    <w:rsid w:val="00FE46FC"/>
    <w:rsid w:val="00FE4B73"/>
    <w:rsid w:val="00FE4B8C"/>
    <w:rsid w:val="00FE5B0C"/>
    <w:rsid w:val="00FE5B2E"/>
    <w:rsid w:val="00FE6329"/>
    <w:rsid w:val="00FE6773"/>
    <w:rsid w:val="00FE6C31"/>
    <w:rsid w:val="00FE6D15"/>
    <w:rsid w:val="00FE7436"/>
    <w:rsid w:val="00FE7482"/>
    <w:rsid w:val="00FE74A7"/>
    <w:rsid w:val="00FE74AE"/>
    <w:rsid w:val="00FE768A"/>
    <w:rsid w:val="00FE7CBC"/>
    <w:rsid w:val="00FE7FB5"/>
    <w:rsid w:val="00FF0061"/>
    <w:rsid w:val="00FF0209"/>
    <w:rsid w:val="00FF0257"/>
    <w:rsid w:val="00FF0554"/>
    <w:rsid w:val="00FF05EB"/>
    <w:rsid w:val="00FF0813"/>
    <w:rsid w:val="00FF0A40"/>
    <w:rsid w:val="00FF0C03"/>
    <w:rsid w:val="00FF0CFF"/>
    <w:rsid w:val="00FF0D0D"/>
    <w:rsid w:val="00FF10C1"/>
    <w:rsid w:val="00FF15D2"/>
    <w:rsid w:val="00FF1B8B"/>
    <w:rsid w:val="00FF211D"/>
    <w:rsid w:val="00FF2481"/>
    <w:rsid w:val="00FF27FF"/>
    <w:rsid w:val="00FF298E"/>
    <w:rsid w:val="00FF2EBE"/>
    <w:rsid w:val="00FF30BE"/>
    <w:rsid w:val="00FF319A"/>
    <w:rsid w:val="00FF31BA"/>
    <w:rsid w:val="00FF33C2"/>
    <w:rsid w:val="00FF3636"/>
    <w:rsid w:val="00FF397C"/>
    <w:rsid w:val="00FF426B"/>
    <w:rsid w:val="00FF4612"/>
    <w:rsid w:val="00FF47D4"/>
    <w:rsid w:val="00FF49BE"/>
    <w:rsid w:val="00FF4CD9"/>
    <w:rsid w:val="00FF4E07"/>
    <w:rsid w:val="00FF5867"/>
    <w:rsid w:val="00FF589F"/>
    <w:rsid w:val="00FF5B0F"/>
    <w:rsid w:val="00FF5F10"/>
    <w:rsid w:val="00FF5FA9"/>
    <w:rsid w:val="00FF6618"/>
    <w:rsid w:val="00FF667A"/>
    <w:rsid w:val="00FF6B86"/>
    <w:rsid w:val="00FF6C08"/>
    <w:rsid w:val="00FF6C43"/>
    <w:rsid w:val="00FF6DDB"/>
    <w:rsid w:val="00FF6E4A"/>
    <w:rsid w:val="00FF7008"/>
    <w:rsid w:val="00FF7126"/>
    <w:rsid w:val="00FF73A7"/>
    <w:rsid w:val="00FF73CD"/>
    <w:rsid w:val="00FF75A1"/>
    <w:rsid w:val="00FF777A"/>
    <w:rsid w:val="00FF786D"/>
    <w:rsid w:val="00FF7E77"/>
    <w:rsid w:val="0150E8B7"/>
    <w:rsid w:val="018B932C"/>
    <w:rsid w:val="01AE9F0A"/>
    <w:rsid w:val="01D4950F"/>
    <w:rsid w:val="020809C1"/>
    <w:rsid w:val="020A8055"/>
    <w:rsid w:val="026A4490"/>
    <w:rsid w:val="0273790B"/>
    <w:rsid w:val="02BF05BF"/>
    <w:rsid w:val="031C0182"/>
    <w:rsid w:val="03229DB1"/>
    <w:rsid w:val="034BE6A7"/>
    <w:rsid w:val="0381F488"/>
    <w:rsid w:val="03B90C07"/>
    <w:rsid w:val="03E05EE7"/>
    <w:rsid w:val="047404C3"/>
    <w:rsid w:val="04DDC105"/>
    <w:rsid w:val="0543F471"/>
    <w:rsid w:val="059142EC"/>
    <w:rsid w:val="05AEDA90"/>
    <w:rsid w:val="05B43665"/>
    <w:rsid w:val="061B641B"/>
    <w:rsid w:val="062747BC"/>
    <w:rsid w:val="0648E15C"/>
    <w:rsid w:val="066D7EAE"/>
    <w:rsid w:val="06BA6D0E"/>
    <w:rsid w:val="074302AD"/>
    <w:rsid w:val="0787E20B"/>
    <w:rsid w:val="079E2054"/>
    <w:rsid w:val="07AB80E9"/>
    <w:rsid w:val="07C58710"/>
    <w:rsid w:val="07D2E3FF"/>
    <w:rsid w:val="07F3EA97"/>
    <w:rsid w:val="08479897"/>
    <w:rsid w:val="087710C4"/>
    <w:rsid w:val="08DB77B6"/>
    <w:rsid w:val="08E1251C"/>
    <w:rsid w:val="08F1A007"/>
    <w:rsid w:val="08F4B77C"/>
    <w:rsid w:val="092BC3DE"/>
    <w:rsid w:val="0936A0B9"/>
    <w:rsid w:val="0A008D05"/>
    <w:rsid w:val="0A02CF4E"/>
    <w:rsid w:val="0A46535E"/>
    <w:rsid w:val="0A735766"/>
    <w:rsid w:val="0AA8DF7C"/>
    <w:rsid w:val="0C3D91A2"/>
    <w:rsid w:val="0CC11AA8"/>
    <w:rsid w:val="0DA33DC0"/>
    <w:rsid w:val="0DA736CB"/>
    <w:rsid w:val="0DCA8DD7"/>
    <w:rsid w:val="0DD53C76"/>
    <w:rsid w:val="0E1760CB"/>
    <w:rsid w:val="0E4B23A3"/>
    <w:rsid w:val="0E63FFB1"/>
    <w:rsid w:val="0EA0FB58"/>
    <w:rsid w:val="0F310B15"/>
    <w:rsid w:val="0F612BEA"/>
    <w:rsid w:val="0F9CC61E"/>
    <w:rsid w:val="1007F342"/>
    <w:rsid w:val="1017D830"/>
    <w:rsid w:val="1022062A"/>
    <w:rsid w:val="106EE25D"/>
    <w:rsid w:val="112B8112"/>
    <w:rsid w:val="11ABB224"/>
    <w:rsid w:val="11F8A316"/>
    <w:rsid w:val="1211F066"/>
    <w:rsid w:val="128D6C17"/>
    <w:rsid w:val="134A4D3F"/>
    <w:rsid w:val="136B0527"/>
    <w:rsid w:val="143F91D8"/>
    <w:rsid w:val="1457F882"/>
    <w:rsid w:val="14950095"/>
    <w:rsid w:val="14BE3CCD"/>
    <w:rsid w:val="14F90E9C"/>
    <w:rsid w:val="15AF93A7"/>
    <w:rsid w:val="1605F83E"/>
    <w:rsid w:val="167152BF"/>
    <w:rsid w:val="16D8EC75"/>
    <w:rsid w:val="16E10D23"/>
    <w:rsid w:val="1723CBC3"/>
    <w:rsid w:val="173CC8F2"/>
    <w:rsid w:val="17667D3E"/>
    <w:rsid w:val="17BF6A61"/>
    <w:rsid w:val="17E74CE3"/>
    <w:rsid w:val="17EB5DAD"/>
    <w:rsid w:val="184F3B78"/>
    <w:rsid w:val="185BE271"/>
    <w:rsid w:val="19147EF3"/>
    <w:rsid w:val="19533C29"/>
    <w:rsid w:val="1962F802"/>
    <w:rsid w:val="197D2853"/>
    <w:rsid w:val="197DB329"/>
    <w:rsid w:val="198BD374"/>
    <w:rsid w:val="19917211"/>
    <w:rsid w:val="19BF2556"/>
    <w:rsid w:val="19EC182D"/>
    <w:rsid w:val="1A5B6097"/>
    <w:rsid w:val="1A870556"/>
    <w:rsid w:val="1AE90792"/>
    <w:rsid w:val="1B493EAC"/>
    <w:rsid w:val="1C1B85D3"/>
    <w:rsid w:val="1CA762A0"/>
    <w:rsid w:val="1D6C4827"/>
    <w:rsid w:val="1E405ABE"/>
    <w:rsid w:val="1EC79740"/>
    <w:rsid w:val="1F006C31"/>
    <w:rsid w:val="1F166BC8"/>
    <w:rsid w:val="1F1CE908"/>
    <w:rsid w:val="1F91D69A"/>
    <w:rsid w:val="1FBFE65B"/>
    <w:rsid w:val="200AA6D3"/>
    <w:rsid w:val="2045F649"/>
    <w:rsid w:val="2056EBFC"/>
    <w:rsid w:val="2090047F"/>
    <w:rsid w:val="20FD0274"/>
    <w:rsid w:val="21C1DC14"/>
    <w:rsid w:val="21C4D050"/>
    <w:rsid w:val="21D1477A"/>
    <w:rsid w:val="221437CC"/>
    <w:rsid w:val="2221050D"/>
    <w:rsid w:val="22A35D9A"/>
    <w:rsid w:val="22AD6A04"/>
    <w:rsid w:val="22D93E89"/>
    <w:rsid w:val="22DF59C2"/>
    <w:rsid w:val="236AE6F7"/>
    <w:rsid w:val="23836D0D"/>
    <w:rsid w:val="23D9A66E"/>
    <w:rsid w:val="241A245C"/>
    <w:rsid w:val="2538F2A8"/>
    <w:rsid w:val="25E2C93B"/>
    <w:rsid w:val="26033660"/>
    <w:rsid w:val="265EDA23"/>
    <w:rsid w:val="26CBAADF"/>
    <w:rsid w:val="26EB8D86"/>
    <w:rsid w:val="27025CBC"/>
    <w:rsid w:val="27560E77"/>
    <w:rsid w:val="27AB003A"/>
    <w:rsid w:val="27D0A5AC"/>
    <w:rsid w:val="27E319B7"/>
    <w:rsid w:val="2805881E"/>
    <w:rsid w:val="283F14C1"/>
    <w:rsid w:val="29050E5A"/>
    <w:rsid w:val="2908897C"/>
    <w:rsid w:val="2974C6EB"/>
    <w:rsid w:val="2A402334"/>
    <w:rsid w:val="2A83BE86"/>
    <w:rsid w:val="2A99329D"/>
    <w:rsid w:val="2AAC1103"/>
    <w:rsid w:val="2AF136B1"/>
    <w:rsid w:val="2BFD4C61"/>
    <w:rsid w:val="2C0EBA09"/>
    <w:rsid w:val="2C57D459"/>
    <w:rsid w:val="2C69FB53"/>
    <w:rsid w:val="2CBCB7F2"/>
    <w:rsid w:val="2D1B948E"/>
    <w:rsid w:val="2D2E410A"/>
    <w:rsid w:val="2D76875E"/>
    <w:rsid w:val="2D8FFD89"/>
    <w:rsid w:val="2D98C2B3"/>
    <w:rsid w:val="2DE4661E"/>
    <w:rsid w:val="2E0C71F9"/>
    <w:rsid w:val="2E1713D6"/>
    <w:rsid w:val="2E415D01"/>
    <w:rsid w:val="2E5D9D80"/>
    <w:rsid w:val="2E6D03E9"/>
    <w:rsid w:val="2E91C321"/>
    <w:rsid w:val="2EABB42F"/>
    <w:rsid w:val="2ED26D21"/>
    <w:rsid w:val="2EF8B31D"/>
    <w:rsid w:val="2F5136A0"/>
    <w:rsid w:val="2F5E8F6B"/>
    <w:rsid w:val="2F69EE95"/>
    <w:rsid w:val="2F6D43A7"/>
    <w:rsid w:val="2FBB0BEE"/>
    <w:rsid w:val="30076D89"/>
    <w:rsid w:val="30410CD9"/>
    <w:rsid w:val="3062E5E5"/>
    <w:rsid w:val="30D5A053"/>
    <w:rsid w:val="3220FD1A"/>
    <w:rsid w:val="325F6B94"/>
    <w:rsid w:val="32F51FF3"/>
    <w:rsid w:val="3314A771"/>
    <w:rsid w:val="338E99CF"/>
    <w:rsid w:val="33F0E502"/>
    <w:rsid w:val="3416C8CD"/>
    <w:rsid w:val="346B8058"/>
    <w:rsid w:val="34D36A39"/>
    <w:rsid w:val="350039BF"/>
    <w:rsid w:val="35608F37"/>
    <w:rsid w:val="35749DBD"/>
    <w:rsid w:val="35907AE8"/>
    <w:rsid w:val="35A38C68"/>
    <w:rsid w:val="369635CA"/>
    <w:rsid w:val="369B72A8"/>
    <w:rsid w:val="36A543CB"/>
    <w:rsid w:val="3793156A"/>
    <w:rsid w:val="381BBDC7"/>
    <w:rsid w:val="3869227A"/>
    <w:rsid w:val="38AA1986"/>
    <w:rsid w:val="38FCAFDD"/>
    <w:rsid w:val="393F7D60"/>
    <w:rsid w:val="393FC38C"/>
    <w:rsid w:val="394A756E"/>
    <w:rsid w:val="39520C95"/>
    <w:rsid w:val="39A96DF7"/>
    <w:rsid w:val="39B3205A"/>
    <w:rsid w:val="39C7402F"/>
    <w:rsid w:val="39CEFAE4"/>
    <w:rsid w:val="39E5A87B"/>
    <w:rsid w:val="3A14BB21"/>
    <w:rsid w:val="3A186999"/>
    <w:rsid w:val="3A2E6CCF"/>
    <w:rsid w:val="3A6EB095"/>
    <w:rsid w:val="3A90F3DF"/>
    <w:rsid w:val="3B2F0D7F"/>
    <w:rsid w:val="3B44B39C"/>
    <w:rsid w:val="3B7F0C02"/>
    <w:rsid w:val="3B94AB67"/>
    <w:rsid w:val="3BA6DFC5"/>
    <w:rsid w:val="3C84F638"/>
    <w:rsid w:val="3C96BCB0"/>
    <w:rsid w:val="3D3E936D"/>
    <w:rsid w:val="3D8B0274"/>
    <w:rsid w:val="3E118357"/>
    <w:rsid w:val="3E4C22BE"/>
    <w:rsid w:val="3E8E57B4"/>
    <w:rsid w:val="3F28251E"/>
    <w:rsid w:val="3F96F848"/>
    <w:rsid w:val="3FA2C78C"/>
    <w:rsid w:val="3FAA5859"/>
    <w:rsid w:val="3FDC8DD6"/>
    <w:rsid w:val="40044B4B"/>
    <w:rsid w:val="405428AD"/>
    <w:rsid w:val="40A4B0CA"/>
    <w:rsid w:val="4141498F"/>
    <w:rsid w:val="4174A4B1"/>
    <w:rsid w:val="417A1602"/>
    <w:rsid w:val="419DCCAE"/>
    <w:rsid w:val="424BCF78"/>
    <w:rsid w:val="429B653F"/>
    <w:rsid w:val="4347CE2A"/>
    <w:rsid w:val="43BD8E46"/>
    <w:rsid w:val="43BE26A2"/>
    <w:rsid w:val="43E69516"/>
    <w:rsid w:val="4433C0EF"/>
    <w:rsid w:val="4478E38B"/>
    <w:rsid w:val="44BFD3E5"/>
    <w:rsid w:val="44DB61BD"/>
    <w:rsid w:val="4528486D"/>
    <w:rsid w:val="463CF0EF"/>
    <w:rsid w:val="4654B1FF"/>
    <w:rsid w:val="46680CF7"/>
    <w:rsid w:val="46801BD1"/>
    <w:rsid w:val="46ABFC77"/>
    <w:rsid w:val="46F45D9E"/>
    <w:rsid w:val="4710B678"/>
    <w:rsid w:val="47184F20"/>
    <w:rsid w:val="474CB60B"/>
    <w:rsid w:val="475BF619"/>
    <w:rsid w:val="4784EF52"/>
    <w:rsid w:val="47FF240F"/>
    <w:rsid w:val="48087C29"/>
    <w:rsid w:val="4858569F"/>
    <w:rsid w:val="48A7FD97"/>
    <w:rsid w:val="490FAD03"/>
    <w:rsid w:val="49250D0C"/>
    <w:rsid w:val="49316A40"/>
    <w:rsid w:val="4960E5A5"/>
    <w:rsid w:val="496CC62C"/>
    <w:rsid w:val="4A34D26D"/>
    <w:rsid w:val="4A5000D5"/>
    <w:rsid w:val="4A593E2E"/>
    <w:rsid w:val="4A6ABA02"/>
    <w:rsid w:val="4B05580E"/>
    <w:rsid w:val="4B2A0783"/>
    <w:rsid w:val="4B41500A"/>
    <w:rsid w:val="4BB4779A"/>
    <w:rsid w:val="4C00F729"/>
    <w:rsid w:val="4C10D13A"/>
    <w:rsid w:val="4C6680B8"/>
    <w:rsid w:val="4C8B517E"/>
    <w:rsid w:val="4CBED3A6"/>
    <w:rsid w:val="4CC14A22"/>
    <w:rsid w:val="4CFB336C"/>
    <w:rsid w:val="4D3E38EE"/>
    <w:rsid w:val="4DAFE3A4"/>
    <w:rsid w:val="4DE77FF5"/>
    <w:rsid w:val="4E795341"/>
    <w:rsid w:val="4E90CC60"/>
    <w:rsid w:val="4E9BFB70"/>
    <w:rsid w:val="4ECDF88D"/>
    <w:rsid w:val="4F0349DF"/>
    <w:rsid w:val="4F0B1645"/>
    <w:rsid w:val="4F1EC703"/>
    <w:rsid w:val="4F6E69B3"/>
    <w:rsid w:val="4FA18F63"/>
    <w:rsid w:val="4FCF1962"/>
    <w:rsid w:val="50231378"/>
    <w:rsid w:val="503DFD3F"/>
    <w:rsid w:val="507DCDA9"/>
    <w:rsid w:val="509D83F9"/>
    <w:rsid w:val="50DCA201"/>
    <w:rsid w:val="50E894D4"/>
    <w:rsid w:val="5173276E"/>
    <w:rsid w:val="521EF13A"/>
    <w:rsid w:val="523265C9"/>
    <w:rsid w:val="527A42B4"/>
    <w:rsid w:val="53561044"/>
    <w:rsid w:val="535CC1FA"/>
    <w:rsid w:val="53F0FEF8"/>
    <w:rsid w:val="53F3EA64"/>
    <w:rsid w:val="5426EE88"/>
    <w:rsid w:val="544296C3"/>
    <w:rsid w:val="5471A706"/>
    <w:rsid w:val="54B0BF32"/>
    <w:rsid w:val="55203356"/>
    <w:rsid w:val="552536D8"/>
    <w:rsid w:val="552B225C"/>
    <w:rsid w:val="55503386"/>
    <w:rsid w:val="555BBF7A"/>
    <w:rsid w:val="556FCA53"/>
    <w:rsid w:val="55759EEF"/>
    <w:rsid w:val="557CEDC0"/>
    <w:rsid w:val="559E7114"/>
    <w:rsid w:val="55E7ED3F"/>
    <w:rsid w:val="56080864"/>
    <w:rsid w:val="56195FEE"/>
    <w:rsid w:val="56774D5F"/>
    <w:rsid w:val="567C2BE1"/>
    <w:rsid w:val="5719B6D6"/>
    <w:rsid w:val="574B2964"/>
    <w:rsid w:val="5805774E"/>
    <w:rsid w:val="581ED117"/>
    <w:rsid w:val="582F8317"/>
    <w:rsid w:val="58757AE1"/>
    <w:rsid w:val="58A1E3E8"/>
    <w:rsid w:val="58C0DFCB"/>
    <w:rsid w:val="58F64266"/>
    <w:rsid w:val="5951D349"/>
    <w:rsid w:val="59CBB9F8"/>
    <w:rsid w:val="5A3E97F7"/>
    <w:rsid w:val="5A542BFE"/>
    <w:rsid w:val="5ACE7A52"/>
    <w:rsid w:val="5B21DBA7"/>
    <w:rsid w:val="5BB173C3"/>
    <w:rsid w:val="5C325AE8"/>
    <w:rsid w:val="5D2A022B"/>
    <w:rsid w:val="5D2D3298"/>
    <w:rsid w:val="5D3653D9"/>
    <w:rsid w:val="5DB096C6"/>
    <w:rsid w:val="5DD069A0"/>
    <w:rsid w:val="5E17838D"/>
    <w:rsid w:val="5E6A0B9B"/>
    <w:rsid w:val="5E8F89BB"/>
    <w:rsid w:val="5E9BDF92"/>
    <w:rsid w:val="5F3EF112"/>
    <w:rsid w:val="5FB20B8A"/>
    <w:rsid w:val="5FF80204"/>
    <w:rsid w:val="604F798C"/>
    <w:rsid w:val="608FFC7C"/>
    <w:rsid w:val="60CBB78A"/>
    <w:rsid w:val="612BB672"/>
    <w:rsid w:val="6148D7AB"/>
    <w:rsid w:val="6180D688"/>
    <w:rsid w:val="6228E8F9"/>
    <w:rsid w:val="622D3901"/>
    <w:rsid w:val="6272E7C7"/>
    <w:rsid w:val="62B44D39"/>
    <w:rsid w:val="62CD7236"/>
    <w:rsid w:val="62CFAB16"/>
    <w:rsid w:val="6334DDE0"/>
    <w:rsid w:val="635BBAFB"/>
    <w:rsid w:val="63B891C1"/>
    <w:rsid w:val="64108D6E"/>
    <w:rsid w:val="642F29D9"/>
    <w:rsid w:val="6452093A"/>
    <w:rsid w:val="649FD7C5"/>
    <w:rsid w:val="64FA9DF6"/>
    <w:rsid w:val="6529A715"/>
    <w:rsid w:val="65424B0E"/>
    <w:rsid w:val="662AEEB5"/>
    <w:rsid w:val="66633D91"/>
    <w:rsid w:val="66898C35"/>
    <w:rsid w:val="66ABBBE6"/>
    <w:rsid w:val="66BB251C"/>
    <w:rsid w:val="66C5C53A"/>
    <w:rsid w:val="672333B6"/>
    <w:rsid w:val="6749ECCD"/>
    <w:rsid w:val="678C4FFB"/>
    <w:rsid w:val="67E4E893"/>
    <w:rsid w:val="6816D551"/>
    <w:rsid w:val="68AFC85F"/>
    <w:rsid w:val="69181E41"/>
    <w:rsid w:val="69B206F3"/>
    <w:rsid w:val="6A1EE273"/>
    <w:rsid w:val="6A402831"/>
    <w:rsid w:val="6AD76CA6"/>
    <w:rsid w:val="6AEB8BA8"/>
    <w:rsid w:val="6B09450C"/>
    <w:rsid w:val="6BB91A86"/>
    <w:rsid w:val="6C1F7A03"/>
    <w:rsid w:val="6C76895C"/>
    <w:rsid w:val="6C829FBF"/>
    <w:rsid w:val="6CFD7725"/>
    <w:rsid w:val="6D21F308"/>
    <w:rsid w:val="6D234317"/>
    <w:rsid w:val="6D8040E8"/>
    <w:rsid w:val="6D967D6A"/>
    <w:rsid w:val="6E042864"/>
    <w:rsid w:val="6E18F899"/>
    <w:rsid w:val="6E73E03D"/>
    <w:rsid w:val="6E852334"/>
    <w:rsid w:val="6EA73A9C"/>
    <w:rsid w:val="6EA75D93"/>
    <w:rsid w:val="6F008637"/>
    <w:rsid w:val="6FB34564"/>
    <w:rsid w:val="70457FE5"/>
    <w:rsid w:val="704F19ED"/>
    <w:rsid w:val="70679040"/>
    <w:rsid w:val="708A3280"/>
    <w:rsid w:val="70945B16"/>
    <w:rsid w:val="70C1325B"/>
    <w:rsid w:val="70D5EB88"/>
    <w:rsid w:val="710D9499"/>
    <w:rsid w:val="7114995B"/>
    <w:rsid w:val="71B51622"/>
    <w:rsid w:val="725C6F4E"/>
    <w:rsid w:val="7347E4B1"/>
    <w:rsid w:val="73481CCC"/>
    <w:rsid w:val="735D7CC0"/>
    <w:rsid w:val="7417ABF4"/>
    <w:rsid w:val="7449A1A4"/>
    <w:rsid w:val="74634087"/>
    <w:rsid w:val="74D6A905"/>
    <w:rsid w:val="74E1DCE0"/>
    <w:rsid w:val="755C2D7E"/>
    <w:rsid w:val="759417BE"/>
    <w:rsid w:val="75FCB754"/>
    <w:rsid w:val="762193A5"/>
    <w:rsid w:val="76357215"/>
    <w:rsid w:val="763A83C5"/>
    <w:rsid w:val="7855F22B"/>
    <w:rsid w:val="78771FA3"/>
    <w:rsid w:val="788890F8"/>
    <w:rsid w:val="78BAA7ED"/>
    <w:rsid w:val="78D9603B"/>
    <w:rsid w:val="78DE82F3"/>
    <w:rsid w:val="791FFC1C"/>
    <w:rsid w:val="79D89D54"/>
    <w:rsid w:val="79FA7A7C"/>
    <w:rsid w:val="7A28F9B4"/>
    <w:rsid w:val="7AE8F279"/>
    <w:rsid w:val="7AEF60CC"/>
    <w:rsid w:val="7B24A5F7"/>
    <w:rsid w:val="7B7846F8"/>
    <w:rsid w:val="7BDB2C6C"/>
    <w:rsid w:val="7C53B595"/>
    <w:rsid w:val="7C5BDF14"/>
    <w:rsid w:val="7C8F1BE6"/>
    <w:rsid w:val="7CA2A9D2"/>
    <w:rsid w:val="7D568DDD"/>
    <w:rsid w:val="7D7A8901"/>
    <w:rsid w:val="7DCC30CE"/>
    <w:rsid w:val="7DFE235D"/>
    <w:rsid w:val="7E3EC471"/>
    <w:rsid w:val="7E47BA63"/>
    <w:rsid w:val="7F812E41"/>
    <w:rsid w:val="7F94A57D"/>
    <w:rsid w:val="7FD050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24ADCED5-6252-47F5-A93D-3B421FAD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99"/>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99"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B4A"/>
    <w:rPr>
      <w:rFonts w:ascii="Arial" w:hAnsi="Arial"/>
      <w:sz w:val="22"/>
    </w:rPr>
  </w:style>
  <w:style w:type="paragraph" w:styleId="Heading1">
    <w:name w:val="heading 1"/>
    <w:basedOn w:val="Normal"/>
    <w:next w:val="BodyText"/>
    <w:link w:val="Heading1Char"/>
    <w:qFormat/>
    <w:rsid w:val="005E5B4A"/>
    <w:pPr>
      <w:keepNext/>
      <w:keepLines/>
      <w:pageBreakBefore/>
      <w:numPr>
        <w:numId w:val="16"/>
      </w:numPr>
      <w:spacing w:before="120" w:after="240"/>
      <w:outlineLvl w:val="0"/>
    </w:pPr>
    <w:rPr>
      <w:rFonts w:cs="Arial"/>
      <w:b/>
      <w:bCs/>
      <w:kern w:val="28"/>
      <w:position w:val="6"/>
      <w:sz w:val="32"/>
      <w:szCs w:val="26"/>
    </w:rPr>
  </w:style>
  <w:style w:type="paragraph" w:styleId="Heading2">
    <w:name w:val="heading 2"/>
    <w:basedOn w:val="Normal"/>
    <w:next w:val="BodyText"/>
    <w:link w:val="Heading2Char"/>
    <w:qFormat/>
    <w:rsid w:val="005E5B4A"/>
    <w:pPr>
      <w:keepNext/>
      <w:numPr>
        <w:ilvl w:val="1"/>
        <w:numId w:val="16"/>
      </w:numPr>
      <w:spacing w:before="240" w:after="240"/>
      <w:outlineLvl w:val="1"/>
    </w:pPr>
    <w:rPr>
      <w:rFonts w:cs="Arial"/>
      <w:b/>
      <w:bCs/>
      <w:iCs/>
      <w:sz w:val="28"/>
      <w:szCs w:val="26"/>
    </w:rPr>
  </w:style>
  <w:style w:type="paragraph" w:styleId="Heading3">
    <w:name w:val="heading 3"/>
    <w:basedOn w:val="Normal"/>
    <w:next w:val="BodyText"/>
    <w:link w:val="Heading3Char"/>
    <w:qFormat/>
    <w:rsid w:val="005E5B4A"/>
    <w:pPr>
      <w:keepNext/>
      <w:numPr>
        <w:ilvl w:val="2"/>
        <w:numId w:val="16"/>
      </w:numPr>
      <w:spacing w:before="240" w:after="240"/>
      <w:outlineLvl w:val="2"/>
    </w:pPr>
    <w:rPr>
      <w:rFonts w:cs="Arial"/>
      <w:b/>
      <w:bCs/>
      <w:sz w:val="24"/>
      <w:szCs w:val="26"/>
    </w:rPr>
  </w:style>
  <w:style w:type="paragraph" w:styleId="Heading4">
    <w:name w:val="heading 4"/>
    <w:basedOn w:val="Normal"/>
    <w:next w:val="BodyText"/>
    <w:link w:val="Heading4Char"/>
    <w:unhideWhenUsed/>
    <w:qFormat/>
    <w:rsid w:val="005E5B4A"/>
    <w:pPr>
      <w:keepNext/>
      <w:keepLines/>
      <w:numPr>
        <w:ilvl w:val="3"/>
        <w:numId w:val="16"/>
      </w:numPr>
      <w:spacing w:before="240" w:after="240"/>
      <w:outlineLvl w:val="3"/>
    </w:pPr>
    <w:rPr>
      <w:b/>
      <w:bCs/>
      <w:i/>
      <w:iCs/>
      <w:kern w:val="28"/>
    </w:rPr>
  </w:style>
  <w:style w:type="paragraph" w:styleId="Heading5">
    <w:name w:val="heading 5"/>
    <w:aliases w:val="Append Level 1"/>
    <w:basedOn w:val="Normal"/>
    <w:next w:val="BodyText"/>
    <w:link w:val="Heading5Char"/>
    <w:unhideWhenUsed/>
    <w:qFormat/>
    <w:rsid w:val="005E5B4A"/>
    <w:pPr>
      <w:keepNext/>
      <w:keepLines/>
      <w:pageBreakBefore/>
      <w:numPr>
        <w:ilvl w:val="4"/>
        <w:numId w:val="16"/>
      </w:numPr>
      <w:spacing w:before="120" w:after="240"/>
      <w:outlineLvl w:val="4"/>
    </w:pPr>
    <w:rPr>
      <w:rFonts w:cs="Arial"/>
      <w:b/>
      <w:kern w:val="28"/>
      <w:sz w:val="32"/>
      <w:szCs w:val="28"/>
    </w:rPr>
  </w:style>
  <w:style w:type="paragraph" w:styleId="Heading6">
    <w:name w:val="heading 6"/>
    <w:aliases w:val="Append Level 2"/>
    <w:next w:val="BodyText"/>
    <w:link w:val="Heading6Char"/>
    <w:unhideWhenUsed/>
    <w:qFormat/>
    <w:rsid w:val="005E5B4A"/>
    <w:pPr>
      <w:keepNext/>
      <w:keepLines/>
      <w:numPr>
        <w:ilvl w:val="5"/>
        <w:numId w:val="16"/>
      </w:numPr>
      <w:spacing w:before="240" w:after="240"/>
      <w:outlineLvl w:val="5"/>
    </w:pPr>
    <w:rPr>
      <w:rFonts w:ascii="Arial" w:hAnsi="Arial" w:cs="Arial"/>
      <w:b/>
      <w:iCs/>
      <w:kern w:val="28"/>
      <w:position w:val="6"/>
      <w:sz w:val="28"/>
      <w:szCs w:val="26"/>
    </w:rPr>
  </w:style>
  <w:style w:type="paragraph" w:styleId="Heading7">
    <w:name w:val="heading 7"/>
    <w:aliases w:val="Append Level 3"/>
    <w:next w:val="BodyText"/>
    <w:link w:val="Heading7Char"/>
    <w:unhideWhenUsed/>
    <w:qFormat/>
    <w:rsid w:val="005E5B4A"/>
    <w:pPr>
      <w:numPr>
        <w:ilvl w:val="6"/>
        <w:numId w:val="16"/>
      </w:numPr>
      <w:spacing w:before="240" w:after="240"/>
      <w:outlineLvl w:val="6"/>
    </w:pPr>
    <w:rPr>
      <w:rFonts w:ascii="Arial" w:hAnsi="Arial"/>
      <w:b/>
      <w:iCs/>
      <w:sz w:val="24"/>
      <w:szCs w:val="26"/>
    </w:rPr>
  </w:style>
  <w:style w:type="paragraph" w:styleId="Heading8">
    <w:name w:val="heading 8"/>
    <w:aliases w:val="Exec Sum Level 1"/>
    <w:basedOn w:val="Heading1"/>
    <w:next w:val="BodyText"/>
    <w:link w:val="Heading8Char"/>
    <w:unhideWhenUsed/>
    <w:qFormat/>
    <w:rsid w:val="005E5B4A"/>
    <w:pPr>
      <w:numPr>
        <w:numId w:val="0"/>
      </w:numPr>
      <w:outlineLvl w:val="7"/>
    </w:pPr>
  </w:style>
  <w:style w:type="paragraph" w:styleId="Heading9">
    <w:name w:val="heading 9"/>
    <w:aliases w:val="Exec Sum Level 2,Exec Sum Level 3"/>
    <w:basedOn w:val="Heading2"/>
    <w:next w:val="BodyText"/>
    <w:link w:val="Heading9Char"/>
    <w:unhideWhenUsed/>
    <w:qFormat/>
    <w:rsid w:val="005E5B4A"/>
    <w:pPr>
      <w:keepLines/>
      <w:numPr>
        <w:ilvl w:val="0"/>
        <w:numId w:val="0"/>
      </w:numPr>
      <w:outlineLvl w:val="8"/>
    </w:pPr>
    <w:rPr>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E5B4A"/>
    <w:rPr>
      <w:rFonts w:ascii="Arial" w:hAnsi="Arial" w:cs="Arial"/>
      <w:b/>
      <w:bCs/>
      <w:kern w:val="28"/>
      <w:position w:val="6"/>
      <w:sz w:val="32"/>
      <w:szCs w:val="26"/>
    </w:rPr>
  </w:style>
  <w:style w:type="character" w:customStyle="1" w:styleId="Heading2Char">
    <w:name w:val="Heading 2 Char"/>
    <w:link w:val="Heading2"/>
    <w:locked/>
    <w:rsid w:val="005E5B4A"/>
    <w:rPr>
      <w:rFonts w:ascii="Arial" w:hAnsi="Arial" w:cs="Arial"/>
      <w:b/>
      <w:bCs/>
      <w:iCs/>
      <w:sz w:val="28"/>
      <w:szCs w:val="26"/>
    </w:rPr>
  </w:style>
  <w:style w:type="character" w:customStyle="1" w:styleId="Heading3Char">
    <w:name w:val="Heading 3 Char"/>
    <w:link w:val="Heading3"/>
    <w:locked/>
    <w:rsid w:val="005E5B4A"/>
    <w:rPr>
      <w:rFonts w:ascii="Arial" w:hAnsi="Arial" w:cs="Arial"/>
      <w:b/>
      <w:bCs/>
      <w:sz w:val="24"/>
      <w:szCs w:val="26"/>
    </w:rPr>
  </w:style>
  <w:style w:type="character" w:customStyle="1" w:styleId="Heading4Char">
    <w:name w:val="Heading 4 Char"/>
    <w:link w:val="Heading4"/>
    <w:locked/>
    <w:rsid w:val="005E5B4A"/>
    <w:rPr>
      <w:rFonts w:ascii="Arial" w:hAnsi="Arial"/>
      <w:b/>
      <w:bCs/>
      <w:i/>
      <w:iCs/>
      <w:kern w:val="28"/>
      <w:sz w:val="22"/>
    </w:rPr>
  </w:style>
  <w:style w:type="character" w:customStyle="1" w:styleId="Heading5Char">
    <w:name w:val="Heading 5 Char"/>
    <w:aliases w:val="Append Level 1 Char"/>
    <w:link w:val="Heading5"/>
    <w:locked/>
    <w:rsid w:val="005E5B4A"/>
    <w:rPr>
      <w:rFonts w:ascii="Arial" w:hAnsi="Arial" w:cs="Arial"/>
      <w:b/>
      <w:kern w:val="28"/>
      <w:sz w:val="32"/>
      <w:szCs w:val="28"/>
    </w:rPr>
  </w:style>
  <w:style w:type="character" w:customStyle="1" w:styleId="Heading6Char">
    <w:name w:val="Heading 6 Char"/>
    <w:aliases w:val="Append Level 2 Char"/>
    <w:link w:val="Heading6"/>
    <w:locked/>
    <w:rsid w:val="005E5B4A"/>
    <w:rPr>
      <w:rFonts w:ascii="Arial" w:hAnsi="Arial" w:cs="Arial"/>
      <w:b/>
      <w:iCs/>
      <w:kern w:val="28"/>
      <w:position w:val="6"/>
      <w:sz w:val="28"/>
      <w:szCs w:val="26"/>
    </w:rPr>
  </w:style>
  <w:style w:type="character" w:customStyle="1" w:styleId="Heading7Char">
    <w:name w:val="Heading 7 Char"/>
    <w:aliases w:val="Append Level 3 Char"/>
    <w:link w:val="Heading7"/>
    <w:locked/>
    <w:rsid w:val="005E5B4A"/>
    <w:rPr>
      <w:rFonts w:ascii="Arial" w:hAnsi="Arial"/>
      <w:b/>
      <w:iCs/>
      <w:sz w:val="24"/>
      <w:szCs w:val="26"/>
    </w:rPr>
  </w:style>
  <w:style w:type="character" w:customStyle="1" w:styleId="Heading8Char">
    <w:name w:val="Heading 8 Char"/>
    <w:aliases w:val="Exec Sum Level 1 Char"/>
    <w:link w:val="Heading8"/>
    <w:locked/>
    <w:rsid w:val="005E5B4A"/>
    <w:rPr>
      <w:rFonts w:ascii="Arial" w:hAnsi="Arial" w:cs="Arial"/>
      <w:b/>
      <w:bCs/>
      <w:kern w:val="28"/>
      <w:position w:val="6"/>
      <w:sz w:val="32"/>
      <w:szCs w:val="26"/>
    </w:rPr>
  </w:style>
  <w:style w:type="character" w:customStyle="1" w:styleId="Heading9Char">
    <w:name w:val="Heading 9 Char"/>
    <w:aliases w:val="Exec Sum Level 2 Char,Exec Sum Level 3 Char"/>
    <w:link w:val="Heading9"/>
    <w:locked/>
    <w:rsid w:val="005E5B4A"/>
    <w:rPr>
      <w:rFonts w:ascii="Arial" w:hAnsi="Arial" w:cs="Arial"/>
      <w:b/>
      <w:bCs/>
      <w:sz w:val="28"/>
      <w:szCs w:val="22"/>
    </w:rPr>
  </w:style>
  <w:style w:type="paragraph" w:styleId="BalloonText">
    <w:name w:val="Balloon Text"/>
    <w:basedOn w:val="Normal"/>
    <w:link w:val="BalloonTextChar"/>
    <w:unhideWhenUsed/>
    <w:rsid w:val="005E5B4A"/>
    <w:rPr>
      <w:rFonts w:ascii="Segoe UI" w:hAnsi="Segoe UI" w:cs="Segoe UI"/>
      <w:sz w:val="18"/>
      <w:szCs w:val="18"/>
    </w:rPr>
  </w:style>
  <w:style w:type="character" w:customStyle="1" w:styleId="BalloonTextChar">
    <w:name w:val="Balloon Text Char"/>
    <w:basedOn w:val="DefaultParagraphFont"/>
    <w:link w:val="BalloonText"/>
    <w:locked/>
    <w:rsid w:val="005E5B4A"/>
    <w:rPr>
      <w:rFonts w:ascii="Segoe UI" w:hAnsi="Segoe UI" w:cs="Segoe UI"/>
      <w:sz w:val="18"/>
      <w:szCs w:val="18"/>
    </w:rPr>
  </w:style>
  <w:style w:type="paragraph" w:styleId="TOC1">
    <w:name w:val="toc 1"/>
    <w:basedOn w:val="Normal"/>
    <w:next w:val="Normal"/>
    <w:link w:val="TOC1Char"/>
    <w:autoRedefine/>
    <w:uiPriority w:val="39"/>
    <w:unhideWhenUsed/>
    <w:rsid w:val="005E5B4A"/>
    <w:pPr>
      <w:widowControl w:val="0"/>
      <w:tabs>
        <w:tab w:val="right" w:leader="dot" w:pos="9350"/>
      </w:tabs>
      <w:spacing w:before="120" w:after="120"/>
    </w:pPr>
    <w:rPr>
      <w:rFonts w:eastAsia="Calibri"/>
      <w:b/>
      <w:sz w:val="24"/>
      <w:szCs w:val="22"/>
    </w:rPr>
  </w:style>
  <w:style w:type="paragraph" w:customStyle="1" w:styleId="Bullet0">
    <w:name w:val="Bullet 0"/>
    <w:basedOn w:val="Normal"/>
    <w:autoRedefine/>
    <w:rsid w:val="006E2DF5"/>
    <w:pPr>
      <w:tabs>
        <w:tab w:val="num" w:pos="972"/>
      </w:tabs>
      <w:ind w:left="979" w:hanging="432"/>
    </w:pPr>
  </w:style>
  <w:style w:type="paragraph" w:styleId="Header">
    <w:name w:val="header"/>
    <w:basedOn w:val="Normal"/>
    <w:link w:val="HeaderChar"/>
    <w:unhideWhenUsed/>
    <w:rsid w:val="005E5B4A"/>
    <w:pPr>
      <w:tabs>
        <w:tab w:val="center" w:pos="4680"/>
        <w:tab w:val="right" w:pos="9360"/>
      </w:tabs>
    </w:pPr>
  </w:style>
  <w:style w:type="character" w:customStyle="1" w:styleId="HeaderChar">
    <w:name w:val="Header Char"/>
    <w:basedOn w:val="DefaultParagraphFont"/>
    <w:link w:val="Header"/>
    <w:locked/>
    <w:rsid w:val="005E5B4A"/>
    <w:rPr>
      <w:rFonts w:ascii="Arial" w:hAnsi="Arial"/>
      <w:sz w:val="22"/>
    </w:rPr>
  </w:style>
  <w:style w:type="paragraph" w:styleId="Footer">
    <w:name w:val="footer"/>
    <w:basedOn w:val="Normal"/>
    <w:link w:val="FooterChar"/>
    <w:rsid w:val="005E5B4A"/>
    <w:pPr>
      <w:tabs>
        <w:tab w:val="center" w:pos="4320"/>
        <w:tab w:val="right" w:pos="9360"/>
      </w:tabs>
    </w:pPr>
    <w:rPr>
      <w:sz w:val="16"/>
    </w:rPr>
  </w:style>
  <w:style w:type="character" w:customStyle="1" w:styleId="FooterChar">
    <w:name w:val="Footer Char"/>
    <w:link w:val="Footer"/>
    <w:locked/>
    <w:rsid w:val="005E5B4A"/>
    <w:rPr>
      <w:rFonts w:ascii="Arial" w:hAnsi="Arial"/>
      <w:sz w:val="16"/>
    </w:rPr>
  </w:style>
  <w:style w:type="paragraph" w:customStyle="1" w:styleId="TableofContents">
    <w:name w:val="Table of Contents"/>
    <w:basedOn w:val="Normal"/>
    <w:uiPriority w:val="99"/>
    <w:rsid w:val="006E2DF5"/>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6E2DF5"/>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6E2DF5"/>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5E5B4A"/>
    <w:rPr>
      <w:sz w:val="20"/>
    </w:rPr>
  </w:style>
  <w:style w:type="paragraph" w:styleId="TOC2">
    <w:name w:val="toc 2"/>
    <w:basedOn w:val="NormalIndent"/>
    <w:next w:val="Normal"/>
    <w:autoRedefine/>
    <w:uiPriority w:val="39"/>
    <w:rsid w:val="00D02E5A"/>
    <w:pPr>
      <w:widowControl w:val="0"/>
      <w:tabs>
        <w:tab w:val="left" w:pos="1080"/>
        <w:tab w:val="right" w:leader="dot" w:pos="9346"/>
      </w:tabs>
      <w:spacing w:after="60"/>
      <w:ind w:left="1094" w:hanging="547"/>
    </w:pPr>
    <w:rPr>
      <w:noProof/>
    </w:rPr>
  </w:style>
  <w:style w:type="paragraph" w:styleId="TOC3">
    <w:name w:val="toc 3"/>
    <w:basedOn w:val="Normal"/>
    <w:next w:val="Normal"/>
    <w:autoRedefine/>
    <w:uiPriority w:val="39"/>
    <w:rsid w:val="005E5B4A"/>
    <w:pPr>
      <w:widowControl w:val="0"/>
      <w:tabs>
        <w:tab w:val="left" w:pos="1800"/>
        <w:tab w:val="right" w:leader="dot" w:pos="9360"/>
      </w:tabs>
      <w:spacing w:after="60"/>
      <w:ind w:left="1800" w:hanging="720"/>
    </w:pPr>
    <w:rPr>
      <w:noProof/>
    </w:rPr>
  </w:style>
  <w:style w:type="paragraph" w:styleId="TOC4">
    <w:name w:val="toc 4"/>
    <w:basedOn w:val="Normal"/>
    <w:next w:val="Normal"/>
    <w:autoRedefine/>
    <w:uiPriority w:val="39"/>
    <w:rsid w:val="005E5B4A"/>
    <w:pPr>
      <w:tabs>
        <w:tab w:val="left" w:pos="2700"/>
        <w:tab w:val="right" w:leader="dot" w:pos="9278"/>
      </w:tabs>
      <w:spacing w:after="100"/>
      <w:ind w:left="2700" w:hanging="900"/>
    </w:pPr>
    <w:rPr>
      <w:i/>
      <w:noProof/>
    </w:rPr>
  </w:style>
  <w:style w:type="paragraph" w:styleId="TOC5">
    <w:name w:val="toc 5"/>
    <w:basedOn w:val="Normal"/>
    <w:next w:val="Normal"/>
    <w:autoRedefine/>
    <w:unhideWhenUsed/>
    <w:rsid w:val="005E5B4A"/>
    <w:pPr>
      <w:spacing w:after="100"/>
      <w:ind w:left="800"/>
    </w:pPr>
  </w:style>
  <w:style w:type="paragraph" w:styleId="TOC6">
    <w:name w:val="toc 6"/>
    <w:basedOn w:val="Normal"/>
    <w:next w:val="Normal"/>
    <w:autoRedefine/>
    <w:unhideWhenUsed/>
    <w:rsid w:val="005E5B4A"/>
    <w:pPr>
      <w:spacing w:after="100"/>
      <w:ind w:left="1000"/>
    </w:pPr>
  </w:style>
  <w:style w:type="paragraph" w:styleId="TOC7">
    <w:name w:val="toc 7"/>
    <w:basedOn w:val="Normal"/>
    <w:next w:val="Normal"/>
    <w:autoRedefine/>
    <w:unhideWhenUsed/>
    <w:rsid w:val="005E5B4A"/>
    <w:pPr>
      <w:spacing w:after="100"/>
      <w:ind w:left="1200"/>
    </w:pPr>
  </w:style>
  <w:style w:type="paragraph" w:styleId="TOC8">
    <w:name w:val="toc 8"/>
    <w:basedOn w:val="Normal"/>
    <w:next w:val="Normal"/>
    <w:autoRedefine/>
    <w:unhideWhenUsed/>
    <w:rsid w:val="005E5B4A"/>
    <w:pPr>
      <w:spacing w:after="100"/>
      <w:ind w:left="1400"/>
    </w:pPr>
  </w:style>
  <w:style w:type="paragraph" w:styleId="TOC9">
    <w:name w:val="toc 9"/>
    <w:basedOn w:val="Normal"/>
    <w:next w:val="Normal"/>
    <w:autoRedefine/>
    <w:unhideWhenUsed/>
    <w:rsid w:val="005E5B4A"/>
    <w:pPr>
      <w:spacing w:after="100"/>
      <w:ind w:left="1600"/>
    </w:pPr>
  </w:style>
  <w:style w:type="paragraph" w:customStyle="1" w:styleId="SectionTitle">
    <w:name w:val="Section Title"/>
    <w:basedOn w:val="Normal"/>
    <w:uiPriority w:val="99"/>
    <w:rsid w:val="006E2DF5"/>
    <w:pPr>
      <w:tabs>
        <w:tab w:val="left" w:pos="1267"/>
        <w:tab w:val="left" w:pos="1627"/>
      </w:tabs>
      <w:spacing w:before="240" w:after="240"/>
      <w:ind w:left="1627" w:hanging="1627"/>
    </w:pPr>
    <w:rPr>
      <w:b/>
      <w:sz w:val="24"/>
    </w:rPr>
  </w:style>
  <w:style w:type="character" w:styleId="Hyperlink">
    <w:name w:val="Hyperlink"/>
    <w:uiPriority w:val="99"/>
    <w:rsid w:val="005E5B4A"/>
    <w:rPr>
      <w:rFonts w:ascii="Arial" w:hAnsi="Arial"/>
      <w:b/>
      <w:color w:val="auto"/>
      <w:sz w:val="22"/>
      <w:u w:val="single" w:color="93D500" w:themeColor="accent1"/>
    </w:rPr>
  </w:style>
  <w:style w:type="paragraph" w:customStyle="1" w:styleId="ResumeHeading1">
    <w:name w:val="Resume Heading 1"/>
    <w:basedOn w:val="Normal"/>
    <w:autoRedefine/>
    <w:uiPriority w:val="99"/>
    <w:rsid w:val="006E2DF5"/>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6E2DF5"/>
    <w:rPr>
      <w:rFonts w:ascii="Times New Roman" w:hAnsi="Times New Roman"/>
      <w:bCs/>
      <w:sz w:val="32"/>
      <w:szCs w:val="20"/>
    </w:rPr>
  </w:style>
  <w:style w:type="paragraph" w:styleId="Title">
    <w:name w:val="Title"/>
    <w:aliases w:val="Cover_Title"/>
    <w:basedOn w:val="Normal"/>
    <w:next w:val="Normal"/>
    <w:link w:val="TitleChar"/>
    <w:uiPriority w:val="10"/>
    <w:qFormat/>
    <w:rsid w:val="00D50813"/>
    <w:pPr>
      <w:widowControl w:val="0"/>
      <w:spacing w:after="12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D50813"/>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6E2DF5"/>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
    <w:basedOn w:val="BodyText"/>
    <w:link w:val="FootnoteTextChar"/>
    <w:uiPriority w:val="99"/>
    <w:rsid w:val="005E5B4A"/>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link w:val="FootnoteText"/>
    <w:uiPriority w:val="99"/>
    <w:locked/>
    <w:rsid w:val="005E5B4A"/>
    <w:rPr>
      <w:rFonts w:ascii="Arial" w:hAnsi="Arial"/>
      <w:sz w:val="18"/>
    </w:rPr>
  </w:style>
  <w:style w:type="character" w:styleId="FootnoteReference">
    <w:name w:val="footnote reference"/>
    <w:aliases w:val="Footnote_Reference"/>
    <w:uiPriority w:val="99"/>
    <w:rsid w:val="005E5B4A"/>
    <w:rPr>
      <w:rFonts w:ascii="Arial" w:hAnsi="Arial"/>
      <w:color w:val="auto"/>
      <w:vertAlign w:val="superscript"/>
    </w:rPr>
  </w:style>
  <w:style w:type="paragraph" w:styleId="Caption">
    <w:name w:val="caption"/>
    <w:aliases w:val="Table/Figure Caption"/>
    <w:basedOn w:val="Normal"/>
    <w:next w:val="Normal"/>
    <w:link w:val="CaptionChar"/>
    <w:qFormat/>
    <w:rsid w:val="007B67BA"/>
    <w:pPr>
      <w:keepNext/>
      <w:spacing w:after="120"/>
      <w:jc w:val="center"/>
    </w:pPr>
    <w:rPr>
      <w:rFonts w:ascii="Arial Bold" w:hAnsi="Arial Bold" w:cs="Arial"/>
      <w:b/>
      <w:bCs/>
    </w:rPr>
  </w:style>
  <w:style w:type="paragraph" w:customStyle="1" w:styleId="StyleCaptionWhite">
    <w:name w:val="Style Caption + White"/>
    <w:basedOn w:val="Caption"/>
    <w:rsid w:val="006E2DF5"/>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6E2DF5"/>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6E2DF5"/>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6E2DF5"/>
    <w:rPr>
      <w:rFonts w:ascii="Arial" w:hAnsi="Arial"/>
      <w:b/>
      <w:bCs/>
      <w:color w:val="6F6754"/>
      <w:sz w:val="36"/>
      <w:szCs w:val="24"/>
    </w:rPr>
  </w:style>
  <w:style w:type="paragraph" w:customStyle="1" w:styleId="PresentedBy">
    <w:name w:val="Presented By"/>
    <w:basedOn w:val="Normal"/>
    <w:link w:val="PresentedByChar"/>
    <w:rsid w:val="006E2DF5"/>
    <w:pPr>
      <w:tabs>
        <w:tab w:val="left" w:pos="360"/>
        <w:tab w:val="left" w:pos="720"/>
        <w:tab w:val="left" w:pos="1080"/>
        <w:tab w:val="left" w:pos="1440"/>
      </w:tabs>
    </w:pPr>
    <w:rPr>
      <w:color w:val="6F6754"/>
    </w:rPr>
  </w:style>
  <w:style w:type="character" w:customStyle="1" w:styleId="TitlePage2Char">
    <w:name w:val="Title Page 2 Char"/>
    <w:basedOn w:val="DefaultParagraphFont"/>
    <w:link w:val="TitlePage2"/>
    <w:locked/>
    <w:rsid w:val="006E2DF5"/>
    <w:rPr>
      <w:rFonts w:ascii="Arial" w:hAnsi="Arial"/>
      <w:b/>
      <w:bCs/>
      <w:color w:val="6F6754"/>
      <w:sz w:val="28"/>
      <w:szCs w:val="28"/>
    </w:rPr>
  </w:style>
  <w:style w:type="paragraph" w:styleId="Date">
    <w:name w:val="Date"/>
    <w:basedOn w:val="Normal"/>
    <w:next w:val="Normal"/>
    <w:link w:val="DateChar"/>
    <w:rsid w:val="005E5B4A"/>
  </w:style>
  <w:style w:type="character" w:customStyle="1" w:styleId="DateChar">
    <w:name w:val="Date Char"/>
    <w:basedOn w:val="DefaultParagraphFont"/>
    <w:link w:val="Date"/>
    <w:locked/>
    <w:rsid w:val="005E5B4A"/>
    <w:rPr>
      <w:rFonts w:ascii="Arial" w:hAnsi="Arial"/>
      <w:sz w:val="22"/>
    </w:rPr>
  </w:style>
  <w:style w:type="character" w:customStyle="1" w:styleId="PresentedByChar">
    <w:name w:val="Presented By Char"/>
    <w:basedOn w:val="DefaultParagraphFont"/>
    <w:link w:val="PresentedBy"/>
    <w:locked/>
    <w:rsid w:val="006E2DF5"/>
    <w:rPr>
      <w:rFonts w:ascii="Arial" w:hAnsi="Arial"/>
      <w:color w:val="6F6754"/>
      <w:sz w:val="22"/>
      <w:szCs w:val="24"/>
    </w:rPr>
  </w:style>
  <w:style w:type="paragraph" w:customStyle="1" w:styleId="TOCTitle">
    <w:name w:val="TOC Title"/>
    <w:basedOn w:val="Normal"/>
    <w:autoRedefine/>
    <w:uiPriority w:val="99"/>
    <w:rsid w:val="006E2DF5"/>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6E2DF5"/>
    <w:pPr>
      <w:tabs>
        <w:tab w:val="clear" w:pos="972"/>
        <w:tab w:val="num" w:pos="720"/>
      </w:tabs>
      <w:spacing w:before="120" w:after="240"/>
      <w:ind w:left="720" w:hanging="360"/>
    </w:pPr>
  </w:style>
  <w:style w:type="table" w:styleId="TableGrid">
    <w:name w:val="Table Grid"/>
    <w:basedOn w:val="TableNormal"/>
    <w:uiPriority w:val="59"/>
    <w:rsid w:val="005E5B4A"/>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dex2">
    <w:name w:val="index 2"/>
    <w:basedOn w:val="Normal"/>
    <w:next w:val="Normal"/>
    <w:autoRedefine/>
    <w:unhideWhenUsed/>
    <w:rsid w:val="005E5B4A"/>
    <w:pPr>
      <w:ind w:left="400" w:hanging="200"/>
    </w:pPr>
  </w:style>
  <w:style w:type="paragraph" w:styleId="BodyText">
    <w:name w:val="Body Text"/>
    <w:basedOn w:val="Normal"/>
    <w:link w:val="BodyTextChar"/>
    <w:unhideWhenUsed/>
    <w:qFormat/>
    <w:rsid w:val="005E5B4A"/>
    <w:pPr>
      <w:spacing w:after="240"/>
    </w:pPr>
  </w:style>
  <w:style w:type="character" w:customStyle="1" w:styleId="BodyTextChar">
    <w:name w:val="Body Text Char"/>
    <w:link w:val="BodyText"/>
    <w:locked/>
    <w:rsid w:val="005E5B4A"/>
    <w:rPr>
      <w:rFonts w:ascii="Arial" w:hAnsi="Arial"/>
      <w:sz w:val="22"/>
    </w:rPr>
  </w:style>
  <w:style w:type="paragraph" w:styleId="BodyTextIndent">
    <w:name w:val="Body Text Indent"/>
    <w:basedOn w:val="Normal"/>
    <w:link w:val="BodyTextIndentChar"/>
    <w:unhideWhenUsed/>
    <w:rsid w:val="005E5B4A"/>
    <w:pPr>
      <w:spacing w:after="120"/>
      <w:ind w:left="360"/>
    </w:pPr>
  </w:style>
  <w:style w:type="character" w:customStyle="1" w:styleId="BodyTextIndentChar">
    <w:name w:val="Body Text Indent Char"/>
    <w:basedOn w:val="DefaultParagraphFont"/>
    <w:link w:val="BodyTextIndent"/>
    <w:locked/>
    <w:rsid w:val="005E5B4A"/>
    <w:rPr>
      <w:rFonts w:ascii="Arial" w:hAnsi="Arial"/>
      <w:sz w:val="22"/>
    </w:rPr>
  </w:style>
  <w:style w:type="paragraph" w:styleId="BodyTextFirstIndent2">
    <w:name w:val="Body Text First Indent 2"/>
    <w:basedOn w:val="BodyTextIndent"/>
    <w:link w:val="BodyTextFirstIndent2Char"/>
    <w:unhideWhenUsed/>
    <w:rsid w:val="005E5B4A"/>
    <w:pPr>
      <w:spacing w:after="0"/>
      <w:ind w:firstLine="360"/>
    </w:pPr>
  </w:style>
  <w:style w:type="character" w:customStyle="1" w:styleId="BodyTextFirstIndent2Char">
    <w:name w:val="Body Text First Indent 2 Char"/>
    <w:basedOn w:val="BodyTextIndentChar"/>
    <w:link w:val="BodyTextFirstIndent2"/>
    <w:locked/>
    <w:rsid w:val="005E5B4A"/>
    <w:rPr>
      <w:rFonts w:ascii="Arial" w:hAnsi="Arial"/>
      <w:sz w:val="22"/>
    </w:rPr>
  </w:style>
  <w:style w:type="paragraph" w:styleId="MacroText">
    <w:name w:val="macro"/>
    <w:link w:val="MacroTextChar"/>
    <w:unhideWhenUsed/>
    <w:rsid w:val="005E5B4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5E5B4A"/>
    <w:rPr>
      <w:rFonts w:ascii="Consolas" w:hAnsi="Consolas"/>
    </w:rPr>
  </w:style>
  <w:style w:type="paragraph" w:styleId="Closing">
    <w:name w:val="Closing"/>
    <w:basedOn w:val="Normal"/>
    <w:link w:val="ClosingChar"/>
    <w:unhideWhenUsed/>
    <w:rsid w:val="005E5B4A"/>
    <w:pPr>
      <w:ind w:left="4320"/>
    </w:pPr>
  </w:style>
  <w:style w:type="character" w:customStyle="1" w:styleId="ClosingChar">
    <w:name w:val="Closing Char"/>
    <w:basedOn w:val="DefaultParagraphFont"/>
    <w:link w:val="Closing"/>
    <w:locked/>
    <w:rsid w:val="005E5B4A"/>
    <w:rPr>
      <w:rFonts w:ascii="Arial" w:hAnsi="Arial"/>
      <w:sz w:val="22"/>
    </w:rPr>
  </w:style>
  <w:style w:type="character" w:styleId="Emphasis">
    <w:name w:val="Emphasis"/>
    <w:basedOn w:val="DefaultParagraphFont"/>
    <w:rsid w:val="006E2DF5"/>
    <w:rPr>
      <w:rFonts w:cs="Times New Roman"/>
      <w:i/>
      <w:iCs/>
    </w:rPr>
  </w:style>
  <w:style w:type="paragraph" w:styleId="EnvelopeReturn">
    <w:name w:val="envelope return"/>
    <w:basedOn w:val="Normal"/>
    <w:unhideWhenUsed/>
    <w:rsid w:val="005E5B4A"/>
    <w:rPr>
      <w:rFonts w:asciiTheme="majorHAnsi" w:eastAsiaTheme="majorEastAsia" w:hAnsiTheme="majorHAnsi" w:cstheme="majorBidi"/>
    </w:rPr>
  </w:style>
  <w:style w:type="character" w:styleId="HTMLAcronym">
    <w:name w:val="HTML Acronym"/>
    <w:basedOn w:val="DefaultParagraphFont"/>
    <w:uiPriority w:val="99"/>
    <w:rsid w:val="006E2DF5"/>
    <w:rPr>
      <w:rFonts w:cs="Times New Roman"/>
    </w:rPr>
  </w:style>
  <w:style w:type="character" w:styleId="HTMLDefinition">
    <w:name w:val="HTML Definition"/>
    <w:basedOn w:val="DefaultParagraphFont"/>
    <w:uiPriority w:val="99"/>
    <w:rsid w:val="006E2DF5"/>
    <w:rPr>
      <w:rFonts w:cs="Times New Roman"/>
      <w:i/>
      <w:iCs/>
    </w:rPr>
  </w:style>
  <w:style w:type="character" w:styleId="HTMLTypewriter">
    <w:name w:val="HTML Typewriter"/>
    <w:basedOn w:val="DefaultParagraphFont"/>
    <w:uiPriority w:val="99"/>
    <w:rsid w:val="006E2DF5"/>
    <w:rPr>
      <w:rFonts w:ascii="Consolas" w:hAnsi="Consolas" w:cs="Times New Roman"/>
      <w:sz w:val="20"/>
      <w:szCs w:val="20"/>
    </w:rPr>
  </w:style>
  <w:style w:type="paragraph" w:styleId="Index6">
    <w:name w:val="index 6"/>
    <w:basedOn w:val="Normal"/>
    <w:next w:val="Normal"/>
    <w:autoRedefine/>
    <w:unhideWhenUsed/>
    <w:rsid w:val="005E5B4A"/>
    <w:pPr>
      <w:ind w:left="1200" w:hanging="200"/>
    </w:pPr>
  </w:style>
  <w:style w:type="paragraph" w:styleId="Index1">
    <w:name w:val="index 1"/>
    <w:basedOn w:val="Normal"/>
    <w:next w:val="Normal"/>
    <w:autoRedefine/>
    <w:unhideWhenUsed/>
    <w:rsid w:val="005E5B4A"/>
    <w:pPr>
      <w:ind w:left="200" w:hanging="200"/>
    </w:pPr>
  </w:style>
  <w:style w:type="paragraph" w:styleId="IndexHeading">
    <w:name w:val="index heading"/>
    <w:basedOn w:val="Normal"/>
    <w:next w:val="Index1"/>
    <w:unhideWhenUsed/>
    <w:rsid w:val="005E5B4A"/>
    <w:rPr>
      <w:rFonts w:asciiTheme="majorHAnsi" w:eastAsiaTheme="majorEastAsia" w:hAnsiTheme="majorHAnsi" w:cstheme="majorBidi"/>
      <w:b/>
      <w:bCs/>
    </w:rPr>
  </w:style>
  <w:style w:type="character" w:styleId="LineNumber">
    <w:name w:val="line number"/>
    <w:basedOn w:val="DefaultParagraphFont"/>
    <w:uiPriority w:val="99"/>
    <w:rsid w:val="006E2DF5"/>
    <w:rPr>
      <w:rFonts w:cs="Times New Roman"/>
    </w:rPr>
  </w:style>
  <w:style w:type="paragraph" w:styleId="List4">
    <w:name w:val="List 4"/>
    <w:basedOn w:val="Normal"/>
    <w:rsid w:val="005E5B4A"/>
    <w:pPr>
      <w:ind w:left="1440" w:hanging="360"/>
      <w:contextualSpacing/>
    </w:pPr>
  </w:style>
  <w:style w:type="paragraph" w:styleId="ListBullet3">
    <w:name w:val="List Bullet 3"/>
    <w:basedOn w:val="Normal"/>
    <w:unhideWhenUsed/>
    <w:rsid w:val="005E5B4A"/>
    <w:pPr>
      <w:numPr>
        <w:numId w:val="19"/>
      </w:numPr>
      <w:contextualSpacing/>
    </w:pPr>
  </w:style>
  <w:style w:type="paragraph" w:styleId="BlockText">
    <w:name w:val="Block Text"/>
    <w:basedOn w:val="Normal"/>
    <w:unhideWhenUsed/>
    <w:rsid w:val="005E5B4A"/>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cstheme="minorBidi"/>
      <w:b/>
      <w:i/>
      <w:iCs/>
      <w:color w:val="93D500" w:themeColor="accent1"/>
    </w:rPr>
  </w:style>
  <w:style w:type="paragraph" w:styleId="BodyTextFirstIndent">
    <w:name w:val="Body Text First Indent"/>
    <w:basedOn w:val="BodyText"/>
    <w:link w:val="BodyTextFirstIndentChar"/>
    <w:rsid w:val="005E5B4A"/>
    <w:pPr>
      <w:spacing w:after="0"/>
      <w:ind w:firstLine="360"/>
    </w:pPr>
  </w:style>
  <w:style w:type="character" w:customStyle="1" w:styleId="BodyTextFirstIndentChar">
    <w:name w:val="Body Text First Indent Char"/>
    <w:basedOn w:val="BodyTextChar"/>
    <w:link w:val="BodyTextFirstIndent"/>
    <w:locked/>
    <w:rsid w:val="005E5B4A"/>
    <w:rPr>
      <w:rFonts w:ascii="Arial" w:hAnsi="Arial"/>
      <w:sz w:val="22"/>
    </w:rPr>
  </w:style>
  <w:style w:type="paragraph" w:styleId="BodyTextIndent3">
    <w:name w:val="Body Text Indent 3"/>
    <w:basedOn w:val="Normal"/>
    <w:link w:val="BodyTextIndent3Char"/>
    <w:unhideWhenUsed/>
    <w:rsid w:val="005E5B4A"/>
    <w:pPr>
      <w:spacing w:after="120"/>
      <w:ind w:left="360"/>
    </w:pPr>
    <w:rPr>
      <w:sz w:val="16"/>
      <w:szCs w:val="16"/>
    </w:rPr>
  </w:style>
  <w:style w:type="character" w:customStyle="1" w:styleId="BodyTextIndent3Char">
    <w:name w:val="Body Text Indent 3 Char"/>
    <w:basedOn w:val="DefaultParagraphFont"/>
    <w:link w:val="BodyTextIndent3"/>
    <w:locked/>
    <w:rsid w:val="005E5B4A"/>
    <w:rPr>
      <w:rFonts w:ascii="Arial" w:hAnsi="Arial"/>
      <w:sz w:val="16"/>
      <w:szCs w:val="16"/>
    </w:rPr>
  </w:style>
  <w:style w:type="paragraph" w:styleId="CommentText">
    <w:name w:val="annotation text"/>
    <w:basedOn w:val="Normal"/>
    <w:link w:val="CommentTextChar"/>
    <w:unhideWhenUsed/>
    <w:rsid w:val="005E5B4A"/>
    <w:rPr>
      <w:sz w:val="18"/>
    </w:rPr>
  </w:style>
  <w:style w:type="character" w:customStyle="1" w:styleId="CommentTextChar">
    <w:name w:val="Comment Text Char"/>
    <w:basedOn w:val="DefaultParagraphFont"/>
    <w:link w:val="CommentText"/>
    <w:locked/>
    <w:rsid w:val="005E5B4A"/>
    <w:rPr>
      <w:rFonts w:ascii="Arial" w:hAnsi="Arial"/>
      <w:sz w:val="18"/>
    </w:rPr>
  </w:style>
  <w:style w:type="paragraph" w:styleId="E-mailSignature">
    <w:name w:val="E-mail Signature"/>
    <w:basedOn w:val="Normal"/>
    <w:link w:val="E-mailSignatureChar"/>
    <w:unhideWhenUsed/>
    <w:rsid w:val="005E5B4A"/>
  </w:style>
  <w:style w:type="character" w:customStyle="1" w:styleId="E-mailSignatureChar">
    <w:name w:val="E-mail Signature Char"/>
    <w:basedOn w:val="DefaultParagraphFont"/>
    <w:link w:val="E-mailSignature"/>
    <w:locked/>
    <w:rsid w:val="005E5B4A"/>
    <w:rPr>
      <w:rFonts w:ascii="Arial" w:hAnsi="Arial"/>
      <w:sz w:val="22"/>
    </w:rPr>
  </w:style>
  <w:style w:type="character" w:styleId="HTMLCode">
    <w:name w:val="HTML Code"/>
    <w:basedOn w:val="DefaultParagraphFont"/>
    <w:uiPriority w:val="99"/>
    <w:rsid w:val="006E2DF5"/>
    <w:rPr>
      <w:rFonts w:ascii="Consolas" w:hAnsi="Consolas" w:cs="Times New Roman"/>
      <w:sz w:val="20"/>
      <w:szCs w:val="20"/>
    </w:rPr>
  </w:style>
  <w:style w:type="character" w:styleId="HTMLSample">
    <w:name w:val="HTML Sample"/>
    <w:basedOn w:val="DefaultParagraphFont"/>
    <w:uiPriority w:val="99"/>
    <w:rsid w:val="006E2DF5"/>
    <w:rPr>
      <w:rFonts w:ascii="Consolas" w:hAnsi="Consolas" w:cs="Times New Roman"/>
      <w:sz w:val="24"/>
      <w:szCs w:val="24"/>
    </w:rPr>
  </w:style>
  <w:style w:type="character" w:styleId="PlaceholderText">
    <w:name w:val="Placeholder Text"/>
    <w:uiPriority w:val="99"/>
    <w:semiHidden/>
    <w:rsid w:val="005E5B4A"/>
    <w:rPr>
      <w:color w:val="808080"/>
    </w:rPr>
  </w:style>
  <w:style w:type="character" w:styleId="Strong">
    <w:name w:val="Strong"/>
    <w:basedOn w:val="DefaultParagraphFont"/>
    <w:rsid w:val="005E5B4A"/>
    <w:rPr>
      <w:b/>
      <w:bCs/>
      <w:lang w:val="en-US"/>
    </w:rPr>
  </w:style>
  <w:style w:type="paragraph" w:styleId="ListNumber4">
    <w:name w:val="List Number 4"/>
    <w:basedOn w:val="Normal"/>
    <w:unhideWhenUsed/>
    <w:rsid w:val="005E5B4A"/>
    <w:pPr>
      <w:numPr>
        <w:numId w:val="25"/>
      </w:numPr>
      <w:contextualSpacing/>
    </w:pPr>
  </w:style>
  <w:style w:type="paragraph" w:styleId="NormalWeb">
    <w:name w:val="Normal (Web)"/>
    <w:basedOn w:val="Normal"/>
    <w:uiPriority w:val="99"/>
    <w:unhideWhenUsed/>
    <w:rsid w:val="005E5B4A"/>
    <w:rPr>
      <w:rFonts w:ascii="Times New Roman" w:hAnsi="Times New Roman"/>
      <w:sz w:val="24"/>
      <w:szCs w:val="24"/>
    </w:rPr>
  </w:style>
  <w:style w:type="character" w:styleId="SubtleEmphasis">
    <w:name w:val="Subtle Emphasis"/>
    <w:basedOn w:val="DefaultParagraphFont"/>
    <w:uiPriority w:val="99"/>
    <w:rsid w:val="006E2DF5"/>
    <w:rPr>
      <w:rFonts w:cs="Times New Roman"/>
      <w:i/>
      <w:iCs/>
      <w:color w:val="808080"/>
    </w:rPr>
  </w:style>
  <w:style w:type="paragraph" w:styleId="TableofFigures">
    <w:name w:val="table of figures"/>
    <w:basedOn w:val="Normal"/>
    <w:next w:val="Normal"/>
    <w:uiPriority w:val="99"/>
    <w:rsid w:val="005E5B4A"/>
    <w:pPr>
      <w:tabs>
        <w:tab w:val="right" w:leader="dot" w:pos="9274"/>
      </w:tabs>
    </w:pPr>
  </w:style>
  <w:style w:type="paragraph" w:styleId="MessageHeader">
    <w:name w:val="Message Header"/>
    <w:basedOn w:val="Normal"/>
    <w:link w:val="MessageHeaderChar"/>
    <w:unhideWhenUsed/>
    <w:rsid w:val="005E5B4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locked/>
    <w:rsid w:val="005E5B4A"/>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5E5B4A"/>
    <w:pPr>
      <w:ind w:left="720"/>
    </w:pPr>
  </w:style>
  <w:style w:type="paragraph" w:styleId="Subtitle">
    <w:name w:val="Subtitle"/>
    <w:aliases w:val="Cover_Subtitle"/>
    <w:basedOn w:val="Normal"/>
    <w:next w:val="Normal"/>
    <w:link w:val="SubtitleChar"/>
    <w:uiPriority w:val="11"/>
    <w:qFormat/>
    <w:rsid w:val="00D50813"/>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D50813"/>
    <w:rPr>
      <w:rFonts w:ascii="Arial Bold" w:hAnsi="Arial Bold"/>
      <w:b/>
      <w:color w:val="036479" w:themeColor="text2"/>
      <w:sz w:val="28"/>
      <w:szCs w:val="22"/>
    </w:rPr>
  </w:style>
  <w:style w:type="paragraph" w:customStyle="1" w:styleId="ResumeHeading">
    <w:name w:val="Resume Heading"/>
    <w:basedOn w:val="Normal"/>
    <w:next w:val="Normal"/>
    <w:uiPriority w:val="99"/>
    <w:rsid w:val="006E2DF5"/>
    <w:pPr>
      <w:spacing w:before="240"/>
    </w:pPr>
    <w:rPr>
      <w:rFonts w:ascii="Tahoma" w:hAnsi="Tahoma"/>
      <w:b/>
      <w:smallCaps/>
      <w:sz w:val="28"/>
    </w:rPr>
  </w:style>
  <w:style w:type="paragraph" w:customStyle="1" w:styleId="Bullets-Resume">
    <w:name w:val="Bullets - Resume"/>
    <w:basedOn w:val="Normal"/>
    <w:uiPriority w:val="99"/>
    <w:rsid w:val="006E2DF5"/>
    <w:pPr>
      <w:numPr>
        <w:numId w:val="5"/>
      </w:numPr>
      <w:spacing w:before="240"/>
    </w:pPr>
    <w:rPr>
      <w:rFonts w:ascii="Times New Roman" w:hAnsi="Times New Roman"/>
    </w:rPr>
  </w:style>
  <w:style w:type="paragraph" w:customStyle="1" w:styleId="TOCtitle0">
    <w:name w:val="TOC title"/>
    <w:basedOn w:val="Normal"/>
    <w:next w:val="Normal"/>
    <w:uiPriority w:val="99"/>
    <w:rsid w:val="006E2DF5"/>
    <w:pPr>
      <w:spacing w:before="240" w:after="240"/>
      <w:jc w:val="center"/>
    </w:pPr>
    <w:rPr>
      <w:rFonts w:ascii="Tahoma" w:hAnsi="Tahoma"/>
      <w:b/>
      <w:smallCaps/>
      <w:sz w:val="36"/>
      <w:szCs w:val="28"/>
    </w:rPr>
  </w:style>
  <w:style w:type="paragraph" w:customStyle="1" w:styleId="Tabletext">
    <w:name w:val="Table text"/>
    <w:basedOn w:val="Normal"/>
    <w:uiPriority w:val="99"/>
    <w:rsid w:val="006E2DF5"/>
    <w:pPr>
      <w:spacing w:before="60"/>
    </w:pPr>
    <w:rPr>
      <w:rFonts w:ascii="Times New Roman" w:hAnsi="Times New Roman"/>
    </w:rPr>
  </w:style>
  <w:style w:type="paragraph" w:customStyle="1" w:styleId="ReportTitle">
    <w:name w:val="Report Title"/>
    <w:basedOn w:val="Normal"/>
    <w:uiPriority w:val="99"/>
    <w:rsid w:val="006E2DF5"/>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6E2DF5"/>
    <w:pPr>
      <w:tabs>
        <w:tab w:val="left" w:pos="1080"/>
      </w:tabs>
      <w:spacing w:line="25" w:lineRule="atLeast"/>
    </w:pPr>
    <w:rPr>
      <w:rFonts w:ascii="Tahoma" w:hAnsi="Tahoma" w:cs="Times New Roman"/>
      <w:bCs w:val="0"/>
      <w:i/>
      <w:iCs w:val="0"/>
      <w:sz w:val="36"/>
      <w:szCs w:val="36"/>
    </w:rPr>
  </w:style>
  <w:style w:type="paragraph" w:customStyle="1" w:styleId="note">
    <w:name w:val="note"/>
    <w:basedOn w:val="Normal"/>
    <w:uiPriority w:val="99"/>
    <w:rsid w:val="006E2DF5"/>
    <w:pPr>
      <w:ind w:left="187"/>
    </w:pPr>
    <w:rPr>
      <w:rFonts w:ascii="Times New Roman" w:hAnsi="Times New Roman"/>
      <w:i/>
    </w:rPr>
  </w:style>
  <w:style w:type="paragraph" w:customStyle="1" w:styleId="Bullets-Short">
    <w:name w:val="Bullets -  Short"/>
    <w:basedOn w:val="Normal"/>
    <w:autoRedefine/>
    <w:uiPriority w:val="99"/>
    <w:rsid w:val="006E2DF5"/>
    <w:pPr>
      <w:tabs>
        <w:tab w:val="num" w:pos="1080"/>
      </w:tabs>
      <w:spacing w:before="120"/>
      <w:ind w:left="720"/>
    </w:pPr>
    <w:rPr>
      <w:rFonts w:ascii="Times New Roman" w:hAnsi="Times New Roman"/>
    </w:rPr>
  </w:style>
  <w:style w:type="paragraph" w:customStyle="1" w:styleId="Tableheading">
    <w:name w:val="Table heading"/>
    <w:basedOn w:val="Normal"/>
    <w:uiPriority w:val="99"/>
    <w:rsid w:val="006E2DF5"/>
    <w:pPr>
      <w:spacing w:before="240" w:after="60"/>
      <w:jc w:val="center"/>
    </w:pPr>
    <w:rPr>
      <w:rFonts w:ascii="Times New Roman" w:hAnsi="Times New Roman"/>
      <w:b/>
    </w:rPr>
  </w:style>
  <w:style w:type="paragraph" w:customStyle="1" w:styleId="Figure">
    <w:name w:val="Figure"/>
    <w:basedOn w:val="Normal"/>
    <w:uiPriority w:val="99"/>
    <w:rsid w:val="006E2DF5"/>
    <w:rPr>
      <w:rFonts w:ascii="Times New Roman" w:hAnsi="Times New Roman"/>
    </w:rPr>
  </w:style>
  <w:style w:type="paragraph" w:customStyle="1" w:styleId="Bullets">
    <w:name w:val="Bullets"/>
    <w:basedOn w:val="Normal"/>
    <w:uiPriority w:val="99"/>
    <w:rsid w:val="006E2DF5"/>
    <w:pPr>
      <w:numPr>
        <w:numId w:val="4"/>
      </w:numPr>
      <w:tabs>
        <w:tab w:val="left" w:pos="720"/>
      </w:tabs>
      <w:spacing w:before="240"/>
    </w:pPr>
    <w:rPr>
      <w:rFonts w:ascii="Times New Roman" w:hAnsi="Times New Roman"/>
    </w:rPr>
  </w:style>
  <w:style w:type="paragraph" w:styleId="ListBullet">
    <w:name w:val="List Bullet"/>
    <w:basedOn w:val="BodyText"/>
    <w:unhideWhenUsed/>
    <w:qFormat/>
    <w:rsid w:val="005E5B4A"/>
    <w:pPr>
      <w:numPr>
        <w:numId w:val="17"/>
      </w:numPr>
      <w:spacing w:after="120"/>
    </w:pPr>
  </w:style>
  <w:style w:type="paragraph" w:customStyle="1" w:styleId="ReportSubtitle">
    <w:name w:val="Report Subtitle"/>
    <w:basedOn w:val="Normal"/>
    <w:uiPriority w:val="99"/>
    <w:rsid w:val="006E2DF5"/>
    <w:pPr>
      <w:spacing w:before="240"/>
      <w:jc w:val="right"/>
    </w:pPr>
    <w:rPr>
      <w:rFonts w:ascii="Tahoma" w:hAnsi="Tahoma" w:cs="Tahoma"/>
      <w:b/>
      <w:sz w:val="40"/>
      <w:szCs w:val="40"/>
    </w:rPr>
  </w:style>
  <w:style w:type="paragraph" w:customStyle="1" w:styleId="StyleTOC2Left01">
    <w:name w:val="Style TOC 2 + Left:  0&quot;1"/>
    <w:basedOn w:val="TOC2"/>
    <w:uiPriority w:val="99"/>
    <w:rsid w:val="006E2DF5"/>
    <w:pPr>
      <w:tabs>
        <w:tab w:val="clear" w:pos="1080"/>
        <w:tab w:val="clear" w:pos="9346"/>
        <w:tab w:val="left" w:pos="1440"/>
        <w:tab w:val="center" w:leader="dot" w:pos="9360"/>
      </w:tabs>
      <w:ind w:left="0" w:firstLine="0"/>
    </w:pPr>
    <w:rPr>
      <w:rFonts w:ascii="Tahoma" w:hAnsi="Tahoma"/>
      <w:noProof w:val="0"/>
    </w:rPr>
  </w:style>
  <w:style w:type="paragraph" w:customStyle="1" w:styleId="Contactinfo">
    <w:name w:val="Contact info"/>
    <w:basedOn w:val="Normal"/>
    <w:uiPriority w:val="99"/>
    <w:rsid w:val="006E2DF5"/>
  </w:style>
  <w:style w:type="paragraph" w:customStyle="1" w:styleId="AppendixTitle">
    <w:name w:val="Appendix Title"/>
    <w:basedOn w:val="Normal"/>
    <w:uiPriority w:val="99"/>
    <w:rsid w:val="006E2DF5"/>
    <w:pPr>
      <w:pageBreakBefore/>
      <w:spacing w:before="1680"/>
      <w:jc w:val="center"/>
    </w:pPr>
    <w:rPr>
      <w:rFonts w:ascii="Tahoma" w:hAnsi="Tahoma"/>
      <w:b/>
      <w:smallCaps/>
      <w:sz w:val="36"/>
    </w:rPr>
  </w:style>
  <w:style w:type="paragraph" w:customStyle="1" w:styleId="Source">
    <w:name w:val="Source"/>
    <w:basedOn w:val="Normal"/>
    <w:next w:val="Normal"/>
    <w:link w:val="SourceChar"/>
    <w:rsid w:val="00440FBF"/>
    <w:rPr>
      <w:i/>
      <w:color w:val="000000" w:themeColor="text1"/>
      <w:sz w:val="16"/>
    </w:rPr>
  </w:style>
  <w:style w:type="paragraph" w:customStyle="1" w:styleId="Drafttitle">
    <w:name w:val="Draft title"/>
    <w:basedOn w:val="Normal"/>
    <w:uiPriority w:val="99"/>
    <w:rsid w:val="006E2DF5"/>
    <w:pPr>
      <w:spacing w:before="240"/>
    </w:pPr>
    <w:rPr>
      <w:rFonts w:ascii="Tahoma" w:hAnsi="Tahoma"/>
      <w:color w:val="FFFFFF"/>
      <w:sz w:val="36"/>
    </w:rPr>
  </w:style>
  <w:style w:type="paragraph" w:customStyle="1" w:styleId="Bullets-Short0">
    <w:name w:val="Bullets - Short"/>
    <w:basedOn w:val="Bullets"/>
    <w:uiPriority w:val="99"/>
    <w:rsid w:val="006E2DF5"/>
    <w:pPr>
      <w:numPr>
        <w:numId w:val="0"/>
      </w:numPr>
      <w:tabs>
        <w:tab w:val="num" w:pos="720"/>
      </w:tabs>
      <w:spacing w:before="120"/>
      <w:ind w:left="720" w:hanging="360"/>
    </w:pPr>
  </w:style>
  <w:style w:type="paragraph" w:customStyle="1" w:styleId="Bullets-Long">
    <w:name w:val="Bullets - Long"/>
    <w:basedOn w:val="Normal"/>
    <w:autoRedefine/>
    <w:uiPriority w:val="99"/>
    <w:rsid w:val="006E2DF5"/>
    <w:pPr>
      <w:numPr>
        <w:numId w:val="13"/>
      </w:numPr>
    </w:pPr>
    <w:rPr>
      <w:iCs/>
    </w:rPr>
  </w:style>
  <w:style w:type="paragraph" w:customStyle="1" w:styleId="Bullets-Square">
    <w:name w:val="Bullets - Square"/>
    <w:basedOn w:val="Normal"/>
    <w:uiPriority w:val="99"/>
    <w:rsid w:val="006E2DF5"/>
    <w:pPr>
      <w:numPr>
        <w:numId w:val="7"/>
      </w:numPr>
      <w:tabs>
        <w:tab w:val="left" w:pos="720"/>
      </w:tabs>
      <w:spacing w:before="240"/>
    </w:pPr>
    <w:rPr>
      <w:rFonts w:ascii="Times New Roman" w:hAnsi="Times New Roman"/>
    </w:rPr>
  </w:style>
  <w:style w:type="paragraph" w:customStyle="1" w:styleId="ESHeading3">
    <w:name w:val="ES Heading 3"/>
    <w:basedOn w:val="Heading3"/>
    <w:next w:val="Normal"/>
    <w:rsid w:val="006E2DF5"/>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6E2DF5"/>
    <w:pPr>
      <w:spacing w:before="240"/>
    </w:pPr>
    <w:rPr>
      <w:rFonts w:ascii="Times New Roman" w:hAnsi="Times New Roman"/>
      <w:bCs/>
    </w:rPr>
  </w:style>
  <w:style w:type="table" w:styleId="TableGrid1">
    <w:name w:val="Table Grid 1"/>
    <w:basedOn w:val="TableNormal"/>
    <w:uiPriority w:val="99"/>
    <w:rsid w:val="006E2DF5"/>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6E2DF5"/>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6E2DF5"/>
    <w:pPr>
      <w:keepNext/>
      <w:pageBreakBefore/>
      <w:numPr>
        <w:numId w:val="8"/>
      </w:numPr>
      <w:spacing w:before="240" w:after="240"/>
    </w:pPr>
    <w:rPr>
      <w:rFonts w:ascii="Tahoma" w:hAnsi="Tahoma"/>
      <w:b/>
      <w:bCs/>
      <w:smallCaps/>
      <w:sz w:val="40"/>
      <w:szCs w:val="40"/>
    </w:rPr>
  </w:style>
  <w:style w:type="paragraph" w:customStyle="1" w:styleId="ResumeBullets">
    <w:name w:val="Resume Bullets"/>
    <w:basedOn w:val="Normal"/>
    <w:uiPriority w:val="99"/>
    <w:rsid w:val="006E2DF5"/>
    <w:pPr>
      <w:numPr>
        <w:numId w:val="10"/>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6E2DF5"/>
    <w:pPr>
      <w:tabs>
        <w:tab w:val="num" w:pos="1080"/>
      </w:tabs>
      <w:spacing w:line="25" w:lineRule="atLeast"/>
      <w:ind w:left="1080" w:hanging="1080"/>
    </w:pPr>
    <w:rPr>
      <w:sz w:val="32"/>
      <w:szCs w:val="28"/>
    </w:rPr>
  </w:style>
  <w:style w:type="paragraph" w:styleId="ListParagraph">
    <w:name w:val="List Paragraph"/>
    <w:basedOn w:val="BodyText"/>
    <w:link w:val="ListParagraphChar"/>
    <w:uiPriority w:val="34"/>
    <w:qFormat/>
    <w:rsid w:val="005E5B4A"/>
    <w:pPr>
      <w:spacing w:before="120" w:after="120"/>
      <w:ind w:left="720"/>
    </w:pPr>
  </w:style>
  <w:style w:type="paragraph" w:customStyle="1" w:styleId="GraphFootnote">
    <w:name w:val="Graph Footnote"/>
    <w:basedOn w:val="Normal"/>
    <w:next w:val="Normal"/>
    <w:uiPriority w:val="99"/>
    <w:rsid w:val="006E2DF5"/>
    <w:rPr>
      <w:rFonts w:ascii="Arial Narrow" w:hAnsi="Arial Narrow"/>
      <w:sz w:val="18"/>
    </w:rPr>
  </w:style>
  <w:style w:type="paragraph" w:customStyle="1" w:styleId="Question">
    <w:name w:val="Question"/>
    <w:basedOn w:val="Normal"/>
    <w:next w:val="Normal"/>
    <w:link w:val="QuestionChar"/>
    <w:rsid w:val="006E2DF5"/>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6E2DF5"/>
    <w:pPr>
      <w:spacing w:before="240"/>
    </w:pPr>
    <w:rPr>
      <w:rFonts w:ascii="Times New Roman" w:hAnsi="Times New Roman"/>
    </w:rPr>
  </w:style>
  <w:style w:type="paragraph" w:customStyle="1" w:styleId="Answer">
    <w:name w:val="Answer"/>
    <w:basedOn w:val="Normal"/>
    <w:uiPriority w:val="99"/>
    <w:rsid w:val="006E2DF5"/>
    <w:pPr>
      <w:spacing w:before="240"/>
      <w:ind w:left="432"/>
    </w:pPr>
    <w:rPr>
      <w:rFonts w:ascii="Times New Roman" w:hAnsi="Times New Roman"/>
    </w:rPr>
  </w:style>
  <w:style w:type="paragraph" w:customStyle="1" w:styleId="AnswerNumbered">
    <w:name w:val="Answer Numbered"/>
    <w:basedOn w:val="Answer"/>
    <w:uiPriority w:val="99"/>
    <w:rsid w:val="006E2DF5"/>
    <w:pPr>
      <w:numPr>
        <w:numId w:val="3"/>
      </w:numPr>
      <w:spacing w:before="0"/>
    </w:pPr>
  </w:style>
  <w:style w:type="paragraph" w:styleId="DocumentMap">
    <w:name w:val="Document Map"/>
    <w:basedOn w:val="Normal"/>
    <w:link w:val="DocumentMapChar"/>
    <w:unhideWhenUsed/>
    <w:rsid w:val="005E5B4A"/>
    <w:rPr>
      <w:rFonts w:ascii="Segoe UI" w:hAnsi="Segoe UI" w:cs="Segoe UI"/>
      <w:sz w:val="16"/>
      <w:szCs w:val="16"/>
    </w:rPr>
  </w:style>
  <w:style w:type="character" w:customStyle="1" w:styleId="DocumentMapChar">
    <w:name w:val="Document Map Char"/>
    <w:basedOn w:val="DefaultParagraphFont"/>
    <w:link w:val="DocumentMap"/>
    <w:locked/>
    <w:rsid w:val="005E5B4A"/>
    <w:rPr>
      <w:rFonts w:ascii="Segoe UI" w:hAnsi="Segoe UI" w:cs="Segoe UI"/>
      <w:sz w:val="16"/>
      <w:szCs w:val="16"/>
    </w:rPr>
  </w:style>
  <w:style w:type="character" w:customStyle="1" w:styleId="CaptionChar">
    <w:name w:val="Caption Char"/>
    <w:aliases w:val="Table/Figure Caption Char"/>
    <w:link w:val="Caption"/>
    <w:rsid w:val="005E5B4A"/>
    <w:rPr>
      <w:rFonts w:ascii="Arial Bold" w:hAnsi="Arial Bold" w:cs="Arial"/>
      <w:b/>
      <w:bCs/>
      <w:sz w:val="22"/>
    </w:rPr>
  </w:style>
  <w:style w:type="paragraph" w:customStyle="1" w:styleId="Bullets-SingleSpace">
    <w:name w:val="Bullets - Single Space"/>
    <w:basedOn w:val="Bullets"/>
    <w:uiPriority w:val="99"/>
    <w:rsid w:val="006E2DF5"/>
    <w:pPr>
      <w:numPr>
        <w:numId w:val="6"/>
      </w:numPr>
      <w:tabs>
        <w:tab w:val="clear" w:pos="720"/>
      </w:tabs>
      <w:spacing w:before="0"/>
    </w:pPr>
  </w:style>
  <w:style w:type="paragraph" w:styleId="EndnoteText">
    <w:name w:val="endnote text"/>
    <w:basedOn w:val="Normal"/>
    <w:link w:val="EndnoteTextChar"/>
    <w:rsid w:val="005E5B4A"/>
  </w:style>
  <w:style w:type="character" w:customStyle="1" w:styleId="EndnoteTextChar">
    <w:name w:val="Endnote Text Char"/>
    <w:link w:val="EndnoteText"/>
    <w:locked/>
    <w:rsid w:val="005E5B4A"/>
    <w:rPr>
      <w:rFonts w:ascii="Arial" w:hAnsi="Arial"/>
      <w:sz w:val="22"/>
    </w:rPr>
  </w:style>
  <w:style w:type="character" w:styleId="EndnoteReference">
    <w:name w:val="endnote reference"/>
    <w:rsid w:val="005E5B4A"/>
    <w:rPr>
      <w:rFonts w:ascii="Arial" w:hAnsi="Arial"/>
      <w:color w:val="555759"/>
      <w:vertAlign w:val="superscript"/>
    </w:rPr>
  </w:style>
  <w:style w:type="character" w:styleId="CommentReference">
    <w:name w:val="annotation reference"/>
    <w:basedOn w:val="DefaultParagraphFont"/>
    <w:unhideWhenUsed/>
    <w:rsid w:val="005E5B4A"/>
    <w:rPr>
      <w:sz w:val="16"/>
      <w:szCs w:val="16"/>
    </w:rPr>
  </w:style>
  <w:style w:type="paragraph" w:styleId="CommentSubject">
    <w:name w:val="annotation subject"/>
    <w:basedOn w:val="CommentText"/>
    <w:next w:val="CommentText"/>
    <w:link w:val="CommentSubjectChar"/>
    <w:unhideWhenUsed/>
    <w:rsid w:val="005E5B4A"/>
    <w:rPr>
      <w:b/>
      <w:bCs/>
    </w:rPr>
  </w:style>
  <w:style w:type="character" w:customStyle="1" w:styleId="CommentSubjectChar">
    <w:name w:val="Comment Subject Char"/>
    <w:basedOn w:val="CommentTextChar"/>
    <w:link w:val="CommentSubject"/>
    <w:locked/>
    <w:rsid w:val="005E5B4A"/>
    <w:rPr>
      <w:rFonts w:ascii="Arial" w:hAnsi="Arial"/>
      <w:b/>
      <w:bCs/>
      <w:sz w:val="18"/>
    </w:rPr>
  </w:style>
  <w:style w:type="paragraph" w:customStyle="1" w:styleId="MTDisplayEquation">
    <w:name w:val="MTDisplayEquation"/>
    <w:basedOn w:val="Normal"/>
    <w:uiPriority w:val="99"/>
    <w:rsid w:val="006E2DF5"/>
    <w:pPr>
      <w:spacing w:before="240"/>
      <w:ind w:left="60"/>
    </w:pPr>
    <w:rPr>
      <w:rFonts w:ascii="Times New Roman" w:hAnsi="Times New Roman"/>
    </w:rPr>
  </w:style>
  <w:style w:type="paragraph" w:customStyle="1" w:styleId="Bullet1">
    <w:name w:val="Bullet 1"/>
    <w:basedOn w:val="Normal"/>
    <w:next w:val="BodyText"/>
    <w:uiPriority w:val="99"/>
    <w:rsid w:val="006E2DF5"/>
    <w:pPr>
      <w:tabs>
        <w:tab w:val="num" w:pos="0"/>
      </w:tabs>
      <w:spacing w:after="120"/>
      <w:jc w:val="both"/>
    </w:pPr>
    <w:rPr>
      <w:rFonts w:ascii="Franklin Gothic Book" w:hAnsi="Franklin Gothic Book"/>
      <w:sz w:val="24"/>
    </w:rPr>
  </w:style>
  <w:style w:type="paragraph" w:customStyle="1" w:styleId="Bullet2">
    <w:name w:val="Bullet 2"/>
    <w:basedOn w:val="Normal"/>
    <w:next w:val="BodyText"/>
    <w:uiPriority w:val="99"/>
    <w:rsid w:val="006E2DF5"/>
    <w:pPr>
      <w:tabs>
        <w:tab w:val="num" w:pos="720"/>
      </w:tabs>
      <w:spacing w:after="120"/>
      <w:ind w:left="720" w:hanging="360"/>
      <w:jc w:val="both"/>
    </w:pPr>
    <w:rPr>
      <w:rFonts w:ascii="Franklin Gothic Book" w:hAnsi="Franklin Gothic Book"/>
      <w:sz w:val="24"/>
    </w:rPr>
  </w:style>
  <w:style w:type="table" w:styleId="LightShading-Accent5">
    <w:name w:val="Light Shading Accent 5"/>
    <w:basedOn w:val="TableNormal"/>
    <w:uiPriority w:val="99"/>
    <w:rsid w:val="006E2DF5"/>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6E2DF5"/>
    <w:rPr>
      <w:rFonts w:cs="Times New Roman"/>
    </w:rPr>
  </w:style>
  <w:style w:type="paragraph" w:styleId="TOCHeading">
    <w:name w:val="TOC Heading"/>
    <w:aliases w:val="TOC Heading (Not in TOC)"/>
    <w:basedOn w:val="Heading1"/>
    <w:next w:val="BodyText"/>
    <w:link w:val="TOCHeadingChar"/>
    <w:uiPriority w:val="39"/>
    <w:unhideWhenUsed/>
    <w:qFormat/>
    <w:rsid w:val="005E5B4A"/>
    <w:pPr>
      <w:keepLines w:val="0"/>
      <w:pageBreakBefore w:val="0"/>
      <w:numPr>
        <w:numId w:val="0"/>
      </w:numPr>
      <w:outlineLvl w:val="9"/>
    </w:pPr>
    <w:rPr>
      <w:rFonts w:eastAsia="Calibri" w:cs="Times New Roman"/>
      <w:bCs w:val="0"/>
      <w:kern w:val="0"/>
      <w:position w:val="0"/>
      <w:szCs w:val="22"/>
    </w:rPr>
  </w:style>
  <w:style w:type="paragraph" w:customStyle="1" w:styleId="Bullets-Long2ndlevel">
    <w:name w:val="Bullets - Long 2nd level"/>
    <w:basedOn w:val="Bullets-Long"/>
    <w:uiPriority w:val="99"/>
    <w:rsid w:val="006E2DF5"/>
    <w:pPr>
      <w:tabs>
        <w:tab w:val="num" w:pos="1080"/>
      </w:tabs>
      <w:ind w:left="1080"/>
    </w:pPr>
  </w:style>
  <w:style w:type="paragraph" w:styleId="Quote">
    <w:name w:val="Quote"/>
    <w:basedOn w:val="Normal"/>
    <w:next w:val="Normal"/>
    <w:link w:val="QuoteChar"/>
    <w:uiPriority w:val="29"/>
    <w:rsid w:val="005E5B4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locked/>
    <w:rsid w:val="005E5B4A"/>
    <w:rPr>
      <w:rFonts w:ascii="Arial" w:hAnsi="Arial"/>
      <w:i/>
      <w:iCs/>
      <w:color w:val="404040" w:themeColor="text1" w:themeTint="BF"/>
      <w:sz w:val="22"/>
    </w:rPr>
  </w:style>
  <w:style w:type="paragraph" w:styleId="Revision">
    <w:name w:val="Revision"/>
    <w:hidden/>
    <w:uiPriority w:val="99"/>
    <w:semiHidden/>
    <w:rsid w:val="005E5B4A"/>
    <w:rPr>
      <w:rFonts w:ascii="Palatino Linotype" w:hAnsi="Palatino Linotype"/>
      <w:szCs w:val="24"/>
    </w:rPr>
  </w:style>
  <w:style w:type="character" w:styleId="BookTitle">
    <w:name w:val="Book Title"/>
    <w:uiPriority w:val="33"/>
    <w:rsid w:val="006E2DF5"/>
    <w:rPr>
      <w:rFonts w:cs="Times New Roman"/>
      <w:b/>
      <w:bCs/>
      <w:smallCaps/>
      <w:spacing w:val="5"/>
    </w:rPr>
  </w:style>
  <w:style w:type="character" w:customStyle="1" w:styleId="ListParagraphChar">
    <w:name w:val="List Paragraph Char"/>
    <w:link w:val="ListParagraph"/>
    <w:uiPriority w:val="34"/>
    <w:locked/>
    <w:rsid w:val="005E5B4A"/>
    <w:rPr>
      <w:rFonts w:ascii="Arial" w:hAnsi="Arial"/>
      <w:sz w:val="22"/>
    </w:rPr>
  </w:style>
  <w:style w:type="paragraph" w:customStyle="1" w:styleId="4thLevelHeadingStyle">
    <w:name w:val="4th Level Heading Style"/>
    <w:basedOn w:val="Normal"/>
    <w:link w:val="4thLevelHeadingStyleChar"/>
    <w:uiPriority w:val="99"/>
    <w:rsid w:val="006E2DF5"/>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6E2DF5"/>
    <w:rPr>
      <w:rFonts w:ascii="Arial" w:hAnsi="Arial"/>
      <w:b/>
      <w:sz w:val="22"/>
      <w:szCs w:val="24"/>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6E2DF5"/>
  </w:style>
  <w:style w:type="paragraph" w:customStyle="1" w:styleId="pJ">
    <w:name w:val="pJ"/>
    <w:next w:val="Normal4"/>
    <w:uiPriority w:val="99"/>
    <w:rsid w:val="006E2DF5"/>
    <w:pPr>
      <w:spacing w:after="130" w:line="320" w:lineRule="atLeast"/>
      <w:ind w:left="720" w:hanging="432"/>
      <w:jc w:val="both"/>
    </w:pPr>
    <w:rPr>
      <w:sz w:val="24"/>
      <w:szCs w:val="24"/>
    </w:rPr>
  </w:style>
  <w:style w:type="paragraph" w:customStyle="1" w:styleId="pN">
    <w:name w:val="pN"/>
    <w:basedOn w:val="pB"/>
    <w:next w:val="pA2"/>
    <w:uiPriority w:val="99"/>
    <w:rsid w:val="006E2DF5"/>
  </w:style>
  <w:style w:type="paragraph" w:customStyle="1" w:styleId="pB">
    <w:name w:val="pB"/>
    <w:basedOn w:val="Normal"/>
    <w:link w:val="pBChar"/>
    <w:rsid w:val="006E2DF5"/>
    <w:pPr>
      <w:ind w:right="288"/>
    </w:pPr>
    <w:rPr>
      <w:rFonts w:ascii="Times New Roman" w:hAnsi="Times New Roman"/>
    </w:rPr>
  </w:style>
  <w:style w:type="paragraph" w:customStyle="1" w:styleId="pF">
    <w:name w:val="pF"/>
    <w:uiPriority w:val="99"/>
    <w:rsid w:val="006E2DF5"/>
    <w:pPr>
      <w:spacing w:after="130" w:line="320" w:lineRule="atLeast"/>
      <w:ind w:left="720" w:hanging="432"/>
      <w:jc w:val="both"/>
    </w:pPr>
    <w:rPr>
      <w:sz w:val="24"/>
      <w:szCs w:val="24"/>
    </w:rPr>
  </w:style>
  <w:style w:type="paragraph" w:customStyle="1" w:styleId="pS">
    <w:name w:val="pS"/>
    <w:uiPriority w:val="99"/>
    <w:rsid w:val="006E2DF5"/>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6E2DF5"/>
    <w:pPr>
      <w:tabs>
        <w:tab w:val="left" w:pos="1152"/>
      </w:tabs>
      <w:spacing w:before="60" w:line="280" w:lineRule="atLeast"/>
      <w:ind w:left="1152" w:right="288"/>
    </w:pPr>
  </w:style>
  <w:style w:type="paragraph" w:customStyle="1" w:styleId="pE">
    <w:name w:val="pE"/>
    <w:basedOn w:val="pD"/>
    <w:uiPriority w:val="99"/>
    <w:rsid w:val="006E2DF5"/>
  </w:style>
  <w:style w:type="paragraph" w:styleId="Index3">
    <w:name w:val="index 3"/>
    <w:basedOn w:val="Normal"/>
    <w:next w:val="Normal"/>
    <w:autoRedefine/>
    <w:unhideWhenUsed/>
    <w:locked/>
    <w:rsid w:val="005E5B4A"/>
    <w:pPr>
      <w:ind w:left="600" w:hanging="200"/>
    </w:pPr>
  </w:style>
  <w:style w:type="paragraph" w:styleId="Index4">
    <w:name w:val="index 4"/>
    <w:basedOn w:val="Normal"/>
    <w:next w:val="Normal"/>
    <w:autoRedefine/>
    <w:unhideWhenUsed/>
    <w:locked/>
    <w:rsid w:val="005E5B4A"/>
    <w:pPr>
      <w:ind w:left="800" w:hanging="200"/>
    </w:pPr>
  </w:style>
  <w:style w:type="paragraph" w:styleId="Index5">
    <w:name w:val="index 5"/>
    <w:basedOn w:val="Normal"/>
    <w:next w:val="Normal"/>
    <w:autoRedefine/>
    <w:unhideWhenUsed/>
    <w:locked/>
    <w:rsid w:val="005E5B4A"/>
    <w:pPr>
      <w:ind w:left="1000" w:hanging="200"/>
    </w:pPr>
  </w:style>
  <w:style w:type="paragraph" w:styleId="Index7">
    <w:name w:val="index 7"/>
    <w:basedOn w:val="Normal"/>
    <w:next w:val="Normal"/>
    <w:autoRedefine/>
    <w:unhideWhenUsed/>
    <w:locked/>
    <w:rsid w:val="005E5B4A"/>
    <w:pPr>
      <w:ind w:left="1400" w:hanging="200"/>
    </w:pPr>
  </w:style>
  <w:style w:type="paragraph" w:customStyle="1" w:styleId="p1">
    <w:name w:val="p1"/>
    <w:basedOn w:val="pF"/>
    <w:uiPriority w:val="99"/>
    <w:rsid w:val="006E2DF5"/>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6E2DF5"/>
    <w:rPr>
      <w:rFonts w:ascii="Arial" w:hAnsi="Arial" w:cs="Arial"/>
      <w:b/>
      <w:bCs/>
      <w:sz w:val="28"/>
      <w:szCs w:val="28"/>
    </w:rPr>
  </w:style>
  <w:style w:type="paragraph" w:customStyle="1" w:styleId="p3">
    <w:name w:val="p3"/>
    <w:basedOn w:val="p2"/>
    <w:uiPriority w:val="99"/>
    <w:rsid w:val="006E2DF5"/>
    <w:rPr>
      <w:i/>
      <w:iCs/>
      <w:sz w:val="24"/>
      <w:szCs w:val="24"/>
    </w:rPr>
  </w:style>
  <w:style w:type="paragraph" w:customStyle="1" w:styleId="pA">
    <w:name w:val="pA"/>
    <w:uiPriority w:val="99"/>
    <w:rsid w:val="006E2DF5"/>
    <w:pPr>
      <w:spacing w:after="130" w:line="130" w:lineRule="exact"/>
      <w:ind w:left="720" w:hanging="432"/>
      <w:jc w:val="both"/>
    </w:pPr>
    <w:rPr>
      <w:sz w:val="24"/>
      <w:szCs w:val="24"/>
    </w:rPr>
  </w:style>
  <w:style w:type="paragraph" w:customStyle="1" w:styleId="pG">
    <w:name w:val="pG"/>
    <w:basedOn w:val="p2"/>
    <w:uiPriority w:val="99"/>
    <w:rsid w:val="006E2DF5"/>
    <w:pPr>
      <w:keepNext/>
    </w:pPr>
    <w:rPr>
      <w:sz w:val="24"/>
      <w:szCs w:val="24"/>
    </w:rPr>
  </w:style>
  <w:style w:type="paragraph" w:customStyle="1" w:styleId="pT">
    <w:name w:val="pT"/>
    <w:basedOn w:val="p2"/>
    <w:uiPriority w:val="99"/>
    <w:rsid w:val="006E2DF5"/>
    <w:pPr>
      <w:keepNext/>
    </w:pPr>
    <w:rPr>
      <w:sz w:val="24"/>
      <w:szCs w:val="24"/>
    </w:rPr>
  </w:style>
  <w:style w:type="paragraph" w:customStyle="1" w:styleId="pX">
    <w:name w:val="pX"/>
    <w:basedOn w:val="pF"/>
    <w:uiPriority w:val="99"/>
    <w:rsid w:val="006E2DF5"/>
    <w:pPr>
      <w:spacing w:line="240" w:lineRule="atLeast"/>
    </w:pPr>
  </w:style>
  <w:style w:type="paragraph" w:customStyle="1" w:styleId="TitlePage">
    <w:name w:val="Title Page"/>
    <w:basedOn w:val="p1"/>
    <w:uiPriority w:val="99"/>
    <w:rsid w:val="006E2DF5"/>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5E5B4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customStyle="1" w:styleId="Normal3">
    <w:name w:val="Normal3"/>
    <w:basedOn w:val="Normal"/>
    <w:next w:val="pF"/>
    <w:uiPriority w:val="99"/>
    <w:rsid w:val="006E2DF5"/>
    <w:rPr>
      <w:rFonts w:ascii="Times New Roman" w:hAnsi="Times New Roman"/>
    </w:rPr>
  </w:style>
  <w:style w:type="paragraph" w:customStyle="1" w:styleId="Large">
    <w:name w:val="Large"/>
    <w:basedOn w:val="pF"/>
    <w:next w:val="pF"/>
    <w:uiPriority w:val="99"/>
    <w:rsid w:val="006E2DF5"/>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6E2DF5"/>
    <w:rPr>
      <w:rFonts w:ascii="Times New Roman" w:hAnsi="Times New Roman"/>
    </w:rPr>
  </w:style>
  <w:style w:type="paragraph" w:customStyle="1" w:styleId="pA2">
    <w:name w:val="pA2"/>
    <w:basedOn w:val="pA"/>
    <w:next w:val="pA"/>
    <w:uiPriority w:val="99"/>
    <w:rsid w:val="006E2DF5"/>
  </w:style>
  <w:style w:type="paragraph" w:customStyle="1" w:styleId="pA3">
    <w:name w:val="pA3"/>
    <w:basedOn w:val="pA"/>
    <w:next w:val="pB"/>
    <w:uiPriority w:val="99"/>
    <w:rsid w:val="006E2DF5"/>
  </w:style>
  <w:style w:type="paragraph" w:customStyle="1" w:styleId="Normal4">
    <w:name w:val="Normal4"/>
    <w:basedOn w:val="Normal"/>
    <w:next w:val="pJ"/>
    <w:uiPriority w:val="99"/>
    <w:rsid w:val="006E2DF5"/>
    <w:pPr>
      <w:tabs>
        <w:tab w:val="left" w:pos="6210"/>
      </w:tabs>
    </w:pPr>
    <w:rPr>
      <w:rFonts w:ascii="Times New Roman" w:hAnsi="Times New Roman"/>
    </w:rPr>
  </w:style>
  <w:style w:type="paragraph" w:customStyle="1" w:styleId="resumeparagraph">
    <w:name w:val="resume paragraph"/>
    <w:uiPriority w:val="99"/>
    <w:rsid w:val="006E2DF5"/>
    <w:pPr>
      <w:spacing w:before="100" w:after="130" w:line="240" w:lineRule="exact"/>
      <w:ind w:left="720" w:hanging="288"/>
      <w:jc w:val="both"/>
    </w:pPr>
    <w:rPr>
      <w:sz w:val="24"/>
      <w:szCs w:val="24"/>
    </w:rPr>
  </w:style>
  <w:style w:type="paragraph" w:customStyle="1" w:styleId="Headline">
    <w:name w:val="Headline"/>
    <w:basedOn w:val="Normal"/>
    <w:uiPriority w:val="99"/>
    <w:rsid w:val="006E2DF5"/>
    <w:rPr>
      <w:rFonts w:ascii="Times New Roman" w:hAnsi="Times New Roman"/>
      <w:b/>
      <w:bCs/>
      <w:sz w:val="36"/>
      <w:szCs w:val="36"/>
    </w:rPr>
  </w:style>
  <w:style w:type="paragraph" w:customStyle="1" w:styleId="projtitle">
    <w:name w:val="projtitle"/>
    <w:basedOn w:val="Normal"/>
    <w:next w:val="For"/>
    <w:uiPriority w:val="99"/>
    <w:rsid w:val="006E2DF5"/>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6E2DF5"/>
    <w:pPr>
      <w:tabs>
        <w:tab w:val="left" w:pos="-1170"/>
      </w:tabs>
      <w:spacing w:after="240"/>
    </w:pPr>
  </w:style>
  <w:style w:type="paragraph" w:customStyle="1" w:styleId="For">
    <w:name w:val="For"/>
    <w:basedOn w:val="Normal"/>
    <w:next w:val="Contact"/>
    <w:uiPriority w:val="99"/>
    <w:rsid w:val="006E2DF5"/>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6E2DF5"/>
    <w:pPr>
      <w:keepNext/>
      <w:keepLines/>
      <w:spacing w:line="280" w:lineRule="exact"/>
      <w:ind w:left="1152" w:right="288"/>
    </w:pPr>
    <w:rPr>
      <w:rFonts w:ascii="Times New Roman" w:hAnsi="Times New Roman"/>
    </w:rPr>
  </w:style>
  <w:style w:type="paragraph" w:customStyle="1" w:styleId="pmi">
    <w:name w:val="pmi"/>
    <w:basedOn w:val="Normal"/>
    <w:uiPriority w:val="99"/>
    <w:rsid w:val="006E2DF5"/>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6E2DF5"/>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6E2DF5"/>
    <w:pPr>
      <w:ind w:hanging="720"/>
    </w:pPr>
  </w:style>
  <w:style w:type="paragraph" w:customStyle="1" w:styleId="Variabledefinition">
    <w:name w:val="Variable definition"/>
    <w:basedOn w:val="pD"/>
    <w:uiPriority w:val="99"/>
    <w:rsid w:val="006E2DF5"/>
  </w:style>
  <w:style w:type="paragraph" w:customStyle="1" w:styleId="tablefootnote">
    <w:name w:val="table footnote"/>
    <w:basedOn w:val="Normal2"/>
    <w:link w:val="tablefootnoteChar"/>
    <w:uiPriority w:val="99"/>
    <w:rsid w:val="006E2DF5"/>
  </w:style>
  <w:style w:type="paragraph" w:customStyle="1" w:styleId="WfxFaxNum">
    <w:name w:val="WfxFaxNum"/>
    <w:basedOn w:val="Normal"/>
    <w:uiPriority w:val="99"/>
    <w:rsid w:val="006E2DF5"/>
    <w:rPr>
      <w:rFonts w:ascii="Times New Roman" w:hAnsi="Times New Roman"/>
    </w:rPr>
  </w:style>
  <w:style w:type="paragraph" w:customStyle="1" w:styleId="WfxTime">
    <w:name w:val="WfxTime"/>
    <w:basedOn w:val="Normal"/>
    <w:uiPriority w:val="99"/>
    <w:rsid w:val="006E2DF5"/>
    <w:rPr>
      <w:rFonts w:ascii="Times New Roman" w:hAnsi="Times New Roman"/>
    </w:rPr>
  </w:style>
  <w:style w:type="paragraph" w:customStyle="1" w:styleId="WfxDate">
    <w:name w:val="WfxDate"/>
    <w:basedOn w:val="Normal"/>
    <w:uiPriority w:val="99"/>
    <w:rsid w:val="006E2DF5"/>
    <w:rPr>
      <w:rFonts w:ascii="Times New Roman" w:hAnsi="Times New Roman"/>
    </w:rPr>
  </w:style>
  <w:style w:type="paragraph" w:customStyle="1" w:styleId="WfxRecipient">
    <w:name w:val="WfxRecipient"/>
    <w:basedOn w:val="Normal"/>
    <w:uiPriority w:val="99"/>
    <w:rsid w:val="006E2DF5"/>
    <w:rPr>
      <w:rFonts w:ascii="Times New Roman" w:hAnsi="Times New Roman"/>
    </w:rPr>
  </w:style>
  <w:style w:type="paragraph" w:customStyle="1" w:styleId="WfxCompany">
    <w:name w:val="WfxCompany"/>
    <w:basedOn w:val="Normal"/>
    <w:uiPriority w:val="99"/>
    <w:rsid w:val="006E2DF5"/>
    <w:rPr>
      <w:rFonts w:ascii="Times New Roman" w:hAnsi="Times New Roman"/>
    </w:rPr>
  </w:style>
  <w:style w:type="paragraph" w:customStyle="1" w:styleId="WfxSubject">
    <w:name w:val="WfxSubject"/>
    <w:basedOn w:val="Normal"/>
    <w:uiPriority w:val="99"/>
    <w:rsid w:val="006E2DF5"/>
    <w:rPr>
      <w:rFonts w:ascii="Times New Roman" w:hAnsi="Times New Roman"/>
    </w:rPr>
  </w:style>
  <w:style w:type="paragraph" w:customStyle="1" w:styleId="WfxKeyword">
    <w:name w:val="WfxKeyword"/>
    <w:basedOn w:val="Normal"/>
    <w:uiPriority w:val="99"/>
    <w:rsid w:val="006E2DF5"/>
    <w:rPr>
      <w:rFonts w:ascii="Times New Roman" w:hAnsi="Times New Roman"/>
    </w:rPr>
  </w:style>
  <w:style w:type="paragraph" w:customStyle="1" w:styleId="WfxBillCode">
    <w:name w:val="WfxBillCode"/>
    <w:basedOn w:val="Normal"/>
    <w:uiPriority w:val="99"/>
    <w:rsid w:val="006E2DF5"/>
    <w:rPr>
      <w:rFonts w:ascii="Times New Roman" w:hAnsi="Times New Roman"/>
    </w:rPr>
  </w:style>
  <w:style w:type="paragraph" w:customStyle="1" w:styleId="pQ">
    <w:name w:val="pQ"/>
    <w:basedOn w:val="pS"/>
    <w:uiPriority w:val="99"/>
    <w:rsid w:val="006E2DF5"/>
  </w:style>
  <w:style w:type="character" w:customStyle="1" w:styleId="Normal2Char">
    <w:name w:val="Normal2 Char"/>
    <w:uiPriority w:val="99"/>
    <w:rsid w:val="006E2DF5"/>
    <w:rPr>
      <w:rFonts w:cs="Times New Roman"/>
      <w:sz w:val="24"/>
      <w:szCs w:val="24"/>
      <w:lang w:val="en-US" w:eastAsia="en-US" w:bidi="ar-SA"/>
    </w:rPr>
  </w:style>
  <w:style w:type="paragraph" w:customStyle="1" w:styleId="CEUSIndent5">
    <w:name w:val="CEUS_Indent5"/>
    <w:basedOn w:val="pE"/>
    <w:uiPriority w:val="99"/>
    <w:rsid w:val="006E2DF5"/>
  </w:style>
  <w:style w:type="paragraph" w:styleId="ListBullet2">
    <w:name w:val="List Bullet 2"/>
    <w:basedOn w:val="Normal"/>
    <w:unhideWhenUsed/>
    <w:locked/>
    <w:rsid w:val="005E5B4A"/>
    <w:pPr>
      <w:numPr>
        <w:numId w:val="18"/>
      </w:numPr>
      <w:contextualSpacing/>
    </w:pPr>
  </w:style>
  <w:style w:type="paragraph" w:customStyle="1" w:styleId="CoverTitle">
    <w:name w:val="CoverTitle"/>
    <w:basedOn w:val="Normal"/>
    <w:link w:val="CoverTitleChar"/>
    <w:uiPriority w:val="99"/>
    <w:rsid w:val="006E2DF5"/>
    <w:pPr>
      <w:spacing w:after="120"/>
      <w:jc w:val="center"/>
    </w:pPr>
    <w:rPr>
      <w:b/>
      <w:sz w:val="40"/>
    </w:rPr>
  </w:style>
  <w:style w:type="character" w:customStyle="1" w:styleId="CoverTitleChar">
    <w:name w:val="CoverTitle Char"/>
    <w:link w:val="CoverTitle"/>
    <w:uiPriority w:val="99"/>
    <w:locked/>
    <w:rsid w:val="006E2DF5"/>
    <w:rPr>
      <w:rFonts w:ascii="Arial" w:hAnsi="Arial"/>
      <w:b/>
      <w:sz w:val="40"/>
      <w:szCs w:val="24"/>
    </w:rPr>
  </w:style>
  <w:style w:type="paragraph" w:customStyle="1" w:styleId="CoverNormal">
    <w:name w:val="CoverNormal"/>
    <w:basedOn w:val="Normal"/>
    <w:link w:val="CoverNormalChar"/>
    <w:uiPriority w:val="99"/>
    <w:rsid w:val="006E2DF5"/>
    <w:pPr>
      <w:jc w:val="center"/>
    </w:pPr>
  </w:style>
  <w:style w:type="character" w:customStyle="1" w:styleId="CoverNormalChar">
    <w:name w:val="CoverNormal Char"/>
    <w:link w:val="CoverNormal"/>
    <w:uiPriority w:val="99"/>
    <w:locked/>
    <w:rsid w:val="006E2DF5"/>
    <w:rPr>
      <w:rFonts w:ascii="Arial" w:hAnsi="Arial"/>
      <w:szCs w:val="24"/>
    </w:rPr>
  </w:style>
  <w:style w:type="paragraph" w:customStyle="1" w:styleId="Halfline">
    <w:name w:val="Halfline"/>
    <w:basedOn w:val="Normal"/>
    <w:link w:val="HalflineChar"/>
    <w:uiPriority w:val="99"/>
    <w:rsid w:val="006E2DF5"/>
    <w:pPr>
      <w:spacing w:after="130" w:line="130" w:lineRule="exact"/>
    </w:pPr>
    <w:rPr>
      <w:rFonts w:ascii="Times New Roman" w:hAnsi="Times New Roman"/>
    </w:rPr>
  </w:style>
  <w:style w:type="character" w:customStyle="1" w:styleId="HalflineChar">
    <w:name w:val="Halfline Char"/>
    <w:link w:val="Halfline"/>
    <w:uiPriority w:val="99"/>
    <w:locked/>
    <w:rsid w:val="006E2DF5"/>
    <w:rPr>
      <w:szCs w:val="24"/>
    </w:rPr>
  </w:style>
  <w:style w:type="paragraph" w:customStyle="1" w:styleId="LetterheadParagraph">
    <w:name w:val="Letterhead Paragraph"/>
    <w:basedOn w:val="Normal"/>
    <w:uiPriority w:val="99"/>
    <w:rsid w:val="006E2DF5"/>
    <w:rPr>
      <w:rFonts w:ascii="Arial Narrow" w:hAnsi="Arial Narrow"/>
    </w:rPr>
  </w:style>
  <w:style w:type="paragraph" w:customStyle="1" w:styleId="Bullettext">
    <w:name w:val="Bullet text"/>
    <w:basedOn w:val="List2"/>
    <w:uiPriority w:val="99"/>
    <w:rsid w:val="006E2DF5"/>
    <w:pPr>
      <w:ind w:left="360" w:firstLine="0"/>
      <w:contextualSpacing w:val="0"/>
      <w:jc w:val="both"/>
    </w:pPr>
    <w:rPr>
      <w:sz w:val="24"/>
    </w:rPr>
  </w:style>
  <w:style w:type="paragraph" w:styleId="List2">
    <w:name w:val="List 2"/>
    <w:basedOn w:val="Normal"/>
    <w:unhideWhenUsed/>
    <w:locked/>
    <w:rsid w:val="005E5B4A"/>
    <w:pPr>
      <w:ind w:left="720" w:hanging="360"/>
      <w:contextualSpacing/>
    </w:pPr>
  </w:style>
  <w:style w:type="paragraph" w:styleId="PlainText">
    <w:name w:val="Plain Text"/>
    <w:basedOn w:val="Normal"/>
    <w:link w:val="PlainTextChar"/>
    <w:unhideWhenUsed/>
    <w:locked/>
    <w:rsid w:val="005E5B4A"/>
    <w:rPr>
      <w:rFonts w:ascii="Consolas" w:hAnsi="Consolas"/>
      <w:sz w:val="21"/>
      <w:szCs w:val="21"/>
    </w:rPr>
  </w:style>
  <w:style w:type="character" w:customStyle="1" w:styleId="PlainTextChar">
    <w:name w:val="Plain Text Char"/>
    <w:basedOn w:val="DefaultParagraphFont"/>
    <w:link w:val="PlainText"/>
    <w:locked/>
    <w:rsid w:val="005E5B4A"/>
    <w:rPr>
      <w:rFonts w:ascii="Consolas" w:hAnsi="Consolas"/>
      <w:sz w:val="21"/>
      <w:szCs w:val="21"/>
    </w:rPr>
  </w:style>
  <w:style w:type="character" w:customStyle="1" w:styleId="tablefootnoteChar">
    <w:name w:val="table footnote Char"/>
    <w:link w:val="tablefootnote"/>
    <w:uiPriority w:val="99"/>
    <w:locked/>
    <w:rsid w:val="006E2DF5"/>
    <w:rPr>
      <w:szCs w:val="24"/>
    </w:rPr>
  </w:style>
  <w:style w:type="paragraph" w:customStyle="1" w:styleId="TitleSub">
    <w:name w:val="TitleSub"/>
    <w:basedOn w:val="Title"/>
    <w:link w:val="TitleSubChar"/>
    <w:autoRedefine/>
    <w:uiPriority w:val="99"/>
    <w:rsid w:val="006E2DF5"/>
    <w:pPr>
      <w:jc w:val="right"/>
    </w:pPr>
    <w:rPr>
      <w:b w:val="0"/>
      <w:bCs/>
      <w:color w:val="17365D"/>
      <w:spacing w:val="5"/>
      <w:szCs w:val="52"/>
    </w:rPr>
  </w:style>
  <w:style w:type="character" w:customStyle="1" w:styleId="TitleSubChar">
    <w:name w:val="TitleSub Char"/>
    <w:link w:val="TitleSub"/>
    <w:uiPriority w:val="99"/>
    <w:locked/>
    <w:rsid w:val="006E2DF5"/>
    <w:rPr>
      <w:rFonts w:ascii="Arial" w:eastAsiaTheme="majorEastAsia" w:hAnsi="Arial" w:cstheme="majorBidi"/>
      <w:bCs/>
      <w:color w:val="17365D"/>
      <w:spacing w:val="5"/>
      <w:kern w:val="28"/>
      <w:sz w:val="48"/>
      <w:szCs w:val="52"/>
    </w:rPr>
  </w:style>
  <w:style w:type="paragraph" w:customStyle="1" w:styleId="TitleAdd">
    <w:name w:val="TitleAdd"/>
    <w:basedOn w:val="Title"/>
    <w:link w:val="TitleAddChar"/>
    <w:autoRedefine/>
    <w:uiPriority w:val="99"/>
    <w:rsid w:val="006E2DF5"/>
    <w:pPr>
      <w:jc w:val="right"/>
    </w:pPr>
    <w:rPr>
      <w:b w:val="0"/>
      <w:bCs/>
      <w:color w:val="17365D"/>
      <w:spacing w:val="5"/>
      <w:sz w:val="24"/>
    </w:rPr>
  </w:style>
  <w:style w:type="character" w:customStyle="1" w:styleId="TitleAddChar">
    <w:name w:val="TitleAdd Char"/>
    <w:link w:val="TitleAdd"/>
    <w:uiPriority w:val="99"/>
    <w:locked/>
    <w:rsid w:val="006E2DF5"/>
    <w:rPr>
      <w:rFonts w:ascii="Arial" w:eastAsiaTheme="majorEastAsia" w:hAnsi="Arial" w:cstheme="majorBidi"/>
      <w:bCs/>
      <w:color w:val="17365D"/>
      <w:spacing w:val="5"/>
      <w:kern w:val="28"/>
      <w:sz w:val="24"/>
      <w:szCs w:val="56"/>
    </w:rPr>
  </w:style>
  <w:style w:type="paragraph" w:styleId="NoSpacing">
    <w:name w:val="No Spacing"/>
    <w:uiPriority w:val="1"/>
    <w:rsid w:val="005E5B4A"/>
    <w:rPr>
      <w:rFonts w:ascii="Arial" w:hAnsi="Arial"/>
    </w:rPr>
  </w:style>
  <w:style w:type="paragraph" w:customStyle="1" w:styleId="Default">
    <w:name w:val="Default"/>
    <w:rsid w:val="006E2DF5"/>
    <w:pPr>
      <w:autoSpaceDE w:val="0"/>
      <w:autoSpaceDN w:val="0"/>
      <w:adjustRightInd w:val="0"/>
    </w:pPr>
    <w:rPr>
      <w:rFonts w:ascii="Arial" w:hAnsi="Arial" w:cs="Arial"/>
      <w:color w:val="000000"/>
      <w:sz w:val="24"/>
      <w:szCs w:val="24"/>
    </w:rPr>
  </w:style>
  <w:style w:type="character" w:customStyle="1" w:styleId="pBChar">
    <w:name w:val="pB Char"/>
    <w:link w:val="pB"/>
    <w:locked/>
    <w:rsid w:val="006E2DF5"/>
    <w:rPr>
      <w:szCs w:val="24"/>
    </w:rPr>
  </w:style>
  <w:style w:type="paragraph" w:styleId="ListNumber">
    <w:name w:val="List Number"/>
    <w:basedOn w:val="Normal"/>
    <w:qFormat/>
    <w:locked/>
    <w:rsid w:val="005E5B4A"/>
    <w:pPr>
      <w:numPr>
        <w:numId w:val="22"/>
      </w:numPr>
      <w:contextualSpacing/>
    </w:pPr>
  </w:style>
  <w:style w:type="character" w:styleId="FollowedHyperlink">
    <w:name w:val="FollowedHyperlink"/>
    <w:basedOn w:val="DefaultParagraphFont"/>
    <w:uiPriority w:val="99"/>
    <w:unhideWhenUsed/>
    <w:locked/>
    <w:rsid w:val="005E5B4A"/>
    <w:rPr>
      <w:color w:val="68952C" w:themeColor="followedHyperlink"/>
      <w:u w:val="single"/>
    </w:rPr>
  </w:style>
  <w:style w:type="numbering" w:customStyle="1" w:styleId="StyleNumberedLeft025Hanging025">
    <w:name w:val="Style Numbered Left:  0.25&quot; Hanging:  0.25&quot;"/>
    <w:basedOn w:val="NoList"/>
    <w:rsid w:val="005E5B4A"/>
    <w:pPr>
      <w:numPr>
        <w:numId w:val="31"/>
      </w:numPr>
    </w:pPr>
  </w:style>
  <w:style w:type="numbering" w:customStyle="1" w:styleId="StyleBulleted">
    <w:name w:val="Style Bulleted"/>
    <w:basedOn w:val="NoList"/>
    <w:rsid w:val="005E5B4A"/>
    <w:pPr>
      <w:numPr>
        <w:numId w:val="27"/>
      </w:numPr>
    </w:pPr>
  </w:style>
  <w:style w:type="numbering" w:customStyle="1" w:styleId="CnAListBullets">
    <w:name w:val="CnAListBullets"/>
    <w:rsid w:val="006E2DF5"/>
    <w:pPr>
      <w:numPr>
        <w:numId w:val="2"/>
      </w:numPr>
    </w:pPr>
  </w:style>
  <w:style w:type="numbering" w:customStyle="1" w:styleId="Style1">
    <w:name w:val="Style1"/>
    <w:rsid w:val="006E2DF5"/>
    <w:pPr>
      <w:numPr>
        <w:numId w:val="12"/>
      </w:numPr>
    </w:pPr>
  </w:style>
  <w:style w:type="numbering" w:customStyle="1" w:styleId="Itron">
    <w:name w:val="Itron"/>
    <w:rsid w:val="006E2DF5"/>
    <w:pPr>
      <w:numPr>
        <w:numId w:val="1"/>
      </w:numPr>
    </w:pPr>
  </w:style>
  <w:style w:type="numbering" w:customStyle="1" w:styleId="StyleNumbered">
    <w:name w:val="Style Numbered"/>
    <w:rsid w:val="006E2DF5"/>
    <w:pPr>
      <w:numPr>
        <w:numId w:val="11"/>
      </w:numPr>
    </w:pPr>
  </w:style>
  <w:style w:type="paragraph" w:customStyle="1" w:styleId="5thLevelHeadingStyle">
    <w:name w:val="5th Level Heading Style"/>
    <w:basedOn w:val="Normal"/>
    <w:link w:val="5thLevelHeadingStyleChar"/>
    <w:uiPriority w:val="99"/>
    <w:rsid w:val="006E2DF5"/>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6E2DF5"/>
    <w:rPr>
      <w:rFonts w:ascii="Arial Narrow" w:hAnsi="Arial Narrow" w:cs="Arial"/>
      <w:b/>
      <w:sz w:val="22"/>
      <w:szCs w:val="24"/>
      <w:u w:val="single"/>
    </w:rPr>
  </w:style>
  <w:style w:type="paragraph" w:customStyle="1" w:styleId="6thLevelHeadingStyle">
    <w:name w:val="6th Level Heading Style"/>
    <w:basedOn w:val="Normal"/>
    <w:link w:val="6thLevelHeadingStyleChar"/>
    <w:uiPriority w:val="99"/>
    <w:rsid w:val="006E2DF5"/>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6E2DF5"/>
    <w:rPr>
      <w:rFonts w:ascii="Arial Narrow" w:hAnsi="Arial Narrow"/>
      <w:b/>
      <w:color w:val="6F6754"/>
      <w:sz w:val="22"/>
      <w:szCs w:val="22"/>
    </w:rPr>
  </w:style>
  <w:style w:type="character" w:customStyle="1" w:styleId="acicollapsed1">
    <w:name w:val="acicollapsed1"/>
    <w:basedOn w:val="DefaultParagraphFont"/>
    <w:rsid w:val="006E2DF5"/>
    <w:rPr>
      <w:rFonts w:cs="Times New Roman"/>
      <w:vanish/>
    </w:rPr>
  </w:style>
  <w:style w:type="paragraph" w:customStyle="1" w:styleId="Alias">
    <w:name w:val="Alias"/>
    <w:uiPriority w:val="99"/>
    <w:rsid w:val="006E2DF5"/>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6E2DF5"/>
    <w:pPr>
      <w:widowControl w:val="0"/>
      <w:overflowPunct w:val="0"/>
      <w:autoSpaceDE w:val="0"/>
      <w:autoSpaceDN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5E5B4A"/>
    <w:pPr>
      <w:spacing w:after="120" w:line="480" w:lineRule="auto"/>
      <w:ind w:left="360"/>
    </w:pPr>
  </w:style>
  <w:style w:type="character" w:customStyle="1" w:styleId="BodyTextIndent2Char">
    <w:name w:val="Body Text Indent 2 Char"/>
    <w:basedOn w:val="DefaultParagraphFont"/>
    <w:link w:val="BodyTextIndent2"/>
    <w:rsid w:val="005E5B4A"/>
    <w:rPr>
      <w:rFonts w:ascii="Arial" w:hAnsi="Arial"/>
      <w:sz w:val="22"/>
    </w:rPr>
  </w:style>
  <w:style w:type="paragraph" w:customStyle="1" w:styleId="CoverFooter">
    <w:name w:val="Cover Footer"/>
    <w:basedOn w:val="Normal"/>
    <w:uiPriority w:val="99"/>
    <w:rsid w:val="006E2DF5"/>
    <w:pPr>
      <w:spacing w:before="160"/>
      <w:jc w:val="right"/>
    </w:pPr>
    <w:rPr>
      <w:sz w:val="16"/>
    </w:rPr>
  </w:style>
  <w:style w:type="paragraph" w:customStyle="1" w:styleId="ChapterFooter">
    <w:name w:val="Chapter Footer"/>
    <w:basedOn w:val="CoverFooter"/>
    <w:uiPriority w:val="99"/>
    <w:rsid w:val="006E2DF5"/>
  </w:style>
  <w:style w:type="character" w:customStyle="1" w:styleId="Char">
    <w:name w:val="Char"/>
    <w:basedOn w:val="DefaultParagraphFont"/>
    <w:uiPriority w:val="99"/>
    <w:rsid w:val="006E2DF5"/>
    <w:rPr>
      <w:rFonts w:ascii="Arial" w:hAnsi="Arial" w:cs="Times New Roman"/>
      <w:sz w:val="22"/>
      <w:lang w:val="en-US" w:eastAsia="en-US" w:bidi="ar-SA"/>
    </w:rPr>
  </w:style>
  <w:style w:type="paragraph" w:customStyle="1" w:styleId="Choice">
    <w:name w:val="Choice"/>
    <w:basedOn w:val="Normal"/>
    <w:uiPriority w:val="99"/>
    <w:rsid w:val="006E2DF5"/>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6E2DF5"/>
    <w:pPr>
      <w:spacing w:before="60"/>
    </w:pPr>
  </w:style>
  <w:style w:type="paragraph" w:customStyle="1" w:styleId="Confid">
    <w:name w:val="Confid"/>
    <w:basedOn w:val="Normal"/>
    <w:uiPriority w:val="99"/>
    <w:rsid w:val="006E2DF5"/>
    <w:pPr>
      <w:spacing w:after="240"/>
    </w:pPr>
    <w:rPr>
      <w:b/>
    </w:rPr>
  </w:style>
  <w:style w:type="paragraph" w:customStyle="1" w:styleId="CoverAddress">
    <w:name w:val="Cover Address"/>
    <w:basedOn w:val="Normal"/>
    <w:uiPriority w:val="99"/>
    <w:rsid w:val="006E2DF5"/>
    <w:pPr>
      <w:framePr w:hSpace="180" w:wrap="around" w:vAnchor="page" w:hAnchor="page" w:x="6912" w:y="576"/>
      <w:jc w:val="right"/>
    </w:pPr>
    <w:rPr>
      <w:noProof/>
    </w:rPr>
  </w:style>
  <w:style w:type="paragraph" w:customStyle="1" w:styleId="CoverClientName">
    <w:name w:val="Cover Client Name"/>
    <w:basedOn w:val="Normal"/>
    <w:next w:val="Normal"/>
    <w:uiPriority w:val="99"/>
    <w:rsid w:val="006E2DF5"/>
    <w:pPr>
      <w:spacing w:before="2220" w:line="720" w:lineRule="exact"/>
      <w:ind w:left="1985"/>
    </w:pPr>
    <w:rPr>
      <w:sz w:val="60"/>
    </w:rPr>
  </w:style>
  <w:style w:type="paragraph" w:customStyle="1" w:styleId="CoverConfidentiality">
    <w:name w:val="Cover Confidentiality"/>
    <w:basedOn w:val="Normal"/>
    <w:uiPriority w:val="99"/>
    <w:rsid w:val="006E2DF5"/>
    <w:pPr>
      <w:spacing w:before="800"/>
      <w:ind w:left="1985"/>
    </w:pPr>
    <w:rPr>
      <w:i/>
    </w:rPr>
  </w:style>
  <w:style w:type="paragraph" w:customStyle="1" w:styleId="CoverNarrative">
    <w:name w:val="Cover Narrative"/>
    <w:basedOn w:val="Normal"/>
    <w:uiPriority w:val="99"/>
    <w:rsid w:val="006E2DF5"/>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6E2DF5"/>
    <w:pPr>
      <w:spacing w:line="240" w:lineRule="auto"/>
    </w:pPr>
    <w:rPr>
      <w:sz w:val="16"/>
    </w:rPr>
  </w:style>
  <w:style w:type="paragraph" w:customStyle="1" w:styleId="CoverDate">
    <w:name w:val="Cover Date"/>
    <w:basedOn w:val="CoverNarrative"/>
    <w:uiPriority w:val="99"/>
    <w:rsid w:val="006E2DF5"/>
  </w:style>
  <w:style w:type="character" w:customStyle="1" w:styleId="CoverText">
    <w:name w:val="Cover Text"/>
    <w:rsid w:val="005E5B4A"/>
    <w:rPr>
      <w:rFonts w:ascii="Arial" w:hAnsi="Arial"/>
      <w:color w:val="auto"/>
      <w:sz w:val="22"/>
    </w:rPr>
  </w:style>
  <w:style w:type="paragraph" w:customStyle="1" w:styleId="Enclosures">
    <w:name w:val="Enclosures"/>
    <w:basedOn w:val="Normal"/>
    <w:uiPriority w:val="99"/>
    <w:rsid w:val="006E2DF5"/>
    <w:pPr>
      <w:spacing w:before="240"/>
    </w:pPr>
  </w:style>
  <w:style w:type="paragraph" w:customStyle="1" w:styleId="EndQ">
    <w:name w:val="End Q"/>
    <w:basedOn w:val="Normal"/>
    <w:uiPriority w:val="99"/>
    <w:rsid w:val="006E2DF5"/>
    <w:pPr>
      <w:pBdr>
        <w:bottom w:val="double" w:sz="6" w:space="1" w:color="auto"/>
      </w:pBdr>
      <w:spacing w:after="60"/>
    </w:pPr>
    <w:rPr>
      <w:rFonts w:ascii="Tms Rmn" w:hAnsi="Tms Rmn"/>
    </w:r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6E2DF5"/>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5E5B4A"/>
    <w:rPr>
      <w:rFonts w:ascii="Arial" w:eastAsia="Calibri" w:hAnsi="Arial"/>
      <w:b/>
      <w:sz w:val="32"/>
      <w:szCs w:val="22"/>
    </w:rPr>
  </w:style>
  <w:style w:type="paragraph" w:customStyle="1" w:styleId="ExecSummaryHead1">
    <w:name w:val="Exec Summary Head 1"/>
    <w:basedOn w:val="TOCHeading"/>
    <w:next w:val="Normal"/>
    <w:link w:val="ExecSummaryHead1Char"/>
    <w:rsid w:val="006E2DF5"/>
    <w:rPr>
      <w:caps/>
    </w:rPr>
  </w:style>
  <w:style w:type="character" w:customStyle="1" w:styleId="ExecSummaryHead1Char">
    <w:name w:val="Exec Summary Head 1 Char"/>
    <w:basedOn w:val="TOCHeadingChar"/>
    <w:link w:val="ExecSummaryHead1"/>
    <w:locked/>
    <w:rsid w:val="006E2DF5"/>
    <w:rPr>
      <w:rFonts w:ascii="Arial Bold" w:eastAsiaTheme="minorHAnsi" w:hAnsi="Arial Bold" w:cstheme="minorBidi"/>
      <w:b/>
      <w:caps/>
      <w:color w:val="93D500" w:themeColor="accent1"/>
      <w:sz w:val="28"/>
      <w:szCs w:val="22"/>
    </w:rPr>
  </w:style>
  <w:style w:type="paragraph" w:customStyle="1" w:styleId="Footnote">
    <w:name w:val="Footnote"/>
    <w:basedOn w:val="Normal"/>
    <w:link w:val="FootnoteChar"/>
    <w:autoRedefine/>
    <w:uiPriority w:val="99"/>
    <w:rsid w:val="006E2DF5"/>
    <w:pPr>
      <w:widowControl w:val="0"/>
    </w:pPr>
    <w:rPr>
      <w:rFonts w:ascii="Calibri" w:hAnsi="Calibri" w:cs="Calibri"/>
    </w:rPr>
  </w:style>
  <w:style w:type="character" w:customStyle="1" w:styleId="FootnoteChar">
    <w:name w:val="Footnote Char"/>
    <w:basedOn w:val="DefaultParagraphFont"/>
    <w:link w:val="Footnote"/>
    <w:uiPriority w:val="99"/>
    <w:locked/>
    <w:rsid w:val="006E2DF5"/>
    <w:rPr>
      <w:rFonts w:ascii="Calibri" w:hAnsi="Calibri" w:cs="Calibri"/>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6E2DF5"/>
    <w:rPr>
      <w:rFonts w:cs="Times New Roman"/>
    </w:rPr>
  </w:style>
  <w:style w:type="paragraph" w:customStyle="1" w:styleId="Foreword">
    <w:name w:val="Foreword"/>
    <w:basedOn w:val="Normal"/>
    <w:next w:val="Normal"/>
    <w:uiPriority w:val="99"/>
    <w:rsid w:val="006E2DF5"/>
    <w:pPr>
      <w:keepNext/>
      <w:pageBreakBefore/>
      <w:pBdr>
        <w:bottom w:val="single" w:sz="12" w:space="1" w:color="auto"/>
      </w:pBdr>
      <w:spacing w:after="120"/>
    </w:pPr>
    <w:rPr>
      <w:b/>
      <w:i/>
      <w:caps/>
      <w:kern w:val="28"/>
    </w:rPr>
  </w:style>
  <w:style w:type="paragraph" w:customStyle="1" w:styleId="From">
    <w:name w:val="From"/>
    <w:basedOn w:val="Normal"/>
    <w:uiPriority w:val="99"/>
    <w:rsid w:val="006E2DF5"/>
    <w:pPr>
      <w:spacing w:before="60" w:after="40"/>
    </w:pPr>
  </w:style>
  <w:style w:type="paragraph" w:customStyle="1" w:styleId="Ghost">
    <w:name w:val="Ghost"/>
    <w:basedOn w:val="Normal"/>
    <w:uiPriority w:val="99"/>
    <w:rsid w:val="006E2DF5"/>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6E2DF5"/>
    <w:rPr>
      <w:rFonts w:ascii="Palatino Linotype" w:hAnsi="Palatino Linotype"/>
      <w:szCs w:val="24"/>
    </w:rPr>
  </w:style>
  <w:style w:type="paragraph" w:customStyle="1" w:styleId="L1Surv-Answer">
    <w:name w:val="L1 Surv - Answer"/>
    <w:uiPriority w:val="99"/>
    <w:rsid w:val="006E2DF5"/>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6E2DF5"/>
    <w:rPr>
      <w:rFonts w:ascii="Arial" w:hAnsi="Arial" w:cs="Times New Roman"/>
      <w:sz w:val="24"/>
      <w:szCs w:val="24"/>
      <w:lang w:val="en-US" w:eastAsia="en-US" w:bidi="ar-SA"/>
    </w:rPr>
  </w:style>
  <w:style w:type="paragraph" w:customStyle="1" w:styleId="L1Surv-Question">
    <w:name w:val="L1 Surv - Question"/>
    <w:next w:val="L1Surv-Answer"/>
    <w:uiPriority w:val="99"/>
    <w:rsid w:val="006E2DF5"/>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6E2DF5"/>
    <w:rPr>
      <w:rFonts w:ascii="Arial" w:hAnsi="Arial" w:cs="Times New Roman"/>
      <w:sz w:val="24"/>
      <w:szCs w:val="24"/>
      <w:lang w:val="en-US" w:eastAsia="en-US" w:bidi="ar-SA"/>
    </w:rPr>
  </w:style>
  <w:style w:type="paragraph" w:customStyle="1" w:styleId="L2Surv-Answer">
    <w:name w:val="L2 Surv - Answer"/>
    <w:basedOn w:val="L1Surv-Answer"/>
    <w:uiPriority w:val="99"/>
    <w:rsid w:val="006E2DF5"/>
    <w:pPr>
      <w:ind w:left="2520"/>
    </w:pPr>
    <w:rPr>
      <w:szCs w:val="20"/>
    </w:rPr>
  </w:style>
  <w:style w:type="paragraph" w:customStyle="1" w:styleId="L2Surv-Question">
    <w:name w:val="L2 Surv - Question"/>
    <w:basedOn w:val="L1Surv-Question"/>
    <w:uiPriority w:val="99"/>
    <w:rsid w:val="006E2DF5"/>
    <w:pPr>
      <w:ind w:left="1800"/>
    </w:pPr>
    <w:rPr>
      <w:szCs w:val="20"/>
    </w:rPr>
  </w:style>
  <w:style w:type="paragraph" w:customStyle="1" w:styleId="L3Surv-Answer">
    <w:name w:val="L3 Surv - Answer"/>
    <w:basedOn w:val="L1Surv-Answer"/>
    <w:uiPriority w:val="99"/>
    <w:rsid w:val="006E2DF5"/>
    <w:pPr>
      <w:ind w:left="3600"/>
    </w:pPr>
    <w:rPr>
      <w:szCs w:val="20"/>
    </w:rPr>
  </w:style>
  <w:style w:type="paragraph" w:customStyle="1" w:styleId="L3Surv-Question">
    <w:name w:val="L3 Surv - Question"/>
    <w:basedOn w:val="L1Surv-Question"/>
    <w:uiPriority w:val="99"/>
    <w:rsid w:val="006E2DF5"/>
    <w:pPr>
      <w:ind w:left="2880"/>
    </w:pPr>
    <w:rPr>
      <w:szCs w:val="20"/>
    </w:rPr>
  </w:style>
  <w:style w:type="paragraph" w:customStyle="1" w:styleId="Level1">
    <w:name w:val="Level 1"/>
    <w:basedOn w:val="Normal"/>
    <w:uiPriority w:val="99"/>
    <w:rsid w:val="006E2DF5"/>
    <w:pPr>
      <w:widowControl w:val="0"/>
    </w:pPr>
    <w:rPr>
      <w:rFonts w:ascii="Times New Roman" w:hAnsi="Times New Roman"/>
      <w:sz w:val="24"/>
    </w:rPr>
  </w:style>
  <w:style w:type="paragraph" w:styleId="ListBullet4">
    <w:name w:val="List Bullet 4"/>
    <w:basedOn w:val="Normal"/>
    <w:unhideWhenUsed/>
    <w:locked/>
    <w:rsid w:val="005E5B4A"/>
    <w:pPr>
      <w:numPr>
        <w:numId w:val="20"/>
      </w:numPr>
      <w:contextualSpacing/>
    </w:pPr>
  </w:style>
  <w:style w:type="paragraph" w:styleId="ListNumber2">
    <w:name w:val="List Number 2"/>
    <w:basedOn w:val="Normal"/>
    <w:unhideWhenUsed/>
    <w:locked/>
    <w:rsid w:val="005E5B4A"/>
    <w:pPr>
      <w:numPr>
        <w:numId w:val="23"/>
      </w:numPr>
      <w:contextualSpacing/>
    </w:pPr>
  </w:style>
  <w:style w:type="paragraph" w:styleId="ListNumber3">
    <w:name w:val="List Number 3"/>
    <w:basedOn w:val="Normal"/>
    <w:unhideWhenUsed/>
    <w:locked/>
    <w:rsid w:val="005E5B4A"/>
    <w:pPr>
      <w:numPr>
        <w:numId w:val="24"/>
      </w:numPr>
      <w:contextualSpacing/>
    </w:pPr>
  </w:style>
  <w:style w:type="paragraph" w:customStyle="1" w:styleId="LongLabel">
    <w:name w:val="Long Label"/>
    <w:uiPriority w:val="99"/>
    <w:rsid w:val="006E2DF5"/>
    <w:pPr>
      <w:keepNext/>
      <w:ind w:right="1987"/>
      <w:jc w:val="both"/>
    </w:pPr>
    <w:rPr>
      <w:rFonts w:ascii="Tms Rmn" w:hAnsi="Tms Rmn"/>
    </w:rPr>
  </w:style>
  <w:style w:type="paragraph" w:customStyle="1" w:styleId="Normal0pt">
    <w:name w:val="Normal 0pt"/>
    <w:basedOn w:val="Normal"/>
    <w:uiPriority w:val="99"/>
    <w:rsid w:val="006E2DF5"/>
  </w:style>
  <w:style w:type="paragraph" w:customStyle="1" w:styleId="Number">
    <w:name w:val="Number"/>
    <w:basedOn w:val="NormalIndent"/>
    <w:uiPriority w:val="99"/>
    <w:rsid w:val="006E2DF5"/>
    <w:pPr>
      <w:numPr>
        <w:numId w:val="9"/>
      </w:numPr>
    </w:pPr>
    <w:rPr>
      <w:rFonts w:ascii="Century Schoolbook" w:hAnsi="Century Schoolbook"/>
      <w:sz w:val="24"/>
    </w:rPr>
  </w:style>
  <w:style w:type="paragraph" w:customStyle="1" w:styleId="PADate">
    <w:name w:val="PA Date"/>
    <w:basedOn w:val="Normal"/>
    <w:uiPriority w:val="99"/>
    <w:rsid w:val="006E2DF5"/>
    <w:pPr>
      <w:spacing w:before="280" w:after="240"/>
    </w:pPr>
  </w:style>
  <w:style w:type="paragraph" w:customStyle="1" w:styleId="quest">
    <w:name w:val="quest"/>
    <w:basedOn w:val="BodyText"/>
    <w:uiPriority w:val="99"/>
    <w:rsid w:val="006E2DF5"/>
    <w:pPr>
      <w:ind w:left="864" w:hanging="432"/>
      <w:jc w:val="both"/>
    </w:pPr>
    <w:rPr>
      <w:rFonts w:ascii="CG Times (W1)" w:hAnsi="CG Times (W1)"/>
    </w:rPr>
  </w:style>
  <w:style w:type="paragraph" w:customStyle="1" w:styleId="SignOff">
    <w:name w:val="Sign Off"/>
    <w:basedOn w:val="Normal"/>
    <w:uiPriority w:val="99"/>
    <w:rsid w:val="006E2DF5"/>
    <w:pPr>
      <w:spacing w:before="720"/>
    </w:pPr>
  </w:style>
  <w:style w:type="numbering" w:customStyle="1" w:styleId="StyleBulletedLeft0Hanging03">
    <w:name w:val="Style Bulleted Left:  0&quot; Hanging:  0.3&quot;"/>
    <w:basedOn w:val="NoList"/>
    <w:rsid w:val="005E5B4A"/>
    <w:pPr>
      <w:numPr>
        <w:numId w:val="28"/>
      </w:numPr>
    </w:pPr>
  </w:style>
  <w:style w:type="numbering" w:customStyle="1" w:styleId="StyleBulleted6">
    <w:name w:val="Style Bulleted6"/>
    <w:rsid w:val="005E5B4A"/>
    <w:pPr>
      <w:numPr>
        <w:numId w:val="29"/>
      </w:numPr>
    </w:pPr>
  </w:style>
  <w:style w:type="numbering" w:customStyle="1" w:styleId="StyleBulleted9">
    <w:name w:val="Style Bulleted9"/>
    <w:basedOn w:val="NoList"/>
    <w:rsid w:val="005E5B4A"/>
    <w:pPr>
      <w:numPr>
        <w:numId w:val="30"/>
      </w:numPr>
    </w:pPr>
  </w:style>
  <w:style w:type="paragraph" w:customStyle="1" w:styleId="Subject">
    <w:name w:val="Subject"/>
    <w:basedOn w:val="Normal"/>
    <w:uiPriority w:val="99"/>
    <w:rsid w:val="006E2DF5"/>
    <w:pPr>
      <w:spacing w:before="60"/>
    </w:pPr>
    <w:rPr>
      <w:b/>
      <w:caps/>
    </w:rPr>
  </w:style>
  <w:style w:type="paragraph" w:customStyle="1" w:styleId="Surv-Direction">
    <w:name w:val="Surv - Direction"/>
    <w:uiPriority w:val="99"/>
    <w:rsid w:val="006E2DF5"/>
    <w:rPr>
      <w:rFonts w:ascii="Arial" w:hAnsi="Arial"/>
      <w:caps/>
      <w:color w:val="FF0000"/>
      <w:szCs w:val="24"/>
    </w:rPr>
  </w:style>
  <w:style w:type="character" w:customStyle="1" w:styleId="Surv-DirectionChar">
    <w:name w:val="Surv - Direction Char"/>
    <w:basedOn w:val="DefaultParagraphFont"/>
    <w:uiPriority w:val="99"/>
    <w:rsid w:val="006E2DF5"/>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6E2DF5"/>
    <w:rPr>
      <w:rFonts w:ascii="Arial" w:hAnsi="Arial"/>
      <w:b/>
      <w:bCs/>
      <w:color w:val="0000FF"/>
      <w:szCs w:val="24"/>
    </w:rPr>
  </w:style>
  <w:style w:type="character" w:customStyle="1" w:styleId="Surv-ReplaceCodeCharChar">
    <w:name w:val="Surv - Replace Code Char Char"/>
    <w:basedOn w:val="DefaultParagraphFont"/>
    <w:uiPriority w:val="99"/>
    <w:rsid w:val="006E2DF5"/>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6E2DF5"/>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6E2DF5"/>
    <w:pPr>
      <w:ind w:left="144" w:hanging="144"/>
      <w:jc w:val="left"/>
    </w:pPr>
    <w:rPr>
      <w:b/>
    </w:rPr>
  </w:style>
  <w:style w:type="table" w:styleId="TableClassic2">
    <w:name w:val="Table Classic 2"/>
    <w:basedOn w:val="TableNormal"/>
    <w:locked/>
    <w:rsid w:val="005E5B4A"/>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6E2DF5"/>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6E2DF5"/>
    <w:pPr>
      <w:spacing w:before="60"/>
      <w:jc w:val="right"/>
    </w:pPr>
    <w:rPr>
      <w:b/>
    </w:rPr>
  </w:style>
  <w:style w:type="table" w:styleId="TableList7">
    <w:name w:val="Table List 7"/>
    <w:basedOn w:val="TableNormal"/>
    <w:locked/>
    <w:rsid w:val="005E5B4A"/>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6E2DF5"/>
    <w:pPr>
      <w:overflowPunct w:val="0"/>
      <w:autoSpaceDE w:val="0"/>
      <w:autoSpaceDN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6E2DF5"/>
    <w:pPr>
      <w:widowControl w:val="0"/>
      <w:jc w:val="center"/>
    </w:pPr>
    <w:rPr>
      <w:rFonts w:ascii="Calibri" w:hAnsi="Calibri" w:cs="Arial"/>
      <w:noProof/>
      <w:szCs w:val="18"/>
    </w:rPr>
  </w:style>
  <w:style w:type="paragraph" w:customStyle="1" w:styleId="TOCNormal">
    <w:name w:val="TOC Normal"/>
    <w:basedOn w:val="TOCHeading"/>
    <w:uiPriority w:val="99"/>
    <w:rsid w:val="006E2DF5"/>
    <w:pPr>
      <w:spacing w:before="240" w:after="0"/>
    </w:pPr>
    <w:rPr>
      <w:sz w:val="26"/>
      <w:szCs w:val="20"/>
    </w:rPr>
  </w:style>
  <w:style w:type="paragraph" w:customStyle="1" w:styleId="FaxBodyText">
    <w:name w:val="Fax Body Text"/>
    <w:basedOn w:val="Normal"/>
    <w:rsid w:val="006E2DF5"/>
    <w:pPr>
      <w:framePr w:hSpace="180" w:wrap="around" w:vAnchor="text" w:hAnchor="text" w:y="55"/>
    </w:pPr>
    <w:rPr>
      <w:sz w:val="18"/>
    </w:rPr>
  </w:style>
  <w:style w:type="table" w:styleId="ColorfulList-Accent5">
    <w:name w:val="Colorful List Accent 5"/>
    <w:basedOn w:val="TableNormal"/>
    <w:uiPriority w:val="72"/>
    <w:rsid w:val="006E2DF5"/>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6E2DF5"/>
    <w:rPr>
      <w:color w:val="000000" w:themeColor="text1"/>
    </w:rPr>
    <w:tblPr>
      <w:tblStyleRowBandSize w:val="1"/>
      <w:tblStyleColBandSize w:val="1"/>
    </w:tblPr>
    <w:tcPr>
      <w:shd w:val="clear" w:color="auto" w:fill="EFF7FA"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2" w:themeFill="accent4" w:themeFillTint="3F"/>
      </w:tcPr>
    </w:tblStylePr>
    <w:tblStylePr w:type="band1Horz">
      <w:tblPr/>
      <w:tcPr>
        <w:shd w:val="clear" w:color="auto" w:fill="DFF0F4" w:themeFill="accent4" w:themeFillTint="33"/>
      </w:tcPr>
    </w:tblStylePr>
  </w:style>
  <w:style w:type="table" w:styleId="LightList-Accent6">
    <w:name w:val="Light List Accent 6"/>
    <w:basedOn w:val="TableNormal"/>
    <w:uiPriority w:val="61"/>
    <w:rsid w:val="006E2DF5"/>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paragraph" w:customStyle="1" w:styleId="Finding">
    <w:name w:val="Finding"/>
    <w:basedOn w:val="Normal"/>
    <w:link w:val="FindingChar"/>
    <w:rsid w:val="006E2DF5"/>
    <w:pPr>
      <w:ind w:left="1080" w:hanging="360"/>
    </w:pPr>
  </w:style>
  <w:style w:type="character" w:customStyle="1" w:styleId="FindingChar">
    <w:name w:val="Finding Char"/>
    <w:basedOn w:val="DefaultParagraphFont"/>
    <w:link w:val="Finding"/>
    <w:rsid w:val="006E2DF5"/>
    <w:rPr>
      <w:rFonts w:ascii="Arial" w:hAnsi="Arial"/>
      <w:szCs w:val="24"/>
    </w:rPr>
  </w:style>
  <w:style w:type="table" w:styleId="TableList4">
    <w:name w:val="Table List 4"/>
    <w:basedOn w:val="TableNormal"/>
    <w:locked/>
    <w:rsid w:val="006E2DF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Questionfollowon">
    <w:name w:val="Question follow on"/>
    <w:basedOn w:val="Question"/>
    <w:next w:val="Normal"/>
    <w:rsid w:val="006E2DF5"/>
    <w:pPr>
      <w:keepNext/>
      <w:tabs>
        <w:tab w:val="left" w:pos="1260"/>
      </w:tabs>
      <w:overflowPunct w:val="0"/>
      <w:autoSpaceDE w:val="0"/>
      <w:autoSpaceDN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6E2DF5"/>
    <w:rPr>
      <w:color w:val="000080"/>
    </w:rPr>
  </w:style>
  <w:style w:type="character" w:customStyle="1" w:styleId="SourceChar">
    <w:name w:val="Source Char"/>
    <w:basedOn w:val="DefaultParagraphFont"/>
    <w:link w:val="Source"/>
    <w:rsid w:val="00A83863"/>
    <w:rPr>
      <w:rFonts w:ascii="Arial" w:hAnsi="Arial"/>
      <w:i/>
      <w:color w:val="000000" w:themeColor="text1"/>
      <w:sz w:val="16"/>
    </w:rPr>
  </w:style>
  <w:style w:type="table" w:styleId="TableContemporary">
    <w:name w:val="Table Contemporary"/>
    <w:basedOn w:val="TableNormal"/>
    <w:locked/>
    <w:rsid w:val="006E2DF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6E2DF5"/>
    <w:rPr>
      <w:b/>
      <w:bCs/>
      <w:i/>
      <w:iCs/>
      <w:color w:val="93D500" w:themeColor="accent1"/>
    </w:rPr>
  </w:style>
  <w:style w:type="character" w:styleId="IntenseReference">
    <w:name w:val="Intense Reference"/>
    <w:basedOn w:val="DefaultParagraphFont"/>
    <w:uiPriority w:val="32"/>
    <w:rsid w:val="006E2DF5"/>
    <w:rPr>
      <w:b/>
      <w:bCs/>
      <w:smallCaps/>
      <w:color w:val="C3EC0C" w:themeColor="accent2"/>
      <w:spacing w:val="5"/>
      <w:u w:val="single"/>
    </w:rPr>
  </w:style>
  <w:style w:type="table" w:styleId="MediumShading1-Accent6">
    <w:name w:val="Medium Shading 1 Accent 6"/>
    <w:basedOn w:val="TableNormal"/>
    <w:uiPriority w:val="63"/>
    <w:rsid w:val="005E5B4A"/>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5E5B4A"/>
    <w:pPr>
      <w:keepNext/>
      <w:numPr>
        <w:numId w:val="32"/>
      </w:numPr>
      <w:spacing w:before="40" w:after="40" w:line="240" w:lineRule="atLeast"/>
    </w:pPr>
    <w:rPr>
      <w:rFonts w:cs="Arial"/>
    </w:rPr>
  </w:style>
  <w:style w:type="character" w:customStyle="1" w:styleId="TableBulletChar">
    <w:name w:val="Table Bullet Char"/>
    <w:link w:val="TableBullet"/>
    <w:rsid w:val="005E5B4A"/>
    <w:rPr>
      <w:rFonts w:ascii="Arial" w:hAnsi="Arial" w:cs="Arial"/>
      <w:sz w:val="22"/>
    </w:rPr>
  </w:style>
  <w:style w:type="paragraph" w:customStyle="1" w:styleId="FooterAddress">
    <w:name w:val="Footer Address"/>
    <w:basedOn w:val="Footer"/>
    <w:link w:val="FooterAddressChar"/>
    <w:rsid w:val="005E5B4A"/>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5E5B4A"/>
    <w:rPr>
      <w:rFonts w:ascii="Arial" w:hAnsi="Arial"/>
      <w:color w:val="555759"/>
      <w:sz w:val="16"/>
    </w:rPr>
  </w:style>
  <w:style w:type="paragraph" w:customStyle="1" w:styleId="Headerinfo">
    <w:name w:val="Header info"/>
    <w:basedOn w:val="Normal"/>
    <w:rsid w:val="006E2DF5"/>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6E2DF5"/>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6E2DF5"/>
    <w:pPr>
      <w:keepLines/>
      <w:numPr>
        <w:numId w:val="14"/>
      </w:numPr>
    </w:pPr>
    <w:rPr>
      <w:bCs/>
      <w:color w:val="545759"/>
      <w:lang w:val="en-GB" w:eastAsia="x-none"/>
    </w:rPr>
  </w:style>
  <w:style w:type="character" w:customStyle="1" w:styleId="ResumeBulletChar">
    <w:name w:val="Resume Bullet Char"/>
    <w:link w:val="ResumeBullet"/>
    <w:rsid w:val="006E2DF5"/>
    <w:rPr>
      <w:rFonts w:ascii="Arial" w:hAnsi="Arial"/>
      <w:bCs/>
      <w:color w:val="545759"/>
      <w:sz w:val="22"/>
      <w:lang w:val="en-GB" w:eastAsia="x-none"/>
    </w:rPr>
  </w:style>
  <w:style w:type="paragraph" w:customStyle="1" w:styleId="SectionHeading">
    <w:name w:val="Section Heading"/>
    <w:basedOn w:val="Normal"/>
    <w:autoRedefine/>
    <w:rsid w:val="006E2DF5"/>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SubHeaderBold">
    <w:name w:val="Sub Header Bold"/>
    <w:basedOn w:val="Normal"/>
    <w:rsid w:val="006E2DF5"/>
    <w:pPr>
      <w:spacing w:after="120"/>
      <w:ind w:left="360" w:hanging="360"/>
    </w:pPr>
    <w:rPr>
      <w:rFonts w:cs="Arial"/>
      <w:b/>
      <w:noProof/>
      <w:sz w:val="28"/>
      <w:lang w:val="en-GB"/>
    </w:rPr>
  </w:style>
  <w:style w:type="character" w:customStyle="1" w:styleId="ProposalBodyHeading">
    <w:name w:val="Proposal Body Heading"/>
    <w:basedOn w:val="DefaultParagraphFont"/>
    <w:uiPriority w:val="1"/>
    <w:rsid w:val="006E2DF5"/>
    <w:rPr>
      <w:rFonts w:ascii="Arial" w:hAnsi="Arial"/>
      <w:b/>
      <w:color w:val="555759"/>
      <w:sz w:val="22"/>
    </w:rPr>
  </w:style>
  <w:style w:type="character" w:customStyle="1" w:styleId="TOC1Char">
    <w:name w:val="TOC 1 Char"/>
    <w:link w:val="TOC1"/>
    <w:uiPriority w:val="39"/>
    <w:rsid w:val="005E5B4A"/>
    <w:rPr>
      <w:rFonts w:ascii="Arial" w:eastAsia="Calibri" w:hAnsi="Arial"/>
      <w:b/>
      <w:sz w:val="24"/>
      <w:szCs w:val="22"/>
    </w:rPr>
  </w:style>
  <w:style w:type="table" w:styleId="ListTable3-Accent1">
    <w:name w:val="List Table 3 Accent 1"/>
    <w:aliases w:val="Energy Table"/>
    <w:basedOn w:val="TableNormal"/>
    <w:uiPriority w:val="99"/>
    <w:qFormat/>
    <w:rsid w:val="005E5B4A"/>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6E2DF5"/>
    <w:pPr>
      <w:spacing w:after="120" w:line="276" w:lineRule="auto"/>
      <w:ind w:left="360" w:hanging="360"/>
    </w:pPr>
    <w:rPr>
      <w:rFonts w:cs="Arial"/>
      <w:b/>
      <w:lang w:val="en-GB"/>
    </w:rPr>
  </w:style>
  <w:style w:type="paragraph" w:customStyle="1" w:styleId="ResumeParagraphText">
    <w:name w:val="Resume Paragraph Text"/>
    <w:basedOn w:val="Normal"/>
    <w:link w:val="ResumeParagraphTextChar"/>
    <w:rsid w:val="006E2DF5"/>
    <w:pPr>
      <w:spacing w:line="276" w:lineRule="auto"/>
    </w:pPr>
    <w:rPr>
      <w:lang w:val="en-GB"/>
    </w:rPr>
  </w:style>
  <w:style w:type="character" w:customStyle="1" w:styleId="ResumeParagraphTextChar">
    <w:name w:val="Resume Paragraph Text Char"/>
    <w:basedOn w:val="DefaultParagraphFont"/>
    <w:link w:val="ResumeParagraphText"/>
    <w:rsid w:val="006E2DF5"/>
    <w:rPr>
      <w:rFonts w:ascii="Arial" w:hAnsi="Arial"/>
      <w:lang w:val="en-GB"/>
    </w:rPr>
  </w:style>
  <w:style w:type="paragraph" w:customStyle="1" w:styleId="ProposalTitleGreen">
    <w:name w:val="Proposal Title Green"/>
    <w:basedOn w:val="Header"/>
    <w:link w:val="ProposalTitleGreenChar"/>
    <w:rsid w:val="006E2DF5"/>
    <w:pPr>
      <w:widowControl w:val="0"/>
      <w:spacing w:before="240" w:after="240"/>
    </w:pPr>
    <w:rPr>
      <w:b/>
      <w:color w:val="95D600"/>
      <w:sz w:val="24"/>
    </w:rPr>
  </w:style>
  <w:style w:type="character" w:customStyle="1" w:styleId="ProposalTitleGreenChar">
    <w:name w:val="Proposal Title Green Char"/>
    <w:basedOn w:val="HeaderChar"/>
    <w:link w:val="ProposalTitleGreen"/>
    <w:rsid w:val="006E2DF5"/>
    <w:rPr>
      <w:rFonts w:ascii="Arial" w:eastAsiaTheme="minorHAnsi" w:hAnsi="Arial" w:cstheme="minorBidi"/>
      <w:b/>
      <w:color w:val="95D600"/>
      <w:sz w:val="24"/>
      <w:szCs w:val="22"/>
    </w:rPr>
  </w:style>
  <w:style w:type="paragraph" w:customStyle="1" w:styleId="Heading3Appendix">
    <w:name w:val="Heading 3 Appendix"/>
    <w:basedOn w:val="Heading3"/>
    <w:rsid w:val="006D40FC"/>
    <w:pPr>
      <w:ind w:left="2160" w:hanging="180"/>
    </w:pPr>
    <w:rPr>
      <w:rFonts w:ascii="Palatino Linotype" w:hAnsi="Palatino Linotype"/>
      <w:i/>
    </w:rPr>
  </w:style>
  <w:style w:type="paragraph" w:customStyle="1" w:styleId="StyleSourceFirstline044">
    <w:name w:val="Style Source + First line:  0.44&quot;"/>
    <w:basedOn w:val="Source"/>
    <w:rsid w:val="007F7753"/>
    <w:pPr>
      <w:ind w:firstLine="634"/>
    </w:pPr>
    <w:rPr>
      <w:iCs/>
    </w:rPr>
  </w:style>
  <w:style w:type="paragraph" w:customStyle="1" w:styleId="StyleSourceFirstline106">
    <w:name w:val="Style Source + First line:  1.06&quot;"/>
    <w:basedOn w:val="Source"/>
    <w:rsid w:val="007F7753"/>
    <w:pPr>
      <w:ind w:firstLine="1526"/>
    </w:pPr>
    <w:rPr>
      <w:iCs/>
    </w:rPr>
  </w:style>
  <w:style w:type="paragraph" w:customStyle="1" w:styleId="Instructions">
    <w:name w:val="Instructions"/>
    <w:basedOn w:val="Normal"/>
    <w:next w:val="Normal"/>
    <w:qFormat/>
    <w:rsid w:val="005E5B4A"/>
    <w:pPr>
      <w:spacing w:after="120"/>
    </w:pPr>
    <w:rPr>
      <w:rFonts w:cstheme="minorHAnsi"/>
      <w:i/>
      <w:color w:val="68952C" w:themeColor="accent5"/>
    </w:rPr>
  </w:style>
  <w:style w:type="character" w:customStyle="1" w:styleId="UnresolvedMention1">
    <w:name w:val="Unresolved Mention1"/>
    <w:basedOn w:val="DefaultParagraphFont"/>
    <w:uiPriority w:val="99"/>
    <w:semiHidden/>
    <w:unhideWhenUsed/>
    <w:rsid w:val="004D1882"/>
    <w:rPr>
      <w:color w:val="808080"/>
      <w:shd w:val="clear" w:color="auto" w:fill="E6E6E6"/>
    </w:rPr>
  </w:style>
  <w:style w:type="character" w:styleId="UnresolvedMention">
    <w:name w:val="Unresolved Mention"/>
    <w:basedOn w:val="DefaultParagraphFont"/>
    <w:uiPriority w:val="99"/>
    <w:unhideWhenUsed/>
    <w:rsid w:val="005E5B4A"/>
    <w:rPr>
      <w:color w:val="808080"/>
      <w:shd w:val="clear" w:color="auto" w:fill="E6E6E6"/>
    </w:rPr>
  </w:style>
  <w:style w:type="paragraph" w:customStyle="1" w:styleId="HeaderTitle">
    <w:name w:val="Header Title"/>
    <w:basedOn w:val="Normal"/>
    <w:rsid w:val="005E5B4A"/>
    <w:pPr>
      <w:spacing w:before="120" w:after="120"/>
    </w:pPr>
    <w:rPr>
      <w:b/>
      <w:sz w:val="24"/>
    </w:rPr>
  </w:style>
  <w:style w:type="paragraph" w:customStyle="1" w:styleId="TableFigureSource">
    <w:name w:val="Table/Figure Source"/>
    <w:basedOn w:val="Normal"/>
    <w:next w:val="BodyText"/>
    <w:link w:val="TableFigureSourceChar"/>
    <w:qFormat/>
    <w:rsid w:val="00127E0E"/>
    <w:rPr>
      <w:i/>
      <w:sz w:val="18"/>
    </w:rPr>
  </w:style>
  <w:style w:type="character" w:customStyle="1" w:styleId="TableFigureSourceChar">
    <w:name w:val="Table/Figure Source Char"/>
    <w:link w:val="TableFigureSource"/>
    <w:rsid w:val="005E5B4A"/>
    <w:rPr>
      <w:rFonts w:ascii="Arial" w:hAnsi="Arial"/>
      <w:i/>
      <w:sz w:val="18"/>
    </w:rPr>
  </w:style>
  <w:style w:type="table" w:styleId="TableGridLight">
    <w:name w:val="Grid Table Light"/>
    <w:basedOn w:val="TableNormal"/>
    <w:uiPriority w:val="40"/>
    <w:rsid w:val="005E5B4A"/>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SIReport1">
    <w:name w:val="ESI Report 1"/>
    <w:basedOn w:val="TableNormal"/>
    <w:uiPriority w:val="99"/>
    <w:qFormat/>
    <w:rsid w:val="005E5B4A"/>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5E5B4A"/>
    <w:pPr>
      <w:spacing w:before="240" w:after="240"/>
    </w:pPr>
    <w:rPr>
      <w:b/>
      <w:iCs/>
      <w:sz w:val="24"/>
    </w:rPr>
  </w:style>
  <w:style w:type="character" w:customStyle="1" w:styleId="ExecSummaryLevel3Char">
    <w:name w:val="Exec Summary Level 3 Char"/>
    <w:basedOn w:val="DefaultParagraphFont"/>
    <w:link w:val="ExecSummaryLevel3"/>
    <w:rsid w:val="005E5B4A"/>
    <w:rPr>
      <w:rFonts w:ascii="Arial" w:hAnsi="Arial"/>
      <w:b/>
      <w:iCs/>
      <w:sz w:val="24"/>
    </w:rPr>
  </w:style>
  <w:style w:type="paragraph" w:customStyle="1" w:styleId="CoverClientName0">
    <w:name w:val="Cover_Client Name"/>
    <w:basedOn w:val="Title"/>
    <w:next w:val="BodyText"/>
    <w:rsid w:val="00D50813"/>
    <w:pPr>
      <w:spacing w:after="520"/>
    </w:pPr>
    <w:rPr>
      <w:sz w:val="28"/>
    </w:rPr>
  </w:style>
  <w:style w:type="paragraph" w:customStyle="1" w:styleId="Preparedfor">
    <w:name w:val="Prepared for"/>
    <w:basedOn w:val="Title"/>
    <w:next w:val="CoverClientName0"/>
    <w:rsid w:val="00D50813"/>
    <w:pPr>
      <w:spacing w:before="240" w:after="520"/>
    </w:pPr>
    <w:rPr>
      <w:sz w:val="28"/>
    </w:rPr>
  </w:style>
  <w:style w:type="paragraph" w:customStyle="1" w:styleId="TableFigureNote">
    <w:name w:val="Table/Figure Note"/>
    <w:basedOn w:val="TableFigureSource"/>
    <w:next w:val="TableFigureSource"/>
    <w:qFormat/>
    <w:rsid w:val="00440FBF"/>
    <w:rPr>
      <w:i w:val="0"/>
    </w:rPr>
  </w:style>
  <w:style w:type="paragraph" w:styleId="Bibliography">
    <w:name w:val="Bibliography"/>
    <w:basedOn w:val="Normal"/>
    <w:next w:val="Normal"/>
    <w:uiPriority w:val="37"/>
    <w:semiHidden/>
    <w:unhideWhenUsed/>
    <w:rsid w:val="005E5B4A"/>
  </w:style>
  <w:style w:type="paragraph" w:styleId="BodyText2">
    <w:name w:val="Body Text 2"/>
    <w:basedOn w:val="Normal"/>
    <w:link w:val="BodyText2Char"/>
    <w:semiHidden/>
    <w:unhideWhenUsed/>
    <w:locked/>
    <w:rsid w:val="005E5B4A"/>
    <w:pPr>
      <w:spacing w:after="120" w:line="480" w:lineRule="auto"/>
    </w:pPr>
  </w:style>
  <w:style w:type="character" w:customStyle="1" w:styleId="BodyText2Char">
    <w:name w:val="Body Text 2 Char"/>
    <w:basedOn w:val="DefaultParagraphFont"/>
    <w:link w:val="BodyText2"/>
    <w:semiHidden/>
    <w:rsid w:val="005E5B4A"/>
    <w:rPr>
      <w:rFonts w:ascii="Arial" w:hAnsi="Arial"/>
      <w:sz w:val="22"/>
    </w:rPr>
  </w:style>
  <w:style w:type="paragraph" w:styleId="BodyText3">
    <w:name w:val="Body Text 3"/>
    <w:basedOn w:val="Normal"/>
    <w:link w:val="BodyText3Char"/>
    <w:semiHidden/>
    <w:unhideWhenUsed/>
    <w:locked/>
    <w:rsid w:val="005E5B4A"/>
    <w:pPr>
      <w:spacing w:after="120"/>
    </w:pPr>
    <w:rPr>
      <w:sz w:val="16"/>
      <w:szCs w:val="16"/>
    </w:rPr>
  </w:style>
  <w:style w:type="character" w:customStyle="1" w:styleId="BodyText3Char">
    <w:name w:val="Body Text 3 Char"/>
    <w:basedOn w:val="DefaultParagraphFont"/>
    <w:link w:val="BodyText3"/>
    <w:semiHidden/>
    <w:rsid w:val="005E5B4A"/>
    <w:rPr>
      <w:rFonts w:ascii="Arial" w:hAnsi="Arial"/>
      <w:sz w:val="16"/>
      <w:szCs w:val="16"/>
    </w:rPr>
  </w:style>
  <w:style w:type="paragraph" w:styleId="HTMLAddress">
    <w:name w:val="HTML Address"/>
    <w:basedOn w:val="Normal"/>
    <w:link w:val="HTMLAddressChar"/>
    <w:semiHidden/>
    <w:unhideWhenUsed/>
    <w:locked/>
    <w:rsid w:val="005E5B4A"/>
    <w:rPr>
      <w:i/>
      <w:iCs/>
    </w:rPr>
  </w:style>
  <w:style w:type="character" w:customStyle="1" w:styleId="HTMLAddressChar">
    <w:name w:val="HTML Address Char"/>
    <w:basedOn w:val="DefaultParagraphFont"/>
    <w:link w:val="HTMLAddress"/>
    <w:semiHidden/>
    <w:rsid w:val="005E5B4A"/>
    <w:rPr>
      <w:rFonts w:ascii="Arial" w:hAnsi="Arial"/>
      <w:i/>
      <w:iCs/>
      <w:sz w:val="22"/>
    </w:rPr>
  </w:style>
  <w:style w:type="paragraph" w:styleId="HTMLPreformatted">
    <w:name w:val="HTML Preformatted"/>
    <w:basedOn w:val="Normal"/>
    <w:link w:val="HTMLPreformattedChar"/>
    <w:semiHidden/>
    <w:unhideWhenUsed/>
    <w:locked/>
    <w:rsid w:val="005E5B4A"/>
    <w:rPr>
      <w:rFonts w:ascii="Consolas" w:hAnsi="Consolas"/>
    </w:rPr>
  </w:style>
  <w:style w:type="character" w:customStyle="1" w:styleId="HTMLPreformattedChar">
    <w:name w:val="HTML Preformatted Char"/>
    <w:basedOn w:val="DefaultParagraphFont"/>
    <w:link w:val="HTMLPreformatted"/>
    <w:semiHidden/>
    <w:rsid w:val="005E5B4A"/>
    <w:rPr>
      <w:rFonts w:ascii="Consolas" w:hAnsi="Consolas"/>
      <w:sz w:val="22"/>
    </w:rPr>
  </w:style>
  <w:style w:type="paragraph" w:styleId="Index8">
    <w:name w:val="index 8"/>
    <w:basedOn w:val="Normal"/>
    <w:next w:val="Normal"/>
    <w:autoRedefine/>
    <w:semiHidden/>
    <w:unhideWhenUsed/>
    <w:locked/>
    <w:rsid w:val="005E5B4A"/>
    <w:pPr>
      <w:ind w:left="1600" w:hanging="200"/>
    </w:pPr>
  </w:style>
  <w:style w:type="paragraph" w:styleId="Index9">
    <w:name w:val="index 9"/>
    <w:basedOn w:val="Normal"/>
    <w:next w:val="Normal"/>
    <w:autoRedefine/>
    <w:semiHidden/>
    <w:unhideWhenUsed/>
    <w:locked/>
    <w:rsid w:val="005E5B4A"/>
    <w:pPr>
      <w:ind w:left="1800" w:hanging="200"/>
    </w:pPr>
  </w:style>
  <w:style w:type="paragraph" w:styleId="IntenseQuote">
    <w:name w:val="Intense Quote"/>
    <w:basedOn w:val="Normal"/>
    <w:next w:val="Normal"/>
    <w:link w:val="IntenseQuoteChar"/>
    <w:uiPriority w:val="30"/>
    <w:rsid w:val="005E5B4A"/>
    <w:pPr>
      <w:pBdr>
        <w:top w:val="single" w:sz="4" w:space="10" w:color="93D500" w:themeColor="accent1"/>
        <w:bottom w:val="single" w:sz="4" w:space="10" w:color="93D500" w:themeColor="accent1"/>
      </w:pBdr>
      <w:spacing w:before="360" w:after="360"/>
      <w:ind w:left="864" w:right="864"/>
      <w:jc w:val="center"/>
    </w:pPr>
    <w:rPr>
      <w:i/>
      <w:iCs/>
      <w:color w:val="93D500" w:themeColor="accent1"/>
    </w:rPr>
  </w:style>
  <w:style w:type="character" w:customStyle="1" w:styleId="IntenseQuoteChar">
    <w:name w:val="Intense Quote Char"/>
    <w:basedOn w:val="DefaultParagraphFont"/>
    <w:link w:val="IntenseQuote"/>
    <w:uiPriority w:val="30"/>
    <w:rsid w:val="005E5B4A"/>
    <w:rPr>
      <w:rFonts w:ascii="Arial" w:hAnsi="Arial"/>
      <w:i/>
      <w:iCs/>
      <w:color w:val="93D500" w:themeColor="accent1"/>
      <w:sz w:val="22"/>
    </w:rPr>
  </w:style>
  <w:style w:type="paragraph" w:styleId="List">
    <w:name w:val="List"/>
    <w:basedOn w:val="Normal"/>
    <w:semiHidden/>
    <w:unhideWhenUsed/>
    <w:locked/>
    <w:rsid w:val="005E5B4A"/>
    <w:pPr>
      <w:ind w:left="360" w:hanging="360"/>
      <w:contextualSpacing/>
    </w:pPr>
  </w:style>
  <w:style w:type="paragraph" w:styleId="List3">
    <w:name w:val="List 3"/>
    <w:basedOn w:val="Normal"/>
    <w:semiHidden/>
    <w:unhideWhenUsed/>
    <w:locked/>
    <w:rsid w:val="005E5B4A"/>
    <w:pPr>
      <w:ind w:left="1080" w:hanging="360"/>
      <w:contextualSpacing/>
    </w:pPr>
  </w:style>
  <w:style w:type="paragraph" w:styleId="List5">
    <w:name w:val="List 5"/>
    <w:basedOn w:val="Normal"/>
    <w:locked/>
    <w:rsid w:val="005E5B4A"/>
    <w:pPr>
      <w:ind w:left="1800" w:hanging="360"/>
      <w:contextualSpacing/>
    </w:pPr>
  </w:style>
  <w:style w:type="paragraph" w:styleId="ListBullet5">
    <w:name w:val="List Bullet 5"/>
    <w:basedOn w:val="Normal"/>
    <w:semiHidden/>
    <w:unhideWhenUsed/>
    <w:locked/>
    <w:rsid w:val="005E5B4A"/>
    <w:pPr>
      <w:numPr>
        <w:numId w:val="21"/>
      </w:numPr>
      <w:contextualSpacing/>
    </w:pPr>
  </w:style>
  <w:style w:type="paragraph" w:styleId="ListContinue">
    <w:name w:val="List Continue"/>
    <w:basedOn w:val="Normal"/>
    <w:semiHidden/>
    <w:unhideWhenUsed/>
    <w:locked/>
    <w:rsid w:val="005E5B4A"/>
    <w:pPr>
      <w:spacing w:after="120"/>
      <w:ind w:left="360"/>
      <w:contextualSpacing/>
    </w:pPr>
  </w:style>
  <w:style w:type="paragraph" w:styleId="ListContinue2">
    <w:name w:val="List Continue 2"/>
    <w:basedOn w:val="Normal"/>
    <w:semiHidden/>
    <w:unhideWhenUsed/>
    <w:locked/>
    <w:rsid w:val="005E5B4A"/>
    <w:pPr>
      <w:spacing w:after="120"/>
      <w:ind w:left="720"/>
      <w:contextualSpacing/>
    </w:pPr>
  </w:style>
  <w:style w:type="paragraph" w:styleId="ListContinue3">
    <w:name w:val="List Continue 3"/>
    <w:basedOn w:val="Normal"/>
    <w:semiHidden/>
    <w:unhideWhenUsed/>
    <w:locked/>
    <w:rsid w:val="005E5B4A"/>
    <w:pPr>
      <w:spacing w:after="120"/>
      <w:ind w:left="1080"/>
      <w:contextualSpacing/>
    </w:pPr>
  </w:style>
  <w:style w:type="paragraph" w:styleId="ListContinue4">
    <w:name w:val="List Continue 4"/>
    <w:basedOn w:val="Normal"/>
    <w:semiHidden/>
    <w:unhideWhenUsed/>
    <w:locked/>
    <w:rsid w:val="005E5B4A"/>
    <w:pPr>
      <w:spacing w:after="120"/>
      <w:ind w:left="1440"/>
      <w:contextualSpacing/>
    </w:pPr>
  </w:style>
  <w:style w:type="paragraph" w:styleId="ListContinue5">
    <w:name w:val="List Continue 5"/>
    <w:basedOn w:val="Normal"/>
    <w:semiHidden/>
    <w:unhideWhenUsed/>
    <w:locked/>
    <w:rsid w:val="005E5B4A"/>
    <w:pPr>
      <w:spacing w:after="120"/>
      <w:ind w:left="1800"/>
      <w:contextualSpacing/>
    </w:pPr>
  </w:style>
  <w:style w:type="paragraph" w:styleId="ListNumber5">
    <w:name w:val="List Number 5"/>
    <w:basedOn w:val="Normal"/>
    <w:semiHidden/>
    <w:unhideWhenUsed/>
    <w:locked/>
    <w:rsid w:val="005E5B4A"/>
    <w:pPr>
      <w:numPr>
        <w:numId w:val="26"/>
      </w:numPr>
      <w:contextualSpacing/>
    </w:pPr>
  </w:style>
  <w:style w:type="paragraph" w:styleId="NoteHeading">
    <w:name w:val="Note Heading"/>
    <w:basedOn w:val="Normal"/>
    <w:next w:val="Normal"/>
    <w:link w:val="NoteHeadingChar"/>
    <w:semiHidden/>
    <w:unhideWhenUsed/>
    <w:locked/>
    <w:rsid w:val="005E5B4A"/>
  </w:style>
  <w:style w:type="character" w:customStyle="1" w:styleId="NoteHeadingChar">
    <w:name w:val="Note Heading Char"/>
    <w:basedOn w:val="DefaultParagraphFont"/>
    <w:link w:val="NoteHeading"/>
    <w:semiHidden/>
    <w:rsid w:val="005E5B4A"/>
    <w:rPr>
      <w:rFonts w:ascii="Arial" w:hAnsi="Arial"/>
      <w:sz w:val="22"/>
    </w:rPr>
  </w:style>
  <w:style w:type="paragraph" w:styleId="Salutation">
    <w:name w:val="Salutation"/>
    <w:basedOn w:val="Normal"/>
    <w:next w:val="Normal"/>
    <w:link w:val="SalutationChar"/>
    <w:locked/>
    <w:rsid w:val="005E5B4A"/>
  </w:style>
  <w:style w:type="character" w:customStyle="1" w:styleId="SalutationChar">
    <w:name w:val="Salutation Char"/>
    <w:basedOn w:val="DefaultParagraphFont"/>
    <w:link w:val="Salutation"/>
    <w:rsid w:val="005E5B4A"/>
    <w:rPr>
      <w:rFonts w:ascii="Arial" w:hAnsi="Arial"/>
      <w:sz w:val="22"/>
    </w:rPr>
  </w:style>
  <w:style w:type="paragraph" w:styleId="Signature">
    <w:name w:val="Signature"/>
    <w:basedOn w:val="Normal"/>
    <w:link w:val="SignatureChar"/>
    <w:semiHidden/>
    <w:unhideWhenUsed/>
    <w:locked/>
    <w:rsid w:val="005E5B4A"/>
    <w:pPr>
      <w:ind w:left="4320"/>
    </w:pPr>
  </w:style>
  <w:style w:type="character" w:customStyle="1" w:styleId="SignatureChar">
    <w:name w:val="Signature Char"/>
    <w:basedOn w:val="DefaultParagraphFont"/>
    <w:link w:val="Signature"/>
    <w:semiHidden/>
    <w:rsid w:val="005E5B4A"/>
    <w:rPr>
      <w:rFonts w:ascii="Arial" w:hAnsi="Arial"/>
      <w:sz w:val="22"/>
    </w:rPr>
  </w:style>
  <w:style w:type="paragraph" w:styleId="TableofAuthorities">
    <w:name w:val="table of authorities"/>
    <w:basedOn w:val="Normal"/>
    <w:next w:val="Normal"/>
    <w:semiHidden/>
    <w:unhideWhenUsed/>
    <w:locked/>
    <w:rsid w:val="005E5B4A"/>
    <w:pPr>
      <w:ind w:left="200" w:hanging="200"/>
    </w:pPr>
  </w:style>
  <w:style w:type="paragraph" w:styleId="TOAHeading">
    <w:name w:val="toa heading"/>
    <w:basedOn w:val="Normal"/>
    <w:next w:val="Normal"/>
    <w:semiHidden/>
    <w:unhideWhenUsed/>
    <w:locked/>
    <w:rsid w:val="005E5B4A"/>
    <w:pPr>
      <w:spacing w:before="120"/>
    </w:pPr>
    <w:rPr>
      <w:rFonts w:asciiTheme="majorHAnsi" w:eastAsiaTheme="majorEastAsia" w:hAnsiTheme="majorHAnsi" w:cstheme="majorBidi"/>
      <w:b/>
      <w:bCs/>
      <w:sz w:val="24"/>
      <w:szCs w:val="24"/>
    </w:rPr>
  </w:style>
  <w:style w:type="paragraph" w:customStyle="1" w:styleId="GHTableCaption">
    <w:name w:val="GH_Table_Caption"/>
    <w:basedOn w:val="Normal"/>
    <w:next w:val="Normal"/>
    <w:rsid w:val="005E5B4A"/>
    <w:pPr>
      <w:numPr>
        <w:numId w:val="15"/>
      </w:numPr>
      <w:tabs>
        <w:tab w:val="clear" w:pos="720"/>
        <w:tab w:val="left" w:pos="1008"/>
      </w:tabs>
      <w:jc w:val="center"/>
    </w:pPr>
    <w:rPr>
      <w:b/>
      <w:szCs w:val="24"/>
    </w:rPr>
  </w:style>
  <w:style w:type="paragraph" w:customStyle="1" w:styleId="ProvidedTo-By">
    <w:name w:val="Provided To-By"/>
    <w:basedOn w:val="Normal"/>
    <w:qFormat/>
    <w:rsid w:val="005E5B4A"/>
    <w:rPr>
      <w:sz w:val="16"/>
      <w:szCs w:val="24"/>
    </w:rPr>
  </w:style>
  <w:style w:type="paragraph" w:customStyle="1" w:styleId="SolicitationNumber">
    <w:name w:val="Solicitation Number"/>
    <w:basedOn w:val="Normal"/>
    <w:rsid w:val="005E5B4A"/>
    <w:pPr>
      <w:framePr w:wrap="around" w:hAnchor="text"/>
    </w:pPr>
    <w:rPr>
      <w:szCs w:val="24"/>
    </w:rPr>
  </w:style>
  <w:style w:type="paragraph" w:customStyle="1" w:styleId="ProposalSub-Title">
    <w:name w:val="Proposal Sub-Title"/>
    <w:basedOn w:val="Normal"/>
    <w:rsid w:val="005E5B4A"/>
    <w:rPr>
      <w:sz w:val="32"/>
      <w:szCs w:val="24"/>
    </w:rPr>
  </w:style>
  <w:style w:type="paragraph" w:customStyle="1" w:styleId="ProposalVolumeNumber">
    <w:name w:val="Proposal Volume Number"/>
    <w:basedOn w:val="Normal"/>
    <w:rsid w:val="005E5B4A"/>
    <w:pPr>
      <w:spacing w:after="240"/>
    </w:pPr>
    <w:rPr>
      <w:sz w:val="32"/>
      <w:szCs w:val="24"/>
    </w:rPr>
  </w:style>
  <w:style w:type="paragraph" w:customStyle="1" w:styleId="ProposalDueDate">
    <w:name w:val="Proposal Due Date"/>
    <w:basedOn w:val="Normal"/>
    <w:rsid w:val="005E5B4A"/>
    <w:pPr>
      <w:framePr w:wrap="around" w:hAnchor="text"/>
    </w:pPr>
    <w:rPr>
      <w:sz w:val="32"/>
      <w:szCs w:val="24"/>
    </w:rPr>
  </w:style>
  <w:style w:type="paragraph" w:customStyle="1" w:styleId="TitlepageRestriction">
    <w:name w:val="Titlepage_Restriction"/>
    <w:basedOn w:val="Normal"/>
    <w:rsid w:val="005E5B4A"/>
    <w:rPr>
      <w:sz w:val="16"/>
      <w:szCs w:val="24"/>
    </w:rPr>
  </w:style>
  <w:style w:type="paragraph" w:customStyle="1" w:styleId="BodyTextBold">
    <w:name w:val="Body Text Bold"/>
    <w:basedOn w:val="BodyText"/>
    <w:link w:val="BodyTextBoldChar"/>
    <w:qFormat/>
    <w:rsid w:val="005E5B4A"/>
    <w:rPr>
      <w:b/>
      <w:noProof/>
      <w:szCs w:val="16"/>
    </w:rPr>
  </w:style>
  <w:style w:type="character" w:customStyle="1" w:styleId="BodyTextBoldChar">
    <w:name w:val="Body Text Bold Char"/>
    <w:basedOn w:val="BodyTextChar"/>
    <w:link w:val="BodyTextBold"/>
    <w:rsid w:val="005E5B4A"/>
    <w:rPr>
      <w:rFonts w:ascii="Arial" w:hAnsi="Arial"/>
      <w:b/>
      <w:noProof/>
      <w:sz w:val="22"/>
      <w:szCs w:val="16"/>
    </w:rPr>
  </w:style>
  <w:style w:type="paragraph" w:customStyle="1" w:styleId="BodyTextNoSpacingAfter">
    <w:name w:val="Body Text No Spacing After"/>
    <w:basedOn w:val="BodyText"/>
    <w:link w:val="BodyTextNoSpacingAfterChar"/>
    <w:qFormat/>
    <w:rsid w:val="005E5B4A"/>
    <w:pPr>
      <w:spacing w:after="0"/>
    </w:pPr>
    <w:rPr>
      <w:iCs/>
      <w:szCs w:val="16"/>
    </w:rPr>
  </w:style>
  <w:style w:type="paragraph" w:customStyle="1" w:styleId="Bodytext0">
    <w:name w:val="Bodytext"/>
    <w:basedOn w:val="Normal"/>
    <w:link w:val="BodytextChar0"/>
    <w:rsid w:val="005E5B4A"/>
    <w:pPr>
      <w:spacing w:after="160"/>
    </w:pPr>
    <w:rPr>
      <w:szCs w:val="24"/>
    </w:rPr>
  </w:style>
  <w:style w:type="paragraph" w:customStyle="1" w:styleId="BodytextHeading">
    <w:name w:val="Bodytext_Heading"/>
    <w:basedOn w:val="Bodytext0"/>
    <w:next w:val="Bodytext0"/>
    <w:rsid w:val="005E5B4A"/>
    <w:pPr>
      <w:spacing w:before="160"/>
    </w:pPr>
    <w:rPr>
      <w:b/>
    </w:rPr>
  </w:style>
  <w:style w:type="character" w:customStyle="1" w:styleId="BodytextChar0">
    <w:name w:val="Bodytext Char"/>
    <w:basedOn w:val="DefaultParagraphFont"/>
    <w:link w:val="Bodytext0"/>
    <w:locked/>
    <w:rsid w:val="005E5B4A"/>
    <w:rPr>
      <w:rFonts w:ascii="Arial" w:hAnsi="Arial"/>
      <w:sz w:val="22"/>
      <w:szCs w:val="24"/>
    </w:rPr>
  </w:style>
  <w:style w:type="table" w:customStyle="1" w:styleId="ESIReport2">
    <w:name w:val="ESI Report 2"/>
    <w:basedOn w:val="TableNormal"/>
    <w:uiPriority w:val="99"/>
    <w:rsid w:val="005E5B4A"/>
    <w:pPr>
      <w:spacing w:before="40" w:after="40"/>
    </w:pPr>
    <w:rPr>
      <w:rFonts w:ascii="Arial" w:hAnsi="Arial"/>
    </w:rPr>
    <w:tblPr>
      <w:jc w:val="center"/>
      <w:tblBorders>
        <w:insideH w:val="single" w:sz="4" w:space="0" w:color="8C8C8C"/>
      </w:tblBorders>
    </w:tblPr>
    <w:trPr>
      <w:jc w:val="center"/>
    </w:trPr>
    <w:tcPr>
      <w:vAlign w:val="center"/>
    </w:tcPr>
    <w:tblStylePr w:type="firstRow">
      <w:rPr>
        <w:b/>
        <w:color w:val="auto"/>
      </w:rPr>
      <w:tblPr/>
      <w:tcPr>
        <w:tcBorders>
          <w:top w:val="nil"/>
          <w:left w:val="nil"/>
          <w:bottom w:val="single" w:sz="4" w:space="0" w:color="8C8C8C"/>
          <w:right w:val="nil"/>
          <w:insideH w:val="nil"/>
          <w:insideV w:val="nil"/>
          <w:tl2br w:val="nil"/>
          <w:tr2bl w:val="nil"/>
        </w:tcBorders>
        <w:shd w:val="clear" w:color="auto" w:fill="93D500" w:themeFill="accent1"/>
      </w:tcPr>
    </w:tblStylePr>
    <w:tblStylePr w:type="lastRow">
      <w:rPr>
        <w:b/>
      </w:rPr>
      <w:tblPr/>
      <w:tcPr>
        <w:tcBorders>
          <w:top w:val="single" w:sz="4" w:space="0" w:color="8C8C8C"/>
          <w:left w:val="nil"/>
          <w:bottom w:val="single" w:sz="4" w:space="0" w:color="8C8C8C"/>
          <w:right w:val="nil"/>
          <w:insideH w:val="nil"/>
          <w:insideV w:val="nil"/>
          <w:tl2br w:val="nil"/>
          <w:tr2bl w:val="nil"/>
        </w:tcBorders>
      </w:tcPr>
    </w:tblStylePr>
  </w:style>
  <w:style w:type="paragraph" w:customStyle="1" w:styleId="Tablebody0">
    <w:name w:val="Tablebody"/>
    <w:basedOn w:val="Bodytext0"/>
    <w:rsid w:val="005E5B4A"/>
    <w:pPr>
      <w:spacing w:before="40" w:after="40"/>
    </w:pPr>
    <w:rPr>
      <w:sz w:val="20"/>
    </w:rPr>
  </w:style>
  <w:style w:type="paragraph" w:customStyle="1" w:styleId="TableBullet1">
    <w:name w:val="TableBullet1"/>
    <w:basedOn w:val="Tablebody0"/>
    <w:rsid w:val="005E5B4A"/>
    <w:pPr>
      <w:numPr>
        <w:numId w:val="33"/>
      </w:numPr>
      <w:tabs>
        <w:tab w:val="clear" w:pos="360"/>
      </w:tabs>
    </w:pPr>
  </w:style>
  <w:style w:type="paragraph" w:customStyle="1" w:styleId="Tablenote">
    <w:name w:val="Tablenote"/>
    <w:basedOn w:val="Tablebody0"/>
    <w:rsid w:val="005E5B4A"/>
    <w:rPr>
      <w:sz w:val="18"/>
    </w:rPr>
  </w:style>
  <w:style w:type="paragraph" w:customStyle="1" w:styleId="Tablesubheader">
    <w:name w:val="Tablesubheader"/>
    <w:basedOn w:val="Normal"/>
    <w:rsid w:val="005E5B4A"/>
    <w:pPr>
      <w:spacing w:before="40" w:after="40"/>
    </w:pPr>
    <w:rPr>
      <w:b/>
      <w:sz w:val="20"/>
      <w:szCs w:val="24"/>
    </w:rPr>
  </w:style>
  <w:style w:type="character" w:customStyle="1" w:styleId="BodyTextNoSpacingAfterChar">
    <w:name w:val="Body Text No Spacing After Char"/>
    <w:basedOn w:val="DefaultParagraphFont"/>
    <w:link w:val="BodyTextNoSpacingAfter"/>
    <w:rsid w:val="005F145D"/>
    <w:rPr>
      <w:rFonts w:ascii="Arial" w:hAnsi="Arial"/>
      <w:iCs/>
      <w:sz w:val="22"/>
      <w:szCs w:val="16"/>
    </w:rPr>
  </w:style>
  <w:style w:type="paragraph" w:customStyle="1" w:styleId="ProposalTitle">
    <w:name w:val="Proposal Title"/>
    <w:basedOn w:val="Normal"/>
    <w:rsid w:val="005E5B4A"/>
    <w:pPr>
      <w:spacing w:after="240"/>
    </w:pPr>
    <w:rPr>
      <w:b/>
      <w:sz w:val="44"/>
      <w:szCs w:val="24"/>
    </w:rPr>
  </w:style>
  <w:style w:type="table" w:customStyle="1" w:styleId="NCITable">
    <w:name w:val="NCI Table"/>
    <w:uiPriority w:val="99"/>
    <w:rsid w:val="001B5EAD"/>
    <w:pPr>
      <w:spacing w:after="240"/>
    </w:pPr>
    <w:tblPr>
      <w:tblInd w:w="0" w:type="dxa"/>
      <w:tblCellMar>
        <w:top w:w="0" w:type="dxa"/>
        <w:left w:w="108" w:type="dxa"/>
        <w:bottom w:w="0" w:type="dxa"/>
        <w:right w:w="108" w:type="dxa"/>
      </w:tblCellMar>
    </w:tblPr>
  </w:style>
  <w:style w:type="table" w:customStyle="1" w:styleId="Style2">
    <w:name w:val="Style2"/>
    <w:uiPriority w:val="99"/>
    <w:rsid w:val="001B5EAD"/>
    <w:pPr>
      <w:spacing w:after="240"/>
    </w:pPr>
    <w:tblPr>
      <w:tblInd w:w="0" w:type="dxa"/>
      <w:tblCellMar>
        <w:top w:w="0" w:type="dxa"/>
        <w:left w:w="108" w:type="dxa"/>
        <w:bottom w:w="0" w:type="dxa"/>
        <w:right w:w="108" w:type="dxa"/>
      </w:tblCellMar>
    </w:tblPr>
  </w:style>
  <w:style w:type="table" w:customStyle="1" w:styleId="Style3">
    <w:name w:val="Style3"/>
    <w:uiPriority w:val="99"/>
    <w:qFormat/>
    <w:rsid w:val="001B5EAD"/>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table" w:customStyle="1" w:styleId="TableSBAltSource">
    <w:name w:val="Table SB Alt Source"/>
    <w:uiPriority w:val="99"/>
    <w:rsid w:val="001B5EAD"/>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1B5EAD"/>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table" w:customStyle="1" w:styleId="TableSBNoSource">
    <w:name w:val="Table SB No Source"/>
    <w:uiPriority w:val="99"/>
    <w:rsid w:val="001B5EAD"/>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table" w:customStyle="1" w:styleId="TableStyle1">
    <w:name w:val="Table Style1"/>
    <w:uiPriority w:val="99"/>
    <w:rsid w:val="001B5EAD"/>
    <w:pPr>
      <w:spacing w:after="240"/>
    </w:pPr>
    <w:tblPr>
      <w:tblInd w:w="0" w:type="dxa"/>
      <w:tblCellMar>
        <w:top w:w="0" w:type="dxa"/>
        <w:left w:w="108" w:type="dxa"/>
        <w:bottom w:w="0" w:type="dxa"/>
        <w:right w:w="108" w:type="dxa"/>
      </w:tblCellMar>
    </w:tblPr>
  </w:style>
  <w:style w:type="table" w:customStyle="1" w:styleId="ComEdReportTable">
    <w:name w:val="ComEdReportTable"/>
    <w:uiPriority w:val="99"/>
    <w:qFormat/>
    <w:rsid w:val="001B5EAD"/>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ComEdReportTable1">
    <w:name w:val="ComEdReportTable1"/>
    <w:uiPriority w:val="99"/>
    <w:rsid w:val="001B5EAD"/>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Style31">
    <w:name w:val="Style31"/>
    <w:uiPriority w:val="99"/>
    <w:rsid w:val="001B5EAD"/>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table" w:customStyle="1" w:styleId="EnergyPracticeTable">
    <w:name w:val="Energy Practice Table"/>
    <w:uiPriority w:val="99"/>
    <w:qFormat/>
    <w:rsid w:val="001B5EAD"/>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table" w:customStyle="1" w:styleId="TableGrid10">
    <w:name w:val="Table Grid1"/>
    <w:basedOn w:val="TableNormal"/>
    <w:next w:val="TableGrid"/>
    <w:uiPriority w:val="39"/>
    <w:rsid w:val="001B5E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1B5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ItronBasic">
    <w:name w:val="ItronBasic"/>
    <w:basedOn w:val="TableNormal"/>
    <w:uiPriority w:val="99"/>
    <w:qFormat/>
    <w:rsid w:val="001B5EAD"/>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table" w:customStyle="1" w:styleId="EnergyPracticeTable1">
    <w:name w:val="Energy Practice Table1"/>
    <w:basedOn w:val="TableNormal"/>
    <w:uiPriority w:val="99"/>
    <w:qFormat/>
    <w:rsid w:val="001B5EAD"/>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Century Gothic" w:hAnsi="Century Gothic" w:cs="Century Gothic"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Century Gothic" w:hAnsi="Century Gothic" w:cs="Century Gothic" w:hint="default"/>
        <w:color w:val="auto"/>
        <w:sz w:val="20"/>
        <w:szCs w:val="20"/>
      </w:rPr>
    </w:tblStylePr>
  </w:style>
  <w:style w:type="table" w:customStyle="1" w:styleId="Style32">
    <w:name w:val="Style32"/>
    <w:basedOn w:val="TableNormal"/>
    <w:uiPriority w:val="99"/>
    <w:qFormat/>
    <w:rsid w:val="001B5EAD"/>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table" w:customStyle="1" w:styleId="EnergyPracticeTable2">
    <w:name w:val="Energy Practice Table2"/>
    <w:basedOn w:val="TableNormal"/>
    <w:uiPriority w:val="99"/>
    <w:qFormat/>
    <w:rsid w:val="001B5EAD"/>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Century Gothic" w:hAnsi="Century Gothic"/>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Century Gothic" w:hAnsi="Century Gothic"/>
        <w:color w:val="auto"/>
        <w:sz w:val="20"/>
      </w:rPr>
    </w:tblStylePr>
  </w:style>
  <w:style w:type="table" w:customStyle="1" w:styleId="MediumShading1-Accent11">
    <w:name w:val="Medium Shading 1 - Accent 11"/>
    <w:basedOn w:val="TableNormal"/>
    <w:uiPriority w:val="63"/>
    <w:rsid w:val="001B5EA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omEdTable">
    <w:name w:val="ComEd Table"/>
    <w:basedOn w:val="TableNormal"/>
    <w:uiPriority w:val="99"/>
    <w:qFormat/>
    <w:rsid w:val="001B5EAD"/>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table" w:customStyle="1" w:styleId="MediumShading1-Accent61">
    <w:name w:val="Medium Shading 1 - Accent 61"/>
    <w:basedOn w:val="TableNormal"/>
    <w:next w:val="MediumShading1-Accent6"/>
    <w:uiPriority w:val="63"/>
    <w:rsid w:val="001B5EAD"/>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customStyle="1" w:styleId="EnergyTable1">
    <w:name w:val="Energy Table1"/>
    <w:basedOn w:val="TableNormal"/>
    <w:uiPriority w:val="99"/>
    <w:qFormat/>
    <w:rsid w:val="001B5EAD"/>
    <w:pPr>
      <w:spacing w:before="40" w:after="40"/>
      <w:jc w:val="center"/>
    </w:pPr>
    <w:rPr>
      <w:rFonts w:ascii="Arial" w:hAnsi="Arial"/>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nergyTable2">
    <w:name w:val="Energy Table2"/>
    <w:basedOn w:val="TableNormal"/>
    <w:uiPriority w:val="99"/>
    <w:qFormat/>
    <w:rsid w:val="001B5EAD"/>
    <w:pPr>
      <w:jc w:val="center"/>
    </w:pPr>
    <w:rPr>
      <w:rFonts w:ascii="Arial Narrow" w:hAnsi="Arial Narrow"/>
      <w:sz w:val="18"/>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pPr>
        <w:wordWrap/>
        <w:jc w:val="center"/>
      </w:pPr>
      <w:rPr>
        <w:rFonts w:ascii="Century Gothic" w:hAnsi="Century Gothic"/>
        <w:b/>
        <w:color w:val="FFFFFF"/>
        <w:sz w:val="20"/>
      </w:rPr>
      <w:tblPr/>
      <w:tcPr>
        <w:tcBorders>
          <w:bottom w:val="single" w:sz="12" w:space="0" w:color="C5A41C"/>
        </w:tcBorders>
        <w:shd w:val="clear" w:color="auto" w:fill="92876D"/>
      </w:tcPr>
    </w:tblStylePr>
    <w:tblStylePr w:type="lastRow">
      <w:tblPr/>
      <w:tcPr>
        <w:tcBorders>
          <w:top w:val="double" w:sz="4" w:space="0" w:color="92876D"/>
        </w:tcBorders>
      </w:tcPr>
    </w:tblStylePr>
    <w:tblStylePr w:type="firstCol">
      <w:rPr>
        <w:rFonts w:ascii="Century Gothic" w:hAnsi="Century Gothic"/>
        <w:b w:val="0"/>
        <w:color w:val="auto"/>
        <w:sz w:val="20"/>
      </w:rPr>
    </w:tblStylePr>
  </w:style>
  <w:style w:type="paragraph" w:customStyle="1" w:styleId="Bullets-ShortSingleSpace">
    <w:name w:val="Bullets - ShortSingleSpace"/>
    <w:basedOn w:val="Bullets-Short0"/>
    <w:uiPriority w:val="99"/>
    <w:rsid w:val="001B5EAD"/>
    <w:pPr>
      <w:numPr>
        <w:numId w:val="34"/>
      </w:numPr>
      <w:tabs>
        <w:tab w:val="left" w:pos="1080"/>
        <w:tab w:val="left" w:pos="1440"/>
      </w:tabs>
      <w:spacing w:before="0" w:after="240"/>
    </w:pPr>
    <w:rPr>
      <w:rFonts w:ascii="Palatino Linotype" w:hAnsi="Palatino Linotype" w:cs="Palatino Linotype"/>
    </w:rPr>
  </w:style>
  <w:style w:type="character" w:styleId="HTMLCite">
    <w:name w:val="HTML Cite"/>
    <w:basedOn w:val="DefaultParagraphFont"/>
    <w:uiPriority w:val="99"/>
    <w:unhideWhenUsed/>
    <w:locked/>
    <w:rsid w:val="001B5EAD"/>
    <w:rPr>
      <w:i/>
      <w:iCs/>
    </w:rPr>
  </w:style>
  <w:style w:type="table" w:customStyle="1" w:styleId="MediumShading11">
    <w:name w:val="Medium Shading 11"/>
    <w:basedOn w:val="TableNormal"/>
    <w:uiPriority w:val="63"/>
    <w:rsid w:val="001B5EA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idebarBullet">
    <w:name w:val="Sidebar Bullet"/>
    <w:basedOn w:val="Normal"/>
    <w:rsid w:val="001B5EAD"/>
    <w:pPr>
      <w:numPr>
        <w:numId w:val="35"/>
      </w:numPr>
      <w:tabs>
        <w:tab w:val="clear" w:pos="360"/>
        <w:tab w:val="num" w:pos="180"/>
      </w:tabs>
      <w:spacing w:before="40"/>
      <w:ind w:left="187" w:hanging="187"/>
    </w:pPr>
    <w:rPr>
      <w:rFonts w:ascii="Arial Narrow" w:hAnsi="Arial Narrow" w:cs="Arial"/>
      <w:color w:val="000000"/>
      <w:sz w:val="17"/>
      <w:lang w:val="fr-FR"/>
    </w:rPr>
  </w:style>
  <w:style w:type="paragraph" w:customStyle="1" w:styleId="Bullets-Major">
    <w:name w:val="Bullets - Major"/>
    <w:basedOn w:val="Normal"/>
    <w:link w:val="Bullets-MajorChar"/>
    <w:uiPriority w:val="99"/>
    <w:rsid w:val="001B5EAD"/>
    <w:pPr>
      <w:numPr>
        <w:numId w:val="36"/>
      </w:numPr>
    </w:pPr>
    <w:rPr>
      <w:color w:val="000000"/>
    </w:rPr>
  </w:style>
  <w:style w:type="character" w:customStyle="1" w:styleId="Bullets-MajorChar">
    <w:name w:val="Bullets - Major Char"/>
    <w:basedOn w:val="DefaultParagraphFont"/>
    <w:link w:val="Bullets-Major"/>
    <w:uiPriority w:val="99"/>
    <w:locked/>
    <w:rsid w:val="001B5EAD"/>
    <w:rPr>
      <w:rFonts w:ascii="Arial" w:hAnsi="Arial"/>
      <w:color w:val="000000"/>
      <w:sz w:val="22"/>
    </w:rPr>
  </w:style>
  <w:style w:type="paragraph" w:customStyle="1" w:styleId="FigureSpace">
    <w:name w:val="Figure Space"/>
    <w:basedOn w:val="Normal"/>
    <w:link w:val="FigureSpaceChar"/>
    <w:uiPriority w:val="99"/>
    <w:rsid w:val="001B5EAD"/>
    <w:pPr>
      <w:tabs>
        <w:tab w:val="left" w:pos="360"/>
        <w:tab w:val="left" w:pos="720"/>
        <w:tab w:val="left" w:pos="1080"/>
        <w:tab w:val="left" w:pos="1440"/>
      </w:tabs>
      <w:suppressAutoHyphens/>
      <w:spacing w:before="120" w:line="257" w:lineRule="auto"/>
      <w:jc w:val="center"/>
    </w:pPr>
    <w:rPr>
      <w:sz w:val="24"/>
    </w:rPr>
  </w:style>
  <w:style w:type="character" w:customStyle="1" w:styleId="FigureSpaceChar">
    <w:name w:val="Figure Space Char"/>
    <w:basedOn w:val="DefaultParagraphFont"/>
    <w:link w:val="FigureSpace"/>
    <w:uiPriority w:val="99"/>
    <w:locked/>
    <w:rsid w:val="001B5EAD"/>
    <w:rPr>
      <w:rFonts w:ascii="Arial" w:hAnsi="Arial"/>
      <w:sz w:val="24"/>
    </w:rPr>
  </w:style>
  <w:style w:type="table" w:customStyle="1" w:styleId="LightShading1">
    <w:name w:val="Light Shading1"/>
    <w:uiPriority w:val="99"/>
    <w:rsid w:val="001B5EAD"/>
    <w:rPr>
      <w:rFonts w:ascii="CG Times (W1)" w:hAnsi="CG Times (W1)"/>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LightList-Accent3">
    <w:name w:val="Light List Accent 3"/>
    <w:basedOn w:val="TableNormal"/>
    <w:uiPriority w:val="99"/>
    <w:rsid w:val="001B5EAD"/>
    <w:rPr>
      <w:rFonts w:ascii="CG Times (W1)" w:hAnsi="CG Times (W1)"/>
    </w:rPr>
    <w:tblPr>
      <w:tblStyleRowBandSize w:val="1"/>
      <w:tblStyleColBandSize w:val="1"/>
      <w:tblBorders>
        <w:top w:val="single" w:sz="8" w:space="0" w:color="B0C4D1"/>
        <w:left w:val="single" w:sz="8" w:space="0" w:color="B0C4D1"/>
        <w:bottom w:val="single" w:sz="8" w:space="0" w:color="B0C4D1"/>
        <w:right w:val="single" w:sz="8" w:space="0" w:color="B0C4D1"/>
      </w:tblBorders>
    </w:tblPr>
    <w:tblStylePr w:type="firstRow">
      <w:pPr>
        <w:spacing w:before="0" w:after="0"/>
      </w:pPr>
      <w:rPr>
        <w:rFonts w:cs="Times New Roman"/>
        <w:b/>
        <w:bCs/>
        <w:color w:val="FFFFFF"/>
      </w:rPr>
      <w:tblPr/>
      <w:tcPr>
        <w:shd w:val="clear" w:color="auto" w:fill="B0C4D1"/>
      </w:tcPr>
    </w:tblStylePr>
    <w:tblStylePr w:type="lastRow">
      <w:pPr>
        <w:spacing w:before="0" w:after="0"/>
      </w:pPr>
      <w:rPr>
        <w:rFonts w:cs="Times New Roman"/>
        <w:b/>
        <w:bCs/>
      </w:rPr>
      <w:tblPr/>
      <w:tcPr>
        <w:tcBorders>
          <w:top w:val="double" w:sz="6" w:space="0" w:color="B0C4D1"/>
          <w:left w:val="single" w:sz="8" w:space="0" w:color="B0C4D1"/>
          <w:bottom w:val="single" w:sz="8" w:space="0" w:color="B0C4D1"/>
          <w:right w:val="single" w:sz="8" w:space="0" w:color="B0C4D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0C4D1"/>
          <w:left w:val="single" w:sz="8" w:space="0" w:color="B0C4D1"/>
          <w:bottom w:val="single" w:sz="8" w:space="0" w:color="B0C4D1"/>
          <w:right w:val="single" w:sz="8" w:space="0" w:color="B0C4D1"/>
        </w:tcBorders>
      </w:tcPr>
    </w:tblStylePr>
    <w:tblStylePr w:type="band1Horz">
      <w:rPr>
        <w:rFonts w:cs="Times New Roman"/>
      </w:rPr>
      <w:tblPr/>
      <w:tcPr>
        <w:tcBorders>
          <w:top w:val="single" w:sz="8" w:space="0" w:color="B0C4D1"/>
          <w:left w:val="single" w:sz="8" w:space="0" w:color="B0C4D1"/>
          <w:bottom w:val="single" w:sz="8" w:space="0" w:color="B0C4D1"/>
          <w:right w:val="single" w:sz="8" w:space="0" w:color="B0C4D1"/>
        </w:tcBorders>
      </w:tcPr>
    </w:tblStylePr>
  </w:style>
  <w:style w:type="table" w:customStyle="1" w:styleId="MediumGrid11">
    <w:name w:val="Medium Grid 11"/>
    <w:uiPriority w:val="99"/>
    <w:rsid w:val="001B5EAD"/>
    <w:rPr>
      <w:rFonts w:ascii="CG Times (W1)" w:hAnsi="CG Times (W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character" w:styleId="SubtleReference">
    <w:name w:val="Subtle Reference"/>
    <w:basedOn w:val="DefaultParagraphFont"/>
    <w:uiPriority w:val="99"/>
    <w:qFormat/>
    <w:rsid w:val="001B5EAD"/>
    <w:rPr>
      <w:rFonts w:cs="Times New Roman"/>
      <w:smallCaps/>
      <w:color w:val="C0504D"/>
      <w:u w:val="single"/>
    </w:rPr>
  </w:style>
  <w:style w:type="table" w:customStyle="1" w:styleId="LightShading2">
    <w:name w:val="Light Shading2"/>
    <w:uiPriority w:val="99"/>
    <w:rsid w:val="001B5EAD"/>
    <w:rPr>
      <w:rFonts w:ascii="CG Times (W1)" w:hAnsi="CG Times (W1)"/>
      <w:color w:val="000000"/>
      <w:lang w:eastAsia="ja-JP"/>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GridTable4-Accent1">
    <w:name w:val="Grid Table 4 Accent 1"/>
    <w:basedOn w:val="TableNormal"/>
    <w:uiPriority w:val="49"/>
    <w:rsid w:val="001B5EAD"/>
    <w:rPr>
      <w:rFonts w:ascii="CG Times (W1)" w:hAnsi="CG Times (W1)"/>
      <w:sz w:val="22"/>
      <w:szCs w:val="22"/>
    </w:rPr>
    <w:tblPr>
      <w:tblStyleRowBandSize w:val="1"/>
      <w:tblStyleColBandSize w:val="1"/>
      <w:tblBorders>
        <w:top w:val="single" w:sz="4" w:space="0" w:color="C7FF4C" w:themeColor="accent1" w:themeTint="99"/>
        <w:left w:val="single" w:sz="4" w:space="0" w:color="C7FF4C" w:themeColor="accent1" w:themeTint="99"/>
        <w:bottom w:val="single" w:sz="4" w:space="0" w:color="C7FF4C" w:themeColor="accent1" w:themeTint="99"/>
        <w:right w:val="single" w:sz="4" w:space="0" w:color="C7FF4C" w:themeColor="accent1" w:themeTint="99"/>
        <w:insideH w:val="single" w:sz="4" w:space="0" w:color="C7FF4C" w:themeColor="accent1" w:themeTint="99"/>
        <w:insideV w:val="single" w:sz="4" w:space="0" w:color="C7FF4C" w:themeColor="accent1" w:themeTint="99"/>
      </w:tblBorders>
    </w:tblPr>
    <w:tblStylePr w:type="firstRow">
      <w:rPr>
        <w:b/>
        <w:bCs/>
        <w:color w:val="FFFFFF" w:themeColor="background1"/>
      </w:rPr>
      <w:tblPr/>
      <w:tcPr>
        <w:tcBorders>
          <w:top w:val="single" w:sz="4" w:space="0" w:color="93D500" w:themeColor="accent1"/>
          <w:left w:val="single" w:sz="4" w:space="0" w:color="93D500" w:themeColor="accent1"/>
          <w:bottom w:val="single" w:sz="4" w:space="0" w:color="93D500" w:themeColor="accent1"/>
          <w:right w:val="single" w:sz="4" w:space="0" w:color="93D500" w:themeColor="accent1"/>
          <w:insideH w:val="nil"/>
          <w:insideV w:val="nil"/>
        </w:tcBorders>
        <w:shd w:val="clear" w:color="auto" w:fill="93D500" w:themeFill="accent1"/>
      </w:tcPr>
    </w:tblStylePr>
    <w:tblStylePr w:type="lastRow">
      <w:rPr>
        <w:b/>
        <w:bCs/>
      </w:rPr>
      <w:tblPr/>
      <w:tcPr>
        <w:tcBorders>
          <w:top w:val="double" w:sz="4" w:space="0" w:color="93D500" w:themeColor="accent1"/>
        </w:tcBorders>
      </w:tcPr>
    </w:tblStylePr>
    <w:tblStylePr w:type="firstCol">
      <w:rPr>
        <w:b/>
        <w:bCs/>
      </w:rPr>
    </w:tblStylePr>
    <w:tblStylePr w:type="lastCol">
      <w:rPr>
        <w:b/>
        <w:bCs/>
      </w:rPr>
    </w:tblStylePr>
    <w:tblStylePr w:type="band1Vert">
      <w:tblPr/>
      <w:tcPr>
        <w:shd w:val="clear" w:color="auto" w:fill="ECFFC3" w:themeFill="accent1" w:themeFillTint="33"/>
      </w:tcPr>
    </w:tblStylePr>
    <w:tblStylePr w:type="band1Horz">
      <w:tblPr/>
      <w:tcPr>
        <w:shd w:val="clear" w:color="auto" w:fill="ECFFC3" w:themeFill="accent1" w:themeFillTint="33"/>
      </w:tcPr>
    </w:tblStylePr>
  </w:style>
  <w:style w:type="table" w:customStyle="1" w:styleId="EnergyTable3">
    <w:name w:val="Energy Table3"/>
    <w:basedOn w:val="TableNormal"/>
    <w:uiPriority w:val="99"/>
    <w:qFormat/>
    <w:rsid w:val="001B5EAD"/>
    <w:pPr>
      <w:spacing w:before="40" w:after="40"/>
      <w:jc w:val="center"/>
    </w:pPr>
    <w:rPr>
      <w:rFonts w:ascii="Arial" w:hAnsi="Arial"/>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Century Gothic" w:hAnsi="Century Gothic"/>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UnresolvedMention10">
    <w:name w:val="Unresolved Mention10"/>
    <w:basedOn w:val="DefaultParagraphFont"/>
    <w:uiPriority w:val="99"/>
    <w:semiHidden/>
    <w:unhideWhenUsed/>
    <w:rsid w:val="001B5EAD"/>
    <w:rPr>
      <w:color w:val="808080"/>
      <w:shd w:val="clear" w:color="auto" w:fill="E6E6E6"/>
    </w:rPr>
  </w:style>
  <w:style w:type="paragraph" w:customStyle="1" w:styleId="Style4Answers">
    <w:name w:val="Style4 Answers"/>
    <w:basedOn w:val="Normal"/>
    <w:next w:val="Normal"/>
    <w:qFormat/>
    <w:rsid w:val="001B5EAD"/>
    <w:pPr>
      <w:tabs>
        <w:tab w:val="num" w:pos="720"/>
      </w:tabs>
      <w:overflowPunct w:val="0"/>
      <w:autoSpaceDE w:val="0"/>
      <w:autoSpaceDN w:val="0"/>
      <w:adjustRightInd w:val="0"/>
      <w:spacing w:after="120" w:line="480" w:lineRule="auto"/>
      <w:ind w:left="720" w:hanging="720"/>
      <w:jc w:val="both"/>
    </w:pPr>
    <w:rPr>
      <w:rFonts w:eastAsia="Calibri"/>
      <w:color w:val="000000"/>
      <w:sz w:val="24"/>
      <w:szCs w:val="24"/>
    </w:rPr>
  </w:style>
  <w:style w:type="paragraph" w:customStyle="1" w:styleId="BodyTextHeading0">
    <w:name w:val="Body Text Heading"/>
    <w:basedOn w:val="BodyText"/>
    <w:next w:val="BodyText"/>
    <w:link w:val="BodyTextHeadingChar"/>
    <w:qFormat/>
    <w:rsid w:val="001B5EAD"/>
    <w:pPr>
      <w:widowControl w:val="0"/>
      <w:spacing w:before="240"/>
    </w:pPr>
    <w:rPr>
      <w:rFonts w:eastAsia="Calibri"/>
      <w:b/>
      <w:szCs w:val="22"/>
    </w:rPr>
  </w:style>
  <w:style w:type="character" w:customStyle="1" w:styleId="BodyTextHeadingChar">
    <w:name w:val="Body Text Heading Char"/>
    <w:link w:val="BodyTextHeading0"/>
    <w:rsid w:val="001B5EAD"/>
    <w:rPr>
      <w:rFonts w:ascii="Arial" w:eastAsia="Calibri" w:hAnsi="Arial"/>
      <w:b/>
      <w:sz w:val="22"/>
      <w:szCs w:val="22"/>
    </w:rPr>
  </w:style>
  <w:style w:type="paragraph" w:customStyle="1" w:styleId="ConsultantTitle">
    <w:name w:val="Consultant Title"/>
    <w:basedOn w:val="Normal"/>
    <w:next w:val="Normal"/>
    <w:link w:val="ConsultantTitleChar"/>
    <w:qFormat/>
    <w:rsid w:val="001B5EAD"/>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1B5EAD"/>
    <w:rPr>
      <w:rFonts w:ascii="Arial" w:hAnsi="Arial" w:cs="Arial"/>
      <w:b/>
      <w:noProof/>
      <w:sz w:val="24"/>
      <w:szCs w:val="21"/>
      <w:lang w:val="fr-FR"/>
    </w:rPr>
  </w:style>
  <w:style w:type="table" w:customStyle="1" w:styleId="ESITable1">
    <w:name w:val="ESI Table1"/>
    <w:basedOn w:val="TableNormal"/>
    <w:uiPriority w:val="99"/>
    <w:qFormat/>
    <w:rsid w:val="00255FE2"/>
    <w:pPr>
      <w:spacing w:before="40" w:after="40"/>
    </w:pPr>
    <w:rPr>
      <w:rFonts w:ascii="Arial" w:hAnsi="Arial"/>
      <w:color w:val="000000" w:themeColor="text1"/>
    </w:rPr>
    <w:tblPr>
      <w:tblStyleRowBandSize w:val="1"/>
      <w:jc w:val="center"/>
      <w:tblBorders>
        <w:bottom w:val="single" w:sz="12" w:space="0" w:color="auto"/>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NameHeader">
    <w:name w:val="Name Header"/>
    <w:basedOn w:val="Normal"/>
    <w:next w:val="ConsultantTitle"/>
    <w:autoRedefine/>
    <w:qFormat/>
    <w:rsid w:val="001B5EAD"/>
    <w:rPr>
      <w:rFonts w:cs="Arial"/>
      <w:b/>
      <w:noProof/>
      <w:sz w:val="36"/>
      <w:szCs w:val="30"/>
    </w:rPr>
  </w:style>
  <w:style w:type="table" w:styleId="PlainTable1">
    <w:name w:val="Plain Table 1"/>
    <w:basedOn w:val="TableNormal"/>
    <w:uiPriority w:val="41"/>
    <w:rsid w:val="001B5E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B5EA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Web2">
    <w:name w:val="Table Web 2"/>
    <w:basedOn w:val="TableNormal"/>
    <w:locked/>
    <w:rsid w:val="001B5E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Bullet2">
    <w:name w:val="TableBullet2"/>
    <w:basedOn w:val="Normal"/>
    <w:qFormat/>
    <w:rsid w:val="001B5EAD"/>
    <w:pPr>
      <w:numPr>
        <w:numId w:val="39"/>
      </w:numPr>
      <w:spacing w:before="40" w:after="40"/>
    </w:pPr>
    <w:rPr>
      <w:sz w:val="20"/>
    </w:rPr>
  </w:style>
  <w:style w:type="paragraph" w:customStyle="1" w:styleId="ThemeStatement">
    <w:name w:val="Theme Statement"/>
    <w:basedOn w:val="Normal"/>
    <w:link w:val="ThemeStatementChar"/>
    <w:qFormat/>
    <w:rsid w:val="001B5EAD"/>
    <w:rPr>
      <w:b/>
    </w:rPr>
  </w:style>
  <w:style w:type="character" w:customStyle="1" w:styleId="ThemeStatementChar">
    <w:name w:val="Theme Statement Char"/>
    <w:basedOn w:val="DefaultParagraphFont"/>
    <w:link w:val="ThemeStatement"/>
    <w:rsid w:val="001B5EAD"/>
    <w:rPr>
      <w:rFonts w:ascii="Arial" w:hAnsi="Arial"/>
      <w:b/>
      <w:sz w:val="22"/>
    </w:rPr>
  </w:style>
  <w:style w:type="paragraph" w:customStyle="1" w:styleId="xResumeInstructionalBulletDONOTUSE">
    <w:name w:val="x. Resume Instructional Bullet DO NOT USE"/>
    <w:basedOn w:val="Normal"/>
    <w:rsid w:val="001B5EAD"/>
    <w:pPr>
      <w:widowControl w:val="0"/>
      <w:numPr>
        <w:numId w:val="40"/>
      </w:numPr>
      <w:spacing w:before="120" w:after="120" w:line="276" w:lineRule="auto"/>
    </w:pPr>
    <w:rPr>
      <w:rFonts w:eastAsiaTheme="minorHAnsi" w:cs="Arial"/>
      <w:i/>
      <w:color w:val="555759"/>
    </w:rPr>
  </w:style>
  <w:style w:type="character" w:styleId="Mention">
    <w:name w:val="Mention"/>
    <w:basedOn w:val="DefaultParagraphFont"/>
    <w:uiPriority w:val="99"/>
    <w:unhideWhenUsed/>
    <w:rsid w:val="002550C1"/>
    <w:rPr>
      <w:color w:val="2B579A"/>
      <w:shd w:val="clear" w:color="auto" w:fill="E1DFDD"/>
    </w:rPr>
  </w:style>
  <w:style w:type="paragraph" w:customStyle="1" w:styleId="msonormal0">
    <w:name w:val="msonormal"/>
    <w:basedOn w:val="Normal"/>
    <w:rsid w:val="00CE2BE1"/>
    <w:pPr>
      <w:spacing w:before="100" w:beforeAutospacing="1" w:after="100" w:afterAutospacing="1"/>
    </w:pPr>
    <w:rPr>
      <w:rFonts w:ascii="Times New Roman" w:hAnsi="Times New Roman"/>
      <w:sz w:val="24"/>
      <w:szCs w:val="24"/>
    </w:rPr>
  </w:style>
  <w:style w:type="paragraph" w:customStyle="1" w:styleId="xl67">
    <w:name w:val="xl67"/>
    <w:basedOn w:val="Normal"/>
    <w:rsid w:val="00CE2BE1"/>
    <w:pPr>
      <w:pBdr>
        <w:top w:val="single" w:sz="4" w:space="0" w:color="F2F2F2"/>
        <w:left w:val="single" w:sz="4" w:space="0" w:color="F2F2F2"/>
        <w:bottom w:val="single" w:sz="4" w:space="0" w:color="F2F2F2"/>
        <w:right w:val="single" w:sz="4" w:space="0" w:color="F2F2F2"/>
      </w:pBdr>
      <w:shd w:val="clear" w:color="000000" w:fill="92D050"/>
      <w:spacing w:before="100" w:beforeAutospacing="1" w:after="100" w:afterAutospacing="1"/>
      <w:jc w:val="center"/>
      <w:textAlignment w:val="center"/>
    </w:pPr>
    <w:rPr>
      <w:rFonts w:cs="Arial"/>
      <w:b/>
      <w:bCs/>
      <w:sz w:val="16"/>
      <w:szCs w:val="16"/>
    </w:rPr>
  </w:style>
  <w:style w:type="paragraph" w:customStyle="1" w:styleId="xl68">
    <w:name w:val="xl68"/>
    <w:basedOn w:val="Normal"/>
    <w:rsid w:val="00CE2BE1"/>
    <w:pPr>
      <w:pBdr>
        <w:top w:val="single" w:sz="4" w:space="0" w:color="F2F2F2"/>
        <w:bottom w:val="single" w:sz="4" w:space="0" w:color="F2F2F2"/>
      </w:pBdr>
      <w:spacing w:before="100" w:beforeAutospacing="1" w:after="100" w:afterAutospacing="1"/>
      <w:jc w:val="center"/>
    </w:pPr>
    <w:rPr>
      <w:rFonts w:cs="Arial"/>
      <w:sz w:val="16"/>
      <w:szCs w:val="16"/>
    </w:rPr>
  </w:style>
  <w:style w:type="paragraph" w:customStyle="1" w:styleId="xl69">
    <w:name w:val="xl69"/>
    <w:basedOn w:val="Normal"/>
    <w:rsid w:val="00CE2BE1"/>
    <w:pPr>
      <w:shd w:val="clear" w:color="000000" w:fill="D9D9D9"/>
      <w:spacing w:before="100" w:beforeAutospacing="1" w:after="100" w:afterAutospacing="1"/>
    </w:pPr>
    <w:rPr>
      <w:rFonts w:cs="Arial"/>
      <w:b/>
      <w:bCs/>
      <w:sz w:val="16"/>
      <w:szCs w:val="16"/>
    </w:rPr>
  </w:style>
  <w:style w:type="paragraph" w:customStyle="1" w:styleId="xl70">
    <w:name w:val="xl70"/>
    <w:basedOn w:val="Normal"/>
    <w:rsid w:val="00CE2BE1"/>
    <w:pPr>
      <w:pBdr>
        <w:top w:val="single" w:sz="4" w:space="0" w:color="F2F2F2"/>
        <w:bottom w:val="single" w:sz="4" w:space="0" w:color="F2F2F2"/>
      </w:pBdr>
      <w:spacing w:before="100" w:beforeAutospacing="1" w:after="100" w:afterAutospacing="1"/>
    </w:pPr>
    <w:rPr>
      <w:rFonts w:cs="Arial"/>
      <w:sz w:val="16"/>
      <w:szCs w:val="16"/>
    </w:rPr>
  </w:style>
  <w:style w:type="paragraph" w:customStyle="1" w:styleId="xl71">
    <w:name w:val="xl71"/>
    <w:basedOn w:val="Normal"/>
    <w:rsid w:val="00CE2BE1"/>
    <w:pPr>
      <w:pBdr>
        <w:top w:val="single" w:sz="4" w:space="0" w:color="F2F2F2"/>
        <w:bottom w:val="single" w:sz="4" w:space="0" w:color="F2F2F2"/>
      </w:pBdr>
      <w:spacing w:before="100" w:beforeAutospacing="1" w:after="100" w:afterAutospacing="1"/>
      <w:jc w:val="center"/>
    </w:pPr>
    <w:rPr>
      <w:rFonts w:cs="Arial"/>
      <w:sz w:val="16"/>
      <w:szCs w:val="16"/>
    </w:rPr>
  </w:style>
  <w:style w:type="paragraph" w:customStyle="1" w:styleId="xl72">
    <w:name w:val="xl72"/>
    <w:basedOn w:val="Normal"/>
    <w:rsid w:val="00CE2BE1"/>
    <w:pPr>
      <w:pBdr>
        <w:top w:val="single" w:sz="4" w:space="0" w:color="F2F2F2"/>
        <w:bottom w:val="single" w:sz="4" w:space="0" w:color="F2F2F2"/>
      </w:pBdr>
      <w:spacing w:before="100" w:beforeAutospacing="1" w:after="100" w:afterAutospacing="1"/>
      <w:jc w:val="center"/>
    </w:pPr>
    <w:rPr>
      <w:rFonts w:cs="Arial"/>
      <w:sz w:val="16"/>
      <w:szCs w:val="16"/>
    </w:rPr>
  </w:style>
  <w:style w:type="paragraph" w:customStyle="1" w:styleId="xl73">
    <w:name w:val="xl73"/>
    <w:basedOn w:val="Normal"/>
    <w:rsid w:val="00CE2BE1"/>
    <w:pPr>
      <w:shd w:val="clear" w:color="000000" w:fill="D9D9D9"/>
      <w:spacing w:before="100" w:beforeAutospacing="1" w:after="100" w:afterAutospacing="1"/>
      <w:jc w:val="center"/>
    </w:pPr>
    <w:rPr>
      <w:rFonts w:cs="Arial"/>
      <w:b/>
      <w:bCs/>
      <w:sz w:val="16"/>
      <w:szCs w:val="16"/>
    </w:rPr>
  </w:style>
  <w:style w:type="paragraph" w:customStyle="1" w:styleId="xl74">
    <w:name w:val="xl74"/>
    <w:basedOn w:val="Normal"/>
    <w:rsid w:val="00CE2BE1"/>
    <w:pPr>
      <w:pBdr>
        <w:top w:val="single" w:sz="4" w:space="0" w:color="F2F2F2"/>
        <w:bottom w:val="single" w:sz="4" w:space="0" w:color="F2F2F2"/>
      </w:pBdr>
      <w:spacing w:before="100" w:beforeAutospacing="1" w:after="100" w:afterAutospacing="1"/>
      <w:jc w:val="center"/>
    </w:pPr>
    <w:rPr>
      <w:rFonts w:cs="Arial"/>
      <w:sz w:val="16"/>
      <w:szCs w:val="16"/>
    </w:rPr>
  </w:style>
  <w:style w:type="paragraph" w:customStyle="1" w:styleId="xl75">
    <w:name w:val="xl75"/>
    <w:basedOn w:val="Normal"/>
    <w:rsid w:val="00CE2BE1"/>
    <w:pPr>
      <w:shd w:val="clear" w:color="000000" w:fill="D9D9D9"/>
      <w:spacing w:before="100" w:beforeAutospacing="1" w:after="100" w:afterAutospacing="1"/>
      <w:jc w:val="center"/>
    </w:pPr>
    <w:rPr>
      <w:rFonts w:cs="Arial"/>
      <w:b/>
      <w:bCs/>
      <w:sz w:val="16"/>
      <w:szCs w:val="16"/>
    </w:rPr>
  </w:style>
  <w:style w:type="paragraph" w:customStyle="1" w:styleId="xl76">
    <w:name w:val="xl76"/>
    <w:basedOn w:val="Normal"/>
    <w:rsid w:val="00CE2BE1"/>
    <w:pPr>
      <w:shd w:val="clear" w:color="000000" w:fill="D9D9D9"/>
      <w:spacing w:before="100" w:beforeAutospacing="1" w:after="100" w:afterAutospacing="1"/>
      <w:jc w:val="center"/>
    </w:pPr>
    <w:rPr>
      <w:rFonts w:cs="Arial"/>
      <w:b/>
      <w:bCs/>
      <w:sz w:val="16"/>
      <w:szCs w:val="16"/>
    </w:rPr>
  </w:style>
  <w:style w:type="paragraph" w:customStyle="1" w:styleId="xl77">
    <w:name w:val="xl77"/>
    <w:basedOn w:val="Normal"/>
    <w:rsid w:val="00CE2BE1"/>
    <w:pPr>
      <w:shd w:val="clear" w:color="000000" w:fill="D9D9D9"/>
      <w:spacing w:before="100" w:beforeAutospacing="1" w:after="100" w:afterAutospacing="1"/>
      <w:jc w:val="center"/>
    </w:pPr>
    <w:rPr>
      <w:rFonts w:cs="Arial"/>
      <w:b/>
      <w:bCs/>
      <w:sz w:val="16"/>
      <w:szCs w:val="16"/>
    </w:rPr>
  </w:style>
  <w:style w:type="character" w:customStyle="1" w:styleId="cf01">
    <w:name w:val="cf01"/>
    <w:basedOn w:val="DefaultParagraphFont"/>
    <w:rsid w:val="00B3092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876">
      <w:bodyDiv w:val="1"/>
      <w:marLeft w:val="0"/>
      <w:marRight w:val="0"/>
      <w:marTop w:val="0"/>
      <w:marBottom w:val="0"/>
      <w:divBdr>
        <w:top w:val="none" w:sz="0" w:space="0" w:color="auto"/>
        <w:left w:val="none" w:sz="0" w:space="0" w:color="auto"/>
        <w:bottom w:val="none" w:sz="0" w:space="0" w:color="auto"/>
        <w:right w:val="none" w:sz="0" w:space="0" w:color="auto"/>
      </w:divBdr>
    </w:div>
    <w:div w:id="28575050">
      <w:bodyDiv w:val="1"/>
      <w:marLeft w:val="0"/>
      <w:marRight w:val="0"/>
      <w:marTop w:val="0"/>
      <w:marBottom w:val="0"/>
      <w:divBdr>
        <w:top w:val="none" w:sz="0" w:space="0" w:color="auto"/>
        <w:left w:val="none" w:sz="0" w:space="0" w:color="auto"/>
        <w:bottom w:val="none" w:sz="0" w:space="0" w:color="auto"/>
        <w:right w:val="none" w:sz="0" w:space="0" w:color="auto"/>
      </w:divBdr>
    </w:div>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7322600">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3456496">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64836566">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14953485">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15628680">
      <w:bodyDiv w:val="1"/>
      <w:marLeft w:val="0"/>
      <w:marRight w:val="0"/>
      <w:marTop w:val="0"/>
      <w:marBottom w:val="0"/>
      <w:divBdr>
        <w:top w:val="none" w:sz="0" w:space="0" w:color="auto"/>
        <w:left w:val="none" w:sz="0" w:space="0" w:color="auto"/>
        <w:bottom w:val="none" w:sz="0" w:space="0" w:color="auto"/>
        <w:right w:val="none" w:sz="0" w:space="0" w:color="auto"/>
      </w:divBdr>
    </w:div>
    <w:div w:id="218445986">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282805646">
      <w:bodyDiv w:val="1"/>
      <w:marLeft w:val="0"/>
      <w:marRight w:val="0"/>
      <w:marTop w:val="0"/>
      <w:marBottom w:val="0"/>
      <w:divBdr>
        <w:top w:val="none" w:sz="0" w:space="0" w:color="auto"/>
        <w:left w:val="none" w:sz="0" w:space="0" w:color="auto"/>
        <w:bottom w:val="none" w:sz="0" w:space="0" w:color="auto"/>
        <w:right w:val="none" w:sz="0" w:space="0" w:color="auto"/>
      </w:divBdr>
    </w:div>
    <w:div w:id="29387545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44672534">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21031188">
      <w:bodyDiv w:val="1"/>
      <w:marLeft w:val="0"/>
      <w:marRight w:val="0"/>
      <w:marTop w:val="0"/>
      <w:marBottom w:val="0"/>
      <w:divBdr>
        <w:top w:val="none" w:sz="0" w:space="0" w:color="auto"/>
        <w:left w:val="none" w:sz="0" w:space="0" w:color="auto"/>
        <w:bottom w:val="none" w:sz="0" w:space="0" w:color="auto"/>
        <w:right w:val="none" w:sz="0" w:space="0" w:color="auto"/>
      </w:divBdr>
    </w:div>
    <w:div w:id="424111226">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488908009">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529994143">
      <w:bodyDiv w:val="1"/>
      <w:marLeft w:val="0"/>
      <w:marRight w:val="0"/>
      <w:marTop w:val="0"/>
      <w:marBottom w:val="0"/>
      <w:divBdr>
        <w:top w:val="none" w:sz="0" w:space="0" w:color="auto"/>
        <w:left w:val="none" w:sz="0" w:space="0" w:color="auto"/>
        <w:bottom w:val="none" w:sz="0" w:space="0" w:color="auto"/>
        <w:right w:val="none" w:sz="0" w:space="0" w:color="auto"/>
      </w:divBdr>
    </w:div>
    <w:div w:id="567889106">
      <w:bodyDiv w:val="1"/>
      <w:marLeft w:val="0"/>
      <w:marRight w:val="0"/>
      <w:marTop w:val="0"/>
      <w:marBottom w:val="0"/>
      <w:divBdr>
        <w:top w:val="none" w:sz="0" w:space="0" w:color="auto"/>
        <w:left w:val="none" w:sz="0" w:space="0" w:color="auto"/>
        <w:bottom w:val="none" w:sz="0" w:space="0" w:color="auto"/>
        <w:right w:val="none" w:sz="0" w:space="0" w:color="auto"/>
      </w:divBdr>
    </w:div>
    <w:div w:id="578439813">
      <w:bodyDiv w:val="1"/>
      <w:marLeft w:val="0"/>
      <w:marRight w:val="0"/>
      <w:marTop w:val="0"/>
      <w:marBottom w:val="0"/>
      <w:divBdr>
        <w:top w:val="none" w:sz="0" w:space="0" w:color="auto"/>
        <w:left w:val="none" w:sz="0" w:space="0" w:color="auto"/>
        <w:bottom w:val="none" w:sz="0" w:space="0" w:color="auto"/>
        <w:right w:val="none" w:sz="0" w:space="0" w:color="auto"/>
      </w:divBdr>
    </w:div>
    <w:div w:id="594168991">
      <w:bodyDiv w:val="1"/>
      <w:marLeft w:val="0"/>
      <w:marRight w:val="0"/>
      <w:marTop w:val="0"/>
      <w:marBottom w:val="0"/>
      <w:divBdr>
        <w:top w:val="none" w:sz="0" w:space="0" w:color="auto"/>
        <w:left w:val="none" w:sz="0" w:space="0" w:color="auto"/>
        <w:bottom w:val="none" w:sz="0" w:space="0" w:color="auto"/>
        <w:right w:val="none" w:sz="0" w:space="0" w:color="auto"/>
      </w:divBdr>
    </w:div>
    <w:div w:id="597981796">
      <w:bodyDiv w:val="1"/>
      <w:marLeft w:val="0"/>
      <w:marRight w:val="0"/>
      <w:marTop w:val="0"/>
      <w:marBottom w:val="0"/>
      <w:divBdr>
        <w:top w:val="none" w:sz="0" w:space="0" w:color="auto"/>
        <w:left w:val="none" w:sz="0" w:space="0" w:color="auto"/>
        <w:bottom w:val="none" w:sz="0" w:space="0" w:color="auto"/>
        <w:right w:val="none" w:sz="0" w:space="0" w:color="auto"/>
      </w:divBdr>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2710443">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26355751">
      <w:bodyDiv w:val="1"/>
      <w:marLeft w:val="0"/>
      <w:marRight w:val="0"/>
      <w:marTop w:val="0"/>
      <w:marBottom w:val="0"/>
      <w:divBdr>
        <w:top w:val="none" w:sz="0" w:space="0" w:color="auto"/>
        <w:left w:val="none" w:sz="0" w:space="0" w:color="auto"/>
        <w:bottom w:val="none" w:sz="0" w:space="0" w:color="auto"/>
        <w:right w:val="none" w:sz="0" w:space="0" w:color="auto"/>
      </w:divBdr>
    </w:div>
    <w:div w:id="658003475">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74859973">
      <w:bodyDiv w:val="1"/>
      <w:marLeft w:val="0"/>
      <w:marRight w:val="0"/>
      <w:marTop w:val="0"/>
      <w:marBottom w:val="0"/>
      <w:divBdr>
        <w:top w:val="none" w:sz="0" w:space="0" w:color="auto"/>
        <w:left w:val="none" w:sz="0" w:space="0" w:color="auto"/>
        <w:bottom w:val="none" w:sz="0" w:space="0" w:color="auto"/>
        <w:right w:val="none" w:sz="0" w:space="0" w:color="auto"/>
      </w:divBdr>
    </w:div>
    <w:div w:id="777214468">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03044719">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895050165">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21846359">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213611483">
      <w:bodyDiv w:val="1"/>
      <w:marLeft w:val="0"/>
      <w:marRight w:val="0"/>
      <w:marTop w:val="0"/>
      <w:marBottom w:val="0"/>
      <w:divBdr>
        <w:top w:val="none" w:sz="0" w:space="0" w:color="auto"/>
        <w:left w:val="none" w:sz="0" w:space="0" w:color="auto"/>
        <w:bottom w:val="none" w:sz="0" w:space="0" w:color="auto"/>
        <w:right w:val="none" w:sz="0" w:space="0" w:color="auto"/>
      </w:divBdr>
    </w:div>
    <w:div w:id="1247766187">
      <w:bodyDiv w:val="1"/>
      <w:marLeft w:val="0"/>
      <w:marRight w:val="0"/>
      <w:marTop w:val="0"/>
      <w:marBottom w:val="0"/>
      <w:divBdr>
        <w:top w:val="none" w:sz="0" w:space="0" w:color="auto"/>
        <w:left w:val="none" w:sz="0" w:space="0" w:color="auto"/>
        <w:bottom w:val="none" w:sz="0" w:space="0" w:color="auto"/>
        <w:right w:val="none" w:sz="0" w:space="0" w:color="auto"/>
      </w:divBdr>
    </w:div>
    <w:div w:id="1266764785">
      <w:bodyDiv w:val="1"/>
      <w:marLeft w:val="0"/>
      <w:marRight w:val="0"/>
      <w:marTop w:val="0"/>
      <w:marBottom w:val="0"/>
      <w:divBdr>
        <w:top w:val="none" w:sz="0" w:space="0" w:color="auto"/>
        <w:left w:val="none" w:sz="0" w:space="0" w:color="auto"/>
        <w:bottom w:val="none" w:sz="0" w:space="0" w:color="auto"/>
        <w:right w:val="none" w:sz="0" w:space="0" w:color="auto"/>
      </w:divBdr>
    </w:div>
    <w:div w:id="1282687118">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41589058">
      <w:bodyDiv w:val="1"/>
      <w:marLeft w:val="0"/>
      <w:marRight w:val="0"/>
      <w:marTop w:val="0"/>
      <w:marBottom w:val="0"/>
      <w:divBdr>
        <w:top w:val="none" w:sz="0" w:space="0" w:color="auto"/>
        <w:left w:val="none" w:sz="0" w:space="0" w:color="auto"/>
        <w:bottom w:val="none" w:sz="0" w:space="0" w:color="auto"/>
        <w:right w:val="none" w:sz="0" w:space="0" w:color="auto"/>
      </w:divBdr>
    </w:div>
    <w:div w:id="1351183313">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391418254">
      <w:bodyDiv w:val="1"/>
      <w:marLeft w:val="0"/>
      <w:marRight w:val="0"/>
      <w:marTop w:val="0"/>
      <w:marBottom w:val="0"/>
      <w:divBdr>
        <w:top w:val="none" w:sz="0" w:space="0" w:color="auto"/>
        <w:left w:val="none" w:sz="0" w:space="0" w:color="auto"/>
        <w:bottom w:val="none" w:sz="0" w:space="0" w:color="auto"/>
        <w:right w:val="none" w:sz="0" w:space="0" w:color="auto"/>
      </w:divBdr>
    </w:div>
    <w:div w:id="1404717607">
      <w:bodyDiv w:val="1"/>
      <w:marLeft w:val="0"/>
      <w:marRight w:val="0"/>
      <w:marTop w:val="0"/>
      <w:marBottom w:val="0"/>
      <w:divBdr>
        <w:top w:val="none" w:sz="0" w:space="0" w:color="auto"/>
        <w:left w:val="none" w:sz="0" w:space="0" w:color="auto"/>
        <w:bottom w:val="none" w:sz="0" w:space="0" w:color="auto"/>
        <w:right w:val="none" w:sz="0" w:space="0" w:color="auto"/>
      </w:divBdr>
    </w:div>
    <w:div w:id="1425303465">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447847665">
      <w:bodyDiv w:val="1"/>
      <w:marLeft w:val="0"/>
      <w:marRight w:val="0"/>
      <w:marTop w:val="0"/>
      <w:marBottom w:val="0"/>
      <w:divBdr>
        <w:top w:val="none" w:sz="0" w:space="0" w:color="auto"/>
        <w:left w:val="none" w:sz="0" w:space="0" w:color="auto"/>
        <w:bottom w:val="none" w:sz="0" w:space="0" w:color="auto"/>
        <w:right w:val="none" w:sz="0" w:space="0" w:color="auto"/>
      </w:divBdr>
    </w:div>
    <w:div w:id="1490170769">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1088173">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31010299">
      <w:bodyDiv w:val="1"/>
      <w:marLeft w:val="0"/>
      <w:marRight w:val="0"/>
      <w:marTop w:val="0"/>
      <w:marBottom w:val="0"/>
      <w:divBdr>
        <w:top w:val="none" w:sz="0" w:space="0" w:color="auto"/>
        <w:left w:val="none" w:sz="0" w:space="0" w:color="auto"/>
        <w:bottom w:val="none" w:sz="0" w:space="0" w:color="auto"/>
        <w:right w:val="none" w:sz="0" w:space="0" w:color="auto"/>
      </w:divBdr>
    </w:div>
    <w:div w:id="1635481908">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53681429">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69005731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58477695">
      <w:bodyDiv w:val="1"/>
      <w:marLeft w:val="0"/>
      <w:marRight w:val="0"/>
      <w:marTop w:val="0"/>
      <w:marBottom w:val="0"/>
      <w:divBdr>
        <w:top w:val="none" w:sz="0" w:space="0" w:color="auto"/>
        <w:left w:val="none" w:sz="0" w:space="0" w:color="auto"/>
        <w:bottom w:val="none" w:sz="0" w:space="0" w:color="auto"/>
        <w:right w:val="none" w:sz="0" w:space="0" w:color="auto"/>
      </w:divBdr>
    </w:div>
    <w:div w:id="1760325182">
      <w:bodyDiv w:val="1"/>
      <w:marLeft w:val="0"/>
      <w:marRight w:val="0"/>
      <w:marTop w:val="0"/>
      <w:marBottom w:val="0"/>
      <w:divBdr>
        <w:top w:val="none" w:sz="0" w:space="0" w:color="auto"/>
        <w:left w:val="none" w:sz="0" w:space="0" w:color="auto"/>
        <w:bottom w:val="none" w:sz="0" w:space="0" w:color="auto"/>
        <w:right w:val="none" w:sz="0" w:space="0" w:color="auto"/>
      </w:divBdr>
    </w:div>
    <w:div w:id="1788700255">
      <w:bodyDiv w:val="1"/>
      <w:marLeft w:val="0"/>
      <w:marRight w:val="0"/>
      <w:marTop w:val="0"/>
      <w:marBottom w:val="0"/>
      <w:divBdr>
        <w:top w:val="none" w:sz="0" w:space="0" w:color="auto"/>
        <w:left w:val="none" w:sz="0" w:space="0" w:color="auto"/>
        <w:bottom w:val="none" w:sz="0" w:space="0" w:color="auto"/>
        <w:right w:val="none" w:sz="0" w:space="0" w:color="auto"/>
      </w:divBdr>
    </w:div>
    <w:div w:id="1793092533">
      <w:bodyDiv w:val="1"/>
      <w:marLeft w:val="0"/>
      <w:marRight w:val="0"/>
      <w:marTop w:val="0"/>
      <w:marBottom w:val="0"/>
      <w:divBdr>
        <w:top w:val="none" w:sz="0" w:space="0" w:color="auto"/>
        <w:left w:val="none" w:sz="0" w:space="0" w:color="auto"/>
        <w:bottom w:val="none" w:sz="0" w:space="0" w:color="auto"/>
        <w:right w:val="none" w:sz="0" w:space="0" w:color="auto"/>
      </w:divBdr>
    </w:div>
    <w:div w:id="1795637627">
      <w:bodyDiv w:val="1"/>
      <w:marLeft w:val="0"/>
      <w:marRight w:val="0"/>
      <w:marTop w:val="0"/>
      <w:marBottom w:val="0"/>
      <w:divBdr>
        <w:top w:val="none" w:sz="0" w:space="0" w:color="auto"/>
        <w:left w:val="none" w:sz="0" w:space="0" w:color="auto"/>
        <w:bottom w:val="none" w:sz="0" w:space="0" w:color="auto"/>
        <w:right w:val="none" w:sz="0" w:space="0" w:color="auto"/>
      </w:divBdr>
    </w:div>
    <w:div w:id="1823547572">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21744203">
      <w:bodyDiv w:val="1"/>
      <w:marLeft w:val="0"/>
      <w:marRight w:val="0"/>
      <w:marTop w:val="0"/>
      <w:marBottom w:val="0"/>
      <w:divBdr>
        <w:top w:val="none" w:sz="0" w:space="0" w:color="auto"/>
        <w:left w:val="none" w:sz="0" w:space="0" w:color="auto"/>
        <w:bottom w:val="none" w:sz="0" w:space="0" w:color="auto"/>
        <w:right w:val="none" w:sz="0" w:space="0" w:color="auto"/>
      </w:divBdr>
    </w:div>
    <w:div w:id="1932203634">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1990329105">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23892031">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338527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02413539">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jeff.erickson@guidehouse.com"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harles.ampong@guidehouse.com"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cmaglione@guidehouse.com"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eil.curtis@guidehous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ycodes.gov/sites/default/files/2021-07/Cost-effectiveness_of_ASHRAE_Standard_90-1-2019-Illinois.pdf" TargetMode="External"/><Relationship Id="rId1" Type="http://schemas.openxmlformats.org/officeDocument/2006/relationships/hyperlink" Target="http://www.ilga.gov/legislation/ilcs/ilcs5.asp?ActID=2934&amp;ChapterID=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utwit Complexity">
      <a:dk1>
        <a:srgbClr val="000000"/>
      </a:dk1>
      <a:lt1>
        <a:srgbClr val="FFFFFF"/>
      </a:lt1>
      <a:dk2>
        <a:srgbClr val="036479"/>
      </a:dk2>
      <a:lt2>
        <a:srgbClr val="E0E0E0"/>
      </a:lt2>
      <a:accent1>
        <a:srgbClr val="93D500"/>
      </a:accent1>
      <a:accent2>
        <a:srgbClr val="C3EC0C"/>
      </a:accent2>
      <a:accent3>
        <a:srgbClr val="036479"/>
      </a:accent3>
      <a:accent4>
        <a:srgbClr val="60B8CC"/>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SharedWithUsers xmlns="dd860c49-519f-4fad-a9e7-096243cb3a9a">
      <UserInfo>
        <DisplayName>Charles Ampong</DisplayName>
        <AccountId>18</AccountId>
        <AccountType/>
      </UserInfo>
      <UserInfo>
        <DisplayName>Michael Frischmann (CWR)</DisplayName>
        <AccountId>399</AccountId>
        <AccountType/>
      </UserInfo>
      <UserInfo>
        <DisplayName>Stefan Johnson</DisplayName>
        <AccountId>171</AccountId>
        <AccountType/>
      </UserInfo>
      <UserInfo>
        <DisplayName>Kyle McKenna (CWR)</DisplayName>
        <AccountId>409</AccountId>
        <AccountType/>
      </UserInfo>
      <UserInfo>
        <DisplayName>Mary Thony</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4974-046C-4C4D-9A07-109A06D5D963}">
  <ds:schemaRefs>
    <ds:schemaRef ds:uri="dd860c49-519f-4fad-a9e7-096243cb3a9a"/>
    <ds:schemaRef ds:uri="http://schemas.openxmlformats.org/package/2006/metadata/core-properties"/>
    <ds:schemaRef ds:uri="http://purl.org/dc/dcmitype/"/>
    <ds:schemaRef ds:uri="http://purl.org/dc/terms/"/>
    <ds:schemaRef ds:uri="http://schemas.microsoft.com/sharepoint/v3"/>
    <ds:schemaRef ds:uri="ad755eef-71ec-496f-ab18-a3e771bfb4a9"/>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DE728B7-FF3D-41CD-9412-68899B4BB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30663-726A-4905-A16C-EEFDC7EDE361}">
  <ds:schemaRefs>
    <ds:schemaRef ds:uri="http://schemas.microsoft.com/sharepoint/v3/contenttype/forms"/>
  </ds:schemaRefs>
</ds:datastoreItem>
</file>

<file path=customXml/itemProps4.xml><?xml version="1.0" encoding="utf-8"?>
<ds:datastoreItem xmlns:ds="http://schemas.openxmlformats.org/officeDocument/2006/customXml" ds:itemID="{AF88AD14-19EE-4D8D-9DEC-B938ABC6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9422</Words>
  <Characters>56732</Characters>
  <Application>Microsoft Office Word</Application>
  <DocSecurity>0</DocSecurity>
  <Lines>472</Lines>
  <Paragraphs>132</Paragraphs>
  <ScaleCrop>false</ScaleCrop>
  <Company/>
  <LinksUpToDate>false</LinksUpToDate>
  <CharactersWithSpaces>66022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Ampong</cp:lastModifiedBy>
  <cp:revision>497</cp:revision>
  <dcterms:created xsi:type="dcterms:W3CDTF">2024-06-25T01:32:00Z</dcterms:created>
  <dcterms:modified xsi:type="dcterms:W3CDTF">2025-04-30T22:14:00Z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0x01010087588F1E73A3DF4E9DE46ACDFEFCEA5B</vt:lpwstr>
  </property>
  <property fmtid="{D5CDD505-2E9C-101B-9397-08002B2CF9AE}" pid="3" name="MediaServiceImageTags">
    <vt:lpwstr/>
  </property>
</Properties>
</file>