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BA5B" w14:textId="4AE031C9" w:rsidR="00EB1B96" w:rsidRPr="00EB1B96" w:rsidRDefault="00EB1B96" w:rsidP="00B4241B">
      <w:pPr>
        <w:pStyle w:val="Subtitle"/>
        <w:spacing w:before="840"/>
        <w:rPr>
          <w:rStyle w:val="MemorandumHeadingChar"/>
        </w:rPr>
      </w:pPr>
      <w:r w:rsidRPr="00EB1B96">
        <w:rPr>
          <w:rStyle w:val="MemorandumHeadingChar"/>
        </w:rPr>
        <w:t>Memorandum</w:t>
      </w:r>
    </w:p>
    <w:p w14:paraId="70602659" w14:textId="6D416EE0" w:rsidR="00F41AD4" w:rsidRDefault="006A3F46" w:rsidP="00F41AD4">
      <w:pPr>
        <w:pStyle w:val="Subtitle"/>
      </w:pPr>
      <w:r>
        <w:t>COVID-19 Evaluation Impacts</w:t>
      </w:r>
    </w:p>
    <w:tbl>
      <w:tblPr>
        <w:tblStyle w:val="ODExcelPlaceholder"/>
        <w:tblW w:w="0" w:type="auto"/>
        <w:tblLayout w:type="fixed"/>
        <w:tblLook w:val="04A0" w:firstRow="1" w:lastRow="0" w:firstColumn="1" w:lastColumn="0" w:noHBand="0" w:noVBand="1"/>
      </w:tblPr>
      <w:tblGrid>
        <w:gridCol w:w="981"/>
        <w:gridCol w:w="9089"/>
      </w:tblGrid>
      <w:tr w:rsidR="007E1928" w:rsidRPr="007E1928" w14:paraId="2B94256E" w14:textId="77777777" w:rsidTr="00897398">
        <w:trPr>
          <w:cnfStyle w:val="100000000000" w:firstRow="1" w:lastRow="0" w:firstColumn="0" w:lastColumn="0" w:oddVBand="0" w:evenVBand="0" w:oddHBand="0" w:evenHBand="0" w:firstRowFirstColumn="0" w:firstRowLastColumn="0" w:lastRowFirstColumn="0" w:lastRowLastColumn="0"/>
        </w:trPr>
        <w:tc>
          <w:tcPr>
            <w:tcW w:w="981" w:type="dxa"/>
          </w:tcPr>
          <w:p w14:paraId="33AC16C0" w14:textId="77777777" w:rsidR="00F41AD4" w:rsidRPr="007E1928" w:rsidRDefault="00F41AD4" w:rsidP="00897398">
            <w:pPr>
              <w:pStyle w:val="MemoTableText"/>
              <w:rPr>
                <w:rStyle w:val="Strong"/>
                <w:color w:val="auto"/>
                <w:szCs w:val="24"/>
              </w:rPr>
            </w:pPr>
            <w:r w:rsidRPr="007E1928">
              <w:rPr>
                <w:rStyle w:val="Strong"/>
                <w:color w:val="auto"/>
                <w:szCs w:val="24"/>
              </w:rPr>
              <w:t>To:</w:t>
            </w:r>
          </w:p>
        </w:tc>
        <w:tc>
          <w:tcPr>
            <w:tcW w:w="9089" w:type="dxa"/>
          </w:tcPr>
          <w:p w14:paraId="6BF1854F" w14:textId="4D2A6894" w:rsidR="00F41AD4" w:rsidRPr="007E1928" w:rsidRDefault="006A3F46" w:rsidP="00897398">
            <w:pPr>
              <w:pStyle w:val="MemoTableText"/>
              <w:rPr>
                <w:color w:val="auto"/>
              </w:rPr>
            </w:pPr>
            <w:r w:rsidRPr="007E1928">
              <w:rPr>
                <w:color w:val="auto"/>
              </w:rPr>
              <w:t>Illinois Stakeholder Advisory Group</w:t>
            </w:r>
          </w:p>
        </w:tc>
      </w:tr>
      <w:tr w:rsidR="007E1928" w:rsidRPr="007E1928" w14:paraId="1659F85B" w14:textId="77777777" w:rsidTr="00897398">
        <w:tc>
          <w:tcPr>
            <w:tcW w:w="981" w:type="dxa"/>
          </w:tcPr>
          <w:p w14:paraId="6D6CBF01" w14:textId="77777777" w:rsidR="00F41AD4" w:rsidRPr="007E1928" w:rsidRDefault="00F41AD4" w:rsidP="00897398">
            <w:pPr>
              <w:pStyle w:val="MemoTableText"/>
              <w:rPr>
                <w:rStyle w:val="Strong"/>
                <w:color w:val="auto"/>
                <w:szCs w:val="24"/>
              </w:rPr>
            </w:pPr>
            <w:r w:rsidRPr="007E1928">
              <w:rPr>
                <w:rStyle w:val="Strong"/>
                <w:color w:val="auto"/>
                <w:szCs w:val="24"/>
              </w:rPr>
              <w:t>From:</w:t>
            </w:r>
          </w:p>
        </w:tc>
        <w:tc>
          <w:tcPr>
            <w:tcW w:w="9089" w:type="dxa"/>
          </w:tcPr>
          <w:p w14:paraId="7FE88597" w14:textId="0A4E02C0" w:rsidR="00F41AD4" w:rsidRPr="007E1928" w:rsidRDefault="006A3F46" w:rsidP="00897398">
            <w:pPr>
              <w:pStyle w:val="MemoTableText"/>
              <w:rPr>
                <w:color w:val="auto"/>
              </w:rPr>
            </w:pPr>
            <w:r w:rsidRPr="007E1928">
              <w:rPr>
                <w:color w:val="auto"/>
              </w:rPr>
              <w:t>The Opinion Dynamics and Guidehouse Evaluation Teams</w:t>
            </w:r>
          </w:p>
        </w:tc>
      </w:tr>
      <w:tr w:rsidR="007E1928" w:rsidRPr="007E1928" w14:paraId="44B868D1" w14:textId="77777777" w:rsidTr="00897398">
        <w:tc>
          <w:tcPr>
            <w:tcW w:w="981" w:type="dxa"/>
          </w:tcPr>
          <w:p w14:paraId="14997056" w14:textId="77777777" w:rsidR="00F41AD4" w:rsidRPr="007E1928" w:rsidRDefault="00F41AD4" w:rsidP="00897398">
            <w:pPr>
              <w:pStyle w:val="MemoTableText"/>
              <w:rPr>
                <w:rStyle w:val="Strong"/>
                <w:color w:val="auto"/>
                <w:szCs w:val="24"/>
              </w:rPr>
            </w:pPr>
            <w:r w:rsidRPr="007E1928">
              <w:rPr>
                <w:rStyle w:val="Strong"/>
                <w:color w:val="auto"/>
                <w:szCs w:val="24"/>
              </w:rPr>
              <w:t>Date:</w:t>
            </w:r>
          </w:p>
        </w:tc>
        <w:sdt>
          <w:sdtPr>
            <w:rPr>
              <w:color w:val="auto"/>
            </w:rPr>
            <w:id w:val="395483357"/>
            <w:placeholder>
              <w:docPart w:val="066FDB124B8B4272844AAA1FE978D961"/>
            </w:placeholder>
            <w:date w:fullDate="2020-08-10T00:00:00Z">
              <w:dateFormat w:val="MMMM d, yyyy"/>
              <w:lid w:val="en-US"/>
              <w:storeMappedDataAs w:val="dateTime"/>
              <w:calendar w:val="gregorian"/>
            </w:date>
          </w:sdtPr>
          <w:sdtEndPr/>
          <w:sdtContent>
            <w:tc>
              <w:tcPr>
                <w:tcW w:w="9089" w:type="dxa"/>
              </w:tcPr>
              <w:p w14:paraId="5D774C56" w14:textId="1BB0610E" w:rsidR="00F41AD4" w:rsidRPr="007E1928" w:rsidRDefault="006A3F46" w:rsidP="00897398">
                <w:pPr>
                  <w:pStyle w:val="MemoTableText"/>
                  <w:rPr>
                    <w:color w:val="auto"/>
                    <w:szCs w:val="24"/>
                  </w:rPr>
                </w:pPr>
                <w:r w:rsidRPr="007E1928">
                  <w:rPr>
                    <w:color w:val="auto"/>
                  </w:rPr>
                  <w:t>August 10, 2020</w:t>
                </w:r>
              </w:p>
            </w:tc>
          </w:sdtContent>
        </w:sdt>
      </w:tr>
      <w:tr w:rsidR="007E1928" w:rsidRPr="007E1928" w14:paraId="50482BAA" w14:textId="77777777" w:rsidTr="00897398">
        <w:tc>
          <w:tcPr>
            <w:tcW w:w="981" w:type="dxa"/>
          </w:tcPr>
          <w:p w14:paraId="7199F124" w14:textId="77777777" w:rsidR="00F41AD4" w:rsidRPr="007E1928" w:rsidRDefault="00F41AD4" w:rsidP="00897398">
            <w:pPr>
              <w:pStyle w:val="MemoTableText"/>
              <w:rPr>
                <w:rStyle w:val="Strong"/>
                <w:color w:val="auto"/>
                <w:szCs w:val="24"/>
              </w:rPr>
            </w:pPr>
            <w:r w:rsidRPr="007E1928">
              <w:rPr>
                <w:rStyle w:val="Strong"/>
                <w:color w:val="auto"/>
                <w:szCs w:val="24"/>
              </w:rPr>
              <w:t>Re:</w:t>
            </w:r>
          </w:p>
        </w:tc>
        <w:tc>
          <w:tcPr>
            <w:tcW w:w="9089" w:type="dxa"/>
          </w:tcPr>
          <w:p w14:paraId="39C4DC67" w14:textId="53A67ABA" w:rsidR="00F41AD4" w:rsidRPr="007E1928" w:rsidRDefault="006A3F46" w:rsidP="00897398">
            <w:pPr>
              <w:pStyle w:val="MemoTableText"/>
              <w:rPr>
                <w:color w:val="auto"/>
              </w:rPr>
            </w:pPr>
            <w:r w:rsidRPr="007E1928">
              <w:rPr>
                <w:color w:val="auto"/>
              </w:rPr>
              <w:t>Impacts of COVID-19 on CPAS</w:t>
            </w:r>
          </w:p>
        </w:tc>
      </w:tr>
    </w:tbl>
    <w:p w14:paraId="7BC00733" w14:textId="77777777" w:rsidR="00BC0F35" w:rsidRDefault="00A15428" w:rsidP="00BC0F35">
      <w:pPr>
        <w:pStyle w:val="TableLeftText"/>
      </w:pPr>
      <w:r>
        <w:pict w14:anchorId="6A164B08">
          <v:rect id="_x0000_i1025" style="width:0;height:1.5pt" o:hralign="center" o:hrstd="t" o:hr="t" fillcolor="#a0a0a0" stroked="f"/>
        </w:pict>
      </w:r>
    </w:p>
    <w:p w14:paraId="56669121" w14:textId="680D5B31" w:rsidR="006A3F46" w:rsidRDefault="006A3F46" w:rsidP="0069319B">
      <w:r>
        <w:t xml:space="preserve">On June 11, the Illinois independent evaluators (Guidehouse and Opinion Dynamics) presented to the Illinois Stakeholder Advisory Group (SAG) on potential challenges for impact evaluation of custom measures during the 2020 Illinois program year. The evaluation teams presented three possible options for evaluating custom measures in the 2020 </w:t>
      </w:r>
      <w:r w:rsidR="00B4241B">
        <w:t xml:space="preserve">program </w:t>
      </w:r>
      <w:r>
        <w:t>year:</w:t>
      </w:r>
    </w:p>
    <w:p w14:paraId="2F2C0FE6" w14:textId="60F6F45D" w:rsidR="006A3F46" w:rsidRDefault="006A3F46" w:rsidP="006A3F46">
      <w:pPr>
        <w:pStyle w:val="ListBullet"/>
      </w:pPr>
      <w:r>
        <w:t xml:space="preserve">Option 1: "Normalize" energy savings achieved from measures installed in the 2020 program year for all years of a measure or intervention's life to best represent the savings that would have been achieved had COVID-19 not occurred. </w:t>
      </w:r>
    </w:p>
    <w:p w14:paraId="0DCA393D" w14:textId="74C260F1" w:rsidR="006A3F46" w:rsidRDefault="006A3F46" w:rsidP="006A3F46">
      <w:pPr>
        <w:pStyle w:val="ListBullet"/>
      </w:pPr>
      <w:r>
        <w:t>Option 2: Do not normalize savings achieved in</w:t>
      </w:r>
      <w:r w:rsidR="00B4241B">
        <w:t xml:space="preserve"> the</w:t>
      </w:r>
      <w:r>
        <w:t xml:space="preserve"> 2020</w:t>
      </w:r>
      <w:r w:rsidR="00B4241B">
        <w:t xml:space="preserve"> program year</w:t>
      </w:r>
      <w:r>
        <w:t>; normalize all future years of savings from measures installed in the 2020 program year.</w:t>
      </w:r>
    </w:p>
    <w:p w14:paraId="13509D0F" w14:textId="3DCFBF33" w:rsidR="006A3F46" w:rsidRPr="006A3F46" w:rsidRDefault="006A3F46" w:rsidP="006A3F46">
      <w:pPr>
        <w:pStyle w:val="ListBullet"/>
      </w:pPr>
      <w:r>
        <w:t>Option 3: Apply no normalization to either the 2020 program year's savings or any future year's savings.</w:t>
      </w:r>
    </w:p>
    <w:p w14:paraId="10E125B1" w14:textId="55861D19" w:rsidR="007C00C5" w:rsidRDefault="006A3F46" w:rsidP="0069319B">
      <w:r>
        <w:t>As part of the ongoing SAG discussion on how to evaluate savings in light of the COVID-19 pandemic, the Illinois Attorney General's office posed a number of questions for SAG consideration. The evaluation teams have prepared this memo with responses to those questions</w:t>
      </w:r>
      <w:r w:rsidR="0095751E">
        <w:t>.</w:t>
      </w:r>
    </w:p>
    <w:p w14:paraId="6B49CBF5" w14:textId="755BB9EC" w:rsidR="006A3F46" w:rsidRPr="006A3F46" w:rsidRDefault="006A3F46" w:rsidP="006A3F46">
      <w:pPr>
        <w:pStyle w:val="BodyText"/>
        <w:rPr>
          <w:rStyle w:val="SubtleEmphasis"/>
        </w:rPr>
      </w:pPr>
      <w:r w:rsidRPr="006A3F46">
        <w:rPr>
          <w:rStyle w:val="SubtleEmphasis"/>
        </w:rPr>
        <w:t>AG Question #1</w:t>
      </w:r>
    </w:p>
    <w:p w14:paraId="7AEBBCA2" w14:textId="61193CAA" w:rsidR="006A3F46" w:rsidRDefault="006A3F46" w:rsidP="006A3F46">
      <w:r w:rsidRPr="00E445C5">
        <w:t>How much savings would be impacted? Is this a rounding error, or is this potentially a large impact?</w:t>
      </w:r>
    </w:p>
    <w:p w14:paraId="203937CD" w14:textId="3538066F" w:rsidR="006A3F46" w:rsidRPr="006A3F46" w:rsidRDefault="006A3F46" w:rsidP="006A3F46">
      <w:pPr>
        <w:pStyle w:val="BodyText"/>
        <w:rPr>
          <w:rStyle w:val="SubtleEmphasis"/>
        </w:rPr>
      </w:pPr>
      <w:r>
        <w:rPr>
          <w:rStyle w:val="SubtleEmphasis"/>
        </w:rPr>
        <w:t>Evaluation Team Response</w:t>
      </w:r>
      <w:r w:rsidR="007D25CD">
        <w:rPr>
          <w:rStyle w:val="SubtleEmphasis"/>
        </w:rPr>
        <w:t xml:space="preserve"> to AG Question #1</w:t>
      </w:r>
    </w:p>
    <w:p w14:paraId="51CF1B38" w14:textId="77D51387" w:rsidR="0095751E" w:rsidRPr="0095751E" w:rsidRDefault="0095751E" w:rsidP="0095751E">
      <w:r w:rsidRPr="006A3F46">
        <w:t xml:space="preserve">Providing an </w:t>
      </w:r>
      <w:r>
        <w:t xml:space="preserve">accurate </w:t>
      </w:r>
      <w:r w:rsidRPr="006A3F46">
        <w:t xml:space="preserve">actual estimate of the change in savings we might see between these approaches is not feasible </w:t>
      </w:r>
      <w:r>
        <w:t>in advance of the evaluation actually being conducted</w:t>
      </w:r>
      <w:r w:rsidRPr="006A3F46">
        <w:t>. However, we can</w:t>
      </w:r>
      <w:r>
        <w:t xml:space="preserve"> easily</w:t>
      </w:r>
      <w:r w:rsidRPr="006A3F46">
        <w:t xml:space="preserve"> put outer limits</w:t>
      </w:r>
      <w:r>
        <w:t xml:space="preserve"> </w:t>
      </w:r>
      <w:r w:rsidRPr="006A3F46">
        <w:t>on the size of the effect on the annual applicable incremental goal (AAIG) for electric savings and first year savings for gas based on what we expect from the programs in 2020</w:t>
      </w:r>
      <w:r>
        <w:t>. In addition, we can conduct</w:t>
      </w:r>
      <w:r w:rsidRPr="006A3F46">
        <w:t xml:space="preserve"> sensitivity analysis around what changes we could expect</w:t>
      </w:r>
      <w:r>
        <w:t xml:space="preserve"> in these parameters</w:t>
      </w:r>
      <w:r w:rsidRPr="006A3F46">
        <w:t xml:space="preserve"> if we </w:t>
      </w:r>
      <w:r>
        <w:t>make assumptions around the size of the COVID-19 impact on individual projects or measures.</w:t>
      </w:r>
    </w:p>
    <w:p w14:paraId="6381739A" w14:textId="5E8C78C3" w:rsidR="0095751E" w:rsidRDefault="0095751E" w:rsidP="0095751E">
      <w:r w:rsidRPr="0095751E">
        <w:t>For this purpose, we have used our best understanding of the utilities</w:t>
      </w:r>
      <w:r>
        <w:t>'</w:t>
      </w:r>
      <w:r w:rsidRPr="0095751E">
        <w:t xml:space="preserve"> 2020 forecasts based on the Implementation Plan Savings Goals in their 2020 Q1 reports</w:t>
      </w:r>
      <w:r w:rsidR="00B4241B">
        <w:t>, supplemented with information for 2019 evaluation results as needed</w:t>
      </w:r>
      <w:r w:rsidRPr="0095751E">
        <w:t>.</w:t>
      </w:r>
    </w:p>
    <w:p w14:paraId="1F544448" w14:textId="476C5CC4" w:rsidR="00FE222E" w:rsidRPr="00FC23D7" w:rsidRDefault="00FE222E" w:rsidP="00FC23D7">
      <w:pPr>
        <w:pStyle w:val="BodyText"/>
        <w:rPr>
          <w:b/>
          <w:bCs/>
        </w:rPr>
      </w:pPr>
      <w:r>
        <w:rPr>
          <w:b/>
          <w:bCs/>
        </w:rPr>
        <w:lastRenderedPageBreak/>
        <w:t>Electric</w:t>
      </w:r>
    </w:p>
    <w:p w14:paraId="4F8DEB0C" w14:textId="0E66F1FE" w:rsidR="0095751E" w:rsidRPr="0095751E" w:rsidRDefault="0095751E" w:rsidP="0095751E">
      <w:r w:rsidRPr="0095751E">
        <w:t xml:space="preserve">For AIC’s 2020 portfolio, we expect about 26% of net electric energy savings to be evaluated using custom methods, and therefore </w:t>
      </w:r>
      <w:r>
        <w:t>be</w:t>
      </w:r>
      <w:r w:rsidRPr="0095751E">
        <w:t xml:space="preserve"> subject to normalization adjustments from COVID.  </w:t>
      </w:r>
      <w:r>
        <w:t>Fifteen percent</w:t>
      </w:r>
      <w:r w:rsidRPr="0095751E">
        <w:t xml:space="preserve"> of net portfolio savings are from V</w:t>
      </w:r>
      <w:r>
        <w:t>oltage Optimization</w:t>
      </w:r>
      <w:r w:rsidR="00FE222E">
        <w:t xml:space="preserve"> (VO)</w:t>
      </w:r>
      <w:r w:rsidRPr="0095751E">
        <w:t>, which we don’t expect to necessarily see much or any change in for AIC in 2020 as a result of COVID due to how AIC’s VO evaluation</w:t>
      </w:r>
      <w:r>
        <w:t xml:space="preserve"> methodology</w:t>
      </w:r>
      <w:r w:rsidRPr="0095751E">
        <w:t xml:space="preserve"> works. </w:t>
      </w:r>
      <w:r>
        <w:t>That</w:t>
      </w:r>
      <w:r w:rsidRPr="0095751E">
        <w:t xml:space="preserve"> leaves somewhere in the realm of 11% of verified net electric energy savings for AIC’s 2020 portfolio that would be likely to change as a result of these considerations.</w:t>
      </w:r>
      <w:r>
        <w:rPr>
          <w:rStyle w:val="FootnoteReference"/>
        </w:rPr>
        <w:footnoteReference w:id="2"/>
      </w:r>
      <w:r w:rsidRPr="0095751E">
        <w:t xml:space="preserve"> For AIC, these savings fall nearly entirely in the Business Program’s Custom and Retro-Commissioning Initiatives. This 11% is </w:t>
      </w:r>
      <w:r>
        <w:t xml:space="preserve">currently </w:t>
      </w:r>
      <w:r w:rsidRPr="0095751E">
        <w:t>estimated at 40,158 MWh. AIC’s 2020 AAIG is 172,012, so therefore we are discussing an adjustment that could take an absolute maximum of no more than 23% of AIC’s 2020 AAIG.</w:t>
      </w:r>
      <w:r>
        <w:rPr>
          <w:rStyle w:val="FootnoteReference"/>
        </w:rPr>
        <w:footnoteReference w:id="3"/>
      </w:r>
      <w:r w:rsidR="00741F2E">
        <w:t xml:space="preserve"> </w:t>
      </w:r>
    </w:p>
    <w:p w14:paraId="3041ACD1" w14:textId="3CA99867" w:rsidR="0095751E" w:rsidRPr="0095751E" w:rsidRDefault="0095751E" w:rsidP="0095751E">
      <w:r w:rsidRPr="0095751E">
        <w:t>For ComEd</w:t>
      </w:r>
      <w:r w:rsidR="00B4241B">
        <w:t>’s 2020 portfolio</w:t>
      </w:r>
      <w:r w:rsidRPr="0095751E">
        <w:t xml:space="preserve">, </w:t>
      </w:r>
      <w:r w:rsidR="00B4241B">
        <w:t xml:space="preserve"> </w:t>
      </w:r>
      <w:r w:rsidR="00B4241B" w:rsidRPr="0095751E">
        <w:t xml:space="preserve">we expect about </w:t>
      </w:r>
      <w:r w:rsidR="00FE222E">
        <w:t>23-30</w:t>
      </w:r>
      <w:r w:rsidR="00B4241B" w:rsidRPr="0095751E">
        <w:t xml:space="preserve">% of net electric energy savings to be evaluated using custom methods, and therefore </w:t>
      </w:r>
      <w:r w:rsidR="00B4241B">
        <w:t>be</w:t>
      </w:r>
      <w:r w:rsidR="00B4241B" w:rsidRPr="0095751E">
        <w:t xml:space="preserve"> subject to normalization adjustments from COVID</w:t>
      </w:r>
      <w:r w:rsidR="00B4241B">
        <w:t xml:space="preserve"> (the range </w:t>
      </w:r>
      <w:r w:rsidR="00B4241B" w:rsidRPr="0095751E">
        <w:t>depend</w:t>
      </w:r>
      <w:r w:rsidR="00B4241B">
        <w:t>s</w:t>
      </w:r>
      <w:r w:rsidR="00B4241B" w:rsidRPr="0095751E">
        <w:t xml:space="preserve"> on whether or not Home Energy Report [HER, aka Residential Behavior] savings are normalized, note ComEd’s proposal not to normalize HER</w:t>
      </w:r>
      <w:r w:rsidR="00B4241B">
        <w:t>)</w:t>
      </w:r>
      <w:r w:rsidR="00B4241B" w:rsidRPr="0095751E">
        <w:t>.</w:t>
      </w:r>
      <w:r w:rsidR="00B4241B">
        <w:t xml:space="preserve"> </w:t>
      </w:r>
      <w:r w:rsidRPr="0095751E">
        <w:t>The majority of these savings come from VO and HER. Note that VO savings are estimated differently for ComEd than Ameren and are subject to adjustment (if VO were not normalized the percentage would fall to 1</w:t>
      </w:r>
      <w:r w:rsidR="00FE222E">
        <w:t>0</w:t>
      </w:r>
      <w:r w:rsidRPr="0095751E">
        <w:t xml:space="preserve">%). The rest of the savings come from Custom, Retro-Commissioning, Industrial Systems, Strategic Energy Management (SEM), and a couple measures within Standard. </w:t>
      </w:r>
      <w:r w:rsidR="00FE222E" w:rsidRPr="0095751E">
        <w:t xml:space="preserve">This </w:t>
      </w:r>
      <w:r w:rsidR="00FE222E">
        <w:t>22.5-29.8</w:t>
      </w:r>
      <w:r w:rsidR="00FE222E" w:rsidRPr="0095751E">
        <w:t xml:space="preserve">% is </w:t>
      </w:r>
      <w:r w:rsidR="00FE222E">
        <w:t xml:space="preserve">currently </w:t>
      </w:r>
      <w:r w:rsidR="00FE222E" w:rsidRPr="0095751E">
        <w:t xml:space="preserve">estimated at </w:t>
      </w:r>
      <w:r w:rsidR="00FE222E">
        <w:t>387,882-514,244</w:t>
      </w:r>
      <w:r w:rsidR="00FE222E" w:rsidRPr="0095751E">
        <w:t xml:space="preserve"> MWh. </w:t>
      </w:r>
      <w:r w:rsidR="00FE222E">
        <w:t>ComEd’</w:t>
      </w:r>
      <w:r w:rsidR="00FE222E" w:rsidRPr="0095751E">
        <w:t xml:space="preserve">s 2020 AAIG is </w:t>
      </w:r>
      <w:r w:rsidR="00FE222E">
        <w:t>1,021,810 MWh</w:t>
      </w:r>
      <w:r w:rsidR="00FE222E" w:rsidRPr="0095751E">
        <w:t xml:space="preserve">, so therefore we are discussing an adjustment that could take an absolute maximum of no more than </w:t>
      </w:r>
      <w:r w:rsidR="00FE222E">
        <w:t>38-50</w:t>
      </w:r>
      <w:r w:rsidR="00FE222E" w:rsidRPr="0095751E">
        <w:t xml:space="preserve">% of </w:t>
      </w:r>
      <w:r w:rsidR="00FE222E">
        <w:t>ComEd’s</w:t>
      </w:r>
      <w:r w:rsidR="00FE222E" w:rsidRPr="0095751E">
        <w:t xml:space="preserve"> 2020 AAIG.</w:t>
      </w:r>
      <w:r w:rsidR="00FE222E">
        <w:t xml:space="preserve"> </w:t>
      </w:r>
      <w:r w:rsidR="00FE222E" w:rsidRPr="0095751E">
        <w:t xml:space="preserve">Note that in our mid-year review of savings, we have found that none of the projects </w:t>
      </w:r>
      <w:r w:rsidR="00061786">
        <w:t>in</w:t>
      </w:r>
      <w:r w:rsidR="00FE222E" w:rsidRPr="0095751E">
        <w:t xml:space="preserve"> samples for Custom or Retro-Commissioning were impacted by COVID, so the effect may be low for these programs.</w:t>
      </w:r>
    </w:p>
    <w:p w14:paraId="649C3B56" w14:textId="346A448B" w:rsidR="0095751E" w:rsidRDefault="0095751E" w:rsidP="0095751E">
      <w:r>
        <w:t xml:space="preserve">Once we set these outer limits, further analysis is based on conjecture only and is presented as a hypothetical to aid </w:t>
      </w:r>
      <w:r w:rsidR="00FE222E">
        <w:t xml:space="preserve">the </w:t>
      </w:r>
      <w:r>
        <w:t xml:space="preserve">SAG in understanding </w:t>
      </w:r>
      <w:r w:rsidR="005E2BA9">
        <w:t>how large changes to AAIG</w:t>
      </w:r>
      <w:r>
        <w:t xml:space="preserve"> could be.</w:t>
      </w:r>
      <w:r w:rsidR="00741F2E">
        <w:t xml:space="preserve"> </w:t>
      </w:r>
      <w:r w:rsidR="00741F2E">
        <w:fldChar w:fldCharType="begin"/>
      </w:r>
      <w:r w:rsidR="00741F2E">
        <w:instrText xml:space="preserve"> REF _Ref47947004 \h </w:instrText>
      </w:r>
      <w:r w:rsidR="00741F2E">
        <w:fldChar w:fldCharType="separate"/>
      </w:r>
      <w:r w:rsidR="00AD763E">
        <w:t xml:space="preserve">Table </w:t>
      </w:r>
      <w:r w:rsidR="00AD763E">
        <w:rPr>
          <w:noProof/>
        </w:rPr>
        <w:t>1</w:t>
      </w:r>
      <w:r w:rsidR="00741F2E">
        <w:fldChar w:fldCharType="end"/>
      </w:r>
      <w:r w:rsidR="00741F2E">
        <w:t xml:space="preserve"> presents the current utility </w:t>
      </w:r>
      <w:r w:rsidR="005E2BA9">
        <w:t xml:space="preserve">projections </w:t>
      </w:r>
      <w:r w:rsidR="00741F2E">
        <w:t xml:space="preserve">of AAIG achievement for 2020, based on Q1 SAG reports, and shows revised projections of AAIG achievement if </w:t>
      </w:r>
      <w:r w:rsidR="005E2BA9">
        <w:t>COVID affected</w:t>
      </w:r>
      <w:r w:rsidR="00741F2E">
        <w:t xml:space="preserve"> savings at various levels (-100% through +100%).</w:t>
      </w:r>
      <w:r w:rsidR="00FC23D7">
        <w:t xml:space="preserve"> Our teams feel that it is possible that actual savings could increase or decrease because of COVID.</w:t>
      </w:r>
    </w:p>
    <w:p w14:paraId="44F64BC2" w14:textId="6BD45BD0" w:rsidR="00741F2E" w:rsidRDefault="00741F2E" w:rsidP="00FE222E">
      <w:pPr>
        <w:pStyle w:val="Caption"/>
      </w:pPr>
      <w:bookmarkStart w:id="0" w:name="_Ref47947004"/>
      <w:r>
        <w:lastRenderedPageBreak/>
        <w:t xml:space="preserve">Table </w:t>
      </w:r>
      <w:r w:rsidR="00A15428">
        <w:fldChar w:fldCharType="begin"/>
      </w:r>
      <w:r w:rsidR="00A15428">
        <w:instrText xml:space="preserve"> SEQ Table \* ARABIC </w:instrText>
      </w:r>
      <w:r w:rsidR="00A15428">
        <w:fldChar w:fldCharType="separate"/>
      </w:r>
      <w:r w:rsidR="00AD763E">
        <w:rPr>
          <w:noProof/>
        </w:rPr>
        <w:t>1</w:t>
      </w:r>
      <w:r w:rsidR="00A15428">
        <w:rPr>
          <w:noProof/>
        </w:rPr>
        <w:fldChar w:fldCharType="end"/>
      </w:r>
      <w:bookmarkEnd w:id="0"/>
      <w:r>
        <w:t>. Projected AAIG Achievement with</w:t>
      </w:r>
      <w:r w:rsidR="00E30ACB">
        <w:t xml:space="preserve"> COVID</w:t>
      </w:r>
      <w:r>
        <w:t xml:space="preserve"> Adjustments</w:t>
      </w:r>
      <w:r w:rsidR="00E30ACB">
        <w:t xml:space="preserve"> – Electric Utility</w:t>
      </w:r>
    </w:p>
    <w:tbl>
      <w:tblPr>
        <w:tblStyle w:val="ODCBasic-1"/>
        <w:tblW w:w="5000" w:type="pct"/>
        <w:tblLook w:val="04A0" w:firstRow="1" w:lastRow="0" w:firstColumn="1" w:lastColumn="0" w:noHBand="0" w:noVBand="1"/>
      </w:tblPr>
      <w:tblGrid>
        <w:gridCol w:w="4699"/>
        <w:gridCol w:w="1069"/>
        <w:gridCol w:w="2145"/>
        <w:gridCol w:w="2157"/>
      </w:tblGrid>
      <w:tr w:rsidR="00741F2E" w14:paraId="30DCFD86" w14:textId="371BAB32" w:rsidTr="00FE2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tcPr>
          <w:p w14:paraId="6FE7A3E7" w14:textId="158B803F" w:rsidR="00741F2E" w:rsidRDefault="00741F2E" w:rsidP="00A1115E">
            <w:pPr>
              <w:pStyle w:val="BodyText"/>
              <w:keepNext/>
              <w:keepLines/>
            </w:pPr>
            <w:r>
              <w:t>Projected Share of 2020 AAIG Achieved</w:t>
            </w:r>
          </w:p>
        </w:tc>
        <w:tc>
          <w:tcPr>
            <w:tcW w:w="531" w:type="pct"/>
          </w:tcPr>
          <w:p w14:paraId="2487D4D3" w14:textId="7DCCD2F3" w:rsidR="00741F2E" w:rsidRPr="00FE222E" w:rsidRDefault="00741F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proofErr w:type="spellStart"/>
            <w:r>
              <w:t>AIC</w:t>
            </w:r>
            <w:r>
              <w:rPr>
                <w:vertAlign w:val="superscript"/>
              </w:rPr>
              <w:t>a</w:t>
            </w:r>
            <w:proofErr w:type="spellEnd"/>
          </w:p>
        </w:tc>
        <w:tc>
          <w:tcPr>
            <w:tcW w:w="1065" w:type="pct"/>
          </w:tcPr>
          <w:p w14:paraId="09FC5888" w14:textId="34F50ACE" w:rsidR="00741F2E" w:rsidRPr="00FE222E" w:rsidRDefault="00741F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ComEd (no HER)</w:t>
            </w:r>
            <w:r>
              <w:rPr>
                <w:vertAlign w:val="superscript"/>
              </w:rPr>
              <w:t>b</w:t>
            </w:r>
          </w:p>
        </w:tc>
        <w:tc>
          <w:tcPr>
            <w:tcW w:w="1071" w:type="pct"/>
          </w:tcPr>
          <w:p w14:paraId="3B837787" w14:textId="37AC5043" w:rsidR="00741F2E" w:rsidRPr="00FE222E" w:rsidRDefault="00741F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ComEd (w/ HER)</w:t>
            </w:r>
            <w:r>
              <w:rPr>
                <w:vertAlign w:val="superscript"/>
              </w:rPr>
              <w:t>c</w:t>
            </w:r>
          </w:p>
        </w:tc>
      </w:tr>
      <w:tr w:rsidR="00741F2E" w14:paraId="51DD5599" w14:textId="77777777" w:rsidTr="0074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163591E4" w14:textId="541BF582" w:rsidR="00741F2E" w:rsidRDefault="00741F2E" w:rsidP="00A1115E">
            <w:pPr>
              <w:pStyle w:val="BodyText"/>
              <w:keepNext/>
              <w:keepLines/>
              <w:rPr>
                <w:rFonts w:ascii="Franklin Gothic Book" w:hAnsi="Franklin Gothic Book" w:cs="Calibri"/>
                <w:color w:val="000000"/>
              </w:rPr>
            </w:pPr>
            <w:r>
              <w:rPr>
                <w:rFonts w:ascii="Franklin Gothic Book" w:hAnsi="Franklin Gothic Book" w:cs="Calibri"/>
                <w:color w:val="000000"/>
              </w:rPr>
              <w:t>-100%</w:t>
            </w:r>
          </w:p>
        </w:tc>
        <w:tc>
          <w:tcPr>
            <w:tcW w:w="531" w:type="pct"/>
            <w:vAlign w:val="bottom"/>
          </w:tcPr>
          <w:p w14:paraId="202A9D97" w14:textId="5BABDB6D"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70.9%</w:t>
            </w:r>
          </w:p>
        </w:tc>
        <w:tc>
          <w:tcPr>
            <w:tcW w:w="1065" w:type="pct"/>
            <w:vAlign w:val="bottom"/>
          </w:tcPr>
          <w:p w14:paraId="1DEC6174" w14:textId="6B0DD73C"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65.9%</w:t>
            </w:r>
          </w:p>
        </w:tc>
        <w:tc>
          <w:tcPr>
            <w:tcW w:w="1071" w:type="pct"/>
            <w:vAlign w:val="bottom"/>
          </w:tcPr>
          <w:p w14:paraId="10637071" w14:textId="0D07158E"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53.6%</w:t>
            </w:r>
          </w:p>
        </w:tc>
      </w:tr>
      <w:tr w:rsidR="00741F2E" w14:paraId="021C8A02" w14:textId="6DA08809" w:rsidTr="00FE2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192F466A" w14:textId="3E31B9F7" w:rsidR="00741F2E" w:rsidRDefault="00741F2E" w:rsidP="00A1115E">
            <w:pPr>
              <w:pStyle w:val="BodyText"/>
              <w:keepNext/>
              <w:keepLines/>
            </w:pPr>
            <w:r>
              <w:rPr>
                <w:rFonts w:ascii="Franklin Gothic Book" w:hAnsi="Franklin Gothic Book" w:cs="Calibri"/>
                <w:color w:val="000000"/>
              </w:rPr>
              <w:t xml:space="preserve">-50% </w:t>
            </w:r>
          </w:p>
        </w:tc>
        <w:tc>
          <w:tcPr>
            <w:tcW w:w="531" w:type="pct"/>
            <w:vAlign w:val="bottom"/>
          </w:tcPr>
          <w:p w14:paraId="45AD0AA7" w14:textId="243806C7"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82.6%</w:t>
            </w:r>
          </w:p>
        </w:tc>
        <w:tc>
          <w:tcPr>
            <w:tcW w:w="1065" w:type="pct"/>
            <w:vAlign w:val="bottom"/>
          </w:tcPr>
          <w:p w14:paraId="1A7E80B6" w14:textId="109454EE"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84.9%</w:t>
            </w:r>
          </w:p>
        </w:tc>
        <w:tc>
          <w:tcPr>
            <w:tcW w:w="1071" w:type="pct"/>
            <w:vAlign w:val="bottom"/>
          </w:tcPr>
          <w:p w14:paraId="428FC12C" w14:textId="5D80350C"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78.7%</w:t>
            </w:r>
          </w:p>
        </w:tc>
      </w:tr>
      <w:tr w:rsidR="00741F2E" w14:paraId="3C8A71E6" w14:textId="1FF29139" w:rsidTr="00FE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1BE71192" w14:textId="73C7470E" w:rsidR="00741F2E" w:rsidRDefault="00741F2E" w:rsidP="00A1115E">
            <w:pPr>
              <w:pStyle w:val="BodyText"/>
              <w:keepNext/>
              <w:keepLines/>
            </w:pPr>
            <w:r>
              <w:rPr>
                <w:rFonts w:ascii="Franklin Gothic Book" w:hAnsi="Franklin Gothic Book" w:cs="Calibri"/>
                <w:color w:val="000000"/>
              </w:rPr>
              <w:t xml:space="preserve">-20% </w:t>
            </w:r>
          </w:p>
        </w:tc>
        <w:tc>
          <w:tcPr>
            <w:tcW w:w="531" w:type="pct"/>
            <w:vAlign w:val="bottom"/>
          </w:tcPr>
          <w:p w14:paraId="0A99D347" w14:textId="37F7DFA6"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89.6%</w:t>
            </w:r>
          </w:p>
        </w:tc>
        <w:tc>
          <w:tcPr>
            <w:tcW w:w="1065" w:type="pct"/>
            <w:vAlign w:val="bottom"/>
          </w:tcPr>
          <w:p w14:paraId="4A4B0EFA" w14:textId="61E95A07"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96.3%</w:t>
            </w:r>
          </w:p>
        </w:tc>
        <w:tc>
          <w:tcPr>
            <w:tcW w:w="1071" w:type="pct"/>
            <w:vAlign w:val="bottom"/>
          </w:tcPr>
          <w:p w14:paraId="37BA0230" w14:textId="50039619" w:rsidR="00741F2E" w:rsidRDefault="00741F2E" w:rsidP="00A1115E">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93.8%</w:t>
            </w:r>
          </w:p>
        </w:tc>
      </w:tr>
      <w:tr w:rsidR="00741F2E" w14:paraId="207E4F06" w14:textId="75F2B40A" w:rsidTr="00FE2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26405FAB" w14:textId="2AC4984F" w:rsidR="00741F2E" w:rsidRDefault="00741F2E" w:rsidP="00A1115E">
            <w:pPr>
              <w:pStyle w:val="BodyText"/>
              <w:keepNext/>
              <w:keepLines/>
            </w:pPr>
            <w:r>
              <w:rPr>
                <w:rFonts w:ascii="Franklin Gothic Book" w:hAnsi="Franklin Gothic Book" w:cs="Calibri"/>
                <w:color w:val="000000"/>
              </w:rPr>
              <w:t xml:space="preserve">-10% </w:t>
            </w:r>
            <w:r w:rsidR="005E2BA9">
              <w:rPr>
                <w:rFonts w:ascii="Franklin Gothic Book" w:hAnsi="Franklin Gothic Book" w:cs="Calibri"/>
                <w:color w:val="000000"/>
              </w:rPr>
              <w:t>(assumes COVID decreases actual savings by 10%)</w:t>
            </w:r>
          </w:p>
        </w:tc>
        <w:tc>
          <w:tcPr>
            <w:tcW w:w="531" w:type="pct"/>
            <w:vAlign w:val="bottom"/>
          </w:tcPr>
          <w:p w14:paraId="0EA2F82B" w14:textId="4802FCAB"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91.9%</w:t>
            </w:r>
          </w:p>
        </w:tc>
        <w:tc>
          <w:tcPr>
            <w:tcW w:w="1065" w:type="pct"/>
            <w:vAlign w:val="bottom"/>
          </w:tcPr>
          <w:p w14:paraId="1D174351" w14:textId="6E971648"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100.1%</w:t>
            </w:r>
          </w:p>
        </w:tc>
        <w:tc>
          <w:tcPr>
            <w:tcW w:w="1071" w:type="pct"/>
            <w:vAlign w:val="bottom"/>
          </w:tcPr>
          <w:p w14:paraId="7AF1E435" w14:textId="4185A69B" w:rsidR="00741F2E" w:rsidRDefault="00741F2E" w:rsidP="00A1115E">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98.9%</w:t>
            </w:r>
          </w:p>
        </w:tc>
      </w:tr>
      <w:tr w:rsidR="005E2BA9" w14:paraId="515DA0A4" w14:textId="77777777" w:rsidTr="00FE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30769F11" w14:textId="5313C83E" w:rsidR="005E2BA9" w:rsidRPr="005E2BA9" w:rsidRDefault="005E2BA9" w:rsidP="005E2BA9">
            <w:pPr>
              <w:pStyle w:val="BodyText"/>
              <w:keepNext/>
              <w:keepLines/>
              <w:rPr>
                <w:rFonts w:ascii="Franklin Gothic Book" w:hAnsi="Franklin Gothic Book" w:cs="Calibri"/>
                <w:b/>
                <w:bCs/>
                <w:color w:val="000000"/>
              </w:rPr>
            </w:pPr>
            <w:r w:rsidRPr="005E2BA9">
              <w:rPr>
                <w:rFonts w:ascii="Franklin Gothic Book" w:hAnsi="Franklin Gothic Book" w:cs="Calibri"/>
                <w:b/>
                <w:bCs/>
                <w:color w:val="000000"/>
              </w:rPr>
              <w:t xml:space="preserve">Based on Q1 SAG Report </w:t>
            </w:r>
            <w:r>
              <w:rPr>
                <w:rFonts w:ascii="Franklin Gothic Book" w:hAnsi="Franklin Gothic Book" w:cs="Calibri"/>
                <w:b/>
                <w:bCs/>
                <w:color w:val="000000"/>
              </w:rPr>
              <w:t>(assumes normalized savings or no impact of COVID)</w:t>
            </w:r>
          </w:p>
        </w:tc>
        <w:tc>
          <w:tcPr>
            <w:tcW w:w="531" w:type="pct"/>
            <w:vAlign w:val="bottom"/>
          </w:tcPr>
          <w:p w14:paraId="51C12604" w14:textId="6D9BD3D6" w:rsidR="005E2BA9" w:rsidRP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5E2BA9">
              <w:rPr>
                <w:rFonts w:ascii="Franklin Gothic Book" w:hAnsi="Franklin Gothic Book" w:cs="Calibri"/>
                <w:b/>
                <w:bCs/>
                <w:color w:val="000000"/>
              </w:rPr>
              <w:t>94.2%</w:t>
            </w:r>
          </w:p>
        </w:tc>
        <w:tc>
          <w:tcPr>
            <w:tcW w:w="1065" w:type="pct"/>
            <w:vAlign w:val="bottom"/>
          </w:tcPr>
          <w:p w14:paraId="79DC554B" w14:textId="301F45B7" w:rsidR="005E2BA9" w:rsidRP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5E2BA9">
              <w:rPr>
                <w:rFonts w:ascii="Franklin Gothic Book" w:hAnsi="Franklin Gothic Book" w:cs="Calibri"/>
                <w:b/>
                <w:bCs/>
                <w:color w:val="000000"/>
              </w:rPr>
              <w:t>103.9%</w:t>
            </w:r>
          </w:p>
        </w:tc>
        <w:tc>
          <w:tcPr>
            <w:tcW w:w="1071" w:type="pct"/>
            <w:vAlign w:val="bottom"/>
          </w:tcPr>
          <w:p w14:paraId="14C12964" w14:textId="4D7A0C81" w:rsidR="005E2BA9" w:rsidRP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5E2BA9">
              <w:rPr>
                <w:rFonts w:ascii="Franklin Gothic Book" w:hAnsi="Franklin Gothic Book" w:cs="Calibri"/>
                <w:b/>
                <w:bCs/>
                <w:color w:val="000000"/>
              </w:rPr>
              <w:t>103.9%</w:t>
            </w:r>
          </w:p>
        </w:tc>
      </w:tr>
      <w:tr w:rsidR="005E2BA9" w14:paraId="35E39262" w14:textId="2CCCB9C5" w:rsidTr="00FE2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28AA4F6E" w14:textId="4B8DBC59" w:rsidR="005E2BA9" w:rsidRDefault="005E2BA9" w:rsidP="005E2BA9">
            <w:pPr>
              <w:pStyle w:val="BodyText"/>
              <w:keepNext/>
              <w:keepLines/>
            </w:pPr>
            <w:r>
              <w:rPr>
                <w:rFonts w:ascii="Franklin Gothic Book" w:hAnsi="Franklin Gothic Book" w:cs="Calibri"/>
                <w:color w:val="000000"/>
              </w:rPr>
              <w:t>+10% (assumes COVID increase</w:t>
            </w:r>
            <w:r w:rsidR="009F1227">
              <w:rPr>
                <w:rFonts w:ascii="Franklin Gothic Book" w:hAnsi="Franklin Gothic Book" w:cs="Calibri"/>
                <w:color w:val="000000"/>
              </w:rPr>
              <w:t>s</w:t>
            </w:r>
            <w:r>
              <w:rPr>
                <w:rFonts w:ascii="Franklin Gothic Book" w:hAnsi="Franklin Gothic Book" w:cs="Calibri"/>
                <w:color w:val="000000"/>
              </w:rPr>
              <w:t xml:space="preserve"> actual savings by 10%)</w:t>
            </w:r>
          </w:p>
        </w:tc>
        <w:tc>
          <w:tcPr>
            <w:tcW w:w="531" w:type="pct"/>
            <w:vAlign w:val="bottom"/>
          </w:tcPr>
          <w:p w14:paraId="28B5F5EB" w14:textId="475B97BB"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96.6%</w:t>
            </w:r>
          </w:p>
        </w:tc>
        <w:tc>
          <w:tcPr>
            <w:tcW w:w="1065" w:type="pct"/>
            <w:vAlign w:val="bottom"/>
          </w:tcPr>
          <w:p w14:paraId="67A812BC" w14:textId="57543D2E"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107.7%</w:t>
            </w:r>
          </w:p>
        </w:tc>
        <w:tc>
          <w:tcPr>
            <w:tcW w:w="1071" w:type="pct"/>
            <w:vAlign w:val="bottom"/>
          </w:tcPr>
          <w:p w14:paraId="44FF7F6D" w14:textId="2638AC2E"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108.9%</w:t>
            </w:r>
          </w:p>
        </w:tc>
      </w:tr>
      <w:tr w:rsidR="005E2BA9" w14:paraId="52D72D36" w14:textId="18C84FAB" w:rsidTr="00FE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76739C81" w14:textId="139A1554" w:rsidR="005E2BA9" w:rsidRDefault="005E2BA9" w:rsidP="005E2BA9">
            <w:pPr>
              <w:pStyle w:val="BodyText"/>
              <w:keepNext/>
              <w:keepLines/>
            </w:pPr>
            <w:r>
              <w:rPr>
                <w:rFonts w:ascii="Franklin Gothic Book" w:hAnsi="Franklin Gothic Book" w:cs="Calibri"/>
                <w:color w:val="000000"/>
              </w:rPr>
              <w:t xml:space="preserve">+20% </w:t>
            </w:r>
          </w:p>
        </w:tc>
        <w:tc>
          <w:tcPr>
            <w:tcW w:w="531" w:type="pct"/>
            <w:vAlign w:val="bottom"/>
          </w:tcPr>
          <w:p w14:paraId="4C47F813" w14:textId="08CCD523"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98.9%</w:t>
            </w:r>
          </w:p>
        </w:tc>
        <w:tc>
          <w:tcPr>
            <w:tcW w:w="1065" w:type="pct"/>
            <w:vAlign w:val="bottom"/>
          </w:tcPr>
          <w:p w14:paraId="0004CA72" w14:textId="27ECACB9"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111.5%</w:t>
            </w:r>
          </w:p>
        </w:tc>
        <w:tc>
          <w:tcPr>
            <w:tcW w:w="1071" w:type="pct"/>
            <w:vAlign w:val="bottom"/>
          </w:tcPr>
          <w:p w14:paraId="57A50925" w14:textId="65B2396F"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114.0%</w:t>
            </w:r>
          </w:p>
        </w:tc>
      </w:tr>
      <w:tr w:rsidR="005E2BA9" w14:paraId="011CA90E" w14:textId="715CA8DB" w:rsidTr="00FE22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23EE5A7F" w14:textId="05775B28" w:rsidR="005E2BA9" w:rsidRDefault="005E2BA9" w:rsidP="005E2BA9">
            <w:pPr>
              <w:pStyle w:val="BodyText"/>
              <w:keepNext/>
              <w:keepLines/>
            </w:pPr>
            <w:r>
              <w:rPr>
                <w:rFonts w:ascii="Franklin Gothic Book" w:hAnsi="Franklin Gothic Book" w:cs="Calibri"/>
                <w:color w:val="000000"/>
              </w:rPr>
              <w:t xml:space="preserve">+50% </w:t>
            </w:r>
          </w:p>
        </w:tc>
        <w:tc>
          <w:tcPr>
            <w:tcW w:w="531" w:type="pct"/>
            <w:vAlign w:val="bottom"/>
          </w:tcPr>
          <w:p w14:paraId="0A126E5E" w14:textId="4EC989A7"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105.9%</w:t>
            </w:r>
          </w:p>
        </w:tc>
        <w:tc>
          <w:tcPr>
            <w:tcW w:w="1065" w:type="pct"/>
            <w:vAlign w:val="bottom"/>
          </w:tcPr>
          <w:p w14:paraId="0020B06B" w14:textId="77F6C1A8"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122.9%</w:t>
            </w:r>
          </w:p>
        </w:tc>
        <w:tc>
          <w:tcPr>
            <w:tcW w:w="1071" w:type="pct"/>
            <w:vAlign w:val="bottom"/>
          </w:tcPr>
          <w:p w14:paraId="0AC6C04A" w14:textId="7DB77EBB" w:rsidR="005E2BA9" w:rsidRDefault="005E2BA9" w:rsidP="005E2BA9">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129.1%</w:t>
            </w:r>
          </w:p>
        </w:tc>
      </w:tr>
      <w:tr w:rsidR="005E2BA9" w14:paraId="4E708816" w14:textId="77777777" w:rsidTr="0074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pct"/>
            <w:vAlign w:val="bottom"/>
          </w:tcPr>
          <w:p w14:paraId="26FF3727" w14:textId="0357905A" w:rsidR="005E2BA9" w:rsidRDefault="005E2BA9" w:rsidP="005E2BA9">
            <w:pPr>
              <w:pStyle w:val="BodyText"/>
              <w:keepNext/>
              <w:keepLines/>
              <w:rPr>
                <w:rFonts w:ascii="Franklin Gothic Book" w:hAnsi="Franklin Gothic Book" w:cs="Calibri"/>
                <w:color w:val="000000"/>
              </w:rPr>
            </w:pPr>
            <w:r>
              <w:rPr>
                <w:rFonts w:ascii="Franklin Gothic Book" w:hAnsi="Franklin Gothic Book" w:cs="Calibri"/>
                <w:color w:val="000000"/>
              </w:rPr>
              <w:t xml:space="preserve">+100% </w:t>
            </w:r>
          </w:p>
        </w:tc>
        <w:tc>
          <w:tcPr>
            <w:tcW w:w="531" w:type="pct"/>
            <w:vAlign w:val="bottom"/>
          </w:tcPr>
          <w:p w14:paraId="27F38DC4" w14:textId="0385D103"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117.6%</w:t>
            </w:r>
          </w:p>
        </w:tc>
        <w:tc>
          <w:tcPr>
            <w:tcW w:w="1065" w:type="pct"/>
            <w:vAlign w:val="bottom"/>
          </w:tcPr>
          <w:p w14:paraId="45924D54" w14:textId="3FB003FB"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141.9%</w:t>
            </w:r>
          </w:p>
        </w:tc>
        <w:tc>
          <w:tcPr>
            <w:tcW w:w="1071" w:type="pct"/>
            <w:vAlign w:val="bottom"/>
          </w:tcPr>
          <w:p w14:paraId="18AD610A" w14:textId="5E958E3F" w:rsidR="005E2BA9" w:rsidRDefault="005E2BA9" w:rsidP="005E2BA9">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154.2%</w:t>
            </w:r>
          </w:p>
        </w:tc>
      </w:tr>
    </w:tbl>
    <w:p w14:paraId="47E1B5EB" w14:textId="51498F28" w:rsidR="00741F2E" w:rsidRDefault="00741F2E" w:rsidP="00741F2E">
      <w:pPr>
        <w:pStyle w:val="TableFootnote"/>
      </w:pPr>
      <w:r>
        <w:rPr>
          <w:vertAlign w:val="superscript"/>
        </w:rPr>
        <w:t>a</w:t>
      </w:r>
      <w:r>
        <w:t xml:space="preserve"> Projections for AIC do not consider </w:t>
      </w:r>
      <w:r w:rsidR="00E30ACB">
        <w:t xml:space="preserve">changes </w:t>
      </w:r>
      <w:r>
        <w:t>to</w:t>
      </w:r>
      <w:r w:rsidR="00FE222E">
        <w:t xml:space="preserve"> VO</w:t>
      </w:r>
      <w:r>
        <w:t xml:space="preserve">. </w:t>
      </w:r>
      <w:r w:rsidR="00FE222E">
        <w:t xml:space="preserve">VO </w:t>
      </w:r>
      <w:r>
        <w:t xml:space="preserve">is a custom impact analysis, but the evaluation team does not expect </w:t>
      </w:r>
      <w:r w:rsidR="00FE222E">
        <w:t>VO</w:t>
      </w:r>
      <w:r>
        <w:t xml:space="preserve"> results to differ as a result of COVID-19 as AIC’s baseline usage for VO is deemed.</w:t>
      </w:r>
    </w:p>
    <w:p w14:paraId="43228199" w14:textId="0E05CFCB" w:rsidR="00741F2E" w:rsidRDefault="00741F2E" w:rsidP="00741F2E">
      <w:pPr>
        <w:pStyle w:val="TableFootnote"/>
      </w:pPr>
      <w:r>
        <w:rPr>
          <w:vertAlign w:val="superscript"/>
        </w:rPr>
        <w:t>b</w:t>
      </w:r>
      <w:r>
        <w:t xml:space="preserve"> These projections for ComEd do not consider </w:t>
      </w:r>
      <w:r w:rsidR="00E30ACB">
        <w:t xml:space="preserve">changes </w:t>
      </w:r>
      <w:r>
        <w:t xml:space="preserve">to </w:t>
      </w:r>
      <w:r w:rsidR="00870F0C">
        <w:t>HER</w:t>
      </w:r>
      <w:r>
        <w:t>, in line with ComEd’s proposed modification to Option 1.</w:t>
      </w:r>
    </w:p>
    <w:p w14:paraId="13E77977" w14:textId="1001658E" w:rsidR="0095751E" w:rsidRPr="00AD763E" w:rsidRDefault="00741F2E" w:rsidP="00FE222E">
      <w:pPr>
        <w:pStyle w:val="TableFootnote"/>
      </w:pPr>
      <w:r>
        <w:t xml:space="preserve"> </w:t>
      </w:r>
      <w:r>
        <w:rPr>
          <w:vertAlign w:val="superscript"/>
        </w:rPr>
        <w:t>b</w:t>
      </w:r>
      <w:r>
        <w:t xml:space="preserve"> These projections for ComEd do consider </w:t>
      </w:r>
      <w:r w:rsidR="00E30ACB">
        <w:t xml:space="preserve">changes </w:t>
      </w:r>
      <w:r>
        <w:t xml:space="preserve">to </w:t>
      </w:r>
      <w:r w:rsidR="00870F0C">
        <w:t>HER</w:t>
      </w:r>
      <w:r>
        <w:t>.</w:t>
      </w:r>
    </w:p>
    <w:p w14:paraId="77179A70" w14:textId="0DA0E424" w:rsidR="00FE222E" w:rsidRPr="00FC23D7" w:rsidRDefault="00FE222E" w:rsidP="00741F2E">
      <w:pPr>
        <w:rPr>
          <w:b/>
          <w:bCs/>
        </w:rPr>
      </w:pPr>
      <w:r>
        <w:rPr>
          <w:b/>
          <w:bCs/>
        </w:rPr>
        <w:t>Gas</w:t>
      </w:r>
    </w:p>
    <w:p w14:paraId="4B67A273" w14:textId="232FAD49" w:rsidR="00AD763E" w:rsidRDefault="00AD763E" w:rsidP="00741F2E">
      <w:r>
        <w:t xml:space="preserve">For AIC, 31.3% of the first year therms savings goal is subject to normalization adjustments from COVID. Like on the electric side, </w:t>
      </w:r>
      <w:r w:rsidRPr="0095751E">
        <w:t>these savings fall nearly entirely in the Business Program’s Custom and Retro-Commissioning Initiatives.</w:t>
      </w:r>
    </w:p>
    <w:p w14:paraId="447C55D6" w14:textId="683E848F" w:rsidR="00741F2E" w:rsidRDefault="00741F2E" w:rsidP="00741F2E">
      <w:r w:rsidRPr="0095751E">
        <w:t xml:space="preserve">For Nicor Gas, between 27.2 and 35.5% (depending on whether or not HER savings are normalized) of the </w:t>
      </w:r>
      <w:proofErr w:type="gramStart"/>
      <w:r w:rsidRPr="0095751E">
        <w:t>first year</w:t>
      </w:r>
      <w:proofErr w:type="gramEnd"/>
      <w:r w:rsidRPr="0095751E">
        <w:t xml:space="preserve"> savings goal are subject to normalization adjustments from COVID. These savings come from HER, Custom projects (including Retro-Commissioning) and SEM.</w:t>
      </w:r>
    </w:p>
    <w:p w14:paraId="7EC4E3E4" w14:textId="779C4CA2" w:rsidR="00FE222E" w:rsidRPr="00FE222E" w:rsidRDefault="00FE222E" w:rsidP="00FE222E">
      <w:r>
        <w:t xml:space="preserve">For Peoples and North Shore Gas (PG/NSG), between 13.3 and 20.2% (depending on whether </w:t>
      </w:r>
      <w:r w:rsidRPr="0095751E">
        <w:t xml:space="preserve">or not HER savings are normalized) of the </w:t>
      </w:r>
      <w:proofErr w:type="gramStart"/>
      <w:r w:rsidRPr="0095751E">
        <w:t>first year</w:t>
      </w:r>
      <w:proofErr w:type="gramEnd"/>
      <w:r w:rsidRPr="0095751E">
        <w:t xml:space="preserve"> savings goal are subject to normalization adjustments from COVID. These savings come from HER, Custom projects (including Retro-Commissioning) and SEM.</w:t>
      </w:r>
    </w:p>
    <w:p w14:paraId="3930796A" w14:textId="17FB131F" w:rsidR="00AD763E" w:rsidRDefault="00AD763E" w:rsidP="00AD763E">
      <w:r>
        <w:t xml:space="preserve">Again, once we set these outer limits, further analysis is based on conjecture only and is presented as a hypothetical to aid SAG in understanding what magnitude of adjustments could be possible. </w:t>
      </w:r>
      <w:r>
        <w:fldChar w:fldCharType="begin"/>
      </w:r>
      <w:r>
        <w:instrText xml:space="preserve"> REF _Ref47947659 \h </w:instrText>
      </w:r>
      <w:r>
        <w:fldChar w:fldCharType="separate"/>
      </w:r>
      <w:r>
        <w:t xml:space="preserve">Table </w:t>
      </w:r>
      <w:r>
        <w:rPr>
          <w:noProof/>
        </w:rPr>
        <w:t>2</w:t>
      </w:r>
      <w:r>
        <w:fldChar w:fldCharType="end"/>
      </w:r>
      <w:r>
        <w:t xml:space="preserve"> presents the current gas utility estimates of savings goal achievement for 2020, based on Q1 SAG reports, and shows revised projections of goal achievement if adjustments to savings were made at various levels (-100% through +100%). </w:t>
      </w:r>
    </w:p>
    <w:p w14:paraId="13AE9E05" w14:textId="43469621" w:rsidR="00AD763E" w:rsidRDefault="00AD763E" w:rsidP="00AD763E">
      <w:pPr>
        <w:pStyle w:val="Caption"/>
      </w:pPr>
      <w:bookmarkStart w:id="1" w:name="_Ref47947659"/>
      <w:r>
        <w:lastRenderedPageBreak/>
        <w:t xml:space="preserve">Table </w:t>
      </w:r>
      <w:r w:rsidR="00A15428">
        <w:fldChar w:fldCharType="begin"/>
      </w:r>
      <w:r w:rsidR="00A15428">
        <w:instrText xml:space="preserve"> SEQ Table \* ARABIC </w:instrText>
      </w:r>
      <w:r w:rsidR="00A15428">
        <w:fldChar w:fldCharType="separate"/>
      </w:r>
      <w:r>
        <w:rPr>
          <w:noProof/>
        </w:rPr>
        <w:t>2</w:t>
      </w:r>
      <w:r w:rsidR="00A15428">
        <w:rPr>
          <w:noProof/>
        </w:rPr>
        <w:fldChar w:fldCharType="end"/>
      </w:r>
      <w:bookmarkEnd w:id="1"/>
      <w:r>
        <w:t>. Projected First-Year Savings Goal Achievement with Adjustments</w:t>
      </w:r>
      <w:r w:rsidR="003C0899">
        <w:t xml:space="preserve"> - Gas Utility</w:t>
      </w:r>
    </w:p>
    <w:tbl>
      <w:tblPr>
        <w:tblStyle w:val="ODCBasic-1"/>
        <w:tblW w:w="4987" w:type="pct"/>
        <w:tblLook w:val="04A0" w:firstRow="1" w:lastRow="0" w:firstColumn="1" w:lastColumn="0" w:noHBand="0" w:noVBand="1"/>
      </w:tblPr>
      <w:tblGrid>
        <w:gridCol w:w="4702"/>
        <w:gridCol w:w="1068"/>
        <w:gridCol w:w="1069"/>
        <w:gridCol w:w="1069"/>
        <w:gridCol w:w="1069"/>
        <w:gridCol w:w="1067"/>
      </w:tblGrid>
      <w:tr w:rsidR="00FE222E" w14:paraId="0CC2128A" w14:textId="002B07AE" w:rsidTr="00FC2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tcPr>
          <w:p w14:paraId="2CF0D65F" w14:textId="105457E3" w:rsidR="00FE222E" w:rsidRPr="00AD763E" w:rsidRDefault="00FE222E" w:rsidP="00A1115E">
            <w:pPr>
              <w:pStyle w:val="BodyText"/>
              <w:keepNext/>
              <w:keepLines/>
              <w:rPr>
                <w:iCs w:val="0"/>
              </w:rPr>
            </w:pPr>
            <w:r>
              <w:t>Projected Share of 2020 First-Year Goal Achieved</w:t>
            </w:r>
          </w:p>
        </w:tc>
        <w:tc>
          <w:tcPr>
            <w:tcW w:w="532" w:type="pct"/>
          </w:tcPr>
          <w:p w14:paraId="2E5CC8F7" w14:textId="0EBC6A19" w:rsidR="00FE222E" w:rsidRPr="00220688" w:rsidRDefault="00FE22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AIC</w:t>
            </w:r>
          </w:p>
        </w:tc>
        <w:tc>
          <w:tcPr>
            <w:tcW w:w="532" w:type="pct"/>
          </w:tcPr>
          <w:p w14:paraId="0F3008DD" w14:textId="6EA124CF" w:rsidR="00FE222E" w:rsidRPr="00FC23D7" w:rsidRDefault="00FE22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Nicor Gas (no HER)</w:t>
            </w:r>
            <w:r w:rsidR="00870F0C">
              <w:rPr>
                <w:vertAlign w:val="superscript"/>
              </w:rPr>
              <w:t>a</w:t>
            </w:r>
          </w:p>
        </w:tc>
        <w:tc>
          <w:tcPr>
            <w:tcW w:w="532" w:type="pct"/>
          </w:tcPr>
          <w:p w14:paraId="031DCE82" w14:textId="3378702A" w:rsidR="00FE222E" w:rsidRPr="00FC23D7" w:rsidRDefault="00FE22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Nicor Gas (w/ HER)</w:t>
            </w:r>
            <w:r w:rsidR="00870F0C">
              <w:rPr>
                <w:vertAlign w:val="superscript"/>
              </w:rPr>
              <w:t>b</w:t>
            </w:r>
          </w:p>
        </w:tc>
        <w:tc>
          <w:tcPr>
            <w:tcW w:w="532" w:type="pct"/>
          </w:tcPr>
          <w:p w14:paraId="21EA62CD" w14:textId="370E1CED" w:rsidR="00FE222E" w:rsidRPr="00FC23D7" w:rsidRDefault="00FE22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PG/NSG (no HER)</w:t>
            </w:r>
            <w:r w:rsidR="00870F0C">
              <w:rPr>
                <w:vertAlign w:val="superscript"/>
              </w:rPr>
              <w:t>a</w:t>
            </w:r>
          </w:p>
        </w:tc>
        <w:tc>
          <w:tcPr>
            <w:tcW w:w="531" w:type="pct"/>
          </w:tcPr>
          <w:p w14:paraId="0DD25E94" w14:textId="2E73BA59" w:rsidR="00FE222E" w:rsidRPr="00FC23D7" w:rsidRDefault="00FE222E" w:rsidP="00A1115E">
            <w:pPr>
              <w:pStyle w:val="TableTitleText"/>
              <w:keepNext/>
              <w:keepLines/>
              <w:cnfStyle w:val="100000000000" w:firstRow="1" w:lastRow="0" w:firstColumn="0" w:lastColumn="0" w:oddVBand="0" w:evenVBand="0" w:oddHBand="0" w:evenHBand="0" w:firstRowFirstColumn="0" w:firstRowLastColumn="0" w:lastRowFirstColumn="0" w:lastRowLastColumn="0"/>
              <w:rPr>
                <w:vertAlign w:val="superscript"/>
              </w:rPr>
            </w:pPr>
            <w:r>
              <w:t>PG/NSG (w/ HER)</w:t>
            </w:r>
            <w:r w:rsidR="00870F0C">
              <w:rPr>
                <w:vertAlign w:val="superscript"/>
              </w:rPr>
              <w:t>b</w:t>
            </w:r>
          </w:p>
        </w:tc>
      </w:tr>
      <w:tr w:rsidR="009506AD" w14:paraId="0A569E79" w14:textId="197B830D" w:rsidTr="00FC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12640C5D" w14:textId="372AF37F" w:rsidR="009506AD" w:rsidRDefault="009506AD" w:rsidP="009506AD">
            <w:pPr>
              <w:pStyle w:val="BodyText"/>
              <w:keepNext/>
              <w:keepLines/>
              <w:rPr>
                <w:rFonts w:ascii="Franklin Gothic Book" w:hAnsi="Franklin Gothic Book" w:cs="Calibri"/>
                <w:color w:val="000000"/>
              </w:rPr>
            </w:pPr>
            <w:r>
              <w:rPr>
                <w:rFonts w:ascii="Franklin Gothic Book" w:hAnsi="Franklin Gothic Book" w:cs="Calibri"/>
                <w:color w:val="000000"/>
              </w:rPr>
              <w:t>-100%</w:t>
            </w:r>
          </w:p>
        </w:tc>
        <w:tc>
          <w:tcPr>
            <w:tcW w:w="532" w:type="pct"/>
            <w:vAlign w:val="bottom"/>
          </w:tcPr>
          <w:p w14:paraId="233AF8D2" w14:textId="49B19B50"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68.7%</w:t>
            </w:r>
          </w:p>
        </w:tc>
        <w:tc>
          <w:tcPr>
            <w:tcW w:w="532" w:type="pct"/>
            <w:vAlign w:val="bottom"/>
          </w:tcPr>
          <w:p w14:paraId="4ED86768" w14:textId="6711CD8A"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72.8%</w:t>
            </w:r>
          </w:p>
        </w:tc>
        <w:tc>
          <w:tcPr>
            <w:tcW w:w="532" w:type="pct"/>
            <w:vAlign w:val="bottom"/>
          </w:tcPr>
          <w:p w14:paraId="66CB4C24" w14:textId="31071CFF"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64.5%</w:t>
            </w:r>
          </w:p>
        </w:tc>
        <w:tc>
          <w:tcPr>
            <w:tcW w:w="532" w:type="pct"/>
            <w:vAlign w:val="bottom"/>
          </w:tcPr>
          <w:p w14:paraId="21E4E707" w14:textId="78F031C2"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79.8%</w:t>
            </w:r>
          </w:p>
        </w:tc>
        <w:tc>
          <w:tcPr>
            <w:tcW w:w="531" w:type="pct"/>
            <w:vAlign w:val="bottom"/>
          </w:tcPr>
          <w:p w14:paraId="325F3EEC" w14:textId="31B1D87D"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66.5%</w:t>
            </w:r>
          </w:p>
        </w:tc>
      </w:tr>
      <w:tr w:rsidR="009506AD" w14:paraId="099E82D2" w14:textId="5ABD7A42" w:rsidTr="00FC2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380A4FAA" w14:textId="05CC223C" w:rsidR="009506AD" w:rsidRDefault="009506AD" w:rsidP="009506AD">
            <w:pPr>
              <w:pStyle w:val="BodyText"/>
              <w:keepNext/>
              <w:keepLines/>
            </w:pPr>
            <w:r>
              <w:rPr>
                <w:rFonts w:ascii="Franklin Gothic Book" w:hAnsi="Franklin Gothic Book" w:cs="Calibri"/>
                <w:color w:val="000000"/>
              </w:rPr>
              <w:t xml:space="preserve">-50% </w:t>
            </w:r>
          </w:p>
        </w:tc>
        <w:tc>
          <w:tcPr>
            <w:tcW w:w="532" w:type="pct"/>
            <w:vAlign w:val="bottom"/>
          </w:tcPr>
          <w:p w14:paraId="7E9F0013" w14:textId="45730E3A"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84.4%</w:t>
            </w:r>
          </w:p>
        </w:tc>
        <w:tc>
          <w:tcPr>
            <w:tcW w:w="532" w:type="pct"/>
            <w:vAlign w:val="bottom"/>
          </w:tcPr>
          <w:p w14:paraId="5A85612F" w14:textId="0ECAF460"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86.4%</w:t>
            </w:r>
          </w:p>
        </w:tc>
        <w:tc>
          <w:tcPr>
            <w:tcW w:w="532" w:type="pct"/>
            <w:vAlign w:val="bottom"/>
          </w:tcPr>
          <w:p w14:paraId="46B571C9" w14:textId="1B0DCCDC"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82.3%</w:t>
            </w:r>
          </w:p>
        </w:tc>
        <w:tc>
          <w:tcPr>
            <w:tcW w:w="532" w:type="pct"/>
            <w:vAlign w:val="bottom"/>
          </w:tcPr>
          <w:p w14:paraId="6F07DCC7" w14:textId="7B78E06C"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89.9%</w:t>
            </w:r>
          </w:p>
        </w:tc>
        <w:tc>
          <w:tcPr>
            <w:tcW w:w="531" w:type="pct"/>
            <w:vAlign w:val="bottom"/>
          </w:tcPr>
          <w:p w14:paraId="320823D3" w14:textId="67467A88"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83.3%</w:t>
            </w:r>
          </w:p>
        </w:tc>
      </w:tr>
      <w:tr w:rsidR="009506AD" w14:paraId="4352AA64" w14:textId="628B78D2" w:rsidTr="00FC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210D7966" w14:textId="4D261101" w:rsidR="009506AD" w:rsidRDefault="009506AD" w:rsidP="009506AD">
            <w:pPr>
              <w:pStyle w:val="BodyText"/>
              <w:keepNext/>
              <w:keepLines/>
            </w:pPr>
            <w:r>
              <w:rPr>
                <w:rFonts w:ascii="Franklin Gothic Book" w:hAnsi="Franklin Gothic Book" w:cs="Calibri"/>
                <w:color w:val="000000"/>
              </w:rPr>
              <w:t xml:space="preserve">-20% </w:t>
            </w:r>
          </w:p>
        </w:tc>
        <w:tc>
          <w:tcPr>
            <w:tcW w:w="532" w:type="pct"/>
            <w:vAlign w:val="bottom"/>
          </w:tcPr>
          <w:p w14:paraId="1CF6FFFE" w14:textId="0DA3EDE8"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93.7%</w:t>
            </w:r>
          </w:p>
        </w:tc>
        <w:tc>
          <w:tcPr>
            <w:tcW w:w="532" w:type="pct"/>
            <w:vAlign w:val="bottom"/>
          </w:tcPr>
          <w:p w14:paraId="191DD25F" w14:textId="15D79172"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94.6%</w:t>
            </w:r>
          </w:p>
        </w:tc>
        <w:tc>
          <w:tcPr>
            <w:tcW w:w="532" w:type="pct"/>
            <w:vAlign w:val="bottom"/>
          </w:tcPr>
          <w:p w14:paraId="10C87678" w14:textId="09F37452"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92.9%</w:t>
            </w:r>
          </w:p>
        </w:tc>
        <w:tc>
          <w:tcPr>
            <w:tcW w:w="532" w:type="pct"/>
            <w:vAlign w:val="bottom"/>
          </w:tcPr>
          <w:p w14:paraId="2B5C6BC1" w14:textId="5BC22037"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96.0%</w:t>
            </w:r>
          </w:p>
        </w:tc>
        <w:tc>
          <w:tcPr>
            <w:tcW w:w="531" w:type="pct"/>
            <w:vAlign w:val="bottom"/>
          </w:tcPr>
          <w:p w14:paraId="1BA6EEED" w14:textId="415AC130"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93.3%</w:t>
            </w:r>
          </w:p>
        </w:tc>
      </w:tr>
      <w:tr w:rsidR="009506AD" w14:paraId="4F74A9F0" w14:textId="1FA0A34D" w:rsidTr="00FC2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555F94F2" w14:textId="4867263C" w:rsidR="009506AD" w:rsidRDefault="009506AD" w:rsidP="009506AD">
            <w:pPr>
              <w:pStyle w:val="BodyText"/>
              <w:keepNext/>
              <w:keepLines/>
            </w:pPr>
            <w:r>
              <w:rPr>
                <w:rFonts w:ascii="Franklin Gothic Book" w:hAnsi="Franklin Gothic Book" w:cs="Calibri"/>
                <w:color w:val="000000"/>
              </w:rPr>
              <w:t>-10% (assumes COVID decreases actual savings by 10%)</w:t>
            </w:r>
          </w:p>
        </w:tc>
        <w:tc>
          <w:tcPr>
            <w:tcW w:w="532" w:type="pct"/>
            <w:vAlign w:val="bottom"/>
          </w:tcPr>
          <w:p w14:paraId="4EE1E0DA" w14:textId="192FCC94"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96.9%</w:t>
            </w:r>
          </w:p>
        </w:tc>
        <w:tc>
          <w:tcPr>
            <w:tcW w:w="532" w:type="pct"/>
            <w:vAlign w:val="bottom"/>
          </w:tcPr>
          <w:p w14:paraId="0EC17088" w14:textId="51B214CB"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97.3%</w:t>
            </w:r>
          </w:p>
        </w:tc>
        <w:tc>
          <w:tcPr>
            <w:tcW w:w="532" w:type="pct"/>
            <w:vAlign w:val="bottom"/>
          </w:tcPr>
          <w:p w14:paraId="5500311E" w14:textId="37D49F17"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96.5%</w:t>
            </w:r>
          </w:p>
        </w:tc>
        <w:tc>
          <w:tcPr>
            <w:tcW w:w="532" w:type="pct"/>
            <w:vAlign w:val="bottom"/>
          </w:tcPr>
          <w:p w14:paraId="2E9BFE7D" w14:textId="72E80C0B"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98.0%</w:t>
            </w:r>
          </w:p>
        </w:tc>
        <w:tc>
          <w:tcPr>
            <w:tcW w:w="531" w:type="pct"/>
            <w:vAlign w:val="bottom"/>
          </w:tcPr>
          <w:p w14:paraId="70A5721F" w14:textId="4B230844"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96.7%</w:t>
            </w:r>
          </w:p>
        </w:tc>
      </w:tr>
      <w:tr w:rsidR="009506AD" w14:paraId="1EB375FB" w14:textId="77777777" w:rsidTr="00FC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2125F7FB" w14:textId="3AA2717A" w:rsidR="009506AD" w:rsidRDefault="009506AD" w:rsidP="009506AD">
            <w:pPr>
              <w:pStyle w:val="BodyText"/>
              <w:keepNext/>
              <w:keepLines/>
              <w:rPr>
                <w:rFonts w:ascii="Franklin Gothic Book" w:hAnsi="Franklin Gothic Book" w:cs="Calibri"/>
                <w:color w:val="000000"/>
              </w:rPr>
            </w:pPr>
            <w:r w:rsidRPr="005E2BA9">
              <w:rPr>
                <w:rFonts w:ascii="Franklin Gothic Book" w:hAnsi="Franklin Gothic Book" w:cs="Calibri"/>
                <w:b/>
                <w:bCs/>
                <w:color w:val="000000"/>
              </w:rPr>
              <w:t xml:space="preserve">Based on Q1 SAG Report </w:t>
            </w:r>
            <w:r>
              <w:rPr>
                <w:rFonts w:ascii="Franklin Gothic Book" w:hAnsi="Franklin Gothic Book" w:cs="Calibri"/>
                <w:b/>
                <w:bCs/>
                <w:color w:val="000000"/>
              </w:rPr>
              <w:t>(assumes normalized savings or no impact of COVID)</w:t>
            </w:r>
          </w:p>
        </w:tc>
        <w:tc>
          <w:tcPr>
            <w:tcW w:w="532" w:type="pct"/>
            <w:vAlign w:val="bottom"/>
          </w:tcPr>
          <w:p w14:paraId="48A71E77" w14:textId="7384D847" w:rsidR="009506AD" w:rsidRPr="003C0899"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3C0899">
              <w:rPr>
                <w:rFonts w:ascii="Franklin Gothic Book" w:hAnsi="Franklin Gothic Book" w:cs="Calibri"/>
                <w:b/>
                <w:bCs/>
                <w:color w:val="000000"/>
              </w:rPr>
              <w:t>100.0%</w:t>
            </w:r>
          </w:p>
        </w:tc>
        <w:tc>
          <w:tcPr>
            <w:tcW w:w="532" w:type="pct"/>
            <w:vAlign w:val="bottom"/>
          </w:tcPr>
          <w:p w14:paraId="4E48A39B" w14:textId="4A6A1E65" w:rsidR="009506AD" w:rsidRPr="003C0899"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3C0899">
              <w:rPr>
                <w:rFonts w:ascii="Franklin Gothic Book" w:hAnsi="Franklin Gothic Book" w:cs="Calibri"/>
                <w:b/>
                <w:bCs/>
                <w:color w:val="000000"/>
              </w:rPr>
              <w:t>100.0%</w:t>
            </w:r>
          </w:p>
        </w:tc>
        <w:tc>
          <w:tcPr>
            <w:tcW w:w="532" w:type="pct"/>
            <w:vAlign w:val="bottom"/>
          </w:tcPr>
          <w:p w14:paraId="53B94C1F" w14:textId="641CD33E" w:rsidR="009506AD" w:rsidRPr="003C0899"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3C0899">
              <w:rPr>
                <w:rFonts w:ascii="Franklin Gothic Book" w:hAnsi="Franklin Gothic Book" w:cs="Calibri"/>
                <w:b/>
                <w:bCs/>
                <w:color w:val="000000"/>
              </w:rPr>
              <w:t>100.0%</w:t>
            </w:r>
          </w:p>
        </w:tc>
        <w:tc>
          <w:tcPr>
            <w:tcW w:w="532" w:type="pct"/>
            <w:vAlign w:val="bottom"/>
          </w:tcPr>
          <w:p w14:paraId="06AA20CD" w14:textId="40E0E776" w:rsidR="009506AD" w:rsidRPr="003C0899"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3C0899">
              <w:rPr>
                <w:rFonts w:ascii="Franklin Gothic Book" w:hAnsi="Franklin Gothic Book" w:cs="Calibri"/>
                <w:b/>
                <w:bCs/>
                <w:color w:val="000000"/>
              </w:rPr>
              <w:t>100.0%</w:t>
            </w:r>
          </w:p>
        </w:tc>
        <w:tc>
          <w:tcPr>
            <w:tcW w:w="531" w:type="pct"/>
            <w:vAlign w:val="bottom"/>
          </w:tcPr>
          <w:p w14:paraId="47B8FC4A" w14:textId="0F1C6FF7" w:rsidR="009506AD" w:rsidRPr="003C0899"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b/>
                <w:bCs/>
                <w:color w:val="000000"/>
              </w:rPr>
            </w:pPr>
            <w:r w:rsidRPr="003C0899">
              <w:rPr>
                <w:rFonts w:ascii="Franklin Gothic Book" w:hAnsi="Franklin Gothic Book" w:cs="Calibri"/>
                <w:b/>
                <w:bCs/>
                <w:color w:val="000000"/>
              </w:rPr>
              <w:t>100.0%</w:t>
            </w:r>
          </w:p>
        </w:tc>
      </w:tr>
      <w:tr w:rsidR="009506AD" w14:paraId="5752D13A" w14:textId="44F0836E" w:rsidTr="00FC2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49A82BD6" w14:textId="3832B898" w:rsidR="009506AD" w:rsidRDefault="009506AD" w:rsidP="009506AD">
            <w:pPr>
              <w:pStyle w:val="BodyText"/>
              <w:keepNext/>
              <w:keepLines/>
            </w:pPr>
            <w:r>
              <w:rPr>
                <w:rFonts w:ascii="Franklin Gothic Book" w:hAnsi="Franklin Gothic Book" w:cs="Calibri"/>
                <w:color w:val="000000"/>
              </w:rPr>
              <w:t>+10% (assumes COVID increases actual savings by 10%)</w:t>
            </w:r>
          </w:p>
        </w:tc>
        <w:tc>
          <w:tcPr>
            <w:tcW w:w="532" w:type="pct"/>
            <w:vAlign w:val="bottom"/>
          </w:tcPr>
          <w:p w14:paraId="53A68DCD" w14:textId="68F77D6F"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103.1%</w:t>
            </w:r>
          </w:p>
        </w:tc>
        <w:tc>
          <w:tcPr>
            <w:tcW w:w="532" w:type="pct"/>
            <w:vAlign w:val="bottom"/>
          </w:tcPr>
          <w:p w14:paraId="06A135DD" w14:textId="1A0105BA"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102.7%</w:t>
            </w:r>
          </w:p>
        </w:tc>
        <w:tc>
          <w:tcPr>
            <w:tcW w:w="532" w:type="pct"/>
            <w:vAlign w:val="bottom"/>
          </w:tcPr>
          <w:p w14:paraId="5E95F63A" w14:textId="34456F10"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103.5%</w:t>
            </w:r>
          </w:p>
        </w:tc>
        <w:tc>
          <w:tcPr>
            <w:tcW w:w="532" w:type="pct"/>
            <w:vAlign w:val="bottom"/>
          </w:tcPr>
          <w:p w14:paraId="78146AA6" w14:textId="66C27F05"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102.0%</w:t>
            </w:r>
          </w:p>
        </w:tc>
        <w:tc>
          <w:tcPr>
            <w:tcW w:w="531" w:type="pct"/>
            <w:vAlign w:val="bottom"/>
          </w:tcPr>
          <w:p w14:paraId="59EEFB09" w14:textId="4E8FC439"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103.3%</w:t>
            </w:r>
          </w:p>
        </w:tc>
      </w:tr>
      <w:tr w:rsidR="009506AD" w14:paraId="5F1D3D70" w14:textId="7C728A20" w:rsidTr="00FC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1F319236" w14:textId="0CE06F2C" w:rsidR="009506AD" w:rsidRDefault="009506AD" w:rsidP="009506AD">
            <w:pPr>
              <w:pStyle w:val="BodyText"/>
              <w:keepNext/>
              <w:keepLines/>
            </w:pPr>
            <w:r>
              <w:rPr>
                <w:rFonts w:ascii="Franklin Gothic Book" w:hAnsi="Franklin Gothic Book" w:cs="Calibri"/>
                <w:color w:val="000000"/>
              </w:rPr>
              <w:t xml:space="preserve">+20% </w:t>
            </w:r>
          </w:p>
        </w:tc>
        <w:tc>
          <w:tcPr>
            <w:tcW w:w="532" w:type="pct"/>
            <w:vAlign w:val="bottom"/>
          </w:tcPr>
          <w:p w14:paraId="4BC2E9EC" w14:textId="3CEA69FA"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106.3%</w:t>
            </w:r>
          </w:p>
        </w:tc>
        <w:tc>
          <w:tcPr>
            <w:tcW w:w="532" w:type="pct"/>
            <w:vAlign w:val="bottom"/>
          </w:tcPr>
          <w:p w14:paraId="27A942EC" w14:textId="7C679DA3"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105.4%</w:t>
            </w:r>
          </w:p>
        </w:tc>
        <w:tc>
          <w:tcPr>
            <w:tcW w:w="532" w:type="pct"/>
            <w:vAlign w:val="bottom"/>
          </w:tcPr>
          <w:p w14:paraId="1892FA54" w14:textId="2E177BBD"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107.1%</w:t>
            </w:r>
          </w:p>
        </w:tc>
        <w:tc>
          <w:tcPr>
            <w:tcW w:w="532" w:type="pct"/>
            <w:vAlign w:val="bottom"/>
          </w:tcPr>
          <w:p w14:paraId="7272E432" w14:textId="55F2CF82"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104.0%</w:t>
            </w:r>
          </w:p>
        </w:tc>
        <w:tc>
          <w:tcPr>
            <w:tcW w:w="531" w:type="pct"/>
            <w:vAlign w:val="bottom"/>
          </w:tcPr>
          <w:p w14:paraId="5129F52B" w14:textId="5F0FA3DD"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106.7%</w:t>
            </w:r>
          </w:p>
        </w:tc>
      </w:tr>
      <w:tr w:rsidR="009506AD" w14:paraId="69989450" w14:textId="55059E80" w:rsidTr="00FC2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7FCACFDE" w14:textId="19159732" w:rsidR="009506AD" w:rsidRDefault="009506AD" w:rsidP="009506AD">
            <w:pPr>
              <w:pStyle w:val="BodyText"/>
              <w:keepNext/>
              <w:keepLines/>
            </w:pPr>
            <w:r>
              <w:rPr>
                <w:rFonts w:ascii="Franklin Gothic Book" w:hAnsi="Franklin Gothic Book" w:cs="Calibri"/>
                <w:color w:val="000000"/>
              </w:rPr>
              <w:t xml:space="preserve">+50% </w:t>
            </w:r>
          </w:p>
        </w:tc>
        <w:tc>
          <w:tcPr>
            <w:tcW w:w="532" w:type="pct"/>
            <w:vAlign w:val="bottom"/>
          </w:tcPr>
          <w:p w14:paraId="22958437" w14:textId="2F969DCA"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pPr>
            <w:r>
              <w:rPr>
                <w:rFonts w:ascii="Franklin Gothic Book" w:hAnsi="Franklin Gothic Book" w:cs="Calibri"/>
                <w:color w:val="000000"/>
              </w:rPr>
              <w:t>115.6%</w:t>
            </w:r>
          </w:p>
        </w:tc>
        <w:tc>
          <w:tcPr>
            <w:tcW w:w="532" w:type="pct"/>
            <w:vAlign w:val="bottom"/>
          </w:tcPr>
          <w:p w14:paraId="28DE67D3" w14:textId="760E35DD"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113.6%</w:t>
            </w:r>
          </w:p>
        </w:tc>
        <w:tc>
          <w:tcPr>
            <w:tcW w:w="532" w:type="pct"/>
            <w:vAlign w:val="bottom"/>
          </w:tcPr>
          <w:p w14:paraId="04AEAF87" w14:textId="1A3564A9"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117.7%</w:t>
            </w:r>
          </w:p>
        </w:tc>
        <w:tc>
          <w:tcPr>
            <w:tcW w:w="532" w:type="pct"/>
            <w:vAlign w:val="bottom"/>
          </w:tcPr>
          <w:p w14:paraId="092C9279" w14:textId="0D636729"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110.1%</w:t>
            </w:r>
          </w:p>
        </w:tc>
        <w:tc>
          <w:tcPr>
            <w:tcW w:w="531" w:type="pct"/>
            <w:vAlign w:val="bottom"/>
          </w:tcPr>
          <w:p w14:paraId="539E8724" w14:textId="3979597A" w:rsidR="009506AD" w:rsidRDefault="009506AD" w:rsidP="009506AD">
            <w:pPr>
              <w:pStyle w:val="TableRightText"/>
              <w:keepNext/>
              <w:keepLines/>
              <w:cnfStyle w:val="000000010000" w:firstRow="0" w:lastRow="0" w:firstColumn="0" w:lastColumn="0" w:oddVBand="0" w:evenVBand="0" w:oddHBand="0" w:evenHBand="1"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116.7%</w:t>
            </w:r>
          </w:p>
        </w:tc>
      </w:tr>
      <w:tr w:rsidR="009506AD" w14:paraId="0FD5312C" w14:textId="07DA0E6B" w:rsidTr="00FC2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pct"/>
            <w:vAlign w:val="bottom"/>
          </w:tcPr>
          <w:p w14:paraId="1D7EAD90" w14:textId="3D26F621" w:rsidR="009506AD" w:rsidRDefault="009506AD" w:rsidP="009506AD">
            <w:pPr>
              <w:pStyle w:val="BodyText"/>
              <w:keepNext/>
              <w:keepLines/>
              <w:rPr>
                <w:rFonts w:ascii="Franklin Gothic Book" w:hAnsi="Franklin Gothic Book" w:cs="Calibri"/>
                <w:color w:val="000000"/>
              </w:rPr>
            </w:pPr>
            <w:r>
              <w:rPr>
                <w:rFonts w:ascii="Franklin Gothic Book" w:hAnsi="Franklin Gothic Book" w:cs="Calibri"/>
                <w:color w:val="000000"/>
              </w:rPr>
              <w:t xml:space="preserve">+100% </w:t>
            </w:r>
          </w:p>
        </w:tc>
        <w:tc>
          <w:tcPr>
            <w:tcW w:w="532" w:type="pct"/>
            <w:vAlign w:val="bottom"/>
          </w:tcPr>
          <w:p w14:paraId="1FD52164" w14:textId="132A9CE2"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pPr>
            <w:r>
              <w:rPr>
                <w:rFonts w:ascii="Franklin Gothic Book" w:hAnsi="Franklin Gothic Book" w:cs="Calibri"/>
                <w:color w:val="000000"/>
              </w:rPr>
              <w:t>131.3%</w:t>
            </w:r>
          </w:p>
        </w:tc>
        <w:tc>
          <w:tcPr>
            <w:tcW w:w="532" w:type="pct"/>
            <w:vAlign w:val="bottom"/>
          </w:tcPr>
          <w:p w14:paraId="15DDB664" w14:textId="7F6A5F07"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127.2%</w:t>
            </w:r>
          </w:p>
        </w:tc>
        <w:tc>
          <w:tcPr>
            <w:tcW w:w="532" w:type="pct"/>
            <w:vAlign w:val="bottom"/>
          </w:tcPr>
          <w:p w14:paraId="5C1E4A04" w14:textId="2ECC9B36"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135.5%</w:t>
            </w:r>
          </w:p>
        </w:tc>
        <w:tc>
          <w:tcPr>
            <w:tcW w:w="532" w:type="pct"/>
            <w:vAlign w:val="bottom"/>
          </w:tcPr>
          <w:p w14:paraId="67584B1B" w14:textId="7A6B3045"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120.2%</w:t>
            </w:r>
          </w:p>
        </w:tc>
        <w:tc>
          <w:tcPr>
            <w:tcW w:w="531" w:type="pct"/>
            <w:vAlign w:val="bottom"/>
          </w:tcPr>
          <w:p w14:paraId="5367DBDD" w14:textId="7D27B61B" w:rsidR="009506AD" w:rsidRDefault="009506AD" w:rsidP="009506AD">
            <w:pPr>
              <w:pStyle w:val="TableRightText"/>
              <w:keepNext/>
              <w:keepLines/>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color w:val="000000"/>
              </w:rPr>
            </w:pPr>
            <w:r>
              <w:rPr>
                <w:rFonts w:ascii="Franklin Gothic Book" w:hAnsi="Franklin Gothic Book" w:cs="Calibri"/>
                <w:color w:val="000000"/>
              </w:rPr>
              <w:t>133.5%</w:t>
            </w:r>
          </w:p>
        </w:tc>
      </w:tr>
    </w:tbl>
    <w:p w14:paraId="1EA38E77" w14:textId="1ABD203D" w:rsidR="00870F0C" w:rsidRDefault="00870F0C" w:rsidP="00870F0C">
      <w:pPr>
        <w:pStyle w:val="TableFootnote"/>
      </w:pPr>
      <w:proofErr w:type="spellStart"/>
      <w:r>
        <w:rPr>
          <w:vertAlign w:val="superscript"/>
        </w:rPr>
        <w:t>a</w:t>
      </w:r>
      <w:proofErr w:type="spellEnd"/>
      <w:r>
        <w:t xml:space="preserve"> These projections for Nicor Gas and PG/NSG do not consider </w:t>
      </w:r>
      <w:r w:rsidR="009506AD">
        <w:t xml:space="preserve">changes </w:t>
      </w:r>
      <w:r>
        <w:t>to HER, in line with ComEd’s proposed modification to Option 1.</w:t>
      </w:r>
    </w:p>
    <w:p w14:paraId="039D33EA" w14:textId="648A8C3D" w:rsidR="00870F0C" w:rsidRPr="00AD763E" w:rsidRDefault="00870F0C" w:rsidP="00870F0C">
      <w:pPr>
        <w:pStyle w:val="TableFootnote"/>
      </w:pPr>
      <w:r>
        <w:t xml:space="preserve"> </w:t>
      </w:r>
      <w:r>
        <w:rPr>
          <w:vertAlign w:val="superscript"/>
        </w:rPr>
        <w:t>b</w:t>
      </w:r>
      <w:r>
        <w:t xml:space="preserve"> These projections for Nicor Gas and PG/NSG do consider </w:t>
      </w:r>
      <w:r w:rsidR="009506AD">
        <w:t xml:space="preserve">changes </w:t>
      </w:r>
      <w:r>
        <w:t>to HER.</w:t>
      </w:r>
    </w:p>
    <w:p w14:paraId="13830C15" w14:textId="3CDE1031" w:rsidR="007D25CD" w:rsidRPr="006A3F46" w:rsidRDefault="007D25CD" w:rsidP="007D25CD">
      <w:pPr>
        <w:pStyle w:val="BodyText"/>
        <w:rPr>
          <w:rStyle w:val="SubtleEmphasis"/>
        </w:rPr>
      </w:pPr>
      <w:r w:rsidRPr="006A3F46">
        <w:rPr>
          <w:rStyle w:val="SubtleEmphasis"/>
        </w:rPr>
        <w:t>AG Question #</w:t>
      </w:r>
      <w:r>
        <w:rPr>
          <w:rStyle w:val="SubtleEmphasis"/>
        </w:rPr>
        <w:t>2</w:t>
      </w:r>
    </w:p>
    <w:p w14:paraId="78166E20" w14:textId="56FDA5A4" w:rsidR="007D25CD" w:rsidRDefault="007D25CD" w:rsidP="007D25CD">
      <w:pPr>
        <w:pStyle w:val="BodyText"/>
      </w:pPr>
      <w:r w:rsidRPr="007D25CD">
        <w:t>Is there a way to quantify what type of savings impact this would have, in option 1 vs option 2?</w:t>
      </w:r>
    </w:p>
    <w:p w14:paraId="5044B8EB" w14:textId="113860C7" w:rsidR="007D25CD" w:rsidRDefault="007D25CD" w:rsidP="007D25CD">
      <w:pPr>
        <w:pStyle w:val="BodyText"/>
        <w:rPr>
          <w:rStyle w:val="SubtleEmphasis"/>
        </w:rPr>
      </w:pPr>
      <w:r>
        <w:rPr>
          <w:rStyle w:val="SubtleEmphasis"/>
        </w:rPr>
        <w:t>Evaluation Team Response to AG Question #2</w:t>
      </w:r>
    </w:p>
    <w:p w14:paraId="2C004161" w14:textId="4AF135A8" w:rsidR="007D25CD" w:rsidRPr="007D25CD" w:rsidRDefault="007D25CD" w:rsidP="007D25CD">
      <w:r>
        <w:rPr>
          <w:rStyle w:val="SubtleEmphasis"/>
          <w:u w:val="none"/>
        </w:rPr>
        <w:t>Only using hypothetical assumptions about the degree to which we would see changes, as presented in our response to Question #1.</w:t>
      </w:r>
    </w:p>
    <w:p w14:paraId="4D649F0F" w14:textId="6136B408" w:rsidR="007D25CD" w:rsidRPr="006A3F46" w:rsidRDefault="007D25CD" w:rsidP="007D25CD">
      <w:pPr>
        <w:pStyle w:val="BodyText"/>
        <w:keepNext/>
        <w:keepLines/>
        <w:rPr>
          <w:rStyle w:val="SubtleEmphasis"/>
        </w:rPr>
      </w:pPr>
      <w:r w:rsidRPr="006A3F46">
        <w:rPr>
          <w:rStyle w:val="SubtleEmphasis"/>
        </w:rPr>
        <w:t>AG Question #</w:t>
      </w:r>
      <w:r>
        <w:rPr>
          <w:rStyle w:val="SubtleEmphasis"/>
        </w:rPr>
        <w:t>3</w:t>
      </w:r>
    </w:p>
    <w:p w14:paraId="01B0328B" w14:textId="7A16E43A" w:rsidR="007D25CD" w:rsidRDefault="007D25CD" w:rsidP="007D25CD">
      <w:pPr>
        <w:pStyle w:val="BodyText"/>
      </w:pPr>
      <w:r w:rsidRPr="007D25CD">
        <w:t>What is the true evaluation cost impact of option 2? If the outer bound of the cost is 1.5 times what is initially estimated, what does that mean?</w:t>
      </w:r>
    </w:p>
    <w:p w14:paraId="175F351B" w14:textId="05EDDE63" w:rsidR="007D25CD" w:rsidRPr="007D25CD" w:rsidRDefault="007D25CD" w:rsidP="007D25CD">
      <w:pPr>
        <w:pStyle w:val="BodyText"/>
        <w:rPr>
          <w:iCs/>
          <w:u w:val="single"/>
        </w:rPr>
      </w:pPr>
      <w:r>
        <w:rPr>
          <w:rStyle w:val="SubtleEmphasis"/>
        </w:rPr>
        <w:t>Evaluation Team Response to AG Question #3</w:t>
      </w:r>
    </w:p>
    <w:p w14:paraId="1F16D360" w14:textId="6E3B7810" w:rsidR="007D25CD" w:rsidRDefault="007D25CD" w:rsidP="007D25CD">
      <w:r w:rsidRPr="00E445C5">
        <w:t>We could step through the same process as detailed above from a cost perspective. Please note that these assumptions are rough and the true impact will be very hard to understand until the evaluations are fully in progress.</w:t>
      </w:r>
    </w:p>
    <w:p w14:paraId="1C0C9AD3" w14:textId="445F01D2" w:rsidR="007D25CD" w:rsidRPr="007D25CD" w:rsidRDefault="007D25CD" w:rsidP="007D25CD">
      <w:r w:rsidRPr="007D25CD">
        <w:t>For AIC, impact evaluations for custom evaluations that may be impacted by this issue cost around $330,000, roughly 10% of our annual evaluation costs. Using the (extremely rough) 1.5x assumption the evaluation teams developed, that suggests we could potentially see somewhere around $160,000 in increased costs for AIC custom impact analysis work (a variance of about 5% in our overall annual evaluation budget). This cost would not be feasible to absorb within our existing budget.</w:t>
      </w:r>
    </w:p>
    <w:p w14:paraId="47282095" w14:textId="40524765" w:rsidR="007D25CD" w:rsidRPr="007D25CD" w:rsidRDefault="007D25CD" w:rsidP="007D25CD">
      <w:r w:rsidRPr="007D25CD">
        <w:t xml:space="preserve">For ComEd, impact evaluations for custom evaluations that may be impacted by this issue cost around $1.7 million, roughly 18% of our total evaluation budget. Using the (extremely rough) 1.5x assumption the evaluation teams developed, that suggests we could potentially see somewhere around $850,000 in </w:t>
      </w:r>
      <w:r w:rsidRPr="007D25CD">
        <w:lastRenderedPageBreak/>
        <w:t>increased costs for ComEd custom impact analysis work (a variance of about 9% in our overall annual evaluation budget). This cost would not be feasible to absorb within our existing budget.</w:t>
      </w:r>
    </w:p>
    <w:p w14:paraId="1015BA42" w14:textId="1FF2E247" w:rsidR="007D25CD" w:rsidRPr="007D25CD" w:rsidRDefault="007D25CD" w:rsidP="007D25CD">
      <w:r w:rsidRPr="007D25CD">
        <w:t>For Nicor Gas, impact evaluations for custom evaluations that may be impacted by this issue cost around $240,000 roughly 25% of our total evaluation budget. Using the (extremely rough) 1.5x assumption the evaluation teams developed, that suggests we could potentially see somewhere around $120,000 in increased costs for Nicor Gas custom impact analysis work (a variance of about 13% in our overall annual evaluation budget). This cost would not be feasible to absorb within our existing budget.</w:t>
      </w:r>
    </w:p>
    <w:p w14:paraId="001F904B" w14:textId="30E302DB" w:rsidR="006A3F46" w:rsidRDefault="007D25CD" w:rsidP="007D25CD">
      <w:r w:rsidRPr="007D25CD">
        <w:t>For Peoples and North Shore Gas, impact evaluations for custom evaluations that may be impacted by this issue cost around $220,000 roughly 28% of our total evaluation budget. Using the (extremely rough) 1.5x assumption the evaluation teams developed, that suggests we could potentially see somewhere around $110,000 in increased costs for Nicor Gas custom impact analysis work (a variance of about 14% in our overall annual evaluation budget). This cost would not be feasible to absorb within our existing budget.</w:t>
      </w:r>
    </w:p>
    <w:p w14:paraId="47CC78C4" w14:textId="62633760" w:rsidR="00FC23D7" w:rsidRPr="00FC23D7" w:rsidRDefault="00FC23D7" w:rsidP="00AE7526">
      <w:pPr>
        <w:pStyle w:val="BodyText"/>
      </w:pPr>
      <w:r>
        <w:t>Although our original estimate was that doing option 2 could cost 1.5x the cost of doing option 1 or 3, we’d like to note that upon further reflection that costs could be higher</w:t>
      </w:r>
      <w:r w:rsidR="004A411F">
        <w:t xml:space="preserve"> for some programs (particularly those where we evaluate individual projects separately, like RCx)</w:t>
      </w:r>
      <w:r>
        <w:t>. While</w:t>
      </w:r>
      <w:r w:rsidR="004A411F">
        <w:t xml:space="preserve"> calculating normalized and non-normalized savings are not fully separate evaluations (for example,</w:t>
      </w:r>
      <w:r w:rsidR="004A411F" w:rsidRPr="004A411F">
        <w:t xml:space="preserve"> </w:t>
      </w:r>
      <w:r w:rsidR="004A411F" w:rsidRPr="00E445C5">
        <w:t>we will not need to conduct two separate on-site visits for a given sit</w:t>
      </w:r>
      <w:r w:rsidR="004A411F">
        <w:t>e)</w:t>
      </w:r>
      <w:r>
        <w:t xml:space="preserve">, we would </w:t>
      </w:r>
      <w:r w:rsidR="002B6694">
        <w:t>need</w:t>
      </w:r>
      <w:r>
        <w:t xml:space="preserve"> to come to resolution </w:t>
      </w:r>
      <w:r w:rsidR="004A411F">
        <w:t>with the utilities, implementers, and any other involved parties on two separate sets of calculations</w:t>
      </w:r>
      <w:r w:rsidR="002B6694">
        <w:t xml:space="preserve"> (see more about this in response to question 4 below)</w:t>
      </w:r>
      <w:r w:rsidR="004A411F">
        <w:t>. We think that there are likely to be many questions and disputes about exactly how we differentiated between normalizing and non-normalizing  that will result in significant amounts of budget being spent in meetings on this topic. Therefore, we think that the 1.5x budgets presented above may be a lower bound on cost increases.</w:t>
      </w:r>
    </w:p>
    <w:p w14:paraId="39F9F52B" w14:textId="1278A844" w:rsidR="007D25CD" w:rsidRPr="006A3F46" w:rsidRDefault="007D25CD" w:rsidP="007D25CD">
      <w:pPr>
        <w:pStyle w:val="BodyText"/>
        <w:keepNext/>
        <w:keepLines/>
        <w:rPr>
          <w:rStyle w:val="SubtleEmphasis"/>
        </w:rPr>
      </w:pPr>
      <w:r w:rsidRPr="006A3F46">
        <w:rPr>
          <w:rStyle w:val="SubtleEmphasis"/>
        </w:rPr>
        <w:t>AG Question #</w:t>
      </w:r>
      <w:r>
        <w:rPr>
          <w:rStyle w:val="SubtleEmphasis"/>
        </w:rPr>
        <w:t>4</w:t>
      </w:r>
    </w:p>
    <w:p w14:paraId="276B07CB" w14:textId="5133F686" w:rsidR="007D25CD" w:rsidRDefault="007D25CD" w:rsidP="007D25CD">
      <w:pPr>
        <w:pStyle w:val="BodyText"/>
        <w:rPr>
          <w:rStyle w:val="SubtleEmphasis"/>
        </w:rPr>
      </w:pPr>
      <w:r w:rsidRPr="007D25CD">
        <w:t>Why would option 2 essentially require two evaluations?</w:t>
      </w:r>
    </w:p>
    <w:p w14:paraId="2D814BAB" w14:textId="77777777" w:rsidR="007D25CD" w:rsidRDefault="007D25CD" w:rsidP="007D25CD">
      <w:pPr>
        <w:pStyle w:val="BodyText"/>
        <w:rPr>
          <w:rStyle w:val="SubtleEmphasis"/>
        </w:rPr>
      </w:pPr>
      <w:r>
        <w:rPr>
          <w:rStyle w:val="SubtleEmphasis"/>
        </w:rPr>
        <w:t>Evaluation Team Response to AG Question #4</w:t>
      </w:r>
    </w:p>
    <w:p w14:paraId="75293987" w14:textId="475876C9" w:rsidR="00A00889" w:rsidRDefault="00A00889" w:rsidP="00A00889">
      <w:r>
        <w:t>F</w:t>
      </w:r>
      <w:r w:rsidRPr="00E445C5">
        <w:t xml:space="preserve">or individual projects or programs, </w:t>
      </w:r>
      <w:r>
        <w:t>Option 2 would</w:t>
      </w:r>
      <w:r w:rsidRPr="00E445C5">
        <w:t xml:space="preserve"> ask</w:t>
      </w:r>
      <w:r>
        <w:t xml:space="preserve"> us</w:t>
      </w:r>
      <w:r w:rsidRPr="00E445C5">
        <w:t xml:space="preserve"> to estimate savings both in their actual state for 2020, as well as a hypothetical state for future years. In Option 1, we might rely on past data to understand expected occupancy patterns for both 2020 and future years, or past data to understand production in 2020 and in future years. In Option 3, we might measure actual conditions in 2020 and use them into the future. For Option 2, we will need to </w:t>
      </w:r>
      <w:r w:rsidRPr="00E445C5">
        <w:rPr>
          <w:b/>
          <w:bCs/>
        </w:rPr>
        <w:t>both</w:t>
      </w:r>
      <w:r w:rsidRPr="00E445C5">
        <w:t xml:space="preserve"> gather 2020-specific data as to occupancy, production, energy usage, etc., as well as develop expected occupancy, production, energy usage, etc. in future years. While this is not a fully separate evaluation, we will need to proceed down two separate analysis pathways for every project or program being evaluated. </w:t>
      </w:r>
    </w:p>
    <w:p w14:paraId="7FE86A08" w14:textId="4B2A461B" w:rsidR="00A00889" w:rsidRDefault="00A00889" w:rsidP="00A00889">
      <w:r>
        <w:t>Furthermore, and perhaps more important from an evaluation clarity perspective, there are significant difficulties in drawing a clear dividing line between the Option 1 approach of normalization for COVID and the Option 3 approach of not normalizing for COVID.</w:t>
      </w:r>
      <w:r w:rsidR="002B6694">
        <w:rPr>
          <w:rStyle w:val="FootnoteReference"/>
        </w:rPr>
        <w:footnoteReference w:id="4"/>
      </w:r>
      <w:r>
        <w:t xml:space="preserve"> We approach our impact evaluation relative to best estimates of what they will be, on average, over time, in order to account for the long-term benefits of energy efficiency </w:t>
      </w:r>
      <w:r>
        <w:lastRenderedPageBreak/>
        <w:t xml:space="preserve">most appropriately. As a result, we typically conduct at least some normalization for custom evaluations. For example, we typically normalize for weather to ensure that unusual weather in an evaluation year does not lead us to substantially over- or understate the long-term benefits of a custom project. Similarly, if </w:t>
      </w:r>
      <w:r w:rsidR="000D58E1">
        <w:t>other data are available (e.g., production data for a manufacturing facility), we typically attempt to normalize our savings estimates for production to at least some degree, to ensure that we provide a savings estimate that is going to most appropriately represent the long-term performance of an energy efficiency project.</w:t>
      </w:r>
    </w:p>
    <w:p w14:paraId="360ED66E" w14:textId="681A11D0" w:rsidR="000D58E1" w:rsidRPr="000D58E1" w:rsidRDefault="000D58E1" w:rsidP="000D58E1">
      <w:pPr>
        <w:pStyle w:val="BodyText"/>
      </w:pPr>
      <w:r>
        <w:t>Therefore, in Option 1, we will likely conduct some normalization as per usual (e.g., weather), and conduct more aggressive normalization for certain items (e.g., if a manufacturing facility discontinued all shifts during the shutdown period, but has now resumed production, we would likely “ignore” the period of 2020 during which shifts were discontinued). In Option 2 or 3 for the “unnormalized” years, we would “partially” normalize on items like weather – but then the question becomes – how do we provide a separate, independent estimate where we “don’t” normalize on other information? Estimating savings exactly as they occurred in 2020 would be a different approach than we typically take, so some degree of normalization is required – but there will be a very large degree of judgement necessary to determine where to draw the line, which is highly likely to produce confusion around evaluation results if both “normalized” and “unnormalized” results must be produced.</w:t>
      </w:r>
      <w:r w:rsidR="002B6694">
        <w:t xml:space="preserve"> This is the point being made in response to question 3 above where we think significant amounts of budget will be spent resolving questions about the differences.</w:t>
      </w:r>
    </w:p>
    <w:p w14:paraId="42C7B48E" w14:textId="518BCC78" w:rsidR="007D25CD" w:rsidRPr="006A3F46" w:rsidRDefault="007D25CD" w:rsidP="007D25CD">
      <w:pPr>
        <w:pStyle w:val="BodyText"/>
        <w:keepNext/>
        <w:keepLines/>
        <w:rPr>
          <w:rStyle w:val="SubtleEmphasis"/>
        </w:rPr>
      </w:pPr>
      <w:r w:rsidRPr="006A3F46">
        <w:rPr>
          <w:rStyle w:val="SubtleEmphasis"/>
        </w:rPr>
        <w:t>AG Question #</w:t>
      </w:r>
      <w:r>
        <w:rPr>
          <w:rStyle w:val="SubtleEmphasis"/>
        </w:rPr>
        <w:t>5</w:t>
      </w:r>
    </w:p>
    <w:p w14:paraId="67817938" w14:textId="77777777" w:rsidR="007D25CD" w:rsidRDefault="007D25CD" w:rsidP="007D25CD">
      <w:pPr>
        <w:pStyle w:val="BodyText"/>
      </w:pPr>
      <w:r w:rsidRPr="007D25CD">
        <w:t>What do we do next year if COVID continues? Will we be revisiting this decision in future years?</w:t>
      </w:r>
    </w:p>
    <w:p w14:paraId="31E89A78" w14:textId="3CA6D68B" w:rsidR="007D25CD" w:rsidRDefault="007D25CD" w:rsidP="007D25CD">
      <w:pPr>
        <w:pStyle w:val="BodyText"/>
        <w:rPr>
          <w:rStyle w:val="SubtleEmphasis"/>
        </w:rPr>
      </w:pPr>
      <w:r>
        <w:rPr>
          <w:rStyle w:val="SubtleEmphasis"/>
        </w:rPr>
        <w:t>Evaluation Team Response to AG Question #5</w:t>
      </w:r>
    </w:p>
    <w:p w14:paraId="0FF15FEE" w14:textId="04A38677" w:rsidR="007D25CD" w:rsidRPr="007D25CD" w:rsidRDefault="007D25CD" w:rsidP="007D25CD">
      <w:r w:rsidRPr="007D25CD">
        <w:t>This is an excellent question that our conversation with SAG to date has not explicitly addressed and which we believe should be discussed further. We certainly do not think that this decision should be binding and final for future years as long as the COVID situation will be evolving. However</w:t>
      </w:r>
      <w:r w:rsidR="00EC3680">
        <w:t>,</w:t>
      </w:r>
      <w:r w:rsidRPr="007D25CD">
        <w:t xml:space="preserve"> it will likely be reasonable in 2021 to view the conversation to date as basic precedent from which further decision-making can stem</w:t>
      </w:r>
      <w:r>
        <w:t>,</w:t>
      </w:r>
      <w:r w:rsidRPr="007D25CD">
        <w:t xml:space="preserve"> as some of the</w:t>
      </w:r>
      <w:r w:rsidRPr="007D25CD">
        <w:rPr>
          <w:rFonts w:ascii="Franklin Gothic Book" w:hAnsi="Franklin Gothic Book"/>
        </w:rPr>
        <w:t xml:space="preserve"> issues we have thought through and discussed would be applicable in future years as well.</w:t>
      </w:r>
    </w:p>
    <w:sectPr w:rsidR="007D25CD" w:rsidRPr="007D25CD" w:rsidSect="00401606">
      <w:headerReference w:type="default" r:id="rId11"/>
      <w:footerReference w:type="default" r:id="rId12"/>
      <w:headerReference w:type="first" r:id="rId13"/>
      <w:pgSz w:w="12240" w:h="15840" w:code="1"/>
      <w:pgMar w:top="1440" w:right="1080" w:bottom="1656" w:left="108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8FC0B" w14:textId="77777777" w:rsidR="00264722" w:rsidRDefault="00264722">
      <w:r>
        <w:separator/>
      </w:r>
    </w:p>
    <w:p w14:paraId="2B1A10B5" w14:textId="77777777" w:rsidR="00264722" w:rsidRDefault="00264722"/>
    <w:p w14:paraId="21FFBA03" w14:textId="77777777" w:rsidR="00264722" w:rsidRDefault="00264722"/>
  </w:endnote>
  <w:endnote w:type="continuationSeparator" w:id="0">
    <w:p w14:paraId="26B103F6" w14:textId="77777777" w:rsidR="00264722" w:rsidRDefault="00264722">
      <w:r>
        <w:continuationSeparator/>
      </w:r>
    </w:p>
    <w:p w14:paraId="6FF1C164" w14:textId="77777777" w:rsidR="00264722" w:rsidRDefault="00264722"/>
    <w:p w14:paraId="28950F0B" w14:textId="77777777" w:rsidR="00264722" w:rsidRDefault="00264722"/>
  </w:endnote>
  <w:endnote w:type="continuationNotice" w:id="1">
    <w:p w14:paraId="2CB7F7D6" w14:textId="77777777" w:rsidR="00264722" w:rsidRDefault="002647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5040"/>
      <w:gridCol w:w="5040"/>
    </w:tblGrid>
    <w:tr w:rsidR="00DF36A5" w14:paraId="710F60F8" w14:textId="77777777" w:rsidTr="00E120C7">
      <w:tc>
        <w:tcPr>
          <w:tcW w:w="2500" w:type="pct"/>
        </w:tcPr>
        <w:p w14:paraId="73C376AB" w14:textId="6E4DA008" w:rsidR="00DF36A5" w:rsidRPr="006E424C" w:rsidRDefault="00DF36A5" w:rsidP="006E424C">
          <w:pPr>
            <w:pStyle w:val="FooterLeft"/>
          </w:pPr>
        </w:p>
      </w:tc>
      <w:tc>
        <w:tcPr>
          <w:tcW w:w="2500" w:type="pct"/>
        </w:tcPr>
        <w:p w14:paraId="2CAC824C" w14:textId="77777777" w:rsidR="00DF36A5" w:rsidRPr="006E424C" w:rsidRDefault="00DF36A5" w:rsidP="006E424C">
          <w:pPr>
            <w:pStyle w:val="FooterRight"/>
          </w:pPr>
          <w:r w:rsidRPr="006E424C">
            <w:t xml:space="preserve">Page </w:t>
          </w:r>
          <w:r w:rsidRPr="006E424C">
            <w:fldChar w:fldCharType="begin"/>
          </w:r>
          <w:r w:rsidRPr="006E424C">
            <w:instrText xml:space="preserve"> PAGE   \* MERGEFORMAT </w:instrText>
          </w:r>
          <w:r w:rsidRPr="006E424C">
            <w:fldChar w:fldCharType="separate"/>
          </w:r>
          <w:r w:rsidRPr="006E424C">
            <w:t>1</w:t>
          </w:r>
          <w:r w:rsidRPr="006E424C">
            <w:fldChar w:fldCharType="end"/>
          </w:r>
        </w:p>
      </w:tc>
    </w:tr>
  </w:tbl>
  <w:p w14:paraId="7607EF3E" w14:textId="77777777" w:rsidR="00DF36A5" w:rsidRDefault="00DF36A5" w:rsidP="0001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50E7" w14:textId="77777777" w:rsidR="00264722" w:rsidRDefault="00264722">
      <w:r>
        <w:separator/>
      </w:r>
    </w:p>
  </w:footnote>
  <w:footnote w:type="continuationSeparator" w:id="0">
    <w:p w14:paraId="5AD4A47C" w14:textId="77777777" w:rsidR="00264722" w:rsidRDefault="00264722">
      <w:r>
        <w:continuationSeparator/>
      </w:r>
    </w:p>
  </w:footnote>
  <w:footnote w:type="continuationNotice" w:id="1">
    <w:p w14:paraId="4E0FC0EF" w14:textId="77777777" w:rsidR="00264722" w:rsidRDefault="00264722">
      <w:pPr>
        <w:spacing w:before="0" w:after="0"/>
      </w:pPr>
    </w:p>
  </w:footnote>
  <w:footnote w:id="2">
    <w:p w14:paraId="4171B791" w14:textId="0B0DDE0D" w:rsidR="00DF36A5" w:rsidRDefault="00DF36A5">
      <w:pPr>
        <w:pStyle w:val="FootnoteText"/>
      </w:pPr>
      <w:r>
        <w:rPr>
          <w:rStyle w:val="FootnoteReference"/>
        </w:rPr>
        <w:footnoteRef/>
      </w:r>
      <w:r>
        <w:t xml:space="preserve"> All other portfolio</w:t>
      </w:r>
      <w:r w:rsidRPr="0095751E">
        <w:t xml:space="preserve"> savings are assessed using the </w:t>
      </w:r>
      <w:r>
        <w:t xml:space="preserve">Illinois </w:t>
      </w:r>
      <w:r w:rsidRPr="0095751E">
        <w:t>TRM and therefore would not be subject to change as a result of this discussion.</w:t>
      </w:r>
    </w:p>
  </w:footnote>
  <w:footnote w:id="3">
    <w:p w14:paraId="2768330E" w14:textId="660A0602" w:rsidR="00DF36A5" w:rsidRDefault="00DF36A5">
      <w:pPr>
        <w:pStyle w:val="FootnoteText"/>
      </w:pPr>
      <w:r>
        <w:rPr>
          <w:rStyle w:val="FootnoteReference"/>
        </w:rPr>
        <w:footnoteRef/>
      </w:r>
      <w:r>
        <w:t xml:space="preserve"> 40,158 MWh (custom savings less VO) as a share of 172,012 MWh (2020 AIC AAIG).</w:t>
      </w:r>
    </w:p>
  </w:footnote>
  <w:footnote w:id="4">
    <w:p w14:paraId="2FD06914" w14:textId="014905C7" w:rsidR="00DF36A5" w:rsidRDefault="00DF36A5">
      <w:pPr>
        <w:pStyle w:val="FootnoteText"/>
      </w:pPr>
      <w:r>
        <w:rPr>
          <w:rStyle w:val="FootnoteReference"/>
        </w:rPr>
        <w:footnoteRef/>
      </w:r>
      <w:r>
        <w:t xml:space="preserve"> Note that for SEM in particular (</w:t>
      </w:r>
      <w:r w:rsidR="00AE7526">
        <w:t xml:space="preserve">at least </w:t>
      </w:r>
      <w:r>
        <w:t>for ComEd and the gas utilities</w:t>
      </w:r>
      <w:r w:rsidR="00AE7526">
        <w:t xml:space="preserve"> where SEM includes more than just capital projects</w:t>
      </w:r>
      <w:r>
        <w:t xml:space="preserve">), the </w:t>
      </w:r>
      <w:r w:rsidR="00AF25FE">
        <w:t xml:space="preserve">methodology used to evaluate that program does not allow for alternative scenarios (i.e., normalized and non-normalized) to be run. The </w:t>
      </w:r>
      <w:r>
        <w:t>Guidehouse team does not believe it will be possible to produce a value which does not normalize the effect of COVID.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0A8C" w14:textId="2A437CD9" w:rsidR="00DF36A5" w:rsidRDefault="00DF36A5" w:rsidP="00011876">
    <w:pPr>
      <w:pStyle w:val="HeaderLogo"/>
    </w:pPr>
    <w:r>
      <w:drawing>
        <wp:anchor distT="0" distB="0" distL="114300" distR="114300" simplePos="0" relativeHeight="251658241" behindDoc="0" locked="0" layoutInCell="1" allowOverlap="1" wp14:anchorId="7A8AB7C3" wp14:editId="04355865">
          <wp:simplePos x="0" y="0"/>
          <wp:positionH relativeFrom="column">
            <wp:posOffset>1242060</wp:posOffset>
          </wp:positionH>
          <wp:positionV relativeFrom="topMargin">
            <wp:posOffset>594360</wp:posOffset>
          </wp:positionV>
          <wp:extent cx="1249680" cy="316865"/>
          <wp:effectExtent l="0" t="0" r="7620" b="6985"/>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49680" cy="316865"/>
                  </a:xfrm>
                  <a:prstGeom prst="rect">
                    <a:avLst/>
                  </a:prstGeom>
                </pic:spPr>
              </pic:pic>
            </a:graphicData>
          </a:graphic>
          <wp14:sizeRelH relativeFrom="margin">
            <wp14:pctWidth>0</wp14:pctWidth>
          </wp14:sizeRelH>
          <wp14:sizeRelV relativeFrom="margin">
            <wp14:pctHeight>0</wp14:pctHeight>
          </wp14:sizeRelV>
        </wp:anchor>
      </w:drawing>
    </w:r>
    <w:r w:rsidRPr="00932CAE">
      <w:drawing>
        <wp:inline distT="0" distB="0" distL="0" distR="0" wp14:anchorId="2EF7698A" wp14:editId="1EA87173">
          <wp:extent cx="1170432" cy="374904"/>
          <wp:effectExtent l="0" t="0" r="0" b="6350"/>
          <wp:docPr id="30"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090F817E" w14:textId="77777777" w:rsidR="00DF36A5" w:rsidRDefault="00DF36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9A482" w14:textId="23F7B473" w:rsidR="00DF36A5" w:rsidRDefault="00DF36A5">
    <w:pPr>
      <w:pStyle w:val="Header"/>
    </w:pPr>
    <w:r>
      <w:drawing>
        <wp:anchor distT="0" distB="0" distL="114300" distR="114300" simplePos="0" relativeHeight="251658240" behindDoc="0" locked="0" layoutInCell="1" allowOverlap="1" wp14:anchorId="305F7086" wp14:editId="516A5921">
          <wp:simplePos x="0" y="0"/>
          <wp:positionH relativeFrom="column">
            <wp:posOffset>1653540</wp:posOffset>
          </wp:positionH>
          <wp:positionV relativeFrom="topMargin">
            <wp:posOffset>593090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14:sizeRelV relativeFrom="margin">
            <wp14:pctHeight>0</wp14:pctHeight>
          </wp14:sizeRelV>
        </wp:anchor>
      </w:drawing>
    </w:r>
    <w:r w:rsidRPr="00932CAE">
      <w:drawing>
        <wp:inline distT="0" distB="0" distL="0" distR="0" wp14:anchorId="67AAF22A" wp14:editId="0B5D9312">
          <wp:extent cx="1403567" cy="449580"/>
          <wp:effectExtent l="0" t="0" r="6350" b="7620"/>
          <wp:docPr id="2"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5816" t="18026" r="5644" b="20505"/>
                  <a:stretch/>
                </pic:blipFill>
                <pic:spPr bwMode="auto">
                  <a:xfrm>
                    <a:off x="0" y="0"/>
                    <a:ext cx="1406241" cy="4504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3"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5915ED"/>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7" w15:restartNumberingAfterBreak="0">
    <w:nsid w:val="23BE5A86"/>
    <w:multiLevelType w:val="hybridMultilevel"/>
    <w:tmpl w:val="A8B22D84"/>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4FEB"/>
    <w:multiLevelType w:val="multilevel"/>
    <w:tmpl w:val="10782EE4"/>
    <w:numStyleLink w:val="ODNumberList"/>
  </w:abstractNum>
  <w:abstractNum w:abstractNumId="9"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0" w15:restartNumberingAfterBreak="0">
    <w:nsid w:val="32286044"/>
    <w:multiLevelType w:val="multilevel"/>
    <w:tmpl w:val="41F4B688"/>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0661C7"/>
    <w:multiLevelType w:val="hybridMultilevel"/>
    <w:tmpl w:val="F4EEE916"/>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4B47FF"/>
    <w:multiLevelType w:val="multilevel"/>
    <w:tmpl w:val="ED9635F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3" w15:restartNumberingAfterBreak="0">
    <w:nsid w:val="443C030A"/>
    <w:multiLevelType w:val="multilevel"/>
    <w:tmpl w:val="10782EE4"/>
    <w:styleLink w:val="ODNumberList"/>
    <w:lvl w:ilvl="0">
      <w:start w:val="1"/>
      <w:numFmt w:val="decimal"/>
      <w:lvlText w:val="%1."/>
      <w:lvlJc w:val="left"/>
      <w:pPr>
        <w:ind w:left="360" w:hanging="360"/>
      </w:pPr>
      <w:rPr>
        <w:b w:val="0"/>
        <w:i w:val="0"/>
        <w:color w:val="053572" w:themeColor="accent1"/>
        <w:sz w:val="22"/>
      </w:rPr>
    </w:lvl>
    <w:lvl w:ilvl="1">
      <w:start w:val="1"/>
      <w:numFmt w:val="lowerLetter"/>
      <w:lvlText w:val="%2."/>
      <w:lvlJc w:val="left"/>
      <w:pPr>
        <w:ind w:left="720" w:hanging="360"/>
      </w:pPr>
      <w:rPr>
        <w:rFonts w:hint="default"/>
        <w:color w:val="1295D8" w:themeColor="accent2"/>
      </w:rPr>
    </w:lvl>
    <w:lvl w:ilvl="2">
      <w:start w:val="1"/>
      <w:numFmt w:val="lowerRoman"/>
      <w:lvlText w:val="%3"/>
      <w:lvlJc w:val="left"/>
      <w:pPr>
        <w:ind w:left="1080" w:hanging="360"/>
      </w:pPr>
      <w:rPr>
        <w:rFonts w:hint="default"/>
        <w:color w:val="4D4D4F" w:themeColor="accent3"/>
      </w:rPr>
    </w:lvl>
    <w:lvl w:ilvl="3">
      <w:start w:val="1"/>
      <w:numFmt w:val="decimal"/>
      <w:lvlText w:val="%4."/>
      <w:lvlJc w:val="left"/>
      <w:pPr>
        <w:ind w:left="1440" w:hanging="360"/>
      </w:pPr>
      <w:rPr>
        <w:rFonts w:hint="default"/>
        <w:color w:val="0069B6" w:themeColor="accent4"/>
      </w:rPr>
    </w:lvl>
    <w:lvl w:ilvl="4">
      <w:start w:val="1"/>
      <w:numFmt w:val="lowerLetter"/>
      <w:lvlText w:val="%5."/>
      <w:lvlJc w:val="left"/>
      <w:pPr>
        <w:ind w:left="1800" w:hanging="360"/>
      </w:pPr>
      <w:rPr>
        <w:rFonts w:hint="default"/>
        <w:color w:val="64B3E8" w:themeColor="accent5"/>
      </w:rPr>
    </w:lvl>
    <w:lvl w:ilvl="5">
      <w:start w:val="1"/>
      <w:numFmt w:val="lowerRoman"/>
      <w:lvlText w:val="%6."/>
      <w:lvlJc w:val="left"/>
      <w:pPr>
        <w:ind w:left="2160" w:hanging="360"/>
      </w:pPr>
      <w:rPr>
        <w:rFonts w:hint="default"/>
        <w:color w:val="696969"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83563"/>
    <w:multiLevelType w:val="hybridMultilevel"/>
    <w:tmpl w:val="885A6C5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17"/>
  </w:num>
  <w:num w:numId="4">
    <w:abstractNumId w:val="7"/>
  </w:num>
  <w:num w:numId="5">
    <w:abstractNumId w:val="12"/>
  </w:num>
  <w:num w:numId="6">
    <w:abstractNumId w:val="6"/>
  </w:num>
  <w:num w:numId="7">
    <w:abstractNumId w:val="3"/>
  </w:num>
  <w:num w:numId="8">
    <w:abstractNumId w:val="15"/>
  </w:num>
  <w:num w:numId="9">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10">
    <w:abstractNumId w:val="2"/>
  </w:num>
  <w:num w:numId="11">
    <w:abstractNumId w:val="1"/>
  </w:num>
  <w:num w:numId="12">
    <w:abstractNumId w:val="0"/>
  </w:num>
  <w:num w:numId="13">
    <w:abstractNumId w:val="11"/>
  </w:num>
  <w:num w:numId="14">
    <w:abstractNumId w:val="5"/>
  </w:num>
  <w:num w:numId="15">
    <w:abstractNumId w:val="13"/>
  </w:num>
  <w:num w:numId="16">
    <w:abstractNumId w:val="8"/>
  </w:num>
  <w:num w:numId="17">
    <w:abstractNumId w:val="12"/>
  </w:num>
  <w:num w:numId="18">
    <w:abstractNumId w:val="7"/>
  </w:num>
  <w:num w:numId="19">
    <w:abstractNumId w:val="12"/>
  </w:num>
  <w:num w:numId="20">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themeColor="accent2"/>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themeColor="accent3"/>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5"/>
  </w:num>
  <w:num w:numId="29">
    <w:abstractNumId w:val="2"/>
  </w:num>
  <w:num w:numId="30">
    <w:abstractNumId w:val="1"/>
  </w:num>
  <w:num w:numId="31">
    <w:abstractNumId w:val="0"/>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4"/>
  </w:num>
  <w:num w:numId="39">
    <w:abstractNumId w:val="13"/>
  </w:num>
  <w:num w:numId="40">
    <w:abstractNumId w:val="9"/>
  </w:num>
  <w:num w:numId="41">
    <w:abstractNumId w:val="10"/>
  </w:num>
  <w:num w:numId="42">
    <w:abstractNumId w:val="16"/>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stylePaneFormatFilter w:val="F104" w:allStyles="0" w:customStyles="0" w:latentStyles="1" w:stylesInUse="0" w:headingStyles="0" w:numberingStyles="0" w:tableStyles="0" w:directFormattingOnRuns="1" w:directFormattingOnParagraphs="0" w:directFormattingOnNumbering="0" w:directFormattingOnTables="0" w:clearFormatting="1" w:top3HeadingStyles="1" w:visibleStyles="1" w:alternateStyleNames="1"/>
  <w:trackRevisions/>
  <w:documentProtection w:formatting="1" w:enforcement="0"/>
  <w:styleLockTheme/>
  <w:styleLockQFSet/>
  <w:defaultTabStop w:val="720"/>
  <w:clickAndTypeStyle w:val="BodyText"/>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46"/>
    <w:rsid w:val="0000152E"/>
    <w:rsid w:val="000022DC"/>
    <w:rsid w:val="00002664"/>
    <w:rsid w:val="000035F3"/>
    <w:rsid w:val="00003D99"/>
    <w:rsid w:val="0000425C"/>
    <w:rsid w:val="00004A94"/>
    <w:rsid w:val="000060CC"/>
    <w:rsid w:val="00006723"/>
    <w:rsid w:val="000073E5"/>
    <w:rsid w:val="0001067A"/>
    <w:rsid w:val="000107CD"/>
    <w:rsid w:val="00010892"/>
    <w:rsid w:val="00010D96"/>
    <w:rsid w:val="00010E0E"/>
    <w:rsid w:val="00011876"/>
    <w:rsid w:val="00012598"/>
    <w:rsid w:val="00012717"/>
    <w:rsid w:val="0001290C"/>
    <w:rsid w:val="000140B6"/>
    <w:rsid w:val="00014656"/>
    <w:rsid w:val="00016C92"/>
    <w:rsid w:val="00016F15"/>
    <w:rsid w:val="00020B2A"/>
    <w:rsid w:val="00020DD8"/>
    <w:rsid w:val="000246CF"/>
    <w:rsid w:val="0002473D"/>
    <w:rsid w:val="00031030"/>
    <w:rsid w:val="00033DBE"/>
    <w:rsid w:val="000345FA"/>
    <w:rsid w:val="00034D7A"/>
    <w:rsid w:val="0003623B"/>
    <w:rsid w:val="0003678F"/>
    <w:rsid w:val="0003692B"/>
    <w:rsid w:val="00036D6C"/>
    <w:rsid w:val="000378CC"/>
    <w:rsid w:val="00037E48"/>
    <w:rsid w:val="0004102C"/>
    <w:rsid w:val="0004132F"/>
    <w:rsid w:val="0004184F"/>
    <w:rsid w:val="00041FB4"/>
    <w:rsid w:val="00044D76"/>
    <w:rsid w:val="00044F5A"/>
    <w:rsid w:val="000461A5"/>
    <w:rsid w:val="00046FB9"/>
    <w:rsid w:val="000502CF"/>
    <w:rsid w:val="0005459C"/>
    <w:rsid w:val="0005514E"/>
    <w:rsid w:val="00055448"/>
    <w:rsid w:val="00055FBD"/>
    <w:rsid w:val="0005763B"/>
    <w:rsid w:val="000579BF"/>
    <w:rsid w:val="00060310"/>
    <w:rsid w:val="00061786"/>
    <w:rsid w:val="00061B3E"/>
    <w:rsid w:val="00061DF4"/>
    <w:rsid w:val="000630AB"/>
    <w:rsid w:val="00063DAA"/>
    <w:rsid w:val="00065122"/>
    <w:rsid w:val="00065461"/>
    <w:rsid w:val="0006663F"/>
    <w:rsid w:val="0006675D"/>
    <w:rsid w:val="0006796F"/>
    <w:rsid w:val="00071250"/>
    <w:rsid w:val="00071F12"/>
    <w:rsid w:val="00072F80"/>
    <w:rsid w:val="00074E11"/>
    <w:rsid w:val="00075162"/>
    <w:rsid w:val="000754B1"/>
    <w:rsid w:val="000764BE"/>
    <w:rsid w:val="000765C7"/>
    <w:rsid w:val="0007754D"/>
    <w:rsid w:val="000824B6"/>
    <w:rsid w:val="00083808"/>
    <w:rsid w:val="000857C8"/>
    <w:rsid w:val="00087AC3"/>
    <w:rsid w:val="000905B8"/>
    <w:rsid w:val="000915B7"/>
    <w:rsid w:val="00094385"/>
    <w:rsid w:val="00096634"/>
    <w:rsid w:val="00097009"/>
    <w:rsid w:val="00097F4F"/>
    <w:rsid w:val="000A08F9"/>
    <w:rsid w:val="000A135A"/>
    <w:rsid w:val="000A1CE1"/>
    <w:rsid w:val="000A2601"/>
    <w:rsid w:val="000A51D6"/>
    <w:rsid w:val="000A66BA"/>
    <w:rsid w:val="000B2531"/>
    <w:rsid w:val="000B5D7D"/>
    <w:rsid w:val="000B61D5"/>
    <w:rsid w:val="000B7CDD"/>
    <w:rsid w:val="000C14DE"/>
    <w:rsid w:val="000C3C32"/>
    <w:rsid w:val="000C4563"/>
    <w:rsid w:val="000C487A"/>
    <w:rsid w:val="000C4FDF"/>
    <w:rsid w:val="000C53ED"/>
    <w:rsid w:val="000C607B"/>
    <w:rsid w:val="000C745F"/>
    <w:rsid w:val="000C7B32"/>
    <w:rsid w:val="000D05C8"/>
    <w:rsid w:val="000D0DA2"/>
    <w:rsid w:val="000D1215"/>
    <w:rsid w:val="000D2176"/>
    <w:rsid w:val="000D388E"/>
    <w:rsid w:val="000D38A9"/>
    <w:rsid w:val="000D407C"/>
    <w:rsid w:val="000D44C9"/>
    <w:rsid w:val="000D46D7"/>
    <w:rsid w:val="000D5385"/>
    <w:rsid w:val="000D58E1"/>
    <w:rsid w:val="000D5D85"/>
    <w:rsid w:val="000D7E2B"/>
    <w:rsid w:val="000E25E0"/>
    <w:rsid w:val="000E2DC6"/>
    <w:rsid w:val="000E4969"/>
    <w:rsid w:val="000E4C04"/>
    <w:rsid w:val="000E5420"/>
    <w:rsid w:val="000E64BA"/>
    <w:rsid w:val="000E6D72"/>
    <w:rsid w:val="000F0499"/>
    <w:rsid w:val="000F16B2"/>
    <w:rsid w:val="000F17F4"/>
    <w:rsid w:val="000F1ED9"/>
    <w:rsid w:val="000F3434"/>
    <w:rsid w:val="000F37D8"/>
    <w:rsid w:val="000F4553"/>
    <w:rsid w:val="00100D04"/>
    <w:rsid w:val="001014EE"/>
    <w:rsid w:val="00101E59"/>
    <w:rsid w:val="001025F6"/>
    <w:rsid w:val="00102DB2"/>
    <w:rsid w:val="001069EC"/>
    <w:rsid w:val="00106AC7"/>
    <w:rsid w:val="00110E44"/>
    <w:rsid w:val="00113D81"/>
    <w:rsid w:val="00115259"/>
    <w:rsid w:val="00115386"/>
    <w:rsid w:val="00115501"/>
    <w:rsid w:val="001173A8"/>
    <w:rsid w:val="00117E60"/>
    <w:rsid w:val="00122831"/>
    <w:rsid w:val="001237B5"/>
    <w:rsid w:val="00123F9E"/>
    <w:rsid w:val="0012407E"/>
    <w:rsid w:val="00124BBC"/>
    <w:rsid w:val="001251FB"/>
    <w:rsid w:val="00125BED"/>
    <w:rsid w:val="00126051"/>
    <w:rsid w:val="00126AE7"/>
    <w:rsid w:val="00126FFE"/>
    <w:rsid w:val="00127280"/>
    <w:rsid w:val="00127B25"/>
    <w:rsid w:val="00127CB4"/>
    <w:rsid w:val="00131E59"/>
    <w:rsid w:val="001320E4"/>
    <w:rsid w:val="001332B1"/>
    <w:rsid w:val="00133A43"/>
    <w:rsid w:val="00134900"/>
    <w:rsid w:val="00135C69"/>
    <w:rsid w:val="00137C84"/>
    <w:rsid w:val="00141B35"/>
    <w:rsid w:val="00141C4D"/>
    <w:rsid w:val="00142361"/>
    <w:rsid w:val="001446C1"/>
    <w:rsid w:val="001461D5"/>
    <w:rsid w:val="001463E8"/>
    <w:rsid w:val="00146442"/>
    <w:rsid w:val="001464BC"/>
    <w:rsid w:val="001514CA"/>
    <w:rsid w:val="00152AEE"/>
    <w:rsid w:val="001533F9"/>
    <w:rsid w:val="0015400B"/>
    <w:rsid w:val="001555AD"/>
    <w:rsid w:val="00155E6F"/>
    <w:rsid w:val="00156707"/>
    <w:rsid w:val="0015680B"/>
    <w:rsid w:val="00161593"/>
    <w:rsid w:val="001620F4"/>
    <w:rsid w:val="0016224F"/>
    <w:rsid w:val="00164D8D"/>
    <w:rsid w:val="0016707C"/>
    <w:rsid w:val="00171357"/>
    <w:rsid w:val="00172482"/>
    <w:rsid w:val="00173A1F"/>
    <w:rsid w:val="00173C43"/>
    <w:rsid w:val="00176695"/>
    <w:rsid w:val="0017678D"/>
    <w:rsid w:val="00176D80"/>
    <w:rsid w:val="00180F21"/>
    <w:rsid w:val="0018179C"/>
    <w:rsid w:val="00181B4D"/>
    <w:rsid w:val="00183142"/>
    <w:rsid w:val="00183F15"/>
    <w:rsid w:val="0018442D"/>
    <w:rsid w:val="00184533"/>
    <w:rsid w:val="00187C53"/>
    <w:rsid w:val="00190169"/>
    <w:rsid w:val="001943C8"/>
    <w:rsid w:val="001963C1"/>
    <w:rsid w:val="00196459"/>
    <w:rsid w:val="001A02EB"/>
    <w:rsid w:val="001A10A5"/>
    <w:rsid w:val="001A1CA9"/>
    <w:rsid w:val="001A26C6"/>
    <w:rsid w:val="001A305C"/>
    <w:rsid w:val="001A4CEE"/>
    <w:rsid w:val="001A4DEE"/>
    <w:rsid w:val="001A5F06"/>
    <w:rsid w:val="001A791B"/>
    <w:rsid w:val="001B13F0"/>
    <w:rsid w:val="001B2A8E"/>
    <w:rsid w:val="001B2AFB"/>
    <w:rsid w:val="001B2F2D"/>
    <w:rsid w:val="001B30AA"/>
    <w:rsid w:val="001B370C"/>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B6"/>
    <w:rsid w:val="001D2182"/>
    <w:rsid w:val="001D3EB1"/>
    <w:rsid w:val="001D4114"/>
    <w:rsid w:val="001D4E59"/>
    <w:rsid w:val="001D602B"/>
    <w:rsid w:val="001D7F00"/>
    <w:rsid w:val="001E01FD"/>
    <w:rsid w:val="001E1344"/>
    <w:rsid w:val="001E25F4"/>
    <w:rsid w:val="001E4675"/>
    <w:rsid w:val="001E49AC"/>
    <w:rsid w:val="001E5164"/>
    <w:rsid w:val="001F1505"/>
    <w:rsid w:val="001F39F4"/>
    <w:rsid w:val="001F3FC1"/>
    <w:rsid w:val="001F3FD5"/>
    <w:rsid w:val="001F492D"/>
    <w:rsid w:val="001F4ECA"/>
    <w:rsid w:val="001F6663"/>
    <w:rsid w:val="001F66E2"/>
    <w:rsid w:val="001F7D96"/>
    <w:rsid w:val="0020101A"/>
    <w:rsid w:val="00201CA5"/>
    <w:rsid w:val="002026BF"/>
    <w:rsid w:val="00202F16"/>
    <w:rsid w:val="002062EA"/>
    <w:rsid w:val="00206419"/>
    <w:rsid w:val="00206578"/>
    <w:rsid w:val="0020697A"/>
    <w:rsid w:val="002069A7"/>
    <w:rsid w:val="00206E0C"/>
    <w:rsid w:val="00207194"/>
    <w:rsid w:val="00207619"/>
    <w:rsid w:val="00207F96"/>
    <w:rsid w:val="0021183A"/>
    <w:rsid w:val="0021327D"/>
    <w:rsid w:val="00213933"/>
    <w:rsid w:val="00214AED"/>
    <w:rsid w:val="00214B15"/>
    <w:rsid w:val="00214C89"/>
    <w:rsid w:val="00215B72"/>
    <w:rsid w:val="0021653D"/>
    <w:rsid w:val="002169DD"/>
    <w:rsid w:val="00221973"/>
    <w:rsid w:val="00223452"/>
    <w:rsid w:val="00223570"/>
    <w:rsid w:val="00223F12"/>
    <w:rsid w:val="00225071"/>
    <w:rsid w:val="0022516B"/>
    <w:rsid w:val="002255D6"/>
    <w:rsid w:val="002277BD"/>
    <w:rsid w:val="002326A0"/>
    <w:rsid w:val="002331AC"/>
    <w:rsid w:val="00235AF6"/>
    <w:rsid w:val="00236D21"/>
    <w:rsid w:val="0024109F"/>
    <w:rsid w:val="00241258"/>
    <w:rsid w:val="0024126F"/>
    <w:rsid w:val="00241AFB"/>
    <w:rsid w:val="00241DC8"/>
    <w:rsid w:val="00241E40"/>
    <w:rsid w:val="00243650"/>
    <w:rsid w:val="00243B66"/>
    <w:rsid w:val="00244AD9"/>
    <w:rsid w:val="00244B28"/>
    <w:rsid w:val="0024686C"/>
    <w:rsid w:val="00246DD5"/>
    <w:rsid w:val="00247AF0"/>
    <w:rsid w:val="002517F6"/>
    <w:rsid w:val="00253038"/>
    <w:rsid w:val="0025373B"/>
    <w:rsid w:val="00253EEB"/>
    <w:rsid w:val="00253F11"/>
    <w:rsid w:val="0025466A"/>
    <w:rsid w:val="002548DF"/>
    <w:rsid w:val="0025587C"/>
    <w:rsid w:val="00256324"/>
    <w:rsid w:val="00256ADE"/>
    <w:rsid w:val="0025742C"/>
    <w:rsid w:val="002606CC"/>
    <w:rsid w:val="00260C05"/>
    <w:rsid w:val="002618B0"/>
    <w:rsid w:val="0026307E"/>
    <w:rsid w:val="00263815"/>
    <w:rsid w:val="00264012"/>
    <w:rsid w:val="00264722"/>
    <w:rsid w:val="00265250"/>
    <w:rsid w:val="002658E6"/>
    <w:rsid w:val="0026674B"/>
    <w:rsid w:val="00266C3B"/>
    <w:rsid w:val="00266FC5"/>
    <w:rsid w:val="00266FE5"/>
    <w:rsid w:val="00267372"/>
    <w:rsid w:val="0026785A"/>
    <w:rsid w:val="00270D33"/>
    <w:rsid w:val="002739C3"/>
    <w:rsid w:val="00276272"/>
    <w:rsid w:val="0027687F"/>
    <w:rsid w:val="00277192"/>
    <w:rsid w:val="0028070E"/>
    <w:rsid w:val="00280B43"/>
    <w:rsid w:val="00282491"/>
    <w:rsid w:val="00283270"/>
    <w:rsid w:val="002852ED"/>
    <w:rsid w:val="002859AA"/>
    <w:rsid w:val="00285D08"/>
    <w:rsid w:val="00286504"/>
    <w:rsid w:val="0028694E"/>
    <w:rsid w:val="00286AE0"/>
    <w:rsid w:val="0029357C"/>
    <w:rsid w:val="00293A79"/>
    <w:rsid w:val="00296FC3"/>
    <w:rsid w:val="002A03FA"/>
    <w:rsid w:val="002A0662"/>
    <w:rsid w:val="002A410F"/>
    <w:rsid w:val="002A4FAC"/>
    <w:rsid w:val="002A528A"/>
    <w:rsid w:val="002A5691"/>
    <w:rsid w:val="002A5CE0"/>
    <w:rsid w:val="002A6F47"/>
    <w:rsid w:val="002A78CF"/>
    <w:rsid w:val="002B0DA2"/>
    <w:rsid w:val="002B0FFF"/>
    <w:rsid w:val="002B4F0A"/>
    <w:rsid w:val="002B54B0"/>
    <w:rsid w:val="002B6248"/>
    <w:rsid w:val="002B6694"/>
    <w:rsid w:val="002C1687"/>
    <w:rsid w:val="002C1D20"/>
    <w:rsid w:val="002C2326"/>
    <w:rsid w:val="002C33BF"/>
    <w:rsid w:val="002C39D9"/>
    <w:rsid w:val="002C3A89"/>
    <w:rsid w:val="002C3D7C"/>
    <w:rsid w:val="002C4D5C"/>
    <w:rsid w:val="002C52CF"/>
    <w:rsid w:val="002C5B0D"/>
    <w:rsid w:val="002C7294"/>
    <w:rsid w:val="002C7CFF"/>
    <w:rsid w:val="002D1898"/>
    <w:rsid w:val="002D2DEC"/>
    <w:rsid w:val="002D3DD9"/>
    <w:rsid w:val="002D4169"/>
    <w:rsid w:val="002D5F05"/>
    <w:rsid w:val="002D65FD"/>
    <w:rsid w:val="002D6735"/>
    <w:rsid w:val="002D7459"/>
    <w:rsid w:val="002E18CE"/>
    <w:rsid w:val="002E2D7F"/>
    <w:rsid w:val="002E4178"/>
    <w:rsid w:val="002E749A"/>
    <w:rsid w:val="002E77A7"/>
    <w:rsid w:val="002F051B"/>
    <w:rsid w:val="002F17D9"/>
    <w:rsid w:val="002F465B"/>
    <w:rsid w:val="002F4993"/>
    <w:rsid w:val="003029CE"/>
    <w:rsid w:val="003035E7"/>
    <w:rsid w:val="00304460"/>
    <w:rsid w:val="00304956"/>
    <w:rsid w:val="00305495"/>
    <w:rsid w:val="003063BF"/>
    <w:rsid w:val="003079E5"/>
    <w:rsid w:val="0031029F"/>
    <w:rsid w:val="003114BE"/>
    <w:rsid w:val="00311CC6"/>
    <w:rsid w:val="003123D1"/>
    <w:rsid w:val="00312D75"/>
    <w:rsid w:val="0031499A"/>
    <w:rsid w:val="0031681D"/>
    <w:rsid w:val="00316AD4"/>
    <w:rsid w:val="00316C12"/>
    <w:rsid w:val="0031768E"/>
    <w:rsid w:val="00321291"/>
    <w:rsid w:val="00321D07"/>
    <w:rsid w:val="00322494"/>
    <w:rsid w:val="00322AE2"/>
    <w:rsid w:val="0032328D"/>
    <w:rsid w:val="003260CA"/>
    <w:rsid w:val="00326D9B"/>
    <w:rsid w:val="00327C4E"/>
    <w:rsid w:val="00331470"/>
    <w:rsid w:val="0033220B"/>
    <w:rsid w:val="00332EF0"/>
    <w:rsid w:val="00334CD3"/>
    <w:rsid w:val="00336106"/>
    <w:rsid w:val="00337C94"/>
    <w:rsid w:val="00340DDF"/>
    <w:rsid w:val="003410C7"/>
    <w:rsid w:val="003418C0"/>
    <w:rsid w:val="00341911"/>
    <w:rsid w:val="00344D0A"/>
    <w:rsid w:val="00345AF0"/>
    <w:rsid w:val="003464D9"/>
    <w:rsid w:val="003509FD"/>
    <w:rsid w:val="00351204"/>
    <w:rsid w:val="0035135E"/>
    <w:rsid w:val="003518C9"/>
    <w:rsid w:val="00351BA9"/>
    <w:rsid w:val="00351E32"/>
    <w:rsid w:val="003521A3"/>
    <w:rsid w:val="003528DE"/>
    <w:rsid w:val="0035436B"/>
    <w:rsid w:val="00354DC1"/>
    <w:rsid w:val="0035596F"/>
    <w:rsid w:val="00356844"/>
    <w:rsid w:val="00356FB5"/>
    <w:rsid w:val="0035706B"/>
    <w:rsid w:val="00357352"/>
    <w:rsid w:val="00360188"/>
    <w:rsid w:val="00361FBC"/>
    <w:rsid w:val="003629D6"/>
    <w:rsid w:val="00364174"/>
    <w:rsid w:val="003662B5"/>
    <w:rsid w:val="0036642C"/>
    <w:rsid w:val="00366A98"/>
    <w:rsid w:val="00366F90"/>
    <w:rsid w:val="00370F87"/>
    <w:rsid w:val="00371013"/>
    <w:rsid w:val="003725D4"/>
    <w:rsid w:val="003727DB"/>
    <w:rsid w:val="003740A7"/>
    <w:rsid w:val="003740B9"/>
    <w:rsid w:val="003771B7"/>
    <w:rsid w:val="0037741F"/>
    <w:rsid w:val="0038037D"/>
    <w:rsid w:val="003805B5"/>
    <w:rsid w:val="00380821"/>
    <w:rsid w:val="00382812"/>
    <w:rsid w:val="00383667"/>
    <w:rsid w:val="003853C1"/>
    <w:rsid w:val="00385947"/>
    <w:rsid w:val="0039227B"/>
    <w:rsid w:val="00394046"/>
    <w:rsid w:val="00394724"/>
    <w:rsid w:val="0039665C"/>
    <w:rsid w:val="003969E0"/>
    <w:rsid w:val="003A2F8F"/>
    <w:rsid w:val="003A3F26"/>
    <w:rsid w:val="003A45B4"/>
    <w:rsid w:val="003A4A35"/>
    <w:rsid w:val="003A4C46"/>
    <w:rsid w:val="003A4CE2"/>
    <w:rsid w:val="003A56C6"/>
    <w:rsid w:val="003A5F3D"/>
    <w:rsid w:val="003A69C0"/>
    <w:rsid w:val="003A7AB4"/>
    <w:rsid w:val="003B2A8B"/>
    <w:rsid w:val="003B4F3F"/>
    <w:rsid w:val="003B5661"/>
    <w:rsid w:val="003B5D60"/>
    <w:rsid w:val="003B6AC1"/>
    <w:rsid w:val="003B713B"/>
    <w:rsid w:val="003B7EE2"/>
    <w:rsid w:val="003C005B"/>
    <w:rsid w:val="003C0899"/>
    <w:rsid w:val="003C152C"/>
    <w:rsid w:val="003C191D"/>
    <w:rsid w:val="003C2241"/>
    <w:rsid w:val="003C31B9"/>
    <w:rsid w:val="003C34F6"/>
    <w:rsid w:val="003C504D"/>
    <w:rsid w:val="003C59AB"/>
    <w:rsid w:val="003C5E8E"/>
    <w:rsid w:val="003C5F95"/>
    <w:rsid w:val="003C6D6C"/>
    <w:rsid w:val="003D59CB"/>
    <w:rsid w:val="003D5C15"/>
    <w:rsid w:val="003D7692"/>
    <w:rsid w:val="003E3A0B"/>
    <w:rsid w:val="003E448C"/>
    <w:rsid w:val="003E48EA"/>
    <w:rsid w:val="003E5BB7"/>
    <w:rsid w:val="003E62C1"/>
    <w:rsid w:val="003E72BB"/>
    <w:rsid w:val="003E77FF"/>
    <w:rsid w:val="003F159A"/>
    <w:rsid w:val="003F1806"/>
    <w:rsid w:val="003F2EE3"/>
    <w:rsid w:val="003F32B1"/>
    <w:rsid w:val="003F3CB3"/>
    <w:rsid w:val="003F56CC"/>
    <w:rsid w:val="003F5C2D"/>
    <w:rsid w:val="003F5C33"/>
    <w:rsid w:val="003F70D8"/>
    <w:rsid w:val="00400064"/>
    <w:rsid w:val="004001A5"/>
    <w:rsid w:val="00400B13"/>
    <w:rsid w:val="00401606"/>
    <w:rsid w:val="004016F7"/>
    <w:rsid w:val="00402F02"/>
    <w:rsid w:val="004047DA"/>
    <w:rsid w:val="00405423"/>
    <w:rsid w:val="00405E65"/>
    <w:rsid w:val="00406D10"/>
    <w:rsid w:val="0040792F"/>
    <w:rsid w:val="00411950"/>
    <w:rsid w:val="0041231B"/>
    <w:rsid w:val="00412DA5"/>
    <w:rsid w:val="00413002"/>
    <w:rsid w:val="004142B4"/>
    <w:rsid w:val="00416DDD"/>
    <w:rsid w:val="004177DB"/>
    <w:rsid w:val="00417A7F"/>
    <w:rsid w:val="0042059A"/>
    <w:rsid w:val="004209BF"/>
    <w:rsid w:val="004243CD"/>
    <w:rsid w:val="00424466"/>
    <w:rsid w:val="00425251"/>
    <w:rsid w:val="0042643B"/>
    <w:rsid w:val="00426DF6"/>
    <w:rsid w:val="00431E93"/>
    <w:rsid w:val="004355CB"/>
    <w:rsid w:val="00435E7A"/>
    <w:rsid w:val="00437026"/>
    <w:rsid w:val="00437472"/>
    <w:rsid w:val="00441218"/>
    <w:rsid w:val="004414E0"/>
    <w:rsid w:val="00442F45"/>
    <w:rsid w:val="00443301"/>
    <w:rsid w:val="004442B8"/>
    <w:rsid w:val="00444490"/>
    <w:rsid w:val="004445E4"/>
    <w:rsid w:val="00446A37"/>
    <w:rsid w:val="00446BAF"/>
    <w:rsid w:val="00446C83"/>
    <w:rsid w:val="00446E47"/>
    <w:rsid w:val="00447BE8"/>
    <w:rsid w:val="004548F5"/>
    <w:rsid w:val="00455B2B"/>
    <w:rsid w:val="004563D8"/>
    <w:rsid w:val="004576F3"/>
    <w:rsid w:val="00457E89"/>
    <w:rsid w:val="0046061A"/>
    <w:rsid w:val="00460812"/>
    <w:rsid w:val="0046157A"/>
    <w:rsid w:val="00461D86"/>
    <w:rsid w:val="004636F8"/>
    <w:rsid w:val="00463835"/>
    <w:rsid w:val="004641A2"/>
    <w:rsid w:val="0046504D"/>
    <w:rsid w:val="004662BF"/>
    <w:rsid w:val="004663C8"/>
    <w:rsid w:val="00466976"/>
    <w:rsid w:val="00470661"/>
    <w:rsid w:val="00471252"/>
    <w:rsid w:val="00475A6F"/>
    <w:rsid w:val="00476FB7"/>
    <w:rsid w:val="0048263F"/>
    <w:rsid w:val="00482E58"/>
    <w:rsid w:val="0048336C"/>
    <w:rsid w:val="00485349"/>
    <w:rsid w:val="00485612"/>
    <w:rsid w:val="004856B3"/>
    <w:rsid w:val="00485877"/>
    <w:rsid w:val="0048659C"/>
    <w:rsid w:val="004908DD"/>
    <w:rsid w:val="004959D0"/>
    <w:rsid w:val="004A0EF0"/>
    <w:rsid w:val="004A1B55"/>
    <w:rsid w:val="004A1FEC"/>
    <w:rsid w:val="004A411F"/>
    <w:rsid w:val="004A41FF"/>
    <w:rsid w:val="004A459F"/>
    <w:rsid w:val="004A4C41"/>
    <w:rsid w:val="004A6FA7"/>
    <w:rsid w:val="004A7BE6"/>
    <w:rsid w:val="004B4733"/>
    <w:rsid w:val="004B54F7"/>
    <w:rsid w:val="004B568F"/>
    <w:rsid w:val="004B6F3D"/>
    <w:rsid w:val="004B7576"/>
    <w:rsid w:val="004B7D4F"/>
    <w:rsid w:val="004C0FEA"/>
    <w:rsid w:val="004C2E59"/>
    <w:rsid w:val="004C3C6A"/>
    <w:rsid w:val="004C4B24"/>
    <w:rsid w:val="004C59E8"/>
    <w:rsid w:val="004D18F3"/>
    <w:rsid w:val="004D269D"/>
    <w:rsid w:val="004D2F76"/>
    <w:rsid w:val="004D4025"/>
    <w:rsid w:val="004D6774"/>
    <w:rsid w:val="004D778A"/>
    <w:rsid w:val="004E004D"/>
    <w:rsid w:val="004E0793"/>
    <w:rsid w:val="004E0BEA"/>
    <w:rsid w:val="004E0F41"/>
    <w:rsid w:val="004E470A"/>
    <w:rsid w:val="004E653D"/>
    <w:rsid w:val="004E6D0A"/>
    <w:rsid w:val="004E7034"/>
    <w:rsid w:val="004E74D4"/>
    <w:rsid w:val="004F0F16"/>
    <w:rsid w:val="004F1DF6"/>
    <w:rsid w:val="004F2757"/>
    <w:rsid w:val="004F2A8B"/>
    <w:rsid w:val="004F2E3D"/>
    <w:rsid w:val="004F5728"/>
    <w:rsid w:val="004F6047"/>
    <w:rsid w:val="004F6B56"/>
    <w:rsid w:val="004F6BA4"/>
    <w:rsid w:val="004F7478"/>
    <w:rsid w:val="004F79D9"/>
    <w:rsid w:val="00500296"/>
    <w:rsid w:val="00500605"/>
    <w:rsid w:val="00500885"/>
    <w:rsid w:val="005023DC"/>
    <w:rsid w:val="0050279D"/>
    <w:rsid w:val="0050291C"/>
    <w:rsid w:val="00503054"/>
    <w:rsid w:val="00504322"/>
    <w:rsid w:val="00507551"/>
    <w:rsid w:val="0051066C"/>
    <w:rsid w:val="00510C00"/>
    <w:rsid w:val="0051230C"/>
    <w:rsid w:val="00512D73"/>
    <w:rsid w:val="00512FE0"/>
    <w:rsid w:val="00513797"/>
    <w:rsid w:val="00513ECA"/>
    <w:rsid w:val="00514CA7"/>
    <w:rsid w:val="00514D77"/>
    <w:rsid w:val="00516648"/>
    <w:rsid w:val="00527061"/>
    <w:rsid w:val="005274FE"/>
    <w:rsid w:val="005303D2"/>
    <w:rsid w:val="00530CDA"/>
    <w:rsid w:val="00530EF9"/>
    <w:rsid w:val="00531F60"/>
    <w:rsid w:val="0053236D"/>
    <w:rsid w:val="00534112"/>
    <w:rsid w:val="00535F1B"/>
    <w:rsid w:val="0053607C"/>
    <w:rsid w:val="005362E2"/>
    <w:rsid w:val="005369EA"/>
    <w:rsid w:val="005370A2"/>
    <w:rsid w:val="00540D05"/>
    <w:rsid w:val="00541188"/>
    <w:rsid w:val="00542334"/>
    <w:rsid w:val="005423E7"/>
    <w:rsid w:val="0054432C"/>
    <w:rsid w:val="005460E6"/>
    <w:rsid w:val="00547615"/>
    <w:rsid w:val="005517EA"/>
    <w:rsid w:val="00553E02"/>
    <w:rsid w:val="005542CC"/>
    <w:rsid w:val="00554B26"/>
    <w:rsid w:val="00554E88"/>
    <w:rsid w:val="00556185"/>
    <w:rsid w:val="00556E23"/>
    <w:rsid w:val="00557738"/>
    <w:rsid w:val="005579A8"/>
    <w:rsid w:val="00557E24"/>
    <w:rsid w:val="00560855"/>
    <w:rsid w:val="005612CD"/>
    <w:rsid w:val="00561FC5"/>
    <w:rsid w:val="00562B53"/>
    <w:rsid w:val="00562CEA"/>
    <w:rsid w:val="00563A9A"/>
    <w:rsid w:val="00564747"/>
    <w:rsid w:val="00565523"/>
    <w:rsid w:val="00565BCD"/>
    <w:rsid w:val="00566B48"/>
    <w:rsid w:val="00566E67"/>
    <w:rsid w:val="00575C34"/>
    <w:rsid w:val="00575F4B"/>
    <w:rsid w:val="00576876"/>
    <w:rsid w:val="0057689F"/>
    <w:rsid w:val="00576C16"/>
    <w:rsid w:val="00577708"/>
    <w:rsid w:val="005819E9"/>
    <w:rsid w:val="00582576"/>
    <w:rsid w:val="00582A7C"/>
    <w:rsid w:val="00587394"/>
    <w:rsid w:val="005914F8"/>
    <w:rsid w:val="00592240"/>
    <w:rsid w:val="00593934"/>
    <w:rsid w:val="00594412"/>
    <w:rsid w:val="00594544"/>
    <w:rsid w:val="005945BD"/>
    <w:rsid w:val="00594BC5"/>
    <w:rsid w:val="00594E55"/>
    <w:rsid w:val="00595929"/>
    <w:rsid w:val="00597A53"/>
    <w:rsid w:val="005A06D2"/>
    <w:rsid w:val="005A1A2F"/>
    <w:rsid w:val="005A1C5D"/>
    <w:rsid w:val="005A44DE"/>
    <w:rsid w:val="005A44F9"/>
    <w:rsid w:val="005A4BF6"/>
    <w:rsid w:val="005A5B58"/>
    <w:rsid w:val="005A604B"/>
    <w:rsid w:val="005B00E5"/>
    <w:rsid w:val="005B0977"/>
    <w:rsid w:val="005B09BF"/>
    <w:rsid w:val="005B2606"/>
    <w:rsid w:val="005B45CB"/>
    <w:rsid w:val="005B5516"/>
    <w:rsid w:val="005B5C26"/>
    <w:rsid w:val="005B5C99"/>
    <w:rsid w:val="005B79ED"/>
    <w:rsid w:val="005C0F08"/>
    <w:rsid w:val="005C4DB7"/>
    <w:rsid w:val="005C7324"/>
    <w:rsid w:val="005C76E3"/>
    <w:rsid w:val="005D0824"/>
    <w:rsid w:val="005D35A7"/>
    <w:rsid w:val="005D3886"/>
    <w:rsid w:val="005D3BF2"/>
    <w:rsid w:val="005D44EC"/>
    <w:rsid w:val="005D5722"/>
    <w:rsid w:val="005D7249"/>
    <w:rsid w:val="005D7827"/>
    <w:rsid w:val="005D7A4E"/>
    <w:rsid w:val="005E243D"/>
    <w:rsid w:val="005E2BA9"/>
    <w:rsid w:val="005E3BDE"/>
    <w:rsid w:val="005E4EE1"/>
    <w:rsid w:val="005E5DC2"/>
    <w:rsid w:val="005E70AD"/>
    <w:rsid w:val="005E7ABC"/>
    <w:rsid w:val="005F06DD"/>
    <w:rsid w:val="005F0B8F"/>
    <w:rsid w:val="005F1913"/>
    <w:rsid w:val="005F1E24"/>
    <w:rsid w:val="005F379F"/>
    <w:rsid w:val="005F6287"/>
    <w:rsid w:val="005F72D3"/>
    <w:rsid w:val="005F77BE"/>
    <w:rsid w:val="005F7BD3"/>
    <w:rsid w:val="00601A75"/>
    <w:rsid w:val="00603BBE"/>
    <w:rsid w:val="006052C6"/>
    <w:rsid w:val="00605A7A"/>
    <w:rsid w:val="00607059"/>
    <w:rsid w:val="00607981"/>
    <w:rsid w:val="006100E6"/>
    <w:rsid w:val="00612968"/>
    <w:rsid w:val="00613B03"/>
    <w:rsid w:val="006143D1"/>
    <w:rsid w:val="00615DBB"/>
    <w:rsid w:val="006162FF"/>
    <w:rsid w:val="00617366"/>
    <w:rsid w:val="00620C02"/>
    <w:rsid w:val="00621049"/>
    <w:rsid w:val="00621058"/>
    <w:rsid w:val="00621C0A"/>
    <w:rsid w:val="00622D08"/>
    <w:rsid w:val="00623A23"/>
    <w:rsid w:val="00624576"/>
    <w:rsid w:val="006249F7"/>
    <w:rsid w:val="00624A03"/>
    <w:rsid w:val="0062636E"/>
    <w:rsid w:val="006265DE"/>
    <w:rsid w:val="00626865"/>
    <w:rsid w:val="00626C42"/>
    <w:rsid w:val="00627308"/>
    <w:rsid w:val="006276F6"/>
    <w:rsid w:val="00630E7D"/>
    <w:rsid w:val="00633B61"/>
    <w:rsid w:val="00633F62"/>
    <w:rsid w:val="006342C1"/>
    <w:rsid w:val="006351C3"/>
    <w:rsid w:val="00641AB3"/>
    <w:rsid w:val="006429BE"/>
    <w:rsid w:val="0064447E"/>
    <w:rsid w:val="00651421"/>
    <w:rsid w:val="00651B4B"/>
    <w:rsid w:val="006529AD"/>
    <w:rsid w:val="00652AEA"/>
    <w:rsid w:val="0065316E"/>
    <w:rsid w:val="006548A4"/>
    <w:rsid w:val="0065558C"/>
    <w:rsid w:val="00656111"/>
    <w:rsid w:val="00657798"/>
    <w:rsid w:val="00660629"/>
    <w:rsid w:val="00662FB2"/>
    <w:rsid w:val="006630FA"/>
    <w:rsid w:val="00663C03"/>
    <w:rsid w:val="00664511"/>
    <w:rsid w:val="0066489F"/>
    <w:rsid w:val="00671A5C"/>
    <w:rsid w:val="00671F05"/>
    <w:rsid w:val="00673B23"/>
    <w:rsid w:val="00675CAA"/>
    <w:rsid w:val="00676609"/>
    <w:rsid w:val="006768E9"/>
    <w:rsid w:val="00676B00"/>
    <w:rsid w:val="00676C62"/>
    <w:rsid w:val="006817FC"/>
    <w:rsid w:val="006819B4"/>
    <w:rsid w:val="00681AC2"/>
    <w:rsid w:val="00684406"/>
    <w:rsid w:val="00684E36"/>
    <w:rsid w:val="00685B10"/>
    <w:rsid w:val="0068691B"/>
    <w:rsid w:val="006902E2"/>
    <w:rsid w:val="00690B3C"/>
    <w:rsid w:val="00691656"/>
    <w:rsid w:val="00691D67"/>
    <w:rsid w:val="00691F94"/>
    <w:rsid w:val="00692808"/>
    <w:rsid w:val="0069319B"/>
    <w:rsid w:val="00693577"/>
    <w:rsid w:val="006938B3"/>
    <w:rsid w:val="00694F57"/>
    <w:rsid w:val="00695901"/>
    <w:rsid w:val="00695D3D"/>
    <w:rsid w:val="00696641"/>
    <w:rsid w:val="00697B64"/>
    <w:rsid w:val="006A19BA"/>
    <w:rsid w:val="006A1F2F"/>
    <w:rsid w:val="006A2B03"/>
    <w:rsid w:val="006A2B28"/>
    <w:rsid w:val="006A3F46"/>
    <w:rsid w:val="006A4DC3"/>
    <w:rsid w:val="006A65CE"/>
    <w:rsid w:val="006A6B4A"/>
    <w:rsid w:val="006B074C"/>
    <w:rsid w:val="006B275D"/>
    <w:rsid w:val="006B356B"/>
    <w:rsid w:val="006B38D2"/>
    <w:rsid w:val="006B4385"/>
    <w:rsid w:val="006B4EE9"/>
    <w:rsid w:val="006B5462"/>
    <w:rsid w:val="006B5940"/>
    <w:rsid w:val="006B6A69"/>
    <w:rsid w:val="006C095D"/>
    <w:rsid w:val="006C1F6D"/>
    <w:rsid w:val="006C205C"/>
    <w:rsid w:val="006C3848"/>
    <w:rsid w:val="006C3AF4"/>
    <w:rsid w:val="006C43A2"/>
    <w:rsid w:val="006C4AF5"/>
    <w:rsid w:val="006D01ED"/>
    <w:rsid w:val="006D03C9"/>
    <w:rsid w:val="006D05DD"/>
    <w:rsid w:val="006D1D8F"/>
    <w:rsid w:val="006D3C10"/>
    <w:rsid w:val="006D5428"/>
    <w:rsid w:val="006D57F7"/>
    <w:rsid w:val="006D6199"/>
    <w:rsid w:val="006D71E4"/>
    <w:rsid w:val="006E01C2"/>
    <w:rsid w:val="006E30C5"/>
    <w:rsid w:val="006E424C"/>
    <w:rsid w:val="006E5123"/>
    <w:rsid w:val="006E741C"/>
    <w:rsid w:val="006F007F"/>
    <w:rsid w:val="006F0A96"/>
    <w:rsid w:val="006F0AE3"/>
    <w:rsid w:val="006F0FE6"/>
    <w:rsid w:val="006F2D34"/>
    <w:rsid w:val="006F32F9"/>
    <w:rsid w:val="006F498F"/>
    <w:rsid w:val="006F4A49"/>
    <w:rsid w:val="006F564C"/>
    <w:rsid w:val="006F57CB"/>
    <w:rsid w:val="006F59E5"/>
    <w:rsid w:val="006F5D26"/>
    <w:rsid w:val="006F7EF7"/>
    <w:rsid w:val="00700A09"/>
    <w:rsid w:val="00700F0D"/>
    <w:rsid w:val="00703EFF"/>
    <w:rsid w:val="00705152"/>
    <w:rsid w:val="00705B70"/>
    <w:rsid w:val="00705BD3"/>
    <w:rsid w:val="00706226"/>
    <w:rsid w:val="0070713B"/>
    <w:rsid w:val="00707A99"/>
    <w:rsid w:val="00707AC2"/>
    <w:rsid w:val="0071070C"/>
    <w:rsid w:val="007107C2"/>
    <w:rsid w:val="007116D5"/>
    <w:rsid w:val="00712058"/>
    <w:rsid w:val="007143F3"/>
    <w:rsid w:val="00714BCE"/>
    <w:rsid w:val="0071592A"/>
    <w:rsid w:val="00717551"/>
    <w:rsid w:val="00717780"/>
    <w:rsid w:val="007177A8"/>
    <w:rsid w:val="00717B09"/>
    <w:rsid w:val="00720641"/>
    <w:rsid w:val="00720E06"/>
    <w:rsid w:val="00720E44"/>
    <w:rsid w:val="00721364"/>
    <w:rsid w:val="00721EE9"/>
    <w:rsid w:val="0072202A"/>
    <w:rsid w:val="00723763"/>
    <w:rsid w:val="00723E9C"/>
    <w:rsid w:val="00724026"/>
    <w:rsid w:val="00725732"/>
    <w:rsid w:val="007257E1"/>
    <w:rsid w:val="00726FF6"/>
    <w:rsid w:val="00730147"/>
    <w:rsid w:val="00733C29"/>
    <w:rsid w:val="007355B5"/>
    <w:rsid w:val="00735B85"/>
    <w:rsid w:val="007362F2"/>
    <w:rsid w:val="007403B3"/>
    <w:rsid w:val="007407FE"/>
    <w:rsid w:val="00741362"/>
    <w:rsid w:val="00741911"/>
    <w:rsid w:val="00741B35"/>
    <w:rsid w:val="00741F2E"/>
    <w:rsid w:val="007423D3"/>
    <w:rsid w:val="007427CC"/>
    <w:rsid w:val="00742BCE"/>
    <w:rsid w:val="00742D8F"/>
    <w:rsid w:val="00743A19"/>
    <w:rsid w:val="007452F8"/>
    <w:rsid w:val="007457E8"/>
    <w:rsid w:val="00745856"/>
    <w:rsid w:val="007467F8"/>
    <w:rsid w:val="00747690"/>
    <w:rsid w:val="00747BF9"/>
    <w:rsid w:val="00747C41"/>
    <w:rsid w:val="00751850"/>
    <w:rsid w:val="00752F93"/>
    <w:rsid w:val="0075455C"/>
    <w:rsid w:val="00754B88"/>
    <w:rsid w:val="0075622C"/>
    <w:rsid w:val="00756FF8"/>
    <w:rsid w:val="00757AAE"/>
    <w:rsid w:val="0076069A"/>
    <w:rsid w:val="00760E74"/>
    <w:rsid w:val="007610A9"/>
    <w:rsid w:val="00762BC5"/>
    <w:rsid w:val="0076328E"/>
    <w:rsid w:val="007638AD"/>
    <w:rsid w:val="00763A4B"/>
    <w:rsid w:val="007647BD"/>
    <w:rsid w:val="00764B98"/>
    <w:rsid w:val="0076689D"/>
    <w:rsid w:val="00767426"/>
    <w:rsid w:val="00767669"/>
    <w:rsid w:val="00767C4F"/>
    <w:rsid w:val="00767D50"/>
    <w:rsid w:val="00771867"/>
    <w:rsid w:val="00771A8D"/>
    <w:rsid w:val="00775E29"/>
    <w:rsid w:val="00777706"/>
    <w:rsid w:val="007822EE"/>
    <w:rsid w:val="007834B9"/>
    <w:rsid w:val="00784E04"/>
    <w:rsid w:val="00785885"/>
    <w:rsid w:val="00785F05"/>
    <w:rsid w:val="007873D2"/>
    <w:rsid w:val="00791C61"/>
    <w:rsid w:val="00795892"/>
    <w:rsid w:val="00796D6F"/>
    <w:rsid w:val="0079717C"/>
    <w:rsid w:val="00797582"/>
    <w:rsid w:val="007A0A6D"/>
    <w:rsid w:val="007A16CF"/>
    <w:rsid w:val="007A32CC"/>
    <w:rsid w:val="007A4FD9"/>
    <w:rsid w:val="007A50EA"/>
    <w:rsid w:val="007A5EC4"/>
    <w:rsid w:val="007A7ED2"/>
    <w:rsid w:val="007A7FCC"/>
    <w:rsid w:val="007B2F30"/>
    <w:rsid w:val="007B3224"/>
    <w:rsid w:val="007B40B2"/>
    <w:rsid w:val="007B46EF"/>
    <w:rsid w:val="007B4E45"/>
    <w:rsid w:val="007B53EC"/>
    <w:rsid w:val="007B55A8"/>
    <w:rsid w:val="007B6987"/>
    <w:rsid w:val="007B69E7"/>
    <w:rsid w:val="007B73CB"/>
    <w:rsid w:val="007C00C5"/>
    <w:rsid w:val="007C0A90"/>
    <w:rsid w:val="007C16BC"/>
    <w:rsid w:val="007C1968"/>
    <w:rsid w:val="007C2FA9"/>
    <w:rsid w:val="007C331E"/>
    <w:rsid w:val="007C43ED"/>
    <w:rsid w:val="007C541E"/>
    <w:rsid w:val="007C6427"/>
    <w:rsid w:val="007C661C"/>
    <w:rsid w:val="007D0BA3"/>
    <w:rsid w:val="007D123A"/>
    <w:rsid w:val="007D25CD"/>
    <w:rsid w:val="007D2874"/>
    <w:rsid w:val="007D3C70"/>
    <w:rsid w:val="007D5402"/>
    <w:rsid w:val="007D550B"/>
    <w:rsid w:val="007D5B30"/>
    <w:rsid w:val="007D66A0"/>
    <w:rsid w:val="007E08D4"/>
    <w:rsid w:val="007E1851"/>
    <w:rsid w:val="007E1928"/>
    <w:rsid w:val="007E1C0F"/>
    <w:rsid w:val="007E1C67"/>
    <w:rsid w:val="007E30F3"/>
    <w:rsid w:val="007E3FC6"/>
    <w:rsid w:val="007E41B4"/>
    <w:rsid w:val="007E6251"/>
    <w:rsid w:val="007F0958"/>
    <w:rsid w:val="007F0DEF"/>
    <w:rsid w:val="007F286B"/>
    <w:rsid w:val="007F2D43"/>
    <w:rsid w:val="007F5C17"/>
    <w:rsid w:val="007F5C25"/>
    <w:rsid w:val="007F7C8E"/>
    <w:rsid w:val="008015A5"/>
    <w:rsid w:val="008016D6"/>
    <w:rsid w:val="008027BE"/>
    <w:rsid w:val="00802C3F"/>
    <w:rsid w:val="00802E46"/>
    <w:rsid w:val="00803A9E"/>
    <w:rsid w:val="008041B1"/>
    <w:rsid w:val="00804A36"/>
    <w:rsid w:val="00807AF4"/>
    <w:rsid w:val="00810751"/>
    <w:rsid w:val="00811730"/>
    <w:rsid w:val="008142B3"/>
    <w:rsid w:val="00815FDA"/>
    <w:rsid w:val="00816BD0"/>
    <w:rsid w:val="00817352"/>
    <w:rsid w:val="00817395"/>
    <w:rsid w:val="008173BF"/>
    <w:rsid w:val="0081768C"/>
    <w:rsid w:val="00817CB0"/>
    <w:rsid w:val="008217DB"/>
    <w:rsid w:val="00823648"/>
    <w:rsid w:val="00823A7B"/>
    <w:rsid w:val="00823E39"/>
    <w:rsid w:val="0082462E"/>
    <w:rsid w:val="00824AB3"/>
    <w:rsid w:val="008302A7"/>
    <w:rsid w:val="0083181F"/>
    <w:rsid w:val="00832DB7"/>
    <w:rsid w:val="00832EFA"/>
    <w:rsid w:val="00833401"/>
    <w:rsid w:val="0083623F"/>
    <w:rsid w:val="00837A46"/>
    <w:rsid w:val="00843B1F"/>
    <w:rsid w:val="00845762"/>
    <w:rsid w:val="00845B82"/>
    <w:rsid w:val="008466C4"/>
    <w:rsid w:val="0084738F"/>
    <w:rsid w:val="008520D5"/>
    <w:rsid w:val="008536BB"/>
    <w:rsid w:val="00855DE3"/>
    <w:rsid w:val="0085611A"/>
    <w:rsid w:val="00856675"/>
    <w:rsid w:val="008572A4"/>
    <w:rsid w:val="0086163B"/>
    <w:rsid w:val="00861A9A"/>
    <w:rsid w:val="0086203C"/>
    <w:rsid w:val="00862179"/>
    <w:rsid w:val="0086270A"/>
    <w:rsid w:val="00865C6A"/>
    <w:rsid w:val="00866268"/>
    <w:rsid w:val="00866CC5"/>
    <w:rsid w:val="00866FFD"/>
    <w:rsid w:val="00867DD9"/>
    <w:rsid w:val="00870F0C"/>
    <w:rsid w:val="00872320"/>
    <w:rsid w:val="0087280E"/>
    <w:rsid w:val="0087731B"/>
    <w:rsid w:val="00881036"/>
    <w:rsid w:val="008820E9"/>
    <w:rsid w:val="00882763"/>
    <w:rsid w:val="00883346"/>
    <w:rsid w:val="00883E4E"/>
    <w:rsid w:val="00887877"/>
    <w:rsid w:val="00887954"/>
    <w:rsid w:val="00891EF9"/>
    <w:rsid w:val="00893EE3"/>
    <w:rsid w:val="008954BD"/>
    <w:rsid w:val="008957B6"/>
    <w:rsid w:val="00897398"/>
    <w:rsid w:val="008A0ACD"/>
    <w:rsid w:val="008A13E6"/>
    <w:rsid w:val="008A2953"/>
    <w:rsid w:val="008A2B53"/>
    <w:rsid w:val="008A5F18"/>
    <w:rsid w:val="008A71F4"/>
    <w:rsid w:val="008B04F9"/>
    <w:rsid w:val="008B1EAE"/>
    <w:rsid w:val="008B259B"/>
    <w:rsid w:val="008B303A"/>
    <w:rsid w:val="008B385F"/>
    <w:rsid w:val="008B4AD7"/>
    <w:rsid w:val="008B548A"/>
    <w:rsid w:val="008B5DA1"/>
    <w:rsid w:val="008B5EF7"/>
    <w:rsid w:val="008C1E85"/>
    <w:rsid w:val="008C2592"/>
    <w:rsid w:val="008C30BB"/>
    <w:rsid w:val="008C3920"/>
    <w:rsid w:val="008C5EBD"/>
    <w:rsid w:val="008C692A"/>
    <w:rsid w:val="008C7236"/>
    <w:rsid w:val="008C7951"/>
    <w:rsid w:val="008D04E8"/>
    <w:rsid w:val="008D27DD"/>
    <w:rsid w:val="008D5211"/>
    <w:rsid w:val="008D758F"/>
    <w:rsid w:val="008E0C74"/>
    <w:rsid w:val="008E172F"/>
    <w:rsid w:val="008E2694"/>
    <w:rsid w:val="008E6832"/>
    <w:rsid w:val="008E724E"/>
    <w:rsid w:val="008E72A6"/>
    <w:rsid w:val="008E77DD"/>
    <w:rsid w:val="008E7A05"/>
    <w:rsid w:val="008F028C"/>
    <w:rsid w:val="008F1352"/>
    <w:rsid w:val="008F1B7A"/>
    <w:rsid w:val="008F2074"/>
    <w:rsid w:val="008F39DB"/>
    <w:rsid w:val="008F4412"/>
    <w:rsid w:val="008F499A"/>
    <w:rsid w:val="008F65BF"/>
    <w:rsid w:val="008F664E"/>
    <w:rsid w:val="008F7ACC"/>
    <w:rsid w:val="008F7C81"/>
    <w:rsid w:val="008F7D47"/>
    <w:rsid w:val="00900B8A"/>
    <w:rsid w:val="0090199D"/>
    <w:rsid w:val="009039CB"/>
    <w:rsid w:val="00905E48"/>
    <w:rsid w:val="00905EEC"/>
    <w:rsid w:val="0090771B"/>
    <w:rsid w:val="00907AA2"/>
    <w:rsid w:val="0091159B"/>
    <w:rsid w:val="00911C6B"/>
    <w:rsid w:val="0091276E"/>
    <w:rsid w:val="00914855"/>
    <w:rsid w:val="00916ACB"/>
    <w:rsid w:val="00916BEA"/>
    <w:rsid w:val="009200A6"/>
    <w:rsid w:val="00922DE2"/>
    <w:rsid w:val="00922E89"/>
    <w:rsid w:val="00924597"/>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6EFF"/>
    <w:rsid w:val="00942BA9"/>
    <w:rsid w:val="0094359F"/>
    <w:rsid w:val="0094598F"/>
    <w:rsid w:val="00946409"/>
    <w:rsid w:val="00946AB2"/>
    <w:rsid w:val="00947595"/>
    <w:rsid w:val="00947605"/>
    <w:rsid w:val="0095063A"/>
    <w:rsid w:val="009506AD"/>
    <w:rsid w:val="00952877"/>
    <w:rsid w:val="009529AD"/>
    <w:rsid w:val="00952EF2"/>
    <w:rsid w:val="009537D8"/>
    <w:rsid w:val="009539A1"/>
    <w:rsid w:val="00953EEF"/>
    <w:rsid w:val="00955FB6"/>
    <w:rsid w:val="00956318"/>
    <w:rsid w:val="0095751E"/>
    <w:rsid w:val="009575FA"/>
    <w:rsid w:val="00957960"/>
    <w:rsid w:val="009609FA"/>
    <w:rsid w:val="0096206A"/>
    <w:rsid w:val="00962105"/>
    <w:rsid w:val="009629CB"/>
    <w:rsid w:val="009647BE"/>
    <w:rsid w:val="009669FD"/>
    <w:rsid w:val="00966A2D"/>
    <w:rsid w:val="009673B8"/>
    <w:rsid w:val="00967418"/>
    <w:rsid w:val="009677D4"/>
    <w:rsid w:val="00970727"/>
    <w:rsid w:val="00970CA8"/>
    <w:rsid w:val="00971906"/>
    <w:rsid w:val="00971ABE"/>
    <w:rsid w:val="00972392"/>
    <w:rsid w:val="00972B1B"/>
    <w:rsid w:val="00972C3E"/>
    <w:rsid w:val="00972F9D"/>
    <w:rsid w:val="009736EE"/>
    <w:rsid w:val="009738A7"/>
    <w:rsid w:val="009751C6"/>
    <w:rsid w:val="00977976"/>
    <w:rsid w:val="00977C64"/>
    <w:rsid w:val="0098066A"/>
    <w:rsid w:val="00982722"/>
    <w:rsid w:val="009829CD"/>
    <w:rsid w:val="00985062"/>
    <w:rsid w:val="00986960"/>
    <w:rsid w:val="00986E89"/>
    <w:rsid w:val="00990608"/>
    <w:rsid w:val="0099141E"/>
    <w:rsid w:val="0099153D"/>
    <w:rsid w:val="00991A98"/>
    <w:rsid w:val="00991E72"/>
    <w:rsid w:val="00992623"/>
    <w:rsid w:val="0099297B"/>
    <w:rsid w:val="009930F7"/>
    <w:rsid w:val="00993B42"/>
    <w:rsid w:val="00995A84"/>
    <w:rsid w:val="00996884"/>
    <w:rsid w:val="00997035"/>
    <w:rsid w:val="009A0CC7"/>
    <w:rsid w:val="009A1161"/>
    <w:rsid w:val="009A1B2E"/>
    <w:rsid w:val="009A285C"/>
    <w:rsid w:val="009A36B3"/>
    <w:rsid w:val="009A42FF"/>
    <w:rsid w:val="009A4426"/>
    <w:rsid w:val="009A5E8E"/>
    <w:rsid w:val="009A79F7"/>
    <w:rsid w:val="009B140E"/>
    <w:rsid w:val="009B1AA8"/>
    <w:rsid w:val="009B28B1"/>
    <w:rsid w:val="009B2A42"/>
    <w:rsid w:val="009B40A3"/>
    <w:rsid w:val="009B411F"/>
    <w:rsid w:val="009B4D4A"/>
    <w:rsid w:val="009B57A5"/>
    <w:rsid w:val="009B6419"/>
    <w:rsid w:val="009B7375"/>
    <w:rsid w:val="009B7F8C"/>
    <w:rsid w:val="009C08CE"/>
    <w:rsid w:val="009C2059"/>
    <w:rsid w:val="009C5E6B"/>
    <w:rsid w:val="009C6F0F"/>
    <w:rsid w:val="009C7729"/>
    <w:rsid w:val="009D1DE4"/>
    <w:rsid w:val="009D22AE"/>
    <w:rsid w:val="009D25D5"/>
    <w:rsid w:val="009D3058"/>
    <w:rsid w:val="009D383F"/>
    <w:rsid w:val="009D3F44"/>
    <w:rsid w:val="009D4536"/>
    <w:rsid w:val="009D46F2"/>
    <w:rsid w:val="009D5867"/>
    <w:rsid w:val="009D59A7"/>
    <w:rsid w:val="009D5DBA"/>
    <w:rsid w:val="009D61CD"/>
    <w:rsid w:val="009D65EB"/>
    <w:rsid w:val="009D750C"/>
    <w:rsid w:val="009E04BD"/>
    <w:rsid w:val="009E0B96"/>
    <w:rsid w:val="009E0C48"/>
    <w:rsid w:val="009E288E"/>
    <w:rsid w:val="009E2E63"/>
    <w:rsid w:val="009E3764"/>
    <w:rsid w:val="009E37F2"/>
    <w:rsid w:val="009E422B"/>
    <w:rsid w:val="009E5BA8"/>
    <w:rsid w:val="009E64EA"/>
    <w:rsid w:val="009E6588"/>
    <w:rsid w:val="009E6879"/>
    <w:rsid w:val="009E75CE"/>
    <w:rsid w:val="009F0382"/>
    <w:rsid w:val="009F0B6D"/>
    <w:rsid w:val="009F1227"/>
    <w:rsid w:val="009F14B0"/>
    <w:rsid w:val="009F168B"/>
    <w:rsid w:val="009F1AF6"/>
    <w:rsid w:val="009F2C92"/>
    <w:rsid w:val="009F67F3"/>
    <w:rsid w:val="00A00889"/>
    <w:rsid w:val="00A025DE"/>
    <w:rsid w:val="00A04879"/>
    <w:rsid w:val="00A05BA3"/>
    <w:rsid w:val="00A05EFE"/>
    <w:rsid w:val="00A061C5"/>
    <w:rsid w:val="00A06FE9"/>
    <w:rsid w:val="00A071BD"/>
    <w:rsid w:val="00A10754"/>
    <w:rsid w:val="00A1115E"/>
    <w:rsid w:val="00A11284"/>
    <w:rsid w:val="00A11BD2"/>
    <w:rsid w:val="00A13BC3"/>
    <w:rsid w:val="00A15428"/>
    <w:rsid w:val="00A158EF"/>
    <w:rsid w:val="00A15988"/>
    <w:rsid w:val="00A161FA"/>
    <w:rsid w:val="00A17140"/>
    <w:rsid w:val="00A21969"/>
    <w:rsid w:val="00A2291A"/>
    <w:rsid w:val="00A22B31"/>
    <w:rsid w:val="00A22C97"/>
    <w:rsid w:val="00A2337E"/>
    <w:rsid w:val="00A23ACF"/>
    <w:rsid w:val="00A23BAF"/>
    <w:rsid w:val="00A24720"/>
    <w:rsid w:val="00A2681E"/>
    <w:rsid w:val="00A26DD7"/>
    <w:rsid w:val="00A27643"/>
    <w:rsid w:val="00A27811"/>
    <w:rsid w:val="00A316C9"/>
    <w:rsid w:val="00A31A67"/>
    <w:rsid w:val="00A32857"/>
    <w:rsid w:val="00A33D81"/>
    <w:rsid w:val="00A35895"/>
    <w:rsid w:val="00A36001"/>
    <w:rsid w:val="00A3632A"/>
    <w:rsid w:val="00A36687"/>
    <w:rsid w:val="00A370A0"/>
    <w:rsid w:val="00A3763C"/>
    <w:rsid w:val="00A376D1"/>
    <w:rsid w:val="00A41263"/>
    <w:rsid w:val="00A41C2F"/>
    <w:rsid w:val="00A41DA9"/>
    <w:rsid w:val="00A42932"/>
    <w:rsid w:val="00A42DB2"/>
    <w:rsid w:val="00A450C4"/>
    <w:rsid w:val="00A450EA"/>
    <w:rsid w:val="00A47606"/>
    <w:rsid w:val="00A53D8E"/>
    <w:rsid w:val="00A53F71"/>
    <w:rsid w:val="00A54C98"/>
    <w:rsid w:val="00A55631"/>
    <w:rsid w:val="00A55DAF"/>
    <w:rsid w:val="00A55E64"/>
    <w:rsid w:val="00A60AF5"/>
    <w:rsid w:val="00A61B96"/>
    <w:rsid w:val="00A62C6E"/>
    <w:rsid w:val="00A6365E"/>
    <w:rsid w:val="00A65597"/>
    <w:rsid w:val="00A657A6"/>
    <w:rsid w:val="00A65980"/>
    <w:rsid w:val="00A67336"/>
    <w:rsid w:val="00A676BD"/>
    <w:rsid w:val="00A67A98"/>
    <w:rsid w:val="00A726F9"/>
    <w:rsid w:val="00A72AA7"/>
    <w:rsid w:val="00A72B6D"/>
    <w:rsid w:val="00A74754"/>
    <w:rsid w:val="00A74868"/>
    <w:rsid w:val="00A758A7"/>
    <w:rsid w:val="00A75EC9"/>
    <w:rsid w:val="00A77702"/>
    <w:rsid w:val="00A80992"/>
    <w:rsid w:val="00A82BC5"/>
    <w:rsid w:val="00A82E0C"/>
    <w:rsid w:val="00A84DB2"/>
    <w:rsid w:val="00A86344"/>
    <w:rsid w:val="00A863BF"/>
    <w:rsid w:val="00A869E4"/>
    <w:rsid w:val="00A914C3"/>
    <w:rsid w:val="00A919FA"/>
    <w:rsid w:val="00A91E2A"/>
    <w:rsid w:val="00A929C4"/>
    <w:rsid w:val="00A931A8"/>
    <w:rsid w:val="00A93E4A"/>
    <w:rsid w:val="00A94BFD"/>
    <w:rsid w:val="00A9555D"/>
    <w:rsid w:val="00A971D5"/>
    <w:rsid w:val="00AA056B"/>
    <w:rsid w:val="00AA074A"/>
    <w:rsid w:val="00AA0889"/>
    <w:rsid w:val="00AA0F93"/>
    <w:rsid w:val="00AA2E78"/>
    <w:rsid w:val="00AA6BE9"/>
    <w:rsid w:val="00AA710D"/>
    <w:rsid w:val="00AB0277"/>
    <w:rsid w:val="00AB15BC"/>
    <w:rsid w:val="00AB21C2"/>
    <w:rsid w:val="00AB2BA2"/>
    <w:rsid w:val="00AB4121"/>
    <w:rsid w:val="00AB4323"/>
    <w:rsid w:val="00AB5E46"/>
    <w:rsid w:val="00AC0E53"/>
    <w:rsid w:val="00AC1270"/>
    <w:rsid w:val="00AC20D2"/>
    <w:rsid w:val="00AC5810"/>
    <w:rsid w:val="00AC6844"/>
    <w:rsid w:val="00AC6B91"/>
    <w:rsid w:val="00AD0BB8"/>
    <w:rsid w:val="00AD0EDA"/>
    <w:rsid w:val="00AD1594"/>
    <w:rsid w:val="00AD2AF4"/>
    <w:rsid w:val="00AD2C41"/>
    <w:rsid w:val="00AD4D41"/>
    <w:rsid w:val="00AD5933"/>
    <w:rsid w:val="00AD68B1"/>
    <w:rsid w:val="00AD763E"/>
    <w:rsid w:val="00AE06C6"/>
    <w:rsid w:val="00AE1827"/>
    <w:rsid w:val="00AE237A"/>
    <w:rsid w:val="00AE26B1"/>
    <w:rsid w:val="00AE298B"/>
    <w:rsid w:val="00AE3EC2"/>
    <w:rsid w:val="00AE4EF5"/>
    <w:rsid w:val="00AE5D92"/>
    <w:rsid w:val="00AE7526"/>
    <w:rsid w:val="00AE775B"/>
    <w:rsid w:val="00AF25FE"/>
    <w:rsid w:val="00AF3E08"/>
    <w:rsid w:val="00AF4AC5"/>
    <w:rsid w:val="00AF574C"/>
    <w:rsid w:val="00AF71CF"/>
    <w:rsid w:val="00B007DA"/>
    <w:rsid w:val="00B013FC"/>
    <w:rsid w:val="00B02493"/>
    <w:rsid w:val="00B0278F"/>
    <w:rsid w:val="00B03794"/>
    <w:rsid w:val="00B03DDD"/>
    <w:rsid w:val="00B03F08"/>
    <w:rsid w:val="00B05D4C"/>
    <w:rsid w:val="00B068E2"/>
    <w:rsid w:val="00B104C7"/>
    <w:rsid w:val="00B10CDE"/>
    <w:rsid w:val="00B126E4"/>
    <w:rsid w:val="00B13251"/>
    <w:rsid w:val="00B13813"/>
    <w:rsid w:val="00B14303"/>
    <w:rsid w:val="00B17BE7"/>
    <w:rsid w:val="00B17E45"/>
    <w:rsid w:val="00B2075A"/>
    <w:rsid w:val="00B2229F"/>
    <w:rsid w:val="00B2246E"/>
    <w:rsid w:val="00B2398B"/>
    <w:rsid w:val="00B241B0"/>
    <w:rsid w:val="00B266AB"/>
    <w:rsid w:val="00B26A3E"/>
    <w:rsid w:val="00B30660"/>
    <w:rsid w:val="00B310D3"/>
    <w:rsid w:val="00B3226A"/>
    <w:rsid w:val="00B32F21"/>
    <w:rsid w:val="00B3446E"/>
    <w:rsid w:val="00B34638"/>
    <w:rsid w:val="00B35073"/>
    <w:rsid w:val="00B35639"/>
    <w:rsid w:val="00B4241B"/>
    <w:rsid w:val="00B43792"/>
    <w:rsid w:val="00B44E98"/>
    <w:rsid w:val="00B455C6"/>
    <w:rsid w:val="00B45676"/>
    <w:rsid w:val="00B45DCA"/>
    <w:rsid w:val="00B4670D"/>
    <w:rsid w:val="00B469B4"/>
    <w:rsid w:val="00B46E37"/>
    <w:rsid w:val="00B471D8"/>
    <w:rsid w:val="00B51054"/>
    <w:rsid w:val="00B51ADD"/>
    <w:rsid w:val="00B521C8"/>
    <w:rsid w:val="00B52791"/>
    <w:rsid w:val="00B53425"/>
    <w:rsid w:val="00B54275"/>
    <w:rsid w:val="00B548D9"/>
    <w:rsid w:val="00B54AAB"/>
    <w:rsid w:val="00B55485"/>
    <w:rsid w:val="00B57AAE"/>
    <w:rsid w:val="00B62A03"/>
    <w:rsid w:val="00B66D4A"/>
    <w:rsid w:val="00B671DD"/>
    <w:rsid w:val="00B70CE5"/>
    <w:rsid w:val="00B71119"/>
    <w:rsid w:val="00B73EF0"/>
    <w:rsid w:val="00B74994"/>
    <w:rsid w:val="00B7585A"/>
    <w:rsid w:val="00B76300"/>
    <w:rsid w:val="00B76822"/>
    <w:rsid w:val="00B77C41"/>
    <w:rsid w:val="00B80C01"/>
    <w:rsid w:val="00B80D82"/>
    <w:rsid w:val="00B82770"/>
    <w:rsid w:val="00B83AC6"/>
    <w:rsid w:val="00B84AD7"/>
    <w:rsid w:val="00B85663"/>
    <w:rsid w:val="00B9425E"/>
    <w:rsid w:val="00B942E7"/>
    <w:rsid w:val="00B9626D"/>
    <w:rsid w:val="00B975CD"/>
    <w:rsid w:val="00B97DA4"/>
    <w:rsid w:val="00B97EEE"/>
    <w:rsid w:val="00BA3D0C"/>
    <w:rsid w:val="00BA44C5"/>
    <w:rsid w:val="00BA605A"/>
    <w:rsid w:val="00BA759A"/>
    <w:rsid w:val="00BA7B55"/>
    <w:rsid w:val="00BB09F6"/>
    <w:rsid w:val="00BB15D6"/>
    <w:rsid w:val="00BB1793"/>
    <w:rsid w:val="00BB3EBB"/>
    <w:rsid w:val="00BB52C6"/>
    <w:rsid w:val="00BB5D17"/>
    <w:rsid w:val="00BB7B78"/>
    <w:rsid w:val="00BC0486"/>
    <w:rsid w:val="00BC0F35"/>
    <w:rsid w:val="00BC15E2"/>
    <w:rsid w:val="00BC21A7"/>
    <w:rsid w:val="00BC2B6E"/>
    <w:rsid w:val="00BC3078"/>
    <w:rsid w:val="00BC3604"/>
    <w:rsid w:val="00BC46D7"/>
    <w:rsid w:val="00BC46EB"/>
    <w:rsid w:val="00BC6C90"/>
    <w:rsid w:val="00BC7296"/>
    <w:rsid w:val="00BC789C"/>
    <w:rsid w:val="00BC7DB2"/>
    <w:rsid w:val="00BD0DC6"/>
    <w:rsid w:val="00BD2A31"/>
    <w:rsid w:val="00BD5B14"/>
    <w:rsid w:val="00BD5DE5"/>
    <w:rsid w:val="00BD6E7C"/>
    <w:rsid w:val="00BD72C0"/>
    <w:rsid w:val="00BE1656"/>
    <w:rsid w:val="00BE573C"/>
    <w:rsid w:val="00BE61FD"/>
    <w:rsid w:val="00BE6D89"/>
    <w:rsid w:val="00BE6E66"/>
    <w:rsid w:val="00BE7EA7"/>
    <w:rsid w:val="00BF0B7A"/>
    <w:rsid w:val="00BF27D8"/>
    <w:rsid w:val="00BF38E5"/>
    <w:rsid w:val="00BF3C40"/>
    <w:rsid w:val="00BF3F5E"/>
    <w:rsid w:val="00BF4415"/>
    <w:rsid w:val="00BF562B"/>
    <w:rsid w:val="00BF5D8E"/>
    <w:rsid w:val="00BF6CD1"/>
    <w:rsid w:val="00BF75ED"/>
    <w:rsid w:val="00C010C0"/>
    <w:rsid w:val="00C02C57"/>
    <w:rsid w:val="00C03405"/>
    <w:rsid w:val="00C03EDA"/>
    <w:rsid w:val="00C04A1F"/>
    <w:rsid w:val="00C04D5C"/>
    <w:rsid w:val="00C0530D"/>
    <w:rsid w:val="00C05BCD"/>
    <w:rsid w:val="00C075F7"/>
    <w:rsid w:val="00C103F2"/>
    <w:rsid w:val="00C10418"/>
    <w:rsid w:val="00C112E8"/>
    <w:rsid w:val="00C11B6F"/>
    <w:rsid w:val="00C12DC8"/>
    <w:rsid w:val="00C137A2"/>
    <w:rsid w:val="00C13EBD"/>
    <w:rsid w:val="00C1434A"/>
    <w:rsid w:val="00C14EE0"/>
    <w:rsid w:val="00C155DD"/>
    <w:rsid w:val="00C1585F"/>
    <w:rsid w:val="00C170F5"/>
    <w:rsid w:val="00C17D38"/>
    <w:rsid w:val="00C20C42"/>
    <w:rsid w:val="00C210F2"/>
    <w:rsid w:val="00C22BEA"/>
    <w:rsid w:val="00C22C81"/>
    <w:rsid w:val="00C23992"/>
    <w:rsid w:val="00C24338"/>
    <w:rsid w:val="00C25980"/>
    <w:rsid w:val="00C25B90"/>
    <w:rsid w:val="00C33039"/>
    <w:rsid w:val="00C3317A"/>
    <w:rsid w:val="00C3409D"/>
    <w:rsid w:val="00C34981"/>
    <w:rsid w:val="00C3579C"/>
    <w:rsid w:val="00C37FE0"/>
    <w:rsid w:val="00C40D47"/>
    <w:rsid w:val="00C44ECC"/>
    <w:rsid w:val="00C45857"/>
    <w:rsid w:val="00C46E48"/>
    <w:rsid w:val="00C477B1"/>
    <w:rsid w:val="00C54DB5"/>
    <w:rsid w:val="00C55000"/>
    <w:rsid w:val="00C55730"/>
    <w:rsid w:val="00C55C08"/>
    <w:rsid w:val="00C55EE4"/>
    <w:rsid w:val="00C5646F"/>
    <w:rsid w:val="00C5749C"/>
    <w:rsid w:val="00C57E2A"/>
    <w:rsid w:val="00C64E27"/>
    <w:rsid w:val="00C64F2D"/>
    <w:rsid w:val="00C65278"/>
    <w:rsid w:val="00C6645F"/>
    <w:rsid w:val="00C679A7"/>
    <w:rsid w:val="00C71F9F"/>
    <w:rsid w:val="00C73F89"/>
    <w:rsid w:val="00C74E77"/>
    <w:rsid w:val="00C76C44"/>
    <w:rsid w:val="00C819C2"/>
    <w:rsid w:val="00C84B9B"/>
    <w:rsid w:val="00C867FB"/>
    <w:rsid w:val="00C86A3F"/>
    <w:rsid w:val="00C8717C"/>
    <w:rsid w:val="00C9001E"/>
    <w:rsid w:val="00C90885"/>
    <w:rsid w:val="00C90ADD"/>
    <w:rsid w:val="00C90F30"/>
    <w:rsid w:val="00C91891"/>
    <w:rsid w:val="00C949F2"/>
    <w:rsid w:val="00C958EF"/>
    <w:rsid w:val="00C960FD"/>
    <w:rsid w:val="00C96259"/>
    <w:rsid w:val="00C964E0"/>
    <w:rsid w:val="00C96676"/>
    <w:rsid w:val="00C970BA"/>
    <w:rsid w:val="00C97293"/>
    <w:rsid w:val="00CA3CF9"/>
    <w:rsid w:val="00CA633F"/>
    <w:rsid w:val="00CA776C"/>
    <w:rsid w:val="00CB09E4"/>
    <w:rsid w:val="00CB1124"/>
    <w:rsid w:val="00CB1660"/>
    <w:rsid w:val="00CB1BE9"/>
    <w:rsid w:val="00CB243F"/>
    <w:rsid w:val="00CB386B"/>
    <w:rsid w:val="00CB490D"/>
    <w:rsid w:val="00CB5A23"/>
    <w:rsid w:val="00CC092A"/>
    <w:rsid w:val="00CC3AE9"/>
    <w:rsid w:val="00CC4482"/>
    <w:rsid w:val="00CC64E9"/>
    <w:rsid w:val="00CD09CA"/>
    <w:rsid w:val="00CD2728"/>
    <w:rsid w:val="00CD2C4E"/>
    <w:rsid w:val="00CD3755"/>
    <w:rsid w:val="00CD3D73"/>
    <w:rsid w:val="00CD5B3E"/>
    <w:rsid w:val="00CD680F"/>
    <w:rsid w:val="00CD7123"/>
    <w:rsid w:val="00CE018F"/>
    <w:rsid w:val="00CE051F"/>
    <w:rsid w:val="00CE1066"/>
    <w:rsid w:val="00CE1227"/>
    <w:rsid w:val="00CE1FB7"/>
    <w:rsid w:val="00CE2EE0"/>
    <w:rsid w:val="00CE4397"/>
    <w:rsid w:val="00CE5C91"/>
    <w:rsid w:val="00CE63A3"/>
    <w:rsid w:val="00CF2E83"/>
    <w:rsid w:val="00CF3004"/>
    <w:rsid w:val="00CF308B"/>
    <w:rsid w:val="00CF3502"/>
    <w:rsid w:val="00CF400E"/>
    <w:rsid w:val="00CF4C9A"/>
    <w:rsid w:val="00CF5A40"/>
    <w:rsid w:val="00CF6368"/>
    <w:rsid w:val="00D00821"/>
    <w:rsid w:val="00D01944"/>
    <w:rsid w:val="00D01A69"/>
    <w:rsid w:val="00D02530"/>
    <w:rsid w:val="00D03A37"/>
    <w:rsid w:val="00D04487"/>
    <w:rsid w:val="00D066D0"/>
    <w:rsid w:val="00D07BFD"/>
    <w:rsid w:val="00D07E03"/>
    <w:rsid w:val="00D109E3"/>
    <w:rsid w:val="00D10FCB"/>
    <w:rsid w:val="00D116F6"/>
    <w:rsid w:val="00D11F71"/>
    <w:rsid w:val="00D122F2"/>
    <w:rsid w:val="00D13F1F"/>
    <w:rsid w:val="00D14899"/>
    <w:rsid w:val="00D16066"/>
    <w:rsid w:val="00D1634F"/>
    <w:rsid w:val="00D17859"/>
    <w:rsid w:val="00D22B41"/>
    <w:rsid w:val="00D238EE"/>
    <w:rsid w:val="00D24CD1"/>
    <w:rsid w:val="00D25678"/>
    <w:rsid w:val="00D27C2A"/>
    <w:rsid w:val="00D306D5"/>
    <w:rsid w:val="00D31D52"/>
    <w:rsid w:val="00D32264"/>
    <w:rsid w:val="00D32431"/>
    <w:rsid w:val="00D32B93"/>
    <w:rsid w:val="00D33040"/>
    <w:rsid w:val="00D331FE"/>
    <w:rsid w:val="00D34677"/>
    <w:rsid w:val="00D34AEE"/>
    <w:rsid w:val="00D358D9"/>
    <w:rsid w:val="00D3619E"/>
    <w:rsid w:val="00D36406"/>
    <w:rsid w:val="00D40D7F"/>
    <w:rsid w:val="00D41970"/>
    <w:rsid w:val="00D446A9"/>
    <w:rsid w:val="00D44B78"/>
    <w:rsid w:val="00D452C4"/>
    <w:rsid w:val="00D4598F"/>
    <w:rsid w:val="00D4662B"/>
    <w:rsid w:val="00D47722"/>
    <w:rsid w:val="00D50D59"/>
    <w:rsid w:val="00D53A77"/>
    <w:rsid w:val="00D57440"/>
    <w:rsid w:val="00D57516"/>
    <w:rsid w:val="00D5799A"/>
    <w:rsid w:val="00D57CCD"/>
    <w:rsid w:val="00D61B92"/>
    <w:rsid w:val="00D61C51"/>
    <w:rsid w:val="00D620B4"/>
    <w:rsid w:val="00D63FDE"/>
    <w:rsid w:val="00D655F6"/>
    <w:rsid w:val="00D65724"/>
    <w:rsid w:val="00D65D1C"/>
    <w:rsid w:val="00D7076E"/>
    <w:rsid w:val="00D70E31"/>
    <w:rsid w:val="00D7110B"/>
    <w:rsid w:val="00D713AF"/>
    <w:rsid w:val="00D71EFE"/>
    <w:rsid w:val="00D721EA"/>
    <w:rsid w:val="00D72D3D"/>
    <w:rsid w:val="00D739BD"/>
    <w:rsid w:val="00D73D06"/>
    <w:rsid w:val="00D8243C"/>
    <w:rsid w:val="00D8254E"/>
    <w:rsid w:val="00D82BF7"/>
    <w:rsid w:val="00D84392"/>
    <w:rsid w:val="00D8497C"/>
    <w:rsid w:val="00D92336"/>
    <w:rsid w:val="00D9235A"/>
    <w:rsid w:val="00D927BC"/>
    <w:rsid w:val="00D92D2D"/>
    <w:rsid w:val="00D931CE"/>
    <w:rsid w:val="00D93451"/>
    <w:rsid w:val="00D979EB"/>
    <w:rsid w:val="00DA07D7"/>
    <w:rsid w:val="00DA0C9D"/>
    <w:rsid w:val="00DA1156"/>
    <w:rsid w:val="00DA2ECE"/>
    <w:rsid w:val="00DA2F41"/>
    <w:rsid w:val="00DA30AB"/>
    <w:rsid w:val="00DA3424"/>
    <w:rsid w:val="00DA3CEE"/>
    <w:rsid w:val="00DA427C"/>
    <w:rsid w:val="00DA4CB6"/>
    <w:rsid w:val="00DA6678"/>
    <w:rsid w:val="00DA6968"/>
    <w:rsid w:val="00DB018D"/>
    <w:rsid w:val="00DB236F"/>
    <w:rsid w:val="00DB3D48"/>
    <w:rsid w:val="00DB3D9D"/>
    <w:rsid w:val="00DB3DC6"/>
    <w:rsid w:val="00DB50C3"/>
    <w:rsid w:val="00DB516F"/>
    <w:rsid w:val="00DB7FE8"/>
    <w:rsid w:val="00DC02AE"/>
    <w:rsid w:val="00DC0CA9"/>
    <w:rsid w:val="00DC1BA1"/>
    <w:rsid w:val="00DC24AC"/>
    <w:rsid w:val="00DC2CF4"/>
    <w:rsid w:val="00DC377E"/>
    <w:rsid w:val="00DC6D31"/>
    <w:rsid w:val="00DD0200"/>
    <w:rsid w:val="00DD0F06"/>
    <w:rsid w:val="00DD1040"/>
    <w:rsid w:val="00DD1094"/>
    <w:rsid w:val="00DD1314"/>
    <w:rsid w:val="00DD1359"/>
    <w:rsid w:val="00DD19ED"/>
    <w:rsid w:val="00DD1C6B"/>
    <w:rsid w:val="00DD25F7"/>
    <w:rsid w:val="00DD4A73"/>
    <w:rsid w:val="00DD5898"/>
    <w:rsid w:val="00DD711B"/>
    <w:rsid w:val="00DD76AC"/>
    <w:rsid w:val="00DD7E5D"/>
    <w:rsid w:val="00DE0E32"/>
    <w:rsid w:val="00DE18D0"/>
    <w:rsid w:val="00DE41EF"/>
    <w:rsid w:val="00DE5133"/>
    <w:rsid w:val="00DE5FED"/>
    <w:rsid w:val="00DE603B"/>
    <w:rsid w:val="00DE6D99"/>
    <w:rsid w:val="00DF12C1"/>
    <w:rsid w:val="00DF1EEE"/>
    <w:rsid w:val="00DF29BA"/>
    <w:rsid w:val="00DF34E5"/>
    <w:rsid w:val="00DF36A5"/>
    <w:rsid w:val="00DF3E32"/>
    <w:rsid w:val="00DF41E7"/>
    <w:rsid w:val="00DF41EB"/>
    <w:rsid w:val="00E00B6A"/>
    <w:rsid w:val="00E01731"/>
    <w:rsid w:val="00E01A2B"/>
    <w:rsid w:val="00E02710"/>
    <w:rsid w:val="00E03AF0"/>
    <w:rsid w:val="00E03C44"/>
    <w:rsid w:val="00E03EFD"/>
    <w:rsid w:val="00E045E9"/>
    <w:rsid w:val="00E04B4F"/>
    <w:rsid w:val="00E05663"/>
    <w:rsid w:val="00E0679F"/>
    <w:rsid w:val="00E120C7"/>
    <w:rsid w:val="00E1255A"/>
    <w:rsid w:val="00E1337A"/>
    <w:rsid w:val="00E13D7B"/>
    <w:rsid w:val="00E16FB6"/>
    <w:rsid w:val="00E1711B"/>
    <w:rsid w:val="00E17C7F"/>
    <w:rsid w:val="00E224F4"/>
    <w:rsid w:val="00E2264B"/>
    <w:rsid w:val="00E22FF2"/>
    <w:rsid w:val="00E25472"/>
    <w:rsid w:val="00E2705B"/>
    <w:rsid w:val="00E30ACB"/>
    <w:rsid w:val="00E31C8F"/>
    <w:rsid w:val="00E335E7"/>
    <w:rsid w:val="00E33C0D"/>
    <w:rsid w:val="00E371E8"/>
    <w:rsid w:val="00E37CCA"/>
    <w:rsid w:val="00E40422"/>
    <w:rsid w:val="00E4092F"/>
    <w:rsid w:val="00E40FBD"/>
    <w:rsid w:val="00E425A6"/>
    <w:rsid w:val="00E42B6B"/>
    <w:rsid w:val="00E44128"/>
    <w:rsid w:val="00E44F3D"/>
    <w:rsid w:val="00E50278"/>
    <w:rsid w:val="00E51355"/>
    <w:rsid w:val="00E518D6"/>
    <w:rsid w:val="00E52D89"/>
    <w:rsid w:val="00E53732"/>
    <w:rsid w:val="00E54294"/>
    <w:rsid w:val="00E543F9"/>
    <w:rsid w:val="00E55117"/>
    <w:rsid w:val="00E56718"/>
    <w:rsid w:val="00E56F0E"/>
    <w:rsid w:val="00E57610"/>
    <w:rsid w:val="00E577DE"/>
    <w:rsid w:val="00E612E7"/>
    <w:rsid w:val="00E612EB"/>
    <w:rsid w:val="00E64E7A"/>
    <w:rsid w:val="00E6548E"/>
    <w:rsid w:val="00E6640F"/>
    <w:rsid w:val="00E6699B"/>
    <w:rsid w:val="00E67196"/>
    <w:rsid w:val="00E672E7"/>
    <w:rsid w:val="00E71FDD"/>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5B0"/>
    <w:rsid w:val="00E8761F"/>
    <w:rsid w:val="00E90110"/>
    <w:rsid w:val="00E927FA"/>
    <w:rsid w:val="00E93C9C"/>
    <w:rsid w:val="00E93D2A"/>
    <w:rsid w:val="00E94436"/>
    <w:rsid w:val="00E945F9"/>
    <w:rsid w:val="00E94DBE"/>
    <w:rsid w:val="00E95674"/>
    <w:rsid w:val="00E96CD9"/>
    <w:rsid w:val="00E97A59"/>
    <w:rsid w:val="00EA0F53"/>
    <w:rsid w:val="00EA11F6"/>
    <w:rsid w:val="00EA36A7"/>
    <w:rsid w:val="00EA3ADB"/>
    <w:rsid w:val="00EA40A2"/>
    <w:rsid w:val="00EA4581"/>
    <w:rsid w:val="00EA60EB"/>
    <w:rsid w:val="00EA674D"/>
    <w:rsid w:val="00EA7CA2"/>
    <w:rsid w:val="00EB08CC"/>
    <w:rsid w:val="00EB0D97"/>
    <w:rsid w:val="00EB1B96"/>
    <w:rsid w:val="00EB1CE4"/>
    <w:rsid w:val="00EB1DCC"/>
    <w:rsid w:val="00EB4011"/>
    <w:rsid w:val="00EB51CC"/>
    <w:rsid w:val="00EB57D5"/>
    <w:rsid w:val="00EB59BF"/>
    <w:rsid w:val="00EB7826"/>
    <w:rsid w:val="00EB785E"/>
    <w:rsid w:val="00EB7885"/>
    <w:rsid w:val="00EC0030"/>
    <w:rsid w:val="00EC199D"/>
    <w:rsid w:val="00EC349E"/>
    <w:rsid w:val="00EC3680"/>
    <w:rsid w:val="00EC4B9D"/>
    <w:rsid w:val="00EC568B"/>
    <w:rsid w:val="00EC56B6"/>
    <w:rsid w:val="00EC7C15"/>
    <w:rsid w:val="00EC7E83"/>
    <w:rsid w:val="00ED0F28"/>
    <w:rsid w:val="00ED27C2"/>
    <w:rsid w:val="00ED27DD"/>
    <w:rsid w:val="00ED5158"/>
    <w:rsid w:val="00ED5A4C"/>
    <w:rsid w:val="00ED5E04"/>
    <w:rsid w:val="00ED763A"/>
    <w:rsid w:val="00EE2B37"/>
    <w:rsid w:val="00EE2F3B"/>
    <w:rsid w:val="00EE3180"/>
    <w:rsid w:val="00EE3512"/>
    <w:rsid w:val="00EE368E"/>
    <w:rsid w:val="00EE3C91"/>
    <w:rsid w:val="00EE462E"/>
    <w:rsid w:val="00EE6925"/>
    <w:rsid w:val="00EE725B"/>
    <w:rsid w:val="00EF25A1"/>
    <w:rsid w:val="00EF2AE9"/>
    <w:rsid w:val="00EF3EE2"/>
    <w:rsid w:val="00EF443B"/>
    <w:rsid w:val="00EF51BA"/>
    <w:rsid w:val="00EF6D2F"/>
    <w:rsid w:val="00F00FE7"/>
    <w:rsid w:val="00F0506F"/>
    <w:rsid w:val="00F05094"/>
    <w:rsid w:val="00F05D46"/>
    <w:rsid w:val="00F07221"/>
    <w:rsid w:val="00F12842"/>
    <w:rsid w:val="00F14001"/>
    <w:rsid w:val="00F14162"/>
    <w:rsid w:val="00F15B66"/>
    <w:rsid w:val="00F17EBB"/>
    <w:rsid w:val="00F23C04"/>
    <w:rsid w:val="00F26360"/>
    <w:rsid w:val="00F264FB"/>
    <w:rsid w:val="00F269F5"/>
    <w:rsid w:val="00F26F7C"/>
    <w:rsid w:val="00F2744F"/>
    <w:rsid w:val="00F3050D"/>
    <w:rsid w:val="00F3149D"/>
    <w:rsid w:val="00F3253D"/>
    <w:rsid w:val="00F3335A"/>
    <w:rsid w:val="00F3555B"/>
    <w:rsid w:val="00F36F37"/>
    <w:rsid w:val="00F402C5"/>
    <w:rsid w:val="00F406F2"/>
    <w:rsid w:val="00F407A6"/>
    <w:rsid w:val="00F40C0A"/>
    <w:rsid w:val="00F4124C"/>
    <w:rsid w:val="00F41AD4"/>
    <w:rsid w:val="00F41FDB"/>
    <w:rsid w:val="00F42C25"/>
    <w:rsid w:val="00F43A1B"/>
    <w:rsid w:val="00F440D3"/>
    <w:rsid w:val="00F4411F"/>
    <w:rsid w:val="00F442F4"/>
    <w:rsid w:val="00F445FF"/>
    <w:rsid w:val="00F460B4"/>
    <w:rsid w:val="00F46915"/>
    <w:rsid w:val="00F477ED"/>
    <w:rsid w:val="00F47DE4"/>
    <w:rsid w:val="00F507A9"/>
    <w:rsid w:val="00F508E5"/>
    <w:rsid w:val="00F51169"/>
    <w:rsid w:val="00F54038"/>
    <w:rsid w:val="00F5475A"/>
    <w:rsid w:val="00F54AE8"/>
    <w:rsid w:val="00F55D9E"/>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662D"/>
    <w:rsid w:val="00F7324A"/>
    <w:rsid w:val="00F73B1F"/>
    <w:rsid w:val="00F74E17"/>
    <w:rsid w:val="00F76836"/>
    <w:rsid w:val="00F76E89"/>
    <w:rsid w:val="00F77779"/>
    <w:rsid w:val="00F81E6D"/>
    <w:rsid w:val="00F90546"/>
    <w:rsid w:val="00F91431"/>
    <w:rsid w:val="00F91ADB"/>
    <w:rsid w:val="00F934BC"/>
    <w:rsid w:val="00F959E8"/>
    <w:rsid w:val="00F96A86"/>
    <w:rsid w:val="00FA1F8A"/>
    <w:rsid w:val="00FA3899"/>
    <w:rsid w:val="00FA4D36"/>
    <w:rsid w:val="00FB1103"/>
    <w:rsid w:val="00FB169C"/>
    <w:rsid w:val="00FB3028"/>
    <w:rsid w:val="00FB41BC"/>
    <w:rsid w:val="00FB5BF7"/>
    <w:rsid w:val="00FB68D1"/>
    <w:rsid w:val="00FB6D6D"/>
    <w:rsid w:val="00FB71B1"/>
    <w:rsid w:val="00FC23D7"/>
    <w:rsid w:val="00FC275C"/>
    <w:rsid w:val="00FC2D59"/>
    <w:rsid w:val="00FC4018"/>
    <w:rsid w:val="00FC7272"/>
    <w:rsid w:val="00FC74B8"/>
    <w:rsid w:val="00FD0F37"/>
    <w:rsid w:val="00FD2455"/>
    <w:rsid w:val="00FD2CD7"/>
    <w:rsid w:val="00FD4FA1"/>
    <w:rsid w:val="00FD5514"/>
    <w:rsid w:val="00FD71FF"/>
    <w:rsid w:val="00FD7799"/>
    <w:rsid w:val="00FE07B7"/>
    <w:rsid w:val="00FE222E"/>
    <w:rsid w:val="00FE23D2"/>
    <w:rsid w:val="00FE34F5"/>
    <w:rsid w:val="00FE4634"/>
    <w:rsid w:val="00FE644C"/>
    <w:rsid w:val="00FF0367"/>
    <w:rsid w:val="00FF0C5D"/>
    <w:rsid w:val="00FF1875"/>
    <w:rsid w:val="00FF1CF9"/>
    <w:rsid w:val="00FF2481"/>
    <w:rsid w:val="00FF2F90"/>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BA02F18"/>
  <w14:defaultImageDpi w14:val="32767"/>
  <w15:chartTrackingRefBased/>
  <w15:docId w15:val="{9D9BBFF2-E8DD-469B-804A-98D244DF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iPriority="96" w:unhideWhenUsed="1"/>
    <w:lsdException w:name="footer" w:semiHidden="1" w:uiPriority="69" w:unhideWhenUsed="1"/>
    <w:lsdException w:name="index heading" w:semiHidden="1" w:unhideWhenUsed="1"/>
    <w:lsdException w:name="caption" w:semiHidden="1" w:unhideWhenUsed="1" w:qFormat="1"/>
    <w:lsdException w:name="table of figures" w:semiHidden="1" w:uiPriority="69" w:unhideWhenUsed="1"/>
    <w:lsdException w:name="envelope address" w:semiHidden="1" w:unhideWhenUsed="1"/>
    <w:lsdException w:name="envelope return" w:locked="1"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9"/>
    <w:lsdException w:name="List Bullet 5" w:uiPriority="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1" w:uiPriority="0"/>
    <w:lsdException w:name="Table Theme" w:semiHidden="1" w:uiPriority="0"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4" w:qFormat="1"/>
    <w:lsdException w:name="Intense Emphasis" w:uiPriority="4"/>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6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5A06D2"/>
    <w:pPr>
      <w:jc w:val="both"/>
    </w:pPr>
  </w:style>
  <w:style w:type="paragraph" w:styleId="Heading1">
    <w:name w:val="heading 1"/>
    <w:aliases w:val="Heading 1 Alt+Ctrl+1"/>
    <w:basedOn w:val="Normal"/>
    <w:next w:val="Normal"/>
    <w:link w:val="Heading1Char"/>
    <w:uiPriority w:val="9"/>
    <w:qFormat/>
    <w:rsid w:val="005A06D2"/>
    <w:pPr>
      <w:keepNext/>
      <w:keepLines/>
      <w:numPr>
        <w:numId w:val="20"/>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9"/>
    <w:qFormat/>
    <w:rsid w:val="00907AA2"/>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9"/>
    <w:qFormat/>
    <w:rsid w:val="00907AA2"/>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5A06D2"/>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5A06D2"/>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5A06D2"/>
    <w:pPr>
      <w:spacing w:after="120"/>
      <w:outlineLvl w:val="5"/>
    </w:pPr>
    <w:rPr>
      <w:color w:val="4D4D4F" w:themeColor="accent3"/>
      <w:szCs w:val="21"/>
    </w:rPr>
  </w:style>
  <w:style w:type="paragraph" w:styleId="Heading7">
    <w:name w:val="heading 7"/>
    <w:basedOn w:val="Normal"/>
    <w:next w:val="Normal"/>
    <w:uiPriority w:val="2"/>
    <w:semiHidden/>
    <w:rsid w:val="005A06D2"/>
    <w:pPr>
      <w:spacing w:before="240" w:after="60"/>
      <w:jc w:val="left"/>
      <w:outlineLvl w:val="6"/>
    </w:pPr>
    <w:rPr>
      <w:color w:val="000000" w:themeColor="text1"/>
    </w:rPr>
  </w:style>
  <w:style w:type="paragraph" w:styleId="Heading8">
    <w:name w:val="heading 8"/>
    <w:basedOn w:val="Heading7"/>
    <w:next w:val="Normal"/>
    <w:uiPriority w:val="2"/>
    <w:semiHidden/>
    <w:rsid w:val="005A06D2"/>
    <w:pPr>
      <w:outlineLvl w:val="7"/>
    </w:pPr>
  </w:style>
  <w:style w:type="paragraph" w:styleId="Heading9">
    <w:name w:val="heading 9"/>
    <w:basedOn w:val="Heading7"/>
    <w:next w:val="Normal"/>
    <w:uiPriority w:val="2"/>
    <w:semiHidden/>
    <w:rsid w:val="005A0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06D2"/>
  </w:style>
  <w:style w:type="character" w:customStyle="1" w:styleId="BodyTextChar">
    <w:name w:val="Body Text Char"/>
    <w:basedOn w:val="DefaultParagraphFont"/>
    <w:link w:val="BodyText"/>
    <w:uiPriority w:val="69"/>
    <w:rsid w:val="005A06D2"/>
  </w:style>
  <w:style w:type="character" w:customStyle="1" w:styleId="Heading1Char">
    <w:name w:val="Heading 1 Char"/>
    <w:aliases w:val="Heading 1 Alt+Ctrl+1 Char"/>
    <w:basedOn w:val="DefaultParagraphFont"/>
    <w:link w:val="Heading1"/>
    <w:uiPriority w:val="9"/>
    <w:rsid w:val="005A06D2"/>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C02C57"/>
    <w:pPr>
      <w:numPr>
        <w:numId w:val="26"/>
      </w:numPr>
      <w:spacing w:before="0"/>
      <w:ind w:left="1800"/>
      <w:jc w:val="left"/>
    </w:pPr>
  </w:style>
  <w:style w:type="character" w:customStyle="1" w:styleId="Heading4Char">
    <w:name w:val="Heading 4 Char"/>
    <w:basedOn w:val="DefaultParagraphFont"/>
    <w:link w:val="Heading4"/>
    <w:uiPriority w:val="9"/>
    <w:rsid w:val="005A06D2"/>
    <w:rPr>
      <w:rFonts w:asciiTheme="majorHAnsi" w:hAnsiTheme="majorHAnsi" w:cs="Arial"/>
      <w:bCs/>
      <w:color w:val="053572" w:themeColor="accent1"/>
      <w:sz w:val="24"/>
      <w:szCs w:val="24"/>
    </w:rPr>
  </w:style>
  <w:style w:type="character" w:styleId="CommentReference">
    <w:name w:val="annotation reference"/>
    <w:basedOn w:val="DefaultParagraphFont"/>
    <w:uiPriority w:val="99"/>
    <w:semiHidden/>
    <w:rsid w:val="005A06D2"/>
    <w:rPr>
      <w:sz w:val="16"/>
      <w:szCs w:val="16"/>
    </w:rPr>
  </w:style>
  <w:style w:type="paragraph" w:styleId="CommentText">
    <w:name w:val="annotation text"/>
    <w:basedOn w:val="Normal"/>
    <w:uiPriority w:val="99"/>
    <w:semiHidden/>
    <w:rsid w:val="005A06D2"/>
    <w:rPr>
      <w:sz w:val="20"/>
      <w:szCs w:val="20"/>
    </w:rPr>
  </w:style>
  <w:style w:type="paragraph" w:styleId="CommentSubject">
    <w:name w:val="annotation subject"/>
    <w:basedOn w:val="CommentText"/>
    <w:next w:val="CommentText"/>
    <w:semiHidden/>
    <w:rsid w:val="005A06D2"/>
    <w:rPr>
      <w:b/>
      <w:bCs/>
    </w:rPr>
  </w:style>
  <w:style w:type="paragraph" w:styleId="BalloonText">
    <w:name w:val="Balloon Text"/>
    <w:basedOn w:val="Normal"/>
    <w:semiHidden/>
    <w:rsid w:val="005A06D2"/>
    <w:rPr>
      <w:rFonts w:ascii="Tahoma" w:hAnsi="Tahoma" w:cs="Tahoma"/>
      <w:sz w:val="16"/>
      <w:szCs w:val="16"/>
    </w:rPr>
  </w:style>
  <w:style w:type="paragraph" w:styleId="FootnoteText">
    <w:name w:val="footnote text"/>
    <w:basedOn w:val="Normal"/>
    <w:link w:val="FootnoteTextChar"/>
    <w:uiPriority w:val="69"/>
    <w:rsid w:val="005A06D2"/>
    <w:pPr>
      <w:spacing w:before="0" w:after="0"/>
    </w:pPr>
    <w:rPr>
      <w:sz w:val="18"/>
      <w:szCs w:val="20"/>
    </w:rPr>
  </w:style>
  <w:style w:type="character" w:styleId="FootnoteReference">
    <w:name w:val="footnote reference"/>
    <w:aliases w:val="Footnote_Reference"/>
    <w:basedOn w:val="DefaultParagraphFont"/>
    <w:uiPriority w:val="69"/>
    <w:rsid w:val="005A06D2"/>
    <w:rPr>
      <w:vertAlign w:val="superscript"/>
    </w:rPr>
  </w:style>
  <w:style w:type="paragraph" w:styleId="TOC1">
    <w:name w:val="toc 1"/>
    <w:basedOn w:val="Normal"/>
    <w:next w:val="Normal"/>
    <w:autoRedefine/>
    <w:uiPriority w:val="39"/>
    <w:rsid w:val="005A06D2"/>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5A06D2"/>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5A06D2"/>
    <w:rPr>
      <w:color w:val="0069B6" w:themeColor="accent4"/>
      <w:u w:val="single"/>
    </w:rPr>
  </w:style>
  <w:style w:type="paragraph" w:styleId="TOC3">
    <w:name w:val="toc 3"/>
    <w:basedOn w:val="Normal"/>
    <w:next w:val="Normal"/>
    <w:autoRedefine/>
    <w:uiPriority w:val="39"/>
    <w:rsid w:val="005A06D2"/>
    <w:pPr>
      <w:tabs>
        <w:tab w:val="right" w:leader="dot" w:pos="9360"/>
      </w:tabs>
      <w:spacing w:before="100"/>
      <w:ind w:left="1584" w:hanging="648"/>
    </w:pPr>
  </w:style>
  <w:style w:type="paragraph" w:styleId="Caption">
    <w:name w:val="caption"/>
    <w:basedOn w:val="Normal"/>
    <w:next w:val="BodyText"/>
    <w:link w:val="CaptionChar"/>
    <w:autoRedefine/>
    <w:uiPriority w:val="99"/>
    <w:qFormat/>
    <w:rsid w:val="005A06D2"/>
    <w:pPr>
      <w:keepNext/>
      <w:spacing w:after="80"/>
      <w:jc w:val="center"/>
    </w:pPr>
    <w:rPr>
      <w:b/>
      <w:bCs/>
      <w:color w:val="4D4D4F" w:themeColor="accent3"/>
      <w:sz w:val="20"/>
      <w:szCs w:val="20"/>
    </w:rPr>
  </w:style>
  <w:style w:type="character" w:customStyle="1" w:styleId="CaptionChar">
    <w:name w:val="Caption Char"/>
    <w:basedOn w:val="DefaultParagraphFont"/>
    <w:link w:val="Caption"/>
    <w:uiPriority w:val="99"/>
    <w:rsid w:val="005A06D2"/>
    <w:rPr>
      <w:b/>
      <w:bCs/>
      <w:color w:val="4D4D4F" w:themeColor="accent3"/>
      <w:sz w:val="20"/>
      <w:szCs w:val="20"/>
    </w:rPr>
  </w:style>
  <w:style w:type="paragraph" w:customStyle="1" w:styleId="Bullet1">
    <w:name w:val="Bullet 1"/>
    <w:basedOn w:val="Normal"/>
    <w:next w:val="BodyText"/>
    <w:uiPriority w:val="99"/>
    <w:semiHidden/>
    <w:qFormat/>
    <w:rsid w:val="005A06D2"/>
    <w:pPr>
      <w:numPr>
        <w:numId w:val="27"/>
      </w:numPr>
      <w:spacing w:after="120"/>
    </w:pPr>
  </w:style>
  <w:style w:type="paragraph" w:customStyle="1" w:styleId="Bullet2">
    <w:name w:val="Bullet 2"/>
    <w:basedOn w:val="Normal"/>
    <w:next w:val="BodyText"/>
    <w:uiPriority w:val="99"/>
    <w:semiHidden/>
    <w:qFormat/>
    <w:rsid w:val="005A06D2"/>
    <w:pPr>
      <w:numPr>
        <w:ilvl w:val="1"/>
        <w:numId w:val="27"/>
      </w:numPr>
      <w:spacing w:after="120"/>
    </w:pPr>
  </w:style>
  <w:style w:type="paragraph" w:customStyle="1" w:styleId="Bullet3">
    <w:name w:val="Bullet 3"/>
    <w:basedOn w:val="Normal"/>
    <w:next w:val="BodyText"/>
    <w:uiPriority w:val="99"/>
    <w:semiHidden/>
    <w:qFormat/>
    <w:rsid w:val="005A06D2"/>
    <w:pPr>
      <w:numPr>
        <w:ilvl w:val="2"/>
        <w:numId w:val="27"/>
      </w:numPr>
      <w:spacing w:after="120"/>
    </w:pPr>
  </w:style>
  <w:style w:type="paragraph" w:styleId="TableofFigures">
    <w:name w:val="table of figures"/>
    <w:basedOn w:val="Normal"/>
    <w:next w:val="Normal"/>
    <w:uiPriority w:val="69"/>
    <w:rsid w:val="005A06D2"/>
    <w:pPr>
      <w:tabs>
        <w:tab w:val="right" w:leader="dot" w:pos="10070"/>
      </w:tabs>
      <w:spacing w:before="120" w:after="120"/>
      <w:ind w:right="360"/>
      <w:jc w:val="left"/>
    </w:pPr>
  </w:style>
  <w:style w:type="paragraph" w:styleId="Index1">
    <w:name w:val="index 1"/>
    <w:basedOn w:val="Normal"/>
    <w:next w:val="Normal"/>
    <w:autoRedefine/>
    <w:semiHidden/>
    <w:rsid w:val="005A06D2"/>
    <w:pPr>
      <w:ind w:left="240" w:hanging="240"/>
    </w:pPr>
  </w:style>
  <w:style w:type="character" w:customStyle="1" w:styleId="FooterChar">
    <w:name w:val="Footer Char"/>
    <w:basedOn w:val="DefaultParagraphFont"/>
    <w:link w:val="Footer"/>
    <w:uiPriority w:val="69"/>
    <w:rsid w:val="005A06D2"/>
    <w:rPr>
      <w:noProof/>
      <w:sz w:val="8"/>
      <w:szCs w:val="20"/>
    </w:rPr>
  </w:style>
  <w:style w:type="paragraph" w:styleId="TOCHeading">
    <w:name w:val="TOC Heading"/>
    <w:basedOn w:val="Normal"/>
    <w:next w:val="TOC1"/>
    <w:uiPriority w:val="69"/>
    <w:rsid w:val="005A06D2"/>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9"/>
    <w:rsid w:val="00907AA2"/>
    <w:rPr>
      <w:rFonts w:asciiTheme="majorHAnsi" w:hAnsiTheme="majorHAnsi"/>
      <w:color w:val="1295D8" w:themeColor="accent2"/>
      <w:sz w:val="32"/>
      <w:szCs w:val="24"/>
    </w:rPr>
  </w:style>
  <w:style w:type="paragraph" w:styleId="Header">
    <w:name w:val="header"/>
    <w:basedOn w:val="Normal"/>
    <w:link w:val="HeaderChar"/>
    <w:uiPriority w:val="96"/>
    <w:rsid w:val="005A06D2"/>
    <w:pPr>
      <w:tabs>
        <w:tab w:val="right" w:pos="9360"/>
      </w:tabs>
    </w:pPr>
    <w:rPr>
      <w:i/>
      <w:noProof/>
      <w:sz w:val="16"/>
      <w:szCs w:val="16"/>
    </w:rPr>
  </w:style>
  <w:style w:type="paragraph" w:styleId="Footer">
    <w:name w:val="footer"/>
    <w:basedOn w:val="Normal"/>
    <w:next w:val="Normal"/>
    <w:link w:val="FooterChar"/>
    <w:uiPriority w:val="69"/>
    <w:rsid w:val="005A06D2"/>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5A06D2"/>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9"/>
    <w:rsid w:val="00907AA2"/>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5A06D2"/>
    <w:rPr>
      <w:rFonts w:asciiTheme="majorHAnsi" w:hAnsiTheme="majorHAnsi" w:cs="Arial"/>
      <w:bCs/>
      <w:iCs/>
      <w:color w:val="1295D8" w:themeColor="accent2"/>
    </w:rPr>
  </w:style>
  <w:style w:type="paragraph" w:customStyle="1" w:styleId="Appendix">
    <w:name w:val="Appendix"/>
    <w:basedOn w:val="Heading1"/>
    <w:next w:val="BodyText"/>
    <w:uiPriority w:val="9"/>
    <w:qFormat/>
    <w:rsid w:val="005A06D2"/>
    <w:pPr>
      <w:pageBreakBefore/>
      <w:numPr>
        <w:numId w:val="18"/>
      </w:numPr>
    </w:pPr>
  </w:style>
  <w:style w:type="table" w:customStyle="1" w:styleId="ODCBasic-1">
    <w:name w:val="ODC_Basic-1"/>
    <w:basedOn w:val="TableNormal"/>
    <w:uiPriority w:val="99"/>
    <w:qFormat/>
    <w:rsid w:val="005A06D2"/>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6"/>
    <w:rsid w:val="005A06D2"/>
    <w:pPr>
      <w:spacing w:before="40" w:after="60"/>
    </w:pPr>
    <w:rPr>
      <w:sz w:val="18"/>
      <w:szCs w:val="19"/>
    </w:rPr>
  </w:style>
  <w:style w:type="paragraph" w:customStyle="1" w:styleId="TableRightText">
    <w:name w:val="Table Right Text"/>
    <w:aliases w:val="Table Right Alt+T,R"/>
    <w:basedOn w:val="Normal"/>
    <w:uiPriority w:val="6"/>
    <w:rsid w:val="005A06D2"/>
    <w:pPr>
      <w:spacing w:before="0" w:after="0"/>
      <w:jc w:val="right"/>
    </w:pPr>
    <w:rPr>
      <w:sz w:val="20"/>
    </w:rPr>
  </w:style>
  <w:style w:type="character" w:styleId="PageNumber">
    <w:name w:val="page number"/>
    <w:basedOn w:val="DefaultParagraphFont"/>
    <w:uiPriority w:val="99"/>
    <w:semiHidden/>
    <w:rsid w:val="005A06D2"/>
  </w:style>
  <w:style w:type="paragraph" w:customStyle="1" w:styleId="HeaderLogo">
    <w:name w:val="Header Logo"/>
    <w:basedOn w:val="Header"/>
    <w:uiPriority w:val="99"/>
    <w:rsid w:val="005A06D2"/>
    <w:pPr>
      <w:ind w:left="-360"/>
    </w:pPr>
  </w:style>
  <w:style w:type="numbering" w:customStyle="1" w:styleId="NumberList">
    <w:name w:val="Number List"/>
    <w:uiPriority w:val="99"/>
    <w:rsid w:val="005A06D2"/>
    <w:pPr>
      <w:numPr>
        <w:numId w:val="1"/>
      </w:numPr>
    </w:pPr>
  </w:style>
  <w:style w:type="paragraph" w:customStyle="1" w:styleId="ContactPgHeading">
    <w:name w:val="Contact Pg_Heading"/>
    <w:basedOn w:val="Normal"/>
    <w:next w:val="NoSpacing"/>
    <w:uiPriority w:val="10"/>
    <w:rsid w:val="005A06D2"/>
    <w:rPr>
      <w:rFonts w:asciiTheme="majorHAnsi" w:hAnsiTheme="majorHAnsi"/>
      <w:color w:val="053572" w:themeColor="accent1"/>
      <w:sz w:val="28"/>
    </w:rPr>
  </w:style>
  <w:style w:type="character" w:styleId="IntenseEmphasis">
    <w:name w:val="Intense Emphasis"/>
    <w:aliases w:val="Bold+Italic"/>
    <w:basedOn w:val="DefaultParagraphFont"/>
    <w:uiPriority w:val="4"/>
    <w:rsid w:val="005A06D2"/>
    <w:rPr>
      <w:b/>
      <w:i/>
      <w:iCs/>
      <w:color w:val="auto"/>
    </w:rPr>
  </w:style>
  <w:style w:type="paragraph" w:styleId="Quote">
    <w:name w:val="Quote"/>
    <w:basedOn w:val="Normal"/>
    <w:next w:val="Normal"/>
    <w:link w:val="QuoteChar"/>
    <w:uiPriority w:val="99"/>
    <w:semiHidden/>
    <w:qFormat/>
    <w:rsid w:val="005A06D2"/>
    <w:pPr>
      <w:ind w:left="864" w:right="864"/>
      <w:jc w:val="center"/>
    </w:pPr>
    <w:rPr>
      <w:i/>
      <w:iCs/>
    </w:rPr>
  </w:style>
  <w:style w:type="character" w:customStyle="1" w:styleId="QuoteChar">
    <w:name w:val="Quote Char"/>
    <w:basedOn w:val="DefaultParagraphFont"/>
    <w:link w:val="Quote"/>
    <w:uiPriority w:val="99"/>
    <w:semiHidden/>
    <w:rsid w:val="005A06D2"/>
    <w:rPr>
      <w:i/>
      <w:iCs/>
    </w:rPr>
  </w:style>
  <w:style w:type="character" w:styleId="EndnoteReference">
    <w:name w:val="endnote reference"/>
    <w:basedOn w:val="DefaultParagraphFont"/>
    <w:uiPriority w:val="69"/>
    <w:rsid w:val="005A06D2"/>
    <w:rPr>
      <w:vertAlign w:val="superscript"/>
    </w:rPr>
  </w:style>
  <w:style w:type="paragraph" w:styleId="EndnoteText">
    <w:name w:val="endnote text"/>
    <w:basedOn w:val="Normal"/>
    <w:link w:val="EndnoteTextChar"/>
    <w:uiPriority w:val="69"/>
    <w:rsid w:val="005A06D2"/>
    <w:pPr>
      <w:spacing w:before="0" w:after="0"/>
    </w:pPr>
    <w:rPr>
      <w:sz w:val="18"/>
      <w:szCs w:val="20"/>
    </w:rPr>
  </w:style>
  <w:style w:type="character" w:customStyle="1" w:styleId="EndnoteTextChar">
    <w:name w:val="Endnote Text Char"/>
    <w:basedOn w:val="DefaultParagraphFont"/>
    <w:link w:val="EndnoteText"/>
    <w:uiPriority w:val="69"/>
    <w:rsid w:val="005A06D2"/>
    <w:rPr>
      <w:sz w:val="18"/>
      <w:szCs w:val="20"/>
    </w:rPr>
  </w:style>
  <w:style w:type="paragraph" w:styleId="Signature">
    <w:name w:val="Signature"/>
    <w:basedOn w:val="Normal"/>
    <w:link w:val="SignatureChar"/>
    <w:uiPriority w:val="99"/>
    <w:semiHidden/>
    <w:rsid w:val="005A06D2"/>
    <w:pPr>
      <w:spacing w:after="0"/>
      <w:ind w:left="4320"/>
    </w:pPr>
  </w:style>
  <w:style w:type="character" w:customStyle="1" w:styleId="SignatureChar">
    <w:name w:val="Signature Char"/>
    <w:basedOn w:val="DefaultParagraphFont"/>
    <w:link w:val="Signature"/>
    <w:uiPriority w:val="99"/>
    <w:semiHidden/>
    <w:rsid w:val="005A06D2"/>
  </w:style>
  <w:style w:type="character" w:styleId="Strong">
    <w:name w:val="Strong"/>
    <w:aliases w:val="Bold CTRL+B"/>
    <w:basedOn w:val="DefaultParagraphFont"/>
    <w:uiPriority w:val="4"/>
    <w:qFormat/>
    <w:rsid w:val="005A06D2"/>
    <w:rPr>
      <w:b/>
      <w:bCs/>
    </w:rPr>
  </w:style>
  <w:style w:type="character" w:styleId="Emphasis">
    <w:name w:val="Emphasis"/>
    <w:aliases w:val="Italic CTRL+I"/>
    <w:basedOn w:val="DefaultParagraphFont"/>
    <w:uiPriority w:val="4"/>
    <w:qFormat/>
    <w:rsid w:val="005A06D2"/>
    <w:rPr>
      <w:i/>
      <w:iCs/>
    </w:rPr>
  </w:style>
  <w:style w:type="character" w:styleId="SubtleEmphasis">
    <w:name w:val="Subtle Emphasis"/>
    <w:aliases w:val="Underline CTRL+U"/>
    <w:basedOn w:val="DefaultParagraphFont"/>
    <w:uiPriority w:val="4"/>
    <w:qFormat/>
    <w:rsid w:val="005A06D2"/>
    <w:rPr>
      <w:i w:val="0"/>
      <w:iCs/>
      <w:color w:val="auto"/>
      <w:u w:val="single"/>
    </w:rPr>
  </w:style>
  <w:style w:type="paragraph" w:customStyle="1" w:styleId="CenterTableText">
    <w:name w:val="Center Table Text"/>
    <w:basedOn w:val="TableLeftText"/>
    <w:uiPriority w:val="14"/>
    <w:semiHidden/>
    <w:rsid w:val="005A06D2"/>
    <w:pPr>
      <w:jc w:val="center"/>
    </w:pPr>
  </w:style>
  <w:style w:type="paragraph" w:styleId="NormalWeb">
    <w:name w:val="Normal (Web)"/>
    <w:basedOn w:val="Normal"/>
    <w:uiPriority w:val="99"/>
    <w:semiHidden/>
    <w:rsid w:val="005A06D2"/>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character" w:styleId="PlaceholderText">
    <w:name w:val="Placeholder Text"/>
    <w:basedOn w:val="DefaultParagraphFont"/>
    <w:uiPriority w:val="99"/>
    <w:semiHidden/>
    <w:rsid w:val="005A06D2"/>
    <w:rPr>
      <w:color w:val="808080"/>
    </w:rPr>
  </w:style>
  <w:style w:type="paragraph" w:styleId="ListParagraph">
    <w:name w:val="List Paragraph"/>
    <w:aliases w:val="TT - List Paragraph"/>
    <w:basedOn w:val="Normal"/>
    <w:link w:val="ListParagraphChar"/>
    <w:uiPriority w:val="34"/>
    <w:qFormat/>
    <w:rsid w:val="005A06D2"/>
    <w:pPr>
      <w:ind w:left="720"/>
      <w:contextualSpacing/>
    </w:pPr>
  </w:style>
  <w:style w:type="paragraph" w:customStyle="1" w:styleId="zSRnote">
    <w:name w:val="zSR note"/>
    <w:basedOn w:val="Normal"/>
    <w:uiPriority w:val="99"/>
    <w:semiHidden/>
    <w:locked/>
    <w:rsid w:val="00B51ADD"/>
    <w:pPr>
      <w:spacing w:after="0"/>
    </w:pPr>
    <w:rPr>
      <w:color w:val="FF0000"/>
    </w:rPr>
  </w:style>
  <w:style w:type="numbering" w:customStyle="1" w:styleId="ODNumberList">
    <w:name w:val="OD Number List"/>
    <w:uiPriority w:val="99"/>
    <w:rsid w:val="005A06D2"/>
    <w:pPr>
      <w:numPr>
        <w:numId w:val="15"/>
      </w:numPr>
    </w:p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5A06D2"/>
    <w:pPr>
      <w:spacing w:after="100"/>
      <w:ind w:left="1760"/>
    </w:pPr>
  </w:style>
  <w:style w:type="paragraph" w:customStyle="1" w:styleId="FooterLeft">
    <w:name w:val="Footer Left"/>
    <w:basedOn w:val="Footer"/>
    <w:uiPriority w:val="69"/>
    <w:rsid w:val="005A06D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5A06D2"/>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5A06D2"/>
    <w:pPr>
      <w:numPr>
        <w:numId w:val="41"/>
      </w:numPr>
      <w:spacing w:before="0" w:after="120"/>
      <w:contextualSpacing w:val="0"/>
    </w:pPr>
  </w:style>
  <w:style w:type="paragraph" w:customStyle="1" w:styleId="NoList2">
    <w:name w:val="No. List 2"/>
    <w:aliases w:val="No. List 2 Alt+L,2"/>
    <w:basedOn w:val="ListParagraph"/>
    <w:uiPriority w:val="9"/>
    <w:rsid w:val="005A06D2"/>
    <w:pPr>
      <w:numPr>
        <w:ilvl w:val="1"/>
        <w:numId w:val="41"/>
      </w:numPr>
      <w:spacing w:before="0" w:after="120"/>
      <w:contextualSpacing w:val="0"/>
    </w:pPr>
  </w:style>
  <w:style w:type="paragraph" w:customStyle="1" w:styleId="NoList3">
    <w:name w:val="No. List 3"/>
    <w:basedOn w:val="ListParagraph"/>
    <w:uiPriority w:val="9"/>
    <w:rsid w:val="005A06D2"/>
    <w:pPr>
      <w:numPr>
        <w:ilvl w:val="2"/>
        <w:numId w:val="41"/>
      </w:numPr>
      <w:spacing w:before="0" w:after="120"/>
      <w:contextualSpacing w:val="0"/>
    </w:pPr>
  </w:style>
  <w:style w:type="paragraph" w:customStyle="1" w:styleId="NoList4">
    <w:name w:val="No. List 4"/>
    <w:basedOn w:val="ListParagraph"/>
    <w:uiPriority w:val="9"/>
    <w:rsid w:val="005A06D2"/>
    <w:pPr>
      <w:numPr>
        <w:ilvl w:val="3"/>
        <w:numId w:val="41"/>
      </w:numPr>
      <w:spacing w:before="0" w:after="120"/>
      <w:contextualSpacing w:val="0"/>
    </w:pPr>
  </w:style>
  <w:style w:type="paragraph" w:customStyle="1" w:styleId="Subtitle2">
    <w:name w:val="Subtitle 2"/>
    <w:basedOn w:val="Normal"/>
    <w:link w:val="Subtitle2Char"/>
    <w:uiPriority w:val="69"/>
    <w:rsid w:val="005A06D2"/>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5A06D2"/>
    <w:pPr>
      <w:numPr>
        <w:ilvl w:val="4"/>
        <w:numId w:val="41"/>
      </w:numPr>
      <w:spacing w:before="0" w:after="120"/>
      <w:contextualSpacing w:val="0"/>
    </w:pPr>
  </w:style>
  <w:style w:type="paragraph" w:customStyle="1" w:styleId="NoList6">
    <w:name w:val="No. List 6"/>
    <w:basedOn w:val="ListParagraph"/>
    <w:uiPriority w:val="9"/>
    <w:rsid w:val="005A06D2"/>
    <w:pPr>
      <w:numPr>
        <w:ilvl w:val="5"/>
        <w:numId w:val="41"/>
      </w:numPr>
      <w:spacing w:before="0" w:after="120"/>
      <w:contextualSpacing w:val="0"/>
    </w:pPr>
  </w:style>
  <w:style w:type="character" w:customStyle="1" w:styleId="Subtitle2Char">
    <w:name w:val="Subtitle 2 Char"/>
    <w:basedOn w:val="BodyTextChar"/>
    <w:link w:val="Subtitle2"/>
    <w:uiPriority w:val="69"/>
    <w:rsid w:val="005A06D2"/>
    <w:rPr>
      <w:rFonts w:asciiTheme="majorHAnsi" w:hAnsiTheme="majorHAnsi"/>
      <w:color w:val="4D4D4F" w:themeColor="accent3"/>
      <w:sz w:val="28"/>
      <w:szCs w:val="28"/>
    </w:rPr>
  </w:style>
  <w:style w:type="paragraph" w:styleId="TOC4">
    <w:name w:val="toc 4"/>
    <w:basedOn w:val="Normal"/>
    <w:next w:val="Normal"/>
    <w:autoRedefine/>
    <w:uiPriority w:val="39"/>
    <w:semiHidden/>
    <w:rsid w:val="005A06D2"/>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5A06D2"/>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5A06D2"/>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5A06D2"/>
    <w:rPr>
      <w:i/>
      <w:noProof/>
      <w:sz w:val="16"/>
      <w:szCs w:val="16"/>
    </w:rPr>
  </w:style>
  <w:style w:type="character" w:customStyle="1" w:styleId="FootnoteTextChar">
    <w:name w:val="Footnote Text Char"/>
    <w:basedOn w:val="DefaultParagraphFont"/>
    <w:link w:val="FootnoteText"/>
    <w:uiPriority w:val="69"/>
    <w:rsid w:val="005A06D2"/>
    <w:rPr>
      <w:sz w:val="18"/>
      <w:szCs w:val="20"/>
    </w:rPr>
  </w:style>
  <w:style w:type="character" w:customStyle="1" w:styleId="Heading6Char">
    <w:name w:val="Heading 6 Char"/>
    <w:basedOn w:val="DefaultParagraphFont"/>
    <w:link w:val="Heading6"/>
    <w:uiPriority w:val="9"/>
    <w:rsid w:val="005A06D2"/>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5A06D2"/>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5A06D2"/>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5A06D2"/>
    <w:rPr>
      <w:sz w:val="20"/>
    </w:rPr>
  </w:style>
  <w:style w:type="paragraph" w:customStyle="1" w:styleId="CaptionFigure">
    <w:name w:val="Caption Figure"/>
    <w:basedOn w:val="Caption"/>
    <w:link w:val="CaptionFigureChar"/>
    <w:uiPriority w:val="99"/>
    <w:semiHidden/>
    <w:qFormat/>
    <w:locked/>
    <w:rsid w:val="004D778A"/>
    <w:pPr>
      <w:numPr>
        <w:numId w:val="7"/>
      </w:numPr>
    </w:pPr>
    <w:rPr>
      <w:color w:val="auto"/>
    </w:rPr>
  </w:style>
  <w:style w:type="paragraph" w:customStyle="1" w:styleId="CaptionTable">
    <w:name w:val="Caption Table"/>
    <w:basedOn w:val="Caption"/>
    <w:link w:val="CaptionTableChar"/>
    <w:uiPriority w:val="99"/>
    <w:semiHidden/>
    <w:qFormat/>
    <w:locked/>
    <w:rsid w:val="00633B61"/>
    <w:pPr>
      <w:numPr>
        <w:numId w:val="8"/>
      </w:numPr>
    </w:pPr>
    <w:rPr>
      <w:color w:val="auto"/>
    </w:rPr>
  </w:style>
  <w:style w:type="character" w:customStyle="1" w:styleId="CaptionFigureChar">
    <w:name w:val="Caption Figure Char"/>
    <w:basedOn w:val="CaptionChar"/>
    <w:link w:val="CaptionFigure"/>
    <w:uiPriority w:val="99"/>
    <w:semiHidden/>
    <w:rsid w:val="007E30F3"/>
    <w:rPr>
      <w:b/>
      <w:bCs/>
      <w:color w:val="64B3E8" w:themeColor="accent5"/>
      <w:sz w:val="20"/>
      <w:szCs w:val="20"/>
    </w:rPr>
  </w:style>
  <w:style w:type="character" w:customStyle="1" w:styleId="CaptionTableChar">
    <w:name w:val="Caption Table Char"/>
    <w:basedOn w:val="CaptionChar"/>
    <w:link w:val="CaptionTable"/>
    <w:uiPriority w:val="99"/>
    <w:semiHidden/>
    <w:rsid w:val="007E30F3"/>
    <w:rPr>
      <w:b/>
      <w:bCs/>
      <w:color w:val="64B3E8" w:themeColor="accent5"/>
      <w:sz w:val="20"/>
      <w:szCs w:val="20"/>
    </w:rPr>
  </w:style>
  <w:style w:type="character" w:styleId="FollowedHyperlink">
    <w:name w:val="FollowedHyperlink"/>
    <w:basedOn w:val="DefaultParagraphFont"/>
    <w:uiPriority w:val="69"/>
    <w:rsid w:val="005A06D2"/>
    <w:rPr>
      <w:color w:val="64B3E8" w:themeColor="accent5"/>
      <w:u w:val="single"/>
    </w:rPr>
  </w:style>
  <w:style w:type="paragraph" w:styleId="ListBullet">
    <w:name w:val="List Bullet"/>
    <w:aliases w:val="List Bullet 1 Alt+1"/>
    <w:basedOn w:val="Bullet1"/>
    <w:uiPriority w:val="9"/>
    <w:qFormat/>
    <w:rsid w:val="005A06D2"/>
    <w:pPr>
      <w:spacing w:before="0"/>
      <w:jc w:val="left"/>
    </w:pPr>
  </w:style>
  <w:style w:type="paragraph" w:styleId="ListBullet2">
    <w:name w:val="List Bullet 2"/>
    <w:aliases w:val="List Bullet 2 Alt+2"/>
    <w:basedOn w:val="Bullet2"/>
    <w:uiPriority w:val="9"/>
    <w:qFormat/>
    <w:rsid w:val="005A06D2"/>
    <w:pPr>
      <w:spacing w:before="0"/>
    </w:pPr>
  </w:style>
  <w:style w:type="paragraph" w:styleId="ListBullet3">
    <w:name w:val="List Bullet 3"/>
    <w:aliases w:val="List Bullet 3 Alt+3"/>
    <w:basedOn w:val="Bullet3"/>
    <w:uiPriority w:val="9"/>
    <w:qFormat/>
    <w:rsid w:val="005A06D2"/>
    <w:pPr>
      <w:spacing w:before="0"/>
      <w:jc w:val="left"/>
    </w:pPr>
  </w:style>
  <w:style w:type="paragraph" w:styleId="ListNumber">
    <w:name w:val="List Number"/>
    <w:basedOn w:val="Normal"/>
    <w:uiPriority w:val="99"/>
    <w:semiHidden/>
    <w:rsid w:val="005A06D2"/>
    <w:pPr>
      <w:numPr>
        <w:numId w:val="29"/>
      </w:numPr>
      <w:spacing w:after="120"/>
    </w:pPr>
    <w:rPr>
      <w:rFonts w:eastAsiaTheme="minorEastAsia" w:cstheme="minorBidi"/>
    </w:rPr>
  </w:style>
  <w:style w:type="paragraph" w:styleId="ListNumber2">
    <w:name w:val="List Number 2"/>
    <w:basedOn w:val="Normal"/>
    <w:uiPriority w:val="99"/>
    <w:semiHidden/>
    <w:rsid w:val="005A06D2"/>
    <w:pPr>
      <w:numPr>
        <w:numId w:val="30"/>
      </w:numPr>
      <w:spacing w:after="120"/>
      <w:jc w:val="left"/>
    </w:pPr>
    <w:rPr>
      <w:rFonts w:eastAsiaTheme="minorEastAsia" w:cstheme="minorBidi"/>
    </w:rPr>
  </w:style>
  <w:style w:type="paragraph" w:styleId="ListNumber3">
    <w:name w:val="List Number 3"/>
    <w:basedOn w:val="Normal"/>
    <w:uiPriority w:val="99"/>
    <w:semiHidden/>
    <w:rsid w:val="005A06D2"/>
    <w:pPr>
      <w:numPr>
        <w:numId w:val="31"/>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5A06D2"/>
    <w:pPr>
      <w:spacing w:before="0" w:after="0"/>
      <w:jc w:val="left"/>
    </w:pPr>
    <w:rPr>
      <w:color w:val="053572"/>
      <w:sz w:val="72"/>
      <w:szCs w:val="72"/>
    </w:rPr>
  </w:style>
  <w:style w:type="character" w:customStyle="1" w:styleId="TitleChar">
    <w:name w:val="Title Char"/>
    <w:basedOn w:val="DefaultParagraphFont"/>
    <w:link w:val="Title"/>
    <w:uiPriority w:val="69"/>
    <w:rsid w:val="005A06D2"/>
    <w:rPr>
      <w:color w:val="053572"/>
      <w:sz w:val="72"/>
      <w:szCs w:val="72"/>
    </w:rPr>
  </w:style>
  <w:style w:type="paragraph" w:styleId="Subtitle">
    <w:name w:val="Subtitle"/>
    <w:basedOn w:val="Normal"/>
    <w:next w:val="Normal"/>
    <w:link w:val="SubtitleChar"/>
    <w:uiPriority w:val="69"/>
    <w:rsid w:val="005A06D2"/>
    <w:pPr>
      <w:jc w:val="left"/>
    </w:pPr>
    <w:rPr>
      <w:color w:val="053572"/>
      <w:sz w:val="44"/>
      <w:szCs w:val="44"/>
    </w:rPr>
  </w:style>
  <w:style w:type="character" w:customStyle="1" w:styleId="SubtitleChar">
    <w:name w:val="Subtitle Char"/>
    <w:basedOn w:val="DefaultParagraphFont"/>
    <w:link w:val="Subtitle"/>
    <w:uiPriority w:val="69"/>
    <w:rsid w:val="005A06D2"/>
    <w:rPr>
      <w:color w:val="053572"/>
      <w:sz w:val="44"/>
      <w:szCs w:val="44"/>
    </w:rPr>
  </w:style>
  <w:style w:type="paragraph" w:styleId="NoSpacing">
    <w:name w:val="No Spacing"/>
    <w:basedOn w:val="Normal"/>
    <w:link w:val="NoSpacingChar"/>
    <w:uiPriority w:val="1"/>
    <w:qFormat/>
    <w:rsid w:val="005A06D2"/>
    <w:pPr>
      <w:spacing w:before="0" w:after="0"/>
    </w:pPr>
  </w:style>
  <w:style w:type="paragraph" w:styleId="ListBullet5">
    <w:name w:val="List Bullet 5"/>
    <w:aliases w:val="List Bullet 5 Alt+5"/>
    <w:basedOn w:val="ListBullet"/>
    <w:uiPriority w:val="9"/>
    <w:rsid w:val="00C02C57"/>
    <w:pPr>
      <w:numPr>
        <w:numId w:val="28"/>
      </w:numPr>
      <w:ind w:left="2160"/>
    </w:pPr>
  </w:style>
  <w:style w:type="character" w:customStyle="1" w:styleId="ContactPgInformationChar">
    <w:name w:val="Contact Pg Information Char"/>
    <w:basedOn w:val="Subtitle2Char"/>
    <w:link w:val="ContactPgInformation"/>
    <w:uiPriority w:val="10"/>
    <w:rsid w:val="005A06D2"/>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5A06D2"/>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5A06D2"/>
    <w:pPr>
      <w:jc w:val="center"/>
    </w:pPr>
  </w:style>
  <w:style w:type="paragraph" w:customStyle="1" w:styleId="PullQuoteStyle">
    <w:name w:val="Pull Quote Style"/>
    <w:basedOn w:val="Normal"/>
    <w:next w:val="Normal"/>
    <w:uiPriority w:val="5"/>
    <w:rsid w:val="005A06D2"/>
    <w:rPr>
      <w:color w:val="1295D8" w:themeColor="accent2"/>
      <w:sz w:val="24"/>
    </w:rPr>
  </w:style>
  <w:style w:type="table" w:customStyle="1" w:styleId="ODExcelPlaceholder">
    <w:name w:val="_OD Excel Placeholder"/>
    <w:basedOn w:val="TableNormal"/>
    <w:uiPriority w:val="99"/>
    <w:rsid w:val="005A06D2"/>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5A06D2"/>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5A06D2"/>
    <w:pPr>
      <w:jc w:val="center"/>
    </w:pPr>
    <w:rPr>
      <w:noProof/>
    </w:rPr>
  </w:style>
  <w:style w:type="character" w:customStyle="1" w:styleId="Highlight">
    <w:name w:val="Highlight"/>
    <w:basedOn w:val="DefaultParagraphFont"/>
    <w:uiPriority w:val="2"/>
    <w:rsid w:val="005A06D2"/>
    <w:rPr>
      <w:shd w:val="clear" w:color="auto" w:fill="FFFF00"/>
    </w:rPr>
  </w:style>
  <w:style w:type="paragraph" w:customStyle="1" w:styleId="StaffName">
    <w:name w:val="Staff Name"/>
    <w:basedOn w:val="Normal"/>
    <w:link w:val="StaffNameChar"/>
    <w:uiPriority w:val="10"/>
    <w:qFormat/>
    <w:rsid w:val="0099141E"/>
    <w:pPr>
      <w:jc w:val="left"/>
      <w:outlineLvl w:val="1"/>
    </w:pPr>
    <w:rPr>
      <w:rFonts w:asciiTheme="majorHAnsi" w:hAnsiTheme="majorHAnsi"/>
      <w:noProof/>
      <w:color w:val="696969"/>
      <w:sz w:val="28"/>
      <w:szCs w:val="28"/>
    </w:rPr>
  </w:style>
  <w:style w:type="paragraph" w:customStyle="1" w:styleId="HighlightClear">
    <w:name w:val="Highlight Clear"/>
    <w:basedOn w:val="Normal"/>
    <w:link w:val="HighlightClearChar"/>
    <w:uiPriority w:val="2"/>
    <w:qFormat/>
    <w:rsid w:val="005A06D2"/>
  </w:style>
  <w:style w:type="character" w:customStyle="1" w:styleId="HighlightClearChar">
    <w:name w:val="Highlight Clear Char"/>
    <w:basedOn w:val="DefaultParagraphFont"/>
    <w:link w:val="HighlightClear"/>
    <w:uiPriority w:val="2"/>
    <w:rsid w:val="005A06D2"/>
  </w:style>
  <w:style w:type="paragraph" w:customStyle="1" w:styleId="CalloutPicturePlaceholder">
    <w:name w:val="Callout Picture Placeholder"/>
    <w:basedOn w:val="Normal"/>
    <w:uiPriority w:val="10"/>
    <w:qFormat/>
    <w:rsid w:val="0099141E"/>
    <w:pPr>
      <w:pBdr>
        <w:left w:val="single" w:sz="4" w:space="4" w:color="666666" w:themeColor="text1" w:themeTint="99"/>
      </w:pBdr>
      <w:spacing w:before="0"/>
    </w:pPr>
    <w:rPr>
      <w:sz w:val="20"/>
    </w:rPr>
  </w:style>
  <w:style w:type="character" w:customStyle="1" w:styleId="StaffNameChar">
    <w:name w:val="Staff Name Char"/>
    <w:basedOn w:val="DefaultParagraphFont"/>
    <w:link w:val="StaffName"/>
    <w:uiPriority w:val="10"/>
    <w:rsid w:val="00B13251"/>
    <w:rPr>
      <w:rFonts w:asciiTheme="majorHAnsi" w:hAnsiTheme="majorHAnsi"/>
      <w:noProof/>
      <w:color w:val="696969"/>
      <w:sz w:val="28"/>
      <w:szCs w:val="28"/>
    </w:rPr>
  </w:style>
  <w:style w:type="paragraph" w:customStyle="1" w:styleId="CalloutTitle">
    <w:name w:val="Callout Title"/>
    <w:basedOn w:val="Heading5"/>
    <w:link w:val="CalloutTitleChar"/>
    <w:uiPriority w:val="10"/>
    <w:qFormat/>
    <w:rsid w:val="00B13251"/>
    <w:pPr>
      <w:jc w:val="left"/>
    </w:pPr>
    <w:rPr>
      <w:sz w:val="20"/>
      <w:szCs w:val="20"/>
    </w:rPr>
  </w:style>
  <w:style w:type="character" w:customStyle="1" w:styleId="CalloutTitleChar">
    <w:name w:val="Callout Title Char"/>
    <w:basedOn w:val="Heading5Char"/>
    <w:link w:val="CalloutTitle"/>
    <w:uiPriority w:val="10"/>
    <w:rsid w:val="00B13251"/>
    <w:rPr>
      <w:rFonts w:asciiTheme="majorHAnsi" w:hAnsiTheme="majorHAnsi" w:cs="Arial"/>
      <w:bCs/>
      <w:iCs/>
      <w:color w:val="1295D8" w:themeColor="accent2"/>
      <w:sz w:val="20"/>
      <w:szCs w:val="20"/>
    </w:rPr>
  </w:style>
  <w:style w:type="paragraph" w:customStyle="1" w:styleId="MemoTableText">
    <w:name w:val="Memo Table Text"/>
    <w:basedOn w:val="TableLeftText"/>
    <w:uiPriority w:val="5"/>
    <w:qFormat/>
    <w:rsid w:val="00991A98"/>
    <w:pPr>
      <w:spacing w:after="80"/>
    </w:pPr>
    <w:rPr>
      <w:color w:val="4D4D4F" w:themeColor="accent3"/>
      <w:sz w:val="22"/>
    </w:rPr>
  </w:style>
  <w:style w:type="paragraph" w:customStyle="1" w:styleId="MemoSpacer">
    <w:name w:val="Memo Spacer"/>
    <w:basedOn w:val="Footer"/>
    <w:uiPriority w:val="99"/>
    <w:rsid w:val="00475A6F"/>
  </w:style>
  <w:style w:type="paragraph" w:customStyle="1" w:styleId="MemorandumHeading">
    <w:name w:val="Memorandum Heading"/>
    <w:basedOn w:val="Normal"/>
    <w:link w:val="MemorandumHeadingChar"/>
    <w:uiPriority w:val="9"/>
    <w:qFormat/>
    <w:rsid w:val="00EB1B96"/>
    <w:pPr>
      <w:spacing w:before="1000" w:after="400"/>
    </w:pPr>
    <w:rPr>
      <w:b/>
      <w:color w:val="053572"/>
      <w:sz w:val="44"/>
      <w:szCs w:val="44"/>
    </w:rPr>
  </w:style>
  <w:style w:type="character" w:customStyle="1" w:styleId="MemorandumHeadingChar">
    <w:name w:val="Memorandum Heading Char"/>
    <w:basedOn w:val="DefaultParagraphFont"/>
    <w:link w:val="MemorandumHeading"/>
    <w:uiPriority w:val="9"/>
    <w:rsid w:val="00EB1B96"/>
    <w:rPr>
      <w:b/>
      <w:color w:val="053572"/>
      <w:sz w:val="44"/>
      <w:szCs w:val="44"/>
    </w:rPr>
  </w:style>
  <w:style w:type="paragraph" w:customStyle="1" w:styleId="Appendix2">
    <w:name w:val="Appendix 2"/>
    <w:basedOn w:val="Heading2"/>
    <w:uiPriority w:val="9"/>
    <w:qFormat/>
    <w:rsid w:val="005A06D2"/>
    <w:pPr>
      <w:numPr>
        <w:ilvl w:val="0"/>
        <w:numId w:val="0"/>
      </w:numPr>
    </w:pPr>
  </w:style>
  <w:style w:type="paragraph" w:customStyle="1" w:styleId="Appendix3">
    <w:name w:val="Appendix 3"/>
    <w:basedOn w:val="Heading3"/>
    <w:uiPriority w:val="9"/>
    <w:qFormat/>
    <w:rsid w:val="005A06D2"/>
    <w:pPr>
      <w:numPr>
        <w:ilvl w:val="0"/>
        <w:numId w:val="0"/>
      </w:numPr>
    </w:pPr>
  </w:style>
  <w:style w:type="paragraph" w:customStyle="1" w:styleId="FootnoteTextCenter">
    <w:name w:val="Footnote Text Center"/>
    <w:basedOn w:val="FootnoteText"/>
    <w:uiPriority w:val="69"/>
    <w:qFormat/>
    <w:rsid w:val="005A06D2"/>
    <w:pPr>
      <w:jc w:val="center"/>
    </w:pPr>
  </w:style>
  <w:style w:type="character" w:customStyle="1" w:styleId="HeadingsFranklinGothicMedium14ptAccent3">
    <w:name w:val="Headings (Franklin Gothic Medium) 14 pt Accent 3"/>
    <w:basedOn w:val="DefaultParagraphFont"/>
    <w:uiPriority w:val="10"/>
    <w:rsid w:val="005A06D2"/>
    <w:rPr>
      <w:rFonts w:asciiTheme="majorHAnsi" w:hAnsiTheme="majorHAnsi"/>
      <w:color w:val="4D4D4F" w:themeColor="accent3"/>
      <w:sz w:val="28"/>
    </w:rPr>
  </w:style>
  <w:style w:type="paragraph" w:customStyle="1" w:styleId="ResumeCalloutPicturePlaceholder">
    <w:name w:val="Resume Callout Picture Placeholder"/>
    <w:basedOn w:val="Normal"/>
    <w:uiPriority w:val="10"/>
    <w:qFormat/>
    <w:rsid w:val="005A06D2"/>
    <w:pPr>
      <w:pBdr>
        <w:left w:val="single" w:sz="4" w:space="4" w:color="666666" w:themeColor="text1" w:themeTint="99"/>
      </w:pBdr>
      <w:spacing w:before="0"/>
    </w:pPr>
    <w:rPr>
      <w:sz w:val="20"/>
    </w:rPr>
  </w:style>
  <w:style w:type="paragraph" w:customStyle="1" w:styleId="ResumeCalloutText">
    <w:name w:val="Resume Callout Text"/>
    <w:basedOn w:val="BodyText"/>
    <w:link w:val="ResumeCalloutTextChar"/>
    <w:uiPriority w:val="10"/>
    <w:qFormat/>
    <w:rsid w:val="005A06D2"/>
    <w:pPr>
      <w:pBdr>
        <w:left w:val="single" w:sz="4" w:space="4" w:color="666666" w:themeColor="text1" w:themeTint="99"/>
      </w:pBdr>
      <w:jc w:val="left"/>
    </w:pPr>
    <w:rPr>
      <w:sz w:val="20"/>
    </w:rPr>
  </w:style>
  <w:style w:type="character" w:customStyle="1" w:styleId="ResumeCalloutTextChar">
    <w:name w:val="Resume Callout Text Char"/>
    <w:basedOn w:val="BodyTextChar"/>
    <w:link w:val="ResumeCalloutText"/>
    <w:uiPriority w:val="10"/>
    <w:rsid w:val="005A06D2"/>
    <w:rPr>
      <w:sz w:val="20"/>
    </w:rPr>
  </w:style>
  <w:style w:type="paragraph" w:customStyle="1" w:styleId="ResumeCalloutTitle">
    <w:name w:val="Resume Callout Title"/>
    <w:basedOn w:val="Heading5"/>
    <w:link w:val="ResumeCalloutTitleChar"/>
    <w:uiPriority w:val="10"/>
    <w:qFormat/>
    <w:rsid w:val="005A06D2"/>
    <w:pPr>
      <w:jc w:val="left"/>
    </w:pPr>
    <w:rPr>
      <w:sz w:val="20"/>
      <w:szCs w:val="20"/>
    </w:rPr>
  </w:style>
  <w:style w:type="character" w:customStyle="1" w:styleId="ResumeCalloutTitleChar">
    <w:name w:val="Resume Callout Title Char"/>
    <w:basedOn w:val="Heading5Char"/>
    <w:link w:val="ResumeCalloutTitle"/>
    <w:uiPriority w:val="10"/>
    <w:rsid w:val="005A06D2"/>
    <w:rPr>
      <w:rFonts w:asciiTheme="majorHAnsi" w:hAnsiTheme="majorHAnsi" w:cs="Arial"/>
      <w:bCs/>
      <w:iCs/>
      <w:color w:val="1295D8" w:themeColor="accent2"/>
      <w:sz w:val="20"/>
      <w:szCs w:val="20"/>
    </w:rPr>
  </w:style>
  <w:style w:type="paragraph" w:customStyle="1" w:styleId="ResumeStaffName">
    <w:name w:val="Resume Staff Name"/>
    <w:basedOn w:val="Normal"/>
    <w:link w:val="ResumeStaffNameChar"/>
    <w:uiPriority w:val="10"/>
    <w:qFormat/>
    <w:rsid w:val="005A06D2"/>
    <w:pPr>
      <w:jc w:val="left"/>
      <w:outlineLvl w:val="1"/>
    </w:pPr>
    <w:rPr>
      <w:rFonts w:asciiTheme="majorHAnsi" w:hAnsiTheme="majorHAnsi"/>
      <w:noProof/>
      <w:color w:val="696969"/>
      <w:sz w:val="28"/>
      <w:szCs w:val="28"/>
    </w:rPr>
  </w:style>
  <w:style w:type="character" w:customStyle="1" w:styleId="ResumeStaffNameChar">
    <w:name w:val="Resume Staff Name Char"/>
    <w:basedOn w:val="DefaultParagraphFont"/>
    <w:link w:val="ResumeStaffName"/>
    <w:uiPriority w:val="10"/>
    <w:rsid w:val="005A06D2"/>
    <w:rPr>
      <w:rFonts w:asciiTheme="majorHAnsi" w:hAnsiTheme="majorHAnsi"/>
      <w:noProof/>
      <w:color w:val="696969"/>
      <w:sz w:val="28"/>
      <w:szCs w:val="28"/>
    </w:rPr>
  </w:style>
  <w:style w:type="paragraph" w:customStyle="1" w:styleId="ResumeSpacer">
    <w:name w:val="Resume Spacer"/>
    <w:basedOn w:val="ResumeStaffName"/>
    <w:uiPriority w:val="10"/>
    <w:semiHidden/>
    <w:rsid w:val="005A06D2"/>
    <w:pPr>
      <w:spacing w:before="0" w:after="0"/>
    </w:pPr>
    <w:rPr>
      <w:rFonts w:asciiTheme="minorHAnsi" w:hAnsiTheme="minorHAnsi"/>
      <w:color w:val="FFFFFF" w:themeColor="background1"/>
      <w:sz w:val="2"/>
      <w:szCs w:val="20"/>
    </w:rPr>
  </w:style>
  <w:style w:type="paragraph" w:customStyle="1" w:styleId="Resumespaceranchorforrightcolumn">
    <w:name w:val="Resume spacer (anchor for right column)"/>
    <w:basedOn w:val="ResumeStaffName"/>
    <w:uiPriority w:val="69"/>
    <w:rsid w:val="005A06D2"/>
    <w:pPr>
      <w:spacing w:before="0" w:after="0"/>
    </w:pPr>
    <w:rPr>
      <w:rFonts w:asciiTheme="minorHAnsi" w:hAnsiTheme="minorHAnsi"/>
      <w:sz w:val="2"/>
      <w:szCs w:val="20"/>
    </w:rPr>
  </w:style>
  <w:style w:type="character" w:customStyle="1" w:styleId="Subscript">
    <w:name w:val="Subscript"/>
    <w:basedOn w:val="DefaultParagraphFont"/>
    <w:uiPriority w:val="1"/>
    <w:qFormat/>
    <w:rsid w:val="005A06D2"/>
    <w:rPr>
      <w:noProof/>
      <w:vertAlign w:val="subscript"/>
    </w:rPr>
  </w:style>
  <w:style w:type="character" w:customStyle="1" w:styleId="Superscript">
    <w:name w:val="Superscript"/>
    <w:basedOn w:val="DefaultParagraphFont"/>
    <w:uiPriority w:val="1"/>
    <w:qFormat/>
    <w:rsid w:val="005A06D2"/>
    <w:rPr>
      <w:noProof/>
      <w:vertAlign w:val="superscript"/>
    </w:rPr>
  </w:style>
  <w:style w:type="paragraph" w:customStyle="1" w:styleId="TableBulletAltB">
    <w:name w:val="Table Bullet Alt+B"/>
    <w:basedOn w:val="ListBullet"/>
    <w:uiPriority w:val="6"/>
    <w:qFormat/>
    <w:rsid w:val="005A06D2"/>
    <w:pPr>
      <w:numPr>
        <w:numId w:val="40"/>
      </w:numPr>
      <w:spacing w:after="0"/>
    </w:pPr>
    <w:rPr>
      <w:sz w:val="20"/>
      <w:szCs w:val="20"/>
    </w:rPr>
  </w:style>
  <w:style w:type="paragraph" w:customStyle="1" w:styleId="TableWhiteTextBook">
    <w:name w:val="Table White Text (Book)"/>
    <w:basedOn w:val="TableLeftText"/>
    <w:uiPriority w:val="6"/>
    <w:rsid w:val="005A06D2"/>
    <w:rPr>
      <w:color w:val="FFFFFF" w:themeColor="background2"/>
      <w:szCs w:val="20"/>
    </w:rPr>
  </w:style>
  <w:style w:type="character" w:customStyle="1" w:styleId="ListParagraphChar">
    <w:name w:val="List Paragraph Char"/>
    <w:aliases w:val="TT - List Paragraph Char"/>
    <w:basedOn w:val="DefaultParagraphFont"/>
    <w:link w:val="ListParagraph"/>
    <w:uiPriority w:val="34"/>
    <w:locked/>
    <w:rsid w:val="007D25CD"/>
  </w:style>
  <w:style w:type="paragraph" w:customStyle="1" w:styleId="FooterAddress">
    <w:name w:val="Footer Address"/>
    <w:basedOn w:val="Normal"/>
    <w:autoRedefine/>
    <w:qFormat/>
    <w:rsid w:val="00B4241B"/>
    <w:pPr>
      <w:spacing w:before="0" w:after="0"/>
      <w:jc w:val="left"/>
    </w:pPr>
    <w:rPr>
      <w:rFonts w:ascii="Arial" w:hAnsi="Arial" w:cs="Ari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6FDB124B8B4272844AAA1FE978D961"/>
        <w:category>
          <w:name w:val="General"/>
          <w:gallery w:val="placeholder"/>
        </w:category>
        <w:types>
          <w:type w:val="bbPlcHdr"/>
        </w:types>
        <w:behaviors>
          <w:behavior w:val="content"/>
        </w:behaviors>
        <w:guid w:val="{B2857A76-FEE0-48EC-8D2A-F1F3EF978FEE}"/>
      </w:docPartPr>
      <w:docPartBody>
        <w:p w:rsidR="00F41D8B" w:rsidRDefault="00F41D8B">
          <w:pPr>
            <w:pStyle w:val="066FDB124B8B4272844AAA1FE978D961"/>
          </w:pPr>
          <w:r w:rsidRPr="00BB2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8B"/>
    <w:rsid w:val="000763C5"/>
    <w:rsid w:val="00D56A6D"/>
    <w:rsid w:val="00F4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0C3810C2FA4FC694E2F6FCB89371DE">
    <w:name w:val="F80C3810C2FA4FC694E2F6FCB89371DE"/>
  </w:style>
  <w:style w:type="paragraph" w:customStyle="1" w:styleId="066FDB124B8B4272844AAA1FE978D961">
    <w:name w:val="066FDB124B8B4272844AAA1FE978D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204E221B7574DBC5C6EBEF37C5D69" ma:contentTypeVersion="12" ma:contentTypeDescription="Create a new document." ma:contentTypeScope="" ma:versionID="e60a80025b377b65ed09f54527557866">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96f833be7aeb2ca94a5b1ba76f8ff8dc"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B9677-06D5-442B-9622-D6C290C0DBC3}">
  <ds:schemaRefs>
    <ds:schemaRef ds:uri="http://schemas.openxmlformats.org/officeDocument/2006/bibliography"/>
  </ds:schemaRefs>
</ds:datastoreItem>
</file>

<file path=customXml/itemProps2.xml><?xml version="1.0" encoding="utf-8"?>
<ds:datastoreItem xmlns:ds="http://schemas.openxmlformats.org/officeDocument/2006/customXml" ds:itemID="{F858C841-C679-454C-82C0-747CC1E5319C}">
  <ds:schemaRefs>
    <ds:schemaRef ds:uri="http://schemas.microsoft.com/sharepoint/v3/contenttype/forms"/>
  </ds:schemaRefs>
</ds:datastoreItem>
</file>

<file path=customXml/itemProps3.xml><?xml version="1.0" encoding="utf-8"?>
<ds:datastoreItem xmlns:ds="http://schemas.openxmlformats.org/officeDocument/2006/customXml" ds:itemID="{56EC312D-523C-4E00-89EE-A2107B77825B}">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2df87513-3824-4bb2-bbae-bcd357402171"/>
    <ds:schemaRef ds:uri="http://schemas.microsoft.com/office/2006/documentManagement/types"/>
    <ds:schemaRef ds:uri="http://schemas.microsoft.com/office/infopath/2007/PartnerControls"/>
    <ds:schemaRef ds:uri="08c60c24-f1d8-428f-b4c4-e133e409ebc5"/>
    <ds:schemaRef ds:uri="http://purl.org/dc/terms/"/>
  </ds:schemaRefs>
</ds:datastoreItem>
</file>

<file path=customXml/itemProps4.xml><?xml version="1.0" encoding="utf-8"?>
<ds:datastoreItem xmlns:ds="http://schemas.openxmlformats.org/officeDocument/2006/customXml" ds:itemID="{7BCE6216-6BA4-49DB-80E0-03E1C032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2479</Words>
  <Characters>13076</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15524</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v2017.0521</dc:title>
  <dc:subject>Template</dc:subject>
  <dc:creator>Zachary Ross</dc:creator>
  <cp:keywords>template, report</cp:keywords>
  <dc:description/>
  <cp:lastModifiedBy>Celia Johnson</cp:lastModifiedBy>
  <cp:revision>2</cp:revision>
  <cp:lastPrinted>2017-05-21T21:30:00Z</cp:lastPrinted>
  <dcterms:created xsi:type="dcterms:W3CDTF">2020-08-19T15:13:00Z</dcterms:created>
  <dcterms:modified xsi:type="dcterms:W3CDTF">2020-08-19T15:13:00Z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0x010100011204E221B7574DBC5C6EBEF37C5D69</vt:lpwstr>
  </property>
</Properties>
</file>