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6F4ADD6" w14:textId="77777777" w:rsidR="00C170F5" w:rsidRDefault="009930F7" w:rsidP="00C170F5">
      <w:pPr>
        <w:pStyle w:val="TitlePgLogo"/>
        <w:rPr>
          <w:color w:val="053572"/>
        </w:rPr>
      </w:pPr>
      <w:r>
        <w:rPr>
          <w:color w:val="053572"/>
        </w:rPr>
        <mc:AlternateContent>
          <mc:Choice Requires="wps">
            <w:drawing>
              <wp:anchor distT="0" distB="0" distL="114300" distR="114300" simplePos="0" relativeHeight="251667456" behindDoc="0" locked="0" layoutInCell="1" allowOverlap="1" wp14:anchorId="31AF4E88" wp14:editId="2D649585">
                <wp:simplePos x="0" y="0"/>
                <wp:positionH relativeFrom="margin">
                  <wp:align>left</wp:align>
                </wp:positionH>
                <wp:positionV relativeFrom="paragraph">
                  <wp:posOffset>4930775</wp:posOffset>
                </wp:positionV>
                <wp:extent cx="6309995" cy="24237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2423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B4076" w14:textId="77777777" w:rsidR="00707B4B" w:rsidRDefault="00707B4B" w:rsidP="0028070E">
                            <w:pPr>
                              <w:pStyle w:val="ODCDocumentTitle"/>
                              <w:jc w:val="left"/>
                            </w:pPr>
                            <w:r>
                              <w:t xml:space="preserve">Ameren Illinois Company </w:t>
                            </w:r>
                          </w:p>
                          <w:p w14:paraId="630B53D8" w14:textId="77777777" w:rsidR="00707B4B" w:rsidRDefault="00707B4B" w:rsidP="0028070E">
                            <w:pPr>
                              <w:pStyle w:val="ODCDocumentTitle"/>
                              <w:jc w:val="left"/>
                            </w:pPr>
                            <w:r>
                              <w:t>Multi-Year Evaluation Plan</w:t>
                            </w:r>
                          </w:p>
                          <w:p w14:paraId="5EB9FAA5" w14:textId="3F5C1338" w:rsidR="00707B4B" w:rsidRPr="00010892" w:rsidRDefault="00707B4B" w:rsidP="0028070E">
                            <w:pPr>
                              <w:pStyle w:val="ODCDocumentTitle"/>
                              <w:jc w:val="left"/>
                            </w:pPr>
                            <w:r>
                              <w:rPr>
                                <w:sz w:val="42"/>
                                <w:szCs w:val="42"/>
                              </w:rPr>
                              <w:t>2018-2021 Plan Period</w:t>
                            </w:r>
                          </w:p>
                          <w:p w14:paraId="40E11F52" w14:textId="77777777" w:rsidR="00707B4B" w:rsidRPr="00946409" w:rsidRDefault="00707B4B" w:rsidP="001C674D">
                            <w:pPr>
                              <w:pStyle w:val="EmployeeName"/>
                            </w:pPr>
                          </w:p>
                          <w:p w14:paraId="177B6522" w14:textId="67224DCF" w:rsidR="00707B4B" w:rsidRPr="00946409" w:rsidRDefault="00707B4B" w:rsidP="001C674D">
                            <w:pPr>
                              <w:pStyle w:val="EmployeeName"/>
                            </w:pPr>
                            <w:r>
                              <w:t>Revised Draft – 2020-2021 Update</w:t>
                            </w:r>
                          </w:p>
                          <w:p w14:paraId="1480C0C4" w14:textId="77777777" w:rsidR="00707B4B" w:rsidRPr="00946409" w:rsidRDefault="00707B4B" w:rsidP="001C674D">
                            <w:pPr>
                              <w:pStyle w:val="EmployeeName"/>
                            </w:pPr>
                          </w:p>
                          <w:p w14:paraId="2A6FEBB5" w14:textId="6DE9E73B" w:rsidR="00707B4B" w:rsidRPr="00946409" w:rsidRDefault="00707B4B" w:rsidP="001C674D">
                            <w:pPr>
                              <w:pStyle w:val="EmployeeName"/>
                            </w:pPr>
                            <w:r>
                              <w:t>December 15,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1AF4E88" id="_x0000_t202" coordsize="21600,21600" o:spt="202" path="m,l,21600r21600,l21600,xe">
                <v:stroke joinstyle="miter"/>
                <v:path gradientshapeok="t" o:connecttype="rect"/>
              </v:shapetype>
              <v:shape id="Text Box 9" o:spid="_x0000_s1026" type="#_x0000_t202" style="position:absolute;left:0;text-align:left;margin-left:0;margin-top:388.25pt;width:496.85pt;height:190.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" stroked="f">
                <v:textbox>
                  <w:txbxContent>
                    <w:p w14:paraId="224B4076" w14:textId="77777777" w:rsidR="00707B4B" w:rsidRDefault="00707B4B" w:rsidP="0028070E">
                      <w:pPr>
                        <w:pStyle w:val="ODCDocumentTitle"/>
                        <w:jc w:val="left"/>
                      </w:pPr>
                      <w:r>
                        <w:t xml:space="preserve">Ameren Illinois Company </w:t>
                      </w:r>
                    </w:p>
                    <w:p w14:paraId="630B53D8" w14:textId="77777777" w:rsidR="00707B4B" w:rsidRDefault="00707B4B" w:rsidP="0028070E">
                      <w:pPr>
                        <w:pStyle w:val="ODCDocumentTitle"/>
                        <w:jc w:val="left"/>
                      </w:pPr>
                      <w:r>
                        <w:t>Multi-Year Evaluation Plan</w:t>
                      </w:r>
                    </w:p>
                    <w:p w14:paraId="5EB9FAA5" w14:textId="3F5C1338" w:rsidR="00707B4B" w:rsidRPr="00010892" w:rsidRDefault="00707B4B" w:rsidP="0028070E">
                      <w:pPr>
                        <w:pStyle w:val="ODCDocumentTitle"/>
                        <w:jc w:val="left"/>
                      </w:pPr>
                      <w:r>
                        <w:rPr>
                          <w:sz w:val="42"/>
                          <w:szCs w:val="42"/>
                        </w:rPr>
                        <w:t>2018-2021 Plan Period</w:t>
                      </w:r>
                    </w:p>
                    <w:p w14:paraId="40E11F52" w14:textId="77777777" w:rsidR="00707B4B" w:rsidRPr="00946409" w:rsidRDefault="00707B4B" w:rsidP="001C674D">
                      <w:pPr>
                        <w:pStyle w:val="EmployeeName"/>
                      </w:pPr>
                    </w:p>
                    <w:p w14:paraId="177B6522" w14:textId="67224DCF" w:rsidR="00707B4B" w:rsidRPr="00946409" w:rsidRDefault="00707B4B" w:rsidP="001C674D">
                      <w:pPr>
                        <w:pStyle w:val="EmployeeName"/>
                      </w:pPr>
                      <w:r>
                        <w:t>Revised Draft – 2020-2021 Update</w:t>
                      </w:r>
                    </w:p>
                    <w:p w14:paraId="1480C0C4" w14:textId="77777777" w:rsidR="00707B4B" w:rsidRPr="00946409" w:rsidRDefault="00707B4B" w:rsidP="001C674D">
                      <w:pPr>
                        <w:pStyle w:val="EmployeeName"/>
                      </w:pPr>
                    </w:p>
                    <w:p w14:paraId="2A6FEBB5" w14:textId="6DE9E73B" w:rsidR="00707B4B" w:rsidRPr="00946409" w:rsidRDefault="00707B4B" w:rsidP="001C674D">
                      <w:pPr>
                        <w:pStyle w:val="EmployeeName"/>
                      </w:pPr>
                      <w:r>
                        <w:t>December 15, 2019</w:t>
                      </w:r>
                    </w:p>
                  </w:txbxContent>
                </v:textbox>
                <w10:wrap anchorx="margin"/>
              </v:shape>
            </w:pict>
          </mc:Fallback>
        </mc:AlternateContent>
      </w:r>
      <w:r w:rsidR="00BF6CD1">
        <w:rPr>
          <w:color w:val="053572"/>
        </w:rPr>
        <w:drawing>
          <wp:inline distT="0" distB="0" distL="0" distR="0" wp14:anchorId="06C8C831" wp14:editId="5FB4AE1B">
            <wp:extent cx="6400800" cy="4800600"/>
            <wp:effectExtent l="0" t="0" r="0" b="0"/>
            <wp:docPr id="2" name="Picture 2" descr="H:\Marketing\Branding\Illustrations\ODC_Evaluation_PP_10x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rketing\Branding\Illustrations\ODC_Evaluation_PP_10x7.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0" cy="4800600"/>
                    </a:xfrm>
                    <a:prstGeom prst="rect">
                      <a:avLst/>
                    </a:prstGeom>
                    <a:noFill/>
                    <a:ln>
                      <a:noFill/>
                    </a:ln>
                  </pic:spPr>
                </pic:pic>
              </a:graphicData>
            </a:graphic>
          </wp:inline>
        </w:drawing>
      </w:r>
    </w:p>
    <w:p w14:paraId="23BDCFD3" w14:textId="77777777" w:rsidR="00F60FF8" w:rsidRDefault="00F60FF8" w:rsidP="00C170F5">
      <w:pPr>
        <w:pStyle w:val="TitlePgLogo"/>
        <w:rPr>
          <w:color w:val="053572"/>
        </w:rPr>
        <w:sectPr w:rsidR="00F60FF8" w:rsidSect="0046504D">
          <w:headerReference w:type="default" r:id="rId12"/>
          <w:footerReference w:type="default" r:id="rId13"/>
          <w:headerReference w:type="first" r:id="rId14"/>
          <w:footerReference w:type="first" r:id="rId15"/>
          <w:pgSz w:w="12240" w:h="15840" w:code="1"/>
          <w:pgMar w:top="1800" w:right="1080" w:bottom="1656" w:left="1080" w:header="432" w:footer="720" w:gutter="0"/>
          <w:pgNumType w:start="0"/>
          <w:cols w:space="720"/>
          <w:docGrid w:linePitch="360"/>
        </w:sectPr>
      </w:pPr>
    </w:p>
    <w:p w14:paraId="43DA867A" w14:textId="77777777" w:rsidR="005A1A2F" w:rsidRPr="00EC7E83" w:rsidRDefault="005A1A2F" w:rsidP="00C170F5">
      <w:pPr>
        <w:pStyle w:val="TitlePgLogo"/>
        <w:rPr>
          <w:color w:val="053572"/>
        </w:rPr>
      </w:pPr>
    </w:p>
    <w:p w14:paraId="3165D255" w14:textId="77777777" w:rsidR="005A1A2F" w:rsidRPr="00EC7E83" w:rsidRDefault="005A1A2F" w:rsidP="00B62A03">
      <w:pPr>
        <w:pStyle w:val="TitlePgLogo"/>
        <w:jc w:val="left"/>
        <w:rPr>
          <w:color w:val="053572"/>
        </w:rPr>
      </w:pPr>
    </w:p>
    <w:p w14:paraId="2A42E2D1" w14:textId="77777777" w:rsidR="005A1A2F" w:rsidRPr="00EC7E83" w:rsidRDefault="005A1A2F" w:rsidP="00B62A03">
      <w:pPr>
        <w:pStyle w:val="TitlePgLogo"/>
        <w:jc w:val="left"/>
        <w:rPr>
          <w:color w:val="053572"/>
        </w:rPr>
      </w:pPr>
    </w:p>
    <w:p w14:paraId="630440E5" w14:textId="77777777" w:rsidR="00E90110" w:rsidRDefault="00E90110" w:rsidP="00B62A03">
      <w:pPr>
        <w:pStyle w:val="TitlePgLogo"/>
        <w:jc w:val="left"/>
        <w:rPr>
          <w:color w:val="053572"/>
        </w:rPr>
      </w:pPr>
    </w:p>
    <w:p w14:paraId="353A6A48" w14:textId="77777777" w:rsidR="00E90110" w:rsidRDefault="00E90110" w:rsidP="00B62A03">
      <w:pPr>
        <w:pStyle w:val="TitlePgLogo"/>
        <w:jc w:val="left"/>
        <w:rPr>
          <w:color w:val="053572"/>
        </w:rPr>
      </w:pPr>
    </w:p>
    <w:p w14:paraId="1D0C24E0" w14:textId="77777777" w:rsidR="00E90110" w:rsidRDefault="00E90110" w:rsidP="00B62A03">
      <w:pPr>
        <w:pStyle w:val="TitlePgLogo"/>
        <w:jc w:val="left"/>
        <w:rPr>
          <w:color w:val="053572"/>
        </w:rPr>
      </w:pPr>
    </w:p>
    <w:p w14:paraId="75EF5B3F" w14:textId="77777777" w:rsidR="00014656" w:rsidRDefault="00014656" w:rsidP="00B62A03">
      <w:pPr>
        <w:pStyle w:val="TitlePgLogo"/>
        <w:jc w:val="left"/>
        <w:rPr>
          <w:color w:val="053572"/>
        </w:rPr>
      </w:pPr>
    </w:p>
    <w:p w14:paraId="3241492C" w14:textId="77777777" w:rsidR="004D4025" w:rsidRDefault="004D4025" w:rsidP="004D4025">
      <w:pPr>
        <w:pStyle w:val="BodyText"/>
        <w:sectPr w:rsidR="004D4025" w:rsidSect="0046504D">
          <w:headerReference w:type="default" r:id="rId16"/>
          <w:footerReference w:type="default" r:id="rId17"/>
          <w:type w:val="continuous"/>
          <w:pgSz w:w="12240" w:h="15840" w:code="1"/>
          <w:pgMar w:top="1800" w:right="1080" w:bottom="1656" w:left="1080" w:header="720" w:footer="720" w:gutter="0"/>
          <w:pgNumType w:start="0"/>
          <w:cols w:space="720"/>
          <w:docGrid w:linePitch="360"/>
        </w:sectPr>
      </w:pPr>
    </w:p>
    <w:p w14:paraId="0DA0E73E" w14:textId="77777777" w:rsidR="004D4025" w:rsidRPr="004D4025" w:rsidRDefault="004D4025" w:rsidP="004D4025">
      <w:pPr>
        <w:pStyle w:val="BodyText"/>
      </w:pPr>
    </w:p>
    <w:p w14:paraId="70D3E939" w14:textId="77777777" w:rsidR="00922E89" w:rsidRDefault="00A23BAF" w:rsidP="00754B88">
      <w:pPr>
        <w:pStyle w:val="TableofContentsStyle1"/>
      </w:pPr>
      <w:r>
        <w:lastRenderedPageBreak/>
        <w:t>Table of Contents</w:t>
      </w:r>
    </w:p>
    <w:p w14:paraId="7174F540" w14:textId="6DC3237E" w:rsidR="00A75F23" w:rsidRDefault="001C674D">
      <w:pPr>
        <w:pStyle w:val="TOC1"/>
        <w:rPr>
          <w:rFonts w:asciiTheme="minorHAnsi" w:eastAsiaTheme="minorEastAsia" w:hAnsiTheme="minorHAnsi" w:cstheme="minorBidi"/>
          <w:szCs w:val="22"/>
        </w:rPr>
      </w:pPr>
      <w:r>
        <w:fldChar w:fldCharType="begin"/>
      </w:r>
      <w:r>
        <w:instrText xml:space="preserve"> TOC \o "2-2" \h \z \t "Heading 1,1,Heading_Appendix,1" </w:instrText>
      </w:r>
      <w:r>
        <w:fldChar w:fldCharType="separate"/>
      </w:r>
      <w:hyperlink w:anchor="_Toc27335103" w:history="1">
        <w:r w:rsidR="00A75F23" w:rsidRPr="00FD7B93">
          <w:rPr>
            <w:rStyle w:val="Hyperlink"/>
          </w:rPr>
          <w:t>1.</w:t>
        </w:r>
        <w:r w:rsidR="00A75F23">
          <w:rPr>
            <w:rFonts w:asciiTheme="minorHAnsi" w:eastAsiaTheme="minorEastAsia" w:hAnsiTheme="minorHAnsi" w:cstheme="minorBidi"/>
            <w:szCs w:val="22"/>
          </w:rPr>
          <w:tab/>
        </w:r>
        <w:r w:rsidR="00A75F23" w:rsidRPr="00FD7B93">
          <w:rPr>
            <w:rStyle w:val="Hyperlink"/>
          </w:rPr>
          <w:t>Introduction</w:t>
        </w:r>
        <w:r w:rsidR="00A75F23">
          <w:rPr>
            <w:webHidden/>
          </w:rPr>
          <w:tab/>
        </w:r>
        <w:r w:rsidR="00A75F23">
          <w:rPr>
            <w:webHidden/>
          </w:rPr>
          <w:fldChar w:fldCharType="begin"/>
        </w:r>
        <w:r w:rsidR="00A75F23">
          <w:rPr>
            <w:webHidden/>
          </w:rPr>
          <w:instrText xml:space="preserve"> PAGEREF _Toc27335103 \h </w:instrText>
        </w:r>
        <w:r w:rsidR="00A75F23">
          <w:rPr>
            <w:webHidden/>
          </w:rPr>
        </w:r>
        <w:r w:rsidR="00A75F23">
          <w:rPr>
            <w:webHidden/>
          </w:rPr>
          <w:fldChar w:fldCharType="separate"/>
        </w:r>
        <w:r w:rsidR="00A75F23">
          <w:rPr>
            <w:webHidden/>
          </w:rPr>
          <w:t>4</w:t>
        </w:r>
        <w:r w:rsidR="00A75F23">
          <w:rPr>
            <w:webHidden/>
          </w:rPr>
          <w:fldChar w:fldCharType="end"/>
        </w:r>
      </w:hyperlink>
    </w:p>
    <w:p w14:paraId="2EF181FA" w14:textId="62724554" w:rsidR="00A75F23" w:rsidRDefault="00945A9D">
      <w:pPr>
        <w:pStyle w:val="TOC2"/>
        <w:rPr>
          <w:rFonts w:asciiTheme="minorHAnsi" w:eastAsiaTheme="minorEastAsia" w:hAnsiTheme="minorHAnsi" w:cstheme="minorBidi"/>
          <w:noProof/>
          <w:szCs w:val="22"/>
        </w:rPr>
      </w:pPr>
      <w:hyperlink w:anchor="_Toc27335104" w:history="1">
        <w:r w:rsidR="00A75F23" w:rsidRPr="00FD7B93">
          <w:rPr>
            <w:rStyle w:val="Hyperlink"/>
            <w:noProof/>
          </w:rPr>
          <w:t>1.1</w:t>
        </w:r>
        <w:r w:rsidR="00A75F23">
          <w:rPr>
            <w:rFonts w:asciiTheme="minorHAnsi" w:eastAsiaTheme="minorEastAsia" w:hAnsiTheme="minorHAnsi" w:cstheme="minorBidi"/>
            <w:noProof/>
            <w:szCs w:val="22"/>
          </w:rPr>
          <w:tab/>
        </w:r>
        <w:r w:rsidR="00A75F23" w:rsidRPr="00FD7B93">
          <w:rPr>
            <w:rStyle w:val="Hyperlink"/>
            <w:noProof/>
          </w:rPr>
          <w:t>Legislative Mandates Informing Energy Efficiency Evaluation</w:t>
        </w:r>
        <w:r w:rsidR="00A75F23">
          <w:rPr>
            <w:noProof/>
            <w:webHidden/>
          </w:rPr>
          <w:tab/>
        </w:r>
        <w:r w:rsidR="00A75F23">
          <w:rPr>
            <w:noProof/>
            <w:webHidden/>
          </w:rPr>
          <w:fldChar w:fldCharType="begin"/>
        </w:r>
        <w:r w:rsidR="00A75F23">
          <w:rPr>
            <w:noProof/>
            <w:webHidden/>
          </w:rPr>
          <w:instrText xml:space="preserve"> PAGEREF _Toc27335104 \h </w:instrText>
        </w:r>
        <w:r w:rsidR="00A75F23">
          <w:rPr>
            <w:noProof/>
            <w:webHidden/>
          </w:rPr>
        </w:r>
        <w:r w:rsidR="00A75F23">
          <w:rPr>
            <w:noProof/>
            <w:webHidden/>
          </w:rPr>
          <w:fldChar w:fldCharType="separate"/>
        </w:r>
        <w:r w:rsidR="00A75F23">
          <w:rPr>
            <w:noProof/>
            <w:webHidden/>
          </w:rPr>
          <w:t>4</w:t>
        </w:r>
        <w:r w:rsidR="00A75F23">
          <w:rPr>
            <w:noProof/>
            <w:webHidden/>
          </w:rPr>
          <w:fldChar w:fldCharType="end"/>
        </w:r>
      </w:hyperlink>
    </w:p>
    <w:p w14:paraId="021412B0" w14:textId="46D86F4E" w:rsidR="00A75F23" w:rsidRDefault="00945A9D">
      <w:pPr>
        <w:pStyle w:val="TOC2"/>
        <w:rPr>
          <w:rFonts w:asciiTheme="minorHAnsi" w:eastAsiaTheme="minorEastAsia" w:hAnsiTheme="minorHAnsi" w:cstheme="minorBidi"/>
          <w:noProof/>
          <w:szCs w:val="22"/>
        </w:rPr>
      </w:pPr>
      <w:hyperlink w:anchor="_Toc27335105" w:history="1">
        <w:r w:rsidR="00A75F23" w:rsidRPr="00FD7B93">
          <w:rPr>
            <w:rStyle w:val="Hyperlink"/>
            <w:noProof/>
          </w:rPr>
          <w:t>1.2</w:t>
        </w:r>
        <w:r w:rsidR="00A75F23">
          <w:rPr>
            <w:rFonts w:asciiTheme="minorHAnsi" w:eastAsiaTheme="minorEastAsia" w:hAnsiTheme="minorHAnsi" w:cstheme="minorBidi"/>
            <w:noProof/>
            <w:szCs w:val="22"/>
          </w:rPr>
          <w:tab/>
        </w:r>
        <w:r w:rsidR="00A75F23" w:rsidRPr="00FD7B93">
          <w:rPr>
            <w:rStyle w:val="Hyperlink"/>
            <w:noProof/>
          </w:rPr>
          <w:t>AIC’s Energy Efficiency Portfolio</w:t>
        </w:r>
        <w:r w:rsidR="00A75F23">
          <w:rPr>
            <w:noProof/>
            <w:webHidden/>
          </w:rPr>
          <w:tab/>
        </w:r>
        <w:r w:rsidR="00A75F23">
          <w:rPr>
            <w:noProof/>
            <w:webHidden/>
          </w:rPr>
          <w:fldChar w:fldCharType="begin"/>
        </w:r>
        <w:r w:rsidR="00A75F23">
          <w:rPr>
            <w:noProof/>
            <w:webHidden/>
          </w:rPr>
          <w:instrText xml:space="preserve"> PAGEREF _Toc27335105 \h </w:instrText>
        </w:r>
        <w:r w:rsidR="00A75F23">
          <w:rPr>
            <w:noProof/>
            <w:webHidden/>
          </w:rPr>
        </w:r>
        <w:r w:rsidR="00A75F23">
          <w:rPr>
            <w:noProof/>
            <w:webHidden/>
          </w:rPr>
          <w:fldChar w:fldCharType="separate"/>
        </w:r>
        <w:r w:rsidR="00A75F23">
          <w:rPr>
            <w:noProof/>
            <w:webHidden/>
          </w:rPr>
          <w:t>5</w:t>
        </w:r>
        <w:r w:rsidR="00A75F23">
          <w:rPr>
            <w:noProof/>
            <w:webHidden/>
          </w:rPr>
          <w:fldChar w:fldCharType="end"/>
        </w:r>
      </w:hyperlink>
    </w:p>
    <w:p w14:paraId="571DAC9F" w14:textId="574BBA0A" w:rsidR="00A75F23" w:rsidRDefault="00945A9D">
      <w:pPr>
        <w:pStyle w:val="TOC1"/>
        <w:rPr>
          <w:rFonts w:asciiTheme="minorHAnsi" w:eastAsiaTheme="minorEastAsia" w:hAnsiTheme="minorHAnsi" w:cstheme="minorBidi"/>
          <w:szCs w:val="22"/>
        </w:rPr>
      </w:pPr>
      <w:hyperlink w:anchor="_Toc27335106" w:history="1">
        <w:r w:rsidR="00A75F23" w:rsidRPr="00FD7B93">
          <w:rPr>
            <w:rStyle w:val="Hyperlink"/>
          </w:rPr>
          <w:t>2.</w:t>
        </w:r>
        <w:r w:rsidR="00A75F23">
          <w:rPr>
            <w:rFonts w:asciiTheme="minorHAnsi" w:eastAsiaTheme="minorEastAsia" w:hAnsiTheme="minorHAnsi" w:cstheme="minorBidi"/>
            <w:szCs w:val="22"/>
          </w:rPr>
          <w:tab/>
        </w:r>
        <w:r w:rsidR="00A75F23" w:rsidRPr="00FD7B93">
          <w:rPr>
            <w:rStyle w:val="Hyperlink"/>
          </w:rPr>
          <w:t>Evaluation Policies and Definitions</w:t>
        </w:r>
        <w:r w:rsidR="00A75F23">
          <w:rPr>
            <w:webHidden/>
          </w:rPr>
          <w:tab/>
        </w:r>
        <w:r w:rsidR="00A75F23">
          <w:rPr>
            <w:webHidden/>
          </w:rPr>
          <w:fldChar w:fldCharType="begin"/>
        </w:r>
        <w:r w:rsidR="00A75F23">
          <w:rPr>
            <w:webHidden/>
          </w:rPr>
          <w:instrText xml:space="preserve"> PAGEREF _Toc27335106 \h </w:instrText>
        </w:r>
        <w:r w:rsidR="00A75F23">
          <w:rPr>
            <w:webHidden/>
          </w:rPr>
        </w:r>
        <w:r w:rsidR="00A75F23">
          <w:rPr>
            <w:webHidden/>
          </w:rPr>
          <w:fldChar w:fldCharType="separate"/>
        </w:r>
        <w:r w:rsidR="00A75F23">
          <w:rPr>
            <w:webHidden/>
          </w:rPr>
          <w:t>8</w:t>
        </w:r>
        <w:r w:rsidR="00A75F23">
          <w:rPr>
            <w:webHidden/>
          </w:rPr>
          <w:fldChar w:fldCharType="end"/>
        </w:r>
      </w:hyperlink>
    </w:p>
    <w:p w14:paraId="287442EE" w14:textId="45D28446" w:rsidR="00A75F23" w:rsidRDefault="00945A9D">
      <w:pPr>
        <w:pStyle w:val="TOC1"/>
        <w:rPr>
          <w:rFonts w:asciiTheme="minorHAnsi" w:eastAsiaTheme="minorEastAsia" w:hAnsiTheme="minorHAnsi" w:cstheme="minorBidi"/>
          <w:szCs w:val="22"/>
        </w:rPr>
      </w:pPr>
      <w:hyperlink w:anchor="_Toc27335107" w:history="1">
        <w:r w:rsidR="00A75F23" w:rsidRPr="00FD7B93">
          <w:rPr>
            <w:rStyle w:val="Hyperlink"/>
          </w:rPr>
          <w:t>3.</w:t>
        </w:r>
        <w:r w:rsidR="00A75F23">
          <w:rPr>
            <w:rFonts w:asciiTheme="minorHAnsi" w:eastAsiaTheme="minorEastAsia" w:hAnsiTheme="minorHAnsi" w:cstheme="minorBidi"/>
            <w:szCs w:val="22"/>
          </w:rPr>
          <w:tab/>
        </w:r>
        <w:r w:rsidR="00A75F23" w:rsidRPr="00FD7B93">
          <w:rPr>
            <w:rStyle w:val="Hyperlink"/>
          </w:rPr>
          <w:t>Residential Program Evaluation Efforts</w:t>
        </w:r>
        <w:r w:rsidR="00A75F23">
          <w:rPr>
            <w:webHidden/>
          </w:rPr>
          <w:tab/>
        </w:r>
        <w:r w:rsidR="00A75F23">
          <w:rPr>
            <w:webHidden/>
          </w:rPr>
          <w:fldChar w:fldCharType="begin"/>
        </w:r>
        <w:r w:rsidR="00A75F23">
          <w:rPr>
            <w:webHidden/>
          </w:rPr>
          <w:instrText xml:space="preserve"> PAGEREF _Toc27335107 \h </w:instrText>
        </w:r>
        <w:r w:rsidR="00A75F23">
          <w:rPr>
            <w:webHidden/>
          </w:rPr>
        </w:r>
        <w:r w:rsidR="00A75F23">
          <w:rPr>
            <w:webHidden/>
          </w:rPr>
          <w:fldChar w:fldCharType="separate"/>
        </w:r>
        <w:r w:rsidR="00A75F23">
          <w:rPr>
            <w:webHidden/>
          </w:rPr>
          <w:t>11</w:t>
        </w:r>
        <w:r w:rsidR="00A75F23">
          <w:rPr>
            <w:webHidden/>
          </w:rPr>
          <w:fldChar w:fldCharType="end"/>
        </w:r>
      </w:hyperlink>
    </w:p>
    <w:p w14:paraId="0F3875E9" w14:textId="518A43F8" w:rsidR="00A75F23" w:rsidRDefault="00945A9D">
      <w:pPr>
        <w:pStyle w:val="TOC2"/>
        <w:rPr>
          <w:rFonts w:asciiTheme="minorHAnsi" w:eastAsiaTheme="minorEastAsia" w:hAnsiTheme="minorHAnsi" w:cstheme="minorBidi"/>
          <w:noProof/>
          <w:szCs w:val="22"/>
        </w:rPr>
      </w:pPr>
      <w:hyperlink w:anchor="_Toc27335108" w:history="1">
        <w:r w:rsidR="00A75F23" w:rsidRPr="00FD7B93">
          <w:rPr>
            <w:rStyle w:val="Hyperlink"/>
            <w:noProof/>
          </w:rPr>
          <w:t>3.1</w:t>
        </w:r>
        <w:r w:rsidR="00A75F23">
          <w:rPr>
            <w:rFonts w:asciiTheme="minorHAnsi" w:eastAsiaTheme="minorEastAsia" w:hAnsiTheme="minorHAnsi" w:cstheme="minorBidi"/>
            <w:noProof/>
            <w:szCs w:val="22"/>
          </w:rPr>
          <w:tab/>
        </w:r>
        <w:r w:rsidR="00A75F23" w:rsidRPr="00FD7B93">
          <w:rPr>
            <w:rStyle w:val="Hyperlink"/>
            <w:noProof/>
          </w:rPr>
          <w:t>Retail Products Initiative</w:t>
        </w:r>
        <w:r w:rsidR="00A75F23">
          <w:rPr>
            <w:noProof/>
            <w:webHidden/>
          </w:rPr>
          <w:tab/>
        </w:r>
        <w:r w:rsidR="00A75F23">
          <w:rPr>
            <w:noProof/>
            <w:webHidden/>
          </w:rPr>
          <w:fldChar w:fldCharType="begin"/>
        </w:r>
        <w:r w:rsidR="00A75F23">
          <w:rPr>
            <w:noProof/>
            <w:webHidden/>
          </w:rPr>
          <w:instrText xml:space="preserve"> PAGEREF _Toc27335108 \h </w:instrText>
        </w:r>
        <w:r w:rsidR="00A75F23">
          <w:rPr>
            <w:noProof/>
            <w:webHidden/>
          </w:rPr>
        </w:r>
        <w:r w:rsidR="00A75F23">
          <w:rPr>
            <w:noProof/>
            <w:webHidden/>
          </w:rPr>
          <w:fldChar w:fldCharType="separate"/>
        </w:r>
        <w:r w:rsidR="00A75F23">
          <w:rPr>
            <w:noProof/>
            <w:webHidden/>
          </w:rPr>
          <w:t>11</w:t>
        </w:r>
        <w:r w:rsidR="00A75F23">
          <w:rPr>
            <w:noProof/>
            <w:webHidden/>
          </w:rPr>
          <w:fldChar w:fldCharType="end"/>
        </w:r>
      </w:hyperlink>
    </w:p>
    <w:p w14:paraId="04103022" w14:textId="213E5B25" w:rsidR="00A75F23" w:rsidRDefault="00945A9D">
      <w:pPr>
        <w:pStyle w:val="TOC2"/>
        <w:rPr>
          <w:rFonts w:asciiTheme="minorHAnsi" w:eastAsiaTheme="minorEastAsia" w:hAnsiTheme="minorHAnsi" w:cstheme="minorBidi"/>
          <w:noProof/>
          <w:szCs w:val="22"/>
        </w:rPr>
      </w:pPr>
      <w:hyperlink w:anchor="_Toc27335109" w:history="1">
        <w:r w:rsidR="00A75F23" w:rsidRPr="00FD7B93">
          <w:rPr>
            <w:rStyle w:val="Hyperlink"/>
            <w:noProof/>
          </w:rPr>
          <w:t>3.2</w:t>
        </w:r>
        <w:r w:rsidR="00A75F23">
          <w:rPr>
            <w:rFonts w:asciiTheme="minorHAnsi" w:eastAsiaTheme="minorEastAsia" w:hAnsiTheme="minorHAnsi" w:cstheme="minorBidi"/>
            <w:noProof/>
            <w:szCs w:val="22"/>
          </w:rPr>
          <w:tab/>
        </w:r>
        <w:r w:rsidR="00A75F23" w:rsidRPr="00FD7B93">
          <w:rPr>
            <w:rStyle w:val="Hyperlink"/>
            <w:noProof/>
          </w:rPr>
          <w:t>Income Qualified Initiative</w:t>
        </w:r>
        <w:r w:rsidR="00A75F23">
          <w:rPr>
            <w:noProof/>
            <w:webHidden/>
          </w:rPr>
          <w:tab/>
        </w:r>
        <w:r w:rsidR="00A75F23">
          <w:rPr>
            <w:noProof/>
            <w:webHidden/>
          </w:rPr>
          <w:fldChar w:fldCharType="begin"/>
        </w:r>
        <w:r w:rsidR="00A75F23">
          <w:rPr>
            <w:noProof/>
            <w:webHidden/>
          </w:rPr>
          <w:instrText xml:space="preserve"> PAGEREF _Toc27335109 \h </w:instrText>
        </w:r>
        <w:r w:rsidR="00A75F23">
          <w:rPr>
            <w:noProof/>
            <w:webHidden/>
          </w:rPr>
        </w:r>
        <w:r w:rsidR="00A75F23">
          <w:rPr>
            <w:noProof/>
            <w:webHidden/>
          </w:rPr>
          <w:fldChar w:fldCharType="separate"/>
        </w:r>
        <w:r w:rsidR="00A75F23">
          <w:rPr>
            <w:noProof/>
            <w:webHidden/>
          </w:rPr>
          <w:t>11</w:t>
        </w:r>
        <w:r w:rsidR="00A75F23">
          <w:rPr>
            <w:noProof/>
            <w:webHidden/>
          </w:rPr>
          <w:fldChar w:fldCharType="end"/>
        </w:r>
      </w:hyperlink>
    </w:p>
    <w:p w14:paraId="7C133C93" w14:textId="7FBD84C4" w:rsidR="00A75F23" w:rsidRDefault="00945A9D">
      <w:pPr>
        <w:pStyle w:val="TOC2"/>
        <w:rPr>
          <w:rFonts w:asciiTheme="minorHAnsi" w:eastAsiaTheme="minorEastAsia" w:hAnsiTheme="minorHAnsi" w:cstheme="minorBidi"/>
          <w:noProof/>
          <w:szCs w:val="22"/>
        </w:rPr>
      </w:pPr>
      <w:hyperlink w:anchor="_Toc27335110" w:history="1">
        <w:r w:rsidR="00A75F23" w:rsidRPr="00FD7B93">
          <w:rPr>
            <w:rStyle w:val="Hyperlink"/>
            <w:noProof/>
          </w:rPr>
          <w:t>3.3</w:t>
        </w:r>
        <w:r w:rsidR="00A75F23">
          <w:rPr>
            <w:rFonts w:asciiTheme="minorHAnsi" w:eastAsiaTheme="minorEastAsia" w:hAnsiTheme="minorHAnsi" w:cstheme="minorBidi"/>
            <w:noProof/>
            <w:szCs w:val="22"/>
          </w:rPr>
          <w:tab/>
        </w:r>
        <w:r w:rsidR="00A75F23" w:rsidRPr="00FD7B93">
          <w:rPr>
            <w:rStyle w:val="Hyperlink"/>
            <w:noProof/>
          </w:rPr>
          <w:t>Public Housing Initiative</w:t>
        </w:r>
        <w:r w:rsidR="00A75F23">
          <w:rPr>
            <w:noProof/>
            <w:webHidden/>
          </w:rPr>
          <w:tab/>
        </w:r>
        <w:r w:rsidR="00A75F23">
          <w:rPr>
            <w:noProof/>
            <w:webHidden/>
          </w:rPr>
          <w:fldChar w:fldCharType="begin"/>
        </w:r>
        <w:r w:rsidR="00A75F23">
          <w:rPr>
            <w:noProof/>
            <w:webHidden/>
          </w:rPr>
          <w:instrText xml:space="preserve"> PAGEREF _Toc27335110 \h </w:instrText>
        </w:r>
        <w:r w:rsidR="00A75F23">
          <w:rPr>
            <w:noProof/>
            <w:webHidden/>
          </w:rPr>
        </w:r>
        <w:r w:rsidR="00A75F23">
          <w:rPr>
            <w:noProof/>
            <w:webHidden/>
          </w:rPr>
          <w:fldChar w:fldCharType="separate"/>
        </w:r>
        <w:r w:rsidR="00A75F23">
          <w:rPr>
            <w:noProof/>
            <w:webHidden/>
          </w:rPr>
          <w:t>12</w:t>
        </w:r>
        <w:r w:rsidR="00A75F23">
          <w:rPr>
            <w:noProof/>
            <w:webHidden/>
          </w:rPr>
          <w:fldChar w:fldCharType="end"/>
        </w:r>
      </w:hyperlink>
    </w:p>
    <w:p w14:paraId="0907C466" w14:textId="24DC7305" w:rsidR="00A75F23" w:rsidRDefault="00945A9D">
      <w:pPr>
        <w:pStyle w:val="TOC2"/>
        <w:rPr>
          <w:rFonts w:asciiTheme="minorHAnsi" w:eastAsiaTheme="minorEastAsia" w:hAnsiTheme="minorHAnsi" w:cstheme="minorBidi"/>
          <w:noProof/>
          <w:szCs w:val="22"/>
        </w:rPr>
      </w:pPr>
      <w:hyperlink w:anchor="_Toc27335111" w:history="1">
        <w:r w:rsidR="00A75F23" w:rsidRPr="00FD7B93">
          <w:rPr>
            <w:rStyle w:val="Hyperlink"/>
            <w:noProof/>
          </w:rPr>
          <w:t>3.4</w:t>
        </w:r>
        <w:r w:rsidR="00A75F23">
          <w:rPr>
            <w:rFonts w:asciiTheme="minorHAnsi" w:eastAsiaTheme="minorEastAsia" w:hAnsiTheme="minorHAnsi" w:cstheme="minorBidi"/>
            <w:noProof/>
            <w:szCs w:val="22"/>
          </w:rPr>
          <w:tab/>
        </w:r>
        <w:r w:rsidR="00A75F23" w:rsidRPr="00FD7B93">
          <w:rPr>
            <w:rStyle w:val="Hyperlink"/>
            <w:noProof/>
          </w:rPr>
          <w:t>Residential Behavioral Modification Initiative</w:t>
        </w:r>
        <w:r w:rsidR="00A75F23">
          <w:rPr>
            <w:noProof/>
            <w:webHidden/>
          </w:rPr>
          <w:tab/>
        </w:r>
        <w:r w:rsidR="00A75F23">
          <w:rPr>
            <w:noProof/>
            <w:webHidden/>
          </w:rPr>
          <w:fldChar w:fldCharType="begin"/>
        </w:r>
        <w:r w:rsidR="00A75F23">
          <w:rPr>
            <w:noProof/>
            <w:webHidden/>
          </w:rPr>
          <w:instrText xml:space="preserve"> PAGEREF _Toc27335111 \h </w:instrText>
        </w:r>
        <w:r w:rsidR="00A75F23">
          <w:rPr>
            <w:noProof/>
            <w:webHidden/>
          </w:rPr>
        </w:r>
        <w:r w:rsidR="00A75F23">
          <w:rPr>
            <w:noProof/>
            <w:webHidden/>
          </w:rPr>
          <w:fldChar w:fldCharType="separate"/>
        </w:r>
        <w:r w:rsidR="00A75F23">
          <w:rPr>
            <w:noProof/>
            <w:webHidden/>
          </w:rPr>
          <w:t>13</w:t>
        </w:r>
        <w:r w:rsidR="00A75F23">
          <w:rPr>
            <w:noProof/>
            <w:webHidden/>
          </w:rPr>
          <w:fldChar w:fldCharType="end"/>
        </w:r>
      </w:hyperlink>
    </w:p>
    <w:p w14:paraId="0A062D3D" w14:textId="27685C7E" w:rsidR="00A75F23" w:rsidRDefault="00945A9D">
      <w:pPr>
        <w:pStyle w:val="TOC2"/>
        <w:rPr>
          <w:rFonts w:asciiTheme="minorHAnsi" w:eastAsiaTheme="minorEastAsia" w:hAnsiTheme="minorHAnsi" w:cstheme="minorBidi"/>
          <w:noProof/>
          <w:szCs w:val="22"/>
        </w:rPr>
      </w:pPr>
      <w:hyperlink w:anchor="_Toc27335112" w:history="1">
        <w:r w:rsidR="00A75F23" w:rsidRPr="00FD7B93">
          <w:rPr>
            <w:rStyle w:val="Hyperlink"/>
            <w:noProof/>
          </w:rPr>
          <w:t>3.5</w:t>
        </w:r>
        <w:r w:rsidR="00A75F23">
          <w:rPr>
            <w:rFonts w:asciiTheme="minorHAnsi" w:eastAsiaTheme="minorEastAsia" w:hAnsiTheme="minorHAnsi" w:cstheme="minorBidi"/>
            <w:noProof/>
            <w:szCs w:val="22"/>
          </w:rPr>
          <w:tab/>
        </w:r>
        <w:r w:rsidR="00A75F23" w:rsidRPr="00FD7B93">
          <w:rPr>
            <w:rStyle w:val="Hyperlink"/>
            <w:noProof/>
          </w:rPr>
          <w:t>HVAC Initiative</w:t>
        </w:r>
        <w:r w:rsidR="00A75F23">
          <w:rPr>
            <w:noProof/>
            <w:webHidden/>
          </w:rPr>
          <w:tab/>
        </w:r>
        <w:r w:rsidR="00A75F23">
          <w:rPr>
            <w:noProof/>
            <w:webHidden/>
          </w:rPr>
          <w:fldChar w:fldCharType="begin"/>
        </w:r>
        <w:r w:rsidR="00A75F23">
          <w:rPr>
            <w:noProof/>
            <w:webHidden/>
          </w:rPr>
          <w:instrText xml:space="preserve"> PAGEREF _Toc27335112 \h </w:instrText>
        </w:r>
        <w:r w:rsidR="00A75F23">
          <w:rPr>
            <w:noProof/>
            <w:webHidden/>
          </w:rPr>
        </w:r>
        <w:r w:rsidR="00A75F23">
          <w:rPr>
            <w:noProof/>
            <w:webHidden/>
          </w:rPr>
          <w:fldChar w:fldCharType="separate"/>
        </w:r>
        <w:r w:rsidR="00A75F23">
          <w:rPr>
            <w:noProof/>
            <w:webHidden/>
          </w:rPr>
          <w:t>14</w:t>
        </w:r>
        <w:r w:rsidR="00A75F23">
          <w:rPr>
            <w:noProof/>
            <w:webHidden/>
          </w:rPr>
          <w:fldChar w:fldCharType="end"/>
        </w:r>
      </w:hyperlink>
    </w:p>
    <w:p w14:paraId="2A0228C5" w14:textId="08DC1036" w:rsidR="00A75F23" w:rsidRDefault="00945A9D">
      <w:pPr>
        <w:pStyle w:val="TOC2"/>
        <w:rPr>
          <w:rFonts w:asciiTheme="minorHAnsi" w:eastAsiaTheme="minorEastAsia" w:hAnsiTheme="minorHAnsi" w:cstheme="minorBidi"/>
          <w:noProof/>
          <w:szCs w:val="22"/>
        </w:rPr>
      </w:pPr>
      <w:hyperlink w:anchor="_Toc27335113" w:history="1">
        <w:r w:rsidR="00A75F23" w:rsidRPr="00FD7B93">
          <w:rPr>
            <w:rStyle w:val="Hyperlink"/>
            <w:noProof/>
          </w:rPr>
          <w:t>3.6</w:t>
        </w:r>
        <w:r w:rsidR="00A75F23">
          <w:rPr>
            <w:rFonts w:asciiTheme="minorHAnsi" w:eastAsiaTheme="minorEastAsia" w:hAnsiTheme="minorHAnsi" w:cstheme="minorBidi"/>
            <w:noProof/>
            <w:szCs w:val="22"/>
          </w:rPr>
          <w:tab/>
        </w:r>
        <w:r w:rsidR="00A75F23" w:rsidRPr="00FD7B93">
          <w:rPr>
            <w:rStyle w:val="Hyperlink"/>
            <w:noProof/>
          </w:rPr>
          <w:t>Appliance Recycling Initiative</w:t>
        </w:r>
        <w:r w:rsidR="00A75F23">
          <w:rPr>
            <w:noProof/>
            <w:webHidden/>
          </w:rPr>
          <w:tab/>
        </w:r>
        <w:r w:rsidR="00A75F23">
          <w:rPr>
            <w:noProof/>
            <w:webHidden/>
          </w:rPr>
          <w:fldChar w:fldCharType="begin"/>
        </w:r>
        <w:r w:rsidR="00A75F23">
          <w:rPr>
            <w:noProof/>
            <w:webHidden/>
          </w:rPr>
          <w:instrText xml:space="preserve"> PAGEREF _Toc27335113 \h </w:instrText>
        </w:r>
        <w:r w:rsidR="00A75F23">
          <w:rPr>
            <w:noProof/>
            <w:webHidden/>
          </w:rPr>
        </w:r>
        <w:r w:rsidR="00A75F23">
          <w:rPr>
            <w:noProof/>
            <w:webHidden/>
          </w:rPr>
          <w:fldChar w:fldCharType="separate"/>
        </w:r>
        <w:r w:rsidR="00A75F23">
          <w:rPr>
            <w:noProof/>
            <w:webHidden/>
          </w:rPr>
          <w:t>15</w:t>
        </w:r>
        <w:r w:rsidR="00A75F23">
          <w:rPr>
            <w:noProof/>
            <w:webHidden/>
          </w:rPr>
          <w:fldChar w:fldCharType="end"/>
        </w:r>
      </w:hyperlink>
    </w:p>
    <w:p w14:paraId="2FE2DC78" w14:textId="12922785" w:rsidR="00A75F23" w:rsidRDefault="00945A9D">
      <w:pPr>
        <w:pStyle w:val="TOC2"/>
        <w:rPr>
          <w:rFonts w:asciiTheme="minorHAnsi" w:eastAsiaTheme="minorEastAsia" w:hAnsiTheme="minorHAnsi" w:cstheme="minorBidi"/>
          <w:noProof/>
          <w:szCs w:val="22"/>
        </w:rPr>
      </w:pPr>
      <w:hyperlink w:anchor="_Toc27335114" w:history="1">
        <w:r w:rsidR="00A75F23" w:rsidRPr="00FD7B93">
          <w:rPr>
            <w:rStyle w:val="Hyperlink"/>
            <w:noProof/>
          </w:rPr>
          <w:t>3.7</w:t>
        </w:r>
        <w:r w:rsidR="00A75F23">
          <w:rPr>
            <w:rFonts w:asciiTheme="minorHAnsi" w:eastAsiaTheme="minorEastAsia" w:hAnsiTheme="minorHAnsi" w:cstheme="minorBidi"/>
            <w:noProof/>
            <w:szCs w:val="22"/>
          </w:rPr>
          <w:tab/>
        </w:r>
        <w:r w:rsidR="00A75F23" w:rsidRPr="00FD7B93">
          <w:rPr>
            <w:rStyle w:val="Hyperlink"/>
            <w:noProof/>
          </w:rPr>
          <w:t>Multifamily Initiative</w:t>
        </w:r>
        <w:r w:rsidR="00A75F23">
          <w:rPr>
            <w:noProof/>
            <w:webHidden/>
          </w:rPr>
          <w:tab/>
        </w:r>
        <w:r w:rsidR="00A75F23">
          <w:rPr>
            <w:noProof/>
            <w:webHidden/>
          </w:rPr>
          <w:fldChar w:fldCharType="begin"/>
        </w:r>
        <w:r w:rsidR="00A75F23">
          <w:rPr>
            <w:noProof/>
            <w:webHidden/>
          </w:rPr>
          <w:instrText xml:space="preserve"> PAGEREF _Toc27335114 \h </w:instrText>
        </w:r>
        <w:r w:rsidR="00A75F23">
          <w:rPr>
            <w:noProof/>
            <w:webHidden/>
          </w:rPr>
        </w:r>
        <w:r w:rsidR="00A75F23">
          <w:rPr>
            <w:noProof/>
            <w:webHidden/>
          </w:rPr>
          <w:fldChar w:fldCharType="separate"/>
        </w:r>
        <w:r w:rsidR="00A75F23">
          <w:rPr>
            <w:noProof/>
            <w:webHidden/>
          </w:rPr>
          <w:t>16</w:t>
        </w:r>
        <w:r w:rsidR="00A75F23">
          <w:rPr>
            <w:noProof/>
            <w:webHidden/>
          </w:rPr>
          <w:fldChar w:fldCharType="end"/>
        </w:r>
      </w:hyperlink>
    </w:p>
    <w:p w14:paraId="2D30A556" w14:textId="29C5B389" w:rsidR="00A75F23" w:rsidRDefault="00945A9D">
      <w:pPr>
        <w:pStyle w:val="TOC2"/>
        <w:rPr>
          <w:rFonts w:asciiTheme="minorHAnsi" w:eastAsiaTheme="minorEastAsia" w:hAnsiTheme="minorHAnsi" w:cstheme="minorBidi"/>
          <w:noProof/>
          <w:szCs w:val="22"/>
        </w:rPr>
      </w:pPr>
      <w:hyperlink w:anchor="_Toc27335115" w:history="1">
        <w:r w:rsidR="00A75F23" w:rsidRPr="00FD7B93">
          <w:rPr>
            <w:rStyle w:val="Hyperlink"/>
            <w:noProof/>
          </w:rPr>
          <w:t>3.8</w:t>
        </w:r>
        <w:r w:rsidR="00A75F23">
          <w:rPr>
            <w:rFonts w:asciiTheme="minorHAnsi" w:eastAsiaTheme="minorEastAsia" w:hAnsiTheme="minorHAnsi" w:cstheme="minorBidi"/>
            <w:noProof/>
            <w:szCs w:val="22"/>
          </w:rPr>
          <w:tab/>
        </w:r>
        <w:r w:rsidR="00A75F23" w:rsidRPr="00FD7B93">
          <w:rPr>
            <w:rStyle w:val="Hyperlink"/>
            <w:noProof/>
          </w:rPr>
          <w:t>Direct Distribution of Efficient Products Initiative</w:t>
        </w:r>
        <w:r w:rsidR="00A75F23">
          <w:rPr>
            <w:noProof/>
            <w:webHidden/>
          </w:rPr>
          <w:tab/>
        </w:r>
        <w:r w:rsidR="00A75F23">
          <w:rPr>
            <w:noProof/>
            <w:webHidden/>
          </w:rPr>
          <w:fldChar w:fldCharType="begin"/>
        </w:r>
        <w:r w:rsidR="00A75F23">
          <w:rPr>
            <w:noProof/>
            <w:webHidden/>
          </w:rPr>
          <w:instrText xml:space="preserve"> PAGEREF _Toc27335115 \h </w:instrText>
        </w:r>
        <w:r w:rsidR="00A75F23">
          <w:rPr>
            <w:noProof/>
            <w:webHidden/>
          </w:rPr>
        </w:r>
        <w:r w:rsidR="00A75F23">
          <w:rPr>
            <w:noProof/>
            <w:webHidden/>
          </w:rPr>
          <w:fldChar w:fldCharType="separate"/>
        </w:r>
        <w:r w:rsidR="00A75F23">
          <w:rPr>
            <w:noProof/>
            <w:webHidden/>
          </w:rPr>
          <w:t>17</w:t>
        </w:r>
        <w:r w:rsidR="00A75F23">
          <w:rPr>
            <w:noProof/>
            <w:webHidden/>
          </w:rPr>
          <w:fldChar w:fldCharType="end"/>
        </w:r>
      </w:hyperlink>
    </w:p>
    <w:p w14:paraId="3E43A17E" w14:textId="38A14160" w:rsidR="00A75F23" w:rsidRDefault="00945A9D">
      <w:pPr>
        <w:pStyle w:val="TOC1"/>
        <w:rPr>
          <w:rFonts w:asciiTheme="minorHAnsi" w:eastAsiaTheme="minorEastAsia" w:hAnsiTheme="minorHAnsi" w:cstheme="minorBidi"/>
          <w:szCs w:val="22"/>
        </w:rPr>
      </w:pPr>
      <w:hyperlink w:anchor="_Toc27335116" w:history="1">
        <w:r w:rsidR="00A75F23" w:rsidRPr="00FD7B93">
          <w:rPr>
            <w:rStyle w:val="Hyperlink"/>
          </w:rPr>
          <w:t>4.</w:t>
        </w:r>
        <w:r w:rsidR="00A75F23">
          <w:rPr>
            <w:rFonts w:asciiTheme="minorHAnsi" w:eastAsiaTheme="minorEastAsia" w:hAnsiTheme="minorHAnsi" w:cstheme="minorBidi"/>
            <w:szCs w:val="22"/>
          </w:rPr>
          <w:tab/>
        </w:r>
        <w:r w:rsidR="00A75F23" w:rsidRPr="00FD7B93">
          <w:rPr>
            <w:rStyle w:val="Hyperlink"/>
          </w:rPr>
          <w:t>Business Program Evaluation Efforts</w:t>
        </w:r>
        <w:r w:rsidR="00A75F23">
          <w:rPr>
            <w:webHidden/>
          </w:rPr>
          <w:tab/>
        </w:r>
        <w:r w:rsidR="00A75F23">
          <w:rPr>
            <w:webHidden/>
          </w:rPr>
          <w:fldChar w:fldCharType="begin"/>
        </w:r>
        <w:r w:rsidR="00A75F23">
          <w:rPr>
            <w:webHidden/>
          </w:rPr>
          <w:instrText xml:space="preserve"> PAGEREF _Toc27335116 \h </w:instrText>
        </w:r>
        <w:r w:rsidR="00A75F23">
          <w:rPr>
            <w:webHidden/>
          </w:rPr>
        </w:r>
        <w:r w:rsidR="00A75F23">
          <w:rPr>
            <w:webHidden/>
          </w:rPr>
          <w:fldChar w:fldCharType="separate"/>
        </w:r>
        <w:r w:rsidR="00A75F23">
          <w:rPr>
            <w:webHidden/>
          </w:rPr>
          <w:t>18</w:t>
        </w:r>
        <w:r w:rsidR="00A75F23">
          <w:rPr>
            <w:webHidden/>
          </w:rPr>
          <w:fldChar w:fldCharType="end"/>
        </w:r>
      </w:hyperlink>
    </w:p>
    <w:p w14:paraId="43974307" w14:textId="7BE4BD50" w:rsidR="00A75F23" w:rsidRDefault="00945A9D">
      <w:pPr>
        <w:pStyle w:val="TOC2"/>
        <w:rPr>
          <w:rFonts w:asciiTheme="minorHAnsi" w:eastAsiaTheme="minorEastAsia" w:hAnsiTheme="minorHAnsi" w:cstheme="minorBidi"/>
          <w:noProof/>
          <w:szCs w:val="22"/>
        </w:rPr>
      </w:pPr>
      <w:hyperlink w:anchor="_Toc27335117" w:history="1">
        <w:r w:rsidR="00A75F23" w:rsidRPr="00FD7B93">
          <w:rPr>
            <w:rStyle w:val="Hyperlink"/>
            <w:noProof/>
          </w:rPr>
          <w:t>4.1</w:t>
        </w:r>
        <w:r w:rsidR="00A75F23">
          <w:rPr>
            <w:rFonts w:asciiTheme="minorHAnsi" w:eastAsiaTheme="minorEastAsia" w:hAnsiTheme="minorHAnsi" w:cstheme="minorBidi"/>
            <w:noProof/>
            <w:szCs w:val="22"/>
          </w:rPr>
          <w:tab/>
        </w:r>
        <w:r w:rsidR="00A75F23" w:rsidRPr="00FD7B93">
          <w:rPr>
            <w:rStyle w:val="Hyperlink"/>
            <w:noProof/>
          </w:rPr>
          <w:t>Standard Initiative</w:t>
        </w:r>
        <w:r w:rsidR="00A75F23">
          <w:rPr>
            <w:noProof/>
            <w:webHidden/>
          </w:rPr>
          <w:tab/>
        </w:r>
        <w:r w:rsidR="00A75F23">
          <w:rPr>
            <w:noProof/>
            <w:webHidden/>
          </w:rPr>
          <w:fldChar w:fldCharType="begin"/>
        </w:r>
        <w:r w:rsidR="00A75F23">
          <w:rPr>
            <w:noProof/>
            <w:webHidden/>
          </w:rPr>
          <w:instrText xml:space="preserve"> PAGEREF _Toc27335117 \h </w:instrText>
        </w:r>
        <w:r w:rsidR="00A75F23">
          <w:rPr>
            <w:noProof/>
            <w:webHidden/>
          </w:rPr>
        </w:r>
        <w:r w:rsidR="00A75F23">
          <w:rPr>
            <w:noProof/>
            <w:webHidden/>
          </w:rPr>
          <w:fldChar w:fldCharType="separate"/>
        </w:r>
        <w:r w:rsidR="00A75F23">
          <w:rPr>
            <w:noProof/>
            <w:webHidden/>
          </w:rPr>
          <w:t>18</w:t>
        </w:r>
        <w:r w:rsidR="00A75F23">
          <w:rPr>
            <w:noProof/>
            <w:webHidden/>
          </w:rPr>
          <w:fldChar w:fldCharType="end"/>
        </w:r>
      </w:hyperlink>
    </w:p>
    <w:p w14:paraId="1CF33EBC" w14:textId="4230F140" w:rsidR="00A75F23" w:rsidRDefault="00945A9D">
      <w:pPr>
        <w:pStyle w:val="TOC2"/>
        <w:rPr>
          <w:rFonts w:asciiTheme="minorHAnsi" w:eastAsiaTheme="minorEastAsia" w:hAnsiTheme="minorHAnsi" w:cstheme="minorBidi"/>
          <w:noProof/>
          <w:szCs w:val="22"/>
        </w:rPr>
      </w:pPr>
      <w:hyperlink w:anchor="_Toc27335118" w:history="1">
        <w:r w:rsidR="00A75F23" w:rsidRPr="00FD7B93">
          <w:rPr>
            <w:rStyle w:val="Hyperlink"/>
            <w:noProof/>
          </w:rPr>
          <w:t>4.2</w:t>
        </w:r>
        <w:r w:rsidR="00A75F23">
          <w:rPr>
            <w:rFonts w:asciiTheme="minorHAnsi" w:eastAsiaTheme="minorEastAsia" w:hAnsiTheme="minorHAnsi" w:cstheme="minorBidi"/>
            <w:noProof/>
            <w:szCs w:val="22"/>
          </w:rPr>
          <w:tab/>
        </w:r>
        <w:r w:rsidR="00A75F23" w:rsidRPr="00FD7B93">
          <w:rPr>
            <w:rStyle w:val="Hyperlink"/>
            <w:noProof/>
          </w:rPr>
          <w:t>Custom Initiative</w:t>
        </w:r>
        <w:r w:rsidR="00A75F23">
          <w:rPr>
            <w:noProof/>
            <w:webHidden/>
          </w:rPr>
          <w:tab/>
        </w:r>
        <w:r w:rsidR="00A75F23">
          <w:rPr>
            <w:noProof/>
            <w:webHidden/>
          </w:rPr>
          <w:fldChar w:fldCharType="begin"/>
        </w:r>
        <w:r w:rsidR="00A75F23">
          <w:rPr>
            <w:noProof/>
            <w:webHidden/>
          </w:rPr>
          <w:instrText xml:space="preserve"> PAGEREF _Toc27335118 \h </w:instrText>
        </w:r>
        <w:r w:rsidR="00A75F23">
          <w:rPr>
            <w:noProof/>
            <w:webHidden/>
          </w:rPr>
        </w:r>
        <w:r w:rsidR="00A75F23">
          <w:rPr>
            <w:noProof/>
            <w:webHidden/>
          </w:rPr>
          <w:fldChar w:fldCharType="separate"/>
        </w:r>
        <w:r w:rsidR="00A75F23">
          <w:rPr>
            <w:noProof/>
            <w:webHidden/>
          </w:rPr>
          <w:t>19</w:t>
        </w:r>
        <w:r w:rsidR="00A75F23">
          <w:rPr>
            <w:noProof/>
            <w:webHidden/>
          </w:rPr>
          <w:fldChar w:fldCharType="end"/>
        </w:r>
      </w:hyperlink>
    </w:p>
    <w:p w14:paraId="3ABA67F2" w14:textId="032E9B06" w:rsidR="00A75F23" w:rsidRDefault="00945A9D">
      <w:pPr>
        <w:pStyle w:val="TOC2"/>
        <w:rPr>
          <w:rFonts w:asciiTheme="minorHAnsi" w:eastAsiaTheme="minorEastAsia" w:hAnsiTheme="minorHAnsi" w:cstheme="minorBidi"/>
          <w:noProof/>
          <w:szCs w:val="22"/>
        </w:rPr>
      </w:pPr>
      <w:hyperlink w:anchor="_Toc27335119" w:history="1">
        <w:r w:rsidR="00A75F23" w:rsidRPr="00FD7B93">
          <w:rPr>
            <w:rStyle w:val="Hyperlink"/>
            <w:noProof/>
          </w:rPr>
          <w:t>4.3</w:t>
        </w:r>
        <w:r w:rsidR="00A75F23">
          <w:rPr>
            <w:rFonts w:asciiTheme="minorHAnsi" w:eastAsiaTheme="minorEastAsia" w:hAnsiTheme="minorHAnsi" w:cstheme="minorBidi"/>
            <w:noProof/>
            <w:szCs w:val="22"/>
          </w:rPr>
          <w:tab/>
        </w:r>
        <w:r w:rsidR="00A75F23" w:rsidRPr="00FD7B93">
          <w:rPr>
            <w:rStyle w:val="Hyperlink"/>
            <w:noProof/>
          </w:rPr>
          <w:t>Retro-Commissioning Initiative</w:t>
        </w:r>
        <w:r w:rsidR="00A75F23">
          <w:rPr>
            <w:noProof/>
            <w:webHidden/>
          </w:rPr>
          <w:tab/>
        </w:r>
        <w:r w:rsidR="00A75F23">
          <w:rPr>
            <w:noProof/>
            <w:webHidden/>
          </w:rPr>
          <w:fldChar w:fldCharType="begin"/>
        </w:r>
        <w:r w:rsidR="00A75F23">
          <w:rPr>
            <w:noProof/>
            <w:webHidden/>
          </w:rPr>
          <w:instrText xml:space="preserve"> PAGEREF _Toc27335119 \h </w:instrText>
        </w:r>
        <w:r w:rsidR="00A75F23">
          <w:rPr>
            <w:noProof/>
            <w:webHidden/>
          </w:rPr>
        </w:r>
        <w:r w:rsidR="00A75F23">
          <w:rPr>
            <w:noProof/>
            <w:webHidden/>
          </w:rPr>
          <w:fldChar w:fldCharType="separate"/>
        </w:r>
        <w:r w:rsidR="00A75F23">
          <w:rPr>
            <w:noProof/>
            <w:webHidden/>
          </w:rPr>
          <w:t>20</w:t>
        </w:r>
        <w:r w:rsidR="00A75F23">
          <w:rPr>
            <w:noProof/>
            <w:webHidden/>
          </w:rPr>
          <w:fldChar w:fldCharType="end"/>
        </w:r>
      </w:hyperlink>
    </w:p>
    <w:p w14:paraId="1C328ADB" w14:textId="428F20E0" w:rsidR="00A75F23" w:rsidRDefault="00945A9D">
      <w:pPr>
        <w:pStyle w:val="TOC2"/>
        <w:rPr>
          <w:rFonts w:asciiTheme="minorHAnsi" w:eastAsiaTheme="minorEastAsia" w:hAnsiTheme="minorHAnsi" w:cstheme="minorBidi"/>
          <w:noProof/>
          <w:szCs w:val="22"/>
        </w:rPr>
      </w:pPr>
      <w:hyperlink w:anchor="_Toc27335120" w:history="1">
        <w:r w:rsidR="00A75F23" w:rsidRPr="00FD7B93">
          <w:rPr>
            <w:rStyle w:val="Hyperlink"/>
            <w:noProof/>
          </w:rPr>
          <w:t>4.4</w:t>
        </w:r>
        <w:r w:rsidR="00A75F23">
          <w:rPr>
            <w:rFonts w:asciiTheme="minorHAnsi" w:eastAsiaTheme="minorEastAsia" w:hAnsiTheme="minorHAnsi" w:cstheme="minorBidi"/>
            <w:noProof/>
            <w:szCs w:val="22"/>
          </w:rPr>
          <w:tab/>
        </w:r>
        <w:r w:rsidR="00A75F23" w:rsidRPr="00FD7B93">
          <w:rPr>
            <w:rStyle w:val="Hyperlink"/>
            <w:noProof/>
          </w:rPr>
          <w:t>Streetlighting Initiative</w:t>
        </w:r>
        <w:r w:rsidR="00A75F23">
          <w:rPr>
            <w:noProof/>
            <w:webHidden/>
          </w:rPr>
          <w:tab/>
        </w:r>
        <w:r w:rsidR="00A75F23">
          <w:rPr>
            <w:noProof/>
            <w:webHidden/>
          </w:rPr>
          <w:fldChar w:fldCharType="begin"/>
        </w:r>
        <w:r w:rsidR="00A75F23">
          <w:rPr>
            <w:noProof/>
            <w:webHidden/>
          </w:rPr>
          <w:instrText xml:space="preserve"> PAGEREF _Toc27335120 \h </w:instrText>
        </w:r>
        <w:r w:rsidR="00A75F23">
          <w:rPr>
            <w:noProof/>
            <w:webHidden/>
          </w:rPr>
        </w:r>
        <w:r w:rsidR="00A75F23">
          <w:rPr>
            <w:noProof/>
            <w:webHidden/>
          </w:rPr>
          <w:fldChar w:fldCharType="separate"/>
        </w:r>
        <w:r w:rsidR="00A75F23">
          <w:rPr>
            <w:noProof/>
            <w:webHidden/>
          </w:rPr>
          <w:t>21</w:t>
        </w:r>
        <w:r w:rsidR="00A75F23">
          <w:rPr>
            <w:noProof/>
            <w:webHidden/>
          </w:rPr>
          <w:fldChar w:fldCharType="end"/>
        </w:r>
      </w:hyperlink>
    </w:p>
    <w:p w14:paraId="5A05A22A" w14:textId="4D743E9B" w:rsidR="00A75F23" w:rsidRDefault="00945A9D">
      <w:pPr>
        <w:pStyle w:val="TOC2"/>
        <w:rPr>
          <w:rFonts w:asciiTheme="minorHAnsi" w:eastAsiaTheme="minorEastAsia" w:hAnsiTheme="minorHAnsi" w:cstheme="minorBidi"/>
          <w:noProof/>
          <w:szCs w:val="22"/>
        </w:rPr>
      </w:pPr>
      <w:hyperlink w:anchor="_Toc27335121" w:history="1">
        <w:r w:rsidR="00A75F23" w:rsidRPr="00FD7B93">
          <w:rPr>
            <w:rStyle w:val="Hyperlink"/>
            <w:noProof/>
          </w:rPr>
          <w:t>4.5</w:t>
        </w:r>
        <w:r w:rsidR="00A75F23">
          <w:rPr>
            <w:rFonts w:asciiTheme="minorHAnsi" w:eastAsiaTheme="minorEastAsia" w:hAnsiTheme="minorHAnsi" w:cstheme="minorBidi"/>
            <w:noProof/>
            <w:szCs w:val="22"/>
          </w:rPr>
          <w:tab/>
        </w:r>
        <w:r w:rsidR="00A75F23" w:rsidRPr="00FD7B93">
          <w:rPr>
            <w:rStyle w:val="Hyperlink"/>
            <w:noProof/>
          </w:rPr>
          <w:t>Cross-Cutting Business Program Research</w:t>
        </w:r>
        <w:r w:rsidR="00A75F23">
          <w:rPr>
            <w:noProof/>
            <w:webHidden/>
          </w:rPr>
          <w:tab/>
        </w:r>
        <w:r w:rsidR="00A75F23">
          <w:rPr>
            <w:noProof/>
            <w:webHidden/>
          </w:rPr>
          <w:fldChar w:fldCharType="begin"/>
        </w:r>
        <w:r w:rsidR="00A75F23">
          <w:rPr>
            <w:noProof/>
            <w:webHidden/>
          </w:rPr>
          <w:instrText xml:space="preserve"> PAGEREF _Toc27335121 \h </w:instrText>
        </w:r>
        <w:r w:rsidR="00A75F23">
          <w:rPr>
            <w:noProof/>
            <w:webHidden/>
          </w:rPr>
        </w:r>
        <w:r w:rsidR="00A75F23">
          <w:rPr>
            <w:noProof/>
            <w:webHidden/>
          </w:rPr>
          <w:fldChar w:fldCharType="separate"/>
        </w:r>
        <w:r w:rsidR="00A75F23">
          <w:rPr>
            <w:noProof/>
            <w:webHidden/>
          </w:rPr>
          <w:t>21</w:t>
        </w:r>
        <w:r w:rsidR="00A75F23">
          <w:rPr>
            <w:noProof/>
            <w:webHidden/>
          </w:rPr>
          <w:fldChar w:fldCharType="end"/>
        </w:r>
      </w:hyperlink>
    </w:p>
    <w:p w14:paraId="252AFE59" w14:textId="5C91BB7F" w:rsidR="00A75F23" w:rsidRDefault="00945A9D">
      <w:pPr>
        <w:pStyle w:val="TOC1"/>
        <w:rPr>
          <w:rFonts w:asciiTheme="minorHAnsi" w:eastAsiaTheme="minorEastAsia" w:hAnsiTheme="minorHAnsi" w:cstheme="minorBidi"/>
          <w:szCs w:val="22"/>
        </w:rPr>
      </w:pPr>
      <w:hyperlink w:anchor="_Toc27335122" w:history="1">
        <w:r w:rsidR="00A75F23" w:rsidRPr="00FD7B93">
          <w:rPr>
            <w:rStyle w:val="Hyperlink"/>
          </w:rPr>
          <w:t>5.</w:t>
        </w:r>
        <w:r w:rsidR="00A75F23">
          <w:rPr>
            <w:rFonts w:asciiTheme="minorHAnsi" w:eastAsiaTheme="minorEastAsia" w:hAnsiTheme="minorHAnsi" w:cstheme="minorBidi"/>
            <w:szCs w:val="22"/>
          </w:rPr>
          <w:tab/>
        </w:r>
        <w:r w:rsidR="00A75F23" w:rsidRPr="00FD7B93">
          <w:rPr>
            <w:rStyle w:val="Hyperlink"/>
          </w:rPr>
          <w:t>Voltage Optimization Program</w:t>
        </w:r>
        <w:r w:rsidR="00A75F23">
          <w:rPr>
            <w:webHidden/>
          </w:rPr>
          <w:tab/>
        </w:r>
        <w:r w:rsidR="00A75F23">
          <w:rPr>
            <w:webHidden/>
          </w:rPr>
          <w:fldChar w:fldCharType="begin"/>
        </w:r>
        <w:r w:rsidR="00A75F23">
          <w:rPr>
            <w:webHidden/>
          </w:rPr>
          <w:instrText xml:space="preserve"> PAGEREF _Toc27335122 \h </w:instrText>
        </w:r>
        <w:r w:rsidR="00A75F23">
          <w:rPr>
            <w:webHidden/>
          </w:rPr>
        </w:r>
        <w:r w:rsidR="00A75F23">
          <w:rPr>
            <w:webHidden/>
          </w:rPr>
          <w:fldChar w:fldCharType="separate"/>
        </w:r>
        <w:r w:rsidR="00A75F23">
          <w:rPr>
            <w:webHidden/>
          </w:rPr>
          <w:t>22</w:t>
        </w:r>
        <w:r w:rsidR="00A75F23">
          <w:rPr>
            <w:webHidden/>
          </w:rPr>
          <w:fldChar w:fldCharType="end"/>
        </w:r>
      </w:hyperlink>
    </w:p>
    <w:p w14:paraId="7D6C750B" w14:textId="67794DFC" w:rsidR="00A75F23" w:rsidRDefault="00945A9D">
      <w:pPr>
        <w:pStyle w:val="TOC1"/>
        <w:rPr>
          <w:rFonts w:asciiTheme="minorHAnsi" w:eastAsiaTheme="minorEastAsia" w:hAnsiTheme="minorHAnsi" w:cstheme="minorBidi"/>
          <w:szCs w:val="22"/>
        </w:rPr>
      </w:pPr>
      <w:hyperlink w:anchor="_Toc27335123" w:history="1">
        <w:r w:rsidR="00A75F23" w:rsidRPr="00FD7B93">
          <w:rPr>
            <w:rStyle w:val="Hyperlink"/>
          </w:rPr>
          <w:t>6.</w:t>
        </w:r>
        <w:r w:rsidR="00A75F23">
          <w:rPr>
            <w:rFonts w:asciiTheme="minorHAnsi" w:eastAsiaTheme="minorEastAsia" w:hAnsiTheme="minorHAnsi" w:cstheme="minorBidi"/>
            <w:szCs w:val="22"/>
          </w:rPr>
          <w:tab/>
        </w:r>
        <w:r w:rsidR="00A75F23" w:rsidRPr="00FD7B93">
          <w:rPr>
            <w:rStyle w:val="Hyperlink"/>
          </w:rPr>
          <w:t>Portfolio-Level Evaluation Activities</w:t>
        </w:r>
        <w:r w:rsidR="00A75F23">
          <w:rPr>
            <w:webHidden/>
          </w:rPr>
          <w:tab/>
        </w:r>
        <w:r w:rsidR="00A75F23">
          <w:rPr>
            <w:webHidden/>
          </w:rPr>
          <w:fldChar w:fldCharType="begin"/>
        </w:r>
        <w:r w:rsidR="00A75F23">
          <w:rPr>
            <w:webHidden/>
          </w:rPr>
          <w:instrText xml:space="preserve"> PAGEREF _Toc27335123 \h </w:instrText>
        </w:r>
        <w:r w:rsidR="00A75F23">
          <w:rPr>
            <w:webHidden/>
          </w:rPr>
        </w:r>
        <w:r w:rsidR="00A75F23">
          <w:rPr>
            <w:webHidden/>
          </w:rPr>
          <w:fldChar w:fldCharType="separate"/>
        </w:r>
        <w:r w:rsidR="00A75F23">
          <w:rPr>
            <w:webHidden/>
          </w:rPr>
          <w:t>24</w:t>
        </w:r>
        <w:r w:rsidR="00A75F23">
          <w:rPr>
            <w:webHidden/>
          </w:rPr>
          <w:fldChar w:fldCharType="end"/>
        </w:r>
      </w:hyperlink>
    </w:p>
    <w:p w14:paraId="44D32999" w14:textId="04676267" w:rsidR="00A75F23" w:rsidRDefault="00945A9D">
      <w:pPr>
        <w:pStyle w:val="TOC2"/>
        <w:rPr>
          <w:rFonts w:asciiTheme="minorHAnsi" w:eastAsiaTheme="minorEastAsia" w:hAnsiTheme="minorHAnsi" w:cstheme="minorBidi"/>
          <w:noProof/>
          <w:szCs w:val="22"/>
        </w:rPr>
      </w:pPr>
      <w:hyperlink w:anchor="_Toc27335124" w:history="1">
        <w:r w:rsidR="00A75F23" w:rsidRPr="00FD7B93">
          <w:rPr>
            <w:rStyle w:val="Hyperlink"/>
            <w:noProof/>
          </w:rPr>
          <w:t>6.1</w:t>
        </w:r>
        <w:r w:rsidR="00A75F23">
          <w:rPr>
            <w:rFonts w:asciiTheme="minorHAnsi" w:eastAsiaTheme="minorEastAsia" w:hAnsiTheme="minorHAnsi" w:cstheme="minorBidi"/>
            <w:noProof/>
            <w:szCs w:val="22"/>
          </w:rPr>
          <w:tab/>
        </w:r>
        <w:r w:rsidR="00A75F23" w:rsidRPr="00FD7B93">
          <w:rPr>
            <w:rStyle w:val="Hyperlink"/>
            <w:noProof/>
          </w:rPr>
          <w:t>Statewide Technical Reference Manual</w:t>
        </w:r>
        <w:r w:rsidR="00A75F23">
          <w:rPr>
            <w:noProof/>
            <w:webHidden/>
          </w:rPr>
          <w:tab/>
        </w:r>
        <w:r w:rsidR="00A75F23">
          <w:rPr>
            <w:noProof/>
            <w:webHidden/>
          </w:rPr>
          <w:fldChar w:fldCharType="begin"/>
        </w:r>
        <w:r w:rsidR="00A75F23">
          <w:rPr>
            <w:noProof/>
            <w:webHidden/>
          </w:rPr>
          <w:instrText xml:space="preserve"> PAGEREF _Toc27335124 \h </w:instrText>
        </w:r>
        <w:r w:rsidR="00A75F23">
          <w:rPr>
            <w:noProof/>
            <w:webHidden/>
          </w:rPr>
        </w:r>
        <w:r w:rsidR="00A75F23">
          <w:rPr>
            <w:noProof/>
            <w:webHidden/>
          </w:rPr>
          <w:fldChar w:fldCharType="separate"/>
        </w:r>
        <w:r w:rsidR="00A75F23">
          <w:rPr>
            <w:noProof/>
            <w:webHidden/>
          </w:rPr>
          <w:t>24</w:t>
        </w:r>
        <w:r w:rsidR="00A75F23">
          <w:rPr>
            <w:noProof/>
            <w:webHidden/>
          </w:rPr>
          <w:fldChar w:fldCharType="end"/>
        </w:r>
      </w:hyperlink>
    </w:p>
    <w:p w14:paraId="73EF9D22" w14:textId="7F17E23A" w:rsidR="00A75F23" w:rsidRDefault="00945A9D">
      <w:pPr>
        <w:pStyle w:val="TOC2"/>
        <w:rPr>
          <w:rFonts w:asciiTheme="minorHAnsi" w:eastAsiaTheme="minorEastAsia" w:hAnsiTheme="minorHAnsi" w:cstheme="minorBidi"/>
          <w:noProof/>
          <w:szCs w:val="22"/>
        </w:rPr>
      </w:pPr>
      <w:hyperlink w:anchor="_Toc27335125" w:history="1">
        <w:r w:rsidR="00A75F23" w:rsidRPr="00FD7B93">
          <w:rPr>
            <w:rStyle w:val="Hyperlink"/>
            <w:noProof/>
          </w:rPr>
          <w:t>6.2</w:t>
        </w:r>
        <w:r w:rsidR="00A75F23">
          <w:rPr>
            <w:rFonts w:asciiTheme="minorHAnsi" w:eastAsiaTheme="minorEastAsia" w:hAnsiTheme="minorHAnsi" w:cstheme="minorBidi"/>
            <w:noProof/>
            <w:szCs w:val="22"/>
          </w:rPr>
          <w:tab/>
        </w:r>
        <w:r w:rsidR="00A75F23" w:rsidRPr="00FD7B93">
          <w:rPr>
            <w:rStyle w:val="Hyperlink"/>
            <w:noProof/>
          </w:rPr>
          <w:t>Cost Effectiveness Analysis</w:t>
        </w:r>
        <w:r w:rsidR="00A75F23">
          <w:rPr>
            <w:noProof/>
            <w:webHidden/>
          </w:rPr>
          <w:tab/>
        </w:r>
        <w:r w:rsidR="00A75F23">
          <w:rPr>
            <w:noProof/>
            <w:webHidden/>
          </w:rPr>
          <w:fldChar w:fldCharType="begin"/>
        </w:r>
        <w:r w:rsidR="00A75F23">
          <w:rPr>
            <w:noProof/>
            <w:webHidden/>
          </w:rPr>
          <w:instrText xml:space="preserve"> PAGEREF _Toc27335125 \h </w:instrText>
        </w:r>
        <w:r w:rsidR="00A75F23">
          <w:rPr>
            <w:noProof/>
            <w:webHidden/>
          </w:rPr>
        </w:r>
        <w:r w:rsidR="00A75F23">
          <w:rPr>
            <w:noProof/>
            <w:webHidden/>
          </w:rPr>
          <w:fldChar w:fldCharType="separate"/>
        </w:r>
        <w:r w:rsidR="00A75F23">
          <w:rPr>
            <w:noProof/>
            <w:webHidden/>
          </w:rPr>
          <w:t>24</w:t>
        </w:r>
        <w:r w:rsidR="00A75F23">
          <w:rPr>
            <w:noProof/>
            <w:webHidden/>
          </w:rPr>
          <w:fldChar w:fldCharType="end"/>
        </w:r>
      </w:hyperlink>
    </w:p>
    <w:p w14:paraId="4A6C174A" w14:textId="6F249FE4" w:rsidR="00A75F23" w:rsidRDefault="00945A9D">
      <w:pPr>
        <w:pStyle w:val="TOC2"/>
        <w:rPr>
          <w:rFonts w:asciiTheme="minorHAnsi" w:eastAsiaTheme="minorEastAsia" w:hAnsiTheme="minorHAnsi" w:cstheme="minorBidi"/>
          <w:noProof/>
          <w:szCs w:val="22"/>
        </w:rPr>
      </w:pPr>
      <w:hyperlink w:anchor="_Toc27335126" w:history="1">
        <w:r w:rsidR="00A75F23" w:rsidRPr="00FD7B93">
          <w:rPr>
            <w:rStyle w:val="Hyperlink"/>
            <w:noProof/>
          </w:rPr>
          <w:t>6.3</w:t>
        </w:r>
        <w:r w:rsidR="00A75F23">
          <w:rPr>
            <w:rFonts w:asciiTheme="minorHAnsi" w:eastAsiaTheme="minorEastAsia" w:hAnsiTheme="minorHAnsi" w:cstheme="minorBidi"/>
            <w:noProof/>
            <w:szCs w:val="22"/>
          </w:rPr>
          <w:tab/>
        </w:r>
        <w:r w:rsidR="00A75F23" w:rsidRPr="00FD7B93">
          <w:rPr>
            <w:rStyle w:val="Hyperlink"/>
            <w:noProof/>
          </w:rPr>
          <w:t>QA/QC Process</w:t>
        </w:r>
        <w:r w:rsidR="00A75F23">
          <w:rPr>
            <w:noProof/>
            <w:webHidden/>
          </w:rPr>
          <w:tab/>
        </w:r>
        <w:r w:rsidR="00A75F23">
          <w:rPr>
            <w:noProof/>
            <w:webHidden/>
          </w:rPr>
          <w:fldChar w:fldCharType="begin"/>
        </w:r>
        <w:r w:rsidR="00A75F23">
          <w:rPr>
            <w:noProof/>
            <w:webHidden/>
          </w:rPr>
          <w:instrText xml:space="preserve"> PAGEREF _Toc27335126 \h </w:instrText>
        </w:r>
        <w:r w:rsidR="00A75F23">
          <w:rPr>
            <w:noProof/>
            <w:webHidden/>
          </w:rPr>
        </w:r>
        <w:r w:rsidR="00A75F23">
          <w:rPr>
            <w:noProof/>
            <w:webHidden/>
          </w:rPr>
          <w:fldChar w:fldCharType="separate"/>
        </w:r>
        <w:r w:rsidR="00A75F23">
          <w:rPr>
            <w:noProof/>
            <w:webHidden/>
          </w:rPr>
          <w:t>25</w:t>
        </w:r>
        <w:r w:rsidR="00A75F23">
          <w:rPr>
            <w:noProof/>
            <w:webHidden/>
          </w:rPr>
          <w:fldChar w:fldCharType="end"/>
        </w:r>
      </w:hyperlink>
    </w:p>
    <w:p w14:paraId="2FC64820" w14:textId="79776738" w:rsidR="00A75F23" w:rsidRDefault="00945A9D">
      <w:pPr>
        <w:pStyle w:val="TOC2"/>
        <w:rPr>
          <w:rFonts w:asciiTheme="minorHAnsi" w:eastAsiaTheme="minorEastAsia" w:hAnsiTheme="minorHAnsi" w:cstheme="minorBidi"/>
          <w:noProof/>
          <w:szCs w:val="22"/>
        </w:rPr>
      </w:pPr>
      <w:hyperlink w:anchor="_Toc27335127" w:history="1">
        <w:r w:rsidR="00A75F23" w:rsidRPr="00FD7B93">
          <w:rPr>
            <w:rStyle w:val="Hyperlink"/>
            <w:noProof/>
          </w:rPr>
          <w:t>6.4</w:t>
        </w:r>
        <w:r w:rsidR="00A75F23">
          <w:rPr>
            <w:rFonts w:asciiTheme="minorHAnsi" w:eastAsiaTheme="minorEastAsia" w:hAnsiTheme="minorHAnsi" w:cstheme="minorBidi"/>
            <w:noProof/>
            <w:szCs w:val="22"/>
          </w:rPr>
          <w:tab/>
        </w:r>
        <w:r w:rsidR="00A75F23" w:rsidRPr="00FD7B93">
          <w:rPr>
            <w:rStyle w:val="Hyperlink"/>
            <w:noProof/>
          </w:rPr>
          <w:t>Reporting</w:t>
        </w:r>
        <w:r w:rsidR="00A75F23">
          <w:rPr>
            <w:noProof/>
            <w:webHidden/>
          </w:rPr>
          <w:tab/>
        </w:r>
        <w:r w:rsidR="00A75F23">
          <w:rPr>
            <w:noProof/>
            <w:webHidden/>
          </w:rPr>
          <w:fldChar w:fldCharType="begin"/>
        </w:r>
        <w:r w:rsidR="00A75F23">
          <w:rPr>
            <w:noProof/>
            <w:webHidden/>
          </w:rPr>
          <w:instrText xml:space="preserve"> PAGEREF _Toc27335127 \h </w:instrText>
        </w:r>
        <w:r w:rsidR="00A75F23">
          <w:rPr>
            <w:noProof/>
            <w:webHidden/>
          </w:rPr>
        </w:r>
        <w:r w:rsidR="00A75F23">
          <w:rPr>
            <w:noProof/>
            <w:webHidden/>
          </w:rPr>
          <w:fldChar w:fldCharType="separate"/>
        </w:r>
        <w:r w:rsidR="00A75F23">
          <w:rPr>
            <w:noProof/>
            <w:webHidden/>
          </w:rPr>
          <w:t>26</w:t>
        </w:r>
        <w:r w:rsidR="00A75F23">
          <w:rPr>
            <w:noProof/>
            <w:webHidden/>
          </w:rPr>
          <w:fldChar w:fldCharType="end"/>
        </w:r>
      </w:hyperlink>
    </w:p>
    <w:p w14:paraId="0B01DF3C" w14:textId="64C9D016" w:rsidR="00922E89" w:rsidRDefault="001C674D" w:rsidP="00F4018C">
      <w:pPr>
        <w:pStyle w:val="TableofContentsStyle1"/>
      </w:pPr>
      <w:r>
        <w:rPr>
          <w:noProof/>
        </w:rPr>
        <w:lastRenderedPageBreak/>
        <w:fldChar w:fldCharType="end"/>
      </w:r>
      <w:bookmarkStart w:id="1" w:name="_Toc365460157"/>
      <w:bookmarkStart w:id="2" w:name="_Toc365460289"/>
      <w:r w:rsidR="00EC7E83" w:rsidRPr="00B469B4">
        <w:t>Table of Tables</w:t>
      </w:r>
      <w:bookmarkEnd w:id="1"/>
      <w:bookmarkEnd w:id="2"/>
    </w:p>
    <w:p w14:paraId="1A3A8620" w14:textId="36E01904" w:rsidR="00A75F23" w:rsidRDefault="008214AF">
      <w:pPr>
        <w:pStyle w:val="TableofFigures"/>
        <w:tabs>
          <w:tab w:val="right" w:leader="dot" w:pos="10070"/>
        </w:tabs>
        <w:rPr>
          <w:rFonts w:asciiTheme="minorHAnsi" w:eastAsiaTheme="minorEastAsia" w:hAnsiTheme="minorHAnsi" w:cstheme="minorBidi"/>
          <w:noProof/>
          <w:szCs w:val="22"/>
        </w:rPr>
      </w:pPr>
      <w:r>
        <w:fldChar w:fldCharType="begin"/>
      </w:r>
      <w:r>
        <w:instrText xml:space="preserve"> TOC \h \z \c "Table" </w:instrText>
      </w:r>
      <w:r>
        <w:fldChar w:fldCharType="separate"/>
      </w:r>
      <w:hyperlink w:anchor="_Toc27335128" w:history="1">
        <w:r w:rsidR="00A75F23" w:rsidRPr="00DA69DF">
          <w:rPr>
            <w:rStyle w:val="Hyperlink"/>
            <w:noProof/>
          </w:rPr>
          <w:t>Table 1. AIC 2018-2021 Energy Efficiency Programs and Initiatives</w:t>
        </w:r>
        <w:r w:rsidR="00A75F23">
          <w:rPr>
            <w:noProof/>
            <w:webHidden/>
          </w:rPr>
          <w:tab/>
        </w:r>
        <w:r w:rsidR="00A75F23">
          <w:rPr>
            <w:noProof/>
            <w:webHidden/>
          </w:rPr>
          <w:fldChar w:fldCharType="begin"/>
        </w:r>
        <w:r w:rsidR="00A75F23">
          <w:rPr>
            <w:noProof/>
            <w:webHidden/>
          </w:rPr>
          <w:instrText xml:space="preserve"> PAGEREF _Toc27335128 \h </w:instrText>
        </w:r>
        <w:r w:rsidR="00A75F23">
          <w:rPr>
            <w:noProof/>
            <w:webHidden/>
          </w:rPr>
        </w:r>
        <w:r w:rsidR="00A75F23">
          <w:rPr>
            <w:noProof/>
            <w:webHidden/>
          </w:rPr>
          <w:fldChar w:fldCharType="separate"/>
        </w:r>
        <w:r w:rsidR="00A75F23">
          <w:rPr>
            <w:noProof/>
            <w:webHidden/>
          </w:rPr>
          <w:t>5</w:t>
        </w:r>
        <w:r w:rsidR="00A75F23">
          <w:rPr>
            <w:noProof/>
            <w:webHidden/>
          </w:rPr>
          <w:fldChar w:fldCharType="end"/>
        </w:r>
      </w:hyperlink>
    </w:p>
    <w:p w14:paraId="5238321F" w14:textId="30178B97"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29" w:history="1">
        <w:r w:rsidR="00A75F23" w:rsidRPr="00DA69DF">
          <w:rPr>
            <w:rStyle w:val="Hyperlink"/>
            <w:noProof/>
          </w:rPr>
          <w:t>Table 2. Savings-Related Terminology and Definitions</w:t>
        </w:r>
        <w:r w:rsidR="00A75F23">
          <w:rPr>
            <w:noProof/>
            <w:webHidden/>
          </w:rPr>
          <w:tab/>
        </w:r>
        <w:r w:rsidR="00A75F23">
          <w:rPr>
            <w:noProof/>
            <w:webHidden/>
          </w:rPr>
          <w:fldChar w:fldCharType="begin"/>
        </w:r>
        <w:r w:rsidR="00A75F23">
          <w:rPr>
            <w:noProof/>
            <w:webHidden/>
          </w:rPr>
          <w:instrText xml:space="preserve"> PAGEREF _Toc27335129 \h </w:instrText>
        </w:r>
        <w:r w:rsidR="00A75F23">
          <w:rPr>
            <w:noProof/>
            <w:webHidden/>
          </w:rPr>
        </w:r>
        <w:r w:rsidR="00A75F23">
          <w:rPr>
            <w:noProof/>
            <w:webHidden/>
          </w:rPr>
          <w:fldChar w:fldCharType="separate"/>
        </w:r>
        <w:r w:rsidR="00A75F23">
          <w:rPr>
            <w:noProof/>
            <w:webHidden/>
          </w:rPr>
          <w:t>9</w:t>
        </w:r>
        <w:r w:rsidR="00A75F23">
          <w:rPr>
            <w:noProof/>
            <w:webHidden/>
          </w:rPr>
          <w:fldChar w:fldCharType="end"/>
        </w:r>
      </w:hyperlink>
    </w:p>
    <w:p w14:paraId="50E7A774" w14:textId="37C8C705"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30" w:history="1">
        <w:r w:rsidR="00A75F23" w:rsidRPr="00DA69DF">
          <w:rPr>
            <w:rStyle w:val="Hyperlink"/>
            <w:noProof/>
          </w:rPr>
          <w:t>Table 3. Impact Evaluation Activity Definitions</w:t>
        </w:r>
        <w:r w:rsidR="00A75F23">
          <w:rPr>
            <w:noProof/>
            <w:webHidden/>
          </w:rPr>
          <w:tab/>
        </w:r>
        <w:r w:rsidR="00A75F23">
          <w:rPr>
            <w:noProof/>
            <w:webHidden/>
          </w:rPr>
          <w:fldChar w:fldCharType="begin"/>
        </w:r>
        <w:r w:rsidR="00A75F23">
          <w:rPr>
            <w:noProof/>
            <w:webHidden/>
          </w:rPr>
          <w:instrText xml:space="preserve"> PAGEREF _Toc27335130 \h </w:instrText>
        </w:r>
        <w:r w:rsidR="00A75F23">
          <w:rPr>
            <w:noProof/>
            <w:webHidden/>
          </w:rPr>
        </w:r>
        <w:r w:rsidR="00A75F23">
          <w:rPr>
            <w:noProof/>
            <w:webHidden/>
          </w:rPr>
          <w:fldChar w:fldCharType="separate"/>
        </w:r>
        <w:r w:rsidR="00A75F23">
          <w:rPr>
            <w:noProof/>
            <w:webHidden/>
          </w:rPr>
          <w:t>10</w:t>
        </w:r>
        <w:r w:rsidR="00A75F23">
          <w:rPr>
            <w:noProof/>
            <w:webHidden/>
          </w:rPr>
          <w:fldChar w:fldCharType="end"/>
        </w:r>
      </w:hyperlink>
    </w:p>
    <w:p w14:paraId="620FDEF6" w14:textId="0709F098"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31" w:history="1">
        <w:r w:rsidR="00A75F23" w:rsidRPr="00DA69DF">
          <w:rPr>
            <w:rStyle w:val="Hyperlink"/>
            <w:noProof/>
          </w:rPr>
          <w:t>Table 4. Retail Products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_Toc27335131 \h </w:instrText>
        </w:r>
        <w:r w:rsidR="00A75F23">
          <w:rPr>
            <w:noProof/>
            <w:webHidden/>
          </w:rPr>
        </w:r>
        <w:r w:rsidR="00A75F23">
          <w:rPr>
            <w:noProof/>
            <w:webHidden/>
          </w:rPr>
          <w:fldChar w:fldCharType="separate"/>
        </w:r>
        <w:r w:rsidR="00A75F23">
          <w:rPr>
            <w:noProof/>
            <w:webHidden/>
          </w:rPr>
          <w:t>11</w:t>
        </w:r>
        <w:r w:rsidR="00A75F23">
          <w:rPr>
            <w:noProof/>
            <w:webHidden/>
          </w:rPr>
          <w:fldChar w:fldCharType="end"/>
        </w:r>
      </w:hyperlink>
    </w:p>
    <w:p w14:paraId="15E96AB2" w14:textId="6B9DF6E7"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32" w:history="1">
        <w:r w:rsidR="00A75F23" w:rsidRPr="00DA69DF">
          <w:rPr>
            <w:rStyle w:val="Hyperlink"/>
            <w:noProof/>
          </w:rPr>
          <w:t>Table 5. Income Qualified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_Toc27335132 \h </w:instrText>
        </w:r>
        <w:r w:rsidR="00A75F23">
          <w:rPr>
            <w:noProof/>
            <w:webHidden/>
          </w:rPr>
        </w:r>
        <w:r w:rsidR="00A75F23">
          <w:rPr>
            <w:noProof/>
            <w:webHidden/>
          </w:rPr>
          <w:fldChar w:fldCharType="separate"/>
        </w:r>
        <w:r w:rsidR="00A75F23">
          <w:rPr>
            <w:noProof/>
            <w:webHidden/>
          </w:rPr>
          <w:t>12</w:t>
        </w:r>
        <w:r w:rsidR="00A75F23">
          <w:rPr>
            <w:noProof/>
            <w:webHidden/>
          </w:rPr>
          <w:fldChar w:fldCharType="end"/>
        </w:r>
      </w:hyperlink>
    </w:p>
    <w:p w14:paraId="36AEF4A6" w14:textId="1D711CC3"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33" w:history="1">
        <w:r w:rsidR="00A75F23" w:rsidRPr="00DA69DF">
          <w:rPr>
            <w:rStyle w:val="Hyperlink"/>
            <w:noProof/>
          </w:rPr>
          <w:t>Table 6. Public Housing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_Toc27335133 \h </w:instrText>
        </w:r>
        <w:r w:rsidR="00A75F23">
          <w:rPr>
            <w:noProof/>
            <w:webHidden/>
          </w:rPr>
        </w:r>
        <w:r w:rsidR="00A75F23">
          <w:rPr>
            <w:noProof/>
            <w:webHidden/>
          </w:rPr>
          <w:fldChar w:fldCharType="separate"/>
        </w:r>
        <w:r w:rsidR="00A75F23">
          <w:rPr>
            <w:noProof/>
            <w:webHidden/>
          </w:rPr>
          <w:t>13</w:t>
        </w:r>
        <w:r w:rsidR="00A75F23">
          <w:rPr>
            <w:noProof/>
            <w:webHidden/>
          </w:rPr>
          <w:fldChar w:fldCharType="end"/>
        </w:r>
      </w:hyperlink>
    </w:p>
    <w:p w14:paraId="70EC50CE" w14:textId="2A1715D2"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34" w:history="1">
        <w:r w:rsidR="00A75F23" w:rsidRPr="00DA69DF">
          <w:rPr>
            <w:rStyle w:val="Hyperlink"/>
            <w:noProof/>
          </w:rPr>
          <w:t>Table 7. Residential Behavioral Modification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_Toc27335134 \h </w:instrText>
        </w:r>
        <w:r w:rsidR="00A75F23">
          <w:rPr>
            <w:noProof/>
            <w:webHidden/>
          </w:rPr>
        </w:r>
        <w:r w:rsidR="00A75F23">
          <w:rPr>
            <w:noProof/>
            <w:webHidden/>
          </w:rPr>
          <w:fldChar w:fldCharType="separate"/>
        </w:r>
        <w:r w:rsidR="00A75F23">
          <w:rPr>
            <w:noProof/>
            <w:webHidden/>
          </w:rPr>
          <w:t>14</w:t>
        </w:r>
        <w:r w:rsidR="00A75F23">
          <w:rPr>
            <w:noProof/>
            <w:webHidden/>
          </w:rPr>
          <w:fldChar w:fldCharType="end"/>
        </w:r>
      </w:hyperlink>
    </w:p>
    <w:p w14:paraId="34E4DA22" w14:textId="5C587C18"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35" w:history="1">
        <w:r w:rsidR="00A75F23" w:rsidRPr="00DA69DF">
          <w:rPr>
            <w:rStyle w:val="Hyperlink"/>
            <w:noProof/>
          </w:rPr>
          <w:t>Table 8. HVAC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_Toc27335135 \h </w:instrText>
        </w:r>
        <w:r w:rsidR="00A75F23">
          <w:rPr>
            <w:noProof/>
            <w:webHidden/>
          </w:rPr>
        </w:r>
        <w:r w:rsidR="00A75F23">
          <w:rPr>
            <w:noProof/>
            <w:webHidden/>
          </w:rPr>
          <w:fldChar w:fldCharType="separate"/>
        </w:r>
        <w:r w:rsidR="00A75F23">
          <w:rPr>
            <w:noProof/>
            <w:webHidden/>
          </w:rPr>
          <w:t>15</w:t>
        </w:r>
        <w:r w:rsidR="00A75F23">
          <w:rPr>
            <w:noProof/>
            <w:webHidden/>
          </w:rPr>
          <w:fldChar w:fldCharType="end"/>
        </w:r>
      </w:hyperlink>
    </w:p>
    <w:p w14:paraId="4A912863" w14:textId="283906F1"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36" w:history="1">
        <w:r w:rsidR="00A75F23" w:rsidRPr="00DA69DF">
          <w:rPr>
            <w:rStyle w:val="Hyperlink"/>
            <w:noProof/>
          </w:rPr>
          <w:t>Table 9. Appliance Recycling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_Toc27335136 \h </w:instrText>
        </w:r>
        <w:r w:rsidR="00A75F23">
          <w:rPr>
            <w:noProof/>
            <w:webHidden/>
          </w:rPr>
        </w:r>
        <w:r w:rsidR="00A75F23">
          <w:rPr>
            <w:noProof/>
            <w:webHidden/>
          </w:rPr>
          <w:fldChar w:fldCharType="separate"/>
        </w:r>
        <w:r w:rsidR="00A75F23">
          <w:rPr>
            <w:noProof/>
            <w:webHidden/>
          </w:rPr>
          <w:t>15</w:t>
        </w:r>
        <w:r w:rsidR="00A75F23">
          <w:rPr>
            <w:noProof/>
            <w:webHidden/>
          </w:rPr>
          <w:fldChar w:fldCharType="end"/>
        </w:r>
      </w:hyperlink>
    </w:p>
    <w:p w14:paraId="3DC7363B" w14:textId="2D44758F"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37" w:history="1">
        <w:r w:rsidR="00A75F23" w:rsidRPr="00DA69DF">
          <w:rPr>
            <w:rStyle w:val="Hyperlink"/>
            <w:noProof/>
          </w:rPr>
          <w:t>Table 10. Multifamily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_Toc27335137 \h </w:instrText>
        </w:r>
        <w:r w:rsidR="00A75F23">
          <w:rPr>
            <w:noProof/>
            <w:webHidden/>
          </w:rPr>
        </w:r>
        <w:r w:rsidR="00A75F23">
          <w:rPr>
            <w:noProof/>
            <w:webHidden/>
          </w:rPr>
          <w:fldChar w:fldCharType="separate"/>
        </w:r>
        <w:r w:rsidR="00A75F23">
          <w:rPr>
            <w:noProof/>
            <w:webHidden/>
          </w:rPr>
          <w:t>16</w:t>
        </w:r>
        <w:r w:rsidR="00A75F23">
          <w:rPr>
            <w:noProof/>
            <w:webHidden/>
          </w:rPr>
          <w:fldChar w:fldCharType="end"/>
        </w:r>
      </w:hyperlink>
    </w:p>
    <w:p w14:paraId="1E784E3A" w14:textId="45A91475"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38" w:history="1">
        <w:r w:rsidR="00A75F23" w:rsidRPr="00DA69DF">
          <w:rPr>
            <w:rStyle w:val="Hyperlink"/>
            <w:noProof/>
          </w:rPr>
          <w:t>Table 11. Direct Distribution of Efficient Products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_Toc27335138 \h </w:instrText>
        </w:r>
        <w:r w:rsidR="00A75F23">
          <w:rPr>
            <w:noProof/>
            <w:webHidden/>
          </w:rPr>
        </w:r>
        <w:r w:rsidR="00A75F23">
          <w:rPr>
            <w:noProof/>
            <w:webHidden/>
          </w:rPr>
          <w:fldChar w:fldCharType="separate"/>
        </w:r>
        <w:r w:rsidR="00A75F23">
          <w:rPr>
            <w:noProof/>
            <w:webHidden/>
          </w:rPr>
          <w:t>17</w:t>
        </w:r>
        <w:r w:rsidR="00A75F23">
          <w:rPr>
            <w:noProof/>
            <w:webHidden/>
          </w:rPr>
          <w:fldChar w:fldCharType="end"/>
        </w:r>
      </w:hyperlink>
    </w:p>
    <w:p w14:paraId="085DC3EA" w14:textId="1C6E34A8"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39" w:history="1">
        <w:r w:rsidR="00A75F23" w:rsidRPr="00DA69DF">
          <w:rPr>
            <w:rStyle w:val="Hyperlink"/>
            <w:noProof/>
          </w:rPr>
          <w:t>Table 12. Standard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_Toc27335139 \h </w:instrText>
        </w:r>
        <w:r w:rsidR="00A75F23">
          <w:rPr>
            <w:noProof/>
            <w:webHidden/>
          </w:rPr>
        </w:r>
        <w:r w:rsidR="00A75F23">
          <w:rPr>
            <w:noProof/>
            <w:webHidden/>
          </w:rPr>
          <w:fldChar w:fldCharType="separate"/>
        </w:r>
        <w:r w:rsidR="00A75F23">
          <w:rPr>
            <w:noProof/>
            <w:webHidden/>
          </w:rPr>
          <w:t>18</w:t>
        </w:r>
        <w:r w:rsidR="00A75F23">
          <w:rPr>
            <w:noProof/>
            <w:webHidden/>
          </w:rPr>
          <w:fldChar w:fldCharType="end"/>
        </w:r>
      </w:hyperlink>
    </w:p>
    <w:p w14:paraId="1031AE5E" w14:textId="0F3888B7"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40" w:history="1">
        <w:r w:rsidR="00A75F23" w:rsidRPr="00DA69DF">
          <w:rPr>
            <w:rStyle w:val="Hyperlink"/>
            <w:noProof/>
          </w:rPr>
          <w:t>Table 13. Custom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_Toc27335140 \h </w:instrText>
        </w:r>
        <w:r w:rsidR="00A75F23">
          <w:rPr>
            <w:noProof/>
            <w:webHidden/>
          </w:rPr>
        </w:r>
        <w:r w:rsidR="00A75F23">
          <w:rPr>
            <w:noProof/>
            <w:webHidden/>
          </w:rPr>
          <w:fldChar w:fldCharType="separate"/>
        </w:r>
        <w:r w:rsidR="00A75F23">
          <w:rPr>
            <w:noProof/>
            <w:webHidden/>
          </w:rPr>
          <w:t>19</w:t>
        </w:r>
        <w:r w:rsidR="00A75F23">
          <w:rPr>
            <w:noProof/>
            <w:webHidden/>
          </w:rPr>
          <w:fldChar w:fldCharType="end"/>
        </w:r>
      </w:hyperlink>
    </w:p>
    <w:p w14:paraId="5CFB1521" w14:textId="75ABE5B1"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41" w:history="1">
        <w:r w:rsidR="00A75F23" w:rsidRPr="00DA69DF">
          <w:rPr>
            <w:rStyle w:val="Hyperlink"/>
            <w:noProof/>
          </w:rPr>
          <w:t>Table 14. Retro-Commissioning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_Toc27335141 \h </w:instrText>
        </w:r>
        <w:r w:rsidR="00A75F23">
          <w:rPr>
            <w:noProof/>
            <w:webHidden/>
          </w:rPr>
        </w:r>
        <w:r w:rsidR="00A75F23">
          <w:rPr>
            <w:noProof/>
            <w:webHidden/>
          </w:rPr>
          <w:fldChar w:fldCharType="separate"/>
        </w:r>
        <w:r w:rsidR="00A75F23">
          <w:rPr>
            <w:noProof/>
            <w:webHidden/>
          </w:rPr>
          <w:t>20</w:t>
        </w:r>
        <w:r w:rsidR="00A75F23">
          <w:rPr>
            <w:noProof/>
            <w:webHidden/>
          </w:rPr>
          <w:fldChar w:fldCharType="end"/>
        </w:r>
      </w:hyperlink>
    </w:p>
    <w:p w14:paraId="276669AF" w14:textId="759D5A04"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42" w:history="1">
        <w:r w:rsidR="00A75F23" w:rsidRPr="00DA69DF">
          <w:rPr>
            <w:rStyle w:val="Hyperlink"/>
            <w:noProof/>
          </w:rPr>
          <w:t>Table 15. Streetlighting Initiative Evaluation Activities – Four Year Plan</w:t>
        </w:r>
        <w:r w:rsidR="00A75F23">
          <w:rPr>
            <w:noProof/>
            <w:webHidden/>
          </w:rPr>
          <w:tab/>
        </w:r>
        <w:r w:rsidR="00A75F23">
          <w:rPr>
            <w:noProof/>
            <w:webHidden/>
          </w:rPr>
          <w:fldChar w:fldCharType="begin"/>
        </w:r>
        <w:r w:rsidR="00A75F23">
          <w:rPr>
            <w:noProof/>
            <w:webHidden/>
          </w:rPr>
          <w:instrText xml:space="preserve"> PAGEREF _Toc27335142 \h </w:instrText>
        </w:r>
        <w:r w:rsidR="00A75F23">
          <w:rPr>
            <w:noProof/>
            <w:webHidden/>
          </w:rPr>
        </w:r>
        <w:r w:rsidR="00A75F23">
          <w:rPr>
            <w:noProof/>
            <w:webHidden/>
          </w:rPr>
          <w:fldChar w:fldCharType="separate"/>
        </w:r>
        <w:r w:rsidR="00A75F23">
          <w:rPr>
            <w:noProof/>
            <w:webHidden/>
          </w:rPr>
          <w:t>21</w:t>
        </w:r>
        <w:r w:rsidR="00A75F23">
          <w:rPr>
            <w:noProof/>
            <w:webHidden/>
          </w:rPr>
          <w:fldChar w:fldCharType="end"/>
        </w:r>
      </w:hyperlink>
    </w:p>
    <w:p w14:paraId="1EF1181F" w14:textId="5609915E"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43" w:history="1">
        <w:r w:rsidR="00A75F23" w:rsidRPr="00DA69DF">
          <w:rPr>
            <w:rStyle w:val="Hyperlink"/>
            <w:noProof/>
          </w:rPr>
          <w:t>Table 17. Cross-Cutting Business Program Research Activities by Year</w:t>
        </w:r>
        <w:r w:rsidR="00A75F23">
          <w:rPr>
            <w:noProof/>
            <w:webHidden/>
          </w:rPr>
          <w:tab/>
        </w:r>
        <w:r w:rsidR="00A75F23">
          <w:rPr>
            <w:noProof/>
            <w:webHidden/>
          </w:rPr>
          <w:fldChar w:fldCharType="begin"/>
        </w:r>
        <w:r w:rsidR="00A75F23">
          <w:rPr>
            <w:noProof/>
            <w:webHidden/>
          </w:rPr>
          <w:instrText xml:space="preserve"> PAGEREF _Toc27335143 \h </w:instrText>
        </w:r>
        <w:r w:rsidR="00A75F23">
          <w:rPr>
            <w:noProof/>
            <w:webHidden/>
          </w:rPr>
        </w:r>
        <w:r w:rsidR="00A75F23">
          <w:rPr>
            <w:noProof/>
            <w:webHidden/>
          </w:rPr>
          <w:fldChar w:fldCharType="separate"/>
        </w:r>
        <w:r w:rsidR="00A75F23">
          <w:rPr>
            <w:noProof/>
            <w:webHidden/>
          </w:rPr>
          <w:t>22</w:t>
        </w:r>
        <w:r w:rsidR="00A75F23">
          <w:rPr>
            <w:noProof/>
            <w:webHidden/>
          </w:rPr>
          <w:fldChar w:fldCharType="end"/>
        </w:r>
      </w:hyperlink>
    </w:p>
    <w:p w14:paraId="223723EC" w14:textId="72F4EEBF"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44" w:history="1">
        <w:r w:rsidR="00A75F23" w:rsidRPr="00DA69DF">
          <w:rPr>
            <w:rStyle w:val="Hyperlink"/>
            <w:noProof/>
          </w:rPr>
          <w:t>Table 18. Voltage Optimization Evaluation Activities – Three Year Plan</w:t>
        </w:r>
        <w:r w:rsidR="00A75F23">
          <w:rPr>
            <w:noProof/>
            <w:webHidden/>
          </w:rPr>
          <w:tab/>
        </w:r>
        <w:r w:rsidR="00A75F23">
          <w:rPr>
            <w:noProof/>
            <w:webHidden/>
          </w:rPr>
          <w:fldChar w:fldCharType="begin"/>
        </w:r>
        <w:r w:rsidR="00A75F23">
          <w:rPr>
            <w:noProof/>
            <w:webHidden/>
          </w:rPr>
          <w:instrText xml:space="preserve"> PAGEREF _Toc27335144 \h </w:instrText>
        </w:r>
        <w:r w:rsidR="00A75F23">
          <w:rPr>
            <w:noProof/>
            <w:webHidden/>
          </w:rPr>
        </w:r>
        <w:r w:rsidR="00A75F23">
          <w:rPr>
            <w:noProof/>
            <w:webHidden/>
          </w:rPr>
          <w:fldChar w:fldCharType="separate"/>
        </w:r>
        <w:r w:rsidR="00A75F23">
          <w:rPr>
            <w:noProof/>
            <w:webHidden/>
          </w:rPr>
          <w:t>22</w:t>
        </w:r>
        <w:r w:rsidR="00A75F23">
          <w:rPr>
            <w:noProof/>
            <w:webHidden/>
          </w:rPr>
          <w:fldChar w:fldCharType="end"/>
        </w:r>
      </w:hyperlink>
    </w:p>
    <w:p w14:paraId="3869D33A" w14:textId="1FE2A83F"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45" w:history="1">
        <w:r w:rsidR="00A75F23" w:rsidRPr="00DA69DF">
          <w:rPr>
            <w:rStyle w:val="Hyperlink"/>
            <w:noProof/>
          </w:rPr>
          <w:t>Table 19. Planned IL-TRM Research Activities</w:t>
        </w:r>
        <w:r w:rsidR="00A75F23">
          <w:rPr>
            <w:noProof/>
            <w:webHidden/>
          </w:rPr>
          <w:tab/>
        </w:r>
        <w:r w:rsidR="00A75F23">
          <w:rPr>
            <w:noProof/>
            <w:webHidden/>
          </w:rPr>
          <w:fldChar w:fldCharType="begin"/>
        </w:r>
        <w:r w:rsidR="00A75F23">
          <w:rPr>
            <w:noProof/>
            <w:webHidden/>
          </w:rPr>
          <w:instrText xml:space="preserve"> PAGEREF _Toc27335145 \h </w:instrText>
        </w:r>
        <w:r w:rsidR="00A75F23">
          <w:rPr>
            <w:noProof/>
            <w:webHidden/>
          </w:rPr>
        </w:r>
        <w:r w:rsidR="00A75F23">
          <w:rPr>
            <w:noProof/>
            <w:webHidden/>
          </w:rPr>
          <w:fldChar w:fldCharType="separate"/>
        </w:r>
        <w:r w:rsidR="00A75F23">
          <w:rPr>
            <w:noProof/>
            <w:webHidden/>
          </w:rPr>
          <w:t>24</w:t>
        </w:r>
        <w:r w:rsidR="00A75F23">
          <w:rPr>
            <w:noProof/>
            <w:webHidden/>
          </w:rPr>
          <w:fldChar w:fldCharType="end"/>
        </w:r>
      </w:hyperlink>
    </w:p>
    <w:p w14:paraId="11961064" w14:textId="4ED91E47" w:rsidR="00AE5D92" w:rsidRDefault="008214AF" w:rsidP="00127B25">
      <w:pPr>
        <w:pStyle w:val="ODCBodyText"/>
      </w:pPr>
      <w:r>
        <w:fldChar w:fldCharType="end"/>
      </w:r>
    </w:p>
    <w:p w14:paraId="44FF758A" w14:textId="77777777" w:rsidR="00F60FF8" w:rsidRDefault="00F60FF8" w:rsidP="00127B25">
      <w:pPr>
        <w:pStyle w:val="ODCBodyText"/>
      </w:pPr>
    </w:p>
    <w:p w14:paraId="174D053A" w14:textId="77777777" w:rsidR="00F60FF8" w:rsidRDefault="00F60FF8" w:rsidP="00127B25">
      <w:pPr>
        <w:pStyle w:val="ODCBodyText"/>
      </w:pPr>
    </w:p>
    <w:p w14:paraId="00CE5099" w14:textId="77777777" w:rsidR="00F60FF8" w:rsidRDefault="00F60FF8" w:rsidP="00127B25">
      <w:pPr>
        <w:pStyle w:val="ODCBodyText"/>
      </w:pPr>
    </w:p>
    <w:p w14:paraId="05F6BED9" w14:textId="77777777" w:rsidR="00F60FF8" w:rsidRDefault="00F60FF8" w:rsidP="00127B25">
      <w:pPr>
        <w:pStyle w:val="ODCBodyText"/>
      </w:pPr>
    </w:p>
    <w:p w14:paraId="66044653" w14:textId="77777777" w:rsidR="00AE5D92" w:rsidRPr="00EC7E83" w:rsidRDefault="00AE5D92" w:rsidP="00754B88">
      <w:pPr>
        <w:pStyle w:val="TableofContentsStyle1"/>
      </w:pPr>
      <w:bookmarkStart w:id="3" w:name="_Toc365460158"/>
      <w:bookmarkStart w:id="4" w:name="_Toc365460290"/>
      <w:r w:rsidRPr="00EC7E83">
        <w:lastRenderedPageBreak/>
        <w:t>Table of Figures</w:t>
      </w:r>
      <w:bookmarkEnd w:id="3"/>
      <w:bookmarkEnd w:id="4"/>
    </w:p>
    <w:p w14:paraId="38D3052D" w14:textId="4E8CC64C" w:rsidR="00A75F23" w:rsidRDefault="008214AF">
      <w:pPr>
        <w:pStyle w:val="TableofFigures"/>
        <w:tabs>
          <w:tab w:val="right" w:leader="dot" w:pos="10070"/>
        </w:tabs>
        <w:rPr>
          <w:rFonts w:asciiTheme="minorHAnsi" w:eastAsiaTheme="minorEastAsia" w:hAnsiTheme="minorHAnsi" w:cstheme="minorBidi"/>
          <w:noProof/>
          <w:szCs w:val="22"/>
        </w:rPr>
      </w:pPr>
      <w:r>
        <w:fldChar w:fldCharType="begin"/>
      </w:r>
      <w:r>
        <w:instrText xml:space="preserve"> TOC \h \z \c "Figure" </w:instrText>
      </w:r>
      <w:r>
        <w:fldChar w:fldCharType="separate"/>
      </w:r>
      <w:hyperlink w:anchor="_Toc27335146" w:history="1">
        <w:r w:rsidR="00A75F23" w:rsidRPr="00224BEC">
          <w:rPr>
            <w:rStyle w:val="Hyperlink"/>
            <w:noProof/>
          </w:rPr>
          <w:t>Figure 1. AIC Portfolio 2018-2021 Electric Savings Summary based on Annual Incremental Electric Savings</w:t>
        </w:r>
        <w:r w:rsidR="00A75F23">
          <w:rPr>
            <w:noProof/>
            <w:webHidden/>
          </w:rPr>
          <w:tab/>
        </w:r>
        <w:r w:rsidR="00A75F23">
          <w:rPr>
            <w:noProof/>
            <w:webHidden/>
          </w:rPr>
          <w:fldChar w:fldCharType="begin"/>
        </w:r>
        <w:r w:rsidR="00A75F23">
          <w:rPr>
            <w:noProof/>
            <w:webHidden/>
          </w:rPr>
          <w:instrText xml:space="preserve"> PAGEREF _Toc27335146 \h </w:instrText>
        </w:r>
        <w:r w:rsidR="00A75F23">
          <w:rPr>
            <w:noProof/>
            <w:webHidden/>
          </w:rPr>
        </w:r>
        <w:r w:rsidR="00A75F23">
          <w:rPr>
            <w:noProof/>
            <w:webHidden/>
          </w:rPr>
          <w:fldChar w:fldCharType="separate"/>
        </w:r>
        <w:r w:rsidR="00A75F23">
          <w:rPr>
            <w:noProof/>
            <w:webHidden/>
          </w:rPr>
          <w:t>6</w:t>
        </w:r>
        <w:r w:rsidR="00A75F23">
          <w:rPr>
            <w:noProof/>
            <w:webHidden/>
          </w:rPr>
          <w:fldChar w:fldCharType="end"/>
        </w:r>
      </w:hyperlink>
    </w:p>
    <w:p w14:paraId="127A521D" w14:textId="15DC2DBC"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47" w:history="1">
        <w:r w:rsidR="00A75F23" w:rsidRPr="00224BEC">
          <w:rPr>
            <w:rStyle w:val="Hyperlink"/>
            <w:noProof/>
          </w:rPr>
          <w:t>Figure 2. AIC Portfolio 2018-2021 Gas Savings Summary</w:t>
        </w:r>
        <w:r w:rsidR="00A75F23">
          <w:rPr>
            <w:noProof/>
            <w:webHidden/>
          </w:rPr>
          <w:tab/>
        </w:r>
        <w:r w:rsidR="00A75F23">
          <w:rPr>
            <w:noProof/>
            <w:webHidden/>
          </w:rPr>
          <w:fldChar w:fldCharType="begin"/>
        </w:r>
        <w:r w:rsidR="00A75F23">
          <w:rPr>
            <w:noProof/>
            <w:webHidden/>
          </w:rPr>
          <w:instrText xml:space="preserve"> PAGEREF _Toc27335147 \h </w:instrText>
        </w:r>
        <w:r w:rsidR="00A75F23">
          <w:rPr>
            <w:noProof/>
            <w:webHidden/>
          </w:rPr>
        </w:r>
        <w:r w:rsidR="00A75F23">
          <w:rPr>
            <w:noProof/>
            <w:webHidden/>
          </w:rPr>
          <w:fldChar w:fldCharType="separate"/>
        </w:r>
        <w:r w:rsidR="00A75F23">
          <w:rPr>
            <w:noProof/>
            <w:webHidden/>
          </w:rPr>
          <w:t>7</w:t>
        </w:r>
        <w:r w:rsidR="00A75F23">
          <w:rPr>
            <w:noProof/>
            <w:webHidden/>
          </w:rPr>
          <w:fldChar w:fldCharType="end"/>
        </w:r>
      </w:hyperlink>
    </w:p>
    <w:p w14:paraId="79ACCFF0" w14:textId="6C85B40E" w:rsidR="00A75F23" w:rsidRDefault="00945A9D">
      <w:pPr>
        <w:pStyle w:val="TableofFigures"/>
        <w:tabs>
          <w:tab w:val="right" w:leader="dot" w:pos="10070"/>
        </w:tabs>
        <w:rPr>
          <w:rFonts w:asciiTheme="minorHAnsi" w:eastAsiaTheme="minorEastAsia" w:hAnsiTheme="minorHAnsi" w:cstheme="minorBidi"/>
          <w:noProof/>
          <w:szCs w:val="22"/>
        </w:rPr>
      </w:pPr>
      <w:hyperlink w:anchor="_Toc27335148" w:history="1">
        <w:r w:rsidR="00A75F23" w:rsidRPr="00224BEC">
          <w:rPr>
            <w:rStyle w:val="Hyperlink"/>
            <w:noProof/>
          </w:rPr>
          <w:t>Figure 3. Annual Evaluation Milestones</w:t>
        </w:r>
        <w:r w:rsidR="00A75F23">
          <w:rPr>
            <w:noProof/>
            <w:webHidden/>
          </w:rPr>
          <w:tab/>
        </w:r>
        <w:r w:rsidR="00A75F23">
          <w:rPr>
            <w:noProof/>
            <w:webHidden/>
          </w:rPr>
          <w:fldChar w:fldCharType="begin"/>
        </w:r>
        <w:r w:rsidR="00A75F23">
          <w:rPr>
            <w:noProof/>
            <w:webHidden/>
          </w:rPr>
          <w:instrText xml:space="preserve"> PAGEREF _Toc27335148 \h </w:instrText>
        </w:r>
        <w:r w:rsidR="00A75F23">
          <w:rPr>
            <w:noProof/>
            <w:webHidden/>
          </w:rPr>
        </w:r>
        <w:r w:rsidR="00A75F23">
          <w:rPr>
            <w:noProof/>
            <w:webHidden/>
          </w:rPr>
          <w:fldChar w:fldCharType="separate"/>
        </w:r>
        <w:r w:rsidR="00A75F23">
          <w:rPr>
            <w:noProof/>
            <w:webHidden/>
          </w:rPr>
          <w:t>8</w:t>
        </w:r>
        <w:r w:rsidR="00A75F23">
          <w:rPr>
            <w:noProof/>
            <w:webHidden/>
          </w:rPr>
          <w:fldChar w:fldCharType="end"/>
        </w:r>
      </w:hyperlink>
    </w:p>
    <w:p w14:paraId="2D47AE66" w14:textId="75B22D3C" w:rsidR="00F60FF8" w:rsidRDefault="008214AF" w:rsidP="00127B25">
      <w:pPr>
        <w:pStyle w:val="ODCBodyText"/>
      </w:pPr>
      <w:r>
        <w:fldChar w:fldCharType="end"/>
      </w:r>
    </w:p>
    <w:p w14:paraId="31FA4DE1" w14:textId="77777777" w:rsidR="00F60FF8" w:rsidRDefault="00F60FF8" w:rsidP="00127B25">
      <w:pPr>
        <w:pStyle w:val="ODCBodyText"/>
      </w:pPr>
    </w:p>
    <w:p w14:paraId="6A8A8DDF" w14:textId="77777777" w:rsidR="00F60FF8" w:rsidRDefault="00F60FF8" w:rsidP="00127B25">
      <w:pPr>
        <w:pStyle w:val="ODCBodyText"/>
      </w:pPr>
    </w:p>
    <w:p w14:paraId="60719BBF" w14:textId="77777777" w:rsidR="006C095D" w:rsidRDefault="006C095D">
      <w:pPr>
        <w:jc w:val="left"/>
      </w:pPr>
      <w:r>
        <w:br w:type="page"/>
      </w:r>
    </w:p>
    <w:p w14:paraId="0170D245" w14:textId="77777777" w:rsidR="00F60FF8" w:rsidRDefault="00F60FF8" w:rsidP="00127B25">
      <w:pPr>
        <w:pStyle w:val="ODCBodyText"/>
        <w:sectPr w:rsidR="00F60FF8" w:rsidSect="0046504D">
          <w:footerReference w:type="default" r:id="rId18"/>
          <w:type w:val="continuous"/>
          <w:pgSz w:w="12240" w:h="15840" w:code="1"/>
          <w:pgMar w:top="1800" w:right="1080" w:bottom="1656" w:left="1080" w:header="720" w:footer="720" w:gutter="0"/>
          <w:pgNumType w:fmt="lowerRoman"/>
          <w:cols w:space="720"/>
          <w:docGrid w:linePitch="360"/>
        </w:sectPr>
      </w:pPr>
    </w:p>
    <w:p w14:paraId="603F5969" w14:textId="43BC49E1" w:rsidR="00354DC1" w:rsidRDefault="00B12F5B" w:rsidP="00D07BFD">
      <w:pPr>
        <w:pStyle w:val="Heading1"/>
      </w:pPr>
      <w:bookmarkStart w:id="5" w:name="_Ref502863999"/>
      <w:bookmarkStart w:id="6" w:name="_Toc27335103"/>
      <w:r>
        <w:lastRenderedPageBreak/>
        <w:t>Introduction</w:t>
      </w:r>
      <w:bookmarkEnd w:id="5"/>
      <w:bookmarkEnd w:id="6"/>
      <w:r>
        <w:t xml:space="preserve"> </w:t>
      </w:r>
    </w:p>
    <w:p w14:paraId="586809DF" w14:textId="4C258B2F" w:rsidR="006E6562" w:rsidRDefault="00EB12D1" w:rsidP="00FA04B9">
      <w:pPr>
        <w:pStyle w:val="ODCBodyText"/>
      </w:pPr>
      <w:r>
        <w:t xml:space="preserve">This document presents the multi-year evaluation plan for Ameren Illinois Company’s (AIC) 2018 Energy Efficiency Plan, which covers calendar years 2018-2021. Opinion Dynamics, along with its subcontractors Cadmus, Navigant, and Michaels Energy (“the evaluation team”) has been contracted by AIC to provide independent evaluation of the 2018 Plan electric and gas energy efficiency programs. In this document, we provide a high-level overview of the evaluation activities planned for each year. </w:t>
      </w:r>
      <w:r w:rsidR="006E6562">
        <w:t>On an a</w:t>
      </w:r>
      <w:r>
        <w:t>nnual</w:t>
      </w:r>
      <w:r w:rsidR="006E6562">
        <w:t xml:space="preserve"> basis</w:t>
      </w:r>
      <w:r>
        <w:t>, we will</w:t>
      </w:r>
      <w:r w:rsidR="006E6562">
        <w:t xml:space="preserve"> also</w:t>
      </w:r>
      <w:r>
        <w:t xml:space="preserve"> provide detailed evaluation plans specific to each program year</w:t>
      </w:r>
      <w:r w:rsidR="006E6562">
        <w:t xml:space="preserve"> for AIC, Illinois Commerce Commission (ICC) staff, and Stakeholder Advisory Group (SAG) review</w:t>
      </w:r>
      <w:r>
        <w:t>. While the multi-year evaluation plan will serve as the foundation for these annual plans, AIC’s programs and evaluation priorities may change from year to year.</w:t>
      </w:r>
      <w:r w:rsidR="00156D76">
        <w:t xml:space="preserve"> This specific version of this document is revised to reflect revisions to the multi-year evaluation plan made in preparation for the 20</w:t>
      </w:r>
      <w:r w:rsidR="00707B4B">
        <w:t>20</w:t>
      </w:r>
      <w:r w:rsidR="00156D76">
        <w:t xml:space="preserve"> annual evaluation.</w:t>
      </w:r>
    </w:p>
    <w:p w14:paraId="3EA67CB1" w14:textId="6CE2D306" w:rsidR="00B12F5B" w:rsidRDefault="00B12F5B" w:rsidP="00FA04B9">
      <w:pPr>
        <w:pStyle w:val="ODCBodyText"/>
      </w:pPr>
      <w:r>
        <w:t>The overall goal of annual evaluation efforts is to determine the electric, gas</w:t>
      </w:r>
      <w:r w:rsidR="00FA04B9">
        <w:t>,</w:t>
      </w:r>
      <w:r>
        <w:t xml:space="preserve"> and</w:t>
      </w:r>
      <w:r w:rsidR="00156D76">
        <w:t xml:space="preserve"> electric</w:t>
      </w:r>
      <w:r>
        <w:t xml:space="preserve"> demand savings from AIC’s energy efficiency program offerings, as well as what steps</w:t>
      </w:r>
      <w:r w:rsidR="002D37CF">
        <w:t>,</w:t>
      </w:r>
      <w:r>
        <w:t xml:space="preserve"> if any</w:t>
      </w:r>
      <w:r w:rsidR="002D37CF">
        <w:t>,</w:t>
      </w:r>
      <w:r>
        <w:t xml:space="preserve"> could be taken to optimize program performance </w:t>
      </w:r>
      <w:r w:rsidR="002D37CF">
        <w:t xml:space="preserve">from either an energy savings or customer satisfaction and engagement perspective. </w:t>
      </w:r>
      <w:r>
        <w:t xml:space="preserve"> </w:t>
      </w:r>
      <w:r w:rsidR="002D37CF">
        <w:t>Findings from the evaluation process may be used by AIC and relevant stakeholders to demonstrate progress against savings targets, modify program design and operations, inform strategies to achieve deeper program savings, and ensure customer satisfaction and cost effectiveness.</w:t>
      </w:r>
    </w:p>
    <w:p w14:paraId="3CC13093" w14:textId="1D1E453F" w:rsidR="002D37CF" w:rsidRPr="00B12F5B" w:rsidRDefault="00F9068B" w:rsidP="00B12F5B">
      <w:pPr>
        <w:pStyle w:val="BodyText"/>
      </w:pPr>
      <w:r>
        <w:t>The following</w:t>
      </w:r>
      <w:r w:rsidR="002D37CF">
        <w:t xml:space="preserve"> sections describe the AIC energy efficiency portfolio to be evaluated, as well as key evaluation considerations guiding the evaluation team’s approach and planned outcomes. </w:t>
      </w:r>
    </w:p>
    <w:p w14:paraId="18D444AE" w14:textId="77777777" w:rsidR="00E42B3C" w:rsidRDefault="00E42B3C" w:rsidP="00E42B3C">
      <w:pPr>
        <w:pStyle w:val="Heading2"/>
      </w:pPr>
      <w:bookmarkStart w:id="7" w:name="_Ref502768148"/>
      <w:bookmarkStart w:id="8" w:name="_Toc27335104"/>
      <w:r>
        <w:t>Legislative Mandates Informing Energy Efficiency Evaluation</w:t>
      </w:r>
      <w:bookmarkEnd w:id="7"/>
      <w:bookmarkEnd w:id="8"/>
      <w:r>
        <w:t xml:space="preserve"> </w:t>
      </w:r>
    </w:p>
    <w:p w14:paraId="225B7A9D" w14:textId="390E0EAD" w:rsidR="00E42B3C" w:rsidRDefault="00E42B3C" w:rsidP="00E42B3C">
      <w:r>
        <w:t>AIC’s 2018 Energy Efficiency Plan reflects the significant changes made to Illinois’ energy efficiency landscape as a result of the Future Energy Jobs Act (FEJA) passed in 201</w:t>
      </w:r>
      <w:r w:rsidR="00D85A7D">
        <w:t>6</w:t>
      </w:r>
      <w:r>
        <w:t>. This legislation introduced changes to utility electric savings targets, planning cycles and requirements, and to performance incentive mechanisms. At the same time, a number of these changes have important implications for evaluation of the utility’s energy efficiency programs over the next cycle.</w:t>
      </w:r>
    </w:p>
    <w:p w14:paraId="2A7BA3BE" w14:textId="77777777" w:rsidR="00E42B3C" w:rsidRDefault="00E42B3C" w:rsidP="00E42B3C">
      <w:pPr>
        <w:pStyle w:val="Bullet1"/>
      </w:pPr>
      <w:r w:rsidRPr="00C44A27">
        <w:rPr>
          <w:b/>
        </w:rPr>
        <w:t>Cumulative Persisting Annual Savings (CPAS)</w:t>
      </w:r>
      <w:r>
        <w:t xml:space="preserve">: Beginning in 2018, electric savings goals for the utilities are defined based on cumulative persisting annual savings as a percentage of sales. As such, annual evaluations of AIC’s programs will track CPAS for 2018 and beyond. </w:t>
      </w:r>
    </w:p>
    <w:p w14:paraId="6445672B" w14:textId="35EE36FA" w:rsidR="00E42B3C" w:rsidRDefault="00E42B3C" w:rsidP="00E42B3C">
      <w:pPr>
        <w:pStyle w:val="Bullet1"/>
      </w:pPr>
      <w:r w:rsidRPr="00C44A27">
        <w:rPr>
          <w:b/>
        </w:rPr>
        <w:t>Non-Electric Fuel Savings Can be Counted Towards Electric Goals</w:t>
      </w:r>
      <w:r>
        <w:t>: The utilities may count gas or other fuel savings towards their electric savings goals if (1) a joint electric and gas program runs out of gas funds but electric budget remains available, and (2) if programs save both electricity and gas but there is not a distinct gas program offered. The evaluation team will work with AIC to calculate this conversion.</w:t>
      </w:r>
    </w:p>
    <w:p w14:paraId="5593D0D5" w14:textId="2C6BC30F" w:rsidR="00E42B3C" w:rsidRDefault="00E42B3C" w:rsidP="00E42B3C">
      <w:pPr>
        <w:pStyle w:val="Bullet1"/>
      </w:pPr>
      <w:r w:rsidRPr="00C44A27">
        <w:rPr>
          <w:b/>
        </w:rPr>
        <w:t>Utility Responsibility for All Energy Efficiency</w:t>
      </w:r>
      <w:r>
        <w:t>: With passage of the FEJA, the delivery of energy efficiency programs is consolidated under the utilities, which mean that the Illinois Power Agency (IPA) and the Department of Commerce and Economic Opportunity (DCEO) no longer serve as funding and delivery channels for utility customers. From an evaluation perspective, this means that the evaluation team will be assessing savings from a wider range of customers (e.g., public sector customers formerly served by the DCEO).</w:t>
      </w:r>
    </w:p>
    <w:p w14:paraId="22BF7105" w14:textId="3F65DF14" w:rsidR="00E42B3C" w:rsidRDefault="00E42B3C" w:rsidP="00E42B3C">
      <w:pPr>
        <w:pStyle w:val="Bullet1"/>
        <w:rPr>
          <w:b/>
        </w:rPr>
      </w:pPr>
      <w:r w:rsidRPr="00783566">
        <w:rPr>
          <w:b/>
        </w:rPr>
        <w:lastRenderedPageBreak/>
        <w:t>Leveraging Advanced Metering Infrastructure (AMI) in Planning, Implementation and Evaluation:</w:t>
      </w:r>
      <w:r>
        <w:rPr>
          <w:b/>
        </w:rPr>
        <w:t xml:space="preserve"> </w:t>
      </w:r>
      <w:r>
        <w:t>While AIC’s rollout of AMI is not yet complete, the evaluation team will look for opportunities, where feasible, to use this data in assessing program performance. Likely candidates include programs evaluated using consumption analysis.</w:t>
      </w:r>
    </w:p>
    <w:p w14:paraId="5CCC4347" w14:textId="75EE3F70" w:rsidR="00E42B3C" w:rsidRDefault="00E42B3C" w:rsidP="00E42B3C">
      <w:pPr>
        <w:pStyle w:val="BodyText"/>
      </w:pPr>
      <w:r>
        <w:t xml:space="preserve">As noted throughout this and the evaluation team’s </w:t>
      </w:r>
      <w:r w:rsidR="00707B4B">
        <w:t>annual evaluation plans</w:t>
      </w:r>
      <w:r>
        <w:t>, we are actively engaging with AIC, ICC staff, and the SAG on these issues, as well as collaborating with other evaluation teams in the state to ensure the evaluation of the 2018 Plan achieves these key objectives.</w:t>
      </w:r>
    </w:p>
    <w:p w14:paraId="795601C2" w14:textId="4127F6D7" w:rsidR="00CD5B3E" w:rsidRDefault="00FB3682" w:rsidP="00BC0486">
      <w:pPr>
        <w:pStyle w:val="Heading2"/>
      </w:pPr>
      <w:bookmarkStart w:id="9" w:name="_Toc27335105"/>
      <w:r>
        <w:t xml:space="preserve">AIC’s </w:t>
      </w:r>
      <w:r w:rsidR="005E0BC0">
        <w:t xml:space="preserve">Energy Efficiency </w:t>
      </w:r>
      <w:r w:rsidR="00B12F5B">
        <w:t>Portfolio</w:t>
      </w:r>
      <w:bookmarkEnd w:id="9"/>
    </w:p>
    <w:p w14:paraId="02449109" w14:textId="7613E263" w:rsidR="00F9068B" w:rsidRDefault="006E6562" w:rsidP="00E639F6">
      <w:r>
        <w:t>AIC’s energy efficiency portfolio for the 2018 Plan is made up of two</w:t>
      </w:r>
      <w:r w:rsidR="0095300C">
        <w:t xml:space="preserve"> core</w:t>
      </w:r>
      <w:r>
        <w:t xml:space="preserve"> programs, the Residential Program and the Business Program</w:t>
      </w:r>
      <w:r w:rsidR="00DB7F3C">
        <w:t>; each program</w:t>
      </w:r>
      <w:r w:rsidR="00FA04B9">
        <w:t xml:space="preserve"> consists </w:t>
      </w:r>
      <w:r w:rsidR="00DB7F3C">
        <w:t>of multiple initiatives that target specific market segments and/or equipment types</w:t>
      </w:r>
      <w:r>
        <w:t xml:space="preserve">. </w:t>
      </w:r>
      <w:r w:rsidR="0095300C">
        <w:t xml:space="preserve">In addition, AIC will be operating and claiming savings </w:t>
      </w:r>
      <w:r w:rsidR="00707B4B">
        <w:t xml:space="preserve">from </w:t>
      </w:r>
      <w:r w:rsidR="00156D76">
        <w:t xml:space="preserve">a </w:t>
      </w:r>
      <w:r w:rsidR="0095300C">
        <w:t>Voltage Optimization</w:t>
      </w:r>
      <w:r w:rsidR="00156D76">
        <w:t xml:space="preserve"> Program beginning</w:t>
      </w:r>
      <w:r w:rsidR="0095300C">
        <w:t xml:space="preserve"> in 2019. </w:t>
      </w:r>
      <w:bookmarkStart w:id="10" w:name="_Hlk531693389"/>
      <w:r w:rsidR="00156D76">
        <w:t>The Residential and Business Programs</w:t>
      </w:r>
      <w:r w:rsidR="00E639F6">
        <w:t xml:space="preserve"> </w:t>
      </w:r>
      <w:r w:rsidR="00522CDD">
        <w:t xml:space="preserve">generate electric and gas savings for AIC’s customers and while </w:t>
      </w:r>
      <w:r w:rsidR="00E639F6">
        <w:t xml:space="preserve">some </w:t>
      </w:r>
      <w:r w:rsidR="00156D76">
        <w:t>components</w:t>
      </w:r>
      <w:r w:rsidR="00E639F6">
        <w:t xml:space="preserve"> are consistent with past AIC energy</w:t>
      </w:r>
      <w:r w:rsidR="00F9068B">
        <w:t xml:space="preserve"> efficiency offerings (e.g., Business</w:t>
      </w:r>
      <w:r w:rsidR="00E639F6">
        <w:t xml:space="preserve"> Custom and </w:t>
      </w:r>
      <w:r w:rsidR="00F9068B">
        <w:t xml:space="preserve">Residential </w:t>
      </w:r>
      <w:r w:rsidR="00522CDD">
        <w:t>Behavioral Modification),</w:t>
      </w:r>
      <w:r w:rsidR="00E639F6">
        <w:t xml:space="preserve"> other initiatives are new (e.g., </w:t>
      </w:r>
      <w:r w:rsidR="00156D76">
        <w:t xml:space="preserve">the </w:t>
      </w:r>
      <w:r w:rsidR="00F9068B">
        <w:t xml:space="preserve">Business </w:t>
      </w:r>
      <w:r w:rsidR="0095300C">
        <w:t>Behavioral Modification Pilot and</w:t>
      </w:r>
      <w:r w:rsidR="00156D76">
        <w:t xml:space="preserve"> the</w:t>
      </w:r>
      <w:r w:rsidR="0095300C">
        <w:t xml:space="preserve"> Voltage Optimization</w:t>
      </w:r>
      <w:r w:rsidR="00156D76">
        <w:t xml:space="preserve"> Program</w:t>
      </w:r>
      <w:r w:rsidR="00E639F6">
        <w:t>).</w:t>
      </w:r>
    </w:p>
    <w:p w14:paraId="42E5411D" w14:textId="3064D292" w:rsidR="00156D76" w:rsidRPr="00156D76" w:rsidRDefault="00156D76" w:rsidP="00156D76">
      <w:r>
        <w:fldChar w:fldCharType="begin"/>
      </w:r>
      <w:r>
        <w:instrText xml:space="preserve"> REF _Ref533066036 \h </w:instrText>
      </w:r>
      <w:r>
        <w:fldChar w:fldCharType="separate"/>
      </w:r>
      <w:r w:rsidR="00A75F23" w:rsidRPr="00FA04B9">
        <w:t xml:space="preserve">Table </w:t>
      </w:r>
      <w:r w:rsidR="00A75F23">
        <w:rPr>
          <w:noProof/>
        </w:rPr>
        <w:t>1</w:t>
      </w:r>
      <w:r>
        <w:fldChar w:fldCharType="end"/>
      </w:r>
      <w:r>
        <w:t xml:space="preserve"> shows the various initiatives that make up the Residential and Business Programs. The Business Program’s Custom and Standard Initiatives, as well as the Residential Program’s Income Qualified and Retail Products Initiatives are the most significant contributors to annual savings. The role of the Business Program is particularly important to highlight here given the fact that beginning in 2018, AIC’s largest commercial customers (i.e., 10 MW customers), who previously participated at high rates, will no longer be permitted to participate in the utility’s energy efficiency programs. As a result, AIC and its implementation contractors will need to reach significantly more small and medium customers to achieve their ICC approved electric savings goals. </w:t>
      </w:r>
    </w:p>
    <w:p w14:paraId="0F293863" w14:textId="49967306" w:rsidR="00522CDD" w:rsidRPr="00FA04B9" w:rsidRDefault="00522CDD" w:rsidP="00FA04B9">
      <w:pPr>
        <w:pStyle w:val="Caption"/>
      </w:pPr>
      <w:bookmarkStart w:id="11" w:name="_Ref533066036"/>
      <w:bookmarkStart w:id="12" w:name="_Toc27335128"/>
      <w:bookmarkEnd w:id="10"/>
      <w:r w:rsidRPr="00FA04B9">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1</w:t>
      </w:r>
      <w:r w:rsidR="00E656B8">
        <w:rPr>
          <w:noProof/>
        </w:rPr>
        <w:fldChar w:fldCharType="end"/>
      </w:r>
      <w:bookmarkEnd w:id="11"/>
      <w:r w:rsidRPr="00FA04B9">
        <w:t>.</w:t>
      </w:r>
      <w:r w:rsidR="00AD06F2" w:rsidRPr="00FA04B9">
        <w:t xml:space="preserve"> AIC 2018-2021 Energy Efficiency Program</w:t>
      </w:r>
      <w:r w:rsidR="00156D76">
        <w:t>s</w:t>
      </w:r>
      <w:r w:rsidR="00AD06F2" w:rsidRPr="00FA04B9">
        <w:t xml:space="preserve"> and Initiatives</w:t>
      </w:r>
      <w:bookmarkEnd w:id="12"/>
    </w:p>
    <w:tbl>
      <w:tblPr>
        <w:tblStyle w:val="ODCBasic-1"/>
        <w:tblW w:w="0" w:type="auto"/>
        <w:tblLook w:val="04A0" w:firstRow="1" w:lastRow="0" w:firstColumn="1" w:lastColumn="0" w:noHBand="0" w:noVBand="1"/>
      </w:tblPr>
      <w:tblGrid>
        <w:gridCol w:w="4320"/>
        <w:gridCol w:w="4320"/>
      </w:tblGrid>
      <w:tr w:rsidR="00156D76" w14:paraId="44BCE2C1" w14:textId="7B75DAEB" w:rsidTr="0015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9AAED79" w14:textId="68CB3F00" w:rsidR="00156D76" w:rsidRDefault="00156D76" w:rsidP="00AD06F2">
            <w:pPr>
              <w:pStyle w:val="BodyText"/>
              <w:jc w:val="center"/>
            </w:pPr>
            <w:r>
              <w:t>Residential Program Initiatives</w:t>
            </w:r>
          </w:p>
        </w:tc>
        <w:tc>
          <w:tcPr>
            <w:tcW w:w="4320" w:type="dxa"/>
          </w:tcPr>
          <w:p w14:paraId="1D64F2A2" w14:textId="03320132" w:rsidR="00156D76" w:rsidRDefault="00156D76" w:rsidP="00522CDD">
            <w:pPr>
              <w:pStyle w:val="BodyText"/>
              <w:jc w:val="center"/>
              <w:cnfStyle w:val="100000000000" w:firstRow="1" w:lastRow="0" w:firstColumn="0" w:lastColumn="0" w:oddVBand="0" w:evenVBand="0" w:oddHBand="0" w:evenHBand="0" w:firstRowFirstColumn="0" w:firstRowLastColumn="0" w:lastRowFirstColumn="0" w:lastRowLastColumn="0"/>
            </w:pPr>
            <w:r>
              <w:t>Business Program Initiatives</w:t>
            </w:r>
          </w:p>
        </w:tc>
      </w:tr>
      <w:tr w:rsidR="00156D76" w14:paraId="1C38BCFC" w14:textId="3C67916C" w:rsidTr="0015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DFF5787" w14:textId="77777777" w:rsidR="00156D76" w:rsidRPr="00FA04B9" w:rsidRDefault="00156D76" w:rsidP="00AD06F2">
            <w:pPr>
              <w:pStyle w:val="Bullet1"/>
              <w:rPr>
                <w:color w:val="auto"/>
              </w:rPr>
            </w:pPr>
            <w:r w:rsidRPr="00FA04B9">
              <w:rPr>
                <w:color w:val="auto"/>
              </w:rPr>
              <w:t>Retail Products</w:t>
            </w:r>
          </w:p>
          <w:p w14:paraId="215CECCB" w14:textId="60D7E6C1" w:rsidR="00156D76" w:rsidRPr="00FA04B9" w:rsidRDefault="00156D76" w:rsidP="00AD06F2">
            <w:pPr>
              <w:pStyle w:val="Bullet1"/>
              <w:rPr>
                <w:color w:val="auto"/>
              </w:rPr>
            </w:pPr>
            <w:r w:rsidRPr="00FA04B9">
              <w:rPr>
                <w:color w:val="auto"/>
              </w:rPr>
              <w:t>Income Qualified</w:t>
            </w:r>
          </w:p>
          <w:p w14:paraId="3F3AC743" w14:textId="77777777" w:rsidR="00156D76" w:rsidRPr="00FA04B9" w:rsidRDefault="00156D76" w:rsidP="005961B3">
            <w:pPr>
              <w:pStyle w:val="Bullet1"/>
              <w:rPr>
                <w:color w:val="auto"/>
              </w:rPr>
            </w:pPr>
            <w:r w:rsidRPr="00FA04B9">
              <w:rPr>
                <w:color w:val="auto"/>
              </w:rPr>
              <w:t>Public Housing</w:t>
            </w:r>
          </w:p>
          <w:p w14:paraId="1805F83E" w14:textId="21BAC3E5" w:rsidR="00156D76" w:rsidRPr="00FA04B9" w:rsidRDefault="00156D76" w:rsidP="00AD06F2">
            <w:pPr>
              <w:pStyle w:val="Bullet1"/>
              <w:rPr>
                <w:color w:val="auto"/>
              </w:rPr>
            </w:pPr>
            <w:r>
              <w:rPr>
                <w:color w:val="auto"/>
              </w:rPr>
              <w:t xml:space="preserve">Residential </w:t>
            </w:r>
            <w:r w:rsidRPr="00FA04B9">
              <w:rPr>
                <w:color w:val="auto"/>
              </w:rPr>
              <w:t>Behavioral Modification</w:t>
            </w:r>
          </w:p>
          <w:p w14:paraId="66078FE8" w14:textId="77777777" w:rsidR="00156D76" w:rsidRPr="00FA04B9" w:rsidRDefault="00156D76" w:rsidP="00AD06F2">
            <w:pPr>
              <w:pStyle w:val="Bullet1"/>
              <w:rPr>
                <w:color w:val="auto"/>
              </w:rPr>
            </w:pPr>
            <w:r w:rsidRPr="00FA04B9">
              <w:rPr>
                <w:color w:val="auto"/>
              </w:rPr>
              <w:t>HVAC</w:t>
            </w:r>
          </w:p>
          <w:p w14:paraId="7D95AC84" w14:textId="63C73D15" w:rsidR="00156D76" w:rsidRPr="00FA04B9" w:rsidRDefault="00156D76" w:rsidP="00AD06F2">
            <w:pPr>
              <w:pStyle w:val="Bullet1"/>
              <w:rPr>
                <w:color w:val="auto"/>
              </w:rPr>
            </w:pPr>
            <w:r w:rsidRPr="00FA04B9">
              <w:rPr>
                <w:color w:val="auto"/>
              </w:rPr>
              <w:t>Appliance Recycling</w:t>
            </w:r>
          </w:p>
          <w:p w14:paraId="2349A1D4" w14:textId="77777777" w:rsidR="00156D76" w:rsidRDefault="00156D76" w:rsidP="00F61D73">
            <w:pPr>
              <w:pStyle w:val="Bullet1"/>
              <w:jc w:val="left"/>
              <w:rPr>
                <w:color w:val="auto"/>
              </w:rPr>
            </w:pPr>
            <w:r w:rsidRPr="00FA04B9">
              <w:rPr>
                <w:color w:val="auto"/>
              </w:rPr>
              <w:t>Direct Distribution of Efficient Products</w:t>
            </w:r>
          </w:p>
          <w:p w14:paraId="1D53DEE8" w14:textId="2621F0AF" w:rsidR="00156D76" w:rsidRPr="00F61D73" w:rsidRDefault="00156D76" w:rsidP="00F61D73">
            <w:pPr>
              <w:pStyle w:val="Bullet1"/>
              <w:rPr>
                <w:color w:val="auto"/>
              </w:rPr>
            </w:pPr>
            <w:r w:rsidRPr="00FA04B9">
              <w:rPr>
                <w:color w:val="auto"/>
              </w:rPr>
              <w:t>Multifamily</w:t>
            </w:r>
          </w:p>
        </w:tc>
        <w:tc>
          <w:tcPr>
            <w:tcW w:w="4320" w:type="dxa"/>
          </w:tcPr>
          <w:p w14:paraId="2F47A4B1" w14:textId="77777777" w:rsidR="00156D76" w:rsidRPr="00FA04B9" w:rsidRDefault="00156D76" w:rsidP="00522CDD">
            <w:pPr>
              <w:pStyle w:val="Bullet1"/>
              <w:cnfStyle w:val="000000100000" w:firstRow="0" w:lastRow="0" w:firstColumn="0" w:lastColumn="0" w:oddVBand="0" w:evenVBand="0" w:oddHBand="1" w:evenHBand="0" w:firstRowFirstColumn="0" w:firstRowLastColumn="0" w:lastRowFirstColumn="0" w:lastRowLastColumn="0"/>
              <w:rPr>
                <w:color w:val="auto"/>
              </w:rPr>
            </w:pPr>
            <w:r w:rsidRPr="00FA04B9">
              <w:rPr>
                <w:color w:val="auto"/>
              </w:rPr>
              <w:t>Standard</w:t>
            </w:r>
          </w:p>
          <w:p w14:paraId="092AE2E7" w14:textId="77777777" w:rsidR="00156D76" w:rsidRPr="00156D76" w:rsidRDefault="00156D76" w:rsidP="00522CDD">
            <w:pPr>
              <w:pStyle w:val="Bullet1"/>
              <w:cnfStyle w:val="000000100000" w:firstRow="0" w:lastRow="0" w:firstColumn="0" w:lastColumn="0" w:oddVBand="0" w:evenVBand="0" w:oddHBand="1" w:evenHBand="0" w:firstRowFirstColumn="0" w:firstRowLastColumn="0" w:lastRowFirstColumn="0" w:lastRowLastColumn="0"/>
              <w:rPr>
                <w:color w:val="auto"/>
              </w:rPr>
            </w:pPr>
            <w:r w:rsidRPr="00156D76">
              <w:rPr>
                <w:color w:val="auto"/>
              </w:rPr>
              <w:t>Custom</w:t>
            </w:r>
          </w:p>
          <w:p w14:paraId="5B5B76D2" w14:textId="0AD92D14" w:rsidR="00156D76" w:rsidRPr="00156D76" w:rsidRDefault="00156D76" w:rsidP="00156D76">
            <w:pPr>
              <w:pStyle w:val="Bullet2"/>
              <w:cnfStyle w:val="000000100000" w:firstRow="0" w:lastRow="0" w:firstColumn="0" w:lastColumn="0" w:oddVBand="0" w:evenVBand="0" w:oddHBand="1" w:evenHBand="0" w:firstRowFirstColumn="0" w:firstRowLastColumn="0" w:lastRowFirstColumn="0" w:lastRowLastColumn="0"/>
              <w:rPr>
                <w:color w:val="auto"/>
              </w:rPr>
            </w:pPr>
            <w:r w:rsidRPr="00156D76">
              <w:rPr>
                <w:color w:val="auto"/>
              </w:rPr>
              <w:t>Building Operator Certification</w:t>
            </w:r>
          </w:p>
          <w:p w14:paraId="10C8F488" w14:textId="03FB50E8" w:rsidR="00156D76" w:rsidRPr="00FA04B9" w:rsidRDefault="00156D76" w:rsidP="00522CDD">
            <w:pPr>
              <w:pStyle w:val="Bullet1"/>
              <w:cnfStyle w:val="000000100000" w:firstRow="0" w:lastRow="0" w:firstColumn="0" w:lastColumn="0" w:oddVBand="0" w:evenVBand="0" w:oddHBand="1" w:evenHBand="0" w:firstRowFirstColumn="0" w:firstRowLastColumn="0" w:lastRowFirstColumn="0" w:lastRowLastColumn="0"/>
              <w:rPr>
                <w:color w:val="auto"/>
              </w:rPr>
            </w:pPr>
            <w:r w:rsidRPr="00FA04B9">
              <w:rPr>
                <w:color w:val="auto"/>
              </w:rPr>
              <w:t>Retro-Commissioning</w:t>
            </w:r>
          </w:p>
          <w:p w14:paraId="4C0DFD32" w14:textId="77777777" w:rsidR="00156D76" w:rsidRDefault="00156D76" w:rsidP="00522CDD">
            <w:pPr>
              <w:pStyle w:val="Bullet1"/>
              <w:cnfStyle w:val="000000100000" w:firstRow="0" w:lastRow="0" w:firstColumn="0" w:lastColumn="0" w:oddVBand="0" w:evenVBand="0" w:oddHBand="1" w:evenHBand="0" w:firstRowFirstColumn="0" w:firstRowLastColumn="0" w:lastRowFirstColumn="0" w:lastRowLastColumn="0"/>
              <w:rPr>
                <w:color w:val="auto"/>
              </w:rPr>
            </w:pPr>
            <w:r w:rsidRPr="00FA04B9">
              <w:rPr>
                <w:color w:val="auto"/>
              </w:rPr>
              <w:t>Streetlighting</w:t>
            </w:r>
          </w:p>
          <w:p w14:paraId="359B2720" w14:textId="4821C776" w:rsidR="00156D76" w:rsidRPr="00F61D73" w:rsidRDefault="00156D76" w:rsidP="00F61D73">
            <w:pPr>
              <w:pStyle w:val="Bullet1"/>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Business Behavioral Modification Pilot</w:t>
            </w:r>
          </w:p>
        </w:tc>
      </w:tr>
    </w:tbl>
    <w:bookmarkStart w:id="13" w:name="_Ref502767974"/>
    <w:p w14:paraId="5610FC97" w14:textId="22026235" w:rsidR="00156D76" w:rsidRDefault="00156D76" w:rsidP="00156D76">
      <w:pPr>
        <w:pStyle w:val="ODCBodyText"/>
      </w:pPr>
      <w:r>
        <w:fldChar w:fldCharType="begin"/>
      </w:r>
      <w:r>
        <w:instrText xml:space="preserve"> REF _Ref533066132 \h </w:instrText>
      </w:r>
      <w:r>
        <w:fldChar w:fldCharType="separate"/>
      </w:r>
      <w:r w:rsidR="00A75F23">
        <w:t xml:space="preserve">Figure </w:t>
      </w:r>
      <w:r w:rsidR="00A75F23">
        <w:rPr>
          <w:noProof/>
        </w:rPr>
        <w:t>1</w:t>
      </w:r>
      <w:r>
        <w:fldChar w:fldCharType="end"/>
      </w:r>
      <w:r>
        <w:t xml:space="preserve"> shows the 2018-2021 Plan’s description of each initiative’s contribution to overall annual incremental electric savings. It should be noted that while AIC’s annual incremental goals for the 2018-2021 plan period are fixed, AIC may achieve these goals in any cost-effective manner. While </w:t>
      </w:r>
      <w:r>
        <w:fldChar w:fldCharType="begin"/>
      </w:r>
      <w:r>
        <w:instrText xml:space="preserve"> REF _Ref533066132 \h </w:instrText>
      </w:r>
      <w:r>
        <w:fldChar w:fldCharType="separate"/>
      </w:r>
      <w:r w:rsidR="00A75F23">
        <w:t xml:space="preserve">Figure </w:t>
      </w:r>
      <w:r w:rsidR="00A75F23">
        <w:rPr>
          <w:noProof/>
        </w:rPr>
        <w:t>1</w:t>
      </w:r>
      <w:r>
        <w:fldChar w:fldCharType="end"/>
      </w:r>
      <w:r>
        <w:t xml:space="preserve"> represents the information contained in the 2018 Plan filing, some changes should be expected throughout the plan period. In particular, based on early 2018 evaluation indicators, we expect that the Business Custom Initiative is likely </w:t>
      </w:r>
      <w:r>
        <w:lastRenderedPageBreak/>
        <w:t>to make up a somewhat smaller share of AIC’s achieved yearly electric savings than planned, and the Business Standard Initiative is likely to make up a somewhat larger share than planned.</w:t>
      </w:r>
    </w:p>
    <w:p w14:paraId="40B623F4" w14:textId="15DE5FFB" w:rsidR="00084B7C" w:rsidRDefault="00E639F6" w:rsidP="00FA04B9">
      <w:pPr>
        <w:pStyle w:val="Caption"/>
      </w:pPr>
      <w:bookmarkStart w:id="14" w:name="_Ref533066132"/>
      <w:bookmarkStart w:id="15" w:name="_Toc27335146"/>
      <w:r>
        <w:t xml:space="preserve">Figure </w:t>
      </w:r>
      <w:r w:rsidR="00E656B8">
        <w:rPr>
          <w:noProof/>
        </w:rPr>
        <w:fldChar w:fldCharType="begin"/>
      </w:r>
      <w:r w:rsidR="00E656B8">
        <w:rPr>
          <w:noProof/>
        </w:rPr>
        <w:instrText xml:space="preserve"> SEQ Figure \* ARABIC </w:instrText>
      </w:r>
      <w:r w:rsidR="00E656B8">
        <w:rPr>
          <w:noProof/>
        </w:rPr>
        <w:fldChar w:fldCharType="separate"/>
      </w:r>
      <w:r w:rsidR="00A75F23">
        <w:rPr>
          <w:noProof/>
        </w:rPr>
        <w:t>1</w:t>
      </w:r>
      <w:r w:rsidR="00E656B8">
        <w:rPr>
          <w:noProof/>
        </w:rPr>
        <w:fldChar w:fldCharType="end"/>
      </w:r>
      <w:bookmarkEnd w:id="13"/>
      <w:bookmarkEnd w:id="14"/>
      <w:r>
        <w:t>. AIC Portfolio</w:t>
      </w:r>
      <w:r w:rsidR="00D35CEB">
        <w:t xml:space="preserve"> 2018-2021</w:t>
      </w:r>
      <w:r>
        <w:t xml:space="preserve"> </w:t>
      </w:r>
      <w:r w:rsidR="005771AB">
        <w:t xml:space="preserve">Electric </w:t>
      </w:r>
      <w:r>
        <w:t>Savings Summary</w:t>
      </w:r>
      <w:r w:rsidR="00F9068B">
        <w:t xml:space="preserve"> based on </w:t>
      </w:r>
      <w:r w:rsidR="00437B1B">
        <w:t>Annual Incremental Electric Savings</w:t>
      </w:r>
      <w:bookmarkEnd w:id="15"/>
    </w:p>
    <w:p w14:paraId="7F87ABA5" w14:textId="337EA289" w:rsidR="00084B7C" w:rsidRDefault="00084B7C" w:rsidP="003B2780">
      <w:pPr>
        <w:pStyle w:val="BodyText"/>
        <w:jc w:val="center"/>
      </w:pPr>
      <w:r w:rsidRPr="00084B7C">
        <w:rPr>
          <w:noProof/>
        </w:rPr>
        <w:drawing>
          <wp:inline distT="0" distB="0" distL="0" distR="0" wp14:anchorId="4556F0BD" wp14:editId="7B0384AF">
            <wp:extent cx="5938164" cy="2428875"/>
            <wp:effectExtent l="0" t="0" r="0" b="0"/>
            <wp:docPr id="15" name="Picture 8">
              <a:extLst xmlns:a="http://schemas.openxmlformats.org/drawingml/2006/main">
                <a:ext uri="{FF2B5EF4-FFF2-40B4-BE49-F238E27FC236}">
                  <a16:creationId xmlns:a16="http://schemas.microsoft.com/office/drawing/2014/main" id="{E0FFE0BC-83AF-415B-9E77-463F65197D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0FFE0BC-83AF-415B-9E77-463F65197D95}"/>
                        </a:ext>
                      </a:extLst>
                    </pic:cNvPr>
                    <pic:cNvPicPr>
                      <a:picLocks noChangeAspect="1"/>
                    </pic:cNvPicPr>
                  </pic:nvPicPr>
                  <pic:blipFill rotWithShape="1">
                    <a:blip r:embed="rId19"/>
                    <a:srcRect t="12608" b="12520"/>
                    <a:stretch/>
                  </pic:blipFill>
                  <pic:spPr>
                    <a:xfrm>
                      <a:off x="0" y="0"/>
                      <a:ext cx="5949943" cy="2433693"/>
                    </a:xfrm>
                    <a:prstGeom prst="rect">
                      <a:avLst/>
                    </a:prstGeom>
                  </pic:spPr>
                </pic:pic>
              </a:graphicData>
            </a:graphic>
          </wp:inline>
        </w:drawing>
      </w:r>
    </w:p>
    <w:p w14:paraId="1C2E33E5" w14:textId="46AFC431" w:rsidR="00F9068B" w:rsidRDefault="00F9068B" w:rsidP="00F9068B">
      <w:pPr>
        <w:pStyle w:val="TableFootnote"/>
        <w:ind w:left="90"/>
      </w:pPr>
      <w:r>
        <w:t>Source: AIC 2018-2021 Plan Compliance Filing</w:t>
      </w:r>
    </w:p>
    <w:p w14:paraId="5249FD05" w14:textId="14AEE9E9" w:rsidR="00E42B3C" w:rsidRDefault="005771AB" w:rsidP="007F543A">
      <w:r>
        <w:t>Additionally</w:t>
      </w:r>
      <w:r w:rsidR="007F543A">
        <w:t xml:space="preserve">, as discussed in Section </w:t>
      </w:r>
      <w:r w:rsidR="007F543A">
        <w:fldChar w:fldCharType="begin"/>
      </w:r>
      <w:r w:rsidR="007F543A">
        <w:instrText xml:space="preserve"> REF _Ref502768148 \r \h </w:instrText>
      </w:r>
      <w:r w:rsidR="007F543A">
        <w:fldChar w:fldCharType="separate"/>
      </w:r>
      <w:r w:rsidR="00A75F23">
        <w:t>1.1</w:t>
      </w:r>
      <w:r w:rsidR="007F543A">
        <w:fldChar w:fldCharType="end"/>
      </w:r>
      <w:r w:rsidR="007F543A">
        <w:t>, the utility’s electric savings goals are now based on cumulative persisting annual savings</w:t>
      </w:r>
      <w:r w:rsidR="00D35CEB">
        <w:t xml:space="preserve"> (CPAS)</w:t>
      </w:r>
      <w:r w:rsidR="007F543A">
        <w:t xml:space="preserve">, making programs and initiatives that offer equipment with longer lifetimes increasingly important </w:t>
      </w:r>
      <w:r w:rsidR="001D46B4">
        <w:t>long-term</w:t>
      </w:r>
      <w:r w:rsidR="00D85A7D">
        <w:t>. This is</w:t>
      </w:r>
      <w:r w:rsidR="007F543A">
        <w:t xml:space="preserve"> </w:t>
      </w:r>
      <w:r w:rsidR="00D85A7D">
        <w:t xml:space="preserve">due to the fact that </w:t>
      </w:r>
      <w:r w:rsidR="00D35CEB">
        <w:t xml:space="preserve">AIC will be required to replace any savings attained by their programs that “expire” (e.g., program-incented measures reach the end of their life). </w:t>
      </w:r>
      <w:r w:rsidR="00D85A7D">
        <w:t>However, o</w:t>
      </w:r>
      <w:r w:rsidR="00D35CEB">
        <w:t xml:space="preserve">nly a small portion of AIC’s portfolio savings will expire during this plan period, which means that </w:t>
      </w:r>
      <w:r w:rsidR="00D35CEB">
        <w:fldChar w:fldCharType="begin"/>
      </w:r>
      <w:r w:rsidR="00D35CEB">
        <w:instrText xml:space="preserve"> REF _Ref502861758 \h </w:instrText>
      </w:r>
      <w:r w:rsidR="00D35CEB">
        <w:fldChar w:fldCharType="separate"/>
      </w:r>
      <w:r w:rsidR="00A75F23">
        <w:t xml:space="preserve">Figure </w:t>
      </w:r>
      <w:r w:rsidR="00A75F23">
        <w:rPr>
          <w:noProof/>
        </w:rPr>
        <w:t>2</w:t>
      </w:r>
      <w:r w:rsidR="00D35CEB">
        <w:fldChar w:fldCharType="end"/>
      </w:r>
      <w:r w:rsidR="00D35CEB">
        <w:t xml:space="preserve"> closely represents initiative contributions to 2021 CPAS goals. </w:t>
      </w:r>
      <w:r w:rsidR="00D85A7D">
        <w:t>In contrast</w:t>
      </w:r>
      <w:r w:rsidR="00D35CEB">
        <w:t>, AIC will be required to replace a significant share of savings achieved during 2018-2021</w:t>
      </w:r>
      <w:r w:rsidR="00D85A7D">
        <w:t xml:space="preserve"> in future plan periods</w:t>
      </w:r>
      <w:r w:rsidR="00D35CEB">
        <w:t>.</w:t>
      </w:r>
    </w:p>
    <w:p w14:paraId="42A735C9" w14:textId="4BF4ED8B" w:rsidR="005771AB" w:rsidRDefault="00D35CEB" w:rsidP="005771AB">
      <w:pPr>
        <w:pStyle w:val="BodyText"/>
      </w:pPr>
      <w:r>
        <w:fldChar w:fldCharType="begin"/>
      </w:r>
      <w:r>
        <w:instrText xml:space="preserve"> REF _Ref502861758 \h </w:instrText>
      </w:r>
      <w:r>
        <w:fldChar w:fldCharType="separate"/>
      </w:r>
      <w:r w:rsidR="00A75F23">
        <w:t xml:space="preserve">Figure </w:t>
      </w:r>
      <w:r w:rsidR="00A75F23">
        <w:rPr>
          <w:noProof/>
        </w:rPr>
        <w:t>2</w:t>
      </w:r>
      <w:r>
        <w:fldChar w:fldCharType="end"/>
      </w:r>
      <w:r>
        <w:t xml:space="preserve"> </w:t>
      </w:r>
      <w:r w:rsidR="005771AB">
        <w:t xml:space="preserve">provides an overview of the portfolio’s gas savings for the 2018 Plan period. As with the electric portfolio, the Business Program and the Residential Program’s Income Qualified and Retail Products Initiatives are key contributors. </w:t>
      </w:r>
      <w:r w:rsidR="00156D76">
        <w:t>Also as with the electric portfolio, we expect that some changes to the distribution of savings by initiative will occur throughout the plan period.</w:t>
      </w:r>
    </w:p>
    <w:p w14:paraId="2243DAD6" w14:textId="1056076F" w:rsidR="005771AB" w:rsidRDefault="005771AB" w:rsidP="005771AB">
      <w:pPr>
        <w:pStyle w:val="Caption"/>
      </w:pPr>
      <w:bookmarkStart w:id="16" w:name="_Ref502861758"/>
      <w:bookmarkStart w:id="17" w:name="_Toc27335147"/>
      <w:r>
        <w:lastRenderedPageBreak/>
        <w:t xml:space="preserve">Figure </w:t>
      </w:r>
      <w:r w:rsidR="00E656B8">
        <w:rPr>
          <w:noProof/>
        </w:rPr>
        <w:fldChar w:fldCharType="begin"/>
      </w:r>
      <w:r w:rsidR="00E656B8">
        <w:rPr>
          <w:noProof/>
        </w:rPr>
        <w:instrText xml:space="preserve"> SEQ Figure \* ARABIC </w:instrText>
      </w:r>
      <w:r w:rsidR="00E656B8">
        <w:rPr>
          <w:noProof/>
        </w:rPr>
        <w:fldChar w:fldCharType="separate"/>
      </w:r>
      <w:r w:rsidR="00A75F23">
        <w:rPr>
          <w:noProof/>
        </w:rPr>
        <w:t>2</w:t>
      </w:r>
      <w:r w:rsidR="00E656B8">
        <w:rPr>
          <w:noProof/>
        </w:rPr>
        <w:fldChar w:fldCharType="end"/>
      </w:r>
      <w:bookmarkEnd w:id="16"/>
      <w:r>
        <w:t xml:space="preserve">. </w:t>
      </w:r>
      <w:bookmarkStart w:id="18" w:name="_Ref502861751"/>
      <w:r>
        <w:t xml:space="preserve">AIC Portfolio </w:t>
      </w:r>
      <w:r w:rsidR="00D35CEB">
        <w:t xml:space="preserve">2018-2021 </w:t>
      </w:r>
      <w:r>
        <w:t>Gas Savings Summary</w:t>
      </w:r>
      <w:bookmarkEnd w:id="18"/>
      <w:bookmarkEnd w:id="17"/>
    </w:p>
    <w:p w14:paraId="71DCFB74" w14:textId="3791904D" w:rsidR="005771AB" w:rsidRDefault="005771AB" w:rsidP="005771AB">
      <w:pPr>
        <w:pStyle w:val="BodyText"/>
        <w:jc w:val="center"/>
      </w:pPr>
      <w:r w:rsidRPr="005771AB">
        <w:rPr>
          <w:noProof/>
        </w:rPr>
        <w:drawing>
          <wp:inline distT="0" distB="0" distL="0" distR="0" wp14:anchorId="627E52F7" wp14:editId="53A5D3A1">
            <wp:extent cx="5958363" cy="2343150"/>
            <wp:effectExtent l="0" t="0" r="0" b="0"/>
            <wp:docPr id="4" name="Picture 8">
              <a:extLst xmlns:a="http://schemas.openxmlformats.org/drawingml/2006/main">
                <a:ext uri="{FF2B5EF4-FFF2-40B4-BE49-F238E27FC236}">
                  <a16:creationId xmlns:a16="http://schemas.microsoft.com/office/drawing/2014/main" id="{1AC8F414-AD1B-49A2-A3C3-B0191A5FDC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AC8F414-AD1B-49A2-A3C3-B0191A5FDCC2}"/>
                        </a:ext>
                      </a:extLst>
                    </pic:cNvPr>
                    <pic:cNvPicPr>
                      <a:picLocks noChangeAspect="1"/>
                    </pic:cNvPicPr>
                  </pic:nvPicPr>
                  <pic:blipFill rotWithShape="1">
                    <a:blip r:embed="rId20"/>
                    <a:srcRect t="14068" b="13830"/>
                    <a:stretch/>
                  </pic:blipFill>
                  <pic:spPr>
                    <a:xfrm>
                      <a:off x="0" y="0"/>
                      <a:ext cx="5972117" cy="2348559"/>
                    </a:xfrm>
                    <a:prstGeom prst="rect">
                      <a:avLst/>
                    </a:prstGeom>
                  </pic:spPr>
                </pic:pic>
              </a:graphicData>
            </a:graphic>
          </wp:inline>
        </w:drawing>
      </w:r>
    </w:p>
    <w:p w14:paraId="6659AA98" w14:textId="7769F993" w:rsidR="005771AB" w:rsidRPr="005771AB" w:rsidRDefault="005771AB" w:rsidP="00D35CEB">
      <w:pPr>
        <w:pStyle w:val="TableFootnote"/>
        <w:ind w:left="90"/>
        <w:sectPr w:rsidR="005771AB" w:rsidRPr="005771AB" w:rsidSect="00112530">
          <w:headerReference w:type="default" r:id="rId21"/>
          <w:footerReference w:type="default" r:id="rId22"/>
          <w:pgSz w:w="12240" w:h="15840" w:code="1"/>
          <w:pgMar w:top="1800" w:right="1080" w:bottom="1656" w:left="1080" w:header="720" w:footer="720" w:gutter="0"/>
          <w:cols w:space="720"/>
          <w:docGrid w:linePitch="360"/>
        </w:sectPr>
      </w:pPr>
      <w:r>
        <w:t>Source: AIC 2018-2021 Plan Compliance Filing</w:t>
      </w:r>
    </w:p>
    <w:p w14:paraId="24DB1962" w14:textId="4289DCDF" w:rsidR="005E0BC0" w:rsidRDefault="00B12F5B" w:rsidP="005E0BC0">
      <w:pPr>
        <w:pStyle w:val="Heading1"/>
      </w:pPr>
      <w:bookmarkStart w:id="19" w:name="_Toc27335106"/>
      <w:r>
        <w:lastRenderedPageBreak/>
        <w:t>Evaluation Policies and Definitions</w:t>
      </w:r>
      <w:bookmarkEnd w:id="19"/>
    </w:p>
    <w:p w14:paraId="3208FC85" w14:textId="41C182F8" w:rsidR="00BE27C9" w:rsidRDefault="00BE27C9" w:rsidP="00BE27C9">
      <w:pPr>
        <w:pStyle w:val="ODCBodyText"/>
      </w:pPr>
      <w:r>
        <w:t xml:space="preserve">In preparing this plan, the evaluation team reviewed the most recent Illinois Energy Efficiency Policy Manual (Version 1.1), ICC Order 17-0311 approving AIC’s Energy Efficiency and Demand-Response Plan (2018 Plan), and the requirements of the FEJA related to evaluation. Within this section, we outline key requirements around when evaluation-based information should become available. We also provide a set of key terms and definitions used within this document so that stakeholders have a clear understanding of what is planned.  </w:t>
      </w:r>
    </w:p>
    <w:p w14:paraId="32D24EAA" w14:textId="25A4CF17" w:rsidR="006E69ED" w:rsidRDefault="006E69ED" w:rsidP="00AF3039">
      <w:pPr>
        <w:pStyle w:val="Heading4"/>
      </w:pPr>
      <w:r>
        <w:t xml:space="preserve">Evaluation </w:t>
      </w:r>
      <w:r w:rsidR="00BE27C9">
        <w:t>Requirements</w:t>
      </w:r>
    </w:p>
    <w:p w14:paraId="3EA95CBA" w14:textId="1CBD985D" w:rsidR="00BE27C9" w:rsidRPr="00BE27C9" w:rsidRDefault="00BE27C9" w:rsidP="00BE27C9">
      <w:pPr>
        <w:pStyle w:val="BodyText"/>
      </w:pPr>
      <w:r>
        <w:fldChar w:fldCharType="begin"/>
      </w:r>
      <w:r>
        <w:instrText xml:space="preserve"> REF _Ref502320991 \h </w:instrText>
      </w:r>
      <w:r>
        <w:fldChar w:fldCharType="separate"/>
      </w:r>
      <w:r w:rsidR="00A75F23">
        <w:t xml:space="preserve">Figure </w:t>
      </w:r>
      <w:r w:rsidR="00A75F23">
        <w:rPr>
          <w:noProof/>
        </w:rPr>
        <w:t>3</w:t>
      </w:r>
      <w:r>
        <w:fldChar w:fldCharType="end"/>
      </w:r>
      <w:r>
        <w:t xml:space="preserve"> outlines the dates at which the evaluation team must provide inputs to and outputs from its evaluation efforts</w:t>
      </w:r>
      <w:r w:rsidR="00AE7B70">
        <w:t>, using 2018 as an example</w:t>
      </w:r>
      <w:r>
        <w:t>. These include evaluation plans and reports, and research and evaluator recommendations related to Net-to-Gross (NTG) Ratios, and the Illinois Statewide Technical Reference Manual (IL-TRM).</w:t>
      </w:r>
    </w:p>
    <w:p w14:paraId="2FCC3421" w14:textId="073E9EE7" w:rsidR="008F0F62" w:rsidRDefault="008F0F62" w:rsidP="00FA04B9">
      <w:pPr>
        <w:pStyle w:val="Caption"/>
      </w:pPr>
      <w:bookmarkStart w:id="20" w:name="_Ref502320991"/>
      <w:bookmarkStart w:id="21" w:name="_Toc27335148"/>
      <w:r>
        <w:t xml:space="preserve">Figure </w:t>
      </w:r>
      <w:r w:rsidR="00E656B8">
        <w:rPr>
          <w:noProof/>
        </w:rPr>
        <w:fldChar w:fldCharType="begin"/>
      </w:r>
      <w:r w:rsidR="00E656B8">
        <w:rPr>
          <w:noProof/>
        </w:rPr>
        <w:instrText xml:space="preserve"> SEQ Figure \* ARABIC </w:instrText>
      </w:r>
      <w:r w:rsidR="00E656B8">
        <w:rPr>
          <w:noProof/>
        </w:rPr>
        <w:fldChar w:fldCharType="separate"/>
      </w:r>
      <w:r w:rsidR="00A75F23">
        <w:rPr>
          <w:noProof/>
        </w:rPr>
        <w:t>3</w:t>
      </w:r>
      <w:r w:rsidR="00E656B8">
        <w:rPr>
          <w:noProof/>
        </w:rPr>
        <w:fldChar w:fldCharType="end"/>
      </w:r>
      <w:bookmarkEnd w:id="20"/>
      <w:r>
        <w:t>. Annual Evaluation Milestones</w:t>
      </w:r>
      <w:bookmarkEnd w:id="21"/>
    </w:p>
    <w:p w14:paraId="24444AEA" w14:textId="05711B3C" w:rsidR="00112530" w:rsidRDefault="003562B1" w:rsidP="003562B1">
      <w:pPr>
        <w:pStyle w:val="BodyText"/>
        <w:ind w:left="-270"/>
        <w:jc w:val="center"/>
      </w:pPr>
      <w:r>
        <w:object w:dxaOrig="12841" w:dyaOrig="9316" w14:anchorId="5D3CD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5pt;height:389.5pt" o:ole="">
            <v:imagedata r:id="rId23" o:title=""/>
          </v:shape>
          <o:OLEObject Type="Embed" ProgID="Visio.Drawing.15" ShapeID="_x0000_i1025" DrawAspect="Content" ObjectID="_1637987605" r:id="rId24"/>
        </w:object>
      </w:r>
      <w:r w:rsidR="00112530">
        <w:br w:type="page"/>
      </w:r>
    </w:p>
    <w:p w14:paraId="4920B0DD" w14:textId="0BBF6AE4" w:rsidR="006E69ED" w:rsidRPr="009F4781" w:rsidRDefault="006E69ED" w:rsidP="006E69ED">
      <w:r>
        <w:lastRenderedPageBreak/>
        <w:t xml:space="preserve">Beyond the stipulated timelines presented in </w:t>
      </w:r>
      <w:r w:rsidR="00BE27C9">
        <w:fldChar w:fldCharType="begin"/>
      </w:r>
      <w:r w:rsidR="00BE27C9">
        <w:instrText xml:space="preserve"> REF _Ref502320991 \h </w:instrText>
      </w:r>
      <w:r w:rsidR="00BE27C9">
        <w:fldChar w:fldCharType="separate"/>
      </w:r>
      <w:r w:rsidR="00A75F23">
        <w:t xml:space="preserve">Figure </w:t>
      </w:r>
      <w:r w:rsidR="00A75F23">
        <w:rPr>
          <w:noProof/>
        </w:rPr>
        <w:t>3</w:t>
      </w:r>
      <w:r w:rsidR="00BE27C9">
        <w:fldChar w:fldCharType="end"/>
      </w:r>
      <w:r>
        <w:t xml:space="preserve">, </w:t>
      </w:r>
      <w:r w:rsidR="00865998">
        <w:t xml:space="preserve">it is important to note that </w:t>
      </w:r>
      <w:r>
        <w:t>the NTG policies included in the</w:t>
      </w:r>
      <w:r w:rsidR="00BE27C9">
        <w:t xml:space="preserve"> Illinois Energy Efficiency</w:t>
      </w:r>
      <w:r>
        <w:t xml:space="preserve"> Policy Manual state that:</w:t>
      </w:r>
    </w:p>
    <w:p w14:paraId="062DF7B7" w14:textId="1139BDD5" w:rsidR="006E69ED" w:rsidRDefault="006E69ED" w:rsidP="006E69ED">
      <w:pPr>
        <w:pStyle w:val="Bullet1"/>
      </w:pPr>
      <w:r>
        <w:t>Free-ridership must be assessed for each program when conducting NTG research</w:t>
      </w:r>
      <w:r w:rsidR="00112530">
        <w:t>;</w:t>
      </w:r>
    </w:p>
    <w:p w14:paraId="2C84CA66" w14:textId="6AFF09AF" w:rsidR="006E69ED" w:rsidRDefault="006E69ED" w:rsidP="006E69ED">
      <w:pPr>
        <w:pStyle w:val="Bullet1"/>
      </w:pPr>
      <w:r>
        <w:t>Spillover should be included whenever feasible, and the use of secondary sources should be considered if primary research is not possible</w:t>
      </w:r>
      <w:r w:rsidR="00112530">
        <w:t>; and</w:t>
      </w:r>
    </w:p>
    <w:p w14:paraId="7D557741" w14:textId="240D9517" w:rsidR="006E69ED" w:rsidRPr="009F4781" w:rsidRDefault="006E69ED" w:rsidP="006E69ED">
      <w:pPr>
        <w:pStyle w:val="Bullet1"/>
      </w:pPr>
      <w:r>
        <w:t>Portfolio-level spillover analysis should be considered at least on</w:t>
      </w:r>
      <w:r w:rsidR="00112530">
        <w:t>c</w:t>
      </w:r>
      <w:r>
        <w:t>e during a Plan period if feasible</w:t>
      </w:r>
      <w:r w:rsidR="00112530">
        <w:t>.</w:t>
      </w:r>
    </w:p>
    <w:p w14:paraId="6AE68A31" w14:textId="0880CC55" w:rsidR="006E69ED" w:rsidRDefault="00865998" w:rsidP="00AF3039">
      <w:pPr>
        <w:pStyle w:val="Heading4"/>
      </w:pPr>
      <w:r>
        <w:t xml:space="preserve">Evaluation Terms and </w:t>
      </w:r>
      <w:r w:rsidR="006E69ED">
        <w:t xml:space="preserve">Definitions </w:t>
      </w:r>
    </w:p>
    <w:p w14:paraId="2ECF2135" w14:textId="52B706AD" w:rsidR="00F771C4" w:rsidRDefault="00F771C4" w:rsidP="00F771C4">
      <w:pPr>
        <w:pStyle w:val="BodyText"/>
      </w:pPr>
      <w:r>
        <w:t>Within this section, we outline and define the key terms used throughout this plan and in reporting on AIC’s energy efficiency achievements. The first set of terms</w:t>
      </w:r>
      <w:r w:rsidR="00112530">
        <w:t>,</w:t>
      </w:r>
      <w:r w:rsidR="00A307C6">
        <w:t xml:space="preserve"> presented in </w:t>
      </w:r>
      <w:r w:rsidR="00A307C6">
        <w:fldChar w:fldCharType="begin"/>
      </w:r>
      <w:r w:rsidR="00A307C6">
        <w:instrText xml:space="preserve"> REF _Ref502236906 \h </w:instrText>
      </w:r>
      <w:r w:rsidR="00A307C6">
        <w:fldChar w:fldCharType="separate"/>
      </w:r>
      <w:r w:rsidR="00A75F23">
        <w:t xml:space="preserve">Table </w:t>
      </w:r>
      <w:r w:rsidR="00A75F23">
        <w:rPr>
          <w:noProof/>
        </w:rPr>
        <w:t>2</w:t>
      </w:r>
      <w:r w:rsidR="00A307C6">
        <w:fldChar w:fldCharType="end"/>
      </w:r>
      <w:r w:rsidR="00A307C6">
        <w:t>,</w:t>
      </w:r>
      <w:r>
        <w:t xml:space="preserve"> relates to gross and net energy (MWh and therm) and demand (MW) savings.</w:t>
      </w:r>
      <w:r w:rsidR="00A307C6">
        <w:rPr>
          <w:rStyle w:val="FootnoteReference"/>
        </w:rPr>
        <w:footnoteReference w:id="1"/>
      </w:r>
      <w:r>
        <w:t xml:space="preserve"> </w:t>
      </w:r>
    </w:p>
    <w:p w14:paraId="5DBFDE06" w14:textId="706B28A9" w:rsidR="00F771C4" w:rsidRPr="00F771C4" w:rsidRDefault="00F771C4" w:rsidP="00FA04B9">
      <w:pPr>
        <w:pStyle w:val="Caption"/>
      </w:pPr>
      <w:r>
        <w:t xml:space="preserve">  </w:t>
      </w:r>
      <w:bookmarkStart w:id="22" w:name="_Ref502236906"/>
      <w:bookmarkStart w:id="23" w:name="_Toc27335129"/>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2</w:t>
      </w:r>
      <w:r w:rsidR="00E656B8">
        <w:rPr>
          <w:noProof/>
        </w:rPr>
        <w:fldChar w:fldCharType="end"/>
      </w:r>
      <w:bookmarkEnd w:id="22"/>
      <w:r>
        <w:t>. Savings-Related Terminology and Definitions</w:t>
      </w:r>
      <w:bookmarkEnd w:id="23"/>
    </w:p>
    <w:tbl>
      <w:tblPr>
        <w:tblStyle w:val="ODCBasic-1"/>
        <w:tblW w:w="5000" w:type="pct"/>
        <w:jc w:val="left"/>
        <w:tblLook w:val="04A0" w:firstRow="1" w:lastRow="0" w:firstColumn="1" w:lastColumn="0" w:noHBand="0" w:noVBand="1"/>
      </w:tblPr>
      <w:tblGrid>
        <w:gridCol w:w="2064"/>
        <w:gridCol w:w="8006"/>
      </w:tblGrid>
      <w:tr w:rsidR="00891ED9" w14:paraId="6613E96F" w14:textId="77777777" w:rsidTr="00BE308E">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25" w:type="pct"/>
          </w:tcPr>
          <w:p w14:paraId="04CB9D3C" w14:textId="5F68E997" w:rsidR="00891ED9" w:rsidRDefault="00F771C4" w:rsidP="00891ED9">
            <w:pPr>
              <w:pStyle w:val="BodyText"/>
            </w:pPr>
            <w:r>
              <w:t xml:space="preserve">Savings </w:t>
            </w:r>
            <w:r w:rsidR="00891ED9">
              <w:t>Terminology</w:t>
            </w:r>
          </w:p>
        </w:tc>
        <w:tc>
          <w:tcPr>
            <w:tcW w:w="3975" w:type="pct"/>
          </w:tcPr>
          <w:p w14:paraId="125BC7FD" w14:textId="40B0CDF3" w:rsidR="00891ED9" w:rsidRDefault="00891ED9" w:rsidP="00E42B3C">
            <w:pPr>
              <w:pStyle w:val="BodyText"/>
              <w:jc w:val="center"/>
              <w:cnfStyle w:val="100000000000" w:firstRow="1" w:lastRow="0" w:firstColumn="0" w:lastColumn="0" w:oddVBand="0" w:evenVBand="0" w:oddHBand="0" w:evenHBand="0" w:firstRowFirstColumn="0" w:firstRowLastColumn="0" w:lastRowFirstColumn="0" w:lastRowLastColumn="0"/>
            </w:pPr>
            <w:r>
              <w:t>Definition</w:t>
            </w:r>
          </w:p>
        </w:tc>
      </w:tr>
      <w:tr w:rsidR="00891ED9" w14:paraId="2B26AC14" w14:textId="77777777" w:rsidTr="00BE308E">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25" w:type="pct"/>
            <w:vAlign w:val="center"/>
          </w:tcPr>
          <w:p w14:paraId="5BC0A3B0" w14:textId="66AD0910" w:rsidR="00891ED9" w:rsidRPr="00112530" w:rsidRDefault="00891ED9" w:rsidP="00F771C4">
            <w:pPr>
              <w:pStyle w:val="BodyText"/>
              <w:jc w:val="left"/>
              <w:rPr>
                <w:color w:val="auto"/>
              </w:rPr>
            </w:pPr>
            <w:r w:rsidRPr="00112530">
              <w:rPr>
                <w:color w:val="auto"/>
              </w:rPr>
              <w:t>Ex Ante Gross Savings</w:t>
            </w:r>
          </w:p>
        </w:tc>
        <w:tc>
          <w:tcPr>
            <w:tcW w:w="3975" w:type="pct"/>
          </w:tcPr>
          <w:p w14:paraId="0854755A" w14:textId="53C4617D" w:rsidR="00891ED9" w:rsidRPr="00112530" w:rsidRDefault="00891ED9" w:rsidP="00891ED9">
            <w:pPr>
              <w:pStyle w:val="BodyText"/>
              <w:jc w:val="left"/>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t xml:space="preserve">Gross savings present in the final </w:t>
            </w:r>
            <w:r w:rsidR="00F771C4" w:rsidRPr="00112530">
              <w:rPr>
                <w:color w:val="auto"/>
              </w:rPr>
              <w:t>program</w:t>
            </w:r>
            <w:r w:rsidR="0007491B">
              <w:rPr>
                <w:color w:val="auto"/>
              </w:rPr>
              <w:t xml:space="preserve"> </w:t>
            </w:r>
            <w:r w:rsidR="00F771C4" w:rsidRPr="00112530">
              <w:rPr>
                <w:color w:val="auto"/>
              </w:rPr>
              <w:t xml:space="preserve">tracking </w:t>
            </w:r>
            <w:r w:rsidRPr="00112530">
              <w:rPr>
                <w:color w:val="auto"/>
              </w:rPr>
              <w:t>database provided by AIC</w:t>
            </w:r>
          </w:p>
        </w:tc>
      </w:tr>
      <w:tr w:rsidR="00891ED9" w14:paraId="2BF75BE6" w14:textId="77777777" w:rsidTr="00BE308E">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25" w:type="pct"/>
            <w:vAlign w:val="center"/>
          </w:tcPr>
          <w:p w14:paraId="29A1E044" w14:textId="0D6315D5" w:rsidR="00891ED9" w:rsidRPr="00112530" w:rsidRDefault="00891ED9" w:rsidP="00F771C4">
            <w:pPr>
              <w:pStyle w:val="BodyText"/>
              <w:jc w:val="left"/>
              <w:rPr>
                <w:color w:val="auto"/>
              </w:rPr>
            </w:pPr>
            <w:r w:rsidRPr="00112530">
              <w:rPr>
                <w:color w:val="auto"/>
              </w:rPr>
              <w:t>Ex Ante Net Savings</w:t>
            </w:r>
          </w:p>
        </w:tc>
        <w:tc>
          <w:tcPr>
            <w:tcW w:w="3975" w:type="pct"/>
          </w:tcPr>
          <w:p w14:paraId="42254C92" w14:textId="45C13C31" w:rsidR="00891ED9" w:rsidRPr="00112530" w:rsidRDefault="00891ED9" w:rsidP="00891ED9">
            <w:pPr>
              <w:pStyle w:val="BodyText"/>
              <w:jc w:val="left"/>
              <w:cnfStyle w:val="000000010000" w:firstRow="0" w:lastRow="0" w:firstColumn="0" w:lastColumn="0" w:oddVBand="0" w:evenVBand="0" w:oddHBand="0" w:evenHBand="1" w:firstRowFirstColumn="0" w:firstRowLastColumn="0" w:lastRowFirstColumn="0" w:lastRowLastColumn="0"/>
              <w:rPr>
                <w:color w:val="auto"/>
              </w:rPr>
            </w:pPr>
            <w:r w:rsidRPr="00112530">
              <w:rPr>
                <w:color w:val="auto"/>
              </w:rPr>
              <w:t xml:space="preserve">Net savings present in the final </w:t>
            </w:r>
            <w:r w:rsidR="00F771C4" w:rsidRPr="00112530">
              <w:rPr>
                <w:color w:val="auto"/>
              </w:rPr>
              <w:t>program</w:t>
            </w:r>
            <w:r w:rsidR="0007491B">
              <w:rPr>
                <w:color w:val="auto"/>
              </w:rPr>
              <w:t xml:space="preserve"> </w:t>
            </w:r>
            <w:r w:rsidR="00F771C4" w:rsidRPr="00112530">
              <w:rPr>
                <w:color w:val="auto"/>
              </w:rPr>
              <w:t xml:space="preserve">tracking </w:t>
            </w:r>
            <w:r w:rsidRPr="00112530">
              <w:rPr>
                <w:color w:val="auto"/>
              </w:rPr>
              <w:t>database provided by AIC</w:t>
            </w:r>
          </w:p>
        </w:tc>
      </w:tr>
      <w:tr w:rsidR="00891ED9" w14:paraId="724DB394" w14:textId="77777777" w:rsidTr="00BE308E">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25" w:type="pct"/>
            <w:vAlign w:val="center"/>
          </w:tcPr>
          <w:p w14:paraId="4B8D5EBF" w14:textId="11682790" w:rsidR="00891ED9" w:rsidRPr="00112530" w:rsidRDefault="00AE7B70" w:rsidP="00F771C4">
            <w:pPr>
              <w:pStyle w:val="BodyText"/>
              <w:jc w:val="left"/>
              <w:rPr>
                <w:color w:val="auto"/>
              </w:rPr>
            </w:pPr>
            <w:r>
              <w:rPr>
                <w:color w:val="auto"/>
              </w:rPr>
              <w:t>Verified</w:t>
            </w:r>
            <w:r w:rsidR="00891ED9" w:rsidRPr="00112530">
              <w:rPr>
                <w:color w:val="auto"/>
              </w:rPr>
              <w:t xml:space="preserve"> Gross Savings</w:t>
            </w:r>
          </w:p>
        </w:tc>
        <w:tc>
          <w:tcPr>
            <w:tcW w:w="3975" w:type="pct"/>
          </w:tcPr>
          <w:p w14:paraId="09789736" w14:textId="7FC653D3" w:rsidR="00891ED9" w:rsidRPr="00112530" w:rsidRDefault="00891ED9" w:rsidP="00891ED9">
            <w:pPr>
              <w:pStyle w:val="BodyText"/>
              <w:jc w:val="left"/>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t>Gross savings calculated by the evaluation team</w:t>
            </w:r>
          </w:p>
        </w:tc>
      </w:tr>
      <w:tr w:rsidR="00891ED9" w14:paraId="49EBEB96" w14:textId="77777777" w:rsidTr="00BE308E">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25" w:type="pct"/>
            <w:vAlign w:val="center"/>
          </w:tcPr>
          <w:p w14:paraId="48730834" w14:textId="1369335E" w:rsidR="00891ED9" w:rsidRPr="00112530" w:rsidRDefault="00AE7B70" w:rsidP="00F771C4">
            <w:pPr>
              <w:pStyle w:val="BodyText"/>
              <w:jc w:val="left"/>
              <w:rPr>
                <w:color w:val="auto"/>
              </w:rPr>
            </w:pPr>
            <w:r>
              <w:rPr>
                <w:color w:val="auto"/>
              </w:rPr>
              <w:t>Verified</w:t>
            </w:r>
            <w:r w:rsidR="00891ED9" w:rsidRPr="00112530">
              <w:rPr>
                <w:color w:val="auto"/>
              </w:rPr>
              <w:t xml:space="preserve"> Net Savings</w:t>
            </w:r>
          </w:p>
        </w:tc>
        <w:tc>
          <w:tcPr>
            <w:tcW w:w="3975" w:type="pct"/>
          </w:tcPr>
          <w:p w14:paraId="000E9161" w14:textId="37F725B1" w:rsidR="00891ED9" w:rsidRPr="00112530" w:rsidRDefault="00891ED9" w:rsidP="00891ED9">
            <w:pPr>
              <w:pStyle w:val="BodyText"/>
              <w:jc w:val="left"/>
              <w:cnfStyle w:val="000000010000" w:firstRow="0" w:lastRow="0" w:firstColumn="0" w:lastColumn="0" w:oddVBand="0" w:evenVBand="0" w:oddHBand="0" w:evenHBand="1" w:firstRowFirstColumn="0" w:firstRowLastColumn="0" w:lastRowFirstColumn="0" w:lastRowLastColumn="0"/>
              <w:rPr>
                <w:color w:val="auto"/>
              </w:rPr>
            </w:pPr>
            <w:r w:rsidRPr="00112530">
              <w:rPr>
                <w:color w:val="auto"/>
              </w:rPr>
              <w:t>Net savings calculated by the evaluation team</w:t>
            </w:r>
            <w:r w:rsidR="00F771C4" w:rsidRPr="00112530">
              <w:rPr>
                <w:color w:val="auto"/>
              </w:rPr>
              <w:t xml:space="preserve"> based on</w:t>
            </w:r>
            <w:r w:rsidRPr="00112530">
              <w:rPr>
                <w:color w:val="auto"/>
              </w:rPr>
              <w:t xml:space="preserve"> IL-SAG approved NTGRs (or approved research based values applied retrospectively)</w:t>
            </w:r>
          </w:p>
        </w:tc>
      </w:tr>
    </w:tbl>
    <w:p w14:paraId="58BDE44B" w14:textId="3FB64A28" w:rsidR="00891ED9" w:rsidRDefault="00A307C6" w:rsidP="00891ED9">
      <w:pPr>
        <w:pStyle w:val="BodyText"/>
      </w:pPr>
      <w:r>
        <w:t xml:space="preserve">Within </w:t>
      </w:r>
      <w:r>
        <w:fldChar w:fldCharType="begin"/>
      </w:r>
      <w:r>
        <w:instrText xml:space="preserve"> REF _Ref502236923 \h </w:instrText>
      </w:r>
      <w:r>
        <w:fldChar w:fldCharType="separate"/>
      </w:r>
      <w:r w:rsidR="00A75F23">
        <w:t xml:space="preserve">Table </w:t>
      </w:r>
      <w:r w:rsidR="00A75F23">
        <w:rPr>
          <w:noProof/>
        </w:rPr>
        <w:t>3</w:t>
      </w:r>
      <w:r>
        <w:fldChar w:fldCharType="end"/>
      </w:r>
      <w:r>
        <w:t>, t</w:t>
      </w:r>
      <w:r w:rsidR="00891ED9">
        <w:t xml:space="preserve">he evaluation team </w:t>
      </w:r>
      <w:r w:rsidR="00665045">
        <w:t xml:space="preserve">also </w:t>
      </w:r>
      <w:r>
        <w:t xml:space="preserve">defines each of the </w:t>
      </w:r>
      <w:r w:rsidR="00891ED9">
        <w:t xml:space="preserve">impact evaluation activities </w:t>
      </w:r>
      <w:r>
        <w:t xml:space="preserve">outlined within the evaluation plan. </w:t>
      </w:r>
      <w:r w:rsidR="00891ED9">
        <w:t xml:space="preserve">Note that we have </w:t>
      </w:r>
      <w:r>
        <w:t>differentiated between activities applicable to p</w:t>
      </w:r>
      <w:r w:rsidR="00891ED9">
        <w:t xml:space="preserve">rescriptive </w:t>
      </w:r>
      <w:r>
        <w:t xml:space="preserve">and custom </w:t>
      </w:r>
      <w:r w:rsidR="00891ED9">
        <w:t>measures</w:t>
      </w:r>
      <w:r w:rsidR="00112530">
        <w:t>,</w:t>
      </w:r>
      <w:r>
        <w:t xml:space="preserve"> respectively</w:t>
      </w:r>
      <w:r w:rsidR="00665045">
        <w:t>, and use this terminology consistently throughout the evaluation plan</w:t>
      </w:r>
      <w:r>
        <w:t>.</w:t>
      </w:r>
      <w:r w:rsidR="00891ED9">
        <w:t xml:space="preserve"> </w:t>
      </w:r>
    </w:p>
    <w:p w14:paraId="5C875DD4" w14:textId="3C2165D7" w:rsidR="00EB534C" w:rsidRDefault="00EB534C" w:rsidP="00FA04B9">
      <w:pPr>
        <w:pStyle w:val="Caption"/>
      </w:pPr>
      <w:bookmarkStart w:id="24" w:name="_Ref502236923"/>
      <w:bookmarkStart w:id="25" w:name="_Toc27335130"/>
      <w:r>
        <w:lastRenderedPageBreak/>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3</w:t>
      </w:r>
      <w:r w:rsidR="00E656B8">
        <w:rPr>
          <w:noProof/>
        </w:rPr>
        <w:fldChar w:fldCharType="end"/>
      </w:r>
      <w:bookmarkEnd w:id="24"/>
      <w:r>
        <w:t>. Impact Evaluation Activity Definitions</w:t>
      </w:r>
      <w:bookmarkEnd w:id="25"/>
    </w:p>
    <w:tbl>
      <w:tblPr>
        <w:tblStyle w:val="ODCBasic-1"/>
        <w:tblW w:w="0" w:type="auto"/>
        <w:tblLook w:val="04A0" w:firstRow="1" w:lastRow="0" w:firstColumn="1" w:lastColumn="0" w:noHBand="0" w:noVBand="1"/>
      </w:tblPr>
      <w:tblGrid>
        <w:gridCol w:w="5035"/>
        <w:gridCol w:w="5035"/>
      </w:tblGrid>
      <w:tr w:rsidR="00AF1F7B" w14:paraId="2FA50362" w14:textId="77777777" w:rsidTr="00AF1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5817B096" w14:textId="11B9AB7B" w:rsidR="00AF1F7B" w:rsidRDefault="00AF1F7B" w:rsidP="00EB534C">
            <w:pPr>
              <w:pStyle w:val="BodyText"/>
              <w:keepNext/>
              <w:keepLines/>
              <w:jc w:val="center"/>
            </w:pPr>
            <w:r>
              <w:t>Prescriptive Measures</w:t>
            </w:r>
          </w:p>
        </w:tc>
        <w:tc>
          <w:tcPr>
            <w:tcW w:w="5035" w:type="dxa"/>
          </w:tcPr>
          <w:p w14:paraId="1FDE5664" w14:textId="649CD6CE" w:rsidR="00AF1F7B" w:rsidRDefault="00AF1F7B" w:rsidP="00EB534C">
            <w:pPr>
              <w:pStyle w:val="BodyText"/>
              <w:keepNext/>
              <w:keepLines/>
              <w:jc w:val="center"/>
              <w:cnfStyle w:val="100000000000" w:firstRow="1" w:lastRow="0" w:firstColumn="0" w:lastColumn="0" w:oddVBand="0" w:evenVBand="0" w:oddHBand="0" w:evenHBand="0" w:firstRowFirstColumn="0" w:firstRowLastColumn="0" w:lastRowFirstColumn="0" w:lastRowLastColumn="0"/>
            </w:pPr>
            <w:r>
              <w:t>Custom Measures</w:t>
            </w:r>
          </w:p>
        </w:tc>
      </w:tr>
      <w:tr w:rsidR="00AF1F7B" w14:paraId="7CD30B04" w14:textId="77777777" w:rsidTr="00AF1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042855AD" w14:textId="77777777" w:rsidR="008214AF" w:rsidRPr="00112530" w:rsidRDefault="00AF1F7B" w:rsidP="00EB534C">
            <w:pPr>
              <w:pStyle w:val="BodyText"/>
              <w:keepNext/>
              <w:keepLines/>
              <w:rPr>
                <w:color w:val="auto"/>
              </w:rPr>
            </w:pPr>
            <w:r w:rsidRPr="00112530">
              <w:rPr>
                <w:color w:val="auto"/>
                <w:u w:val="single"/>
              </w:rPr>
              <w:t>Definition</w:t>
            </w:r>
            <w:r w:rsidRPr="00112530">
              <w:rPr>
                <w:color w:val="auto"/>
              </w:rPr>
              <w:t xml:space="preserve">: </w:t>
            </w:r>
            <w:r w:rsidR="00EB534C" w:rsidRPr="00112530">
              <w:rPr>
                <w:color w:val="auto"/>
              </w:rPr>
              <w:t>Measures with predetermined savings values or IL-TRM algorithms for use in determining savings</w:t>
            </w:r>
          </w:p>
          <w:p w14:paraId="687FA443" w14:textId="7663C03D" w:rsidR="004B1067" w:rsidRPr="00112530" w:rsidRDefault="004B1067" w:rsidP="00EB534C">
            <w:pPr>
              <w:pStyle w:val="BodyText"/>
              <w:keepNext/>
              <w:keepLines/>
              <w:rPr>
                <w:color w:val="auto"/>
              </w:rPr>
            </w:pPr>
            <w:r w:rsidRPr="00112530">
              <w:rPr>
                <w:color w:val="auto"/>
                <w:u w:val="single"/>
              </w:rPr>
              <w:t>Example:</w:t>
            </w:r>
            <w:r w:rsidRPr="00112530">
              <w:rPr>
                <w:color w:val="auto"/>
              </w:rPr>
              <w:t xml:space="preserve"> A-Line LED bulb</w:t>
            </w:r>
          </w:p>
        </w:tc>
        <w:tc>
          <w:tcPr>
            <w:tcW w:w="5035" w:type="dxa"/>
          </w:tcPr>
          <w:p w14:paraId="1C7AB40A" w14:textId="77777777" w:rsidR="008214AF" w:rsidRPr="00112530" w:rsidRDefault="00AF1F7B" w:rsidP="00EB534C">
            <w:pPr>
              <w:pStyle w:val="BodyText"/>
              <w:keepNext/>
              <w:keepLines/>
              <w:cnfStyle w:val="000000100000" w:firstRow="0" w:lastRow="0" w:firstColumn="0" w:lastColumn="0" w:oddVBand="0" w:evenVBand="0" w:oddHBand="1" w:evenHBand="0" w:firstRowFirstColumn="0" w:firstRowLastColumn="0" w:lastRowFirstColumn="0" w:lastRowLastColumn="0"/>
              <w:rPr>
                <w:color w:val="auto"/>
              </w:rPr>
            </w:pPr>
            <w:r w:rsidRPr="00112530">
              <w:rPr>
                <w:color w:val="auto"/>
                <w:u w:val="single"/>
              </w:rPr>
              <w:t>Definition</w:t>
            </w:r>
            <w:r w:rsidRPr="00112530">
              <w:rPr>
                <w:color w:val="auto"/>
              </w:rPr>
              <w:t>: Unique or complex measures for which there is not an IL-TRM algorithm</w:t>
            </w:r>
          </w:p>
          <w:p w14:paraId="03CD7A22" w14:textId="7303EF3D" w:rsidR="004B1067" w:rsidRPr="00112530" w:rsidRDefault="004B1067" w:rsidP="00EB534C">
            <w:pPr>
              <w:pStyle w:val="BodyText"/>
              <w:keepNext/>
              <w:keepLines/>
              <w:cnfStyle w:val="000000100000" w:firstRow="0" w:lastRow="0" w:firstColumn="0" w:lastColumn="0" w:oddVBand="0" w:evenVBand="0" w:oddHBand="1" w:evenHBand="0" w:firstRowFirstColumn="0" w:firstRowLastColumn="0" w:lastRowFirstColumn="0" w:lastRowLastColumn="0"/>
              <w:rPr>
                <w:color w:val="auto"/>
              </w:rPr>
            </w:pPr>
            <w:r w:rsidRPr="00112530">
              <w:rPr>
                <w:color w:val="auto"/>
                <w:u w:val="single"/>
              </w:rPr>
              <w:t>Example:</w:t>
            </w:r>
            <w:r w:rsidRPr="00112530">
              <w:rPr>
                <w:color w:val="auto"/>
              </w:rPr>
              <w:t xml:space="preserve"> Compressed air system resequencing</w:t>
            </w:r>
          </w:p>
        </w:tc>
      </w:tr>
      <w:tr w:rsidR="00EB534C" w14:paraId="46B3CFB3" w14:textId="77777777" w:rsidTr="00EB53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shd w:val="clear" w:color="auto" w:fill="98D6F6" w:themeFill="background1" w:themeFillTint="66"/>
          </w:tcPr>
          <w:p w14:paraId="0DA32449" w14:textId="09A9088A" w:rsidR="00EB534C" w:rsidRPr="00112530" w:rsidRDefault="00047377" w:rsidP="00EB534C">
            <w:pPr>
              <w:pStyle w:val="BodyText"/>
              <w:keepNext/>
              <w:keepLines/>
              <w:jc w:val="center"/>
              <w:rPr>
                <w:b/>
                <w:color w:val="auto"/>
              </w:rPr>
            </w:pPr>
            <w:r w:rsidRPr="00112530">
              <w:rPr>
                <w:b/>
                <w:color w:val="auto"/>
              </w:rPr>
              <w:t>Impact Evaluation Activity Definitions</w:t>
            </w:r>
          </w:p>
        </w:tc>
      </w:tr>
      <w:tr w:rsidR="00EB534C" w14:paraId="7F86ADB7" w14:textId="77777777" w:rsidTr="006D72BA">
        <w:trPr>
          <w:cnfStyle w:val="000000100000" w:firstRow="0" w:lastRow="0" w:firstColumn="0" w:lastColumn="0" w:oddVBand="0" w:evenVBand="0" w:oddHBand="1" w:evenHBand="0" w:firstRowFirstColumn="0" w:firstRowLastColumn="0" w:lastRowFirstColumn="0" w:lastRowLastColumn="0"/>
          <w:trHeight w:val="5049"/>
        </w:trPr>
        <w:tc>
          <w:tcPr>
            <w:cnfStyle w:val="001000000000" w:firstRow="0" w:lastRow="0" w:firstColumn="1" w:lastColumn="0" w:oddVBand="0" w:evenVBand="0" w:oddHBand="0" w:evenHBand="0" w:firstRowFirstColumn="0" w:firstRowLastColumn="0" w:lastRowFirstColumn="0" w:lastRowLastColumn="0"/>
            <w:tcW w:w="5035" w:type="dxa"/>
          </w:tcPr>
          <w:p w14:paraId="6C23B6E7" w14:textId="7FE175A6" w:rsidR="00EB534C" w:rsidRPr="00112530" w:rsidRDefault="00EB534C" w:rsidP="00EB534C">
            <w:pPr>
              <w:pStyle w:val="Bullet1"/>
              <w:keepNext/>
              <w:keepLines/>
              <w:ind w:left="465"/>
              <w:jc w:val="left"/>
              <w:rPr>
                <w:color w:val="auto"/>
              </w:rPr>
            </w:pPr>
            <w:r w:rsidRPr="00112530">
              <w:rPr>
                <w:b/>
                <w:color w:val="auto"/>
              </w:rPr>
              <w:t>Database Review</w:t>
            </w:r>
            <w:r w:rsidRPr="00112530">
              <w:rPr>
                <w:color w:val="auto"/>
              </w:rPr>
              <w:t xml:space="preserve">: This activity </w:t>
            </w:r>
            <w:r w:rsidR="004B1067" w:rsidRPr="00112530">
              <w:rPr>
                <w:color w:val="auto"/>
              </w:rPr>
              <w:t xml:space="preserve">involves </w:t>
            </w:r>
            <w:r w:rsidRPr="00112530">
              <w:rPr>
                <w:color w:val="auto"/>
              </w:rPr>
              <w:t>reviewing the program or initiative-tracking data to check that incentivized measures meet all program requirements</w:t>
            </w:r>
            <w:r w:rsidR="00112530">
              <w:rPr>
                <w:color w:val="auto"/>
              </w:rPr>
              <w:t>.</w:t>
            </w:r>
          </w:p>
          <w:p w14:paraId="312CA305" w14:textId="13619C46" w:rsidR="00EB534C" w:rsidRPr="00112530" w:rsidRDefault="00EB534C" w:rsidP="00EB534C">
            <w:pPr>
              <w:pStyle w:val="Bullet1"/>
              <w:keepNext/>
              <w:keepLines/>
              <w:ind w:left="465"/>
              <w:jc w:val="left"/>
              <w:rPr>
                <w:color w:val="auto"/>
              </w:rPr>
            </w:pPr>
            <w:r w:rsidRPr="00112530">
              <w:rPr>
                <w:b/>
                <w:color w:val="auto"/>
              </w:rPr>
              <w:t xml:space="preserve">Engineering Desk Review: </w:t>
            </w:r>
            <w:r w:rsidRPr="00112530">
              <w:rPr>
                <w:color w:val="auto"/>
              </w:rPr>
              <w:t>This activity involves reviewing supporting project documentation, as well as initiative-tracking data to ensure that original data was entered correctly from invoices/documentation</w:t>
            </w:r>
            <w:r w:rsidR="00112530">
              <w:rPr>
                <w:color w:val="auto"/>
              </w:rPr>
              <w:t>.</w:t>
            </w:r>
          </w:p>
          <w:p w14:paraId="1876CE43" w14:textId="13734352" w:rsidR="00EB534C" w:rsidRPr="00112530" w:rsidRDefault="00EB534C" w:rsidP="00EB534C">
            <w:pPr>
              <w:pStyle w:val="Bullet1"/>
              <w:keepNext/>
              <w:keepLines/>
              <w:ind w:left="465"/>
              <w:jc w:val="left"/>
              <w:rPr>
                <w:color w:val="auto"/>
              </w:rPr>
            </w:pPr>
            <w:r w:rsidRPr="00112530">
              <w:rPr>
                <w:b/>
                <w:color w:val="auto"/>
              </w:rPr>
              <w:t>IL-TRM Application Review</w:t>
            </w:r>
            <w:r w:rsidRPr="00112530">
              <w:rPr>
                <w:color w:val="auto"/>
              </w:rPr>
              <w:t>: This activity involves reviewing initiative-tracking data to see that the correct deemed input values and IL-TRM specified algorithms are used in calculating savings</w:t>
            </w:r>
            <w:r w:rsidR="00112530">
              <w:rPr>
                <w:color w:val="auto"/>
              </w:rPr>
              <w:t>.</w:t>
            </w:r>
          </w:p>
          <w:p w14:paraId="475AA026" w14:textId="69EBEC21" w:rsidR="00EB534C" w:rsidRPr="00112530" w:rsidRDefault="00EB534C" w:rsidP="00047377">
            <w:pPr>
              <w:pStyle w:val="Bullet1"/>
              <w:keepNext/>
              <w:keepLines/>
              <w:ind w:left="465"/>
              <w:jc w:val="left"/>
              <w:rPr>
                <w:color w:val="auto"/>
              </w:rPr>
            </w:pPr>
            <w:r w:rsidRPr="00112530">
              <w:rPr>
                <w:b/>
                <w:color w:val="auto"/>
              </w:rPr>
              <w:t>On-Site Verification</w:t>
            </w:r>
            <w:r w:rsidRPr="00112530">
              <w:rPr>
                <w:color w:val="auto"/>
              </w:rPr>
              <w:t>: This activity involves on-site visits, typically with a sample of projects, to verify that incentivized measures are installed and operational</w:t>
            </w:r>
            <w:r w:rsidR="00112530">
              <w:rPr>
                <w:color w:val="auto"/>
              </w:rPr>
              <w:t>.</w:t>
            </w:r>
          </w:p>
        </w:tc>
        <w:tc>
          <w:tcPr>
            <w:tcW w:w="5035" w:type="dxa"/>
          </w:tcPr>
          <w:p w14:paraId="55F93124" w14:textId="0E7DC29C" w:rsidR="00EB534C" w:rsidRPr="00112530" w:rsidRDefault="00EB534C" w:rsidP="00EB534C">
            <w:pPr>
              <w:pStyle w:val="Bullet1"/>
              <w:ind w:left="465"/>
              <w:jc w:val="left"/>
              <w:cnfStyle w:val="000000100000" w:firstRow="0" w:lastRow="0" w:firstColumn="0" w:lastColumn="0" w:oddVBand="0" w:evenVBand="0" w:oddHBand="1" w:evenHBand="0" w:firstRowFirstColumn="0" w:firstRowLastColumn="0" w:lastRowFirstColumn="0" w:lastRowLastColumn="0"/>
              <w:rPr>
                <w:color w:val="auto"/>
              </w:rPr>
            </w:pPr>
            <w:r w:rsidRPr="00112530">
              <w:rPr>
                <w:b/>
                <w:color w:val="auto"/>
              </w:rPr>
              <w:t>Database Review</w:t>
            </w:r>
            <w:r w:rsidRPr="00112530">
              <w:rPr>
                <w:color w:val="auto"/>
              </w:rPr>
              <w:t xml:space="preserve">: This activity </w:t>
            </w:r>
            <w:r w:rsidR="004B1067" w:rsidRPr="00112530">
              <w:rPr>
                <w:color w:val="auto"/>
              </w:rPr>
              <w:t xml:space="preserve">involves </w:t>
            </w:r>
            <w:r w:rsidRPr="00112530">
              <w:rPr>
                <w:color w:val="auto"/>
              </w:rPr>
              <w:t>reviewing the program or initiative-tracking data to check that incentivized measures meet all program requirements</w:t>
            </w:r>
            <w:r w:rsidR="00112530">
              <w:rPr>
                <w:color w:val="auto"/>
              </w:rPr>
              <w:t>.</w:t>
            </w:r>
          </w:p>
          <w:p w14:paraId="53DF07CC" w14:textId="5B6BC8A5" w:rsidR="00EB534C" w:rsidRPr="00112530" w:rsidRDefault="00EB534C" w:rsidP="00AF1F7B">
            <w:pPr>
              <w:pStyle w:val="Bullet1"/>
              <w:ind w:left="465"/>
              <w:jc w:val="left"/>
              <w:cnfStyle w:val="000000100000" w:firstRow="0" w:lastRow="0" w:firstColumn="0" w:lastColumn="0" w:oddVBand="0" w:evenVBand="0" w:oddHBand="1" w:evenHBand="0" w:firstRowFirstColumn="0" w:firstRowLastColumn="0" w:lastRowFirstColumn="0" w:lastRowLastColumn="0"/>
              <w:rPr>
                <w:color w:val="auto"/>
              </w:rPr>
            </w:pPr>
            <w:r w:rsidRPr="00112530">
              <w:rPr>
                <w:b/>
                <w:color w:val="auto"/>
              </w:rPr>
              <w:t>Engineering Desk Review</w:t>
            </w:r>
            <w:r w:rsidRPr="00112530">
              <w:rPr>
                <w:color w:val="auto"/>
              </w:rPr>
              <w:t xml:space="preserve">: This activity involves reviewing project documentation and calculations, and </w:t>
            </w:r>
            <w:r w:rsidR="0062432D" w:rsidRPr="00112530">
              <w:rPr>
                <w:color w:val="auto"/>
              </w:rPr>
              <w:t xml:space="preserve">making </w:t>
            </w:r>
            <w:r w:rsidRPr="00112530">
              <w:rPr>
                <w:color w:val="auto"/>
              </w:rPr>
              <w:t>any associated revisions to account for analytical errors, incorrect assumptions</w:t>
            </w:r>
            <w:r w:rsidR="00112530">
              <w:rPr>
                <w:color w:val="auto"/>
              </w:rPr>
              <w:t>,</w:t>
            </w:r>
            <w:r w:rsidRPr="00112530">
              <w:rPr>
                <w:color w:val="auto"/>
              </w:rPr>
              <w:t xml:space="preserve"> etc.</w:t>
            </w:r>
          </w:p>
          <w:p w14:paraId="2E3AEF28" w14:textId="5CD5766E" w:rsidR="00EB534C" w:rsidRPr="00112530" w:rsidRDefault="00EB534C" w:rsidP="00AF1F7B">
            <w:pPr>
              <w:pStyle w:val="Bullet1"/>
              <w:ind w:left="465"/>
              <w:jc w:val="left"/>
              <w:cnfStyle w:val="000000100000" w:firstRow="0" w:lastRow="0" w:firstColumn="0" w:lastColumn="0" w:oddVBand="0" w:evenVBand="0" w:oddHBand="1" w:evenHBand="0" w:firstRowFirstColumn="0" w:firstRowLastColumn="0" w:lastRowFirstColumn="0" w:lastRowLastColumn="0"/>
              <w:rPr>
                <w:color w:val="auto"/>
              </w:rPr>
            </w:pPr>
            <w:r w:rsidRPr="00112530">
              <w:rPr>
                <w:b/>
                <w:color w:val="auto"/>
              </w:rPr>
              <w:t>On-Site Measurement &amp; Verification</w:t>
            </w:r>
            <w:r w:rsidRPr="00112530">
              <w:rPr>
                <w:color w:val="auto"/>
              </w:rPr>
              <w:t>: This activity involves conducting site specific measurement and verification (M&amp;V)</w:t>
            </w:r>
            <w:r w:rsidR="004B1067" w:rsidRPr="00112530">
              <w:rPr>
                <w:color w:val="auto"/>
              </w:rPr>
              <w:t xml:space="preserve"> (for example, metering equipment runtime), typically with a sample of</w:t>
            </w:r>
            <w:r w:rsidRPr="00112530">
              <w:rPr>
                <w:color w:val="auto"/>
              </w:rPr>
              <w:t xml:space="preserve"> projects</w:t>
            </w:r>
            <w:r w:rsidR="004B1067" w:rsidRPr="00112530">
              <w:rPr>
                <w:color w:val="auto"/>
              </w:rPr>
              <w:t>,</w:t>
            </w:r>
            <w:r w:rsidRPr="00112530">
              <w:rPr>
                <w:color w:val="auto"/>
              </w:rPr>
              <w:t xml:space="preserve"> to estimate site-specific savings</w:t>
            </w:r>
            <w:r w:rsidR="00112530">
              <w:rPr>
                <w:color w:val="auto"/>
              </w:rPr>
              <w:t>.</w:t>
            </w:r>
          </w:p>
          <w:p w14:paraId="25F5A767" w14:textId="77777777" w:rsidR="00EB534C" w:rsidRPr="00112530" w:rsidRDefault="00EB534C" w:rsidP="00AF1F7B">
            <w:pPr>
              <w:pStyle w:val="Bullet1"/>
              <w:ind w:left="465"/>
              <w:jc w:val="left"/>
              <w:cnfStyle w:val="000000100000" w:firstRow="0" w:lastRow="0" w:firstColumn="0" w:lastColumn="0" w:oddVBand="0" w:evenVBand="0" w:oddHBand="1" w:evenHBand="0" w:firstRowFirstColumn="0" w:firstRowLastColumn="0" w:lastRowFirstColumn="0" w:lastRowLastColumn="0"/>
              <w:rPr>
                <w:color w:val="auto"/>
              </w:rPr>
            </w:pPr>
            <w:r w:rsidRPr="00112530">
              <w:rPr>
                <w:b/>
                <w:color w:val="auto"/>
              </w:rPr>
              <w:t>Consumption Analysis</w:t>
            </w:r>
            <w:r w:rsidRPr="00112530">
              <w:rPr>
                <w:color w:val="auto"/>
              </w:rPr>
              <w:t>: This analysis involves the use of regression models with historic customer energy usage information to calculate annual energy savings</w:t>
            </w:r>
          </w:p>
          <w:p w14:paraId="7ABEA9D8" w14:textId="1F4F10C7" w:rsidR="00EB534C" w:rsidRPr="00112530" w:rsidRDefault="00EB534C" w:rsidP="00047377">
            <w:pPr>
              <w:pStyle w:val="Bullet1"/>
              <w:ind w:left="465"/>
              <w:jc w:val="left"/>
              <w:cnfStyle w:val="000000100000" w:firstRow="0" w:lastRow="0" w:firstColumn="0" w:lastColumn="0" w:oddVBand="0" w:evenVBand="0" w:oddHBand="1" w:evenHBand="0" w:firstRowFirstColumn="0" w:firstRowLastColumn="0" w:lastRowFirstColumn="0" w:lastRowLastColumn="0"/>
              <w:rPr>
                <w:color w:val="auto"/>
              </w:rPr>
            </w:pPr>
            <w:r w:rsidRPr="00112530">
              <w:rPr>
                <w:b/>
                <w:color w:val="auto"/>
              </w:rPr>
              <w:t>Modeling</w:t>
            </w:r>
            <w:r w:rsidRPr="00112530">
              <w:rPr>
                <w:color w:val="auto"/>
              </w:rPr>
              <w:t xml:space="preserve">: </w:t>
            </w:r>
            <w:r w:rsidR="00047377" w:rsidRPr="00112530">
              <w:rPr>
                <w:color w:val="auto"/>
              </w:rPr>
              <w:t xml:space="preserve">The use of building simulation models to estimate building-level energy savings </w:t>
            </w:r>
          </w:p>
        </w:tc>
      </w:tr>
    </w:tbl>
    <w:p w14:paraId="6947DFA8" w14:textId="0CB8A108" w:rsidR="00AF1F7B" w:rsidRDefault="00AF1F7B" w:rsidP="00891ED9">
      <w:pPr>
        <w:pStyle w:val="BodyText"/>
      </w:pPr>
    </w:p>
    <w:p w14:paraId="1B8D8C6C" w14:textId="69433294" w:rsidR="0059632A" w:rsidRPr="0059632A" w:rsidRDefault="0059632A" w:rsidP="00EB534C">
      <w:pPr>
        <w:pStyle w:val="Bullet2"/>
        <w:numPr>
          <w:ilvl w:val="0"/>
          <w:numId w:val="0"/>
        </w:numPr>
      </w:pPr>
      <w:r>
        <w:t xml:space="preserve"> </w:t>
      </w:r>
    </w:p>
    <w:p w14:paraId="239FFBA5" w14:textId="77777777" w:rsidR="0046376C" w:rsidRPr="0046376C" w:rsidRDefault="0046376C" w:rsidP="0046376C">
      <w:pPr>
        <w:pStyle w:val="BodyText"/>
      </w:pPr>
    </w:p>
    <w:p w14:paraId="32CCB25C" w14:textId="77777777" w:rsidR="00185504" w:rsidRDefault="00185504" w:rsidP="005E0BC0">
      <w:pPr>
        <w:pStyle w:val="BodyText"/>
      </w:pPr>
    </w:p>
    <w:p w14:paraId="302B8B59" w14:textId="060B189E" w:rsidR="00C4222B" w:rsidRDefault="00C4222B" w:rsidP="005E0BC0">
      <w:pPr>
        <w:pStyle w:val="BodyText"/>
        <w:sectPr w:rsidR="00C4222B" w:rsidSect="00112530">
          <w:pgSz w:w="12240" w:h="15840" w:code="1"/>
          <w:pgMar w:top="1800" w:right="1080" w:bottom="1656" w:left="1080" w:header="720" w:footer="720" w:gutter="0"/>
          <w:cols w:space="720"/>
          <w:docGrid w:linePitch="360"/>
        </w:sectPr>
      </w:pPr>
    </w:p>
    <w:p w14:paraId="33B43CE8" w14:textId="69CC56CD" w:rsidR="005E0BC0" w:rsidRDefault="005E0BC0" w:rsidP="005E0BC0">
      <w:pPr>
        <w:pStyle w:val="Heading1"/>
      </w:pPr>
      <w:bookmarkStart w:id="26" w:name="_Toc27335107"/>
      <w:r>
        <w:lastRenderedPageBreak/>
        <w:t>Residential Program Evaluation Efforts</w:t>
      </w:r>
      <w:bookmarkEnd w:id="26"/>
    </w:p>
    <w:p w14:paraId="249AC2DF" w14:textId="2CD8563C" w:rsidR="00865998" w:rsidRDefault="00865998" w:rsidP="00865998">
      <w:pPr>
        <w:pStyle w:val="ODCBodyText"/>
      </w:pPr>
      <w:r>
        <w:t xml:space="preserve">In this section, we outline the anticipated evaluation activities for each of the Residential Program </w:t>
      </w:r>
      <w:r w:rsidR="00112530">
        <w:t>I</w:t>
      </w:r>
      <w:r>
        <w:t>nitiatives.</w:t>
      </w:r>
      <w:r w:rsidR="00BE5136">
        <w:t xml:space="preserve"> The research proposed for the </w:t>
      </w:r>
      <w:r w:rsidR="00112530">
        <w:t>R</w:t>
      </w:r>
      <w:r w:rsidR="00BE5136">
        <w:t xml:space="preserve">esidential </w:t>
      </w:r>
      <w:r w:rsidR="00112530">
        <w:t>Program I</w:t>
      </w:r>
      <w:r w:rsidR="00BE5136">
        <w:t xml:space="preserve">nitiatives focuses on gathering data on the effectiveness of new strategies for serving AIC’s economically disadvantaged customers through the Income Qualified Initiative, as well as gaining new insights related to the energy savings potential of new measures such as </w:t>
      </w:r>
      <w:r w:rsidR="00AE7B70">
        <w:t>advanced</w:t>
      </w:r>
      <w:r w:rsidR="00BE5136">
        <w:t xml:space="preserve"> thermostats offered through the Retail Products Initiative. Across all Initiatives, the evaluation team will look for opportunities to leverage AMI data, as well as to assess parameters associated with measure effective useful lives. </w:t>
      </w:r>
      <w:r>
        <w:t xml:space="preserve"> </w:t>
      </w:r>
    </w:p>
    <w:p w14:paraId="3D27FB88" w14:textId="74881BAD" w:rsidR="000243AD" w:rsidRDefault="000243AD" w:rsidP="000243AD">
      <w:pPr>
        <w:pStyle w:val="Heading2"/>
      </w:pPr>
      <w:bookmarkStart w:id="27" w:name="_Toc27335108"/>
      <w:r>
        <w:t>Retail Products</w:t>
      </w:r>
      <w:r w:rsidR="009E77D8">
        <w:t xml:space="preserve"> Initiative</w:t>
      </w:r>
      <w:bookmarkEnd w:id="27"/>
    </w:p>
    <w:p w14:paraId="08DD9D2C" w14:textId="4BDC19BF" w:rsidR="000243AD" w:rsidRDefault="000243AD" w:rsidP="000243AD">
      <w:pPr>
        <w:tabs>
          <w:tab w:val="left" w:pos="2430"/>
        </w:tabs>
        <w:rPr>
          <w:szCs w:val="22"/>
        </w:rPr>
      </w:pPr>
      <w:r>
        <w:rPr>
          <w:szCs w:val="22"/>
        </w:rPr>
        <w:t xml:space="preserve">The objective of the Residential Retail Products </w:t>
      </w:r>
      <w:r w:rsidR="00112530">
        <w:rPr>
          <w:szCs w:val="22"/>
        </w:rPr>
        <w:t>I</w:t>
      </w:r>
      <w:r>
        <w:rPr>
          <w:szCs w:val="22"/>
        </w:rPr>
        <w:t xml:space="preserve">nitiative is to increase awareness and sales of high efficiency products through retail and online stores. The program provides instant discounts at point-of-purchase and/or mail-in cash rebates to reduce the cost of high efficiency lighting products, home appliances, and programmable and </w:t>
      </w:r>
      <w:r w:rsidR="00AE7B70">
        <w:rPr>
          <w:szCs w:val="22"/>
        </w:rPr>
        <w:t>advanced</w:t>
      </w:r>
      <w:r>
        <w:rPr>
          <w:szCs w:val="22"/>
        </w:rPr>
        <w:t xml:space="preserve"> thermostats. The implementation contractor will work with participating retailers to promote qualifying products through in-store marketing, special product placement, and product demonstrations. Implementation staff will also visit participating retailers to provide sales associates with training on how to best promote the program with customers. </w:t>
      </w:r>
    </w:p>
    <w:p w14:paraId="28756817" w14:textId="0DD442F4" w:rsidR="00914A20" w:rsidRPr="00553587" w:rsidRDefault="006820CD" w:rsidP="00A4778C">
      <w:r>
        <w:fldChar w:fldCharType="begin"/>
      </w:r>
      <w:r>
        <w:instrText xml:space="preserve"> REF _Ref502143046 \h </w:instrText>
      </w:r>
      <w:r>
        <w:fldChar w:fldCharType="separate"/>
      </w:r>
      <w:r w:rsidR="00A75F23">
        <w:t xml:space="preserve">Table </w:t>
      </w:r>
      <w:r w:rsidR="00A75F23">
        <w:rPr>
          <w:noProof/>
        </w:rPr>
        <w:t>4</w:t>
      </w:r>
      <w:r>
        <w:fldChar w:fldCharType="end"/>
      </w:r>
      <w:r>
        <w:t xml:space="preserve"> </w:t>
      </w:r>
      <w:r w:rsidR="00914A20" w:rsidRPr="00B95ABD">
        <w:t xml:space="preserve">shows the </w:t>
      </w:r>
      <w:r w:rsidR="00914A20">
        <w:t xml:space="preserve">proposed </w:t>
      </w:r>
      <w:r w:rsidR="00914A20" w:rsidRPr="00B95ABD">
        <w:t>tasks for this effort</w:t>
      </w:r>
      <w:r w:rsidR="00914A20">
        <w:t xml:space="preserve"> over the next 4-year period</w:t>
      </w:r>
      <w:r w:rsidR="00914A20" w:rsidRPr="00B95ABD">
        <w:t>.</w:t>
      </w:r>
    </w:p>
    <w:p w14:paraId="71FA1B8F" w14:textId="01FE80B6" w:rsidR="000243AD" w:rsidRPr="00D327C0" w:rsidRDefault="000243AD" w:rsidP="00FA04B9">
      <w:pPr>
        <w:pStyle w:val="Caption"/>
      </w:pPr>
      <w:bookmarkStart w:id="28" w:name="_Ref502143046"/>
      <w:bookmarkStart w:id="29" w:name="_Toc27335131"/>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4</w:t>
      </w:r>
      <w:r w:rsidR="00E656B8">
        <w:rPr>
          <w:noProof/>
        </w:rPr>
        <w:fldChar w:fldCharType="end"/>
      </w:r>
      <w:bookmarkEnd w:id="28"/>
      <w:r>
        <w:t>. Retail Products Initiative Evaluation Activities – Four Year Plan</w:t>
      </w:r>
      <w:bookmarkEnd w:id="29"/>
    </w:p>
    <w:tbl>
      <w:tblPr>
        <w:tblStyle w:val="ODCBasic-1"/>
        <w:tblW w:w="0" w:type="auto"/>
        <w:tblLook w:val="04A0" w:firstRow="1" w:lastRow="0" w:firstColumn="1" w:lastColumn="0" w:noHBand="0" w:noVBand="1"/>
      </w:tblPr>
      <w:tblGrid>
        <w:gridCol w:w="775"/>
        <w:gridCol w:w="4352"/>
        <w:gridCol w:w="614"/>
        <w:gridCol w:w="614"/>
        <w:gridCol w:w="614"/>
        <w:gridCol w:w="614"/>
      </w:tblGrid>
      <w:tr w:rsidR="00D10583" w14:paraId="52378899" w14:textId="77777777" w:rsidTr="00D105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34589F" w14:textId="5A7A8758" w:rsidR="00D10583" w:rsidRDefault="00D10583" w:rsidP="00914A20">
            <w:pPr>
              <w:pStyle w:val="ODCBodyText"/>
            </w:pPr>
            <w:r>
              <w:t>Timing</w:t>
            </w:r>
          </w:p>
        </w:tc>
        <w:tc>
          <w:tcPr>
            <w:tcW w:w="0" w:type="auto"/>
          </w:tcPr>
          <w:p w14:paraId="230022A1" w14:textId="5DFB2E84" w:rsidR="00D10583" w:rsidRDefault="00D10583" w:rsidP="00112530">
            <w:pPr>
              <w:pStyle w:val="ODCBodyText"/>
              <w:jc w:val="center"/>
              <w:cnfStyle w:val="100000000000" w:firstRow="1" w:lastRow="0" w:firstColumn="0" w:lastColumn="0" w:oddVBand="0" w:evenVBand="0" w:oddHBand="0" w:evenHBand="0" w:firstRowFirstColumn="0" w:firstRowLastColumn="0" w:lastRowFirstColumn="0" w:lastRowLastColumn="0"/>
            </w:pPr>
            <w:r>
              <w:t>Activity</w:t>
            </w:r>
          </w:p>
        </w:tc>
        <w:tc>
          <w:tcPr>
            <w:tcW w:w="0" w:type="auto"/>
          </w:tcPr>
          <w:p w14:paraId="573D40B2" w14:textId="77777777" w:rsidR="00D10583" w:rsidRDefault="00D10583" w:rsidP="00914A20">
            <w:pPr>
              <w:pStyle w:val="ODCBodyText"/>
              <w:jc w:val="center"/>
              <w:cnfStyle w:val="100000000000" w:firstRow="1" w:lastRow="0" w:firstColumn="0" w:lastColumn="0" w:oddVBand="0" w:evenVBand="0" w:oddHBand="0" w:evenHBand="0" w:firstRowFirstColumn="0" w:firstRowLastColumn="0" w:lastRowFirstColumn="0" w:lastRowLastColumn="0"/>
            </w:pPr>
            <w:r>
              <w:t>2018</w:t>
            </w:r>
          </w:p>
        </w:tc>
        <w:tc>
          <w:tcPr>
            <w:tcW w:w="0" w:type="auto"/>
          </w:tcPr>
          <w:p w14:paraId="63E7CE12" w14:textId="77777777" w:rsidR="00D10583" w:rsidRDefault="00D10583" w:rsidP="00914A20">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0" w:type="auto"/>
          </w:tcPr>
          <w:p w14:paraId="4ED96779" w14:textId="77777777" w:rsidR="00D10583" w:rsidRDefault="00D10583" w:rsidP="00914A20">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0" w:type="auto"/>
          </w:tcPr>
          <w:p w14:paraId="05636C1F" w14:textId="77777777" w:rsidR="00D10583" w:rsidRDefault="00D10583" w:rsidP="00914A20">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8214AF" w14:paraId="5B2985AE" w14:textId="77777777" w:rsidTr="0082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2039E70F" w14:textId="54380F51" w:rsidR="008214AF" w:rsidRPr="00112530" w:rsidRDefault="008214AF" w:rsidP="008214AF">
            <w:pPr>
              <w:pStyle w:val="ODCBodyText"/>
              <w:jc w:val="left"/>
              <w:rPr>
                <w:color w:val="auto"/>
              </w:rPr>
            </w:pPr>
            <w:r w:rsidRPr="00112530">
              <w:rPr>
                <w:color w:val="auto"/>
              </w:rPr>
              <w:t xml:space="preserve">Annual </w:t>
            </w:r>
          </w:p>
        </w:tc>
        <w:tc>
          <w:tcPr>
            <w:tcW w:w="0" w:type="auto"/>
          </w:tcPr>
          <w:p w14:paraId="37803D49" w14:textId="631DB986" w:rsidR="008214AF" w:rsidRPr="00112530" w:rsidRDefault="005678BE"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Initiative Material &amp; Database Review</w:t>
            </w:r>
          </w:p>
        </w:tc>
        <w:tc>
          <w:tcPr>
            <w:tcW w:w="0" w:type="auto"/>
          </w:tcPr>
          <w:p w14:paraId="4DBBDBFB" w14:textId="2C1641C1"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c>
          <w:tcPr>
            <w:tcW w:w="0" w:type="auto"/>
          </w:tcPr>
          <w:p w14:paraId="3AF30A72" w14:textId="025B0820"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c>
          <w:tcPr>
            <w:tcW w:w="0" w:type="auto"/>
          </w:tcPr>
          <w:p w14:paraId="18E47E39" w14:textId="0DA5ED71"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c>
          <w:tcPr>
            <w:tcW w:w="0" w:type="auto"/>
          </w:tcPr>
          <w:p w14:paraId="10CB1D23" w14:textId="23D3B4D4"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r>
      <w:tr w:rsidR="008214AF" w14:paraId="22C5F5CF" w14:textId="77777777" w:rsidTr="008214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22BE97E" w14:textId="77777777" w:rsidR="008214AF" w:rsidRPr="00112530" w:rsidRDefault="008214AF" w:rsidP="008214AF">
            <w:pPr>
              <w:pStyle w:val="ODCBodyText"/>
              <w:jc w:val="left"/>
              <w:rPr>
                <w:color w:val="auto"/>
              </w:rPr>
            </w:pPr>
          </w:p>
        </w:tc>
        <w:tc>
          <w:tcPr>
            <w:tcW w:w="0" w:type="auto"/>
          </w:tcPr>
          <w:p w14:paraId="62FA465D" w14:textId="23CA7A70" w:rsidR="008214AF" w:rsidRPr="00112530" w:rsidRDefault="005678BE"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Initiative Staff Interview</w:t>
            </w:r>
            <w:r w:rsidR="008214AF" w:rsidRPr="00112530">
              <w:rPr>
                <w:color w:val="auto"/>
              </w:rPr>
              <w:t>s</w:t>
            </w:r>
          </w:p>
        </w:tc>
        <w:tc>
          <w:tcPr>
            <w:tcW w:w="0" w:type="auto"/>
          </w:tcPr>
          <w:p w14:paraId="366A5C0A" w14:textId="37095CB4" w:rsidR="008214AF" w:rsidRPr="00112530"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112530">
              <w:rPr>
                <w:color w:val="auto"/>
              </w:rPr>
              <w:sym w:font="Wingdings" w:char="F0FC"/>
            </w:r>
          </w:p>
        </w:tc>
        <w:tc>
          <w:tcPr>
            <w:tcW w:w="0" w:type="auto"/>
          </w:tcPr>
          <w:p w14:paraId="2959C7F2" w14:textId="0E1A73F8" w:rsidR="008214AF" w:rsidRPr="00112530"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112530">
              <w:rPr>
                <w:color w:val="auto"/>
              </w:rPr>
              <w:sym w:font="Wingdings" w:char="F0FC"/>
            </w:r>
          </w:p>
        </w:tc>
        <w:tc>
          <w:tcPr>
            <w:tcW w:w="0" w:type="auto"/>
          </w:tcPr>
          <w:p w14:paraId="7458605C" w14:textId="662DF055" w:rsidR="008214AF" w:rsidRPr="00112530"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112530">
              <w:rPr>
                <w:color w:val="auto"/>
              </w:rPr>
              <w:sym w:font="Wingdings" w:char="F0FC"/>
            </w:r>
          </w:p>
        </w:tc>
        <w:tc>
          <w:tcPr>
            <w:tcW w:w="0" w:type="auto"/>
          </w:tcPr>
          <w:p w14:paraId="7D759444" w14:textId="5102139A" w:rsidR="008214AF" w:rsidRPr="00112530"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112530">
              <w:rPr>
                <w:color w:val="auto"/>
              </w:rPr>
              <w:sym w:font="Wingdings" w:char="F0FC"/>
            </w:r>
          </w:p>
        </w:tc>
      </w:tr>
      <w:tr w:rsidR="008214AF" w14:paraId="5F48DB1A" w14:textId="77777777" w:rsidTr="0082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ABC43F1" w14:textId="77777777" w:rsidR="008214AF" w:rsidRPr="00112530" w:rsidRDefault="008214AF" w:rsidP="008214AF">
            <w:pPr>
              <w:pStyle w:val="ODCBodyText"/>
              <w:jc w:val="left"/>
              <w:rPr>
                <w:color w:val="auto"/>
              </w:rPr>
            </w:pPr>
          </w:p>
        </w:tc>
        <w:tc>
          <w:tcPr>
            <w:tcW w:w="0" w:type="auto"/>
          </w:tcPr>
          <w:p w14:paraId="43873D28" w14:textId="773E77A2" w:rsidR="008214AF" w:rsidRPr="00112530"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t xml:space="preserve">Gross Impact Analysis </w:t>
            </w:r>
            <w:r w:rsidR="00112530">
              <w:rPr>
                <w:color w:val="auto"/>
              </w:rPr>
              <w:t xml:space="preserve">- </w:t>
            </w:r>
            <w:r w:rsidRPr="00112530">
              <w:rPr>
                <w:color w:val="auto"/>
              </w:rPr>
              <w:t>Database Review</w:t>
            </w:r>
          </w:p>
        </w:tc>
        <w:tc>
          <w:tcPr>
            <w:tcW w:w="0" w:type="auto"/>
          </w:tcPr>
          <w:p w14:paraId="364201BF" w14:textId="2130B9A1"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c>
          <w:tcPr>
            <w:tcW w:w="0" w:type="auto"/>
          </w:tcPr>
          <w:p w14:paraId="1D49CA8A" w14:textId="4C1AAB4B"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c>
          <w:tcPr>
            <w:tcW w:w="0" w:type="auto"/>
          </w:tcPr>
          <w:p w14:paraId="32EBD4EB" w14:textId="770CEF14"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c>
          <w:tcPr>
            <w:tcW w:w="0" w:type="auto"/>
          </w:tcPr>
          <w:p w14:paraId="1C540B79" w14:textId="1F582ECD"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r>
      <w:tr w:rsidR="008214AF" w14:paraId="67FA17C3" w14:textId="77777777" w:rsidTr="008214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D0EDA10" w14:textId="77777777" w:rsidR="008214AF" w:rsidRPr="00112530" w:rsidRDefault="008214AF" w:rsidP="008214AF">
            <w:pPr>
              <w:pStyle w:val="ODCBodyText"/>
              <w:jc w:val="left"/>
              <w:rPr>
                <w:color w:val="auto"/>
              </w:rPr>
            </w:pPr>
          </w:p>
        </w:tc>
        <w:tc>
          <w:tcPr>
            <w:tcW w:w="0" w:type="auto"/>
          </w:tcPr>
          <w:p w14:paraId="5DD04BE3" w14:textId="48D5C727" w:rsidR="008214AF" w:rsidRPr="00112530" w:rsidRDefault="008214AF"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112530">
              <w:rPr>
                <w:color w:val="auto"/>
              </w:rPr>
              <w:t>Gross Impact Analysis - IL-TRM Application Review</w:t>
            </w:r>
          </w:p>
        </w:tc>
        <w:tc>
          <w:tcPr>
            <w:tcW w:w="0" w:type="auto"/>
          </w:tcPr>
          <w:p w14:paraId="1AFC2686" w14:textId="38C04915" w:rsidR="008214AF" w:rsidRPr="00112530"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112530">
              <w:rPr>
                <w:color w:val="auto"/>
              </w:rPr>
              <w:sym w:font="Wingdings" w:char="F0FC"/>
            </w:r>
          </w:p>
        </w:tc>
        <w:tc>
          <w:tcPr>
            <w:tcW w:w="0" w:type="auto"/>
          </w:tcPr>
          <w:p w14:paraId="565E9B1A" w14:textId="5DE9E977" w:rsidR="008214AF" w:rsidRPr="00112530"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112530">
              <w:rPr>
                <w:color w:val="auto"/>
              </w:rPr>
              <w:sym w:font="Wingdings" w:char="F0FC"/>
            </w:r>
          </w:p>
        </w:tc>
        <w:tc>
          <w:tcPr>
            <w:tcW w:w="0" w:type="auto"/>
          </w:tcPr>
          <w:p w14:paraId="067105AC" w14:textId="48BC2E12" w:rsidR="008214AF" w:rsidRPr="00112530"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112530">
              <w:rPr>
                <w:color w:val="auto"/>
              </w:rPr>
              <w:sym w:font="Wingdings" w:char="F0FC"/>
            </w:r>
          </w:p>
        </w:tc>
        <w:tc>
          <w:tcPr>
            <w:tcW w:w="0" w:type="auto"/>
          </w:tcPr>
          <w:p w14:paraId="38F34711" w14:textId="231C1F76" w:rsidR="008214AF" w:rsidRPr="00112530"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112530">
              <w:rPr>
                <w:color w:val="auto"/>
              </w:rPr>
              <w:sym w:font="Wingdings" w:char="F0FC"/>
            </w:r>
          </w:p>
        </w:tc>
      </w:tr>
      <w:tr w:rsidR="008214AF" w14:paraId="3EB749DF" w14:textId="77777777" w:rsidTr="0082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90A4C7D" w14:textId="77777777" w:rsidR="008214AF" w:rsidRPr="00112530" w:rsidRDefault="008214AF" w:rsidP="008214AF">
            <w:pPr>
              <w:pStyle w:val="ODCBodyText"/>
              <w:jc w:val="left"/>
              <w:rPr>
                <w:color w:val="auto"/>
              </w:rPr>
            </w:pPr>
          </w:p>
        </w:tc>
        <w:tc>
          <w:tcPr>
            <w:tcW w:w="0" w:type="auto"/>
          </w:tcPr>
          <w:p w14:paraId="6B251B4B" w14:textId="66E216B6" w:rsidR="008214AF" w:rsidRPr="00112530"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t xml:space="preserve">Net Impact Analysis </w:t>
            </w:r>
            <w:r w:rsidR="00112530">
              <w:rPr>
                <w:color w:val="auto"/>
              </w:rPr>
              <w:t>-</w:t>
            </w:r>
            <w:r w:rsidRPr="00112530">
              <w:rPr>
                <w:color w:val="auto"/>
              </w:rPr>
              <w:t xml:space="preserve"> SAG Approved NTGR</w:t>
            </w:r>
          </w:p>
        </w:tc>
        <w:tc>
          <w:tcPr>
            <w:tcW w:w="0" w:type="auto"/>
          </w:tcPr>
          <w:p w14:paraId="0994FBD1" w14:textId="4CF43243"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c>
          <w:tcPr>
            <w:tcW w:w="0" w:type="auto"/>
          </w:tcPr>
          <w:p w14:paraId="338D463C" w14:textId="47C5093F"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c>
          <w:tcPr>
            <w:tcW w:w="0" w:type="auto"/>
          </w:tcPr>
          <w:p w14:paraId="4DCC464F" w14:textId="1B254A91"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c>
          <w:tcPr>
            <w:tcW w:w="0" w:type="auto"/>
          </w:tcPr>
          <w:p w14:paraId="30B22EB9" w14:textId="6D14393A" w:rsidR="008214AF" w:rsidRPr="00112530"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r>
      <w:tr w:rsidR="003465CC" w14:paraId="598DEA10" w14:textId="77777777" w:rsidTr="003465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98D6F6" w:themeFill="background1" w:themeFillTint="66"/>
            <w:vAlign w:val="center"/>
          </w:tcPr>
          <w:p w14:paraId="6B6D421B" w14:textId="77777777" w:rsidR="003465CC" w:rsidRPr="00112530" w:rsidRDefault="003465CC" w:rsidP="006D72BA">
            <w:pPr>
              <w:pStyle w:val="ODCBodyText"/>
              <w:jc w:val="center"/>
              <w:rPr>
                <w:color w:val="auto"/>
              </w:rPr>
            </w:pPr>
          </w:p>
        </w:tc>
      </w:tr>
      <w:tr w:rsidR="003B4918" w14:paraId="6203FA1D" w14:textId="77777777" w:rsidTr="00B5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702709E1" w14:textId="52AF46B9" w:rsidR="003B4918" w:rsidRPr="00112530" w:rsidRDefault="003B4918" w:rsidP="006D72BA">
            <w:pPr>
              <w:pStyle w:val="ODCBodyText"/>
              <w:jc w:val="left"/>
            </w:pPr>
            <w:r w:rsidRPr="00112530">
              <w:rPr>
                <w:color w:val="auto"/>
              </w:rPr>
              <w:t>Phased</w:t>
            </w:r>
          </w:p>
        </w:tc>
        <w:tc>
          <w:tcPr>
            <w:tcW w:w="0" w:type="auto"/>
          </w:tcPr>
          <w:p w14:paraId="24B2E604" w14:textId="785A3BFF" w:rsidR="003B4918" w:rsidRPr="00C3234F" w:rsidRDefault="003B4918" w:rsidP="006D72BA">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C3234F">
              <w:rPr>
                <w:color w:val="auto"/>
              </w:rPr>
              <w:t>Process Model Development</w:t>
            </w:r>
          </w:p>
        </w:tc>
        <w:tc>
          <w:tcPr>
            <w:tcW w:w="0" w:type="auto"/>
            <w:gridSpan w:val="4"/>
            <w:vAlign w:val="center"/>
          </w:tcPr>
          <w:p w14:paraId="5FE4A7BD" w14:textId="356ECEE7" w:rsidR="003B4918" w:rsidRPr="00C3234F" w:rsidRDefault="003B4918" w:rsidP="006D72BA">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Continuous</w:t>
            </w:r>
            <w:r w:rsidR="0007491B">
              <w:rPr>
                <w:color w:val="auto"/>
              </w:rPr>
              <w:t xml:space="preserve"> As Needed</w:t>
            </w:r>
          </w:p>
        </w:tc>
      </w:tr>
      <w:tr w:rsidR="00E42B3C" w14:paraId="0F19052C" w14:textId="77777777" w:rsidTr="00D105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79A22DE" w14:textId="77777777" w:rsidR="00E42B3C" w:rsidRPr="00112530" w:rsidRDefault="00E42B3C" w:rsidP="006D72BA">
            <w:pPr>
              <w:pStyle w:val="ODCBodyText"/>
              <w:jc w:val="left"/>
              <w:rPr>
                <w:color w:val="auto"/>
              </w:rPr>
            </w:pPr>
          </w:p>
        </w:tc>
        <w:tc>
          <w:tcPr>
            <w:tcW w:w="0" w:type="auto"/>
          </w:tcPr>
          <w:p w14:paraId="6691B7AB" w14:textId="4F7F7436" w:rsidR="00E42B3C" w:rsidRPr="00C3234F" w:rsidRDefault="00E42B3C" w:rsidP="006D72BA">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C3234F">
              <w:rPr>
                <w:color w:val="auto"/>
              </w:rPr>
              <w:t>Non-Lighting Participant Survey (Process &amp; NTG)</w:t>
            </w:r>
          </w:p>
        </w:tc>
        <w:tc>
          <w:tcPr>
            <w:tcW w:w="0" w:type="auto"/>
            <w:gridSpan w:val="4"/>
            <w:vAlign w:val="center"/>
          </w:tcPr>
          <w:p w14:paraId="12DEF992" w14:textId="28B6BF92" w:rsidR="00E42B3C" w:rsidRPr="00C3234F" w:rsidRDefault="00E42B3C" w:rsidP="006D72BA">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C3234F">
              <w:rPr>
                <w:color w:val="auto"/>
              </w:rPr>
              <w:t>Continuous, Real Time</w:t>
            </w:r>
          </w:p>
        </w:tc>
      </w:tr>
      <w:tr w:rsidR="00E42B3C" w14:paraId="3BE38D0D" w14:textId="77777777" w:rsidTr="00D10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62DD12A" w14:textId="77777777" w:rsidR="00E42B3C" w:rsidRPr="00112530" w:rsidRDefault="00E42B3C" w:rsidP="006D72BA">
            <w:pPr>
              <w:pStyle w:val="ODCBodyText"/>
              <w:jc w:val="left"/>
              <w:rPr>
                <w:color w:val="auto"/>
              </w:rPr>
            </w:pPr>
          </w:p>
        </w:tc>
        <w:tc>
          <w:tcPr>
            <w:tcW w:w="0" w:type="auto"/>
          </w:tcPr>
          <w:p w14:paraId="4DE82620" w14:textId="322DDFAE" w:rsidR="00E42B3C" w:rsidRPr="00112530" w:rsidRDefault="00AE7B70" w:rsidP="006D72BA">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Advanced</w:t>
            </w:r>
            <w:r w:rsidR="00E42B3C" w:rsidRPr="00112530">
              <w:rPr>
                <w:color w:val="auto"/>
              </w:rPr>
              <w:t xml:space="preserve"> Thermostat Process Research</w:t>
            </w:r>
          </w:p>
        </w:tc>
        <w:tc>
          <w:tcPr>
            <w:tcW w:w="0" w:type="auto"/>
            <w:vAlign w:val="center"/>
          </w:tcPr>
          <w:p w14:paraId="5E0B7BDB" w14:textId="303CE2F9" w:rsidR="00E42B3C" w:rsidRPr="00112530" w:rsidRDefault="00E42B3C" w:rsidP="006D72BA">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112530">
              <w:rPr>
                <w:color w:val="auto"/>
              </w:rPr>
              <w:sym w:font="Wingdings" w:char="F0FC"/>
            </w:r>
          </w:p>
        </w:tc>
        <w:tc>
          <w:tcPr>
            <w:tcW w:w="0" w:type="auto"/>
            <w:vAlign w:val="center"/>
          </w:tcPr>
          <w:p w14:paraId="799B5F6A" w14:textId="20F4FEE0" w:rsidR="00E42B3C" w:rsidRPr="00112530" w:rsidRDefault="00E42B3C" w:rsidP="006D72BA">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58A8640F" w14:textId="755E7B58" w:rsidR="00E42B3C" w:rsidRPr="00112530" w:rsidRDefault="00E42B3C" w:rsidP="006D72BA">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4F138BB5" w14:textId="002EDD86" w:rsidR="00E42B3C" w:rsidRPr="00112530" w:rsidRDefault="00E42B3C" w:rsidP="006D72BA">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68EAACB2" w14:textId="1005BE0A" w:rsidR="00296A9A" w:rsidRDefault="00296A9A" w:rsidP="007B7E81">
      <w:pPr>
        <w:pStyle w:val="ODCBodyText"/>
        <w:tabs>
          <w:tab w:val="left" w:pos="8990"/>
        </w:tabs>
      </w:pPr>
      <w:r>
        <w:t xml:space="preserve">We proposed the evaluation activities included in </w:t>
      </w:r>
      <w:r>
        <w:fldChar w:fldCharType="begin"/>
      </w:r>
      <w:r>
        <w:instrText xml:space="preserve"> REF _Ref502143046 \h </w:instrText>
      </w:r>
      <w:r>
        <w:fldChar w:fldCharType="separate"/>
      </w:r>
      <w:r w:rsidR="00A75F23">
        <w:t xml:space="preserve">Table </w:t>
      </w:r>
      <w:r w:rsidR="00A75F23">
        <w:rPr>
          <w:noProof/>
        </w:rPr>
        <w:t>4</w:t>
      </w:r>
      <w:r>
        <w:fldChar w:fldCharType="end"/>
      </w:r>
      <w:r>
        <w:t xml:space="preserve"> for the following reasons:</w:t>
      </w:r>
      <w:r w:rsidR="001B7A1F">
        <w:tab/>
      </w:r>
    </w:p>
    <w:p w14:paraId="1873A900" w14:textId="77EDA0CD" w:rsidR="00296A9A" w:rsidRDefault="00296A9A" w:rsidP="00296A9A">
      <w:pPr>
        <w:pStyle w:val="Bullet1"/>
      </w:pPr>
      <w:r w:rsidRPr="008A1379">
        <w:rPr>
          <w:b/>
        </w:rPr>
        <w:t>2020 and 2021</w:t>
      </w:r>
      <w:r>
        <w:t xml:space="preserve">: The last two years </w:t>
      </w:r>
      <w:r w:rsidR="008A1379">
        <w:t xml:space="preserve">of evaluation will include an emphasis on process evaluation (2020), as well as impact evaluation and NTG assessment (2020 and 2021). The process evaluation and NTG work is important given the shifts expected in measures incentivized through the program (e.g., a decline in lighting products and ramp up of other products), and the impact evaluation work ensures AIC meets annual reporting requirements. </w:t>
      </w:r>
    </w:p>
    <w:p w14:paraId="5B6D24C7" w14:textId="0E56309A" w:rsidR="000243AD" w:rsidRDefault="000243AD" w:rsidP="000243AD">
      <w:pPr>
        <w:pStyle w:val="Heading2"/>
      </w:pPr>
      <w:bookmarkStart w:id="30" w:name="_Toc27335109"/>
      <w:r>
        <w:t>Income Qualified</w:t>
      </w:r>
      <w:r w:rsidR="009E77D8">
        <w:t xml:space="preserve"> Initiative</w:t>
      </w:r>
      <w:bookmarkEnd w:id="30"/>
    </w:p>
    <w:p w14:paraId="55BFB42F" w14:textId="51657A6E" w:rsidR="00914A20" w:rsidRDefault="00914A20" w:rsidP="00914A20">
      <w:pPr>
        <w:rPr>
          <w:szCs w:val="22"/>
        </w:rPr>
      </w:pPr>
      <w:r>
        <w:t xml:space="preserve">The Income Qualified </w:t>
      </w:r>
      <w:r w:rsidR="00DD3844">
        <w:t>I</w:t>
      </w:r>
      <w:r>
        <w:t xml:space="preserve">nitiative is a home energy diagnostic and whole-house retrofit program. The target market for the </w:t>
      </w:r>
      <w:r w:rsidR="00DD3844">
        <w:t>I</w:t>
      </w:r>
      <w:r>
        <w:t xml:space="preserve">nitiative is low- to moderate-income AIC customers with a household income up to 300% of </w:t>
      </w:r>
      <w:r>
        <w:lastRenderedPageBreak/>
        <w:t xml:space="preserve">federal poverty guidelines for household size. Although continuing from AIC’s Plan 3 portfolio, there are several important program design and implementation changes planned for the </w:t>
      </w:r>
      <w:r w:rsidR="00DD3844">
        <w:t>I</w:t>
      </w:r>
      <w:r>
        <w:t>nitiative</w:t>
      </w:r>
      <w:r w:rsidR="006101F5">
        <w:t xml:space="preserve"> during the 2018 Plan</w:t>
      </w:r>
      <w:r>
        <w:t>:</w:t>
      </w:r>
    </w:p>
    <w:p w14:paraId="36705E45" w14:textId="16BDC459" w:rsidR="00914A20" w:rsidRDefault="00914A20" w:rsidP="00AE7B70">
      <w:pPr>
        <w:pStyle w:val="Bullet1"/>
        <w:numPr>
          <w:ilvl w:val="0"/>
          <w:numId w:val="12"/>
        </w:numPr>
      </w:pPr>
      <w:r>
        <w:t>Community Action Agencies (CAAs) and</w:t>
      </w:r>
      <w:r w:rsidR="0062432D">
        <w:t>/or</w:t>
      </w:r>
      <w:r w:rsidRPr="008F569E">
        <w:t xml:space="preserve"> the Illinois Home Weatherization Assistance </w:t>
      </w:r>
      <w:r w:rsidRPr="0062432D">
        <w:t>Program</w:t>
      </w:r>
      <w:r>
        <w:t xml:space="preserve"> will provide recruitment and implementation services for the Initiative in addition to an AIC selected implementation contractor</w:t>
      </w:r>
      <w:r w:rsidR="00DD3844">
        <w:t>;</w:t>
      </w:r>
    </w:p>
    <w:p w14:paraId="0FDD45D3" w14:textId="55BB53D2" w:rsidR="00914A20" w:rsidRDefault="00914A20" w:rsidP="00AE7B70">
      <w:pPr>
        <w:pStyle w:val="Bullet1"/>
        <w:numPr>
          <w:ilvl w:val="0"/>
          <w:numId w:val="12"/>
        </w:numPr>
      </w:pPr>
      <w:r>
        <w:t>Income qualified multifamily properties will be eligible to participate</w:t>
      </w:r>
      <w:r w:rsidR="00DD3844">
        <w:t>;</w:t>
      </w:r>
    </w:p>
    <w:p w14:paraId="36CC7171" w14:textId="76B54D17" w:rsidR="00914A20" w:rsidRDefault="00914A20" w:rsidP="00AE7B70">
      <w:pPr>
        <w:pStyle w:val="Bullet1"/>
        <w:numPr>
          <w:ilvl w:val="0"/>
          <w:numId w:val="12"/>
        </w:numPr>
      </w:pPr>
      <w:r>
        <w:t xml:space="preserve">The </w:t>
      </w:r>
      <w:r w:rsidR="00C93489">
        <w:t>I</w:t>
      </w:r>
      <w:r>
        <w:t>nitiative will provide no-cost energy savings kits at special events, as well as through other direct distribution efforts</w:t>
      </w:r>
      <w:r w:rsidR="00DD3844">
        <w:t>; and</w:t>
      </w:r>
    </w:p>
    <w:p w14:paraId="5C28C1F5" w14:textId="4FB29E76" w:rsidR="00914A20" w:rsidRDefault="00914A20" w:rsidP="00AE7B70">
      <w:pPr>
        <w:pStyle w:val="Bullet1"/>
        <w:numPr>
          <w:ilvl w:val="0"/>
          <w:numId w:val="12"/>
        </w:numPr>
      </w:pPr>
      <w:r>
        <w:t xml:space="preserve">Customers in select communities will receive enhanced rebates for HVAC and lighting equipment, marketed in conjunction with the HVAC and Retail Products </w:t>
      </w:r>
      <w:r w:rsidR="00C93489">
        <w:t>I</w:t>
      </w:r>
      <w:r>
        <w:t>nitiatives</w:t>
      </w:r>
      <w:r w:rsidR="00DD3844">
        <w:t>.</w:t>
      </w:r>
    </w:p>
    <w:p w14:paraId="712842D2" w14:textId="699235DF" w:rsidR="00DD3844" w:rsidRDefault="006101F5" w:rsidP="00AE7B70">
      <w:pPr>
        <w:pStyle w:val="BodyText"/>
      </w:pPr>
      <w:r>
        <w:t xml:space="preserve">Given these program changes, the evaluation team has proposed robust impact and process evaluation efforts across the four-year plan period as shown in </w:t>
      </w:r>
      <w:r w:rsidR="00914A20">
        <w:fldChar w:fldCharType="begin"/>
      </w:r>
      <w:r w:rsidR="00914A20">
        <w:instrText xml:space="preserve"> REF _Ref502045478 \h </w:instrText>
      </w:r>
      <w:r w:rsidR="00914A20">
        <w:fldChar w:fldCharType="separate"/>
      </w:r>
      <w:r w:rsidR="00A75F23">
        <w:t xml:space="preserve">Table </w:t>
      </w:r>
      <w:r w:rsidR="00A75F23">
        <w:rPr>
          <w:noProof/>
        </w:rPr>
        <w:t>5</w:t>
      </w:r>
      <w:r w:rsidR="00914A20">
        <w:fldChar w:fldCharType="end"/>
      </w:r>
      <w:r>
        <w:t>.</w:t>
      </w:r>
    </w:p>
    <w:p w14:paraId="30987976" w14:textId="61D93E0C" w:rsidR="00914A20" w:rsidRPr="00D327C0" w:rsidRDefault="00914A20" w:rsidP="00AE7B70">
      <w:pPr>
        <w:pStyle w:val="Caption"/>
        <w:keepNext w:val="0"/>
      </w:pPr>
      <w:bookmarkStart w:id="31" w:name="_Ref502045478"/>
      <w:bookmarkStart w:id="32" w:name="_Toc27335132"/>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5</w:t>
      </w:r>
      <w:r w:rsidR="00E656B8">
        <w:rPr>
          <w:noProof/>
        </w:rPr>
        <w:fldChar w:fldCharType="end"/>
      </w:r>
      <w:bookmarkEnd w:id="31"/>
      <w:r>
        <w:t>. Income Qualified Initiative Evaluation Activities – Four Year Plan</w:t>
      </w:r>
      <w:bookmarkEnd w:id="32"/>
    </w:p>
    <w:tbl>
      <w:tblPr>
        <w:tblStyle w:val="ODCBasic-1"/>
        <w:tblW w:w="0" w:type="auto"/>
        <w:tblLook w:val="04A0" w:firstRow="1" w:lastRow="0" w:firstColumn="1" w:lastColumn="0" w:noHBand="0" w:noVBand="1"/>
      </w:tblPr>
      <w:tblGrid>
        <w:gridCol w:w="775"/>
        <w:gridCol w:w="4352"/>
        <w:gridCol w:w="614"/>
        <w:gridCol w:w="614"/>
        <w:gridCol w:w="614"/>
        <w:gridCol w:w="614"/>
      </w:tblGrid>
      <w:tr w:rsidR="006D72BA" w14:paraId="5002CECE" w14:textId="77777777" w:rsidTr="00DD38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0AC3A4" w14:textId="77777777" w:rsidR="006D72BA" w:rsidRDefault="006D72BA" w:rsidP="00AE7B70">
            <w:pPr>
              <w:pStyle w:val="ODCBodyText"/>
            </w:pPr>
          </w:p>
        </w:tc>
        <w:tc>
          <w:tcPr>
            <w:tcW w:w="0" w:type="auto"/>
            <w:vAlign w:val="center"/>
          </w:tcPr>
          <w:p w14:paraId="6478716B" w14:textId="344C7AAB" w:rsidR="006D72BA" w:rsidRDefault="006D72BA" w:rsidP="00AE7B70">
            <w:pPr>
              <w:pStyle w:val="ODCBodyText"/>
              <w:jc w:val="center"/>
              <w:cnfStyle w:val="100000000000" w:firstRow="1" w:lastRow="0" w:firstColumn="0" w:lastColumn="0" w:oddVBand="0" w:evenVBand="0" w:oddHBand="0" w:evenHBand="0" w:firstRowFirstColumn="0" w:firstRowLastColumn="0" w:lastRowFirstColumn="0" w:lastRowLastColumn="0"/>
            </w:pPr>
            <w:r>
              <w:t>Activity</w:t>
            </w:r>
          </w:p>
        </w:tc>
        <w:tc>
          <w:tcPr>
            <w:tcW w:w="0" w:type="auto"/>
            <w:vAlign w:val="center"/>
          </w:tcPr>
          <w:p w14:paraId="7BA3EFA2" w14:textId="77777777" w:rsidR="006D72BA" w:rsidRDefault="006D72BA" w:rsidP="00AE7B70">
            <w:pPr>
              <w:pStyle w:val="ODCBodyText"/>
              <w:jc w:val="center"/>
              <w:cnfStyle w:val="100000000000" w:firstRow="1" w:lastRow="0" w:firstColumn="0" w:lastColumn="0" w:oddVBand="0" w:evenVBand="0" w:oddHBand="0" w:evenHBand="0" w:firstRowFirstColumn="0" w:firstRowLastColumn="0" w:lastRowFirstColumn="0" w:lastRowLastColumn="0"/>
            </w:pPr>
            <w:r>
              <w:t>2018</w:t>
            </w:r>
          </w:p>
        </w:tc>
        <w:tc>
          <w:tcPr>
            <w:tcW w:w="0" w:type="auto"/>
            <w:vAlign w:val="center"/>
          </w:tcPr>
          <w:p w14:paraId="5B2D0AEB" w14:textId="77777777" w:rsidR="006D72BA" w:rsidRDefault="006D72BA" w:rsidP="00AE7B70">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0" w:type="auto"/>
            <w:vAlign w:val="center"/>
          </w:tcPr>
          <w:p w14:paraId="6A08B6F4" w14:textId="77777777" w:rsidR="006D72BA" w:rsidRDefault="006D72BA" w:rsidP="00AE7B70">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0" w:type="auto"/>
            <w:vAlign w:val="center"/>
          </w:tcPr>
          <w:p w14:paraId="6B5FA9D2" w14:textId="77777777" w:rsidR="006D72BA" w:rsidRDefault="006D72BA" w:rsidP="00AE7B70">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8214AF" w14:paraId="570A452F"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5DE5653B" w14:textId="797714C5" w:rsidR="008214AF" w:rsidRPr="00DD3844" w:rsidRDefault="008214AF" w:rsidP="00AE7B70">
            <w:pPr>
              <w:pStyle w:val="ODCBodyText"/>
              <w:jc w:val="left"/>
              <w:rPr>
                <w:color w:val="auto"/>
              </w:rPr>
            </w:pPr>
            <w:r w:rsidRPr="00DD3844">
              <w:rPr>
                <w:color w:val="auto"/>
              </w:rPr>
              <w:t>Annual</w:t>
            </w:r>
          </w:p>
        </w:tc>
        <w:tc>
          <w:tcPr>
            <w:tcW w:w="0" w:type="auto"/>
            <w:vAlign w:val="center"/>
          </w:tcPr>
          <w:p w14:paraId="16C495DF" w14:textId="2D7D1541" w:rsidR="008214AF" w:rsidRPr="00DD3844" w:rsidRDefault="005678BE" w:rsidP="00AE7B70">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Initiative Material &amp; Database Review</w:t>
            </w:r>
          </w:p>
        </w:tc>
        <w:tc>
          <w:tcPr>
            <w:tcW w:w="0" w:type="auto"/>
            <w:vAlign w:val="center"/>
          </w:tcPr>
          <w:p w14:paraId="0EB6481C" w14:textId="60A1662D"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01F90137" w14:textId="0140DD8F"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48B04072" w14:textId="243BF155"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2CA5285D" w14:textId="5CD78F31"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26D2673C"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E7DD478" w14:textId="77777777" w:rsidR="008214AF" w:rsidRPr="00DD3844" w:rsidRDefault="008214AF" w:rsidP="00AE7B70">
            <w:pPr>
              <w:pStyle w:val="ODCBodyText"/>
              <w:jc w:val="left"/>
              <w:rPr>
                <w:color w:val="auto"/>
              </w:rPr>
            </w:pPr>
          </w:p>
        </w:tc>
        <w:tc>
          <w:tcPr>
            <w:tcW w:w="0" w:type="auto"/>
            <w:vAlign w:val="center"/>
          </w:tcPr>
          <w:p w14:paraId="400D0E44" w14:textId="3ABFC1F9" w:rsidR="008214AF" w:rsidRPr="00DD3844" w:rsidRDefault="005678BE" w:rsidP="00AE7B70">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Initiative Staff Interview</w:t>
            </w:r>
            <w:r w:rsidR="008214AF" w:rsidRPr="00DD3844">
              <w:rPr>
                <w:color w:val="auto"/>
              </w:rPr>
              <w:t>s</w:t>
            </w:r>
          </w:p>
        </w:tc>
        <w:tc>
          <w:tcPr>
            <w:tcW w:w="0" w:type="auto"/>
            <w:vAlign w:val="center"/>
          </w:tcPr>
          <w:p w14:paraId="4FE919A6" w14:textId="7F191F72"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3C89D211" w14:textId="48323846"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0E4CAB13" w14:textId="4034185B"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2E4BA3A9" w14:textId="2EC6B465"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8214AF" w14:paraId="6FF2E8E0"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908C46C" w14:textId="77777777" w:rsidR="008214AF" w:rsidRPr="00DD3844" w:rsidRDefault="008214AF" w:rsidP="00AE7B70">
            <w:pPr>
              <w:pStyle w:val="ODCBodyText"/>
              <w:jc w:val="left"/>
              <w:rPr>
                <w:color w:val="auto"/>
              </w:rPr>
            </w:pPr>
          </w:p>
        </w:tc>
        <w:tc>
          <w:tcPr>
            <w:tcW w:w="0" w:type="auto"/>
            <w:vAlign w:val="center"/>
          </w:tcPr>
          <w:p w14:paraId="106443F8" w14:textId="5720DAD4" w:rsidR="008214AF" w:rsidRPr="00DD3844" w:rsidRDefault="008214AF" w:rsidP="00AE7B70">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Gross Impact Analysis – Database Review</w:t>
            </w:r>
          </w:p>
        </w:tc>
        <w:tc>
          <w:tcPr>
            <w:tcW w:w="0" w:type="auto"/>
            <w:vAlign w:val="center"/>
          </w:tcPr>
          <w:p w14:paraId="719047AC" w14:textId="624B4879"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471A95BC" w14:textId="72D05C64"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61EF17B3" w14:textId="2881D0FB"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2C6D1608" w14:textId="51005C97"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08D034B9"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4DCCD83" w14:textId="77777777" w:rsidR="008214AF" w:rsidRPr="00DD3844" w:rsidRDefault="008214AF" w:rsidP="00AE7B70">
            <w:pPr>
              <w:pStyle w:val="ODCBodyText"/>
              <w:jc w:val="left"/>
              <w:rPr>
                <w:color w:val="auto"/>
              </w:rPr>
            </w:pPr>
          </w:p>
        </w:tc>
        <w:tc>
          <w:tcPr>
            <w:tcW w:w="0" w:type="auto"/>
            <w:vAlign w:val="center"/>
          </w:tcPr>
          <w:p w14:paraId="35C50969" w14:textId="6B549F0E" w:rsidR="008214AF" w:rsidRPr="00DD3844" w:rsidRDefault="008214AF" w:rsidP="00AE7B70">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Gross Impact Analysis - Engineering Desk Review</w:t>
            </w:r>
          </w:p>
        </w:tc>
        <w:tc>
          <w:tcPr>
            <w:tcW w:w="0" w:type="auto"/>
            <w:vAlign w:val="center"/>
          </w:tcPr>
          <w:p w14:paraId="6306CD6B" w14:textId="0B30EC6A"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17037EA1" w14:textId="388B82EA"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7C1DAA85" w14:textId="4961DE36"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1923ADD3" w14:textId="3F0FCD2B"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8214AF" w14:paraId="37E3B294"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53867A9" w14:textId="77777777" w:rsidR="008214AF" w:rsidRPr="00DD3844" w:rsidRDefault="008214AF" w:rsidP="00AE7B70">
            <w:pPr>
              <w:pStyle w:val="ODCBodyText"/>
              <w:jc w:val="left"/>
              <w:rPr>
                <w:color w:val="auto"/>
              </w:rPr>
            </w:pPr>
          </w:p>
        </w:tc>
        <w:tc>
          <w:tcPr>
            <w:tcW w:w="0" w:type="auto"/>
            <w:vAlign w:val="center"/>
          </w:tcPr>
          <w:p w14:paraId="4FED7DC9" w14:textId="08B14796" w:rsidR="008214AF" w:rsidRPr="00DD3844" w:rsidRDefault="008214AF" w:rsidP="00AE7B70">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Gross Impact Analysis - IL-TRM Application Review</w:t>
            </w:r>
          </w:p>
        </w:tc>
        <w:tc>
          <w:tcPr>
            <w:tcW w:w="0" w:type="auto"/>
            <w:vAlign w:val="center"/>
          </w:tcPr>
          <w:p w14:paraId="64FF551E" w14:textId="2CAE955C"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32715C95" w14:textId="789E23FA"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41F97D32" w14:textId="0FEF41A7"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1B44C26E" w14:textId="6F964DF1" w:rsidR="008214AF" w:rsidRPr="00DD3844" w:rsidRDefault="008214AF"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62BE4A31"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C87C89F" w14:textId="77777777" w:rsidR="008214AF" w:rsidRPr="00DD3844" w:rsidRDefault="008214AF" w:rsidP="00AE7B70">
            <w:pPr>
              <w:pStyle w:val="ODCBodyText"/>
              <w:jc w:val="left"/>
              <w:rPr>
                <w:color w:val="auto"/>
              </w:rPr>
            </w:pPr>
          </w:p>
        </w:tc>
        <w:tc>
          <w:tcPr>
            <w:tcW w:w="0" w:type="auto"/>
            <w:vAlign w:val="center"/>
          </w:tcPr>
          <w:p w14:paraId="402846B1" w14:textId="2746E517" w:rsidR="008214AF" w:rsidRPr="00DD3844" w:rsidRDefault="008214AF" w:rsidP="00AE7B70">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Net Impact Analysis – SAG Approved NTGR</w:t>
            </w:r>
          </w:p>
        </w:tc>
        <w:tc>
          <w:tcPr>
            <w:tcW w:w="0" w:type="auto"/>
            <w:vAlign w:val="center"/>
          </w:tcPr>
          <w:p w14:paraId="642CC05A" w14:textId="0B691742"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23DC248C" w14:textId="0BEAC3E6"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4F72DF42" w14:textId="34E3E781"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04EBBD00" w14:textId="4A593C3F" w:rsidR="008214AF" w:rsidRPr="00DD3844" w:rsidRDefault="008214AF"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3465CC" w14:paraId="1046A191"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98D6F6" w:themeFill="background1" w:themeFillTint="66"/>
            <w:vAlign w:val="center"/>
          </w:tcPr>
          <w:p w14:paraId="460A32AB" w14:textId="77777777" w:rsidR="003465CC" w:rsidRPr="00DD3844" w:rsidRDefault="003465CC" w:rsidP="00AE7B70">
            <w:pPr>
              <w:pStyle w:val="ODCBodyText"/>
              <w:jc w:val="center"/>
              <w:rPr>
                <w:color w:val="auto"/>
              </w:rPr>
            </w:pPr>
          </w:p>
        </w:tc>
      </w:tr>
      <w:tr w:rsidR="00E42B3C" w14:paraId="5CD64A86"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F85A1F8" w14:textId="172D034C" w:rsidR="00E42B3C" w:rsidRPr="00DD3844" w:rsidRDefault="00E42B3C" w:rsidP="00AE7B70">
            <w:pPr>
              <w:pStyle w:val="ODCBodyText"/>
              <w:jc w:val="left"/>
            </w:pPr>
            <w:r w:rsidRPr="00DD3844">
              <w:rPr>
                <w:color w:val="auto"/>
              </w:rPr>
              <w:t>Phased</w:t>
            </w:r>
          </w:p>
        </w:tc>
        <w:tc>
          <w:tcPr>
            <w:tcW w:w="0" w:type="auto"/>
            <w:vAlign w:val="center"/>
          </w:tcPr>
          <w:p w14:paraId="04A383EF" w14:textId="1D28ED79" w:rsidR="00E42B3C" w:rsidRPr="00AE7B70" w:rsidRDefault="00E42B3C" w:rsidP="00AE7B70">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AE7B70">
              <w:rPr>
                <w:color w:val="auto"/>
              </w:rPr>
              <w:t>Process Model Development</w:t>
            </w:r>
          </w:p>
        </w:tc>
        <w:tc>
          <w:tcPr>
            <w:tcW w:w="0" w:type="auto"/>
            <w:vAlign w:val="center"/>
          </w:tcPr>
          <w:p w14:paraId="10091D54" w14:textId="2392B2C2" w:rsidR="00E42B3C" w:rsidRPr="00AE7B70" w:rsidRDefault="00E42B3C"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AE7B70">
              <w:rPr>
                <w:color w:val="auto"/>
              </w:rPr>
              <w:sym w:font="Wingdings" w:char="F0FC"/>
            </w:r>
          </w:p>
        </w:tc>
        <w:tc>
          <w:tcPr>
            <w:tcW w:w="0" w:type="auto"/>
            <w:vAlign w:val="center"/>
          </w:tcPr>
          <w:p w14:paraId="48B6C727" w14:textId="77777777" w:rsidR="00E42B3C" w:rsidRPr="00AE7B70" w:rsidRDefault="00E42B3C"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27030061" w14:textId="77777777" w:rsidR="00E42B3C" w:rsidRPr="00AE7B70" w:rsidRDefault="00E42B3C"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39326194" w14:textId="77777777" w:rsidR="00E42B3C" w:rsidRPr="00AE7B70" w:rsidRDefault="00E42B3C"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r>
      <w:tr w:rsidR="00E42B3C" w14:paraId="657CD354"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708597F" w14:textId="14FF09F0" w:rsidR="00E42B3C" w:rsidRPr="00DD3844" w:rsidRDefault="00E42B3C" w:rsidP="00AE7B70">
            <w:pPr>
              <w:pStyle w:val="ODCBodyText"/>
              <w:jc w:val="left"/>
              <w:rPr>
                <w:color w:val="auto"/>
              </w:rPr>
            </w:pPr>
          </w:p>
        </w:tc>
        <w:tc>
          <w:tcPr>
            <w:tcW w:w="0" w:type="auto"/>
            <w:vAlign w:val="center"/>
          </w:tcPr>
          <w:p w14:paraId="5435F2B8" w14:textId="1AB3FEFD" w:rsidR="00E42B3C" w:rsidRPr="00AE7B70" w:rsidRDefault="00E42B3C" w:rsidP="00AE7B70">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AE7B70">
              <w:rPr>
                <w:color w:val="auto"/>
              </w:rPr>
              <w:t>Community Agency Interviews</w:t>
            </w:r>
          </w:p>
        </w:tc>
        <w:tc>
          <w:tcPr>
            <w:tcW w:w="0" w:type="auto"/>
            <w:vAlign w:val="center"/>
          </w:tcPr>
          <w:p w14:paraId="34AD6AC4" w14:textId="4E5DA83C" w:rsidR="00E42B3C" w:rsidRPr="00AE7B70" w:rsidRDefault="00E42B3C"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AE7B70">
              <w:rPr>
                <w:color w:val="auto"/>
              </w:rPr>
              <w:sym w:font="Wingdings" w:char="F0FC"/>
            </w:r>
          </w:p>
        </w:tc>
        <w:tc>
          <w:tcPr>
            <w:tcW w:w="0" w:type="auto"/>
            <w:vAlign w:val="center"/>
          </w:tcPr>
          <w:p w14:paraId="7BE5A695" w14:textId="7C54F5BF" w:rsidR="00E42B3C" w:rsidRPr="00AE7B70" w:rsidRDefault="00E42B3C"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AE7B70">
              <w:rPr>
                <w:color w:val="auto"/>
              </w:rPr>
              <w:sym w:font="Wingdings" w:char="F0FC"/>
            </w:r>
          </w:p>
        </w:tc>
        <w:tc>
          <w:tcPr>
            <w:tcW w:w="0" w:type="auto"/>
            <w:vAlign w:val="center"/>
          </w:tcPr>
          <w:p w14:paraId="3434A9FA" w14:textId="77777777" w:rsidR="00E42B3C" w:rsidRPr="00AE7B70" w:rsidRDefault="00E42B3C"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63699B6F" w14:textId="15909446" w:rsidR="00E42B3C" w:rsidRPr="00AE7B70" w:rsidRDefault="00E42B3C"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AE7B70">
              <w:rPr>
                <w:color w:val="auto"/>
              </w:rPr>
              <w:sym w:font="Wingdings" w:char="F0FC"/>
            </w:r>
          </w:p>
        </w:tc>
      </w:tr>
      <w:tr w:rsidR="004C600C" w14:paraId="0612B074"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D75B4CD" w14:textId="77777777" w:rsidR="004C600C" w:rsidRPr="00DD3844" w:rsidRDefault="004C600C" w:rsidP="00AE7B70">
            <w:pPr>
              <w:pStyle w:val="ODCBodyText"/>
              <w:jc w:val="left"/>
            </w:pPr>
          </w:p>
        </w:tc>
        <w:tc>
          <w:tcPr>
            <w:tcW w:w="0" w:type="auto"/>
            <w:vAlign w:val="center"/>
          </w:tcPr>
          <w:p w14:paraId="27A614BC" w14:textId="1BFA800F" w:rsidR="004C600C" w:rsidRPr="00AE7B70" w:rsidRDefault="004C600C" w:rsidP="00AE7B70">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AE7B70">
              <w:rPr>
                <w:color w:val="auto"/>
              </w:rPr>
              <w:t xml:space="preserve">Braided Funding </w:t>
            </w:r>
            <w:r w:rsidR="008032B4" w:rsidRPr="00AE7B70">
              <w:rPr>
                <w:color w:val="auto"/>
              </w:rPr>
              <w:t xml:space="preserve">Best Practices </w:t>
            </w:r>
            <w:r w:rsidRPr="00AE7B70">
              <w:rPr>
                <w:color w:val="auto"/>
              </w:rPr>
              <w:t>Assessment</w:t>
            </w:r>
          </w:p>
        </w:tc>
        <w:tc>
          <w:tcPr>
            <w:tcW w:w="0" w:type="auto"/>
            <w:vAlign w:val="center"/>
          </w:tcPr>
          <w:p w14:paraId="2976384E" w14:textId="01CFD090" w:rsidR="004C600C" w:rsidRPr="00AE7B70" w:rsidRDefault="004C600C"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AE7B70">
              <w:rPr>
                <w:color w:val="auto"/>
              </w:rPr>
              <w:sym w:font="Wingdings" w:char="F0FC"/>
            </w:r>
          </w:p>
        </w:tc>
        <w:tc>
          <w:tcPr>
            <w:tcW w:w="0" w:type="auto"/>
            <w:vAlign w:val="center"/>
          </w:tcPr>
          <w:p w14:paraId="375AD12B" w14:textId="7BA621E2" w:rsidR="004C600C" w:rsidRPr="00AE7B70" w:rsidRDefault="004C600C"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32172761" w14:textId="77777777" w:rsidR="004C600C" w:rsidRPr="00AE7B70" w:rsidRDefault="004C600C"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3D4E7607" w14:textId="77777777" w:rsidR="004C600C" w:rsidRPr="00AE7B70" w:rsidRDefault="004C600C"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r>
      <w:tr w:rsidR="00E42B3C" w14:paraId="0985E87D"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33FB6BB" w14:textId="1937E197" w:rsidR="00E42B3C" w:rsidRPr="00DD3844" w:rsidRDefault="00E42B3C" w:rsidP="00AE7B70">
            <w:pPr>
              <w:pStyle w:val="ODCBodyText"/>
              <w:jc w:val="left"/>
              <w:rPr>
                <w:color w:val="auto"/>
              </w:rPr>
            </w:pPr>
          </w:p>
        </w:tc>
        <w:tc>
          <w:tcPr>
            <w:tcW w:w="0" w:type="auto"/>
            <w:vAlign w:val="center"/>
          </w:tcPr>
          <w:p w14:paraId="70CF1E4B" w14:textId="665E1B07" w:rsidR="00E42B3C" w:rsidRPr="00AE7B70" w:rsidRDefault="00E42B3C" w:rsidP="00AE7B70">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AE7B70">
              <w:rPr>
                <w:color w:val="auto"/>
              </w:rPr>
              <w:t>Multifamily Manager/Owner Interviews</w:t>
            </w:r>
          </w:p>
        </w:tc>
        <w:tc>
          <w:tcPr>
            <w:tcW w:w="0" w:type="auto"/>
            <w:vAlign w:val="center"/>
          </w:tcPr>
          <w:p w14:paraId="54CA179C" w14:textId="380D39AB" w:rsidR="00E42B3C" w:rsidRPr="00AE7B70" w:rsidRDefault="00E42B3C"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AE7B70">
              <w:rPr>
                <w:color w:val="auto"/>
              </w:rPr>
              <w:sym w:font="Wingdings" w:char="F0FC"/>
            </w:r>
          </w:p>
        </w:tc>
        <w:tc>
          <w:tcPr>
            <w:tcW w:w="0" w:type="auto"/>
            <w:vAlign w:val="center"/>
          </w:tcPr>
          <w:p w14:paraId="67F898F5" w14:textId="377B277F" w:rsidR="00E42B3C" w:rsidRPr="00AE7B70" w:rsidRDefault="00E42B3C"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4710CE50" w14:textId="46E22FE2" w:rsidR="00E42B3C" w:rsidRPr="00AE7B70" w:rsidRDefault="00E42B3C"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AE7B70">
              <w:rPr>
                <w:color w:val="auto"/>
              </w:rPr>
              <w:sym w:font="Wingdings" w:char="F0FC"/>
            </w:r>
          </w:p>
        </w:tc>
        <w:tc>
          <w:tcPr>
            <w:tcW w:w="0" w:type="auto"/>
            <w:vAlign w:val="center"/>
          </w:tcPr>
          <w:p w14:paraId="6AC7AEB3" w14:textId="250F9FD3" w:rsidR="00E42B3C" w:rsidRPr="00AE7B70" w:rsidRDefault="00E42B3C"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r w:rsidR="00AE7B70" w14:paraId="4F841EC9"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AD4C2DA" w14:textId="77777777" w:rsidR="00AE7B70" w:rsidRPr="00DD3844" w:rsidRDefault="00AE7B70" w:rsidP="00AE7B70">
            <w:pPr>
              <w:pStyle w:val="ODCBodyText"/>
              <w:jc w:val="left"/>
              <w:rPr>
                <w:color w:val="auto"/>
              </w:rPr>
            </w:pPr>
          </w:p>
        </w:tc>
        <w:tc>
          <w:tcPr>
            <w:tcW w:w="0" w:type="auto"/>
            <w:vAlign w:val="center"/>
          </w:tcPr>
          <w:p w14:paraId="576750C3" w14:textId="0EBAEB26" w:rsidR="00AE7B70" w:rsidRPr="00AE7B70" w:rsidRDefault="00AE7B70" w:rsidP="00AE7B70">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AE7B70">
              <w:rPr>
                <w:color w:val="auto"/>
              </w:rPr>
              <w:t>On-Site Verification</w:t>
            </w:r>
          </w:p>
        </w:tc>
        <w:tc>
          <w:tcPr>
            <w:tcW w:w="0" w:type="auto"/>
            <w:vAlign w:val="center"/>
          </w:tcPr>
          <w:p w14:paraId="31922108" w14:textId="0072E26D" w:rsidR="00AE7B70" w:rsidRPr="00AE7B70" w:rsidRDefault="00AE7B70"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4E0A01BA" w14:textId="5BCD30E3" w:rsidR="00AE7B70" w:rsidRPr="00AE7B70" w:rsidRDefault="00AE7B70"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AE7B70">
              <w:rPr>
                <w:color w:val="auto"/>
              </w:rPr>
              <w:sym w:font="Wingdings" w:char="F0FC"/>
            </w:r>
          </w:p>
        </w:tc>
        <w:tc>
          <w:tcPr>
            <w:tcW w:w="0" w:type="auto"/>
            <w:vAlign w:val="center"/>
          </w:tcPr>
          <w:p w14:paraId="70F123E5" w14:textId="781E37C8" w:rsidR="00AE7B70" w:rsidRPr="00AE7B70" w:rsidRDefault="00AE7B70"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6DFAF489" w14:textId="131304B6" w:rsidR="00AE7B70" w:rsidRPr="00AE7B70" w:rsidRDefault="00AE7B70" w:rsidP="00AE7B7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AE7B70">
              <w:rPr>
                <w:color w:val="auto"/>
              </w:rPr>
              <w:sym w:font="Wingdings" w:char="F0FC"/>
            </w:r>
          </w:p>
        </w:tc>
      </w:tr>
      <w:tr w:rsidR="00AE7B70" w14:paraId="7D384834"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DE3D638" w14:textId="77777777" w:rsidR="00AE7B70" w:rsidRPr="00DD3844" w:rsidRDefault="00AE7B70" w:rsidP="00AE7B70">
            <w:pPr>
              <w:pStyle w:val="ODCBodyText"/>
              <w:jc w:val="left"/>
              <w:rPr>
                <w:color w:val="auto"/>
              </w:rPr>
            </w:pPr>
          </w:p>
        </w:tc>
        <w:tc>
          <w:tcPr>
            <w:tcW w:w="0" w:type="auto"/>
            <w:vAlign w:val="center"/>
          </w:tcPr>
          <w:p w14:paraId="3B8EA5DF" w14:textId="0649F1DA" w:rsidR="00AE7B70" w:rsidRPr="00AE7B70" w:rsidRDefault="00AE7B70" w:rsidP="00AE7B70">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AE7B70">
              <w:rPr>
                <w:color w:val="auto"/>
              </w:rPr>
              <w:t>Participant Survey (Process)</w:t>
            </w:r>
          </w:p>
        </w:tc>
        <w:tc>
          <w:tcPr>
            <w:tcW w:w="0" w:type="auto"/>
            <w:vAlign w:val="center"/>
          </w:tcPr>
          <w:p w14:paraId="6A7E28F6" w14:textId="6DE74B16" w:rsidR="00AE7B70" w:rsidRPr="00AE7B70" w:rsidRDefault="00AE7B70"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AE7B70">
              <w:rPr>
                <w:color w:val="auto"/>
              </w:rPr>
              <w:sym w:font="Wingdings" w:char="F0FC"/>
            </w:r>
          </w:p>
        </w:tc>
        <w:tc>
          <w:tcPr>
            <w:tcW w:w="0" w:type="auto"/>
            <w:vAlign w:val="center"/>
          </w:tcPr>
          <w:p w14:paraId="04F6541D" w14:textId="77777777" w:rsidR="00AE7B70" w:rsidRPr="00AE7B70" w:rsidRDefault="00AE7B70"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7905A1D7" w14:textId="2BF5E4B4" w:rsidR="00AE7B70" w:rsidRPr="00AE7B70" w:rsidRDefault="00AE7B70"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AE7B70">
              <w:rPr>
                <w:color w:val="auto"/>
              </w:rPr>
              <w:sym w:font="Wingdings" w:char="F0FC"/>
            </w:r>
          </w:p>
        </w:tc>
        <w:tc>
          <w:tcPr>
            <w:tcW w:w="0" w:type="auto"/>
            <w:vAlign w:val="center"/>
          </w:tcPr>
          <w:p w14:paraId="681EB5FB" w14:textId="77777777" w:rsidR="00AE7B70" w:rsidRPr="00AE7B70" w:rsidRDefault="00AE7B70" w:rsidP="00AE7B70">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59AAD5BF" w14:textId="4E60E01B" w:rsidR="00914A20" w:rsidRDefault="003E5CB9" w:rsidP="00AE7B70">
      <w:pPr>
        <w:pStyle w:val="ODCBodyText"/>
      </w:pPr>
      <w:r>
        <w:t>We propose</w:t>
      </w:r>
      <w:r w:rsidR="006101F5">
        <w:t>d</w:t>
      </w:r>
      <w:r>
        <w:t xml:space="preserve"> </w:t>
      </w:r>
      <w:r w:rsidR="00E862DE">
        <w:t>the</w:t>
      </w:r>
      <w:r>
        <w:t xml:space="preserve"> evaluation activities </w:t>
      </w:r>
      <w:r w:rsidR="00E862DE">
        <w:t xml:space="preserve">included in </w:t>
      </w:r>
      <w:r w:rsidR="00E862DE">
        <w:fldChar w:fldCharType="begin"/>
      </w:r>
      <w:r w:rsidR="00E862DE">
        <w:instrText xml:space="preserve"> REF _Ref502045478 \h </w:instrText>
      </w:r>
      <w:r w:rsidR="00E862DE">
        <w:fldChar w:fldCharType="separate"/>
      </w:r>
      <w:r w:rsidR="00A75F23">
        <w:t xml:space="preserve">Table </w:t>
      </w:r>
      <w:r w:rsidR="00A75F23">
        <w:rPr>
          <w:noProof/>
        </w:rPr>
        <w:t>5</w:t>
      </w:r>
      <w:r w:rsidR="00E862DE">
        <w:fldChar w:fldCharType="end"/>
      </w:r>
      <w:r w:rsidR="00E862DE">
        <w:t xml:space="preserve"> for the following reasons</w:t>
      </w:r>
      <w:r>
        <w:t>:</w:t>
      </w:r>
    </w:p>
    <w:p w14:paraId="55347DA5" w14:textId="3AE2C0D4" w:rsidR="00E862DE" w:rsidRPr="00E862DE" w:rsidRDefault="00E862DE" w:rsidP="00E862DE">
      <w:pPr>
        <w:pStyle w:val="Bullet1"/>
      </w:pPr>
      <w:r w:rsidRPr="00E862DE">
        <w:rPr>
          <w:b/>
        </w:rPr>
        <w:t>2020 and 2021</w:t>
      </w:r>
      <w:r>
        <w:t>: The evaluation activities planned for the later years of the plan period mirror those conducted earlier</w:t>
      </w:r>
      <w:r w:rsidR="00DD3844">
        <w:t>,</w:t>
      </w:r>
      <w:r>
        <w:t xml:space="preserve"> with 2020 serving as another heavy impact and process evaluation year while 2021 focuses largely on program impacts.</w:t>
      </w:r>
      <w:r w:rsidR="00707B4B">
        <w:t xml:space="preserve"> Multifamily manager/owner interviews will be conducted as part of a cross-cutting research activity in 2020.</w:t>
      </w:r>
    </w:p>
    <w:p w14:paraId="12B8D7DD" w14:textId="3C5F99C7" w:rsidR="000243AD" w:rsidRDefault="000243AD" w:rsidP="000243AD">
      <w:pPr>
        <w:pStyle w:val="Heading2"/>
      </w:pPr>
      <w:bookmarkStart w:id="33" w:name="_Toc27335110"/>
      <w:r>
        <w:t>Public Housing</w:t>
      </w:r>
      <w:r w:rsidR="009E77D8">
        <w:t xml:space="preserve"> Initiative</w:t>
      </w:r>
      <w:bookmarkEnd w:id="33"/>
    </w:p>
    <w:p w14:paraId="03A5069A" w14:textId="11C0014E" w:rsidR="005C4AC9" w:rsidRDefault="005C4AC9" w:rsidP="005C4AC9">
      <w:r>
        <w:t xml:space="preserve">The Public Housing </w:t>
      </w:r>
      <w:r w:rsidR="00DD3844">
        <w:t>I</w:t>
      </w:r>
      <w:r>
        <w:t xml:space="preserve">nitiative is designed to mirror the Income Qualified </w:t>
      </w:r>
      <w:r w:rsidR="00DD3844">
        <w:t>I</w:t>
      </w:r>
      <w:r>
        <w:t>nitiative by providing home energy diagnostics and whole-house retrofits.</w:t>
      </w:r>
      <w:r w:rsidR="003A6D05">
        <w:t xml:space="preserve"> The target market for the </w:t>
      </w:r>
      <w:r w:rsidR="00C93489">
        <w:t>I</w:t>
      </w:r>
      <w:r>
        <w:t>nitiative is single-family and multifamily public</w:t>
      </w:r>
      <w:r w:rsidR="003A6D05">
        <w:t>-</w:t>
      </w:r>
      <w:r>
        <w:t>sector housing owned by government entities (including federal, state</w:t>
      </w:r>
      <w:r w:rsidR="00DD3844">
        <w:t>,</w:t>
      </w:r>
      <w:r>
        <w:t xml:space="preserve"> and municipal housing authorities) </w:t>
      </w:r>
      <w:r w:rsidR="001D6B1A" w:rsidRPr="001D6B1A">
        <w:t xml:space="preserve">in communities </w:t>
      </w:r>
      <w:r>
        <w:t xml:space="preserve">with average household income at or below 300% of Federal Poverty Guidelines. </w:t>
      </w:r>
      <w:r>
        <w:lastRenderedPageBreak/>
        <w:t>The Initiative will collaborate with federal, state</w:t>
      </w:r>
      <w:r w:rsidR="00DD3844">
        <w:t>,</w:t>
      </w:r>
      <w:r>
        <w:t xml:space="preserve"> and municipal government agencies within the AIC service territory and housing authorities to identify and weatherize eligible properties.</w:t>
      </w:r>
    </w:p>
    <w:p w14:paraId="673264D0" w14:textId="54B70CDC" w:rsidR="002A7088" w:rsidRPr="00553587" w:rsidRDefault="002A7088" w:rsidP="002A7088">
      <w:r>
        <w:fldChar w:fldCharType="begin"/>
      </w:r>
      <w:r>
        <w:instrText xml:space="preserve"> REF _Ref502325523 \h </w:instrText>
      </w:r>
      <w:r>
        <w:fldChar w:fldCharType="separate"/>
      </w:r>
      <w:r w:rsidR="00A75F23">
        <w:t xml:space="preserve">Table </w:t>
      </w:r>
      <w:r w:rsidR="00A75F23">
        <w:rPr>
          <w:noProof/>
        </w:rPr>
        <w:t>6</w:t>
      </w:r>
      <w:r>
        <w:fldChar w:fldCharType="end"/>
      </w:r>
      <w:r>
        <w:t xml:space="preserve"> </w:t>
      </w:r>
      <w:r w:rsidRPr="00B95ABD">
        <w:t xml:space="preserve">shows the </w:t>
      </w:r>
      <w:r>
        <w:t xml:space="preserve">proposed </w:t>
      </w:r>
      <w:r w:rsidRPr="00B95ABD">
        <w:t>tasks for this effort</w:t>
      </w:r>
      <w:r>
        <w:t xml:space="preserve"> over the next 4-year period</w:t>
      </w:r>
      <w:r w:rsidRPr="00B95ABD">
        <w:t>.</w:t>
      </w:r>
    </w:p>
    <w:p w14:paraId="73E8A8D2" w14:textId="24FA4FFE" w:rsidR="005C4AC9" w:rsidRPr="00D327C0" w:rsidRDefault="005C4AC9" w:rsidP="00FA04B9">
      <w:pPr>
        <w:pStyle w:val="Caption"/>
      </w:pPr>
      <w:bookmarkStart w:id="34" w:name="_Ref502325523"/>
      <w:bookmarkStart w:id="35" w:name="_Toc27335133"/>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6</w:t>
      </w:r>
      <w:r w:rsidR="00E656B8">
        <w:rPr>
          <w:noProof/>
        </w:rPr>
        <w:fldChar w:fldCharType="end"/>
      </w:r>
      <w:bookmarkEnd w:id="34"/>
      <w:r>
        <w:t>. Public Housing Initiative Evaluation Activities – Four Year Plan</w:t>
      </w:r>
      <w:bookmarkEnd w:id="35"/>
    </w:p>
    <w:tbl>
      <w:tblPr>
        <w:tblStyle w:val="ODCBasic-1"/>
        <w:tblW w:w="0" w:type="auto"/>
        <w:tblLook w:val="04A0" w:firstRow="1" w:lastRow="0" w:firstColumn="1" w:lastColumn="0" w:noHBand="0" w:noVBand="1"/>
      </w:tblPr>
      <w:tblGrid>
        <w:gridCol w:w="775"/>
        <w:gridCol w:w="3744"/>
        <w:gridCol w:w="614"/>
        <w:gridCol w:w="614"/>
        <w:gridCol w:w="614"/>
        <w:gridCol w:w="614"/>
      </w:tblGrid>
      <w:tr w:rsidR="003465CC" w14:paraId="1B4B22F7" w14:textId="77777777" w:rsidTr="00DD38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95AFEF" w14:textId="6744E37E" w:rsidR="003465CC" w:rsidRDefault="003465CC" w:rsidP="00B62D77">
            <w:pPr>
              <w:pStyle w:val="ODCBodyText"/>
            </w:pPr>
            <w:r>
              <w:t>Timing</w:t>
            </w:r>
          </w:p>
        </w:tc>
        <w:tc>
          <w:tcPr>
            <w:tcW w:w="0" w:type="auto"/>
            <w:vAlign w:val="center"/>
          </w:tcPr>
          <w:p w14:paraId="3FA183A4" w14:textId="10B8DA26" w:rsidR="003465CC" w:rsidRPr="00DD3844" w:rsidRDefault="003465CC" w:rsidP="00DD3844">
            <w:pPr>
              <w:pStyle w:val="ODCBodyText"/>
              <w:jc w:val="center"/>
              <w:cnfStyle w:val="100000000000" w:firstRow="1" w:lastRow="0" w:firstColumn="0" w:lastColumn="0" w:oddVBand="0" w:evenVBand="0" w:oddHBand="0" w:evenHBand="0" w:firstRowFirstColumn="0" w:firstRowLastColumn="0" w:lastRowFirstColumn="0" w:lastRowLastColumn="0"/>
              <w:rPr>
                <w:color w:val="auto"/>
              </w:rPr>
            </w:pPr>
            <w:r>
              <w:t>Activity</w:t>
            </w:r>
          </w:p>
        </w:tc>
        <w:tc>
          <w:tcPr>
            <w:tcW w:w="0" w:type="auto"/>
            <w:vAlign w:val="center"/>
          </w:tcPr>
          <w:p w14:paraId="3243EE17" w14:textId="77777777" w:rsidR="003465CC" w:rsidRDefault="003465CC" w:rsidP="00B62D77">
            <w:pPr>
              <w:pStyle w:val="ODCBodyText"/>
              <w:jc w:val="center"/>
              <w:cnfStyle w:val="100000000000" w:firstRow="1" w:lastRow="0" w:firstColumn="0" w:lastColumn="0" w:oddVBand="0" w:evenVBand="0" w:oddHBand="0" w:evenHBand="0" w:firstRowFirstColumn="0" w:firstRowLastColumn="0" w:lastRowFirstColumn="0" w:lastRowLastColumn="0"/>
            </w:pPr>
            <w:r>
              <w:t>2018</w:t>
            </w:r>
          </w:p>
        </w:tc>
        <w:tc>
          <w:tcPr>
            <w:tcW w:w="0" w:type="auto"/>
            <w:vAlign w:val="center"/>
          </w:tcPr>
          <w:p w14:paraId="7311B514" w14:textId="77777777" w:rsidR="003465CC" w:rsidRDefault="003465CC" w:rsidP="00B62D77">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0" w:type="auto"/>
            <w:vAlign w:val="center"/>
          </w:tcPr>
          <w:p w14:paraId="095CC079" w14:textId="77777777" w:rsidR="003465CC" w:rsidRDefault="003465CC" w:rsidP="00B62D77">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0" w:type="auto"/>
            <w:vAlign w:val="center"/>
          </w:tcPr>
          <w:p w14:paraId="46508D57" w14:textId="77777777" w:rsidR="003465CC" w:rsidRDefault="003465CC" w:rsidP="00B62D77">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8214AF" w14:paraId="50927C8F"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492E926F" w14:textId="1889F9B4" w:rsidR="008214AF" w:rsidRPr="00DD3844" w:rsidRDefault="008214AF" w:rsidP="008214AF">
            <w:pPr>
              <w:pStyle w:val="ODCBodyText"/>
              <w:jc w:val="left"/>
              <w:rPr>
                <w:color w:val="auto"/>
              </w:rPr>
            </w:pPr>
            <w:r w:rsidRPr="00DD3844">
              <w:rPr>
                <w:color w:val="auto"/>
              </w:rPr>
              <w:t>Annual</w:t>
            </w:r>
          </w:p>
        </w:tc>
        <w:tc>
          <w:tcPr>
            <w:tcW w:w="0" w:type="auto"/>
            <w:vAlign w:val="center"/>
          </w:tcPr>
          <w:p w14:paraId="2C8927D6" w14:textId="07178FF4" w:rsidR="008214AF" w:rsidRPr="00DD3844" w:rsidRDefault="005678BE"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Initiative Material &amp; Database Review</w:t>
            </w:r>
          </w:p>
        </w:tc>
        <w:tc>
          <w:tcPr>
            <w:tcW w:w="0" w:type="auto"/>
            <w:vAlign w:val="center"/>
          </w:tcPr>
          <w:p w14:paraId="24CA08DF" w14:textId="10327FCB"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75C31B77" w14:textId="7F1ACC6D"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590196DF" w14:textId="245D8CE5"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2D05BF8E" w14:textId="3CC5E55C"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311F2090"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A0D509F" w14:textId="77777777" w:rsidR="008214AF" w:rsidRPr="00DD3844" w:rsidRDefault="008214AF" w:rsidP="008214AF">
            <w:pPr>
              <w:pStyle w:val="ODCBodyText"/>
              <w:jc w:val="left"/>
              <w:rPr>
                <w:color w:val="auto"/>
              </w:rPr>
            </w:pPr>
          </w:p>
        </w:tc>
        <w:tc>
          <w:tcPr>
            <w:tcW w:w="0" w:type="auto"/>
            <w:vAlign w:val="center"/>
          </w:tcPr>
          <w:p w14:paraId="1EC148DA" w14:textId="1D2C1C38" w:rsidR="008214AF" w:rsidRPr="00DD3844" w:rsidRDefault="005678BE"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Initiative Staff Interview</w:t>
            </w:r>
            <w:r w:rsidR="008214AF" w:rsidRPr="00DD3844">
              <w:rPr>
                <w:color w:val="auto"/>
              </w:rPr>
              <w:t>s</w:t>
            </w:r>
          </w:p>
        </w:tc>
        <w:tc>
          <w:tcPr>
            <w:tcW w:w="0" w:type="auto"/>
            <w:vAlign w:val="center"/>
          </w:tcPr>
          <w:p w14:paraId="781490EF" w14:textId="242F0EF0"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48091470" w14:textId="1A33FEE9"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1F61F105" w14:textId="0CAC77BB"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0B68089D" w14:textId="128D955B"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8214AF" w14:paraId="658E08D6"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99A7143" w14:textId="77777777" w:rsidR="008214AF" w:rsidRPr="00DD3844" w:rsidRDefault="008214AF" w:rsidP="008214AF">
            <w:pPr>
              <w:pStyle w:val="ODCBodyText"/>
              <w:jc w:val="left"/>
              <w:rPr>
                <w:color w:val="auto"/>
              </w:rPr>
            </w:pPr>
          </w:p>
        </w:tc>
        <w:tc>
          <w:tcPr>
            <w:tcW w:w="0" w:type="auto"/>
            <w:vAlign w:val="center"/>
          </w:tcPr>
          <w:p w14:paraId="54F7CB57" w14:textId="0373E9C2" w:rsidR="008214AF" w:rsidRPr="00DD3844"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Engineering Desk Review</w:t>
            </w:r>
          </w:p>
        </w:tc>
        <w:tc>
          <w:tcPr>
            <w:tcW w:w="0" w:type="auto"/>
            <w:vAlign w:val="center"/>
          </w:tcPr>
          <w:p w14:paraId="4140A4B1" w14:textId="4EA57C6D"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67FAFD34" w14:textId="0404EC9E"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22D0AB1B" w14:textId="133AE1FC"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3A40DDE9" w14:textId="1DFB0774"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5F3B153C"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4F5E7BD" w14:textId="77777777" w:rsidR="008214AF" w:rsidRPr="00DD3844" w:rsidRDefault="008214AF" w:rsidP="008214AF">
            <w:pPr>
              <w:pStyle w:val="ODCBodyText"/>
              <w:jc w:val="left"/>
              <w:rPr>
                <w:color w:val="auto"/>
              </w:rPr>
            </w:pPr>
          </w:p>
        </w:tc>
        <w:tc>
          <w:tcPr>
            <w:tcW w:w="0" w:type="auto"/>
            <w:vAlign w:val="center"/>
          </w:tcPr>
          <w:p w14:paraId="38C80A03" w14:textId="49716BD1" w:rsidR="008214AF" w:rsidRPr="00DD3844" w:rsidRDefault="008214AF"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IL-TRM Application Review</w:t>
            </w:r>
          </w:p>
        </w:tc>
        <w:tc>
          <w:tcPr>
            <w:tcW w:w="0" w:type="auto"/>
            <w:vAlign w:val="center"/>
          </w:tcPr>
          <w:p w14:paraId="6D34F273" w14:textId="3D342671"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23460C0E" w14:textId="3DF4D592"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51494CAD" w14:textId="6CC8E04D"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040F6FA7" w14:textId="07EE8B79"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8214AF" w14:paraId="418F0A1A"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1FB8202" w14:textId="77777777" w:rsidR="008214AF" w:rsidRPr="00DD3844" w:rsidRDefault="008214AF" w:rsidP="008214AF">
            <w:pPr>
              <w:pStyle w:val="ODCBodyText"/>
              <w:jc w:val="left"/>
              <w:rPr>
                <w:color w:val="auto"/>
              </w:rPr>
            </w:pPr>
          </w:p>
        </w:tc>
        <w:tc>
          <w:tcPr>
            <w:tcW w:w="0" w:type="auto"/>
            <w:vAlign w:val="center"/>
          </w:tcPr>
          <w:p w14:paraId="20AB3F4D" w14:textId="0C78FF08" w:rsidR="008214AF" w:rsidRPr="00DD3844"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Net Impact Analysis – SAG Approved NTGR</w:t>
            </w:r>
          </w:p>
        </w:tc>
        <w:tc>
          <w:tcPr>
            <w:tcW w:w="0" w:type="auto"/>
            <w:vAlign w:val="center"/>
          </w:tcPr>
          <w:p w14:paraId="64A82CBC" w14:textId="48997B89"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22C9183E" w14:textId="6EE483EB"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17B3C43D" w14:textId="6F2FAB0E"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667C1719" w14:textId="1593CF98"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2A7088" w14:paraId="7C81C926"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98D6F6" w:themeFill="background1" w:themeFillTint="66"/>
            <w:vAlign w:val="center"/>
          </w:tcPr>
          <w:p w14:paraId="18A7E826" w14:textId="77777777" w:rsidR="002A7088" w:rsidRPr="00DD3844" w:rsidRDefault="002A7088" w:rsidP="002A7088">
            <w:pPr>
              <w:pStyle w:val="ODCBodyText"/>
              <w:jc w:val="center"/>
              <w:rPr>
                <w:color w:val="auto"/>
              </w:rPr>
            </w:pPr>
          </w:p>
        </w:tc>
      </w:tr>
      <w:tr w:rsidR="002A7088" w14:paraId="5292C803"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28746C3D" w14:textId="7501E891" w:rsidR="002A7088" w:rsidRPr="00DD3844" w:rsidRDefault="002A7088" w:rsidP="002A7088">
            <w:pPr>
              <w:pStyle w:val="ODCBodyText"/>
              <w:jc w:val="left"/>
              <w:rPr>
                <w:color w:val="auto"/>
              </w:rPr>
            </w:pPr>
            <w:r w:rsidRPr="00DD3844">
              <w:rPr>
                <w:color w:val="auto"/>
              </w:rPr>
              <w:t>Phased</w:t>
            </w:r>
          </w:p>
        </w:tc>
        <w:tc>
          <w:tcPr>
            <w:tcW w:w="0" w:type="auto"/>
            <w:vAlign w:val="center"/>
          </w:tcPr>
          <w:p w14:paraId="27835021" w14:textId="74DC0EE9" w:rsidR="002A7088" w:rsidRPr="00DD3844" w:rsidRDefault="002A7088" w:rsidP="002A7088">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Process Model Development</w:t>
            </w:r>
          </w:p>
        </w:tc>
        <w:tc>
          <w:tcPr>
            <w:tcW w:w="0" w:type="auto"/>
            <w:vAlign w:val="center"/>
          </w:tcPr>
          <w:p w14:paraId="73A5BCCE" w14:textId="7AA354A8" w:rsidR="002A7088" w:rsidRPr="00DD3844" w:rsidRDefault="008214AF" w:rsidP="002A7088">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38491B3B" w14:textId="77777777" w:rsidR="002A7088" w:rsidRPr="00DD3844" w:rsidRDefault="002A7088" w:rsidP="002A7088">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67A66B97" w14:textId="717D3E33" w:rsidR="002A7088" w:rsidRPr="00DD3844" w:rsidRDefault="002A7088" w:rsidP="002A7088">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767A72CB" w14:textId="77777777" w:rsidR="002A7088" w:rsidRPr="00DD3844" w:rsidRDefault="002A7088" w:rsidP="002A7088">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r w:rsidR="002A7088" w14:paraId="16FE803C"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843BB8A" w14:textId="1F590B42" w:rsidR="002A7088" w:rsidRPr="00DD3844" w:rsidRDefault="002A7088" w:rsidP="002A7088">
            <w:pPr>
              <w:pStyle w:val="ODCBodyText"/>
              <w:rPr>
                <w:color w:val="auto"/>
              </w:rPr>
            </w:pPr>
          </w:p>
        </w:tc>
        <w:tc>
          <w:tcPr>
            <w:tcW w:w="0" w:type="auto"/>
            <w:vAlign w:val="center"/>
          </w:tcPr>
          <w:p w14:paraId="22BFA795" w14:textId="0A2A1EE4" w:rsidR="002A7088" w:rsidRPr="00DD3844" w:rsidRDefault="002A7088" w:rsidP="002A7088">
            <w:pPr>
              <w:pStyle w:val="ODCBodyTex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szCs w:val="20"/>
              </w:rPr>
              <w:t>In-Depth Housing Authority Interviews</w:t>
            </w:r>
          </w:p>
        </w:tc>
        <w:tc>
          <w:tcPr>
            <w:tcW w:w="0" w:type="auto"/>
            <w:vAlign w:val="center"/>
          </w:tcPr>
          <w:p w14:paraId="2D8CB12F" w14:textId="3D2290CD" w:rsidR="002A7088" w:rsidRPr="00DD3844" w:rsidRDefault="008214AF" w:rsidP="002A7088">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09761871" w14:textId="5FD32626" w:rsidR="002A7088" w:rsidRPr="00DD3844" w:rsidRDefault="002A7088" w:rsidP="002A7088">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12945BA7" w14:textId="31205A11" w:rsidR="002A7088" w:rsidRPr="00DD3844" w:rsidRDefault="008214AF" w:rsidP="002A7088">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608CDCC6" w14:textId="5FFBFFD1" w:rsidR="002A7088" w:rsidRPr="00DD3844" w:rsidRDefault="002A7088" w:rsidP="002A7088">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r>
      <w:tr w:rsidR="002A7088" w14:paraId="091A124C" w14:textId="77777777" w:rsidTr="00DD3844">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F4E922D" w14:textId="77777777" w:rsidR="002A7088" w:rsidRPr="00DD3844" w:rsidRDefault="002A7088" w:rsidP="002A7088">
            <w:pPr>
              <w:pStyle w:val="ODCBodyText"/>
              <w:rPr>
                <w:color w:val="auto"/>
              </w:rPr>
            </w:pPr>
          </w:p>
        </w:tc>
        <w:tc>
          <w:tcPr>
            <w:tcW w:w="0" w:type="auto"/>
            <w:vAlign w:val="center"/>
          </w:tcPr>
          <w:p w14:paraId="3C8A2B47" w14:textId="4F451180" w:rsidR="002A7088" w:rsidRPr="00DD3844" w:rsidRDefault="002A7088" w:rsidP="002A7088">
            <w:pPr>
              <w:pStyle w:val="ODCBodyTex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szCs w:val="20"/>
              </w:rPr>
              <w:t>Historical Participation Analysis</w:t>
            </w:r>
          </w:p>
        </w:tc>
        <w:tc>
          <w:tcPr>
            <w:tcW w:w="0" w:type="auto"/>
            <w:vAlign w:val="center"/>
          </w:tcPr>
          <w:p w14:paraId="1BAB2673" w14:textId="3AE095D6" w:rsidR="002A7088" w:rsidRPr="00DD3844" w:rsidRDefault="002A7088" w:rsidP="002A7088">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0FEED396" w14:textId="576D6ABC" w:rsidR="002A7088" w:rsidRPr="00DD3844" w:rsidRDefault="002A7088" w:rsidP="002A7088">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5837D1BF" w14:textId="06CF3D40" w:rsidR="002A7088" w:rsidRPr="00DD3844" w:rsidRDefault="002A7088" w:rsidP="002A7088">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70766553" w14:textId="4E6C571C" w:rsidR="002A7088" w:rsidRPr="00DD3844" w:rsidRDefault="001D6B1A" w:rsidP="002A7088">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bl>
    <w:p w14:paraId="371C721D" w14:textId="3A9E1158" w:rsidR="002A7088" w:rsidRDefault="002A7088" w:rsidP="002A7088">
      <w:pPr>
        <w:pStyle w:val="ODCBodyText"/>
      </w:pPr>
      <w:r>
        <w:t xml:space="preserve">We proposed the evaluation activities included in </w:t>
      </w:r>
      <w:r>
        <w:fldChar w:fldCharType="begin"/>
      </w:r>
      <w:r>
        <w:instrText xml:space="preserve"> REF _Ref502325523 \h </w:instrText>
      </w:r>
      <w:r>
        <w:fldChar w:fldCharType="separate"/>
      </w:r>
      <w:r w:rsidR="00A75F23">
        <w:t xml:space="preserve">Table </w:t>
      </w:r>
      <w:r w:rsidR="00A75F23">
        <w:rPr>
          <w:noProof/>
        </w:rPr>
        <w:t>6</w:t>
      </w:r>
      <w:r>
        <w:fldChar w:fldCharType="end"/>
      </w:r>
      <w:r>
        <w:t xml:space="preserve"> for the following reasons:</w:t>
      </w:r>
    </w:p>
    <w:p w14:paraId="1F2D288E" w14:textId="17472DB7" w:rsidR="005C4AC9" w:rsidRPr="005C4AC9" w:rsidRDefault="008A774E" w:rsidP="00A11460">
      <w:pPr>
        <w:pStyle w:val="Bullet1"/>
      </w:pPr>
      <w:r w:rsidRPr="008A774E">
        <w:rPr>
          <w:b/>
        </w:rPr>
        <w:t>2020 and 2021</w:t>
      </w:r>
      <w:r>
        <w:t xml:space="preserve">: </w:t>
      </w:r>
      <w:r w:rsidR="00765A06">
        <w:t>Beyond the annual evaluation activities, we plan to conduct in-depth interviews with housing authorities in 2020</w:t>
      </w:r>
      <w:r w:rsidR="00F81CB4">
        <w:t xml:space="preserve"> </w:t>
      </w:r>
      <w:r w:rsidR="00707B4B">
        <w:t>as part of a cross-cutting research activity</w:t>
      </w:r>
      <w:r w:rsidR="00765A06">
        <w:t xml:space="preserve">. In </w:t>
      </w:r>
      <w:r w:rsidR="00374E6A">
        <w:t>2021</w:t>
      </w:r>
      <w:r w:rsidR="00765A06">
        <w:t>, we will conduct a</w:t>
      </w:r>
      <w:r w:rsidR="00374E6A">
        <w:t xml:space="preserve"> historical participation analysis to identify gaps in Initiative coverage and therefore savings opportunities for future years</w:t>
      </w:r>
      <w:r>
        <w:t xml:space="preserve">. </w:t>
      </w:r>
    </w:p>
    <w:p w14:paraId="24916939" w14:textId="4E207253" w:rsidR="005E0BC0" w:rsidRDefault="00F629A2" w:rsidP="005E0BC0">
      <w:pPr>
        <w:pStyle w:val="Heading2"/>
      </w:pPr>
      <w:bookmarkStart w:id="36" w:name="_Toc27335111"/>
      <w:r>
        <w:t xml:space="preserve">Residential </w:t>
      </w:r>
      <w:r w:rsidR="005E0BC0">
        <w:t>Beh</w:t>
      </w:r>
      <w:r w:rsidR="00B62D77">
        <w:t xml:space="preserve">avioral Modification </w:t>
      </w:r>
      <w:r w:rsidR="009E77D8">
        <w:t>Initiative</w:t>
      </w:r>
      <w:bookmarkEnd w:id="36"/>
    </w:p>
    <w:p w14:paraId="2C89658B" w14:textId="586368D8" w:rsidR="00B62D77" w:rsidRDefault="00B62D77" w:rsidP="00B62D77">
      <w:r>
        <w:t xml:space="preserve">AIC has offered </w:t>
      </w:r>
      <w:r w:rsidR="00DD3844">
        <w:t xml:space="preserve">the </w:t>
      </w:r>
      <w:r w:rsidR="00F629A2">
        <w:t xml:space="preserve">Residential </w:t>
      </w:r>
      <w:r>
        <w:t xml:space="preserve">Behavioral Modification </w:t>
      </w:r>
      <w:r w:rsidR="00DD3844">
        <w:t xml:space="preserve">Initiative </w:t>
      </w:r>
      <w:r>
        <w:t>since 2010 to help reduce residential customers’ energy consumption. In particular, the program seeks to (1) reduce energy consumption by encouraging energy-efficient behaviors, (2) boost customer engagement and education by helping customers understand energy efficiency and how to save energy in their homes, and (3) educate customers about no-cost and low-cost energy-saving measures and behaviors.</w:t>
      </w:r>
    </w:p>
    <w:p w14:paraId="2E09573F" w14:textId="583EC9A4" w:rsidR="00B62D77" w:rsidRDefault="00B62D77" w:rsidP="00B62D77">
      <w:pPr>
        <w:pStyle w:val="ODCBodyText"/>
      </w:pPr>
      <w:bookmarkStart w:id="37" w:name="_Hlk497377087"/>
      <w:r>
        <w:t xml:space="preserve">Traditionally, the </w:t>
      </w:r>
      <w:r w:rsidR="00DD3844">
        <w:t xml:space="preserve">Initiative </w:t>
      </w:r>
      <w:r>
        <w:t xml:space="preserve">has offered three forms of treatment: a hard-copy printed home energy report (HER) mailed four times a year to customer billing addresses; an electronic HER (eHER) sent once per billing cycle to all customers with email addresses; and an online portal, which customers can log onto to view the report and access additional information. While we anticipate that the </w:t>
      </w:r>
      <w:r w:rsidR="00DD3844">
        <w:t xml:space="preserve">Initiative </w:t>
      </w:r>
      <w:r>
        <w:t>will be implemented in a consistent manner in 2018, AIC has selected a new program implementer and as such, the evaluation team will verify program design details with them as a first step in the 2018 evaluation.</w:t>
      </w:r>
      <w:bookmarkEnd w:id="37"/>
    </w:p>
    <w:p w14:paraId="0B1E421B" w14:textId="47C09898" w:rsidR="005E0BC0" w:rsidRDefault="00B62D77" w:rsidP="00BE2609">
      <w:pPr>
        <w:pStyle w:val="ODCBodyText"/>
      </w:pPr>
      <w:r>
        <w:t xml:space="preserve">Finally, it is important to note that the contribution </w:t>
      </w:r>
      <w:r w:rsidR="000669CE">
        <w:t xml:space="preserve">to savings </w:t>
      </w:r>
      <w:r>
        <w:t xml:space="preserve">of the </w:t>
      </w:r>
      <w:r w:rsidR="00F629A2">
        <w:t xml:space="preserve">Residential </w:t>
      </w:r>
      <w:r>
        <w:t xml:space="preserve">Behavioral Modification </w:t>
      </w:r>
      <w:r w:rsidR="00DD3844">
        <w:t>I</w:t>
      </w:r>
      <w:r>
        <w:t>nitiative declines significantly in the 2018 Plan pe</w:t>
      </w:r>
      <w:r w:rsidR="00BE2609">
        <w:t xml:space="preserve">riod compared to prior AIC Plan periods. As a result, the evaluation team has focused almost exclusively on determining program impacts as opposed to conducting process evaluation research as shown in </w:t>
      </w:r>
      <w:r>
        <w:fldChar w:fldCharType="begin"/>
      </w:r>
      <w:r>
        <w:instrText xml:space="preserve"> REF _Ref502047128 \h </w:instrText>
      </w:r>
      <w:r>
        <w:fldChar w:fldCharType="separate"/>
      </w:r>
      <w:r w:rsidR="00A75F23">
        <w:t xml:space="preserve">Table </w:t>
      </w:r>
      <w:r w:rsidR="00A75F23">
        <w:rPr>
          <w:noProof/>
        </w:rPr>
        <w:t>7</w:t>
      </w:r>
      <w:r>
        <w:fldChar w:fldCharType="end"/>
      </w:r>
      <w:r w:rsidR="005E0BC0" w:rsidRPr="00B95ABD">
        <w:t>.</w:t>
      </w:r>
    </w:p>
    <w:p w14:paraId="38DDD3E7" w14:textId="3C03A938" w:rsidR="00B62D77" w:rsidRPr="00D327C0" w:rsidRDefault="00B62D77" w:rsidP="00707B4B">
      <w:pPr>
        <w:pStyle w:val="Caption"/>
        <w:keepLines/>
      </w:pPr>
      <w:bookmarkStart w:id="38" w:name="_Ref502047128"/>
      <w:bookmarkStart w:id="39" w:name="_Toc27335134"/>
      <w:r>
        <w:lastRenderedPageBreak/>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7</w:t>
      </w:r>
      <w:r w:rsidR="00E656B8">
        <w:rPr>
          <w:noProof/>
        </w:rPr>
        <w:fldChar w:fldCharType="end"/>
      </w:r>
      <w:bookmarkEnd w:id="38"/>
      <w:r>
        <w:t xml:space="preserve">. </w:t>
      </w:r>
      <w:r w:rsidR="00F629A2">
        <w:t xml:space="preserve">Residential </w:t>
      </w:r>
      <w:r>
        <w:t>Behavioral Modification Initiative Evaluation Activities – Four Year Plan</w:t>
      </w:r>
      <w:bookmarkEnd w:id="39"/>
    </w:p>
    <w:tbl>
      <w:tblPr>
        <w:tblStyle w:val="ODCBasic-1"/>
        <w:tblW w:w="0" w:type="auto"/>
        <w:tblLook w:val="04A0" w:firstRow="1" w:lastRow="0" w:firstColumn="1" w:lastColumn="0" w:noHBand="0" w:noVBand="1"/>
      </w:tblPr>
      <w:tblGrid>
        <w:gridCol w:w="900"/>
        <w:gridCol w:w="3354"/>
        <w:gridCol w:w="614"/>
        <w:gridCol w:w="614"/>
        <w:gridCol w:w="614"/>
        <w:gridCol w:w="614"/>
      </w:tblGrid>
      <w:tr w:rsidR="003465CC" w14:paraId="136EEC8A" w14:textId="77777777" w:rsidTr="00F629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 w:type="dxa"/>
          </w:tcPr>
          <w:p w14:paraId="3420EB62" w14:textId="175BC361" w:rsidR="003465CC" w:rsidRDefault="003465CC" w:rsidP="00707B4B">
            <w:pPr>
              <w:pStyle w:val="ODCBodyText"/>
              <w:keepNext/>
              <w:keepLines/>
            </w:pPr>
            <w:r>
              <w:t>Timing</w:t>
            </w:r>
          </w:p>
        </w:tc>
        <w:tc>
          <w:tcPr>
            <w:tcW w:w="3354" w:type="dxa"/>
          </w:tcPr>
          <w:p w14:paraId="31171B9C" w14:textId="3BFEAC33" w:rsidR="003465CC" w:rsidRDefault="003465CC" w:rsidP="00707B4B">
            <w:pPr>
              <w:pStyle w:val="ODCBodyText"/>
              <w:keepNext/>
              <w:keepLines/>
              <w:jc w:val="center"/>
              <w:cnfStyle w:val="100000000000" w:firstRow="1" w:lastRow="0" w:firstColumn="0" w:lastColumn="0" w:oddVBand="0" w:evenVBand="0" w:oddHBand="0" w:evenHBand="0" w:firstRowFirstColumn="0" w:firstRowLastColumn="0" w:lastRowFirstColumn="0" w:lastRowLastColumn="0"/>
            </w:pPr>
            <w:r>
              <w:t>Activity</w:t>
            </w:r>
          </w:p>
        </w:tc>
        <w:tc>
          <w:tcPr>
            <w:tcW w:w="0" w:type="auto"/>
          </w:tcPr>
          <w:p w14:paraId="5E8B0F94" w14:textId="77777777" w:rsidR="003465CC" w:rsidRDefault="003465CC" w:rsidP="00707B4B">
            <w:pPr>
              <w:pStyle w:val="ODCBodyText"/>
              <w:keepNext/>
              <w:keepLines/>
              <w:jc w:val="center"/>
              <w:cnfStyle w:val="100000000000" w:firstRow="1" w:lastRow="0" w:firstColumn="0" w:lastColumn="0" w:oddVBand="0" w:evenVBand="0" w:oddHBand="0" w:evenHBand="0" w:firstRowFirstColumn="0" w:firstRowLastColumn="0" w:lastRowFirstColumn="0" w:lastRowLastColumn="0"/>
            </w:pPr>
            <w:r>
              <w:t>2018</w:t>
            </w:r>
          </w:p>
        </w:tc>
        <w:tc>
          <w:tcPr>
            <w:tcW w:w="0" w:type="auto"/>
          </w:tcPr>
          <w:p w14:paraId="17E18DCA" w14:textId="77777777" w:rsidR="003465CC" w:rsidRDefault="003465CC" w:rsidP="00707B4B">
            <w:pPr>
              <w:pStyle w:val="ODCBodyText"/>
              <w:keepNext/>
              <w:keepLines/>
              <w:jc w:val="center"/>
              <w:cnfStyle w:val="100000000000" w:firstRow="1" w:lastRow="0" w:firstColumn="0" w:lastColumn="0" w:oddVBand="0" w:evenVBand="0" w:oddHBand="0" w:evenHBand="0" w:firstRowFirstColumn="0" w:firstRowLastColumn="0" w:lastRowFirstColumn="0" w:lastRowLastColumn="0"/>
            </w:pPr>
            <w:r>
              <w:t>2019</w:t>
            </w:r>
          </w:p>
        </w:tc>
        <w:tc>
          <w:tcPr>
            <w:tcW w:w="0" w:type="auto"/>
          </w:tcPr>
          <w:p w14:paraId="43093CE0" w14:textId="77777777" w:rsidR="003465CC" w:rsidRDefault="003465CC" w:rsidP="00707B4B">
            <w:pPr>
              <w:pStyle w:val="ODCBodyText"/>
              <w:keepNext/>
              <w:keepLines/>
              <w:jc w:val="center"/>
              <w:cnfStyle w:val="100000000000" w:firstRow="1" w:lastRow="0" w:firstColumn="0" w:lastColumn="0" w:oddVBand="0" w:evenVBand="0" w:oddHBand="0" w:evenHBand="0" w:firstRowFirstColumn="0" w:firstRowLastColumn="0" w:lastRowFirstColumn="0" w:lastRowLastColumn="0"/>
            </w:pPr>
            <w:r>
              <w:t>2020</w:t>
            </w:r>
          </w:p>
        </w:tc>
        <w:tc>
          <w:tcPr>
            <w:tcW w:w="0" w:type="auto"/>
          </w:tcPr>
          <w:p w14:paraId="54712395" w14:textId="77777777" w:rsidR="003465CC" w:rsidRDefault="003465CC" w:rsidP="00707B4B">
            <w:pPr>
              <w:pStyle w:val="ODCBodyText"/>
              <w:keepNext/>
              <w:keepLines/>
              <w:jc w:val="center"/>
              <w:cnfStyle w:val="100000000000" w:firstRow="1" w:lastRow="0" w:firstColumn="0" w:lastColumn="0" w:oddVBand="0" w:evenVBand="0" w:oddHBand="0" w:evenHBand="0" w:firstRowFirstColumn="0" w:firstRowLastColumn="0" w:lastRowFirstColumn="0" w:lastRowLastColumn="0"/>
            </w:pPr>
            <w:r>
              <w:t>2021</w:t>
            </w:r>
          </w:p>
        </w:tc>
      </w:tr>
      <w:tr w:rsidR="00707B4B" w14:paraId="4FB8B410" w14:textId="77777777" w:rsidTr="00F62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val="restart"/>
            <w:vAlign w:val="center"/>
          </w:tcPr>
          <w:p w14:paraId="196798C3" w14:textId="33821ECA" w:rsidR="00707B4B" w:rsidRPr="00DD3844" w:rsidRDefault="00707B4B" w:rsidP="00707B4B">
            <w:pPr>
              <w:pStyle w:val="ODCBodyText"/>
              <w:keepNext/>
              <w:keepLines/>
              <w:jc w:val="left"/>
              <w:rPr>
                <w:color w:val="auto"/>
              </w:rPr>
            </w:pPr>
            <w:r w:rsidRPr="00DD3844">
              <w:rPr>
                <w:color w:val="auto"/>
              </w:rPr>
              <w:t>Annual</w:t>
            </w:r>
          </w:p>
        </w:tc>
        <w:tc>
          <w:tcPr>
            <w:tcW w:w="3354" w:type="dxa"/>
          </w:tcPr>
          <w:p w14:paraId="217522B5" w14:textId="7593EF60" w:rsidR="00707B4B" w:rsidRPr="00DD3844" w:rsidRDefault="00707B4B" w:rsidP="00707B4B">
            <w:pPr>
              <w:pStyle w:val="ODCBodyText"/>
              <w:keepNext/>
              <w:keepLines/>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Initiative Material &amp; Database Review</w:t>
            </w:r>
          </w:p>
        </w:tc>
        <w:tc>
          <w:tcPr>
            <w:tcW w:w="0" w:type="auto"/>
            <w:vAlign w:val="center"/>
          </w:tcPr>
          <w:p w14:paraId="25C1328D" w14:textId="6C9D9C17"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7FBD18EB" w14:textId="1955EF28"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1471FD70" w14:textId="43E64446"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Merge w:val="restart"/>
            <w:vAlign w:val="center"/>
          </w:tcPr>
          <w:p w14:paraId="74147425" w14:textId="79745DC8"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TBD</w:t>
            </w:r>
          </w:p>
        </w:tc>
      </w:tr>
      <w:tr w:rsidR="00707B4B" w14:paraId="23BF1895" w14:textId="77777777" w:rsidTr="00F629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tcPr>
          <w:p w14:paraId="09B5F469" w14:textId="77777777" w:rsidR="00707B4B" w:rsidRPr="00DD3844" w:rsidRDefault="00707B4B" w:rsidP="00707B4B">
            <w:pPr>
              <w:pStyle w:val="ODCBodyText"/>
              <w:keepNext/>
              <w:keepLines/>
              <w:jc w:val="left"/>
              <w:rPr>
                <w:color w:val="auto"/>
              </w:rPr>
            </w:pPr>
          </w:p>
        </w:tc>
        <w:tc>
          <w:tcPr>
            <w:tcW w:w="3354" w:type="dxa"/>
          </w:tcPr>
          <w:p w14:paraId="7BE0B721" w14:textId="70A75449" w:rsidR="00707B4B" w:rsidRPr="00DD3844" w:rsidRDefault="00707B4B" w:rsidP="00707B4B">
            <w:pPr>
              <w:pStyle w:val="ODCBodyText"/>
              <w:keepNext/>
              <w:keepLines/>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Initiative Staff Interview</w:t>
            </w:r>
            <w:r w:rsidRPr="00DD3844">
              <w:rPr>
                <w:color w:val="auto"/>
              </w:rPr>
              <w:t>s</w:t>
            </w:r>
          </w:p>
        </w:tc>
        <w:tc>
          <w:tcPr>
            <w:tcW w:w="0" w:type="auto"/>
            <w:vAlign w:val="center"/>
          </w:tcPr>
          <w:p w14:paraId="76DE6DB6" w14:textId="67273A63" w:rsidR="00707B4B" w:rsidRPr="00DD3844" w:rsidRDefault="00707B4B" w:rsidP="00707B4B">
            <w:pPr>
              <w:pStyle w:val="ODCBodyText"/>
              <w:keepNext/>
              <w:keepLines/>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4E23E1B7" w14:textId="627F3DBC" w:rsidR="00707B4B" w:rsidRPr="00DD3844" w:rsidRDefault="00707B4B" w:rsidP="00707B4B">
            <w:pPr>
              <w:pStyle w:val="ODCBodyText"/>
              <w:keepNext/>
              <w:keepLines/>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51971A66" w14:textId="73D61B00" w:rsidR="00707B4B" w:rsidRPr="00DD3844" w:rsidRDefault="00707B4B" w:rsidP="00707B4B">
            <w:pPr>
              <w:pStyle w:val="ODCBodyText"/>
              <w:keepNext/>
              <w:keepLines/>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Merge/>
            <w:vAlign w:val="center"/>
          </w:tcPr>
          <w:p w14:paraId="2CDC8AA1" w14:textId="126C6CD3" w:rsidR="00707B4B" w:rsidRPr="00DD3844" w:rsidRDefault="00707B4B" w:rsidP="00707B4B">
            <w:pPr>
              <w:pStyle w:val="ODCBodyText"/>
              <w:keepNext/>
              <w:keepLines/>
              <w:jc w:val="center"/>
              <w:cnfStyle w:val="000000010000" w:firstRow="0" w:lastRow="0" w:firstColumn="0" w:lastColumn="0" w:oddVBand="0" w:evenVBand="0" w:oddHBand="0" w:evenHBand="1" w:firstRowFirstColumn="0" w:firstRowLastColumn="0" w:lastRowFirstColumn="0" w:lastRowLastColumn="0"/>
              <w:rPr>
                <w:color w:val="auto"/>
              </w:rPr>
            </w:pPr>
          </w:p>
        </w:tc>
      </w:tr>
      <w:tr w:rsidR="00707B4B" w14:paraId="116994BF" w14:textId="77777777" w:rsidTr="00F62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tcPr>
          <w:p w14:paraId="2CCE59A0" w14:textId="77777777" w:rsidR="00707B4B" w:rsidRPr="00DD3844" w:rsidRDefault="00707B4B" w:rsidP="00707B4B">
            <w:pPr>
              <w:pStyle w:val="ODCBodyText"/>
              <w:keepNext/>
              <w:keepLines/>
              <w:jc w:val="left"/>
              <w:rPr>
                <w:color w:val="auto"/>
              </w:rPr>
            </w:pPr>
          </w:p>
        </w:tc>
        <w:tc>
          <w:tcPr>
            <w:tcW w:w="3354" w:type="dxa"/>
          </w:tcPr>
          <w:p w14:paraId="751EDAA7" w14:textId="7DCA7356" w:rsidR="00707B4B" w:rsidRPr="00DD3844" w:rsidRDefault="00707B4B" w:rsidP="00707B4B">
            <w:pPr>
              <w:pStyle w:val="ODCBodyText"/>
              <w:keepNext/>
              <w:keepLines/>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Treatment/Control Randomization and </w:t>
            </w:r>
            <w:r w:rsidRPr="00DD3844">
              <w:rPr>
                <w:color w:val="auto"/>
              </w:rPr>
              <w:t>Equivalency Analysis</w:t>
            </w:r>
          </w:p>
        </w:tc>
        <w:tc>
          <w:tcPr>
            <w:tcW w:w="0" w:type="auto"/>
            <w:vAlign w:val="center"/>
          </w:tcPr>
          <w:p w14:paraId="3BB7204B" w14:textId="4BE3B5B6"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7B5EBF2D" w14:textId="5D0BB280"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7CD90AB2" w14:textId="77D6CC94"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Merge/>
            <w:vAlign w:val="center"/>
          </w:tcPr>
          <w:p w14:paraId="2D7C377D" w14:textId="6497989E"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p>
        </w:tc>
      </w:tr>
      <w:tr w:rsidR="00707B4B" w14:paraId="6E7327C3" w14:textId="77777777" w:rsidTr="00F629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tcPr>
          <w:p w14:paraId="5B4CE106" w14:textId="77777777" w:rsidR="00707B4B" w:rsidRPr="00DD3844" w:rsidRDefault="00707B4B" w:rsidP="00707B4B">
            <w:pPr>
              <w:pStyle w:val="ODCBodyText"/>
              <w:keepNext/>
              <w:keepLines/>
              <w:jc w:val="left"/>
              <w:rPr>
                <w:color w:val="auto"/>
              </w:rPr>
            </w:pPr>
          </w:p>
        </w:tc>
        <w:tc>
          <w:tcPr>
            <w:tcW w:w="3354" w:type="dxa"/>
          </w:tcPr>
          <w:p w14:paraId="1A7C312A" w14:textId="4984ED82" w:rsidR="00707B4B" w:rsidRPr="00DD3844" w:rsidRDefault="00707B4B" w:rsidP="00707B4B">
            <w:pPr>
              <w:pStyle w:val="ODCBodyText"/>
              <w:keepNext/>
              <w:keepLines/>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Consumption Analysis</w:t>
            </w:r>
          </w:p>
        </w:tc>
        <w:tc>
          <w:tcPr>
            <w:tcW w:w="0" w:type="auto"/>
            <w:vAlign w:val="center"/>
          </w:tcPr>
          <w:p w14:paraId="2976E091" w14:textId="2C1099EF" w:rsidR="00707B4B" w:rsidRPr="00DD3844" w:rsidRDefault="00707B4B" w:rsidP="00707B4B">
            <w:pPr>
              <w:pStyle w:val="ODCBodyText"/>
              <w:keepNext/>
              <w:keepLines/>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5091D904" w14:textId="37B8EBEE" w:rsidR="00707B4B" w:rsidRPr="00DD3844" w:rsidRDefault="00707B4B" w:rsidP="00707B4B">
            <w:pPr>
              <w:pStyle w:val="ODCBodyText"/>
              <w:keepNext/>
              <w:keepLines/>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063F4D17" w14:textId="06733418" w:rsidR="00707B4B" w:rsidRPr="00DD3844" w:rsidRDefault="00707B4B" w:rsidP="00707B4B">
            <w:pPr>
              <w:pStyle w:val="ODCBodyText"/>
              <w:keepNext/>
              <w:keepLines/>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Merge/>
            <w:vAlign w:val="center"/>
          </w:tcPr>
          <w:p w14:paraId="457D2EA4" w14:textId="26C6C78E" w:rsidR="00707B4B" w:rsidRPr="00DD3844" w:rsidRDefault="00707B4B" w:rsidP="00707B4B">
            <w:pPr>
              <w:pStyle w:val="ODCBodyText"/>
              <w:keepNext/>
              <w:keepLines/>
              <w:jc w:val="center"/>
              <w:cnfStyle w:val="000000010000" w:firstRow="0" w:lastRow="0" w:firstColumn="0" w:lastColumn="0" w:oddVBand="0" w:evenVBand="0" w:oddHBand="0" w:evenHBand="1" w:firstRowFirstColumn="0" w:firstRowLastColumn="0" w:lastRowFirstColumn="0" w:lastRowLastColumn="0"/>
              <w:rPr>
                <w:color w:val="auto"/>
              </w:rPr>
            </w:pPr>
          </w:p>
        </w:tc>
      </w:tr>
      <w:tr w:rsidR="00707B4B" w14:paraId="0F22F6A8" w14:textId="77777777" w:rsidTr="00F62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tcPr>
          <w:p w14:paraId="4A0051C0" w14:textId="77777777" w:rsidR="00707B4B" w:rsidRPr="00DD3844" w:rsidRDefault="00707B4B" w:rsidP="00707B4B">
            <w:pPr>
              <w:pStyle w:val="ODCBodyText"/>
              <w:keepNext/>
              <w:keepLines/>
              <w:jc w:val="left"/>
              <w:rPr>
                <w:color w:val="auto"/>
              </w:rPr>
            </w:pPr>
          </w:p>
        </w:tc>
        <w:tc>
          <w:tcPr>
            <w:tcW w:w="3354" w:type="dxa"/>
          </w:tcPr>
          <w:p w14:paraId="52C94A0B" w14:textId="008868C5" w:rsidR="00707B4B" w:rsidRPr="00DD3844" w:rsidRDefault="00707B4B" w:rsidP="00707B4B">
            <w:pPr>
              <w:pStyle w:val="ODCBodyText"/>
              <w:keepNext/>
              <w:keepLines/>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Joint Savings </w:t>
            </w:r>
            <w:r w:rsidRPr="00DD3844">
              <w:rPr>
                <w:color w:val="auto"/>
              </w:rPr>
              <w:t>Analysis</w:t>
            </w:r>
            <w:r>
              <w:rPr>
                <w:color w:val="auto"/>
              </w:rPr>
              <w:t xml:space="preserve"> and Savings Adjustments</w:t>
            </w:r>
          </w:p>
        </w:tc>
        <w:tc>
          <w:tcPr>
            <w:tcW w:w="0" w:type="auto"/>
            <w:vAlign w:val="center"/>
          </w:tcPr>
          <w:p w14:paraId="0F2A588C" w14:textId="3491BF80"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6693B073" w14:textId="499E170B"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4AE51174" w14:textId="0CA2269B"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Merge/>
            <w:vAlign w:val="center"/>
          </w:tcPr>
          <w:p w14:paraId="50DB7BA3" w14:textId="32E26A7A" w:rsidR="00707B4B" w:rsidRPr="00DD3844" w:rsidRDefault="00707B4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p>
        </w:tc>
      </w:tr>
      <w:tr w:rsidR="003465CC" w14:paraId="1D634D3F" w14:textId="77777777" w:rsidTr="00F629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0" w:type="dxa"/>
            <w:gridSpan w:val="6"/>
            <w:shd w:val="clear" w:color="auto" w:fill="98D6F6" w:themeFill="background1" w:themeFillTint="66"/>
          </w:tcPr>
          <w:p w14:paraId="5C5E0143" w14:textId="77777777" w:rsidR="003465CC" w:rsidRPr="00DD3844" w:rsidRDefault="003465CC" w:rsidP="00707B4B">
            <w:pPr>
              <w:pStyle w:val="ODCBodyText"/>
              <w:keepNext/>
              <w:keepLines/>
              <w:jc w:val="center"/>
              <w:rPr>
                <w:color w:val="auto"/>
              </w:rPr>
            </w:pPr>
          </w:p>
        </w:tc>
      </w:tr>
      <w:tr w:rsidR="0007491B" w14:paraId="7ECF5F8A" w14:textId="77777777" w:rsidTr="0006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val="restart"/>
            <w:vAlign w:val="center"/>
          </w:tcPr>
          <w:p w14:paraId="02D9D97F" w14:textId="7B72D79E" w:rsidR="0007491B" w:rsidRPr="00DD3844" w:rsidRDefault="0007491B" w:rsidP="00707B4B">
            <w:pPr>
              <w:pStyle w:val="ODCBodyText"/>
              <w:keepNext/>
              <w:keepLines/>
              <w:jc w:val="left"/>
            </w:pPr>
            <w:r w:rsidRPr="00DD3844">
              <w:rPr>
                <w:color w:val="auto"/>
              </w:rPr>
              <w:t>Phased</w:t>
            </w:r>
          </w:p>
        </w:tc>
        <w:tc>
          <w:tcPr>
            <w:tcW w:w="3354" w:type="dxa"/>
          </w:tcPr>
          <w:p w14:paraId="7A798572" w14:textId="1F03B96F" w:rsidR="0007491B" w:rsidRPr="0007491B" w:rsidRDefault="0007491B" w:rsidP="00707B4B">
            <w:pPr>
              <w:pStyle w:val="ODCBodyText"/>
              <w:keepNext/>
              <w:keepLines/>
              <w:jc w:val="left"/>
              <w:cnfStyle w:val="000000100000" w:firstRow="0" w:lastRow="0" w:firstColumn="0" w:lastColumn="0" w:oddVBand="0" w:evenVBand="0" w:oddHBand="1" w:evenHBand="0" w:firstRowFirstColumn="0" w:firstRowLastColumn="0" w:lastRowFirstColumn="0" w:lastRowLastColumn="0"/>
              <w:rPr>
                <w:color w:val="auto"/>
              </w:rPr>
            </w:pPr>
            <w:r w:rsidRPr="0007491B">
              <w:rPr>
                <w:color w:val="auto"/>
              </w:rPr>
              <w:t>Evaluability Assessment</w:t>
            </w:r>
          </w:p>
        </w:tc>
        <w:tc>
          <w:tcPr>
            <w:tcW w:w="0" w:type="auto"/>
            <w:vAlign w:val="center"/>
          </w:tcPr>
          <w:p w14:paraId="23015BFB" w14:textId="0DE4789B" w:rsidR="0007491B" w:rsidRPr="0007491B" w:rsidRDefault="0007491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r w:rsidRPr="0007491B">
              <w:rPr>
                <w:color w:val="auto"/>
              </w:rPr>
              <w:sym w:font="Wingdings" w:char="F0FC"/>
            </w:r>
          </w:p>
        </w:tc>
        <w:tc>
          <w:tcPr>
            <w:tcW w:w="0" w:type="auto"/>
            <w:vAlign w:val="center"/>
          </w:tcPr>
          <w:p w14:paraId="06327671" w14:textId="77777777" w:rsidR="0007491B" w:rsidRPr="0007491B" w:rsidRDefault="0007491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58F680C0" w14:textId="77777777" w:rsidR="0007491B" w:rsidRPr="0007491B" w:rsidRDefault="0007491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03B62C55" w14:textId="77777777" w:rsidR="0007491B" w:rsidRPr="0007491B" w:rsidRDefault="0007491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p>
        </w:tc>
      </w:tr>
      <w:tr w:rsidR="0007491B" w14:paraId="337D11A0" w14:textId="77777777" w:rsidTr="00E656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vAlign w:val="center"/>
          </w:tcPr>
          <w:p w14:paraId="21770C65" w14:textId="51A9D590" w:rsidR="0007491B" w:rsidRPr="00DD3844" w:rsidRDefault="0007491B" w:rsidP="00707B4B">
            <w:pPr>
              <w:pStyle w:val="ODCBodyText"/>
              <w:keepNext/>
              <w:keepLines/>
              <w:jc w:val="left"/>
            </w:pPr>
          </w:p>
        </w:tc>
        <w:tc>
          <w:tcPr>
            <w:tcW w:w="3354" w:type="dxa"/>
          </w:tcPr>
          <w:p w14:paraId="6F23341D" w14:textId="38ED8FB0" w:rsidR="0007491B" w:rsidRPr="0007491B" w:rsidRDefault="0007491B" w:rsidP="00707B4B">
            <w:pPr>
              <w:pStyle w:val="ODCBodyText"/>
              <w:keepNext/>
              <w:keepLines/>
              <w:jc w:val="left"/>
              <w:cnfStyle w:val="000000010000" w:firstRow="0" w:lastRow="0" w:firstColumn="0" w:lastColumn="0" w:oddVBand="0" w:evenVBand="0" w:oddHBand="0" w:evenHBand="1" w:firstRowFirstColumn="0" w:firstRowLastColumn="0" w:lastRowFirstColumn="0" w:lastRowLastColumn="0"/>
              <w:rPr>
                <w:color w:val="auto"/>
              </w:rPr>
            </w:pPr>
            <w:r w:rsidRPr="0007491B">
              <w:rPr>
                <w:color w:val="auto"/>
              </w:rPr>
              <w:t>Persistence Study</w:t>
            </w:r>
          </w:p>
        </w:tc>
        <w:tc>
          <w:tcPr>
            <w:tcW w:w="0" w:type="auto"/>
            <w:gridSpan w:val="4"/>
            <w:vAlign w:val="center"/>
          </w:tcPr>
          <w:p w14:paraId="05DABC79" w14:textId="6B36235D" w:rsidR="0007491B" w:rsidRPr="0007491B" w:rsidRDefault="0007491B" w:rsidP="00707B4B">
            <w:pPr>
              <w:pStyle w:val="ODCBodyText"/>
              <w:keepNext/>
              <w:keepLines/>
              <w:jc w:val="center"/>
              <w:cnfStyle w:val="000000010000" w:firstRow="0" w:lastRow="0" w:firstColumn="0" w:lastColumn="0" w:oddVBand="0" w:evenVBand="0" w:oddHBand="0" w:evenHBand="1" w:firstRowFirstColumn="0" w:firstRowLastColumn="0" w:lastRowFirstColumn="0" w:lastRowLastColumn="0"/>
              <w:rPr>
                <w:color w:val="auto"/>
              </w:rPr>
            </w:pPr>
            <w:r>
              <w:rPr>
                <w:color w:val="auto"/>
              </w:rPr>
              <w:t>Ongoing Throughout</w:t>
            </w:r>
          </w:p>
        </w:tc>
      </w:tr>
      <w:tr w:rsidR="0007491B" w14:paraId="42D8E77F" w14:textId="77777777" w:rsidTr="0006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vAlign w:val="center"/>
          </w:tcPr>
          <w:p w14:paraId="0D820EFF" w14:textId="79E4C9B0" w:rsidR="0007491B" w:rsidRPr="00DD3844" w:rsidRDefault="0007491B" w:rsidP="00707B4B">
            <w:pPr>
              <w:pStyle w:val="ODCBodyText"/>
              <w:keepNext/>
              <w:keepLines/>
              <w:jc w:val="left"/>
            </w:pPr>
          </w:p>
        </w:tc>
        <w:tc>
          <w:tcPr>
            <w:tcW w:w="3354" w:type="dxa"/>
          </w:tcPr>
          <w:p w14:paraId="5185FC4A" w14:textId="392E27A2" w:rsidR="0007491B" w:rsidRPr="0007491B" w:rsidRDefault="0007491B" w:rsidP="00707B4B">
            <w:pPr>
              <w:pStyle w:val="ODCBodyText"/>
              <w:keepNext/>
              <w:keepLines/>
              <w:jc w:val="left"/>
              <w:cnfStyle w:val="000000100000" w:firstRow="0" w:lastRow="0" w:firstColumn="0" w:lastColumn="0" w:oddVBand="0" w:evenVBand="0" w:oddHBand="1" w:evenHBand="0" w:firstRowFirstColumn="0" w:firstRowLastColumn="0" w:lastRowFirstColumn="0" w:lastRowLastColumn="0"/>
              <w:rPr>
                <w:color w:val="auto"/>
              </w:rPr>
            </w:pPr>
            <w:r w:rsidRPr="0007491B">
              <w:rPr>
                <w:color w:val="auto"/>
              </w:rPr>
              <w:t>Internet Survey</w:t>
            </w:r>
          </w:p>
        </w:tc>
        <w:tc>
          <w:tcPr>
            <w:tcW w:w="0" w:type="auto"/>
            <w:vAlign w:val="center"/>
          </w:tcPr>
          <w:p w14:paraId="1C2C90CE" w14:textId="05A1AA9D" w:rsidR="0007491B" w:rsidRPr="0007491B" w:rsidRDefault="0007491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r w:rsidRPr="0007491B">
              <w:rPr>
                <w:color w:val="auto"/>
              </w:rPr>
              <w:sym w:font="Wingdings" w:char="F0FC"/>
            </w:r>
          </w:p>
        </w:tc>
        <w:tc>
          <w:tcPr>
            <w:tcW w:w="0" w:type="auto"/>
            <w:vAlign w:val="center"/>
          </w:tcPr>
          <w:p w14:paraId="74BBF437" w14:textId="77777777" w:rsidR="0007491B" w:rsidRPr="0007491B" w:rsidRDefault="0007491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6994E9D3" w14:textId="77777777" w:rsidR="0007491B" w:rsidRPr="0007491B" w:rsidRDefault="0007491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10DB29A2" w14:textId="77777777" w:rsidR="0007491B" w:rsidRPr="0007491B" w:rsidRDefault="0007491B" w:rsidP="00707B4B">
            <w:pPr>
              <w:pStyle w:val="ODCBodyText"/>
              <w:keepNext/>
              <w:keepLines/>
              <w:jc w:val="center"/>
              <w:cnfStyle w:val="000000100000" w:firstRow="0" w:lastRow="0" w:firstColumn="0" w:lastColumn="0" w:oddVBand="0" w:evenVBand="0" w:oddHBand="1" w:evenHBand="0" w:firstRowFirstColumn="0" w:firstRowLastColumn="0" w:lastRowFirstColumn="0" w:lastRowLastColumn="0"/>
              <w:rPr>
                <w:color w:val="auto"/>
              </w:rPr>
            </w:pPr>
          </w:p>
        </w:tc>
      </w:tr>
      <w:tr w:rsidR="0007491B" w14:paraId="641487D9" w14:textId="77777777" w:rsidTr="00E656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tcPr>
          <w:p w14:paraId="6BB7F0B9" w14:textId="728575F5" w:rsidR="0007491B" w:rsidRPr="00DD3844" w:rsidRDefault="0007491B" w:rsidP="0007491B">
            <w:pPr>
              <w:pStyle w:val="ODCBodyText"/>
              <w:jc w:val="left"/>
              <w:rPr>
                <w:color w:val="auto"/>
              </w:rPr>
            </w:pPr>
          </w:p>
        </w:tc>
        <w:tc>
          <w:tcPr>
            <w:tcW w:w="3354" w:type="dxa"/>
          </w:tcPr>
          <w:p w14:paraId="4B5D47B9" w14:textId="36E988C8" w:rsidR="0007491B" w:rsidRPr="0007491B" w:rsidRDefault="0007491B" w:rsidP="0007491B">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07491B">
              <w:rPr>
                <w:color w:val="auto"/>
              </w:rPr>
              <w:t>Statewide Methods Coordination</w:t>
            </w:r>
          </w:p>
        </w:tc>
        <w:tc>
          <w:tcPr>
            <w:tcW w:w="0" w:type="auto"/>
            <w:gridSpan w:val="4"/>
            <w:vAlign w:val="center"/>
          </w:tcPr>
          <w:p w14:paraId="1C221F39" w14:textId="4D37FEA2" w:rsidR="0007491B" w:rsidRPr="0007491B" w:rsidRDefault="0007491B" w:rsidP="0007491B">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07491B">
              <w:rPr>
                <w:color w:val="auto"/>
              </w:rPr>
              <w:t>As Needed</w:t>
            </w:r>
          </w:p>
        </w:tc>
      </w:tr>
    </w:tbl>
    <w:p w14:paraId="330C250D" w14:textId="7E7DD3E6" w:rsidR="00BE2609" w:rsidRDefault="00BE2609" w:rsidP="00BE2609">
      <w:pPr>
        <w:pStyle w:val="BodyText"/>
      </w:pPr>
      <w:r>
        <w:t>As noted above, in addition to answering core impact related research questions, the evaluation team will conduct a persistence study to understand</w:t>
      </w:r>
      <w:r w:rsidR="00DD3844">
        <w:t xml:space="preserve"> </w:t>
      </w:r>
      <w:r>
        <w:t>whether and how savings degrade in the absence of a program intervention, as well as to provide more accurate lifetime sav</w:t>
      </w:r>
      <w:r w:rsidR="00B87BE6">
        <w:t>ings estimates. W</w:t>
      </w:r>
      <w:r>
        <w:t>e will answer the following research questions through our persistence study efforts:</w:t>
      </w:r>
    </w:p>
    <w:p w14:paraId="73F63E29" w14:textId="77777777" w:rsidR="00BE2609" w:rsidRDefault="00BE2609" w:rsidP="00AE7B70">
      <w:pPr>
        <w:pStyle w:val="Bullet1"/>
        <w:numPr>
          <w:ilvl w:val="0"/>
          <w:numId w:val="12"/>
        </w:numPr>
      </w:pPr>
      <w:r>
        <w:t xml:space="preserve">What is the difference in program savings between customers experiencing a </w:t>
      </w:r>
      <w:r>
        <w:rPr>
          <w:i/>
        </w:rPr>
        <w:t xml:space="preserve">stoppage </w:t>
      </w:r>
      <w:r>
        <w:t>in treatment compared to those who continue to receive regular treatment?</w:t>
      </w:r>
    </w:p>
    <w:p w14:paraId="48BB8DF3" w14:textId="19D0F866" w:rsidR="00BE2609" w:rsidRDefault="00BE2609" w:rsidP="00AE7B70">
      <w:pPr>
        <w:pStyle w:val="Bullet1"/>
        <w:numPr>
          <w:ilvl w:val="0"/>
          <w:numId w:val="12"/>
        </w:numPr>
      </w:pPr>
      <w:r>
        <w:t xml:space="preserve">What is the difference in program savings for </w:t>
      </w:r>
      <w:r>
        <w:rPr>
          <w:i/>
        </w:rPr>
        <w:t>dual</w:t>
      </w:r>
      <w:r w:rsidR="00DD3844">
        <w:rPr>
          <w:i/>
        </w:rPr>
        <w:t>-</w:t>
      </w:r>
      <w:r>
        <w:rPr>
          <w:i/>
        </w:rPr>
        <w:t>fuel or gas</w:t>
      </w:r>
      <w:r w:rsidR="00DD3844">
        <w:rPr>
          <w:i/>
        </w:rPr>
        <w:t>-</w:t>
      </w:r>
      <w:r>
        <w:rPr>
          <w:i/>
        </w:rPr>
        <w:t>only</w:t>
      </w:r>
      <w:r>
        <w:t xml:space="preserve"> customers receiving a reduction or stoppage in treatment compared to those who continue to receive regular treatment?  </w:t>
      </w:r>
    </w:p>
    <w:p w14:paraId="5E418236" w14:textId="5089A47A" w:rsidR="00BE2609" w:rsidRDefault="00BE2609" w:rsidP="00AE7B70">
      <w:pPr>
        <w:pStyle w:val="Bullet1"/>
        <w:numPr>
          <w:ilvl w:val="0"/>
          <w:numId w:val="12"/>
        </w:numPr>
      </w:pPr>
      <w:r>
        <w:t xml:space="preserve">What is the difference in program savings between </w:t>
      </w:r>
      <w:r>
        <w:rPr>
          <w:i/>
        </w:rPr>
        <w:t>customers who have received the report for longer (e.g.</w:t>
      </w:r>
      <w:r w:rsidR="00DD3844">
        <w:rPr>
          <w:i/>
        </w:rPr>
        <w:t>,</w:t>
      </w:r>
      <w:r>
        <w:rPr>
          <w:i/>
        </w:rPr>
        <w:t xml:space="preserve"> duration) </w:t>
      </w:r>
      <w:r>
        <w:t>than customers who have received the report for a shorter duration (i.e., are there differences across cohorts)?</w:t>
      </w:r>
    </w:p>
    <w:p w14:paraId="3DA8412D" w14:textId="46CDFEEC" w:rsidR="00BE2609" w:rsidRDefault="00A11460" w:rsidP="005E0BC0">
      <w:pPr>
        <w:pStyle w:val="BodyText"/>
      </w:pPr>
      <w:r>
        <w:rPr>
          <w:rFonts w:cs="Calibri"/>
          <w:color w:val="000000"/>
          <w:szCs w:val="22"/>
        </w:rPr>
        <w:t xml:space="preserve">In general, the evaluation team will conduct consumption analyses to determine energy savings since the treatment was stopped, as well as any decay in savings. The consumption analysis will be conducted at the program and cohort level in order to understand the total impacts of the cessation of program treatment. </w:t>
      </w:r>
      <w:r w:rsidR="007A38AC">
        <w:t xml:space="preserve">Findings from the persistence study will be used to inform updates to the IL-TRM. </w:t>
      </w:r>
      <w:r w:rsidR="00AE7B70">
        <w:t>In coordination with the AIC implementation contractor, two cohorts last treated in the Transition Period have been preserved and will be used to conduct regular persistence research throughout the 2018-2021 cycle. We also expect that AIC will stop treatment of the 2018 cohort at the close of the 2018 calendar year, and we will also examine this cohort for persistence.</w:t>
      </w:r>
    </w:p>
    <w:p w14:paraId="67B97B53" w14:textId="2603CF0A" w:rsidR="00707B4B" w:rsidRPr="00553587" w:rsidRDefault="00707B4B" w:rsidP="00707B4B">
      <w:pPr>
        <w:pStyle w:val="ODCBodyText"/>
      </w:pPr>
      <w:r>
        <w:t>As part of the 2020 evaluation planning process, we have learned that AIC does not intend to offer the Residential Behavioral Modification Initiative in 2020, and do not expect to conduct our evaluation activities in this year. We do plan to continue our persistence study to take advantage of the natural experiment presented above.</w:t>
      </w:r>
    </w:p>
    <w:p w14:paraId="31058A39" w14:textId="6E94A041" w:rsidR="000243AD" w:rsidRDefault="000243AD" w:rsidP="000243AD">
      <w:pPr>
        <w:pStyle w:val="Heading2"/>
      </w:pPr>
      <w:bookmarkStart w:id="40" w:name="_Toc27335112"/>
      <w:r>
        <w:t>HVAC</w:t>
      </w:r>
      <w:r w:rsidR="009E77D8">
        <w:t xml:space="preserve"> Initiative</w:t>
      </w:r>
      <w:bookmarkEnd w:id="40"/>
    </w:p>
    <w:p w14:paraId="42B7C397" w14:textId="5E44DCC6" w:rsidR="00F90A26" w:rsidRDefault="00F90A26" w:rsidP="00F90A26">
      <w:pPr>
        <w:pStyle w:val="BodyText"/>
        <w:rPr>
          <w:szCs w:val="22"/>
        </w:rPr>
      </w:pPr>
      <w:r>
        <w:rPr>
          <w:szCs w:val="22"/>
        </w:rPr>
        <w:t xml:space="preserve">Through the HVAC </w:t>
      </w:r>
      <w:r w:rsidR="00DD3844">
        <w:rPr>
          <w:szCs w:val="22"/>
        </w:rPr>
        <w:t>I</w:t>
      </w:r>
      <w:r>
        <w:rPr>
          <w:szCs w:val="22"/>
        </w:rPr>
        <w:t xml:space="preserve">nitiative, AIC offers incentives for the purchase of high-efficiency heating and cooling equipment, heat pump water heaters and </w:t>
      </w:r>
      <w:r w:rsidR="00AE7B70">
        <w:rPr>
          <w:szCs w:val="22"/>
        </w:rPr>
        <w:t>advanced</w:t>
      </w:r>
      <w:r>
        <w:rPr>
          <w:szCs w:val="22"/>
        </w:rPr>
        <w:t xml:space="preserve"> thermostats to both single</w:t>
      </w:r>
      <w:r w:rsidR="00DD3844">
        <w:rPr>
          <w:szCs w:val="22"/>
        </w:rPr>
        <w:t>-</w:t>
      </w:r>
      <w:r>
        <w:rPr>
          <w:szCs w:val="22"/>
        </w:rPr>
        <w:t xml:space="preserve"> and multifamily homes. AIC </w:t>
      </w:r>
      <w:r>
        <w:rPr>
          <w:szCs w:val="22"/>
        </w:rPr>
        <w:lastRenderedPageBreak/>
        <w:t xml:space="preserve">implementation staff will work directly with manufacturers, </w:t>
      </w:r>
      <w:r w:rsidR="008214AF">
        <w:rPr>
          <w:szCs w:val="22"/>
        </w:rPr>
        <w:t>wholesalers</w:t>
      </w:r>
      <w:r>
        <w:rPr>
          <w:szCs w:val="22"/>
        </w:rPr>
        <w:t xml:space="preserve"> and trade allies/installers to educate them about the incentives available, as well as to train them on promoting the program to AIC customers. Consistent with past HVAC offerings, it is likely that the </w:t>
      </w:r>
      <w:r w:rsidR="00C93489">
        <w:rPr>
          <w:szCs w:val="22"/>
        </w:rPr>
        <w:t>I</w:t>
      </w:r>
      <w:r>
        <w:rPr>
          <w:szCs w:val="22"/>
        </w:rPr>
        <w:t>nitiative will require registered program allies to install some equipment incentivized by AIC</w:t>
      </w:r>
      <w:r w:rsidR="00FE0DAC">
        <w:rPr>
          <w:szCs w:val="22"/>
        </w:rPr>
        <w:t xml:space="preserve">. The overall goal of this </w:t>
      </w:r>
      <w:r w:rsidR="00DD3844">
        <w:rPr>
          <w:szCs w:val="22"/>
        </w:rPr>
        <w:t>I</w:t>
      </w:r>
      <w:r w:rsidR="00FE0DAC">
        <w:rPr>
          <w:szCs w:val="22"/>
        </w:rPr>
        <w:t xml:space="preserve">nitiative is to </w:t>
      </w:r>
      <w:r>
        <w:rPr>
          <w:szCs w:val="22"/>
        </w:rPr>
        <w:t>persuade customers to purchase higher-efficiency equipment than they might otherwise purchase.</w:t>
      </w:r>
    </w:p>
    <w:p w14:paraId="77A443FF" w14:textId="2E190788" w:rsidR="00563006" w:rsidRDefault="00FE0DAC" w:rsidP="00F90A26">
      <w:pPr>
        <w:pStyle w:val="BodyText"/>
        <w:rPr>
          <w:szCs w:val="22"/>
        </w:rPr>
      </w:pPr>
      <w:r>
        <w:rPr>
          <w:szCs w:val="22"/>
        </w:rPr>
        <w:t xml:space="preserve">Measures offered through this </w:t>
      </w:r>
      <w:r w:rsidR="00DD3844">
        <w:rPr>
          <w:szCs w:val="22"/>
        </w:rPr>
        <w:t>I</w:t>
      </w:r>
      <w:r>
        <w:rPr>
          <w:szCs w:val="22"/>
        </w:rPr>
        <w:t xml:space="preserve">nitiative include: programmable and </w:t>
      </w:r>
      <w:r w:rsidR="00AE7B70">
        <w:rPr>
          <w:szCs w:val="22"/>
        </w:rPr>
        <w:t>advanced</w:t>
      </w:r>
      <w:r>
        <w:rPr>
          <w:szCs w:val="22"/>
        </w:rPr>
        <w:t xml:space="preserve"> thermostats, air source heat pumps, central air conditioners, ECM motor blower retrofits in existing furnaces, new furnaces with an ECM blower motor</w:t>
      </w:r>
      <w:r w:rsidR="00DD3844">
        <w:rPr>
          <w:szCs w:val="22"/>
        </w:rPr>
        <w:t>,</w:t>
      </w:r>
      <w:r>
        <w:rPr>
          <w:szCs w:val="22"/>
        </w:rPr>
        <w:t xml:space="preserve"> and heat pump water heaters. </w:t>
      </w:r>
    </w:p>
    <w:p w14:paraId="727DDFD5" w14:textId="16389F0D" w:rsidR="00D22FF9" w:rsidRPr="00D327C0" w:rsidRDefault="00D22FF9" w:rsidP="00FA04B9">
      <w:pPr>
        <w:pStyle w:val="Caption"/>
      </w:pPr>
      <w:bookmarkStart w:id="41" w:name="_Ref502224444"/>
      <w:bookmarkStart w:id="42" w:name="_Toc27335135"/>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8</w:t>
      </w:r>
      <w:r w:rsidR="00E656B8">
        <w:rPr>
          <w:noProof/>
        </w:rPr>
        <w:fldChar w:fldCharType="end"/>
      </w:r>
      <w:bookmarkEnd w:id="41"/>
      <w:r>
        <w:t>. HVAC Initiative Evaluation Activities – Four Year Plan</w:t>
      </w:r>
      <w:bookmarkEnd w:id="42"/>
    </w:p>
    <w:tbl>
      <w:tblPr>
        <w:tblStyle w:val="ODCBasic-1"/>
        <w:tblW w:w="0" w:type="auto"/>
        <w:tblLook w:val="04A0" w:firstRow="1" w:lastRow="0" w:firstColumn="1" w:lastColumn="0" w:noHBand="0" w:noVBand="1"/>
      </w:tblPr>
      <w:tblGrid>
        <w:gridCol w:w="775"/>
        <w:gridCol w:w="3744"/>
        <w:gridCol w:w="614"/>
        <w:gridCol w:w="614"/>
        <w:gridCol w:w="614"/>
        <w:gridCol w:w="614"/>
      </w:tblGrid>
      <w:tr w:rsidR="003465CC" w14:paraId="59125BDD" w14:textId="77777777" w:rsidTr="00DD38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DFE11B" w14:textId="6D35E701" w:rsidR="003465CC" w:rsidRDefault="003465CC" w:rsidP="00B82003">
            <w:pPr>
              <w:pStyle w:val="ODCBodyText"/>
            </w:pPr>
            <w:r>
              <w:t>Timing</w:t>
            </w:r>
          </w:p>
        </w:tc>
        <w:tc>
          <w:tcPr>
            <w:tcW w:w="0" w:type="auto"/>
            <w:vAlign w:val="center"/>
          </w:tcPr>
          <w:p w14:paraId="6200DF38" w14:textId="19EA4EDB" w:rsidR="003465CC" w:rsidRDefault="003465CC" w:rsidP="00E42B3C">
            <w:pPr>
              <w:pStyle w:val="ODCBodyText"/>
              <w:jc w:val="center"/>
              <w:cnfStyle w:val="100000000000" w:firstRow="1" w:lastRow="0" w:firstColumn="0" w:lastColumn="0" w:oddVBand="0" w:evenVBand="0" w:oddHBand="0" w:evenHBand="0" w:firstRowFirstColumn="0" w:firstRowLastColumn="0" w:lastRowFirstColumn="0" w:lastRowLastColumn="0"/>
            </w:pPr>
            <w:r>
              <w:t>Activity</w:t>
            </w:r>
          </w:p>
        </w:tc>
        <w:tc>
          <w:tcPr>
            <w:tcW w:w="0" w:type="auto"/>
            <w:vAlign w:val="center"/>
          </w:tcPr>
          <w:p w14:paraId="56805676" w14:textId="77777777" w:rsidR="003465CC" w:rsidRDefault="003465CC" w:rsidP="00B82003">
            <w:pPr>
              <w:pStyle w:val="ODCBodyText"/>
              <w:jc w:val="center"/>
              <w:cnfStyle w:val="100000000000" w:firstRow="1" w:lastRow="0" w:firstColumn="0" w:lastColumn="0" w:oddVBand="0" w:evenVBand="0" w:oddHBand="0" w:evenHBand="0" w:firstRowFirstColumn="0" w:firstRowLastColumn="0" w:lastRowFirstColumn="0" w:lastRowLastColumn="0"/>
            </w:pPr>
            <w:r>
              <w:t>2018</w:t>
            </w:r>
          </w:p>
        </w:tc>
        <w:tc>
          <w:tcPr>
            <w:tcW w:w="0" w:type="auto"/>
            <w:vAlign w:val="center"/>
          </w:tcPr>
          <w:p w14:paraId="1481D505" w14:textId="77777777" w:rsidR="003465CC" w:rsidRDefault="003465CC" w:rsidP="00B82003">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0" w:type="auto"/>
            <w:vAlign w:val="center"/>
          </w:tcPr>
          <w:p w14:paraId="53D5E6B9" w14:textId="77777777" w:rsidR="003465CC" w:rsidRDefault="003465CC" w:rsidP="00B82003">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0" w:type="auto"/>
            <w:vAlign w:val="center"/>
          </w:tcPr>
          <w:p w14:paraId="5001331A" w14:textId="77777777" w:rsidR="003465CC" w:rsidRDefault="003465CC" w:rsidP="00B82003">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8214AF" w14:paraId="5EFC6202"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76BE2561" w14:textId="48E79FBE" w:rsidR="008214AF" w:rsidRPr="00DD3844" w:rsidRDefault="008214AF" w:rsidP="008214AF">
            <w:pPr>
              <w:pStyle w:val="ODCBodyText"/>
              <w:jc w:val="left"/>
              <w:rPr>
                <w:color w:val="auto"/>
              </w:rPr>
            </w:pPr>
            <w:r w:rsidRPr="00DD3844">
              <w:rPr>
                <w:color w:val="auto"/>
              </w:rPr>
              <w:t>Annual</w:t>
            </w:r>
          </w:p>
        </w:tc>
        <w:tc>
          <w:tcPr>
            <w:tcW w:w="0" w:type="auto"/>
            <w:vAlign w:val="center"/>
          </w:tcPr>
          <w:p w14:paraId="305B0AF2" w14:textId="5BD60B76" w:rsidR="008214AF" w:rsidRPr="00DD3844" w:rsidRDefault="005678BE"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Initiative Material &amp; Database Review</w:t>
            </w:r>
          </w:p>
        </w:tc>
        <w:tc>
          <w:tcPr>
            <w:tcW w:w="0" w:type="auto"/>
            <w:vAlign w:val="center"/>
          </w:tcPr>
          <w:p w14:paraId="2FBFC1B4" w14:textId="51F71404"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6A76DD6C" w14:textId="408BB1DA"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6D195990" w14:textId="42B127E1"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008DE7A5" w14:textId="740D0147"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2E6665EC"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F3F132F" w14:textId="77777777" w:rsidR="008214AF" w:rsidRPr="00DD3844" w:rsidRDefault="008214AF" w:rsidP="008214AF">
            <w:pPr>
              <w:pStyle w:val="ODCBodyText"/>
              <w:jc w:val="left"/>
              <w:rPr>
                <w:color w:val="auto"/>
              </w:rPr>
            </w:pPr>
          </w:p>
        </w:tc>
        <w:tc>
          <w:tcPr>
            <w:tcW w:w="0" w:type="auto"/>
            <w:vAlign w:val="center"/>
          </w:tcPr>
          <w:p w14:paraId="1348C1FE" w14:textId="25C652A6" w:rsidR="008214AF" w:rsidRPr="00DD3844" w:rsidRDefault="005678BE"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Initiative Staff Interview</w:t>
            </w:r>
            <w:r w:rsidR="008214AF" w:rsidRPr="00DD3844">
              <w:rPr>
                <w:color w:val="auto"/>
              </w:rPr>
              <w:t>s</w:t>
            </w:r>
          </w:p>
        </w:tc>
        <w:tc>
          <w:tcPr>
            <w:tcW w:w="0" w:type="auto"/>
            <w:vAlign w:val="center"/>
          </w:tcPr>
          <w:p w14:paraId="6946F55A" w14:textId="20311A03"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623F73DB" w14:textId="18D06A8B"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374C838F" w14:textId="2567C093"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0D5FC71D" w14:textId="6C330547"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8214AF" w14:paraId="7B1441EB"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87BAF5C" w14:textId="77777777" w:rsidR="008214AF" w:rsidRPr="00DD3844" w:rsidRDefault="008214AF" w:rsidP="008214AF">
            <w:pPr>
              <w:pStyle w:val="ODCBodyText"/>
              <w:jc w:val="left"/>
              <w:rPr>
                <w:color w:val="auto"/>
              </w:rPr>
            </w:pPr>
          </w:p>
        </w:tc>
        <w:tc>
          <w:tcPr>
            <w:tcW w:w="0" w:type="auto"/>
            <w:vAlign w:val="center"/>
          </w:tcPr>
          <w:p w14:paraId="4C033BF4" w14:textId="3E9AA596" w:rsidR="008214AF" w:rsidRPr="00DD3844"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Engineering Desk Review</w:t>
            </w:r>
          </w:p>
        </w:tc>
        <w:tc>
          <w:tcPr>
            <w:tcW w:w="0" w:type="auto"/>
            <w:vAlign w:val="center"/>
          </w:tcPr>
          <w:p w14:paraId="331FF02F" w14:textId="53C1F101"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6B4E0E2B" w14:textId="7391C556"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2C827252" w14:textId="4FDBC553"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23688071" w14:textId="72C8ABC6"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2ECCF52B"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331D087" w14:textId="77777777" w:rsidR="008214AF" w:rsidRPr="00DD3844" w:rsidRDefault="008214AF" w:rsidP="008214AF">
            <w:pPr>
              <w:pStyle w:val="ODCBodyText"/>
              <w:jc w:val="left"/>
              <w:rPr>
                <w:color w:val="auto"/>
              </w:rPr>
            </w:pPr>
          </w:p>
        </w:tc>
        <w:tc>
          <w:tcPr>
            <w:tcW w:w="0" w:type="auto"/>
            <w:vAlign w:val="center"/>
          </w:tcPr>
          <w:p w14:paraId="3919A422" w14:textId="008F2996" w:rsidR="008214AF" w:rsidRPr="00DD3844" w:rsidRDefault="008214AF"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IL-TRM Application Review</w:t>
            </w:r>
          </w:p>
        </w:tc>
        <w:tc>
          <w:tcPr>
            <w:tcW w:w="0" w:type="auto"/>
            <w:vAlign w:val="center"/>
          </w:tcPr>
          <w:p w14:paraId="27BA8512" w14:textId="1FF7DEEF"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398FB96A" w14:textId="310F5DF6"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59C8E1FC" w14:textId="38842E29"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0A926F85" w14:textId="1CDBF5DB"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8214AF" w14:paraId="30EC5AE8"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0ACAD16" w14:textId="77777777" w:rsidR="008214AF" w:rsidRPr="00DD3844" w:rsidRDefault="008214AF" w:rsidP="008214AF">
            <w:pPr>
              <w:pStyle w:val="ODCBodyText"/>
              <w:jc w:val="left"/>
              <w:rPr>
                <w:color w:val="auto"/>
              </w:rPr>
            </w:pPr>
          </w:p>
        </w:tc>
        <w:tc>
          <w:tcPr>
            <w:tcW w:w="0" w:type="auto"/>
            <w:vAlign w:val="center"/>
          </w:tcPr>
          <w:p w14:paraId="1B78FA43" w14:textId="02BDD67C" w:rsidR="008214AF" w:rsidRPr="00DD3844"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Net Impact Analysis – SAG Approved NTGR</w:t>
            </w:r>
          </w:p>
        </w:tc>
        <w:tc>
          <w:tcPr>
            <w:tcW w:w="0" w:type="auto"/>
            <w:vAlign w:val="center"/>
          </w:tcPr>
          <w:p w14:paraId="0B25AAF1" w14:textId="6AEA7119"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3F1BA7C8" w14:textId="1D3540DC"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23008165" w14:textId="0C2ACED5"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6570BC15" w14:textId="1822A851"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3465CC" w14:paraId="29DA63C8"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98D6F6" w:themeFill="background1" w:themeFillTint="66"/>
            <w:vAlign w:val="center"/>
          </w:tcPr>
          <w:p w14:paraId="538ED6FC" w14:textId="77777777" w:rsidR="003465CC" w:rsidRPr="00DD3844" w:rsidRDefault="003465CC" w:rsidP="003465CC">
            <w:pPr>
              <w:pStyle w:val="ODCBodyText"/>
              <w:jc w:val="center"/>
              <w:rPr>
                <w:color w:val="auto"/>
              </w:rPr>
            </w:pPr>
          </w:p>
        </w:tc>
      </w:tr>
      <w:tr w:rsidR="0007491B" w14:paraId="2034565A" w14:textId="77777777" w:rsidTr="00DD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4B89A4C8" w14:textId="79119476" w:rsidR="0007491B" w:rsidRPr="00DD3844" w:rsidRDefault="0007491B" w:rsidP="0007491B">
            <w:pPr>
              <w:pStyle w:val="ODCBodyText"/>
              <w:jc w:val="left"/>
              <w:rPr>
                <w:color w:val="auto"/>
              </w:rPr>
            </w:pPr>
            <w:r w:rsidRPr="00DD3844">
              <w:rPr>
                <w:color w:val="auto"/>
              </w:rPr>
              <w:t>Phased</w:t>
            </w:r>
          </w:p>
        </w:tc>
        <w:tc>
          <w:tcPr>
            <w:tcW w:w="0" w:type="auto"/>
            <w:vAlign w:val="center"/>
          </w:tcPr>
          <w:p w14:paraId="2960E607" w14:textId="1FD02A31" w:rsidR="0007491B" w:rsidRPr="00DD3844" w:rsidRDefault="0007491B" w:rsidP="0007491B">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Trade Ally Interviews</w:t>
            </w:r>
            <w:r>
              <w:rPr>
                <w:color w:val="auto"/>
              </w:rPr>
              <w:t xml:space="preserve"> (Process &amp; NTG)</w:t>
            </w:r>
          </w:p>
        </w:tc>
        <w:tc>
          <w:tcPr>
            <w:tcW w:w="0" w:type="auto"/>
            <w:vAlign w:val="center"/>
          </w:tcPr>
          <w:p w14:paraId="0565657A" w14:textId="3E79E836" w:rsidR="0007491B" w:rsidRPr="00DD3844" w:rsidRDefault="0007491B" w:rsidP="0007491B">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1DF29F03" w14:textId="370FDF39" w:rsidR="0007491B" w:rsidRPr="00DD3844" w:rsidRDefault="0007491B" w:rsidP="0007491B">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7FCAF793" w14:textId="2C792DAB" w:rsidR="0007491B" w:rsidRPr="00DD3844" w:rsidRDefault="0007491B" w:rsidP="0007491B">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2888B92A" w14:textId="162E751F" w:rsidR="0007491B" w:rsidRPr="00DD3844" w:rsidRDefault="0007491B" w:rsidP="0007491B">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07491B" w14:paraId="67A070BE" w14:textId="77777777" w:rsidTr="00DD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147420C" w14:textId="77777777" w:rsidR="0007491B" w:rsidRPr="00DD3844" w:rsidRDefault="0007491B" w:rsidP="0007491B">
            <w:pPr>
              <w:pStyle w:val="ODCBodyText"/>
              <w:jc w:val="left"/>
              <w:rPr>
                <w:color w:val="auto"/>
              </w:rPr>
            </w:pPr>
          </w:p>
        </w:tc>
        <w:tc>
          <w:tcPr>
            <w:tcW w:w="0" w:type="auto"/>
            <w:vAlign w:val="center"/>
          </w:tcPr>
          <w:p w14:paraId="12E18939" w14:textId="7A837C5F" w:rsidR="0007491B" w:rsidRPr="00DD3844" w:rsidRDefault="0007491B" w:rsidP="0007491B">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Participant Survey (Process &amp; NTG)</w:t>
            </w:r>
          </w:p>
        </w:tc>
        <w:tc>
          <w:tcPr>
            <w:tcW w:w="0" w:type="auto"/>
            <w:vAlign w:val="center"/>
          </w:tcPr>
          <w:p w14:paraId="715A10F8" w14:textId="77777777" w:rsidR="0007491B" w:rsidRPr="00DD3844" w:rsidRDefault="0007491B" w:rsidP="0007491B">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2749DBF4" w14:textId="7B766864" w:rsidR="0007491B" w:rsidRPr="00DD3844" w:rsidRDefault="0007491B" w:rsidP="0007491B">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5787DBCF" w14:textId="77777777" w:rsidR="0007491B" w:rsidRPr="00DD3844" w:rsidRDefault="0007491B" w:rsidP="0007491B">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12086892" w14:textId="0F4FDB17" w:rsidR="0007491B" w:rsidRPr="00DD3844" w:rsidRDefault="0007491B" w:rsidP="0007491B">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bl>
    <w:p w14:paraId="4CB39C0E" w14:textId="5079BB60" w:rsidR="00563006" w:rsidRDefault="00563006" w:rsidP="00563006">
      <w:pPr>
        <w:pStyle w:val="ODCBodyText"/>
      </w:pPr>
      <w:r>
        <w:t xml:space="preserve">We proposed the evaluation activities included in </w:t>
      </w:r>
      <w:r>
        <w:fldChar w:fldCharType="begin"/>
      </w:r>
      <w:r>
        <w:instrText xml:space="preserve"> REF _Ref502224444 \h </w:instrText>
      </w:r>
      <w:r>
        <w:fldChar w:fldCharType="separate"/>
      </w:r>
      <w:r w:rsidR="00A75F23">
        <w:t xml:space="preserve">Table </w:t>
      </w:r>
      <w:r w:rsidR="00A75F23">
        <w:rPr>
          <w:noProof/>
        </w:rPr>
        <w:t>8</w:t>
      </w:r>
      <w:r>
        <w:fldChar w:fldCharType="end"/>
      </w:r>
      <w:r>
        <w:t xml:space="preserve"> for the following reasons:</w:t>
      </w:r>
    </w:p>
    <w:p w14:paraId="6F6F6171" w14:textId="2013BAF0" w:rsidR="0062432D" w:rsidRPr="0066351C" w:rsidRDefault="00563006" w:rsidP="00C3234F">
      <w:pPr>
        <w:pStyle w:val="Bullet1"/>
      </w:pPr>
      <w:r w:rsidRPr="00E42B3C">
        <w:rPr>
          <w:b/>
        </w:rPr>
        <w:t>2020 and 2021</w:t>
      </w:r>
      <w:r w:rsidR="0007491B">
        <w:rPr>
          <w:b/>
        </w:rPr>
        <w:t xml:space="preserve">: </w:t>
      </w:r>
      <w:r w:rsidR="00707B4B">
        <w:t>I</w:t>
      </w:r>
      <w:r w:rsidR="00E656B8">
        <w:t xml:space="preserve">n 2020 and </w:t>
      </w:r>
      <w:r w:rsidR="00A1449E">
        <w:t xml:space="preserve">2021, the evaluation team will </w:t>
      </w:r>
      <w:r w:rsidR="00E656B8">
        <w:t>conduct regular annual impact and process evaluation research.</w:t>
      </w:r>
    </w:p>
    <w:p w14:paraId="0DE24D83" w14:textId="260CA2EB" w:rsidR="000243AD" w:rsidRDefault="000243AD" w:rsidP="000243AD">
      <w:pPr>
        <w:pStyle w:val="Heading2"/>
      </w:pPr>
      <w:bookmarkStart w:id="43" w:name="_Toc27335113"/>
      <w:r>
        <w:t>Appliance Recycling</w:t>
      </w:r>
      <w:r w:rsidR="009E77D8">
        <w:t xml:space="preserve"> Initiative</w:t>
      </w:r>
      <w:bookmarkEnd w:id="43"/>
    </w:p>
    <w:p w14:paraId="60569AB1" w14:textId="0C443CAD" w:rsidR="00D22FF9" w:rsidRDefault="0033550D" w:rsidP="00D22FF9">
      <w:pPr>
        <w:pStyle w:val="ODCBodyText"/>
        <w:rPr>
          <w:szCs w:val="22"/>
        </w:rPr>
      </w:pPr>
      <w:r>
        <w:rPr>
          <w:szCs w:val="22"/>
        </w:rPr>
        <w:t xml:space="preserve">The Appliance Recycling </w:t>
      </w:r>
      <w:r w:rsidR="00DD3844">
        <w:rPr>
          <w:szCs w:val="22"/>
        </w:rPr>
        <w:t>I</w:t>
      </w:r>
      <w:r w:rsidR="00024F57">
        <w:rPr>
          <w:szCs w:val="22"/>
        </w:rPr>
        <w:t>nitiative</w:t>
      </w:r>
      <w:r>
        <w:rPr>
          <w:szCs w:val="22"/>
        </w:rPr>
        <w:t xml:space="preserve"> promotes the retirement and recycling of </w:t>
      </w:r>
      <w:r w:rsidR="00FE0DAC">
        <w:rPr>
          <w:szCs w:val="22"/>
        </w:rPr>
        <w:t xml:space="preserve">working, but </w:t>
      </w:r>
      <w:r>
        <w:rPr>
          <w:szCs w:val="22"/>
        </w:rPr>
        <w:t xml:space="preserve">inefficient refrigerators and freezers from </w:t>
      </w:r>
      <w:r w:rsidR="00FE0DAC">
        <w:rPr>
          <w:szCs w:val="22"/>
        </w:rPr>
        <w:t xml:space="preserve">the homes of </w:t>
      </w:r>
      <w:r>
        <w:rPr>
          <w:szCs w:val="22"/>
        </w:rPr>
        <w:t xml:space="preserve">AIC’s electric </w:t>
      </w:r>
      <w:r w:rsidR="00FE0DAC">
        <w:rPr>
          <w:szCs w:val="22"/>
        </w:rPr>
        <w:t>customers</w:t>
      </w:r>
      <w:r>
        <w:rPr>
          <w:szCs w:val="22"/>
        </w:rPr>
        <w:t xml:space="preserve"> by offering a tu</w:t>
      </w:r>
      <w:r w:rsidR="00FE0DAC">
        <w:rPr>
          <w:szCs w:val="22"/>
        </w:rPr>
        <w:t>rn-in incentive and free pickup</w:t>
      </w:r>
      <w:r>
        <w:rPr>
          <w:szCs w:val="22"/>
        </w:rPr>
        <w:t xml:space="preserve">, as well as information and education on the cost of keeping an inefficient unit in operation. </w:t>
      </w:r>
      <w:r w:rsidR="00FE0DAC">
        <w:rPr>
          <w:szCs w:val="22"/>
        </w:rPr>
        <w:t xml:space="preserve">This </w:t>
      </w:r>
      <w:r w:rsidR="00C93489">
        <w:rPr>
          <w:szCs w:val="22"/>
        </w:rPr>
        <w:t>I</w:t>
      </w:r>
      <w:r w:rsidR="00FE0DAC">
        <w:rPr>
          <w:szCs w:val="22"/>
        </w:rPr>
        <w:t xml:space="preserve">nitiative will be cross-promoted with the Retail Products </w:t>
      </w:r>
      <w:r w:rsidR="00DD3844">
        <w:rPr>
          <w:szCs w:val="22"/>
        </w:rPr>
        <w:t>I</w:t>
      </w:r>
      <w:r w:rsidR="00FE0DAC">
        <w:rPr>
          <w:szCs w:val="22"/>
        </w:rPr>
        <w:t>nitiative</w:t>
      </w:r>
      <w:r w:rsidR="00DD3844">
        <w:rPr>
          <w:szCs w:val="22"/>
        </w:rPr>
        <w:t>,</w:t>
      </w:r>
      <w:r w:rsidR="00FE0DAC">
        <w:rPr>
          <w:szCs w:val="22"/>
        </w:rPr>
        <w:t xml:space="preserve"> so that customers purchasing new energy efficiency refrigerators and freezers know how to dispose of their older equipment, as well as through the Income Qualified </w:t>
      </w:r>
      <w:r w:rsidR="00DD3844">
        <w:rPr>
          <w:szCs w:val="22"/>
        </w:rPr>
        <w:t>I</w:t>
      </w:r>
      <w:r w:rsidR="00FE0DAC">
        <w:rPr>
          <w:szCs w:val="22"/>
        </w:rPr>
        <w:t>nitiative</w:t>
      </w:r>
      <w:r w:rsidR="00DD3844">
        <w:rPr>
          <w:szCs w:val="22"/>
        </w:rPr>
        <w:t>,</w:t>
      </w:r>
      <w:r w:rsidR="00FE0DAC">
        <w:rPr>
          <w:szCs w:val="22"/>
        </w:rPr>
        <w:t xml:space="preserve"> where in-home assessments are done to help identify potential energy efficient upgrades. </w:t>
      </w:r>
    </w:p>
    <w:p w14:paraId="2A5351D9" w14:textId="422FB450" w:rsidR="00D22FF9" w:rsidRPr="00D327C0" w:rsidRDefault="00D22FF9" w:rsidP="00FA04B9">
      <w:pPr>
        <w:pStyle w:val="Caption"/>
      </w:pPr>
      <w:bookmarkStart w:id="44" w:name="_Toc27335136"/>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9</w:t>
      </w:r>
      <w:r w:rsidR="00E656B8">
        <w:rPr>
          <w:noProof/>
        </w:rPr>
        <w:fldChar w:fldCharType="end"/>
      </w:r>
      <w:r>
        <w:t>. Appliance Recycling Initiative Evaluation Activities – Four Year Plan</w:t>
      </w:r>
      <w:bookmarkEnd w:id="44"/>
    </w:p>
    <w:tbl>
      <w:tblPr>
        <w:tblStyle w:val="ODCBasic-1"/>
        <w:tblW w:w="0" w:type="auto"/>
        <w:tblLayout w:type="fixed"/>
        <w:tblLook w:val="04A0" w:firstRow="1" w:lastRow="0" w:firstColumn="1" w:lastColumn="0" w:noHBand="0" w:noVBand="1"/>
      </w:tblPr>
      <w:tblGrid>
        <w:gridCol w:w="775"/>
        <w:gridCol w:w="3744"/>
        <w:gridCol w:w="614"/>
        <w:gridCol w:w="614"/>
        <w:gridCol w:w="614"/>
        <w:gridCol w:w="614"/>
      </w:tblGrid>
      <w:tr w:rsidR="003465CC" w14:paraId="11E07CA2" w14:textId="77777777" w:rsidTr="00B53A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5" w:type="dxa"/>
          </w:tcPr>
          <w:p w14:paraId="426EF1D4" w14:textId="5AB0E6A6" w:rsidR="003465CC" w:rsidRDefault="003465CC" w:rsidP="00B82003">
            <w:pPr>
              <w:pStyle w:val="ODCBodyText"/>
            </w:pPr>
            <w:r>
              <w:t>Timing</w:t>
            </w:r>
          </w:p>
        </w:tc>
        <w:tc>
          <w:tcPr>
            <w:tcW w:w="3744" w:type="dxa"/>
          </w:tcPr>
          <w:p w14:paraId="5977B8F0" w14:textId="6C66E513" w:rsidR="003465CC" w:rsidRDefault="003465CC" w:rsidP="00DD3844">
            <w:pPr>
              <w:pStyle w:val="ODCBodyText"/>
              <w:jc w:val="center"/>
              <w:cnfStyle w:val="100000000000" w:firstRow="1" w:lastRow="0" w:firstColumn="0" w:lastColumn="0" w:oddVBand="0" w:evenVBand="0" w:oddHBand="0" w:evenHBand="0" w:firstRowFirstColumn="0" w:firstRowLastColumn="0" w:lastRowFirstColumn="0" w:lastRowLastColumn="0"/>
            </w:pPr>
            <w:r>
              <w:t>Activity</w:t>
            </w:r>
          </w:p>
        </w:tc>
        <w:tc>
          <w:tcPr>
            <w:tcW w:w="614" w:type="dxa"/>
          </w:tcPr>
          <w:p w14:paraId="60FEB77C" w14:textId="77777777" w:rsidR="003465CC" w:rsidRDefault="003465CC" w:rsidP="00B82003">
            <w:pPr>
              <w:pStyle w:val="ODCBodyText"/>
              <w:jc w:val="center"/>
              <w:cnfStyle w:val="100000000000" w:firstRow="1" w:lastRow="0" w:firstColumn="0" w:lastColumn="0" w:oddVBand="0" w:evenVBand="0" w:oddHBand="0" w:evenHBand="0" w:firstRowFirstColumn="0" w:firstRowLastColumn="0" w:lastRowFirstColumn="0" w:lastRowLastColumn="0"/>
            </w:pPr>
            <w:r>
              <w:t>2018</w:t>
            </w:r>
          </w:p>
        </w:tc>
        <w:tc>
          <w:tcPr>
            <w:tcW w:w="614" w:type="dxa"/>
          </w:tcPr>
          <w:p w14:paraId="26D20A42" w14:textId="77777777" w:rsidR="003465CC" w:rsidRDefault="003465CC" w:rsidP="00B82003">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614" w:type="dxa"/>
          </w:tcPr>
          <w:p w14:paraId="62E04344" w14:textId="77777777" w:rsidR="003465CC" w:rsidRDefault="003465CC" w:rsidP="00B82003">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614" w:type="dxa"/>
          </w:tcPr>
          <w:p w14:paraId="508177DF" w14:textId="77777777" w:rsidR="003465CC" w:rsidRDefault="003465CC" w:rsidP="00B82003">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8214AF" w14:paraId="50FEFE4C" w14:textId="77777777" w:rsidTr="00B5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vMerge w:val="restart"/>
            <w:vAlign w:val="center"/>
          </w:tcPr>
          <w:p w14:paraId="7983465E" w14:textId="7B884C08" w:rsidR="008214AF" w:rsidRPr="00DD3844" w:rsidRDefault="008214AF" w:rsidP="008214AF">
            <w:pPr>
              <w:pStyle w:val="ODCBodyText"/>
              <w:jc w:val="left"/>
              <w:rPr>
                <w:color w:val="auto"/>
              </w:rPr>
            </w:pPr>
            <w:r w:rsidRPr="00DD3844">
              <w:rPr>
                <w:color w:val="auto"/>
              </w:rPr>
              <w:t>Annual</w:t>
            </w:r>
          </w:p>
        </w:tc>
        <w:tc>
          <w:tcPr>
            <w:tcW w:w="3744" w:type="dxa"/>
          </w:tcPr>
          <w:p w14:paraId="6C1A056D" w14:textId="583A6746" w:rsidR="008214AF" w:rsidRPr="00DD3844" w:rsidRDefault="005678BE"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Initiative Material &amp; Database Review</w:t>
            </w:r>
          </w:p>
        </w:tc>
        <w:tc>
          <w:tcPr>
            <w:tcW w:w="614" w:type="dxa"/>
          </w:tcPr>
          <w:p w14:paraId="3D4F17BD" w14:textId="23DC4094"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614" w:type="dxa"/>
          </w:tcPr>
          <w:p w14:paraId="1E4E924B" w14:textId="09E073D2"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614" w:type="dxa"/>
          </w:tcPr>
          <w:p w14:paraId="474EF88C" w14:textId="5CFF2780"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614" w:type="dxa"/>
          </w:tcPr>
          <w:p w14:paraId="3BA200A1" w14:textId="253DAB29"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390D82A3" w14:textId="77777777" w:rsidTr="00B53A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vMerge/>
          </w:tcPr>
          <w:p w14:paraId="02A82878" w14:textId="77777777" w:rsidR="008214AF" w:rsidRPr="00DD3844" w:rsidRDefault="008214AF" w:rsidP="008214AF">
            <w:pPr>
              <w:pStyle w:val="ODCBodyText"/>
              <w:jc w:val="left"/>
              <w:rPr>
                <w:color w:val="auto"/>
              </w:rPr>
            </w:pPr>
          </w:p>
        </w:tc>
        <w:tc>
          <w:tcPr>
            <w:tcW w:w="3744" w:type="dxa"/>
          </w:tcPr>
          <w:p w14:paraId="616E9355" w14:textId="5197FD24" w:rsidR="008214AF" w:rsidRPr="00DD3844" w:rsidRDefault="005678BE"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Initiative Staff Interview</w:t>
            </w:r>
            <w:r w:rsidR="008214AF" w:rsidRPr="00DD3844">
              <w:rPr>
                <w:color w:val="auto"/>
              </w:rPr>
              <w:t>s</w:t>
            </w:r>
          </w:p>
        </w:tc>
        <w:tc>
          <w:tcPr>
            <w:tcW w:w="614" w:type="dxa"/>
          </w:tcPr>
          <w:p w14:paraId="6A170908" w14:textId="2BF663EA"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614" w:type="dxa"/>
          </w:tcPr>
          <w:p w14:paraId="10C259FE" w14:textId="4E98F9C4"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614" w:type="dxa"/>
          </w:tcPr>
          <w:p w14:paraId="0B030FD6" w14:textId="377A1AD5"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614" w:type="dxa"/>
          </w:tcPr>
          <w:p w14:paraId="0F833ED1" w14:textId="16FB65B2"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8214AF" w14:paraId="0D15CE4D" w14:textId="77777777" w:rsidTr="00B5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vMerge/>
          </w:tcPr>
          <w:p w14:paraId="44D28C44" w14:textId="77777777" w:rsidR="008214AF" w:rsidRPr="00DD3844" w:rsidRDefault="008214AF" w:rsidP="008214AF">
            <w:pPr>
              <w:pStyle w:val="ODCBodyText"/>
              <w:jc w:val="left"/>
              <w:rPr>
                <w:color w:val="auto"/>
              </w:rPr>
            </w:pPr>
          </w:p>
        </w:tc>
        <w:tc>
          <w:tcPr>
            <w:tcW w:w="3744" w:type="dxa"/>
          </w:tcPr>
          <w:p w14:paraId="5C5BF946" w14:textId="29A0E8EF" w:rsidR="008214AF" w:rsidRPr="00DD3844"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Engineering Desk Review</w:t>
            </w:r>
          </w:p>
        </w:tc>
        <w:tc>
          <w:tcPr>
            <w:tcW w:w="614" w:type="dxa"/>
          </w:tcPr>
          <w:p w14:paraId="4F76D3D6" w14:textId="5F4F6559"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614" w:type="dxa"/>
          </w:tcPr>
          <w:p w14:paraId="1CA997AE" w14:textId="2D9A6457"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614" w:type="dxa"/>
          </w:tcPr>
          <w:p w14:paraId="312CA702" w14:textId="3AF1C225"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614" w:type="dxa"/>
          </w:tcPr>
          <w:p w14:paraId="190FC56E" w14:textId="5114BDEE"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096F7D60" w14:textId="77777777" w:rsidTr="00B53A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vMerge/>
          </w:tcPr>
          <w:p w14:paraId="18982270" w14:textId="77777777" w:rsidR="008214AF" w:rsidRPr="00DD3844" w:rsidRDefault="008214AF" w:rsidP="008214AF">
            <w:pPr>
              <w:pStyle w:val="ODCBodyText"/>
              <w:jc w:val="left"/>
              <w:rPr>
                <w:color w:val="auto"/>
              </w:rPr>
            </w:pPr>
          </w:p>
        </w:tc>
        <w:tc>
          <w:tcPr>
            <w:tcW w:w="3744" w:type="dxa"/>
          </w:tcPr>
          <w:p w14:paraId="1F6DDA96" w14:textId="1F47935B" w:rsidR="008214AF" w:rsidRPr="00DD3844" w:rsidRDefault="008214AF"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IL-TRM Application Review</w:t>
            </w:r>
          </w:p>
        </w:tc>
        <w:tc>
          <w:tcPr>
            <w:tcW w:w="614" w:type="dxa"/>
          </w:tcPr>
          <w:p w14:paraId="5467734C" w14:textId="2949F0DC"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614" w:type="dxa"/>
          </w:tcPr>
          <w:p w14:paraId="1FBF1D67" w14:textId="30AB88F1"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614" w:type="dxa"/>
          </w:tcPr>
          <w:p w14:paraId="01D7B663" w14:textId="2BB61703"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614" w:type="dxa"/>
          </w:tcPr>
          <w:p w14:paraId="4B7CAFC2" w14:textId="2C04CA6E"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8214AF" w14:paraId="00FF2427" w14:textId="77777777" w:rsidTr="00B5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vMerge/>
          </w:tcPr>
          <w:p w14:paraId="10365BE7" w14:textId="77777777" w:rsidR="008214AF" w:rsidRPr="00DD3844" w:rsidRDefault="008214AF" w:rsidP="008214AF">
            <w:pPr>
              <w:pStyle w:val="ODCBodyText"/>
              <w:jc w:val="left"/>
              <w:rPr>
                <w:color w:val="auto"/>
              </w:rPr>
            </w:pPr>
          </w:p>
        </w:tc>
        <w:tc>
          <w:tcPr>
            <w:tcW w:w="3744" w:type="dxa"/>
          </w:tcPr>
          <w:p w14:paraId="1070657E" w14:textId="067F8EEB" w:rsidR="008214AF" w:rsidRPr="00DD3844"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Net Impact Analysis – SAG Approved NTGR</w:t>
            </w:r>
          </w:p>
        </w:tc>
        <w:tc>
          <w:tcPr>
            <w:tcW w:w="614" w:type="dxa"/>
          </w:tcPr>
          <w:p w14:paraId="42F24B92" w14:textId="550D55CF"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614" w:type="dxa"/>
          </w:tcPr>
          <w:p w14:paraId="6449EDBD" w14:textId="10D0C615"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614" w:type="dxa"/>
          </w:tcPr>
          <w:p w14:paraId="0332535D" w14:textId="52B04217"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614" w:type="dxa"/>
          </w:tcPr>
          <w:p w14:paraId="3CB4D93F" w14:textId="1B790620"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3465CC" w14:paraId="361CF5AA" w14:textId="77777777" w:rsidTr="00B53A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gridSpan w:val="6"/>
            <w:shd w:val="clear" w:color="auto" w:fill="98D6F6" w:themeFill="background1" w:themeFillTint="66"/>
          </w:tcPr>
          <w:p w14:paraId="061A32D6" w14:textId="77777777" w:rsidR="003465CC" w:rsidRPr="00DD3844" w:rsidRDefault="003465CC" w:rsidP="003465CC">
            <w:pPr>
              <w:pStyle w:val="ODCBodyText"/>
              <w:jc w:val="center"/>
              <w:rPr>
                <w:color w:val="auto"/>
              </w:rPr>
            </w:pPr>
          </w:p>
        </w:tc>
      </w:tr>
      <w:tr w:rsidR="007720E5" w14:paraId="7F70833B" w14:textId="77777777" w:rsidTr="00B5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vMerge w:val="restart"/>
            <w:vAlign w:val="center"/>
          </w:tcPr>
          <w:p w14:paraId="15516FA4" w14:textId="3162F9E9" w:rsidR="007720E5" w:rsidRPr="00DD3844" w:rsidRDefault="007720E5" w:rsidP="007720E5">
            <w:pPr>
              <w:pStyle w:val="ODCBodyText"/>
              <w:jc w:val="left"/>
              <w:rPr>
                <w:color w:val="auto"/>
              </w:rPr>
            </w:pPr>
            <w:r w:rsidRPr="00DD3844">
              <w:rPr>
                <w:color w:val="auto"/>
              </w:rPr>
              <w:t>Phased</w:t>
            </w:r>
          </w:p>
        </w:tc>
        <w:tc>
          <w:tcPr>
            <w:tcW w:w="3744" w:type="dxa"/>
          </w:tcPr>
          <w:p w14:paraId="56596F38" w14:textId="08252D8F" w:rsidR="007720E5" w:rsidRPr="00DD3844" w:rsidRDefault="007720E5" w:rsidP="003465CC">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Retailer Interviews</w:t>
            </w:r>
          </w:p>
        </w:tc>
        <w:tc>
          <w:tcPr>
            <w:tcW w:w="614" w:type="dxa"/>
            <w:vAlign w:val="center"/>
          </w:tcPr>
          <w:p w14:paraId="400CA68A" w14:textId="4F120A23" w:rsidR="007720E5" w:rsidRPr="00DD3844" w:rsidRDefault="0062432D" w:rsidP="003465CC">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614" w:type="dxa"/>
            <w:vAlign w:val="center"/>
          </w:tcPr>
          <w:p w14:paraId="405DC4E3" w14:textId="159EC320" w:rsidR="007720E5" w:rsidRPr="00DD3844" w:rsidRDefault="007720E5" w:rsidP="003465CC">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614" w:type="dxa"/>
            <w:vAlign w:val="center"/>
          </w:tcPr>
          <w:p w14:paraId="6857209D" w14:textId="457B0D74" w:rsidR="007720E5" w:rsidRPr="00DD3844" w:rsidRDefault="0062432D" w:rsidP="003465CC">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614" w:type="dxa"/>
            <w:vAlign w:val="center"/>
          </w:tcPr>
          <w:p w14:paraId="718B134E" w14:textId="4811AADC" w:rsidR="007720E5" w:rsidRPr="00DD3844" w:rsidRDefault="007720E5" w:rsidP="003465CC">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r w:rsidR="007720E5" w14:paraId="074D623D" w14:textId="77777777" w:rsidTr="00B53A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vMerge/>
          </w:tcPr>
          <w:p w14:paraId="2E59B186" w14:textId="77777777" w:rsidR="007720E5" w:rsidRPr="00DD3844" w:rsidRDefault="007720E5" w:rsidP="003465CC">
            <w:pPr>
              <w:pStyle w:val="ODCBodyText"/>
              <w:jc w:val="left"/>
              <w:rPr>
                <w:color w:val="auto"/>
              </w:rPr>
            </w:pPr>
          </w:p>
        </w:tc>
        <w:tc>
          <w:tcPr>
            <w:tcW w:w="3744" w:type="dxa"/>
          </w:tcPr>
          <w:p w14:paraId="1A675DDB" w14:textId="7034A2E2" w:rsidR="007720E5" w:rsidRPr="00DD3844" w:rsidRDefault="007720E5" w:rsidP="003465CC">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Participant Survey (Process &amp; NTG)</w:t>
            </w:r>
          </w:p>
        </w:tc>
        <w:tc>
          <w:tcPr>
            <w:tcW w:w="614" w:type="dxa"/>
            <w:vAlign w:val="center"/>
          </w:tcPr>
          <w:p w14:paraId="0A8851EF" w14:textId="3DBC79AD" w:rsidR="007720E5" w:rsidRPr="00DD3844" w:rsidRDefault="008214AF" w:rsidP="003465CC">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614" w:type="dxa"/>
            <w:vAlign w:val="center"/>
          </w:tcPr>
          <w:p w14:paraId="2ABBFA38" w14:textId="689C72AF" w:rsidR="007720E5" w:rsidRPr="00DD3844" w:rsidRDefault="007720E5" w:rsidP="003465CC">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614" w:type="dxa"/>
            <w:vAlign w:val="center"/>
          </w:tcPr>
          <w:p w14:paraId="087AF942" w14:textId="7B2C2DD6" w:rsidR="007720E5" w:rsidRPr="00DD3844" w:rsidRDefault="008214AF" w:rsidP="003465CC">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614" w:type="dxa"/>
            <w:vAlign w:val="center"/>
          </w:tcPr>
          <w:p w14:paraId="70B91451" w14:textId="6E4F05BF" w:rsidR="007720E5" w:rsidRPr="00DD3844" w:rsidRDefault="007720E5" w:rsidP="003465CC">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r>
    </w:tbl>
    <w:p w14:paraId="69D1579F" w14:textId="030687F2" w:rsidR="00D22FF9" w:rsidRDefault="0033550D" w:rsidP="00D22FF9">
      <w:pPr>
        <w:pStyle w:val="ODCBodyText"/>
      </w:pPr>
      <w:r>
        <w:t>Across each year, we will base gross impacts on program tracking data and the IL-TRM. As part of this process, we will review the program tracking database to verify participation, as well as to review the application of deemed savings inputs specified in the IL-TRM. We will also conduct research with participating AIC customers, as well as retailers</w:t>
      </w:r>
      <w:r w:rsidR="00DD3844">
        <w:t>,</w:t>
      </w:r>
      <w:r>
        <w:t xml:space="preserve"> over the course of the four-year plan period to accomplish the following:</w:t>
      </w:r>
    </w:p>
    <w:p w14:paraId="2F7CD255" w14:textId="1153EE16" w:rsidR="00A1449E" w:rsidRDefault="00D762D2" w:rsidP="0033550D">
      <w:pPr>
        <w:pStyle w:val="Bullet1"/>
      </w:pPr>
      <w:r>
        <w:t xml:space="preserve">In </w:t>
      </w:r>
      <w:r w:rsidRPr="00A11460">
        <w:rPr>
          <w:b/>
        </w:rPr>
        <w:t>2020</w:t>
      </w:r>
      <w:r>
        <w:t>, w</w:t>
      </w:r>
      <w:r w:rsidR="0033550D">
        <w:t xml:space="preserve">e will gather data to update the </w:t>
      </w:r>
      <w:r w:rsidR="00C93489">
        <w:t>I</w:t>
      </w:r>
      <w:r w:rsidR="0033550D">
        <w:t>nitiative’s NTG</w:t>
      </w:r>
      <w:r w:rsidR="00DD3844">
        <w:t>R</w:t>
      </w:r>
      <w:r w:rsidR="0033550D">
        <w:t>. The survey will be administered by telephone</w:t>
      </w:r>
      <w:r w:rsidR="00DD3844">
        <w:t>,</w:t>
      </w:r>
      <w:r w:rsidR="0033550D">
        <w:t xml:space="preserve"> and the NTG algorithm will be developed based on the IL NTG Protocols. </w:t>
      </w:r>
      <w:r>
        <w:t>Final sample sizes will be determined based on program participation.</w:t>
      </w:r>
      <w:r w:rsidR="00A1449E">
        <w:t xml:space="preserve"> </w:t>
      </w:r>
    </w:p>
    <w:p w14:paraId="4AEB71DA" w14:textId="6DC5BB0F" w:rsidR="0033550D" w:rsidRDefault="00A1449E" w:rsidP="00A1449E">
      <w:pPr>
        <w:pStyle w:val="Bullet2"/>
      </w:pPr>
      <w:r>
        <w:t xml:space="preserve">Through the participant survey, the evaluation team will also ask questions to understand the extent which ARP is inducing customers to reduce the number of refrigerators in their home. </w:t>
      </w:r>
      <w:r w:rsidR="006D2E64">
        <w:t xml:space="preserve">By exploring </w:t>
      </w:r>
      <w:r>
        <w:t xml:space="preserve">how many refrigerators a customer had </w:t>
      </w:r>
      <w:r w:rsidR="006D2E64">
        <w:t>prior to Initiative</w:t>
      </w:r>
      <w:r>
        <w:t xml:space="preserve"> participation and how many they have at the time of the interview</w:t>
      </w:r>
      <w:r w:rsidR="006D2E64">
        <w:t xml:space="preserve">, the research will provide updated insight into </w:t>
      </w:r>
      <w:r>
        <w:t xml:space="preserve">the </w:t>
      </w:r>
      <w:r w:rsidR="006D2E64">
        <w:t xml:space="preserve">appliance </w:t>
      </w:r>
      <w:r>
        <w:t>replacement scenario</w:t>
      </w:r>
      <w:r w:rsidR="006D2E64">
        <w:t>.</w:t>
      </w:r>
    </w:p>
    <w:p w14:paraId="071F44D2" w14:textId="75A3D594" w:rsidR="0062432D" w:rsidRDefault="0033550D" w:rsidP="0062432D">
      <w:pPr>
        <w:pStyle w:val="Bullet1"/>
      </w:pPr>
      <w:r>
        <w:t xml:space="preserve">In </w:t>
      </w:r>
      <w:r w:rsidRPr="00A11460">
        <w:rPr>
          <w:b/>
        </w:rPr>
        <w:t>20</w:t>
      </w:r>
      <w:r w:rsidR="000669CE">
        <w:rPr>
          <w:b/>
        </w:rPr>
        <w:t>20</w:t>
      </w:r>
      <w:r>
        <w:t xml:space="preserve">, we will </w:t>
      </w:r>
      <w:r w:rsidR="000669CE">
        <w:t xml:space="preserve">also </w:t>
      </w:r>
      <w:r>
        <w:t xml:space="preserve">conduct research with retailers to explore actions taken with regard to recycled units, particularly the proportion of units picked up by retailers that get resold, recycled, or disposed. </w:t>
      </w:r>
      <w:r w:rsidR="0062432D">
        <w:t>These estimates inform the NTG estimate as the proportion of customers indicating they would have recycled through retailers, absent the program, will be adjusted by whether retailers would resell, dispose</w:t>
      </w:r>
      <w:r w:rsidR="00DD3844">
        <w:t>,</w:t>
      </w:r>
      <w:r w:rsidR="0062432D">
        <w:t xml:space="preserve"> or recycle the unit.</w:t>
      </w:r>
    </w:p>
    <w:p w14:paraId="0DE6FF68" w14:textId="1916B422" w:rsidR="000243AD" w:rsidRPr="00C448FE" w:rsidRDefault="000243AD" w:rsidP="000243AD">
      <w:pPr>
        <w:pStyle w:val="Heading2"/>
      </w:pPr>
      <w:bookmarkStart w:id="45" w:name="_Toc27335114"/>
      <w:r>
        <w:t>Multifamily</w:t>
      </w:r>
      <w:r w:rsidR="009E77D8">
        <w:t xml:space="preserve"> Initiative</w:t>
      </w:r>
      <w:bookmarkEnd w:id="45"/>
    </w:p>
    <w:p w14:paraId="70F3F2DF" w14:textId="161A4C01" w:rsidR="00E55A60" w:rsidRDefault="00E55A60" w:rsidP="00E55A60">
      <w:pPr>
        <w:pStyle w:val="BodyText"/>
      </w:pPr>
      <w:r>
        <w:t xml:space="preserve">The Multifamily </w:t>
      </w:r>
      <w:r w:rsidR="00DD3844">
        <w:t>I</w:t>
      </w:r>
      <w:r>
        <w:t>nitiative offers incentives and services that enable energy savings and lower operating costs in market-rate multifamily housing (buildings with four or more units and managed by a private entity). T</w:t>
      </w:r>
      <w:r w:rsidR="00A81C3D">
        <w:t>o serve multiple properties through one point of contact, t</w:t>
      </w:r>
      <w:r>
        <w:t xml:space="preserve">he </w:t>
      </w:r>
      <w:r w:rsidR="00DD3844">
        <w:t>I</w:t>
      </w:r>
      <w:r>
        <w:t>nitiative’s target audience includes property management companies with multiple properties, but the program will also reach</w:t>
      </w:r>
      <w:r w:rsidR="00A81C3D">
        <w:t xml:space="preserve"> </w:t>
      </w:r>
      <w:r>
        <w:t>out to individual property owners as necessary. AIC’s implementation contractor will conduct all outreach and recruitment, perform audits to identify installation opportunities, and provide direct installation of energy-saving measures for building common areas and tenant units. Measures are provided free-of-charge. The provided measures are as follows:</w:t>
      </w:r>
    </w:p>
    <w:p w14:paraId="59B9470D" w14:textId="56E943B7" w:rsidR="00E55A60" w:rsidRDefault="00E55A60" w:rsidP="00E55A60">
      <w:pPr>
        <w:pStyle w:val="Bullet1"/>
      </w:pPr>
      <w:r w:rsidRPr="00E42B3C">
        <w:rPr>
          <w:b/>
        </w:rPr>
        <w:t>In-Unit</w:t>
      </w:r>
      <w:r w:rsidRPr="00DD3844">
        <w:rPr>
          <w:b/>
        </w:rPr>
        <w:t>:</w:t>
      </w:r>
      <w:r>
        <w:t xml:space="preserve"> Program offerings for tenant units include LEDs, low-flow showerheads, faucet aerators, programmable thermostats, pipe wrap, and Tier 2 </w:t>
      </w:r>
      <w:r w:rsidR="00AE7B70">
        <w:t>advanced</w:t>
      </w:r>
      <w:r>
        <w:t xml:space="preserve"> power strips. </w:t>
      </w:r>
    </w:p>
    <w:p w14:paraId="33E7A93F" w14:textId="6FB2EB08" w:rsidR="00E55A60" w:rsidRDefault="00E55A60" w:rsidP="00E55A60">
      <w:pPr>
        <w:pStyle w:val="Bullet1"/>
      </w:pPr>
      <w:r w:rsidRPr="00E42B3C">
        <w:rPr>
          <w:b/>
        </w:rPr>
        <w:t>Common Areas</w:t>
      </w:r>
      <w:r w:rsidRPr="00DD3844">
        <w:rPr>
          <w:b/>
        </w:rPr>
        <w:t>:</w:t>
      </w:r>
      <w:r>
        <w:t xml:space="preserve"> Common area offerings include light bulb replacements. The implementer offers properties medium screw-based standard and specialty LED upgrades to replace incandescent or halogen lamps in interior and exterior settings. </w:t>
      </w:r>
    </w:p>
    <w:p w14:paraId="5954A276" w14:textId="50446AED" w:rsidR="00E55A60" w:rsidRDefault="00D40FEE" w:rsidP="00E55A60">
      <w:pPr>
        <w:pStyle w:val="BodyText"/>
      </w:pPr>
      <w:r>
        <w:t xml:space="preserve">AIC will also use the Multifamily </w:t>
      </w:r>
      <w:r w:rsidR="00DD3844">
        <w:t>I</w:t>
      </w:r>
      <w:r>
        <w:t>nitiative</w:t>
      </w:r>
      <w:r w:rsidR="00E55A60">
        <w:t xml:space="preserve"> to cross-promote other energy-saving opportunities as appropriate, incl</w:t>
      </w:r>
      <w:r>
        <w:t xml:space="preserve">uding </w:t>
      </w:r>
      <w:r w:rsidR="00DD3844">
        <w:t xml:space="preserve">the </w:t>
      </w:r>
      <w:r>
        <w:t>Appliance Recycling, HVAC</w:t>
      </w:r>
      <w:r w:rsidR="00E55A60">
        <w:t>, and Business Program</w:t>
      </w:r>
      <w:r>
        <w:t xml:space="preserve"> </w:t>
      </w:r>
      <w:r w:rsidR="00DD3844">
        <w:t>I</w:t>
      </w:r>
      <w:r>
        <w:t>nitiatives</w:t>
      </w:r>
      <w:r w:rsidR="00E55A60">
        <w:t>.</w:t>
      </w:r>
    </w:p>
    <w:p w14:paraId="09423BB6" w14:textId="441896E3" w:rsidR="00B82003" w:rsidRPr="00D327C0" w:rsidRDefault="00B82003" w:rsidP="00FA04B9">
      <w:pPr>
        <w:pStyle w:val="Caption"/>
      </w:pPr>
      <w:bookmarkStart w:id="46" w:name="_Toc27335137"/>
      <w:r>
        <w:t xml:space="preserve">Table </w:t>
      </w:r>
      <w:r w:rsidR="00945A9D">
        <w:fldChar w:fldCharType="begin"/>
      </w:r>
      <w:r w:rsidR="00945A9D">
        <w:instrText xml:space="preserve"> SEQ Table \* ARABIC </w:instrText>
      </w:r>
      <w:r w:rsidR="00945A9D">
        <w:fldChar w:fldCharType="separate"/>
      </w:r>
      <w:r w:rsidR="00A75F23">
        <w:rPr>
          <w:noProof/>
        </w:rPr>
        <w:t>10</w:t>
      </w:r>
      <w:r w:rsidR="00945A9D">
        <w:rPr>
          <w:noProof/>
        </w:rPr>
        <w:fldChar w:fldCharType="end"/>
      </w:r>
      <w:r>
        <w:t>. Multifamily Initiative Evaluation Activities – Four Year Plan</w:t>
      </w:r>
      <w:bookmarkEnd w:id="46"/>
    </w:p>
    <w:tbl>
      <w:tblPr>
        <w:tblStyle w:val="ODCBasic-1"/>
        <w:tblW w:w="0" w:type="auto"/>
        <w:tblLook w:val="04A0" w:firstRow="1" w:lastRow="0" w:firstColumn="1" w:lastColumn="0" w:noHBand="0" w:noVBand="1"/>
      </w:tblPr>
      <w:tblGrid>
        <w:gridCol w:w="775"/>
        <w:gridCol w:w="5421"/>
        <w:gridCol w:w="614"/>
        <w:gridCol w:w="614"/>
        <w:gridCol w:w="614"/>
        <w:gridCol w:w="614"/>
      </w:tblGrid>
      <w:tr w:rsidR="00B53A88" w14:paraId="041A8612" w14:textId="77777777" w:rsidTr="000669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15F7AFF" w14:textId="2FA0C481" w:rsidR="007720E5" w:rsidRDefault="007720E5" w:rsidP="00B82003">
            <w:pPr>
              <w:pStyle w:val="ODCBodyText"/>
            </w:pPr>
            <w:r>
              <w:t>Timing</w:t>
            </w:r>
          </w:p>
        </w:tc>
        <w:tc>
          <w:tcPr>
            <w:tcW w:w="0" w:type="auto"/>
          </w:tcPr>
          <w:p w14:paraId="4CF95A22" w14:textId="0F70B1BE" w:rsidR="007720E5" w:rsidRDefault="007720E5" w:rsidP="00DD3844">
            <w:pPr>
              <w:pStyle w:val="ODCBodyText"/>
              <w:jc w:val="center"/>
              <w:cnfStyle w:val="100000000000" w:firstRow="1" w:lastRow="0" w:firstColumn="0" w:lastColumn="0" w:oddVBand="0" w:evenVBand="0" w:oddHBand="0" w:evenHBand="0" w:firstRowFirstColumn="0" w:firstRowLastColumn="0" w:lastRowFirstColumn="0" w:lastRowLastColumn="0"/>
            </w:pPr>
            <w:r>
              <w:t>Activity</w:t>
            </w:r>
          </w:p>
        </w:tc>
        <w:tc>
          <w:tcPr>
            <w:tcW w:w="0" w:type="auto"/>
          </w:tcPr>
          <w:p w14:paraId="1503B0D9" w14:textId="77777777" w:rsidR="007720E5" w:rsidRDefault="007720E5" w:rsidP="00B82003">
            <w:pPr>
              <w:pStyle w:val="ODCBodyText"/>
              <w:jc w:val="center"/>
              <w:cnfStyle w:val="100000000000" w:firstRow="1" w:lastRow="0" w:firstColumn="0" w:lastColumn="0" w:oddVBand="0" w:evenVBand="0" w:oddHBand="0" w:evenHBand="0" w:firstRowFirstColumn="0" w:firstRowLastColumn="0" w:lastRowFirstColumn="0" w:lastRowLastColumn="0"/>
            </w:pPr>
            <w:r>
              <w:t>2018</w:t>
            </w:r>
          </w:p>
        </w:tc>
        <w:tc>
          <w:tcPr>
            <w:tcW w:w="0" w:type="auto"/>
          </w:tcPr>
          <w:p w14:paraId="49A42B9B" w14:textId="77777777" w:rsidR="007720E5" w:rsidRDefault="007720E5" w:rsidP="00B82003">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0" w:type="auto"/>
          </w:tcPr>
          <w:p w14:paraId="3A29AAAE" w14:textId="77777777" w:rsidR="007720E5" w:rsidRDefault="007720E5" w:rsidP="00B82003">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0" w:type="auto"/>
          </w:tcPr>
          <w:p w14:paraId="6B85B917" w14:textId="77777777" w:rsidR="007720E5" w:rsidRDefault="007720E5" w:rsidP="00B82003">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B53A88" w14:paraId="40E77A0F" w14:textId="77777777" w:rsidTr="0006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1A7EB857" w14:textId="6FD6D340" w:rsidR="008214AF" w:rsidRPr="00DD3844" w:rsidRDefault="008214AF" w:rsidP="008214AF">
            <w:pPr>
              <w:pStyle w:val="ODCBodyText"/>
              <w:jc w:val="left"/>
              <w:rPr>
                <w:color w:val="auto"/>
              </w:rPr>
            </w:pPr>
            <w:r w:rsidRPr="00DD3844">
              <w:rPr>
                <w:color w:val="auto"/>
              </w:rPr>
              <w:t>Annual</w:t>
            </w:r>
          </w:p>
        </w:tc>
        <w:tc>
          <w:tcPr>
            <w:tcW w:w="0" w:type="auto"/>
          </w:tcPr>
          <w:p w14:paraId="0896046F" w14:textId="25730D79" w:rsidR="008214AF" w:rsidRPr="00DD3844" w:rsidRDefault="005678BE"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Initiative Material &amp; Database Review</w:t>
            </w:r>
          </w:p>
        </w:tc>
        <w:tc>
          <w:tcPr>
            <w:tcW w:w="0" w:type="auto"/>
          </w:tcPr>
          <w:p w14:paraId="7E34CA05" w14:textId="374CB6D4"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4A372EC2" w14:textId="44A480CE"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42099594" w14:textId="2F4B4FD9"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04BC2516" w14:textId="4448AA8E"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B53A88" w14:paraId="2D2743C0" w14:textId="77777777" w:rsidTr="000669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29E8E3A" w14:textId="77777777" w:rsidR="008214AF" w:rsidRPr="00DD3844" w:rsidRDefault="008214AF" w:rsidP="008214AF">
            <w:pPr>
              <w:pStyle w:val="ODCBodyText"/>
              <w:jc w:val="left"/>
              <w:rPr>
                <w:color w:val="auto"/>
              </w:rPr>
            </w:pPr>
          </w:p>
        </w:tc>
        <w:tc>
          <w:tcPr>
            <w:tcW w:w="0" w:type="auto"/>
          </w:tcPr>
          <w:p w14:paraId="57C3299A" w14:textId="2F039578" w:rsidR="008214AF" w:rsidRPr="00DD3844" w:rsidRDefault="005678BE"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Initiative Staff Interview</w:t>
            </w:r>
            <w:r w:rsidR="008214AF" w:rsidRPr="00DD3844">
              <w:rPr>
                <w:color w:val="auto"/>
              </w:rPr>
              <w:t>s</w:t>
            </w:r>
          </w:p>
        </w:tc>
        <w:tc>
          <w:tcPr>
            <w:tcW w:w="0" w:type="auto"/>
          </w:tcPr>
          <w:p w14:paraId="751FCD50" w14:textId="6DACFA8D"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60146421" w14:textId="507105F7"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09523FC0" w14:textId="625D4CEA"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33646299" w14:textId="1E3DF230"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B53A88" w14:paraId="1AFC01B8" w14:textId="77777777" w:rsidTr="0006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65EF11E" w14:textId="77777777" w:rsidR="008214AF" w:rsidRPr="00DD3844" w:rsidRDefault="008214AF" w:rsidP="008214AF">
            <w:pPr>
              <w:pStyle w:val="ODCBodyText"/>
              <w:jc w:val="left"/>
              <w:rPr>
                <w:color w:val="auto"/>
              </w:rPr>
            </w:pPr>
          </w:p>
        </w:tc>
        <w:tc>
          <w:tcPr>
            <w:tcW w:w="0" w:type="auto"/>
          </w:tcPr>
          <w:p w14:paraId="1354F9F9" w14:textId="27F05AC5" w:rsidR="008214AF" w:rsidRPr="00DD3844"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Engineering Desk Review</w:t>
            </w:r>
          </w:p>
        </w:tc>
        <w:tc>
          <w:tcPr>
            <w:tcW w:w="0" w:type="auto"/>
          </w:tcPr>
          <w:p w14:paraId="3E06726A" w14:textId="5EA61019"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186025C0" w14:textId="38E058AD"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3B94F70A" w14:textId="6B31E788"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5CD60EA0" w14:textId="709C9580"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B53A88" w14:paraId="4E03087E" w14:textId="77777777" w:rsidTr="000669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0DAB168" w14:textId="77777777" w:rsidR="008214AF" w:rsidRPr="00DD3844" w:rsidRDefault="008214AF" w:rsidP="008214AF">
            <w:pPr>
              <w:pStyle w:val="ODCBodyText"/>
              <w:jc w:val="left"/>
              <w:rPr>
                <w:color w:val="auto"/>
              </w:rPr>
            </w:pPr>
          </w:p>
        </w:tc>
        <w:tc>
          <w:tcPr>
            <w:tcW w:w="0" w:type="auto"/>
          </w:tcPr>
          <w:p w14:paraId="70D4BA25" w14:textId="6C58D9BF" w:rsidR="008214AF" w:rsidRPr="00DD3844" w:rsidRDefault="008214AF"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IL-TRM Application Review</w:t>
            </w:r>
          </w:p>
        </w:tc>
        <w:tc>
          <w:tcPr>
            <w:tcW w:w="0" w:type="auto"/>
          </w:tcPr>
          <w:p w14:paraId="2BF615B4" w14:textId="4546E5E0"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1AAB6266" w14:textId="28D58D99"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3BEAABE3" w14:textId="44F69355"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34D0EC39" w14:textId="6B4B4D65"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B53A88" w14:paraId="4A953893" w14:textId="77777777" w:rsidTr="0006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569B60B" w14:textId="77777777" w:rsidR="008214AF" w:rsidRPr="00DD3844" w:rsidRDefault="008214AF" w:rsidP="008214AF">
            <w:pPr>
              <w:pStyle w:val="ODCBodyText"/>
              <w:jc w:val="left"/>
              <w:rPr>
                <w:color w:val="auto"/>
              </w:rPr>
            </w:pPr>
          </w:p>
        </w:tc>
        <w:tc>
          <w:tcPr>
            <w:tcW w:w="0" w:type="auto"/>
          </w:tcPr>
          <w:p w14:paraId="2379AFE5" w14:textId="5C858F6B" w:rsidR="008214AF" w:rsidRPr="00DD3844"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Net Impact Analysis – SAG Approved NTGR</w:t>
            </w:r>
          </w:p>
        </w:tc>
        <w:tc>
          <w:tcPr>
            <w:tcW w:w="0" w:type="auto"/>
          </w:tcPr>
          <w:p w14:paraId="0E5DAD40" w14:textId="74ABA5DE"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3ACC278C" w14:textId="2E1B3292"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451601A6" w14:textId="1E4DFCB5"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84A0455" w14:textId="6988DC14"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7720E5" w14:paraId="268697BD" w14:textId="77777777" w:rsidTr="000669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98D6F6" w:themeFill="background1" w:themeFillTint="66"/>
          </w:tcPr>
          <w:p w14:paraId="06E8A820" w14:textId="024C77C9" w:rsidR="007720E5" w:rsidRPr="00DD3844" w:rsidRDefault="007720E5" w:rsidP="007720E5">
            <w:pPr>
              <w:pStyle w:val="ODCBodyText"/>
              <w:jc w:val="center"/>
              <w:rPr>
                <w:color w:val="auto"/>
              </w:rPr>
            </w:pPr>
          </w:p>
        </w:tc>
      </w:tr>
      <w:tr w:rsidR="00B53A88" w14:paraId="061D217F" w14:textId="77777777" w:rsidTr="0006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2CEBE519" w14:textId="1BBECB6A" w:rsidR="007720E5" w:rsidRPr="00DD3844" w:rsidRDefault="000669CE" w:rsidP="000669CE">
            <w:pPr>
              <w:pStyle w:val="ODCBodyText"/>
              <w:jc w:val="left"/>
              <w:rPr>
                <w:color w:val="auto"/>
              </w:rPr>
            </w:pPr>
            <w:r>
              <w:rPr>
                <w:color w:val="auto"/>
              </w:rPr>
              <w:t>Phased</w:t>
            </w:r>
          </w:p>
        </w:tc>
        <w:tc>
          <w:tcPr>
            <w:tcW w:w="0" w:type="auto"/>
          </w:tcPr>
          <w:p w14:paraId="55423D77" w14:textId="51EA848D" w:rsidR="007720E5" w:rsidRPr="00DD3844" w:rsidRDefault="007720E5" w:rsidP="007720E5">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Participating Property Manager/Owner Survey (Process &amp; NTG)</w:t>
            </w:r>
          </w:p>
        </w:tc>
        <w:tc>
          <w:tcPr>
            <w:tcW w:w="0" w:type="auto"/>
            <w:vAlign w:val="center"/>
          </w:tcPr>
          <w:p w14:paraId="693CF2E4" w14:textId="3397D347" w:rsidR="007720E5" w:rsidRPr="00DD3844" w:rsidRDefault="008214AF" w:rsidP="007720E5">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623F0DE9" w14:textId="77777777" w:rsidR="007720E5" w:rsidRPr="00DD3844" w:rsidRDefault="007720E5" w:rsidP="007720E5">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280591DE" w14:textId="5B3146D4" w:rsidR="007720E5" w:rsidRPr="00DD3844" w:rsidRDefault="008214AF" w:rsidP="007720E5">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78B9AC8A" w14:textId="77777777" w:rsidR="007720E5" w:rsidRPr="00DD3844" w:rsidRDefault="007720E5" w:rsidP="007720E5">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r w:rsidR="00B53A88" w14:paraId="72808B74" w14:textId="77777777" w:rsidTr="000669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CED0CFB" w14:textId="77777777" w:rsidR="007720E5" w:rsidRPr="00DD3844" w:rsidRDefault="007720E5" w:rsidP="007720E5">
            <w:pPr>
              <w:pStyle w:val="ODCBodyText"/>
              <w:rPr>
                <w:color w:val="auto"/>
              </w:rPr>
            </w:pPr>
          </w:p>
        </w:tc>
        <w:tc>
          <w:tcPr>
            <w:tcW w:w="0" w:type="auto"/>
          </w:tcPr>
          <w:p w14:paraId="609FF255" w14:textId="1AD44738" w:rsidR="007720E5" w:rsidRPr="00DD3844" w:rsidRDefault="007720E5" w:rsidP="007720E5">
            <w:pPr>
              <w:pStyle w:val="ODCBodyTex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Participating Tenant Survey (Process)</w:t>
            </w:r>
          </w:p>
        </w:tc>
        <w:tc>
          <w:tcPr>
            <w:tcW w:w="0" w:type="auto"/>
            <w:vAlign w:val="center"/>
          </w:tcPr>
          <w:p w14:paraId="73208B22" w14:textId="1177715A" w:rsidR="007720E5" w:rsidRPr="00DD3844" w:rsidRDefault="00FD00A6" w:rsidP="007720E5">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4286898B" w14:textId="0B36E8F4" w:rsidR="007720E5" w:rsidRPr="00DD3844" w:rsidRDefault="007720E5" w:rsidP="007720E5">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3E576C71" w14:textId="5CAE3E9A" w:rsidR="007720E5" w:rsidRPr="00DD3844" w:rsidRDefault="007720E5" w:rsidP="007720E5">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3AE807D0" w14:textId="5F72DAD8" w:rsidR="007720E5" w:rsidRPr="00DD3844" w:rsidRDefault="007720E5" w:rsidP="007720E5">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r>
    </w:tbl>
    <w:p w14:paraId="389EAEAE" w14:textId="39FF220C" w:rsidR="00FF4189" w:rsidRDefault="00FF4189" w:rsidP="009B0894">
      <w:pPr>
        <w:pStyle w:val="Bullet1"/>
      </w:pPr>
      <w:r w:rsidRPr="00E42B3C">
        <w:rPr>
          <w:b/>
        </w:rPr>
        <w:t>2020:</w:t>
      </w:r>
      <w:r w:rsidR="00BE5136">
        <w:t xml:space="preserve"> </w:t>
      </w:r>
      <w:r>
        <w:t xml:space="preserve">We will </w:t>
      </w:r>
      <w:r w:rsidR="00707B4B">
        <w:t>conduct research with</w:t>
      </w:r>
      <w:r>
        <w:t xml:space="preserve"> </w:t>
      </w:r>
      <w:r w:rsidR="00E656B8">
        <w:t>property manager</w:t>
      </w:r>
      <w:r w:rsidR="00707B4B">
        <w:t>s in 2020 as part of a cross-cutting research activity. We do not expect to conduct previously planned tenant surveys in 2020 due to the Initiative’s fairly small size.</w:t>
      </w:r>
    </w:p>
    <w:p w14:paraId="3868E462" w14:textId="0AC985EE" w:rsidR="00E656B8" w:rsidRPr="00E656B8" w:rsidRDefault="00E656B8" w:rsidP="00E656B8">
      <w:pPr>
        <w:pStyle w:val="Bullet1"/>
      </w:pPr>
      <w:r w:rsidRPr="00DD3844">
        <w:rPr>
          <w:b/>
        </w:rPr>
        <w:t>20</w:t>
      </w:r>
      <w:r>
        <w:rPr>
          <w:b/>
        </w:rPr>
        <w:t>21</w:t>
      </w:r>
      <w:r w:rsidRPr="00DD3844">
        <w:rPr>
          <w:b/>
        </w:rPr>
        <w:t>:</w:t>
      </w:r>
      <w:r>
        <w:t xml:space="preserve"> The evaluation team will conduct annual process and impact evaluation activities in 2021.</w:t>
      </w:r>
    </w:p>
    <w:p w14:paraId="7051CA01" w14:textId="0F4D78F1" w:rsidR="005E0BC0" w:rsidRDefault="005E0BC0" w:rsidP="005E0BC0">
      <w:pPr>
        <w:pStyle w:val="Heading2"/>
      </w:pPr>
      <w:bookmarkStart w:id="47" w:name="_Toc27335115"/>
      <w:r>
        <w:t xml:space="preserve">Direct Distribution of Efficient Products </w:t>
      </w:r>
      <w:r w:rsidR="009E77D8">
        <w:t>Initiative</w:t>
      </w:r>
      <w:bookmarkEnd w:id="47"/>
    </w:p>
    <w:p w14:paraId="325A9DDF" w14:textId="4C0D2B68" w:rsidR="00B82003" w:rsidRDefault="001C2D8C" w:rsidP="00B82003">
      <w:r>
        <w:t xml:space="preserve">The Direct Distribution of Efficient Products </w:t>
      </w:r>
      <w:r w:rsidR="00DD3844">
        <w:t>I</w:t>
      </w:r>
      <w:r>
        <w:t>nitiative provides energy savings kits to students in participating 5</w:t>
      </w:r>
      <w:r w:rsidRPr="001C2D8C">
        <w:rPr>
          <w:vertAlign w:val="superscript"/>
        </w:rPr>
        <w:t>th</w:t>
      </w:r>
      <w:r>
        <w:t xml:space="preserve"> to 8</w:t>
      </w:r>
      <w:r w:rsidRPr="001C2D8C">
        <w:rPr>
          <w:vertAlign w:val="superscript"/>
        </w:rPr>
        <w:t>th</w:t>
      </w:r>
      <w:r>
        <w:t xml:space="preserve"> grade classrooms with a focus on low income communities that receive both electric and gas service from AIC. The kits contain LED light bulbs, an LED nightlight, low flow showerheads and faucet aerators, a </w:t>
      </w:r>
      <w:r w:rsidR="00DD3844">
        <w:t>T</w:t>
      </w:r>
      <w:r>
        <w:t xml:space="preserve">ier 1 </w:t>
      </w:r>
      <w:r w:rsidR="00AE7B70">
        <w:t>advanced</w:t>
      </w:r>
      <w:r>
        <w:t xml:space="preserve"> power strip</w:t>
      </w:r>
      <w:r w:rsidR="00DD3844">
        <w:t>,</w:t>
      </w:r>
      <w:r>
        <w:t xml:space="preserve"> and a furnace filter tone alarm. By providing the kits in conjunction with energy conservation education in the classroom, AIC hopes to reduce energy use in participating student homes. To achieve its goals related to this </w:t>
      </w:r>
      <w:r w:rsidR="00DD3844">
        <w:t>I</w:t>
      </w:r>
      <w:r>
        <w:t>nitiative, AIC will partner with the Illinois Board of Education, parent and teacher organizations, and public and private school systems.</w:t>
      </w:r>
    </w:p>
    <w:p w14:paraId="59672F34" w14:textId="1C89B975" w:rsidR="00B82003" w:rsidRPr="00D327C0" w:rsidRDefault="00B82003" w:rsidP="00FA04B9">
      <w:pPr>
        <w:pStyle w:val="Caption"/>
      </w:pPr>
      <w:bookmarkStart w:id="48" w:name="_Ref502222005"/>
      <w:bookmarkStart w:id="49" w:name="_Toc27335138"/>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11</w:t>
      </w:r>
      <w:r w:rsidR="00E656B8">
        <w:rPr>
          <w:noProof/>
        </w:rPr>
        <w:fldChar w:fldCharType="end"/>
      </w:r>
      <w:bookmarkEnd w:id="48"/>
      <w:r>
        <w:t>. Direct Distribution of Efficient Products Initiative Evaluation Activities – Four Year Plan</w:t>
      </w:r>
      <w:bookmarkEnd w:id="49"/>
    </w:p>
    <w:tbl>
      <w:tblPr>
        <w:tblStyle w:val="ODCBasic-1"/>
        <w:tblW w:w="0" w:type="auto"/>
        <w:tblLook w:val="04A0" w:firstRow="1" w:lastRow="0" w:firstColumn="1" w:lastColumn="0" w:noHBand="0" w:noVBand="1"/>
      </w:tblPr>
      <w:tblGrid>
        <w:gridCol w:w="775"/>
        <w:gridCol w:w="3904"/>
        <w:gridCol w:w="614"/>
        <w:gridCol w:w="614"/>
        <w:gridCol w:w="614"/>
        <w:gridCol w:w="614"/>
      </w:tblGrid>
      <w:tr w:rsidR="00167D10" w14:paraId="4A8C2D41" w14:textId="77777777" w:rsidTr="00BE51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05EA8265" w14:textId="2AE8C58D" w:rsidR="00167D10" w:rsidRDefault="00167D10" w:rsidP="00B82003">
            <w:pPr>
              <w:pStyle w:val="ODCBodyText"/>
            </w:pPr>
            <w:r>
              <w:t>Timing</w:t>
            </w:r>
          </w:p>
        </w:tc>
        <w:tc>
          <w:tcPr>
            <w:tcW w:w="0" w:type="auto"/>
          </w:tcPr>
          <w:p w14:paraId="668ACAC2" w14:textId="056B7169" w:rsidR="00167D10" w:rsidRDefault="00167D10" w:rsidP="00DD3844">
            <w:pPr>
              <w:pStyle w:val="ODCBodyText"/>
              <w:jc w:val="center"/>
              <w:cnfStyle w:val="100000000000" w:firstRow="1" w:lastRow="0" w:firstColumn="0" w:lastColumn="0" w:oddVBand="0" w:evenVBand="0" w:oddHBand="0" w:evenHBand="0" w:firstRowFirstColumn="0" w:firstRowLastColumn="0" w:lastRowFirstColumn="0" w:lastRowLastColumn="0"/>
            </w:pPr>
            <w:r>
              <w:t>Activity</w:t>
            </w:r>
          </w:p>
        </w:tc>
        <w:tc>
          <w:tcPr>
            <w:tcW w:w="0" w:type="auto"/>
          </w:tcPr>
          <w:p w14:paraId="759171C1" w14:textId="77777777" w:rsidR="00167D10" w:rsidRDefault="00167D10" w:rsidP="00B82003">
            <w:pPr>
              <w:pStyle w:val="ODCBodyText"/>
              <w:jc w:val="center"/>
              <w:cnfStyle w:val="100000000000" w:firstRow="1" w:lastRow="0" w:firstColumn="0" w:lastColumn="0" w:oddVBand="0" w:evenVBand="0" w:oddHBand="0" w:evenHBand="0" w:firstRowFirstColumn="0" w:firstRowLastColumn="0" w:lastRowFirstColumn="0" w:lastRowLastColumn="0"/>
            </w:pPr>
            <w:r>
              <w:t>2018</w:t>
            </w:r>
          </w:p>
        </w:tc>
        <w:tc>
          <w:tcPr>
            <w:tcW w:w="0" w:type="auto"/>
          </w:tcPr>
          <w:p w14:paraId="67C5EDED" w14:textId="77777777" w:rsidR="00167D10" w:rsidRDefault="00167D10" w:rsidP="00B82003">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0" w:type="auto"/>
          </w:tcPr>
          <w:p w14:paraId="2F457DD5" w14:textId="77777777" w:rsidR="00167D10" w:rsidRDefault="00167D10" w:rsidP="00B82003">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0" w:type="auto"/>
          </w:tcPr>
          <w:p w14:paraId="17F91AF7" w14:textId="77777777" w:rsidR="00167D10" w:rsidRDefault="00167D10" w:rsidP="00B82003">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8214AF" w14:paraId="7339B6B4" w14:textId="77777777" w:rsidTr="0082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59C0A24B" w14:textId="0DCA1C70" w:rsidR="008214AF" w:rsidRPr="00DD3844" w:rsidRDefault="008214AF" w:rsidP="008214AF">
            <w:pPr>
              <w:pStyle w:val="ODCBodyText"/>
              <w:jc w:val="left"/>
              <w:rPr>
                <w:color w:val="auto"/>
              </w:rPr>
            </w:pPr>
            <w:r w:rsidRPr="00DD3844">
              <w:rPr>
                <w:color w:val="auto"/>
              </w:rPr>
              <w:t>Annual</w:t>
            </w:r>
          </w:p>
        </w:tc>
        <w:tc>
          <w:tcPr>
            <w:tcW w:w="0" w:type="auto"/>
          </w:tcPr>
          <w:p w14:paraId="7EB0E0F0" w14:textId="190FEE1F" w:rsidR="008214AF" w:rsidRPr="00DD3844" w:rsidRDefault="005678BE"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Initiative Material &amp; Database Review</w:t>
            </w:r>
          </w:p>
        </w:tc>
        <w:tc>
          <w:tcPr>
            <w:tcW w:w="0" w:type="auto"/>
          </w:tcPr>
          <w:p w14:paraId="62B25E95" w14:textId="00A61C79"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6FE35CA8" w14:textId="0149D2A1"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006693C5" w14:textId="38C5F3B7"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A3F8E0E" w14:textId="2C48D4E2"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40AC9B2B" w14:textId="77777777" w:rsidTr="008214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6A8CCEC" w14:textId="77777777" w:rsidR="008214AF" w:rsidRPr="00DD3844" w:rsidRDefault="008214AF" w:rsidP="008214AF">
            <w:pPr>
              <w:pStyle w:val="ODCBodyText"/>
              <w:jc w:val="left"/>
              <w:rPr>
                <w:color w:val="auto"/>
              </w:rPr>
            </w:pPr>
          </w:p>
        </w:tc>
        <w:tc>
          <w:tcPr>
            <w:tcW w:w="0" w:type="auto"/>
          </w:tcPr>
          <w:p w14:paraId="08231D24" w14:textId="3DFA28F6" w:rsidR="008214AF" w:rsidRPr="00DD3844" w:rsidRDefault="005678BE"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Initiative Staff Interview</w:t>
            </w:r>
            <w:r w:rsidR="008214AF" w:rsidRPr="00DD3844">
              <w:rPr>
                <w:color w:val="auto"/>
              </w:rPr>
              <w:t>s</w:t>
            </w:r>
          </w:p>
        </w:tc>
        <w:tc>
          <w:tcPr>
            <w:tcW w:w="0" w:type="auto"/>
          </w:tcPr>
          <w:p w14:paraId="4621AA65" w14:textId="10888DB3"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1492C700" w14:textId="1DDEF5AF"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5DE90A76" w14:textId="7422E04D"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50434B4D" w14:textId="1F81A42D"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8214AF" w14:paraId="6BB54D1C" w14:textId="77777777" w:rsidTr="0082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85D235A" w14:textId="77777777" w:rsidR="008214AF" w:rsidRPr="00DD3844" w:rsidRDefault="008214AF" w:rsidP="008214AF">
            <w:pPr>
              <w:pStyle w:val="ODCBodyText"/>
              <w:jc w:val="left"/>
              <w:rPr>
                <w:color w:val="auto"/>
              </w:rPr>
            </w:pPr>
          </w:p>
        </w:tc>
        <w:tc>
          <w:tcPr>
            <w:tcW w:w="0" w:type="auto"/>
          </w:tcPr>
          <w:p w14:paraId="0822122F" w14:textId="3E59461F" w:rsidR="008214AF" w:rsidRPr="00DD3844"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IL-TRM Application Review</w:t>
            </w:r>
          </w:p>
        </w:tc>
        <w:tc>
          <w:tcPr>
            <w:tcW w:w="0" w:type="auto"/>
          </w:tcPr>
          <w:p w14:paraId="1E204A6D" w14:textId="5505C5A8"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57D3F7A9" w14:textId="1CE6A114"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9D0F3D8" w14:textId="22CED99E"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6027A36C" w14:textId="2278D17C"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26023E7A" w14:textId="77777777" w:rsidTr="008214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55C1413" w14:textId="77777777" w:rsidR="008214AF" w:rsidRPr="00DD3844" w:rsidRDefault="008214AF" w:rsidP="008214AF">
            <w:pPr>
              <w:pStyle w:val="ODCBodyText"/>
              <w:jc w:val="left"/>
              <w:rPr>
                <w:color w:val="auto"/>
              </w:rPr>
            </w:pPr>
          </w:p>
        </w:tc>
        <w:tc>
          <w:tcPr>
            <w:tcW w:w="0" w:type="auto"/>
          </w:tcPr>
          <w:p w14:paraId="587ADBC4" w14:textId="03F19AB4" w:rsidR="008214AF" w:rsidRPr="00DD3844" w:rsidRDefault="008214AF"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Net Impact Analysis – SAG Approved NTGR</w:t>
            </w:r>
          </w:p>
        </w:tc>
        <w:tc>
          <w:tcPr>
            <w:tcW w:w="0" w:type="auto"/>
          </w:tcPr>
          <w:p w14:paraId="7C4DD740" w14:textId="1A822735"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5147A56A" w14:textId="5A3022A3"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44A1B464" w14:textId="4FEF1C49"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0A9234DA" w14:textId="4DB2F7B4"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167D10" w14:paraId="2144E5D3" w14:textId="77777777" w:rsidTr="00407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98D6F6" w:themeFill="background1" w:themeFillTint="66"/>
          </w:tcPr>
          <w:p w14:paraId="7F094264" w14:textId="77777777" w:rsidR="00167D10" w:rsidRPr="00DD3844" w:rsidRDefault="00167D10" w:rsidP="00167D10">
            <w:pPr>
              <w:pStyle w:val="ODCBodyText"/>
              <w:jc w:val="center"/>
              <w:rPr>
                <w:color w:val="auto"/>
              </w:rPr>
            </w:pPr>
          </w:p>
        </w:tc>
      </w:tr>
      <w:tr w:rsidR="00D138EE" w14:paraId="0CC35ECF" w14:textId="77777777" w:rsidTr="00D13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CD32FAB" w14:textId="2AA2124C" w:rsidR="00D138EE" w:rsidRPr="00DD3844" w:rsidRDefault="00D138EE" w:rsidP="00D138EE">
            <w:pPr>
              <w:pStyle w:val="ODCBodyText"/>
              <w:jc w:val="left"/>
              <w:rPr>
                <w:color w:val="auto"/>
              </w:rPr>
            </w:pPr>
            <w:r w:rsidRPr="00DD3844">
              <w:rPr>
                <w:color w:val="auto"/>
              </w:rPr>
              <w:t>Phased</w:t>
            </w:r>
          </w:p>
        </w:tc>
        <w:tc>
          <w:tcPr>
            <w:tcW w:w="0" w:type="auto"/>
          </w:tcPr>
          <w:p w14:paraId="38C9A46D" w14:textId="64CA37FF" w:rsidR="00D138EE" w:rsidRPr="00DD3844" w:rsidRDefault="00D138EE" w:rsidP="00167D10">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Parent Survey (Process &amp; NTG)</w:t>
            </w:r>
          </w:p>
        </w:tc>
        <w:tc>
          <w:tcPr>
            <w:tcW w:w="0" w:type="auto"/>
            <w:vAlign w:val="center"/>
          </w:tcPr>
          <w:p w14:paraId="2AB5C157" w14:textId="77777777" w:rsidR="00D138EE" w:rsidRPr="00DD3844" w:rsidRDefault="00D138EE" w:rsidP="00167D1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19C6F4FC" w14:textId="05778AFA" w:rsidR="00D138EE" w:rsidRPr="00DD3844" w:rsidRDefault="00D138EE" w:rsidP="00167D1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00B11AE0" w14:textId="77777777" w:rsidR="00D138EE" w:rsidRPr="00DD3844" w:rsidRDefault="00D138EE" w:rsidP="00167D1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2560C71D" w14:textId="4EBA57AB" w:rsidR="00D138EE" w:rsidRPr="00DD3844" w:rsidRDefault="00D138EE" w:rsidP="00167D10">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D138EE" w14:paraId="426954C3" w14:textId="77777777" w:rsidTr="00407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0138C3B" w14:textId="77777777" w:rsidR="00D138EE" w:rsidRPr="00DD3844" w:rsidRDefault="00D138EE" w:rsidP="00167D10">
            <w:pPr>
              <w:pStyle w:val="ODCBodyText"/>
              <w:jc w:val="left"/>
            </w:pPr>
          </w:p>
        </w:tc>
        <w:tc>
          <w:tcPr>
            <w:tcW w:w="0" w:type="auto"/>
          </w:tcPr>
          <w:p w14:paraId="08F767AA" w14:textId="703776FE" w:rsidR="00D138EE" w:rsidRPr="00DD3844" w:rsidRDefault="00D138EE" w:rsidP="00167D10">
            <w:pPr>
              <w:pStyle w:val="ODCBodyText"/>
              <w:jc w:val="left"/>
              <w:cnfStyle w:val="000000100000" w:firstRow="0" w:lastRow="0" w:firstColumn="0" w:lastColumn="0" w:oddVBand="0" w:evenVBand="0" w:oddHBand="1" w:evenHBand="0" w:firstRowFirstColumn="0" w:firstRowLastColumn="0" w:lastRowFirstColumn="0" w:lastRowLastColumn="0"/>
            </w:pPr>
            <w:r w:rsidRPr="00D138EE">
              <w:rPr>
                <w:color w:val="auto"/>
              </w:rPr>
              <w:t xml:space="preserve">School Administrator </w:t>
            </w:r>
            <w:r w:rsidR="002631A2">
              <w:rPr>
                <w:color w:val="auto"/>
              </w:rPr>
              <w:t xml:space="preserve">and Teacher </w:t>
            </w:r>
            <w:r w:rsidRPr="00D138EE">
              <w:rPr>
                <w:color w:val="auto"/>
              </w:rPr>
              <w:t>Interviews</w:t>
            </w:r>
          </w:p>
        </w:tc>
        <w:tc>
          <w:tcPr>
            <w:tcW w:w="0" w:type="auto"/>
            <w:vAlign w:val="center"/>
          </w:tcPr>
          <w:p w14:paraId="16508907" w14:textId="77777777" w:rsidR="00D138EE" w:rsidRPr="00DD3844" w:rsidRDefault="00D138EE" w:rsidP="00167D10">
            <w:pPr>
              <w:pStyle w:val="ODCBodyText"/>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2AA58F61" w14:textId="7DBEA756" w:rsidR="00D138EE" w:rsidRPr="00DD3844" w:rsidRDefault="00D138EE" w:rsidP="00167D10">
            <w:pPr>
              <w:pStyle w:val="ODCBodyText"/>
              <w:jc w:val="center"/>
              <w:cnfStyle w:val="000000100000" w:firstRow="0" w:lastRow="0" w:firstColumn="0" w:lastColumn="0" w:oddVBand="0" w:evenVBand="0" w:oddHBand="1" w:evenHBand="0" w:firstRowFirstColumn="0" w:firstRowLastColumn="0" w:lastRowFirstColumn="0" w:lastRowLastColumn="0"/>
            </w:pPr>
            <w:r w:rsidRPr="00DD3844">
              <w:rPr>
                <w:color w:val="auto"/>
              </w:rPr>
              <w:sym w:font="Wingdings" w:char="F0FC"/>
            </w:r>
          </w:p>
        </w:tc>
        <w:tc>
          <w:tcPr>
            <w:tcW w:w="0" w:type="auto"/>
            <w:vAlign w:val="center"/>
          </w:tcPr>
          <w:p w14:paraId="2C7A489C" w14:textId="77777777" w:rsidR="00D138EE" w:rsidRPr="00DD3844" w:rsidRDefault="00D138EE" w:rsidP="00167D10">
            <w:pPr>
              <w:pStyle w:val="ODCBodyText"/>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6A405E2A" w14:textId="77777777" w:rsidR="00D138EE" w:rsidRPr="00DD3844" w:rsidRDefault="00D138EE" w:rsidP="00167D10">
            <w:pPr>
              <w:pStyle w:val="ODCBodyText"/>
              <w:jc w:val="center"/>
              <w:cnfStyle w:val="000000100000" w:firstRow="0" w:lastRow="0" w:firstColumn="0" w:lastColumn="0" w:oddVBand="0" w:evenVBand="0" w:oddHBand="1" w:evenHBand="0" w:firstRowFirstColumn="0" w:firstRowLastColumn="0" w:lastRowFirstColumn="0" w:lastRowLastColumn="0"/>
            </w:pPr>
          </w:p>
        </w:tc>
      </w:tr>
    </w:tbl>
    <w:p w14:paraId="405428D5" w14:textId="3F58A33C" w:rsidR="00BD613C" w:rsidRDefault="00BD613C" w:rsidP="00707B4B">
      <w:pPr>
        <w:pStyle w:val="ODCBodyText"/>
      </w:pPr>
      <w:r>
        <w:t xml:space="preserve">We proposed the evaluation activities included in </w:t>
      </w:r>
      <w:r>
        <w:fldChar w:fldCharType="begin"/>
      </w:r>
      <w:r>
        <w:instrText xml:space="preserve"> REF _Ref502222005 \h </w:instrText>
      </w:r>
      <w:r>
        <w:fldChar w:fldCharType="separate"/>
      </w:r>
      <w:r w:rsidR="00A75F23">
        <w:t xml:space="preserve">Table </w:t>
      </w:r>
      <w:r w:rsidR="00A75F23">
        <w:rPr>
          <w:noProof/>
        </w:rPr>
        <w:t>11</w:t>
      </w:r>
      <w:r>
        <w:fldChar w:fldCharType="end"/>
      </w:r>
      <w:r>
        <w:t xml:space="preserve"> for the following reasons:</w:t>
      </w:r>
    </w:p>
    <w:p w14:paraId="74F49876" w14:textId="7D4696DD" w:rsidR="00DD3844" w:rsidRPr="00E656B8" w:rsidRDefault="006337A0" w:rsidP="00B82003">
      <w:pPr>
        <w:pStyle w:val="Bullet1"/>
      </w:pPr>
      <w:r w:rsidRPr="006337A0">
        <w:rPr>
          <w:b/>
        </w:rPr>
        <w:t>2020 and 2021</w:t>
      </w:r>
      <w:r>
        <w:t xml:space="preserve">: During the last two years of the 2018 Plan period, the evaluation team will alternate between a focus on </w:t>
      </w:r>
      <w:r w:rsidR="000669CE">
        <w:t>i</w:t>
      </w:r>
      <w:r>
        <w:t xml:space="preserve">nitiative energy savings impacts (2020) and deeper dives into the participation process (2021). If changes are made to the </w:t>
      </w:r>
      <w:r w:rsidR="00DD3844">
        <w:t>I</w:t>
      </w:r>
      <w:r>
        <w:t xml:space="preserve">nitiative in these years, the evaluation team may change the order in which this research is conducted. However, if implemented as planned, there will be a one year gap between detailed process evaluation activities. </w:t>
      </w:r>
      <w:r w:rsidR="00DD3844" w:rsidRPr="00E656B8">
        <w:rPr>
          <w:szCs w:val="22"/>
        </w:rPr>
        <w:br w:type="page"/>
      </w:r>
    </w:p>
    <w:p w14:paraId="398937D6" w14:textId="77777777" w:rsidR="005E0BC0" w:rsidRPr="005E0BC0" w:rsidRDefault="005E0BC0" w:rsidP="005E0BC0">
      <w:pPr>
        <w:pStyle w:val="Heading1"/>
      </w:pPr>
      <w:bookmarkStart w:id="50" w:name="_Toc27335116"/>
      <w:r>
        <w:lastRenderedPageBreak/>
        <w:t>Business Program Evaluation Efforts</w:t>
      </w:r>
      <w:bookmarkEnd w:id="50"/>
    </w:p>
    <w:p w14:paraId="25077DD5" w14:textId="6663FE64" w:rsidR="00966A2D" w:rsidRDefault="007848C4" w:rsidP="00127B25">
      <w:pPr>
        <w:pStyle w:val="ODCBodyText"/>
      </w:pPr>
      <w:r>
        <w:t>In this section, we outline the anticipated evaluation activities for each of t</w:t>
      </w:r>
      <w:r w:rsidR="005010F2">
        <w:t xml:space="preserve">he Business Program </w:t>
      </w:r>
      <w:r w:rsidR="00DD3844">
        <w:t>I</w:t>
      </w:r>
      <w:r w:rsidR="005010F2">
        <w:t xml:space="preserve">nitiatives. The research proposed for this program is particularly important as AIC rolls out energy efficiency offerings to a different eligible population than in the past. More specifically, with the exclusion of 10 MW customers </w:t>
      </w:r>
      <w:r w:rsidR="00DD3844">
        <w:t>(</w:t>
      </w:r>
      <w:r w:rsidR="005010F2">
        <w:t>who historically participated heavily in AIC programs</w:t>
      </w:r>
      <w:r w:rsidR="00DD3844">
        <w:t>)</w:t>
      </w:r>
      <w:r w:rsidR="005010F2">
        <w:t xml:space="preserve"> as well as the addition of public-sector customers</w:t>
      </w:r>
      <w:r w:rsidR="00DD3844">
        <w:t>,</w:t>
      </w:r>
      <w:r w:rsidR="005010F2">
        <w:t xml:space="preserve"> AIC and its implementation contractors are serving a different market. As such, the evaluation team has proposed early and targeted research to help identify and address any challenges to implementation</w:t>
      </w:r>
      <w:r w:rsidR="0044767C">
        <w:t xml:space="preserve"> and savings generation,</w:t>
      </w:r>
      <w:r w:rsidR="005010F2">
        <w:t xml:space="preserve"> or barriers to program participation.</w:t>
      </w:r>
    </w:p>
    <w:p w14:paraId="374B27CE" w14:textId="4C3461EB" w:rsidR="007848C4" w:rsidRDefault="007848C4" w:rsidP="007848C4">
      <w:pPr>
        <w:pStyle w:val="Heading2"/>
      </w:pPr>
      <w:bookmarkStart w:id="51" w:name="_Toc27335117"/>
      <w:r>
        <w:t>Standard</w:t>
      </w:r>
      <w:r w:rsidR="00DD3844">
        <w:t xml:space="preserve"> Initiative</w:t>
      </w:r>
      <w:bookmarkEnd w:id="51"/>
    </w:p>
    <w:p w14:paraId="31478C3A" w14:textId="3555F5CF" w:rsidR="00EE536F" w:rsidRPr="00E121E8" w:rsidRDefault="00EE536F" w:rsidP="00EE536F">
      <w:pPr>
        <w:pStyle w:val="BodyText"/>
      </w:pPr>
      <w:r w:rsidRPr="00A66C68">
        <w:rPr>
          <w:szCs w:val="22"/>
        </w:rPr>
        <w:t xml:space="preserve">The Standard </w:t>
      </w:r>
      <w:r>
        <w:rPr>
          <w:szCs w:val="22"/>
        </w:rPr>
        <w:t xml:space="preserve">Initiative </w:t>
      </w:r>
      <w:r w:rsidRPr="00A66C68">
        <w:rPr>
          <w:szCs w:val="22"/>
        </w:rPr>
        <w:t xml:space="preserve">offers AIC business customers fixed incentives for the installation of </w:t>
      </w:r>
      <w:r>
        <w:rPr>
          <w:szCs w:val="22"/>
        </w:rPr>
        <w:t>prescriptive</w:t>
      </w:r>
      <w:r w:rsidRPr="00A66C68">
        <w:rPr>
          <w:szCs w:val="22"/>
        </w:rPr>
        <w:t xml:space="preserve"> energy efficiency measures.</w:t>
      </w:r>
      <w:r>
        <w:rPr>
          <w:szCs w:val="22"/>
        </w:rPr>
        <w:t xml:space="preserve"> </w:t>
      </w:r>
      <w:r w:rsidRPr="00A66C68">
        <w:rPr>
          <w:szCs w:val="22"/>
        </w:rPr>
        <w:t xml:space="preserve">The </w:t>
      </w:r>
      <w:r>
        <w:rPr>
          <w:szCs w:val="22"/>
        </w:rPr>
        <w:t>core Initiative provides incentives</w:t>
      </w:r>
      <w:r w:rsidRPr="00A66C68">
        <w:rPr>
          <w:szCs w:val="22"/>
        </w:rPr>
        <w:t xml:space="preserve"> </w:t>
      </w:r>
      <w:r>
        <w:rPr>
          <w:szCs w:val="22"/>
        </w:rPr>
        <w:t>for</w:t>
      </w:r>
      <w:r w:rsidRPr="00A66C68">
        <w:rPr>
          <w:szCs w:val="22"/>
        </w:rPr>
        <w:t xml:space="preserve"> lighting, variable frequency driv</w:t>
      </w:r>
      <w:r>
        <w:rPr>
          <w:szCs w:val="22"/>
        </w:rPr>
        <w:t>es (VFDs), HVAC</w:t>
      </w:r>
      <w:r w:rsidRPr="00A66C68">
        <w:rPr>
          <w:szCs w:val="22"/>
        </w:rPr>
        <w:t xml:space="preserve">, steam traps, </w:t>
      </w:r>
      <w:r>
        <w:rPr>
          <w:szCs w:val="22"/>
        </w:rPr>
        <w:t xml:space="preserve">compressed air leak repair, </w:t>
      </w:r>
      <w:r w:rsidRPr="00A66C68">
        <w:rPr>
          <w:szCs w:val="22"/>
        </w:rPr>
        <w:t>and other measures</w:t>
      </w:r>
      <w:r>
        <w:rPr>
          <w:szCs w:val="22"/>
        </w:rPr>
        <w:t>, obtained by applying for a rebate through AIC</w:t>
      </w:r>
      <w:r w:rsidRPr="00A66C68">
        <w:rPr>
          <w:szCs w:val="22"/>
        </w:rPr>
        <w:t>.</w:t>
      </w:r>
      <w:r>
        <w:rPr>
          <w:szCs w:val="22"/>
        </w:rPr>
        <w:t xml:space="preserve"> In addition, the Standard Initiative</w:t>
      </w:r>
      <w:r w:rsidRPr="00A66C68">
        <w:rPr>
          <w:szCs w:val="22"/>
        </w:rPr>
        <w:t xml:space="preserve"> </w:t>
      </w:r>
      <w:r>
        <w:rPr>
          <w:szCs w:val="22"/>
        </w:rPr>
        <w:t xml:space="preserve">offerings </w:t>
      </w:r>
      <w:r w:rsidR="00DD3844">
        <w:rPr>
          <w:szCs w:val="22"/>
        </w:rPr>
        <w:t xml:space="preserve">are </w:t>
      </w:r>
      <w:r>
        <w:rPr>
          <w:szCs w:val="22"/>
        </w:rPr>
        <w:t>available to AIC’s business customers through other channels:</w:t>
      </w:r>
    </w:p>
    <w:p w14:paraId="20DB58AD" w14:textId="678D7C33" w:rsidR="00EE536F" w:rsidRPr="00E121E8" w:rsidRDefault="00EE536F" w:rsidP="00EE536F">
      <w:pPr>
        <w:pStyle w:val="Bullet1"/>
        <w:rPr>
          <w:szCs w:val="22"/>
        </w:rPr>
      </w:pPr>
      <w:r>
        <w:rPr>
          <w:szCs w:val="22"/>
        </w:rPr>
        <w:t>T</w:t>
      </w:r>
      <w:r w:rsidRPr="00A66C68">
        <w:rPr>
          <w:szCs w:val="22"/>
        </w:rPr>
        <w:t xml:space="preserve">he </w:t>
      </w:r>
      <w:r>
        <w:rPr>
          <w:szCs w:val="22"/>
        </w:rPr>
        <w:t xml:space="preserve">Instant Incentives offering </w:t>
      </w:r>
      <w:r>
        <w:t>provides mid-stream incentives to customers purchasing lighting products at distributor retail locations to help increase the market share of efficient lighting products</w:t>
      </w:r>
      <w:r w:rsidR="00DD3844">
        <w:t>.</w:t>
      </w:r>
    </w:p>
    <w:p w14:paraId="19E5A2E4" w14:textId="0C976B55" w:rsidR="00EE536F" w:rsidRDefault="00EE536F" w:rsidP="00EE536F">
      <w:pPr>
        <w:pStyle w:val="Bullet1"/>
      </w:pPr>
      <w:r>
        <w:t xml:space="preserve">The </w:t>
      </w:r>
      <w:r w:rsidRPr="00A66C68">
        <w:t>Ameren Illinois Business Customer Online Store (</w:t>
      </w:r>
      <w:r w:rsidRPr="00E121E8">
        <w:rPr>
          <w:szCs w:val="22"/>
        </w:rPr>
        <w:t xml:space="preserve">Online Store) is available to all electric business customers and offers a variety of energy-saving lighting products, including LEDs, occupancy sensors, and </w:t>
      </w:r>
      <w:r w:rsidR="00AE7B70">
        <w:rPr>
          <w:szCs w:val="22"/>
        </w:rPr>
        <w:t>advanced</w:t>
      </w:r>
      <w:r w:rsidRPr="00E121E8">
        <w:rPr>
          <w:szCs w:val="22"/>
        </w:rPr>
        <w:t xml:space="preserve"> power strips</w:t>
      </w:r>
      <w:r w:rsidR="00DD3844">
        <w:rPr>
          <w:szCs w:val="22"/>
        </w:rPr>
        <w:t>.</w:t>
      </w:r>
    </w:p>
    <w:p w14:paraId="2E43BFA0" w14:textId="5876DFAD" w:rsidR="00EE536F" w:rsidRDefault="00EE536F" w:rsidP="00E42B3C">
      <w:pPr>
        <w:pStyle w:val="BodyText"/>
      </w:pPr>
      <w:r>
        <w:t xml:space="preserve">The Standard Initiative is designed to serve business customers of all sizes including small, </w:t>
      </w:r>
      <w:r w:rsidR="00DD3844">
        <w:t>medium,</w:t>
      </w:r>
      <w:r>
        <w:t xml:space="preserve"> and large businesses. However, the Initiative is a critical participation channel for AIC’s small customers, who in past years were targeted by a series of stand-alone </w:t>
      </w:r>
      <w:r w:rsidR="00DD3844">
        <w:t>IPA-</w:t>
      </w:r>
      <w:r>
        <w:t>approved energy efficiency programs.</w:t>
      </w:r>
      <w:r w:rsidR="00DD3844">
        <w:t xml:space="preserve"> </w:t>
      </w:r>
      <w:r>
        <w:t>In 2018, the Standard Initiative will newly include a Small Business offering, providing direct install energy efficiency measures to AIC’s small (primarily DS-2 and/or GDS-2) customers</w:t>
      </w:r>
    </w:p>
    <w:p w14:paraId="7BA65A70" w14:textId="62CD001B" w:rsidR="00E0679E" w:rsidRPr="00763319" w:rsidRDefault="007A7263" w:rsidP="00763319">
      <w:pPr>
        <w:pStyle w:val="BodyText"/>
      </w:pPr>
      <w:r>
        <w:fldChar w:fldCharType="begin"/>
      </w:r>
      <w:r>
        <w:instrText xml:space="preserve"> REF _Ref502317636 \h </w:instrText>
      </w:r>
      <w:r>
        <w:fldChar w:fldCharType="separate"/>
      </w:r>
      <w:r w:rsidR="00A75F23">
        <w:t xml:space="preserve">Table </w:t>
      </w:r>
      <w:r w:rsidR="00A75F23">
        <w:rPr>
          <w:noProof/>
        </w:rPr>
        <w:t>12</w:t>
      </w:r>
      <w:r>
        <w:fldChar w:fldCharType="end"/>
      </w:r>
      <w:r>
        <w:t xml:space="preserve"> outlines the planned evaluation activities for the Standard </w:t>
      </w:r>
      <w:r w:rsidR="00646E0A">
        <w:t>I</w:t>
      </w:r>
      <w:r>
        <w:t xml:space="preserve">nitiative. </w:t>
      </w:r>
    </w:p>
    <w:p w14:paraId="74A6E6B8" w14:textId="357B9FF9" w:rsidR="007848C4" w:rsidRPr="00D327C0" w:rsidRDefault="007848C4" w:rsidP="00FA04B9">
      <w:pPr>
        <w:pStyle w:val="Caption"/>
      </w:pPr>
      <w:bookmarkStart w:id="52" w:name="_Ref502317636"/>
      <w:bookmarkStart w:id="53" w:name="_Toc27335139"/>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12</w:t>
      </w:r>
      <w:r w:rsidR="00E656B8">
        <w:rPr>
          <w:noProof/>
        </w:rPr>
        <w:fldChar w:fldCharType="end"/>
      </w:r>
      <w:bookmarkEnd w:id="52"/>
      <w:r>
        <w:t>. Standard Initiative Evaluation Activities – Four Year Plan</w:t>
      </w:r>
      <w:bookmarkEnd w:id="53"/>
    </w:p>
    <w:tbl>
      <w:tblPr>
        <w:tblStyle w:val="ODCBasic-1"/>
        <w:tblW w:w="0" w:type="auto"/>
        <w:tblLook w:val="04A0" w:firstRow="1" w:lastRow="0" w:firstColumn="1" w:lastColumn="0" w:noHBand="0" w:noVBand="1"/>
      </w:tblPr>
      <w:tblGrid>
        <w:gridCol w:w="775"/>
        <w:gridCol w:w="4184"/>
        <w:gridCol w:w="614"/>
        <w:gridCol w:w="614"/>
        <w:gridCol w:w="614"/>
        <w:gridCol w:w="614"/>
      </w:tblGrid>
      <w:tr w:rsidR="004079BB" w14:paraId="5D0D46B2" w14:textId="77777777" w:rsidTr="00B06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28D2F8E1" w14:textId="6F2B42EF" w:rsidR="004079BB" w:rsidRDefault="004079BB" w:rsidP="00914A20">
            <w:pPr>
              <w:pStyle w:val="ODCBodyText"/>
            </w:pPr>
            <w:r>
              <w:t>Timing</w:t>
            </w:r>
          </w:p>
        </w:tc>
        <w:tc>
          <w:tcPr>
            <w:tcW w:w="0" w:type="auto"/>
          </w:tcPr>
          <w:p w14:paraId="41EE053F" w14:textId="57F338B2" w:rsidR="004079BB" w:rsidRDefault="004079BB" w:rsidP="00DD3844">
            <w:pPr>
              <w:pStyle w:val="ODCBodyText"/>
              <w:jc w:val="center"/>
              <w:cnfStyle w:val="100000000000" w:firstRow="1" w:lastRow="0" w:firstColumn="0" w:lastColumn="0" w:oddVBand="0" w:evenVBand="0" w:oddHBand="0" w:evenHBand="0" w:firstRowFirstColumn="0" w:firstRowLastColumn="0" w:lastRowFirstColumn="0" w:lastRowLastColumn="0"/>
            </w:pPr>
            <w:r>
              <w:t>Activity</w:t>
            </w:r>
          </w:p>
        </w:tc>
        <w:tc>
          <w:tcPr>
            <w:tcW w:w="0" w:type="auto"/>
          </w:tcPr>
          <w:p w14:paraId="634C2B02" w14:textId="77777777" w:rsidR="004079BB" w:rsidRDefault="004079BB" w:rsidP="00914A20">
            <w:pPr>
              <w:pStyle w:val="ODCBodyText"/>
              <w:jc w:val="center"/>
              <w:cnfStyle w:val="100000000000" w:firstRow="1" w:lastRow="0" w:firstColumn="0" w:lastColumn="0" w:oddVBand="0" w:evenVBand="0" w:oddHBand="0" w:evenHBand="0" w:firstRowFirstColumn="0" w:firstRowLastColumn="0" w:lastRowFirstColumn="0" w:lastRowLastColumn="0"/>
            </w:pPr>
            <w:r>
              <w:t>2018</w:t>
            </w:r>
          </w:p>
        </w:tc>
        <w:tc>
          <w:tcPr>
            <w:tcW w:w="0" w:type="auto"/>
          </w:tcPr>
          <w:p w14:paraId="7C1AE5DB" w14:textId="77777777" w:rsidR="004079BB" w:rsidRDefault="004079BB" w:rsidP="00914A20">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0" w:type="auto"/>
          </w:tcPr>
          <w:p w14:paraId="2EF1059C" w14:textId="77777777" w:rsidR="004079BB" w:rsidRDefault="004079BB" w:rsidP="00914A20">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0" w:type="auto"/>
          </w:tcPr>
          <w:p w14:paraId="6F70FFAB" w14:textId="77777777" w:rsidR="004079BB" w:rsidRDefault="004079BB" w:rsidP="00914A20">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8214AF" w14:paraId="37E01C24" w14:textId="77777777" w:rsidTr="0082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9BB16AC" w14:textId="42700AAB" w:rsidR="008214AF" w:rsidRPr="00DD3844" w:rsidRDefault="008214AF" w:rsidP="008214AF">
            <w:pPr>
              <w:pStyle w:val="ODCBodyText"/>
              <w:jc w:val="left"/>
              <w:rPr>
                <w:color w:val="auto"/>
              </w:rPr>
            </w:pPr>
            <w:r w:rsidRPr="00DD3844">
              <w:rPr>
                <w:color w:val="auto"/>
              </w:rPr>
              <w:t>Annual</w:t>
            </w:r>
          </w:p>
        </w:tc>
        <w:tc>
          <w:tcPr>
            <w:tcW w:w="0" w:type="auto"/>
          </w:tcPr>
          <w:p w14:paraId="615DF301" w14:textId="13C75D65" w:rsidR="008214AF" w:rsidRPr="00DD3844" w:rsidRDefault="00646E0A"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 xml:space="preserve">Initiative </w:t>
            </w:r>
            <w:r w:rsidR="008214AF" w:rsidRPr="00DD3844">
              <w:rPr>
                <w:color w:val="auto"/>
              </w:rPr>
              <w:t>Material &amp; Database Review</w:t>
            </w:r>
          </w:p>
        </w:tc>
        <w:tc>
          <w:tcPr>
            <w:tcW w:w="0" w:type="auto"/>
          </w:tcPr>
          <w:p w14:paraId="6C404D1F" w14:textId="67ED9D6E"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9DB7D58" w14:textId="15A6E96A"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4648623" w14:textId="62AC00B1"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4F7ADF94" w14:textId="469D3F4B"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30D38566" w14:textId="77777777" w:rsidTr="008214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1C9FEE7" w14:textId="77777777" w:rsidR="008214AF" w:rsidRPr="00DD3844" w:rsidRDefault="008214AF" w:rsidP="008214AF">
            <w:pPr>
              <w:pStyle w:val="ODCBodyText"/>
              <w:jc w:val="left"/>
              <w:rPr>
                <w:color w:val="auto"/>
              </w:rPr>
            </w:pPr>
          </w:p>
        </w:tc>
        <w:tc>
          <w:tcPr>
            <w:tcW w:w="0" w:type="auto"/>
          </w:tcPr>
          <w:p w14:paraId="2BA44FB8" w14:textId="7A239663" w:rsidR="008214AF" w:rsidRPr="00DD3844" w:rsidRDefault="00646E0A"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 xml:space="preserve">Initiative </w:t>
            </w:r>
            <w:r w:rsidR="008214AF" w:rsidRPr="00DD3844">
              <w:rPr>
                <w:color w:val="auto"/>
              </w:rPr>
              <w:t>Staff Interviews</w:t>
            </w:r>
          </w:p>
        </w:tc>
        <w:tc>
          <w:tcPr>
            <w:tcW w:w="0" w:type="auto"/>
          </w:tcPr>
          <w:p w14:paraId="599319FD" w14:textId="7CA22556"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7B58D812" w14:textId="47903B82"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1A663097" w14:textId="48219A6D"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5D62C2AE" w14:textId="0EA74184"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8214AF" w14:paraId="0A8DE751" w14:textId="77777777" w:rsidTr="0082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F4047AC" w14:textId="77777777" w:rsidR="008214AF" w:rsidRPr="00DD3844" w:rsidRDefault="008214AF" w:rsidP="008214AF">
            <w:pPr>
              <w:pStyle w:val="ODCBodyText"/>
              <w:jc w:val="left"/>
              <w:rPr>
                <w:color w:val="auto"/>
              </w:rPr>
            </w:pPr>
          </w:p>
        </w:tc>
        <w:tc>
          <w:tcPr>
            <w:tcW w:w="0" w:type="auto"/>
          </w:tcPr>
          <w:p w14:paraId="100A7A76" w14:textId="1F45C063" w:rsidR="008214AF" w:rsidRPr="00DD3844"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Engineering Desk Review</w:t>
            </w:r>
          </w:p>
        </w:tc>
        <w:tc>
          <w:tcPr>
            <w:tcW w:w="0" w:type="auto"/>
          </w:tcPr>
          <w:p w14:paraId="7D08C6C6" w14:textId="7392F0B8"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54BE85D3" w14:textId="7162270E"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2C20DF12" w14:textId="2371B895"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041A9334" w14:textId="4267120C"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8214AF" w14:paraId="1835A75B" w14:textId="77777777" w:rsidTr="008214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0EFD576" w14:textId="77777777" w:rsidR="008214AF" w:rsidRPr="00DD3844" w:rsidRDefault="008214AF" w:rsidP="008214AF">
            <w:pPr>
              <w:pStyle w:val="ODCBodyText"/>
              <w:jc w:val="left"/>
              <w:rPr>
                <w:color w:val="auto"/>
              </w:rPr>
            </w:pPr>
          </w:p>
        </w:tc>
        <w:tc>
          <w:tcPr>
            <w:tcW w:w="0" w:type="auto"/>
          </w:tcPr>
          <w:p w14:paraId="0BDCCAD7" w14:textId="37DFC5F9" w:rsidR="008214AF" w:rsidRPr="00DD3844" w:rsidRDefault="008214AF" w:rsidP="008214A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IL-TRM Application Review</w:t>
            </w:r>
          </w:p>
        </w:tc>
        <w:tc>
          <w:tcPr>
            <w:tcW w:w="0" w:type="auto"/>
          </w:tcPr>
          <w:p w14:paraId="305E4BB6" w14:textId="43DCA6C4"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2C8B4D89" w14:textId="40E10DAF"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772A5CBE" w14:textId="3D75F30C"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2F34D0A9" w14:textId="46FC9248" w:rsidR="008214AF" w:rsidRPr="00DD3844" w:rsidRDefault="008214AF" w:rsidP="008214A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8214AF" w14:paraId="07DCF9C9" w14:textId="77777777" w:rsidTr="0082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D621E3B" w14:textId="77777777" w:rsidR="008214AF" w:rsidRPr="00DD3844" w:rsidRDefault="008214AF" w:rsidP="008214AF">
            <w:pPr>
              <w:pStyle w:val="ODCBodyText"/>
              <w:jc w:val="left"/>
              <w:rPr>
                <w:color w:val="auto"/>
              </w:rPr>
            </w:pPr>
          </w:p>
        </w:tc>
        <w:tc>
          <w:tcPr>
            <w:tcW w:w="0" w:type="auto"/>
          </w:tcPr>
          <w:p w14:paraId="182EA4EA" w14:textId="41DB33B9" w:rsidR="008214AF" w:rsidRPr="00DD3844" w:rsidRDefault="008214AF" w:rsidP="008214A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Net Impact Analysis – SAG Approved NTGR</w:t>
            </w:r>
          </w:p>
        </w:tc>
        <w:tc>
          <w:tcPr>
            <w:tcW w:w="0" w:type="auto"/>
          </w:tcPr>
          <w:p w14:paraId="50795290" w14:textId="491186DD"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596148EF" w14:textId="0C451486"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0437E4E0" w14:textId="3DD15D6D"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6F541600" w14:textId="19A343D3" w:rsidR="008214AF" w:rsidRPr="00DD3844" w:rsidRDefault="008214AF" w:rsidP="008214A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4079BB" w14:paraId="52755D3F" w14:textId="77777777" w:rsidTr="00407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98D6F6" w:themeFill="background1" w:themeFillTint="66"/>
            <w:vAlign w:val="center"/>
          </w:tcPr>
          <w:p w14:paraId="29202D44" w14:textId="77777777" w:rsidR="004079BB" w:rsidRPr="00DD3844" w:rsidRDefault="004079BB" w:rsidP="004079BB">
            <w:pPr>
              <w:pStyle w:val="ODCBodyText"/>
              <w:jc w:val="center"/>
              <w:rPr>
                <w:color w:val="auto"/>
              </w:rPr>
            </w:pPr>
          </w:p>
        </w:tc>
      </w:tr>
      <w:tr w:rsidR="006346E4" w14:paraId="50A43701" w14:textId="77777777" w:rsidTr="00E42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7FFA8463" w14:textId="1C21D07C" w:rsidR="006346E4" w:rsidRPr="00DD3844" w:rsidRDefault="00E42B3C" w:rsidP="00E42B3C">
            <w:pPr>
              <w:pStyle w:val="ODCBodyText"/>
              <w:jc w:val="left"/>
              <w:rPr>
                <w:color w:val="auto"/>
              </w:rPr>
            </w:pPr>
            <w:r>
              <w:rPr>
                <w:color w:val="auto"/>
              </w:rPr>
              <w:t>Phased</w:t>
            </w:r>
          </w:p>
        </w:tc>
        <w:tc>
          <w:tcPr>
            <w:tcW w:w="0" w:type="auto"/>
          </w:tcPr>
          <w:p w14:paraId="73613654" w14:textId="247D4DB4" w:rsidR="006346E4" w:rsidRPr="00DD3844" w:rsidRDefault="006346E4" w:rsidP="006346E4">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Core Participant Survey (NTG)</w:t>
            </w:r>
          </w:p>
        </w:tc>
        <w:tc>
          <w:tcPr>
            <w:tcW w:w="0" w:type="auto"/>
          </w:tcPr>
          <w:p w14:paraId="736E17B8" w14:textId="433DD7B7" w:rsidR="006346E4" w:rsidRPr="00DD3844" w:rsidRDefault="006346E4" w:rsidP="006346E4">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6190DA90" w14:textId="4568AC95" w:rsidR="006346E4" w:rsidRPr="00DD3844" w:rsidRDefault="006346E4" w:rsidP="006346E4">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tcPr>
          <w:p w14:paraId="0D1DB5BC" w14:textId="72A666AB" w:rsidR="006346E4" w:rsidRPr="00DD3844" w:rsidRDefault="006346E4" w:rsidP="006346E4">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47D1A498" w14:textId="3A10D7D4" w:rsidR="006346E4" w:rsidRPr="00DD3844" w:rsidRDefault="006346E4" w:rsidP="006346E4">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r w:rsidR="006346E4" w14:paraId="7B5671D5" w14:textId="77777777" w:rsidTr="006243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BB0D5F8" w14:textId="77777777" w:rsidR="006346E4" w:rsidRPr="00DD3844" w:rsidRDefault="006346E4" w:rsidP="006346E4">
            <w:pPr>
              <w:pStyle w:val="ODCBodyText"/>
              <w:jc w:val="left"/>
              <w:rPr>
                <w:color w:val="auto"/>
              </w:rPr>
            </w:pPr>
          </w:p>
        </w:tc>
        <w:tc>
          <w:tcPr>
            <w:tcW w:w="0" w:type="auto"/>
          </w:tcPr>
          <w:p w14:paraId="4A0D84B4" w14:textId="2A0B8793" w:rsidR="006346E4" w:rsidRPr="00DD3844" w:rsidRDefault="006346E4" w:rsidP="006346E4">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Participant Survey (Process)</w:t>
            </w:r>
          </w:p>
        </w:tc>
        <w:tc>
          <w:tcPr>
            <w:tcW w:w="0" w:type="auto"/>
          </w:tcPr>
          <w:p w14:paraId="03A8BFBE" w14:textId="52CB2032" w:rsidR="006346E4" w:rsidRPr="00DD3844" w:rsidRDefault="006346E4" w:rsidP="006346E4">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tcPr>
          <w:p w14:paraId="7BD08109" w14:textId="1CAB1499" w:rsidR="006346E4" w:rsidRPr="00DD3844" w:rsidRDefault="006346E4" w:rsidP="006346E4">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tcPr>
          <w:p w14:paraId="08F32C23" w14:textId="42CD94FA" w:rsidR="006346E4" w:rsidRPr="00DD3844" w:rsidRDefault="006346E4" w:rsidP="006346E4">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tcPr>
          <w:p w14:paraId="73F0E38C" w14:textId="31902A33" w:rsidR="006346E4" w:rsidRPr="00DD3844" w:rsidRDefault="006346E4" w:rsidP="006346E4">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634D04" w14:paraId="00CABD39" w14:textId="77777777" w:rsidTr="00624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6FD3EE5" w14:textId="77777777" w:rsidR="00634D04" w:rsidRPr="00DD3844" w:rsidRDefault="00634D04" w:rsidP="00634D04">
            <w:pPr>
              <w:pStyle w:val="ODCBodyText"/>
              <w:jc w:val="left"/>
              <w:rPr>
                <w:color w:val="auto"/>
              </w:rPr>
            </w:pPr>
          </w:p>
        </w:tc>
        <w:tc>
          <w:tcPr>
            <w:tcW w:w="0" w:type="auto"/>
          </w:tcPr>
          <w:p w14:paraId="4C62B4A0" w14:textId="251B433F" w:rsidR="00634D04" w:rsidRPr="00DD3844" w:rsidRDefault="00634D04" w:rsidP="00634D04">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Small Business Participant Survey (NTG)</w:t>
            </w:r>
          </w:p>
        </w:tc>
        <w:tc>
          <w:tcPr>
            <w:tcW w:w="0" w:type="auto"/>
          </w:tcPr>
          <w:p w14:paraId="01B84B60" w14:textId="407DE2C0" w:rsidR="00634D04" w:rsidRPr="00DD3844" w:rsidRDefault="00634D04" w:rsidP="00634D04">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16304EE9" w14:textId="77777777" w:rsidR="00634D04" w:rsidRPr="00DD3844" w:rsidRDefault="00634D04" w:rsidP="00634D04">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tcPr>
          <w:p w14:paraId="564FFA7E" w14:textId="3870BF96" w:rsidR="00634D04" w:rsidRPr="00DD3844" w:rsidRDefault="00634D04" w:rsidP="00634D04">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554986F1" w14:textId="77777777" w:rsidR="00634D04" w:rsidRPr="00DD3844" w:rsidRDefault="00634D04" w:rsidP="00634D04">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r w:rsidR="00634D04" w14:paraId="6A74CE7F" w14:textId="77777777" w:rsidTr="006243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CC9D5DF" w14:textId="77777777" w:rsidR="00634D04" w:rsidRPr="00DD3844" w:rsidRDefault="00634D04" w:rsidP="00634D04">
            <w:pPr>
              <w:pStyle w:val="ODCBodyText"/>
              <w:jc w:val="left"/>
              <w:rPr>
                <w:color w:val="auto"/>
              </w:rPr>
            </w:pPr>
          </w:p>
        </w:tc>
        <w:tc>
          <w:tcPr>
            <w:tcW w:w="0" w:type="auto"/>
          </w:tcPr>
          <w:p w14:paraId="661EC59F" w14:textId="51D13ACA" w:rsidR="00634D04" w:rsidRPr="00DD3844" w:rsidRDefault="00634D04" w:rsidP="00634D04">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Small Business Participant Survey (Process)</w:t>
            </w:r>
          </w:p>
        </w:tc>
        <w:tc>
          <w:tcPr>
            <w:tcW w:w="0" w:type="auto"/>
          </w:tcPr>
          <w:p w14:paraId="459042A6" w14:textId="77777777" w:rsidR="00634D04" w:rsidRPr="00DD3844" w:rsidRDefault="00634D04" w:rsidP="00634D04">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tcPr>
          <w:p w14:paraId="4A59A4A2" w14:textId="4004D6B0" w:rsidR="00634D04" w:rsidRPr="00DD3844" w:rsidRDefault="00634D04" w:rsidP="00634D04">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6C0DBBE2" w14:textId="77777777" w:rsidR="00634D04" w:rsidRPr="00DD3844" w:rsidRDefault="00634D04" w:rsidP="00634D04">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tcPr>
          <w:p w14:paraId="65EDAF8E" w14:textId="14ACE3C6" w:rsidR="00634D04" w:rsidRPr="00DD3844" w:rsidRDefault="00634D04" w:rsidP="00634D04">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0669CE" w14:paraId="256AF5A8" w14:textId="77777777" w:rsidTr="00E65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04B974C" w14:textId="77777777" w:rsidR="000669CE" w:rsidRPr="00DD3844" w:rsidRDefault="000669CE" w:rsidP="000669CE">
            <w:pPr>
              <w:pStyle w:val="ODCBodyText"/>
              <w:jc w:val="left"/>
            </w:pPr>
          </w:p>
        </w:tc>
        <w:tc>
          <w:tcPr>
            <w:tcW w:w="0" w:type="auto"/>
          </w:tcPr>
          <w:p w14:paraId="7EF81E11" w14:textId="1DCE0EEA" w:rsidR="000669CE" w:rsidRPr="000669CE" w:rsidRDefault="000669CE" w:rsidP="000669CE">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0669CE">
              <w:rPr>
                <w:color w:val="auto"/>
              </w:rPr>
              <w:t>Small Business On-Site M&amp;V</w:t>
            </w:r>
          </w:p>
        </w:tc>
        <w:tc>
          <w:tcPr>
            <w:tcW w:w="0" w:type="auto"/>
          </w:tcPr>
          <w:p w14:paraId="0FA65BC1" w14:textId="1756D2AE" w:rsidR="000669CE" w:rsidRPr="000669CE" w:rsidRDefault="000669CE" w:rsidP="000669CE">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C1AAC0A" w14:textId="77777777" w:rsidR="000669CE" w:rsidRPr="000669CE" w:rsidRDefault="000669CE" w:rsidP="000669CE">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2646ECED" w14:textId="77777777" w:rsidR="000669CE" w:rsidRPr="000669CE" w:rsidRDefault="000669CE" w:rsidP="000669CE">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tcPr>
          <w:p w14:paraId="09FC0C27" w14:textId="77777777" w:rsidR="000669CE" w:rsidRPr="000669CE" w:rsidRDefault="000669CE" w:rsidP="000669CE">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r w:rsidR="000669CE" w14:paraId="586E9E61" w14:textId="77777777" w:rsidTr="008214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E87630E" w14:textId="77777777" w:rsidR="000669CE" w:rsidRPr="00DD3844" w:rsidRDefault="000669CE" w:rsidP="000669CE">
            <w:pPr>
              <w:pStyle w:val="ODCBodyText"/>
              <w:jc w:val="left"/>
              <w:rPr>
                <w:color w:val="auto"/>
              </w:rPr>
            </w:pPr>
          </w:p>
        </w:tc>
        <w:tc>
          <w:tcPr>
            <w:tcW w:w="0" w:type="auto"/>
          </w:tcPr>
          <w:p w14:paraId="46DF0EC2" w14:textId="48B5B902" w:rsidR="000669CE" w:rsidRPr="000669CE" w:rsidRDefault="000669CE" w:rsidP="000669CE">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0669CE">
              <w:rPr>
                <w:color w:val="auto"/>
              </w:rPr>
              <w:t>Online Store Participant Survey (Process &amp; NTG)</w:t>
            </w:r>
          </w:p>
        </w:tc>
        <w:tc>
          <w:tcPr>
            <w:tcW w:w="0" w:type="auto"/>
            <w:vAlign w:val="center"/>
          </w:tcPr>
          <w:p w14:paraId="764609CE" w14:textId="77777777" w:rsidR="000669CE" w:rsidRPr="000669CE" w:rsidRDefault="000669CE" w:rsidP="000669CE">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tcPr>
          <w:p w14:paraId="77F32229" w14:textId="75FB8513" w:rsidR="000669CE" w:rsidRPr="000669CE" w:rsidRDefault="000669CE" w:rsidP="000669CE">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0669CE">
              <w:rPr>
                <w:color w:val="auto"/>
              </w:rPr>
              <w:sym w:font="Wingdings" w:char="F0FC"/>
            </w:r>
          </w:p>
        </w:tc>
        <w:tc>
          <w:tcPr>
            <w:tcW w:w="0" w:type="auto"/>
            <w:vAlign w:val="center"/>
          </w:tcPr>
          <w:p w14:paraId="457288B0" w14:textId="77777777" w:rsidR="000669CE" w:rsidRPr="000669CE" w:rsidRDefault="000669CE" w:rsidP="000669CE">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tcPr>
          <w:p w14:paraId="55F2A346" w14:textId="44833EB5" w:rsidR="000669CE" w:rsidRPr="000669CE" w:rsidRDefault="000669CE" w:rsidP="000669CE">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0669CE">
              <w:rPr>
                <w:color w:val="auto"/>
              </w:rPr>
              <w:sym w:font="Wingdings" w:char="F0FC"/>
            </w:r>
          </w:p>
        </w:tc>
      </w:tr>
      <w:tr w:rsidR="00707B4B" w14:paraId="54C3C815" w14:textId="77777777" w:rsidTr="0082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665DBF0" w14:textId="77777777" w:rsidR="00707B4B" w:rsidRDefault="00707B4B" w:rsidP="00707B4B">
            <w:pPr>
              <w:pStyle w:val="ODCBodyText"/>
              <w:jc w:val="left"/>
            </w:pPr>
          </w:p>
        </w:tc>
        <w:tc>
          <w:tcPr>
            <w:tcW w:w="0" w:type="auto"/>
          </w:tcPr>
          <w:p w14:paraId="26BEC2EF" w14:textId="757BDCDC" w:rsidR="00707B4B" w:rsidRPr="00DD3844" w:rsidRDefault="00707B4B" w:rsidP="00707B4B">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Instant Incentives Survey (NTG)</w:t>
            </w:r>
          </w:p>
        </w:tc>
        <w:tc>
          <w:tcPr>
            <w:tcW w:w="0" w:type="auto"/>
            <w:vAlign w:val="center"/>
          </w:tcPr>
          <w:p w14:paraId="7F49208A" w14:textId="20A25F29" w:rsidR="00707B4B" w:rsidRPr="00DD3844" w:rsidRDefault="00707B4B" w:rsidP="00707B4B">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3372468B" w14:textId="4E97D351" w:rsidR="00707B4B" w:rsidRPr="00DD3844" w:rsidRDefault="00707B4B" w:rsidP="00707B4B">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42091870" w14:textId="5FEB4869" w:rsidR="00707B4B" w:rsidRPr="00DD3844" w:rsidRDefault="00707B4B" w:rsidP="00707B4B">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1FB67A3" w14:textId="47F2303C" w:rsidR="00707B4B" w:rsidRPr="00DD3844" w:rsidRDefault="00707B4B" w:rsidP="00707B4B">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4D5986CF" w14:textId="26A24EA5" w:rsidR="00A65ACC" w:rsidRDefault="00A65ACC" w:rsidP="00A65ACC">
      <w:pPr>
        <w:pStyle w:val="ODCBodyText"/>
      </w:pPr>
      <w:r>
        <w:t xml:space="preserve">We proposed the evaluation activities included in </w:t>
      </w:r>
      <w:r>
        <w:fldChar w:fldCharType="begin"/>
      </w:r>
      <w:r>
        <w:instrText xml:space="preserve"> REF _Ref502317636 \h </w:instrText>
      </w:r>
      <w:r>
        <w:fldChar w:fldCharType="separate"/>
      </w:r>
      <w:r w:rsidR="00A75F23">
        <w:t xml:space="preserve">Table </w:t>
      </w:r>
      <w:r w:rsidR="00A75F23">
        <w:rPr>
          <w:noProof/>
        </w:rPr>
        <w:t>12</w:t>
      </w:r>
      <w:r>
        <w:fldChar w:fldCharType="end"/>
      </w:r>
      <w:r>
        <w:t xml:space="preserve"> for the following reasons:</w:t>
      </w:r>
    </w:p>
    <w:p w14:paraId="657E628A" w14:textId="087A0B20" w:rsidR="00E82A24" w:rsidRPr="004F09F4" w:rsidRDefault="00E82A24" w:rsidP="00E82A24">
      <w:pPr>
        <w:pStyle w:val="Bullet1"/>
      </w:pPr>
      <w:r w:rsidRPr="004F09F4">
        <w:rPr>
          <w:b/>
        </w:rPr>
        <w:t>2020 and 2021</w:t>
      </w:r>
      <w:r>
        <w:t xml:space="preserve">: During the last two years of the 2018 Plan period, the evaluation team will alternate between a focus on </w:t>
      </w:r>
      <w:r w:rsidR="00DD3844">
        <w:t>I</w:t>
      </w:r>
      <w:r>
        <w:t>nitiative energy savings impacts</w:t>
      </w:r>
      <w:r w:rsidR="00646E0A">
        <w:t xml:space="preserve"> and NTG for the core</w:t>
      </w:r>
      <w:r w:rsidR="000A7D52">
        <w:t xml:space="preserve">, </w:t>
      </w:r>
      <w:r w:rsidR="00634D04">
        <w:t>Small Business</w:t>
      </w:r>
      <w:r w:rsidR="000A7D52">
        <w:t>, and Instant Incentive</w:t>
      </w:r>
      <w:r w:rsidR="00646E0A">
        <w:t xml:space="preserve"> offering</w:t>
      </w:r>
      <w:r w:rsidR="00634D04">
        <w:t>s</w:t>
      </w:r>
      <w:r>
        <w:t xml:space="preserve"> (2020) </w:t>
      </w:r>
      <w:r w:rsidR="00DD3844">
        <w:t xml:space="preserve">as well as </w:t>
      </w:r>
      <w:r>
        <w:t>deeper dives into the participation process</w:t>
      </w:r>
      <w:r w:rsidR="00646E0A">
        <w:t xml:space="preserve"> for the core</w:t>
      </w:r>
      <w:r w:rsidR="00634D04">
        <w:t xml:space="preserve"> and Small Business</w:t>
      </w:r>
      <w:r w:rsidR="00646E0A">
        <w:t xml:space="preserve"> offering</w:t>
      </w:r>
      <w:r w:rsidR="00634D04">
        <w:t>s</w:t>
      </w:r>
      <w:r>
        <w:t xml:space="preserve"> and NTG</w:t>
      </w:r>
      <w:r w:rsidR="00646E0A">
        <w:t xml:space="preserve"> for the Online Store</w:t>
      </w:r>
      <w:r>
        <w:t xml:space="preserve"> (2021). If changes are made to the </w:t>
      </w:r>
      <w:r w:rsidR="00DD3844">
        <w:t>I</w:t>
      </w:r>
      <w:r>
        <w:t xml:space="preserve">nitiative in these years, the evaluation team may </w:t>
      </w:r>
      <w:r w:rsidR="000A7D52">
        <w:t>adjust the timing of these evaluation activities.</w:t>
      </w:r>
    </w:p>
    <w:p w14:paraId="1D07E851" w14:textId="11D8F189" w:rsidR="00D327C0" w:rsidRDefault="00D327C0" w:rsidP="00D327C0">
      <w:pPr>
        <w:pStyle w:val="Heading2"/>
      </w:pPr>
      <w:bookmarkStart w:id="54" w:name="_Toc27335118"/>
      <w:r>
        <w:t xml:space="preserve">Custom </w:t>
      </w:r>
      <w:r w:rsidR="00DD3844">
        <w:t>Initiative</w:t>
      </w:r>
      <w:bookmarkEnd w:id="54"/>
    </w:p>
    <w:p w14:paraId="614354D9" w14:textId="3FF06038" w:rsidR="00D327C0" w:rsidRDefault="00763319" w:rsidP="00D327C0">
      <w:pPr>
        <w:rPr>
          <w:szCs w:val="22"/>
        </w:rPr>
      </w:pPr>
      <w:r>
        <w:rPr>
          <w:szCs w:val="22"/>
        </w:rPr>
        <w:t xml:space="preserve">The </w:t>
      </w:r>
      <w:r w:rsidR="00603585">
        <w:rPr>
          <w:szCs w:val="22"/>
        </w:rPr>
        <w:t xml:space="preserve">Custom </w:t>
      </w:r>
      <w:r w:rsidR="009E7CD7">
        <w:rPr>
          <w:szCs w:val="22"/>
        </w:rPr>
        <w:t xml:space="preserve">Initiative </w:t>
      </w:r>
      <w:r>
        <w:rPr>
          <w:szCs w:val="22"/>
        </w:rPr>
        <w:t xml:space="preserve">allows AIC business customers to complete energy efficiency projects that involve the installation of equipment not covered through the Standard </w:t>
      </w:r>
      <w:r w:rsidR="004079BB">
        <w:rPr>
          <w:szCs w:val="22"/>
        </w:rPr>
        <w:t>Initiative</w:t>
      </w:r>
      <w:r>
        <w:rPr>
          <w:szCs w:val="22"/>
        </w:rPr>
        <w:t xml:space="preserve">. The availability of this </w:t>
      </w:r>
      <w:r w:rsidR="00C93489">
        <w:rPr>
          <w:szCs w:val="22"/>
        </w:rPr>
        <w:t>I</w:t>
      </w:r>
      <w:r w:rsidR="008E7FF6">
        <w:rPr>
          <w:szCs w:val="22"/>
        </w:rPr>
        <w:t xml:space="preserve">nitiative </w:t>
      </w:r>
      <w:r>
        <w:rPr>
          <w:szCs w:val="22"/>
        </w:rPr>
        <w:t xml:space="preserve">allows customers to propose additional measures and tailor projects to their facility and equipment needs. Custom </w:t>
      </w:r>
      <w:r w:rsidR="00DD3844">
        <w:rPr>
          <w:szCs w:val="22"/>
        </w:rPr>
        <w:t>I</w:t>
      </w:r>
      <w:r>
        <w:rPr>
          <w:szCs w:val="22"/>
        </w:rPr>
        <w:t xml:space="preserve">ncentives are available for electric measures, such as lighting, compressed air, energy management systems (EMS), and industrial process measures, among others. The </w:t>
      </w:r>
      <w:r w:rsidR="008E7FF6">
        <w:rPr>
          <w:szCs w:val="22"/>
        </w:rPr>
        <w:t xml:space="preserve">Initiative </w:t>
      </w:r>
      <w:r>
        <w:rPr>
          <w:szCs w:val="22"/>
        </w:rPr>
        <w:t xml:space="preserve">also offers gas measures, including heat recovery, process heat, and improvements to steam systems. </w:t>
      </w:r>
    </w:p>
    <w:p w14:paraId="07BD2D34" w14:textId="141EA65D" w:rsidR="004079BB" w:rsidRDefault="004079BB" w:rsidP="004079BB">
      <w:pPr>
        <w:pStyle w:val="BodyText"/>
      </w:pPr>
      <w:r>
        <w:t xml:space="preserve">The Custom </w:t>
      </w:r>
      <w:r w:rsidR="009E7CD7">
        <w:t xml:space="preserve">Initiative </w:t>
      </w:r>
      <w:r>
        <w:t xml:space="preserve">also includes a number of incubator offerings such as Metering and Monitoring, </w:t>
      </w:r>
      <w:bookmarkStart w:id="55" w:name="_Hlk502730739"/>
      <w:r>
        <w:t>Strategic Energy Management</w:t>
      </w:r>
      <w:r w:rsidR="003312DE">
        <w:t xml:space="preserve"> (SEM)</w:t>
      </w:r>
      <w:r>
        <w:t>, Staffing Grant</w:t>
      </w:r>
      <w:r w:rsidR="009E7CD7">
        <w:t>,</w:t>
      </w:r>
      <w:r>
        <w:t xml:space="preserve"> </w:t>
      </w:r>
      <w:r w:rsidR="00136CBB">
        <w:t xml:space="preserve">Building Operator Certification, </w:t>
      </w:r>
      <w:r>
        <w:t>and Feasibility Studies.</w:t>
      </w:r>
    </w:p>
    <w:p w14:paraId="248CF031" w14:textId="3ED764E3" w:rsidR="003312DE" w:rsidRDefault="003312DE" w:rsidP="003312DE">
      <w:pPr>
        <w:pStyle w:val="Bullet1"/>
      </w:pPr>
      <w:r w:rsidRPr="0023558B">
        <w:t>The Metering and Monitoring</w:t>
      </w:r>
      <w:r>
        <w:t xml:space="preserve"> offering</w:t>
      </w:r>
      <w:r w:rsidRPr="0023558B">
        <w:t xml:space="preserve"> </w:t>
      </w:r>
      <w:r w:rsidRPr="00C91AB2">
        <w:t>promotes customers’ ability to review and curtail their energy use using sub-meters and software.</w:t>
      </w:r>
    </w:p>
    <w:p w14:paraId="68461BF9" w14:textId="3DBA7123" w:rsidR="003312DE" w:rsidRDefault="003312DE" w:rsidP="003312DE">
      <w:pPr>
        <w:pStyle w:val="Bullet1"/>
      </w:pPr>
      <w:r>
        <w:t xml:space="preserve">The SEM offering is designed to help customers achieve ongoing energy and cost savings through motivating changes in participants’ organizational culture and business practices to achieve energy reduction and cost savings goals. </w:t>
      </w:r>
    </w:p>
    <w:p w14:paraId="750F3A74" w14:textId="56CDC61E" w:rsidR="003312DE" w:rsidRDefault="003312DE" w:rsidP="003312DE">
      <w:pPr>
        <w:pStyle w:val="Bullet1"/>
      </w:pPr>
      <w:r>
        <w:t>The Staffing Grant offering</w:t>
      </w:r>
      <w:r w:rsidRPr="00C94D0E">
        <w:t xml:space="preserve"> provides customers with funding to help address energy efficiency project staffing needs</w:t>
      </w:r>
      <w:r>
        <w:t>. T</w:t>
      </w:r>
      <w:r w:rsidRPr="00C94D0E">
        <w:t xml:space="preserve">he </w:t>
      </w:r>
      <w:r>
        <w:t xml:space="preserve">offering </w:t>
      </w:r>
      <w:r w:rsidRPr="00C94D0E">
        <w:t xml:space="preserve">distributes funds based on the </w:t>
      </w:r>
      <w:r>
        <w:t xml:space="preserve">predicted savings that will be </w:t>
      </w:r>
      <w:r w:rsidRPr="00C94D0E">
        <w:t>achieved by the grant recipients</w:t>
      </w:r>
      <w:r>
        <w:t>.</w:t>
      </w:r>
    </w:p>
    <w:p w14:paraId="2F364311" w14:textId="4A786501" w:rsidR="00136CBB" w:rsidRPr="00136CBB" w:rsidRDefault="00136CBB" w:rsidP="00136CBB">
      <w:pPr>
        <w:pStyle w:val="Bullet1"/>
      </w:pPr>
      <w:r>
        <w:t xml:space="preserve">The Building Operator Certification offering </w:t>
      </w:r>
      <w:r w:rsidRPr="00136CBB">
        <w:t>is a nationally recognized training and certification program which was developed by the Northwest Energy Efficiency Council (NEEC) and focuses on energy-efficient building operations and preventative maintenance procedures.</w:t>
      </w:r>
    </w:p>
    <w:p w14:paraId="45C355B3" w14:textId="1D5C454F" w:rsidR="003312DE" w:rsidRDefault="003312DE" w:rsidP="003312DE">
      <w:pPr>
        <w:pStyle w:val="Bullet1"/>
      </w:pPr>
      <w:r w:rsidRPr="0023558B">
        <w:t>The Feasibility Study offering helps participants define project costs and energy savings opportunities, primarily targeting manufacturing/industrial facilities with compressed air systems.</w:t>
      </w:r>
    </w:p>
    <w:bookmarkEnd w:id="55"/>
    <w:p w14:paraId="77DB9973" w14:textId="0A6A2726" w:rsidR="003312DE" w:rsidRPr="003312DE" w:rsidRDefault="003312DE" w:rsidP="003312DE">
      <w:pPr>
        <w:pStyle w:val="BodyText"/>
      </w:pPr>
      <w:r>
        <w:t xml:space="preserve">Given these activities, we propose the following evaluation plan for the Custom </w:t>
      </w:r>
      <w:r w:rsidR="009E7CD7">
        <w:t>I</w:t>
      </w:r>
      <w:r>
        <w:t xml:space="preserve">nitiative. </w:t>
      </w:r>
    </w:p>
    <w:p w14:paraId="20E7C6C7" w14:textId="22C046D5" w:rsidR="00D327C0" w:rsidRDefault="00D327C0" w:rsidP="00FA04B9">
      <w:pPr>
        <w:pStyle w:val="Caption"/>
      </w:pPr>
      <w:bookmarkStart w:id="56" w:name="_Ref502313192"/>
      <w:bookmarkStart w:id="57" w:name="_Toc27335140"/>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13</w:t>
      </w:r>
      <w:r w:rsidR="00E656B8">
        <w:rPr>
          <w:noProof/>
        </w:rPr>
        <w:fldChar w:fldCharType="end"/>
      </w:r>
      <w:bookmarkEnd w:id="56"/>
      <w:r w:rsidR="007848C4">
        <w:t xml:space="preserve">. Custom </w:t>
      </w:r>
      <w:r>
        <w:t>Initiative Evaluation Activities – Four Year Plan</w:t>
      </w:r>
      <w:bookmarkEnd w:id="57"/>
    </w:p>
    <w:tbl>
      <w:tblPr>
        <w:tblStyle w:val="ODCBasic-1"/>
        <w:tblW w:w="0" w:type="auto"/>
        <w:tblLook w:val="04A0" w:firstRow="1" w:lastRow="0" w:firstColumn="1" w:lastColumn="0" w:noHBand="0" w:noVBand="1"/>
      </w:tblPr>
      <w:tblGrid>
        <w:gridCol w:w="775"/>
        <w:gridCol w:w="3744"/>
        <w:gridCol w:w="614"/>
        <w:gridCol w:w="614"/>
        <w:gridCol w:w="614"/>
        <w:gridCol w:w="614"/>
      </w:tblGrid>
      <w:tr w:rsidR="009E7CD7" w14:paraId="492FCA62" w14:textId="77777777" w:rsidTr="00EE53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2DA50517" w14:textId="77777777" w:rsidR="009E7CD7" w:rsidRDefault="009E7CD7" w:rsidP="00EE536F">
            <w:pPr>
              <w:pStyle w:val="ODCBodyText"/>
            </w:pPr>
            <w:r>
              <w:t>Timing</w:t>
            </w:r>
          </w:p>
        </w:tc>
        <w:tc>
          <w:tcPr>
            <w:tcW w:w="0" w:type="auto"/>
          </w:tcPr>
          <w:p w14:paraId="2EC10734" w14:textId="77777777" w:rsidR="009E7CD7" w:rsidRDefault="009E7CD7" w:rsidP="00DD3844">
            <w:pPr>
              <w:pStyle w:val="ODCBodyText"/>
              <w:jc w:val="center"/>
              <w:cnfStyle w:val="100000000000" w:firstRow="1" w:lastRow="0" w:firstColumn="0" w:lastColumn="0" w:oddVBand="0" w:evenVBand="0" w:oddHBand="0" w:evenHBand="0" w:firstRowFirstColumn="0" w:firstRowLastColumn="0" w:lastRowFirstColumn="0" w:lastRowLastColumn="0"/>
            </w:pPr>
            <w:r>
              <w:t>Activity</w:t>
            </w:r>
          </w:p>
        </w:tc>
        <w:tc>
          <w:tcPr>
            <w:tcW w:w="0" w:type="auto"/>
          </w:tcPr>
          <w:p w14:paraId="3E3E2ECB" w14:textId="77777777" w:rsidR="009E7CD7" w:rsidRDefault="009E7CD7" w:rsidP="00EE536F">
            <w:pPr>
              <w:pStyle w:val="ODCBodyText"/>
              <w:jc w:val="center"/>
              <w:cnfStyle w:val="100000000000" w:firstRow="1" w:lastRow="0" w:firstColumn="0" w:lastColumn="0" w:oddVBand="0" w:evenVBand="0" w:oddHBand="0" w:evenHBand="0" w:firstRowFirstColumn="0" w:firstRowLastColumn="0" w:lastRowFirstColumn="0" w:lastRowLastColumn="0"/>
            </w:pPr>
            <w:r>
              <w:t>2018</w:t>
            </w:r>
          </w:p>
        </w:tc>
        <w:tc>
          <w:tcPr>
            <w:tcW w:w="0" w:type="auto"/>
          </w:tcPr>
          <w:p w14:paraId="7295FC38" w14:textId="77777777" w:rsidR="009E7CD7" w:rsidRDefault="009E7CD7" w:rsidP="00EE536F">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0" w:type="auto"/>
          </w:tcPr>
          <w:p w14:paraId="7EF9EA06" w14:textId="77777777" w:rsidR="009E7CD7" w:rsidRDefault="009E7CD7" w:rsidP="00EE536F">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0" w:type="auto"/>
          </w:tcPr>
          <w:p w14:paraId="5493E7C8" w14:textId="77777777" w:rsidR="009E7CD7" w:rsidRDefault="009E7CD7" w:rsidP="00EE536F">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9E7CD7" w14:paraId="09A3827E" w14:textId="77777777" w:rsidTr="00EE5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4973EC90" w14:textId="77777777" w:rsidR="009E7CD7" w:rsidRPr="00DD3844" w:rsidRDefault="009E7CD7" w:rsidP="00EE536F">
            <w:pPr>
              <w:pStyle w:val="ODCBodyText"/>
              <w:jc w:val="left"/>
              <w:rPr>
                <w:color w:val="auto"/>
              </w:rPr>
            </w:pPr>
            <w:r w:rsidRPr="00DD3844">
              <w:rPr>
                <w:color w:val="auto"/>
              </w:rPr>
              <w:t>Annual</w:t>
            </w:r>
          </w:p>
        </w:tc>
        <w:tc>
          <w:tcPr>
            <w:tcW w:w="0" w:type="auto"/>
          </w:tcPr>
          <w:p w14:paraId="7F473DC7" w14:textId="32805589" w:rsidR="009E7CD7" w:rsidRPr="00DD3844" w:rsidRDefault="009E7CD7" w:rsidP="00EE536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Initiative Material &amp; Database Review</w:t>
            </w:r>
          </w:p>
        </w:tc>
        <w:tc>
          <w:tcPr>
            <w:tcW w:w="0" w:type="auto"/>
          </w:tcPr>
          <w:p w14:paraId="6B1A09F4" w14:textId="77777777" w:rsidR="009E7CD7" w:rsidRPr="00DD3844" w:rsidRDefault="009E7CD7" w:rsidP="00EE536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60FCCFD9" w14:textId="77777777" w:rsidR="009E7CD7" w:rsidRPr="00DD3844" w:rsidRDefault="009E7CD7" w:rsidP="00EE536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5DBE9B8F" w14:textId="77777777" w:rsidR="009E7CD7" w:rsidRPr="00DD3844" w:rsidRDefault="009E7CD7" w:rsidP="00EE536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462B415" w14:textId="77777777" w:rsidR="009E7CD7" w:rsidRPr="00DD3844" w:rsidRDefault="009E7CD7" w:rsidP="00EE536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9E7CD7" w14:paraId="65C414D8" w14:textId="77777777" w:rsidTr="00EE5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0D1CECC" w14:textId="77777777" w:rsidR="009E7CD7" w:rsidRPr="00DD3844" w:rsidRDefault="009E7CD7" w:rsidP="00EE536F">
            <w:pPr>
              <w:pStyle w:val="ODCBodyText"/>
              <w:jc w:val="left"/>
              <w:rPr>
                <w:color w:val="auto"/>
              </w:rPr>
            </w:pPr>
          </w:p>
        </w:tc>
        <w:tc>
          <w:tcPr>
            <w:tcW w:w="0" w:type="auto"/>
          </w:tcPr>
          <w:p w14:paraId="6BF75CB2" w14:textId="373D39BD" w:rsidR="009E7CD7" w:rsidRPr="00DD3844" w:rsidRDefault="009E7CD7" w:rsidP="00EE536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Initiative Staff Interviews</w:t>
            </w:r>
          </w:p>
        </w:tc>
        <w:tc>
          <w:tcPr>
            <w:tcW w:w="0" w:type="auto"/>
          </w:tcPr>
          <w:p w14:paraId="0BAC0AC9"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622666B5"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763F159A"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6D2CABB4"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9E7CD7" w14:paraId="2CA4F3BF" w14:textId="77777777" w:rsidTr="00EE5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E60976F" w14:textId="77777777" w:rsidR="009E7CD7" w:rsidRPr="00DD3844" w:rsidRDefault="009E7CD7" w:rsidP="00EE536F">
            <w:pPr>
              <w:pStyle w:val="ODCBodyText"/>
              <w:jc w:val="left"/>
              <w:rPr>
                <w:color w:val="auto"/>
              </w:rPr>
            </w:pPr>
          </w:p>
        </w:tc>
        <w:tc>
          <w:tcPr>
            <w:tcW w:w="0" w:type="auto"/>
          </w:tcPr>
          <w:p w14:paraId="4A9E458E" w14:textId="77777777" w:rsidR="009E7CD7" w:rsidRPr="00DD3844" w:rsidRDefault="009E7CD7" w:rsidP="00EE536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Engineering Desk Review</w:t>
            </w:r>
          </w:p>
        </w:tc>
        <w:tc>
          <w:tcPr>
            <w:tcW w:w="0" w:type="auto"/>
          </w:tcPr>
          <w:p w14:paraId="34DF3652" w14:textId="77777777" w:rsidR="009E7CD7" w:rsidRPr="00DD3844" w:rsidRDefault="009E7CD7" w:rsidP="00EE536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233CA8B" w14:textId="77777777" w:rsidR="009E7CD7" w:rsidRPr="00DD3844" w:rsidRDefault="009E7CD7" w:rsidP="00EE536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47EE1FC5" w14:textId="77777777" w:rsidR="009E7CD7" w:rsidRPr="00DD3844" w:rsidRDefault="009E7CD7" w:rsidP="00EE536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1545AA5A" w14:textId="77777777" w:rsidR="009E7CD7" w:rsidRPr="00DD3844" w:rsidRDefault="009E7CD7" w:rsidP="00EE536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9E7CD7" w14:paraId="37EF46B3" w14:textId="77777777" w:rsidTr="00EE5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F27B0F1" w14:textId="77777777" w:rsidR="009E7CD7" w:rsidRPr="00DD3844" w:rsidRDefault="009E7CD7" w:rsidP="00EE536F">
            <w:pPr>
              <w:pStyle w:val="ODCBodyText"/>
              <w:jc w:val="left"/>
              <w:rPr>
                <w:color w:val="auto"/>
              </w:rPr>
            </w:pPr>
          </w:p>
        </w:tc>
        <w:tc>
          <w:tcPr>
            <w:tcW w:w="0" w:type="auto"/>
          </w:tcPr>
          <w:p w14:paraId="40BBDD20" w14:textId="6E13AF75" w:rsidR="009E7CD7" w:rsidRPr="00DD3844" w:rsidRDefault="009E7CD7" w:rsidP="00EE536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On-Site Measurement &amp; Verification</w:t>
            </w:r>
          </w:p>
        </w:tc>
        <w:tc>
          <w:tcPr>
            <w:tcW w:w="0" w:type="auto"/>
          </w:tcPr>
          <w:p w14:paraId="021EEAB9"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771F635E"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0A33F4C8"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064248CB"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9E7CD7" w14:paraId="7027D247" w14:textId="77777777" w:rsidTr="00EE5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E955044" w14:textId="77777777" w:rsidR="009E7CD7" w:rsidRPr="00DD3844" w:rsidRDefault="009E7CD7" w:rsidP="009E7CD7">
            <w:pPr>
              <w:pStyle w:val="ODCBodyText"/>
              <w:jc w:val="left"/>
              <w:rPr>
                <w:color w:val="auto"/>
              </w:rPr>
            </w:pPr>
          </w:p>
        </w:tc>
        <w:tc>
          <w:tcPr>
            <w:tcW w:w="0" w:type="auto"/>
          </w:tcPr>
          <w:p w14:paraId="01350BC9" w14:textId="0AEC9EDB" w:rsidR="009E7CD7" w:rsidRPr="00DD3844" w:rsidRDefault="009E7CD7" w:rsidP="009E7CD7">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Staffing Grant Interviews</w:t>
            </w:r>
          </w:p>
        </w:tc>
        <w:tc>
          <w:tcPr>
            <w:tcW w:w="0" w:type="auto"/>
          </w:tcPr>
          <w:p w14:paraId="6B11D1A5" w14:textId="67C6334F" w:rsidR="009E7CD7" w:rsidRPr="00DD3844" w:rsidRDefault="009E7CD7" w:rsidP="009E7CD7">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25A4868E" w14:textId="39AB5A4E" w:rsidR="009E7CD7" w:rsidRPr="00DD3844" w:rsidRDefault="009E7CD7" w:rsidP="009E7CD7">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33CAABE9" w14:textId="7DB43ECB" w:rsidR="009E7CD7" w:rsidRPr="00DD3844" w:rsidRDefault="009E7CD7" w:rsidP="009E7CD7">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0131D793" w14:textId="06D9F77F" w:rsidR="009E7CD7" w:rsidRPr="00DD3844" w:rsidRDefault="009E7CD7" w:rsidP="009E7CD7">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9E7CD7" w14:paraId="04DF905D" w14:textId="77777777" w:rsidTr="00EE5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1780848" w14:textId="77777777" w:rsidR="009E7CD7" w:rsidRPr="00DD3844" w:rsidRDefault="009E7CD7" w:rsidP="00EE536F">
            <w:pPr>
              <w:pStyle w:val="ODCBodyText"/>
              <w:jc w:val="left"/>
              <w:rPr>
                <w:color w:val="auto"/>
              </w:rPr>
            </w:pPr>
          </w:p>
        </w:tc>
        <w:tc>
          <w:tcPr>
            <w:tcW w:w="0" w:type="auto"/>
          </w:tcPr>
          <w:p w14:paraId="24E2A865" w14:textId="77777777" w:rsidR="009E7CD7" w:rsidRPr="00DD3844" w:rsidRDefault="009E7CD7" w:rsidP="00EE536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Net Impact Analysis – SAG Approved NTGR</w:t>
            </w:r>
          </w:p>
        </w:tc>
        <w:tc>
          <w:tcPr>
            <w:tcW w:w="0" w:type="auto"/>
          </w:tcPr>
          <w:p w14:paraId="2662F672"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3D953F64"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21ADC036"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21B3AC23" w14:textId="77777777" w:rsidR="009E7CD7" w:rsidRPr="00DD3844" w:rsidRDefault="009E7CD7"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9E7CD7" w14:paraId="3697DC7D" w14:textId="77777777" w:rsidTr="00EE5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98D6F6" w:themeFill="background1" w:themeFillTint="66"/>
            <w:vAlign w:val="center"/>
          </w:tcPr>
          <w:p w14:paraId="0FB1E481" w14:textId="77777777" w:rsidR="009E7CD7" w:rsidRPr="00DD3844" w:rsidRDefault="009E7CD7" w:rsidP="00EE536F">
            <w:pPr>
              <w:pStyle w:val="ODCBodyText"/>
              <w:jc w:val="center"/>
              <w:rPr>
                <w:color w:val="auto"/>
              </w:rPr>
            </w:pPr>
          </w:p>
        </w:tc>
      </w:tr>
      <w:tr w:rsidR="00F4018C" w14:paraId="68A44AC1" w14:textId="77777777" w:rsidTr="00E42B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7AF28704" w14:textId="5960A8D1" w:rsidR="00F4018C" w:rsidRPr="00DD3844" w:rsidRDefault="00F4018C" w:rsidP="00E42B3C">
            <w:pPr>
              <w:pStyle w:val="ODCBodyText"/>
              <w:jc w:val="left"/>
              <w:rPr>
                <w:color w:val="auto"/>
              </w:rPr>
            </w:pPr>
            <w:r>
              <w:rPr>
                <w:color w:val="auto"/>
              </w:rPr>
              <w:t>Phased</w:t>
            </w:r>
          </w:p>
        </w:tc>
        <w:tc>
          <w:tcPr>
            <w:tcW w:w="0" w:type="auto"/>
          </w:tcPr>
          <w:p w14:paraId="45329BF7" w14:textId="77777777" w:rsidR="00F4018C" w:rsidRPr="00F4018C" w:rsidRDefault="00F4018C" w:rsidP="00EE536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F4018C">
              <w:rPr>
                <w:color w:val="auto"/>
              </w:rPr>
              <w:t>Core Participant Survey (Process &amp; NTG)</w:t>
            </w:r>
          </w:p>
        </w:tc>
        <w:tc>
          <w:tcPr>
            <w:tcW w:w="0" w:type="auto"/>
            <w:vAlign w:val="center"/>
          </w:tcPr>
          <w:p w14:paraId="419621C8" w14:textId="4BFE2E19" w:rsidR="00F4018C" w:rsidRPr="00F4018C" w:rsidRDefault="00F4018C"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F4018C">
              <w:rPr>
                <w:color w:val="auto"/>
              </w:rPr>
              <w:sym w:font="Wingdings" w:char="F0FC"/>
            </w:r>
          </w:p>
        </w:tc>
        <w:tc>
          <w:tcPr>
            <w:tcW w:w="0" w:type="auto"/>
          </w:tcPr>
          <w:p w14:paraId="379AC156" w14:textId="771FAE20" w:rsidR="00F4018C" w:rsidRPr="00F4018C" w:rsidRDefault="00F4018C"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46F7C540" w14:textId="5E4AAA28" w:rsidR="00F4018C" w:rsidRPr="00F4018C" w:rsidRDefault="00F4018C"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F4018C">
              <w:rPr>
                <w:color w:val="auto"/>
              </w:rPr>
              <w:sym w:font="Wingdings" w:char="F0FC"/>
            </w:r>
          </w:p>
        </w:tc>
        <w:tc>
          <w:tcPr>
            <w:tcW w:w="0" w:type="auto"/>
          </w:tcPr>
          <w:p w14:paraId="2A570D41" w14:textId="498697F5" w:rsidR="00F4018C" w:rsidRPr="00F4018C" w:rsidRDefault="00F4018C" w:rsidP="00EE536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r>
      <w:tr w:rsidR="00707B4B" w14:paraId="1E1B6B04" w14:textId="77777777" w:rsidTr="00707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1D4CDA5" w14:textId="77777777" w:rsidR="00707B4B" w:rsidRPr="00DD3844" w:rsidRDefault="00707B4B" w:rsidP="00EE536F">
            <w:pPr>
              <w:pStyle w:val="ODCBodyText"/>
              <w:jc w:val="left"/>
              <w:rPr>
                <w:color w:val="auto"/>
              </w:rPr>
            </w:pPr>
          </w:p>
        </w:tc>
        <w:tc>
          <w:tcPr>
            <w:tcW w:w="0" w:type="auto"/>
          </w:tcPr>
          <w:p w14:paraId="5BE1EC43" w14:textId="68AC9488" w:rsidR="00707B4B" w:rsidRPr="00F4018C" w:rsidRDefault="00707B4B" w:rsidP="00EE536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F4018C">
              <w:rPr>
                <w:color w:val="auto"/>
              </w:rPr>
              <w:t>Incubator Offering Process Research</w:t>
            </w:r>
          </w:p>
        </w:tc>
        <w:tc>
          <w:tcPr>
            <w:tcW w:w="0" w:type="auto"/>
            <w:vAlign w:val="center"/>
          </w:tcPr>
          <w:p w14:paraId="05319E76" w14:textId="6AF91551" w:rsidR="00707B4B" w:rsidRPr="00F4018C" w:rsidRDefault="00707B4B" w:rsidP="00EE536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F4018C">
              <w:rPr>
                <w:color w:val="auto"/>
              </w:rPr>
              <w:sym w:font="Wingdings" w:char="F0FC"/>
            </w:r>
          </w:p>
        </w:tc>
        <w:tc>
          <w:tcPr>
            <w:tcW w:w="0" w:type="auto"/>
            <w:gridSpan w:val="3"/>
          </w:tcPr>
          <w:p w14:paraId="55C91444" w14:textId="1372708A" w:rsidR="00707B4B" w:rsidRPr="00F4018C" w:rsidRDefault="00707B4B" w:rsidP="00EE536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As needed</w:t>
            </w:r>
          </w:p>
        </w:tc>
      </w:tr>
      <w:tr w:rsidR="00F4018C" w14:paraId="6B5632CD" w14:textId="77777777" w:rsidTr="00F40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4AD0933" w14:textId="77777777" w:rsidR="00F4018C" w:rsidRPr="00DD3844" w:rsidRDefault="00F4018C" w:rsidP="00F4018C">
            <w:pPr>
              <w:pStyle w:val="ODCBodyText"/>
              <w:jc w:val="left"/>
            </w:pPr>
          </w:p>
        </w:tc>
        <w:tc>
          <w:tcPr>
            <w:tcW w:w="0" w:type="auto"/>
          </w:tcPr>
          <w:p w14:paraId="6D46B521" w14:textId="33A7DC84" w:rsidR="00F4018C" w:rsidRPr="00F4018C" w:rsidRDefault="00F4018C" w:rsidP="00F4018C">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F4018C">
              <w:rPr>
                <w:color w:val="auto"/>
              </w:rPr>
              <w:t>Building Operator Certification Research</w:t>
            </w:r>
          </w:p>
        </w:tc>
        <w:tc>
          <w:tcPr>
            <w:tcW w:w="0" w:type="auto"/>
          </w:tcPr>
          <w:p w14:paraId="4C9F9764" w14:textId="171929A9" w:rsidR="00F4018C" w:rsidRPr="00F4018C" w:rsidRDefault="00F4018C" w:rsidP="00F4018C">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FB2CC4">
              <w:rPr>
                <w:color w:val="auto"/>
              </w:rPr>
              <w:sym w:font="Wingdings" w:char="F0FC"/>
            </w:r>
          </w:p>
        </w:tc>
        <w:tc>
          <w:tcPr>
            <w:tcW w:w="0" w:type="auto"/>
          </w:tcPr>
          <w:p w14:paraId="217FC074" w14:textId="3B600546" w:rsidR="00F4018C" w:rsidRPr="00F4018C" w:rsidRDefault="00F4018C" w:rsidP="00F4018C">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FB2CC4">
              <w:rPr>
                <w:color w:val="auto"/>
              </w:rPr>
              <w:sym w:font="Wingdings" w:char="F0FC"/>
            </w:r>
          </w:p>
        </w:tc>
        <w:tc>
          <w:tcPr>
            <w:tcW w:w="0" w:type="auto"/>
            <w:gridSpan w:val="2"/>
            <w:vAlign w:val="center"/>
          </w:tcPr>
          <w:p w14:paraId="4F14C855" w14:textId="1BE5062C" w:rsidR="00F4018C" w:rsidRPr="00F4018C" w:rsidRDefault="00F4018C" w:rsidP="00F4018C">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Pr>
                <w:color w:val="auto"/>
              </w:rPr>
              <w:t>TBD</w:t>
            </w:r>
          </w:p>
        </w:tc>
      </w:tr>
    </w:tbl>
    <w:p w14:paraId="1F52CFE6" w14:textId="435FDE05" w:rsidR="004F09F4" w:rsidRDefault="004F09F4" w:rsidP="004F09F4">
      <w:pPr>
        <w:pStyle w:val="ODCBodyText"/>
      </w:pPr>
      <w:r>
        <w:t xml:space="preserve">We proposed the evaluation activities included in </w:t>
      </w:r>
      <w:r>
        <w:fldChar w:fldCharType="begin"/>
      </w:r>
      <w:r>
        <w:instrText xml:space="preserve"> REF _Ref502313192 \h </w:instrText>
      </w:r>
      <w:r>
        <w:fldChar w:fldCharType="separate"/>
      </w:r>
      <w:r w:rsidR="00A75F23">
        <w:t xml:space="preserve">Table </w:t>
      </w:r>
      <w:r w:rsidR="00A75F23">
        <w:rPr>
          <w:noProof/>
        </w:rPr>
        <w:t>13</w:t>
      </w:r>
      <w:r>
        <w:fldChar w:fldCharType="end"/>
      </w:r>
      <w:r>
        <w:t xml:space="preserve"> for the following reasons:</w:t>
      </w:r>
    </w:p>
    <w:p w14:paraId="48A132D9" w14:textId="41579DC1" w:rsidR="004F09F4" w:rsidRPr="004F09F4" w:rsidRDefault="004F09F4" w:rsidP="004F09F4">
      <w:pPr>
        <w:pStyle w:val="Bullet1"/>
      </w:pPr>
      <w:r w:rsidRPr="004F09F4">
        <w:rPr>
          <w:b/>
        </w:rPr>
        <w:t>2020 and 2021</w:t>
      </w:r>
      <w:r>
        <w:t xml:space="preserve">: During the last two years of the 2018 Plan period, the evaluation team will alternate between a focus on deeper dives into the participation process and NTG (2020) and energy savings impacts (2021). If changes are made to the </w:t>
      </w:r>
      <w:r w:rsidR="00646E0A">
        <w:t>I</w:t>
      </w:r>
      <w:r>
        <w:t xml:space="preserve">nitiative in these years, the evaluation team may change the order in which this research is conducted. </w:t>
      </w:r>
    </w:p>
    <w:p w14:paraId="1705DE55" w14:textId="1AECDF3E" w:rsidR="008A7BC9" w:rsidRDefault="007848C4" w:rsidP="007848C4">
      <w:pPr>
        <w:pStyle w:val="Heading2"/>
      </w:pPr>
      <w:bookmarkStart w:id="58" w:name="_Toc27335119"/>
      <w:r>
        <w:t>Retro-Commissioning</w:t>
      </w:r>
      <w:r w:rsidR="00DD3844">
        <w:t xml:space="preserve"> Initiative</w:t>
      </w:r>
      <w:bookmarkEnd w:id="58"/>
    </w:p>
    <w:p w14:paraId="381FA5A6" w14:textId="64BB3314" w:rsidR="009F7967" w:rsidRDefault="009F7967" w:rsidP="009F7967">
      <w:pPr>
        <w:pStyle w:val="ODCBodyText"/>
      </w:pPr>
      <w:r>
        <w:t xml:space="preserve">The Retro-Commissioning (RCx) </w:t>
      </w:r>
      <w:r w:rsidR="009E7CD7">
        <w:t xml:space="preserve">Initiative </w:t>
      </w:r>
      <w:r>
        <w:t xml:space="preserve">helps AIC business customers evaluate their existing mechanical equipment, energy management, and industrial compressed air systems to identify no-cost and low-cost efficiency measures to optimize existing energy-using systems. Over time, deferred maintenance and changing operating directives and practices can lead to inefficient operation of building systems. </w:t>
      </w:r>
      <w:r w:rsidR="00DD3844">
        <w:t>RCx</w:t>
      </w:r>
      <w:r>
        <w:t xml:space="preserve"> is a process that examines current operations relative to the needs of equipment owners and those served by the equipment and determines opportunities for increasing equipment efficiency through maintenance, system tune-ups, scheduling, and optimization of operations. Most of the identified measures require little, if any, capital funds to implement.</w:t>
      </w:r>
    </w:p>
    <w:p w14:paraId="2161C69F" w14:textId="1A5F4993" w:rsidR="007753E7" w:rsidRPr="003312DE" w:rsidRDefault="007753E7" w:rsidP="007753E7">
      <w:pPr>
        <w:pStyle w:val="BodyText"/>
      </w:pPr>
      <w:r>
        <w:t xml:space="preserve">Given these activities, we propose the following evaluation plan for the RCx </w:t>
      </w:r>
      <w:r w:rsidR="008E7FF6">
        <w:t>I</w:t>
      </w:r>
      <w:r>
        <w:t xml:space="preserve">nitiative. </w:t>
      </w:r>
    </w:p>
    <w:p w14:paraId="5F15D318" w14:textId="107CB50E" w:rsidR="007848C4" w:rsidRPr="00D327C0" w:rsidRDefault="007848C4" w:rsidP="00FA04B9">
      <w:pPr>
        <w:pStyle w:val="Caption"/>
      </w:pPr>
      <w:bookmarkStart w:id="59" w:name="_Ref502314194"/>
      <w:bookmarkStart w:id="60" w:name="_Toc27335141"/>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14</w:t>
      </w:r>
      <w:r w:rsidR="00E656B8">
        <w:rPr>
          <w:noProof/>
        </w:rPr>
        <w:fldChar w:fldCharType="end"/>
      </w:r>
      <w:bookmarkEnd w:id="59"/>
      <w:r>
        <w:t>. Retro-Commissioning Initiative Evaluation Activities – Four Year Plan</w:t>
      </w:r>
      <w:bookmarkEnd w:id="60"/>
    </w:p>
    <w:tbl>
      <w:tblPr>
        <w:tblStyle w:val="ODCBasic-1"/>
        <w:tblW w:w="0" w:type="auto"/>
        <w:tblLook w:val="04A0" w:firstRow="1" w:lastRow="0" w:firstColumn="1" w:lastColumn="0" w:noHBand="0" w:noVBand="1"/>
      </w:tblPr>
      <w:tblGrid>
        <w:gridCol w:w="775"/>
        <w:gridCol w:w="3744"/>
        <w:gridCol w:w="614"/>
        <w:gridCol w:w="614"/>
        <w:gridCol w:w="614"/>
        <w:gridCol w:w="614"/>
      </w:tblGrid>
      <w:tr w:rsidR="00BD5107" w14:paraId="7CAC082C" w14:textId="77777777" w:rsidTr="00B06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9296E7E" w14:textId="77DE1CC9" w:rsidR="00BD5107" w:rsidRDefault="00BD5107" w:rsidP="00914A20">
            <w:pPr>
              <w:pStyle w:val="ODCBodyText"/>
            </w:pPr>
            <w:r>
              <w:t>Timing</w:t>
            </w:r>
          </w:p>
        </w:tc>
        <w:tc>
          <w:tcPr>
            <w:tcW w:w="0" w:type="auto"/>
          </w:tcPr>
          <w:p w14:paraId="63501A88" w14:textId="78BBD6B9" w:rsidR="00BD5107" w:rsidRDefault="00BD5107" w:rsidP="00DD3844">
            <w:pPr>
              <w:pStyle w:val="ODCBodyText"/>
              <w:jc w:val="center"/>
              <w:cnfStyle w:val="100000000000" w:firstRow="1" w:lastRow="0" w:firstColumn="0" w:lastColumn="0" w:oddVBand="0" w:evenVBand="0" w:oddHBand="0" w:evenHBand="0" w:firstRowFirstColumn="0" w:firstRowLastColumn="0" w:lastRowFirstColumn="0" w:lastRowLastColumn="0"/>
            </w:pPr>
            <w:r>
              <w:t>Activity</w:t>
            </w:r>
          </w:p>
        </w:tc>
        <w:tc>
          <w:tcPr>
            <w:tcW w:w="0" w:type="auto"/>
          </w:tcPr>
          <w:p w14:paraId="1316B2F1" w14:textId="77777777" w:rsidR="00BD5107" w:rsidRDefault="00BD5107" w:rsidP="00914A20">
            <w:pPr>
              <w:pStyle w:val="ODCBodyText"/>
              <w:jc w:val="center"/>
              <w:cnfStyle w:val="100000000000" w:firstRow="1" w:lastRow="0" w:firstColumn="0" w:lastColumn="0" w:oddVBand="0" w:evenVBand="0" w:oddHBand="0" w:evenHBand="0" w:firstRowFirstColumn="0" w:firstRowLastColumn="0" w:lastRowFirstColumn="0" w:lastRowLastColumn="0"/>
            </w:pPr>
            <w:r>
              <w:t>2018</w:t>
            </w:r>
          </w:p>
        </w:tc>
        <w:tc>
          <w:tcPr>
            <w:tcW w:w="0" w:type="auto"/>
          </w:tcPr>
          <w:p w14:paraId="68DB91BA" w14:textId="77777777" w:rsidR="00BD5107" w:rsidRDefault="00BD5107" w:rsidP="00914A20">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0" w:type="auto"/>
          </w:tcPr>
          <w:p w14:paraId="4A728607" w14:textId="77777777" w:rsidR="00BD5107" w:rsidRDefault="00BD5107" w:rsidP="00914A20">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0" w:type="auto"/>
          </w:tcPr>
          <w:p w14:paraId="268CA53E" w14:textId="77777777" w:rsidR="00BD5107" w:rsidRDefault="00BD5107" w:rsidP="00914A20">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1E21FF" w14:paraId="51979215" w14:textId="77777777" w:rsidTr="00DF7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56279A53" w14:textId="556B8112" w:rsidR="001E21FF" w:rsidRPr="00DD3844" w:rsidRDefault="001E21FF" w:rsidP="001E21FF">
            <w:pPr>
              <w:pStyle w:val="ODCBodyText"/>
              <w:jc w:val="left"/>
              <w:rPr>
                <w:color w:val="auto"/>
              </w:rPr>
            </w:pPr>
            <w:r w:rsidRPr="00DD3844">
              <w:rPr>
                <w:color w:val="auto"/>
              </w:rPr>
              <w:t>Annual</w:t>
            </w:r>
          </w:p>
        </w:tc>
        <w:tc>
          <w:tcPr>
            <w:tcW w:w="0" w:type="auto"/>
          </w:tcPr>
          <w:p w14:paraId="6EC27937" w14:textId="24937DA1" w:rsidR="001E21FF" w:rsidRPr="00DD3844" w:rsidRDefault="009E7CD7" w:rsidP="001E21F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Initiative</w:t>
            </w:r>
            <w:r w:rsidR="001E21FF" w:rsidRPr="00DD3844">
              <w:rPr>
                <w:color w:val="auto"/>
              </w:rPr>
              <w:t xml:space="preserve"> Material &amp; Database Review</w:t>
            </w:r>
          </w:p>
        </w:tc>
        <w:tc>
          <w:tcPr>
            <w:tcW w:w="0" w:type="auto"/>
          </w:tcPr>
          <w:p w14:paraId="35B12F4A" w14:textId="1A44ABF3"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696FEA8B" w14:textId="3E653989"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0585CD56" w14:textId="1C04E0F3"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92312DD" w14:textId="0CD3214D"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1E21FF" w14:paraId="403C9E45" w14:textId="77777777" w:rsidTr="00DF7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F15ED82" w14:textId="77777777" w:rsidR="001E21FF" w:rsidRPr="00DD3844" w:rsidRDefault="001E21FF" w:rsidP="001E21FF">
            <w:pPr>
              <w:pStyle w:val="ODCBodyText"/>
              <w:jc w:val="left"/>
              <w:rPr>
                <w:color w:val="auto"/>
              </w:rPr>
            </w:pPr>
          </w:p>
        </w:tc>
        <w:tc>
          <w:tcPr>
            <w:tcW w:w="0" w:type="auto"/>
          </w:tcPr>
          <w:p w14:paraId="3ECC1BC0" w14:textId="2F3E600E" w:rsidR="001E21FF" w:rsidRPr="00DD3844" w:rsidRDefault="009E7CD7" w:rsidP="001E21F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Initiative</w:t>
            </w:r>
            <w:r w:rsidR="001E21FF" w:rsidRPr="00DD3844">
              <w:rPr>
                <w:color w:val="auto"/>
              </w:rPr>
              <w:t xml:space="preserve"> Staff Interviews</w:t>
            </w:r>
          </w:p>
        </w:tc>
        <w:tc>
          <w:tcPr>
            <w:tcW w:w="0" w:type="auto"/>
          </w:tcPr>
          <w:p w14:paraId="375172B6" w14:textId="2C9853E0"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4AAA816A" w14:textId="2AE2DFB8"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0A339C6C" w14:textId="04488233"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790497B3" w14:textId="1B52E881"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1E21FF" w14:paraId="603F03EB" w14:textId="77777777" w:rsidTr="00DF7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4E1ECA9" w14:textId="77777777" w:rsidR="001E21FF" w:rsidRPr="00DD3844" w:rsidRDefault="001E21FF" w:rsidP="001E21FF">
            <w:pPr>
              <w:pStyle w:val="ODCBodyText"/>
              <w:jc w:val="left"/>
              <w:rPr>
                <w:color w:val="auto"/>
              </w:rPr>
            </w:pPr>
          </w:p>
        </w:tc>
        <w:tc>
          <w:tcPr>
            <w:tcW w:w="0" w:type="auto"/>
          </w:tcPr>
          <w:p w14:paraId="7A410062" w14:textId="3964B673" w:rsidR="001E21FF" w:rsidRPr="00DD3844" w:rsidRDefault="001E21FF" w:rsidP="001E21F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Engineering Desk Review</w:t>
            </w:r>
          </w:p>
        </w:tc>
        <w:tc>
          <w:tcPr>
            <w:tcW w:w="0" w:type="auto"/>
          </w:tcPr>
          <w:p w14:paraId="2AB8AC82" w14:textId="4110C38E"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09BEC947" w14:textId="0144050C"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73C584B" w14:textId="5A4C2ED0"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61143B97" w14:textId="7B3849A6"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1E21FF" w14:paraId="2D92D9AB" w14:textId="77777777" w:rsidTr="00DF7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C863612" w14:textId="77777777" w:rsidR="001E21FF" w:rsidRPr="00DD3844" w:rsidRDefault="001E21FF" w:rsidP="001E21FF">
            <w:pPr>
              <w:pStyle w:val="ODCBodyText"/>
              <w:jc w:val="left"/>
              <w:rPr>
                <w:color w:val="auto"/>
              </w:rPr>
            </w:pPr>
          </w:p>
        </w:tc>
        <w:tc>
          <w:tcPr>
            <w:tcW w:w="0" w:type="auto"/>
          </w:tcPr>
          <w:p w14:paraId="73D5395C" w14:textId="67B83377" w:rsidR="001E21FF" w:rsidRPr="00DD3844" w:rsidRDefault="001E21FF" w:rsidP="001E21F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On-Site Measurement &amp; Verification</w:t>
            </w:r>
          </w:p>
        </w:tc>
        <w:tc>
          <w:tcPr>
            <w:tcW w:w="0" w:type="auto"/>
          </w:tcPr>
          <w:p w14:paraId="5606831E" w14:textId="795E4CB7"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52E10A1D" w14:textId="08A02531"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1E4DC9D0" w14:textId="77E0789F"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2943EAC9" w14:textId="5B8F3A18"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1E21FF" w14:paraId="503F1960" w14:textId="77777777" w:rsidTr="00DF7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0E98F5C" w14:textId="77777777" w:rsidR="001E21FF" w:rsidRPr="00DD3844" w:rsidRDefault="001E21FF" w:rsidP="001E21FF">
            <w:pPr>
              <w:pStyle w:val="ODCBodyText"/>
              <w:jc w:val="left"/>
              <w:rPr>
                <w:color w:val="auto"/>
              </w:rPr>
            </w:pPr>
          </w:p>
        </w:tc>
        <w:tc>
          <w:tcPr>
            <w:tcW w:w="0" w:type="auto"/>
          </w:tcPr>
          <w:p w14:paraId="0B2D96CA" w14:textId="209B4655" w:rsidR="001E21FF" w:rsidRPr="00DD3844" w:rsidRDefault="001E21FF" w:rsidP="001E21F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Net Impact Analysis – SAG Approved NTGR</w:t>
            </w:r>
          </w:p>
        </w:tc>
        <w:tc>
          <w:tcPr>
            <w:tcW w:w="0" w:type="auto"/>
          </w:tcPr>
          <w:p w14:paraId="6EFE791B" w14:textId="16EFA8B8"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3378E3B7" w14:textId="09C5B23C"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3FC4B454" w14:textId="4F2DAF4E"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7846D3FA" w14:textId="4800971D"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BD5107" w14:paraId="2B451CAB" w14:textId="77777777" w:rsidTr="00BD51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98D6F6" w:themeFill="background1" w:themeFillTint="66"/>
          </w:tcPr>
          <w:p w14:paraId="3E99BF1A" w14:textId="77777777" w:rsidR="00BD5107" w:rsidRPr="00DD3844" w:rsidRDefault="00BD5107" w:rsidP="00BD5107">
            <w:pPr>
              <w:pStyle w:val="ODCBodyText"/>
              <w:jc w:val="center"/>
              <w:rPr>
                <w:color w:val="auto"/>
              </w:rPr>
            </w:pPr>
          </w:p>
        </w:tc>
      </w:tr>
      <w:tr w:rsidR="00BD5107" w14:paraId="65618B29" w14:textId="77777777" w:rsidTr="00BD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10CCAF32" w14:textId="09EB2EDE" w:rsidR="00BD5107" w:rsidRPr="00DD3844" w:rsidRDefault="00BD5107" w:rsidP="00BD5107">
            <w:pPr>
              <w:pStyle w:val="ODCBodyText"/>
              <w:jc w:val="left"/>
              <w:rPr>
                <w:color w:val="auto"/>
              </w:rPr>
            </w:pPr>
            <w:r w:rsidRPr="00DD3844">
              <w:rPr>
                <w:color w:val="auto"/>
              </w:rPr>
              <w:t>Phased</w:t>
            </w:r>
          </w:p>
        </w:tc>
        <w:tc>
          <w:tcPr>
            <w:tcW w:w="0" w:type="auto"/>
          </w:tcPr>
          <w:p w14:paraId="70909ACD" w14:textId="5F816136" w:rsidR="00BD5107" w:rsidRPr="00DD3844" w:rsidRDefault="00BD5107" w:rsidP="00BD5107">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 xml:space="preserve">Participant </w:t>
            </w:r>
            <w:r w:rsidR="00F857E9">
              <w:rPr>
                <w:color w:val="auto"/>
              </w:rPr>
              <w:t>Interviews</w:t>
            </w:r>
            <w:r w:rsidR="00F857E9" w:rsidRPr="00DD3844">
              <w:rPr>
                <w:color w:val="auto"/>
              </w:rPr>
              <w:t xml:space="preserve"> </w:t>
            </w:r>
            <w:r w:rsidRPr="00DD3844">
              <w:rPr>
                <w:color w:val="auto"/>
              </w:rPr>
              <w:t>(Process &amp; NTG)</w:t>
            </w:r>
          </w:p>
        </w:tc>
        <w:tc>
          <w:tcPr>
            <w:tcW w:w="0" w:type="auto"/>
            <w:vAlign w:val="center"/>
          </w:tcPr>
          <w:p w14:paraId="768F8D3A" w14:textId="2447F0F1" w:rsidR="00BD5107" w:rsidRPr="00DD3844" w:rsidRDefault="00BD5107" w:rsidP="00BD5107">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7C29D37E" w14:textId="661F7E2B" w:rsidR="00BD5107" w:rsidRPr="00DD3844" w:rsidRDefault="001E21FF" w:rsidP="00BD5107">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6BA3787D" w14:textId="4DBD31AE" w:rsidR="00BD5107" w:rsidRPr="00DD3844" w:rsidRDefault="00BD5107" w:rsidP="00BD5107">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79524D04" w14:textId="427B6328" w:rsidR="00BD5107" w:rsidRPr="00DD3844" w:rsidRDefault="001E21FF" w:rsidP="00BD5107">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BD5107" w14:paraId="1F160E31" w14:textId="77777777" w:rsidTr="00BD51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3780D68" w14:textId="77777777" w:rsidR="00BD5107" w:rsidRPr="00DD3844" w:rsidRDefault="00BD5107" w:rsidP="00BD5107">
            <w:pPr>
              <w:pStyle w:val="ODCBodyText"/>
              <w:jc w:val="left"/>
              <w:rPr>
                <w:color w:val="auto"/>
              </w:rPr>
            </w:pPr>
          </w:p>
        </w:tc>
        <w:tc>
          <w:tcPr>
            <w:tcW w:w="0" w:type="auto"/>
          </w:tcPr>
          <w:p w14:paraId="6A2495B5" w14:textId="1769DE0B" w:rsidR="00BD5107" w:rsidRPr="00DD3844" w:rsidRDefault="00BD5107" w:rsidP="00BD5107">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RCx Service Provider Interviews</w:t>
            </w:r>
          </w:p>
        </w:tc>
        <w:tc>
          <w:tcPr>
            <w:tcW w:w="0" w:type="auto"/>
            <w:vAlign w:val="center"/>
          </w:tcPr>
          <w:p w14:paraId="18903D96" w14:textId="4315950F" w:rsidR="00BD5107" w:rsidRPr="00DD3844" w:rsidRDefault="001E21FF" w:rsidP="00BD5107">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70976E7E" w14:textId="70C842A3" w:rsidR="00BD5107" w:rsidRPr="00DD3844" w:rsidRDefault="00BD5107" w:rsidP="00BD5107">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7C76D127" w14:textId="78A1EE9E" w:rsidR="00BD5107" w:rsidRPr="00DD3844" w:rsidRDefault="001E21FF" w:rsidP="00BD5107">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7542CF42" w14:textId="5D3E95D8" w:rsidR="00BD5107" w:rsidRPr="00DD3844" w:rsidRDefault="00BD5107" w:rsidP="00BD5107">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r>
    </w:tbl>
    <w:p w14:paraId="1AF254EA" w14:textId="7F1BB739" w:rsidR="00BD5107" w:rsidRDefault="00BD5107" w:rsidP="00BD5107">
      <w:pPr>
        <w:pStyle w:val="ODCBodyText"/>
      </w:pPr>
      <w:r>
        <w:t xml:space="preserve">We proposed the evaluation activities included in </w:t>
      </w:r>
      <w:r>
        <w:fldChar w:fldCharType="begin"/>
      </w:r>
      <w:r>
        <w:instrText xml:space="preserve"> REF _Ref502314194 \h </w:instrText>
      </w:r>
      <w:r>
        <w:fldChar w:fldCharType="separate"/>
      </w:r>
      <w:r w:rsidR="00A75F23">
        <w:t xml:space="preserve">Table </w:t>
      </w:r>
      <w:r w:rsidR="00A75F23">
        <w:rPr>
          <w:noProof/>
        </w:rPr>
        <w:t>14</w:t>
      </w:r>
      <w:r>
        <w:fldChar w:fldCharType="end"/>
      </w:r>
      <w:r>
        <w:t xml:space="preserve"> for the following reasons:</w:t>
      </w:r>
    </w:p>
    <w:p w14:paraId="417B7830" w14:textId="5D3A5539" w:rsidR="00375273" w:rsidRPr="004F09F4" w:rsidRDefault="00375273" w:rsidP="00375273">
      <w:pPr>
        <w:pStyle w:val="Bullet1"/>
      </w:pPr>
      <w:r w:rsidRPr="004F09F4">
        <w:rPr>
          <w:b/>
        </w:rPr>
        <w:t>2020 and 2021</w:t>
      </w:r>
      <w:r>
        <w:t>: During the last two years of the 2018 Plan period, the evaluation team will alternate between explorations of the RSP perspective (2020) and that of the participating customers (2021). If warranted, the evaluation team may update this schedule to conduct research with both groups in the same year.</w:t>
      </w:r>
    </w:p>
    <w:p w14:paraId="6D00F53C" w14:textId="1C212944" w:rsidR="007848C4" w:rsidRDefault="00A65ACC" w:rsidP="007848C4">
      <w:pPr>
        <w:pStyle w:val="Heading2"/>
      </w:pPr>
      <w:bookmarkStart w:id="61" w:name="_Toc27335120"/>
      <w:r>
        <w:lastRenderedPageBreak/>
        <w:t>Streetl</w:t>
      </w:r>
      <w:r w:rsidR="007848C4">
        <w:t>ighting</w:t>
      </w:r>
      <w:r w:rsidR="00DD3844">
        <w:t xml:space="preserve"> Initiative</w:t>
      </w:r>
      <w:bookmarkEnd w:id="61"/>
    </w:p>
    <w:p w14:paraId="4B10F3DA" w14:textId="479A66CA" w:rsidR="007848C4" w:rsidRDefault="00D07911" w:rsidP="007848C4">
      <w:r>
        <w:t>New in 2018, t</w:t>
      </w:r>
      <w:r w:rsidR="00F0122B">
        <w:t xml:space="preserve">he Streetlighting </w:t>
      </w:r>
      <w:r w:rsidR="009E7CD7">
        <w:t xml:space="preserve">Initiative </w:t>
      </w:r>
      <w:r w:rsidR="00F0122B">
        <w:t>is designed to encourage municipalities to</w:t>
      </w:r>
      <w:r w:rsidR="00891ED9">
        <w:t xml:space="preserve"> upgrade their streetlighting from HID to</w:t>
      </w:r>
      <w:r w:rsidR="00F0122B">
        <w:t xml:space="preserve"> LED</w:t>
      </w:r>
      <w:r w:rsidR="00891ED9">
        <w:t xml:space="preserve"> technology and will </w:t>
      </w:r>
      <w:r>
        <w:t>include</w:t>
      </w:r>
      <w:r w:rsidR="00891ED9">
        <w:t xml:space="preserve"> streetlighting, area lighting, decorative lighting</w:t>
      </w:r>
      <w:r w:rsidR="00DD3844">
        <w:t>,</w:t>
      </w:r>
      <w:r w:rsidR="00891ED9">
        <w:t xml:space="preserve"> and protective lighting. Program staff supporting AIC’s public</w:t>
      </w:r>
      <w:r w:rsidR="009E7CD7">
        <w:t xml:space="preserve"> </w:t>
      </w:r>
      <w:r w:rsidR="00891ED9">
        <w:t>sector customers will be responsible for conducting outreach around t</w:t>
      </w:r>
      <w:r>
        <w:t xml:space="preserve">his </w:t>
      </w:r>
      <w:r w:rsidR="00C93489">
        <w:t>I</w:t>
      </w:r>
      <w:r>
        <w:t>nitiative</w:t>
      </w:r>
      <w:r w:rsidR="009E7CD7">
        <w:t>.</w:t>
      </w:r>
      <w:r>
        <w:t xml:space="preserve"> AIC anticipates two types of participants</w:t>
      </w:r>
      <w:r w:rsidR="009E7CD7">
        <w:t xml:space="preserve"> in this offering;</w:t>
      </w:r>
      <w:r>
        <w:t xml:space="preserve"> </w:t>
      </w:r>
      <w:r w:rsidR="009E7CD7">
        <w:t>t</w:t>
      </w:r>
      <w:r>
        <w:t>he first group of participants consists of municipalities that own their own streetlighting</w:t>
      </w:r>
      <w:r w:rsidR="00DD3844">
        <w:t>,</w:t>
      </w:r>
      <w:r>
        <w:t xml:space="preserve"> while the second group consists of municipalities with AIC owned streetlighting. For the first group, AIC will offer incentives for municipalities to upgrade their existing streetlighting. For the second group, AIC will incentivize municipalities to update their streetlighting ahead of AIC planned upgrades upon burnout. If interested, these municipalities will pay a fee to upgrade their streetlighting early and AIC will offer an incentive to bring down that fee. </w:t>
      </w:r>
    </w:p>
    <w:p w14:paraId="026D4C4C" w14:textId="40982A8F" w:rsidR="00A65ACC" w:rsidRPr="00A65ACC" w:rsidRDefault="00A65ACC" w:rsidP="00A65ACC">
      <w:pPr>
        <w:pStyle w:val="BodyText"/>
      </w:pPr>
      <w:r>
        <w:fldChar w:fldCharType="begin"/>
      </w:r>
      <w:r>
        <w:instrText xml:space="preserve"> REF _Ref502317128 \h </w:instrText>
      </w:r>
      <w:r>
        <w:fldChar w:fldCharType="separate"/>
      </w:r>
      <w:r w:rsidR="00A75F23">
        <w:t xml:space="preserve">Table </w:t>
      </w:r>
      <w:r w:rsidR="00A75F23">
        <w:rPr>
          <w:noProof/>
        </w:rPr>
        <w:t>15</w:t>
      </w:r>
      <w:r>
        <w:fldChar w:fldCharType="end"/>
      </w:r>
      <w:r>
        <w:t xml:space="preserve"> outlines the planned evaluation activities for the Streetlighting </w:t>
      </w:r>
      <w:r w:rsidR="008E7FF6">
        <w:t>I</w:t>
      </w:r>
      <w:r>
        <w:t>nitiative.</w:t>
      </w:r>
    </w:p>
    <w:p w14:paraId="7A8247A6" w14:textId="14E6BFA7" w:rsidR="007848C4" w:rsidRPr="00D327C0" w:rsidRDefault="007848C4" w:rsidP="00FA04B9">
      <w:pPr>
        <w:pStyle w:val="Caption"/>
      </w:pPr>
      <w:bookmarkStart w:id="62" w:name="_Ref502317128"/>
      <w:bookmarkStart w:id="63" w:name="_Toc27335142"/>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15</w:t>
      </w:r>
      <w:r w:rsidR="00E656B8">
        <w:rPr>
          <w:noProof/>
        </w:rPr>
        <w:fldChar w:fldCharType="end"/>
      </w:r>
      <w:bookmarkEnd w:id="62"/>
      <w:r w:rsidR="00A65ACC">
        <w:t>. Streetl</w:t>
      </w:r>
      <w:r>
        <w:t>ighting Initiative Evaluation Activities – Four Year Plan</w:t>
      </w:r>
      <w:bookmarkEnd w:id="63"/>
    </w:p>
    <w:tbl>
      <w:tblPr>
        <w:tblStyle w:val="ODCBasic-1"/>
        <w:tblW w:w="0" w:type="auto"/>
        <w:tblLook w:val="04A0" w:firstRow="1" w:lastRow="0" w:firstColumn="1" w:lastColumn="0" w:noHBand="0" w:noVBand="1"/>
      </w:tblPr>
      <w:tblGrid>
        <w:gridCol w:w="849"/>
        <w:gridCol w:w="4104"/>
        <w:gridCol w:w="673"/>
        <w:gridCol w:w="673"/>
        <w:gridCol w:w="673"/>
        <w:gridCol w:w="673"/>
      </w:tblGrid>
      <w:tr w:rsidR="007753E7" w14:paraId="0A64A957" w14:textId="77777777" w:rsidTr="004240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2FA554D" w14:textId="6C2211FD" w:rsidR="007753E7" w:rsidRDefault="007753E7" w:rsidP="00914A20">
            <w:pPr>
              <w:pStyle w:val="ODCBodyText"/>
            </w:pPr>
            <w:r>
              <w:t>Timing</w:t>
            </w:r>
          </w:p>
        </w:tc>
        <w:tc>
          <w:tcPr>
            <w:tcW w:w="0" w:type="auto"/>
          </w:tcPr>
          <w:p w14:paraId="73039A45" w14:textId="65CC8AEB" w:rsidR="007753E7" w:rsidRDefault="007753E7" w:rsidP="00DD3844">
            <w:pPr>
              <w:pStyle w:val="ODCBodyText"/>
              <w:jc w:val="center"/>
              <w:cnfStyle w:val="100000000000" w:firstRow="1" w:lastRow="0" w:firstColumn="0" w:lastColumn="0" w:oddVBand="0" w:evenVBand="0" w:oddHBand="0" w:evenHBand="0" w:firstRowFirstColumn="0" w:firstRowLastColumn="0" w:lastRowFirstColumn="0" w:lastRowLastColumn="0"/>
            </w:pPr>
            <w:r>
              <w:t>Activity</w:t>
            </w:r>
          </w:p>
        </w:tc>
        <w:tc>
          <w:tcPr>
            <w:tcW w:w="0" w:type="auto"/>
          </w:tcPr>
          <w:p w14:paraId="6C4249B7" w14:textId="77777777" w:rsidR="007753E7" w:rsidRDefault="007753E7" w:rsidP="00914A20">
            <w:pPr>
              <w:pStyle w:val="ODCBodyText"/>
              <w:jc w:val="center"/>
              <w:cnfStyle w:val="100000000000" w:firstRow="1" w:lastRow="0" w:firstColumn="0" w:lastColumn="0" w:oddVBand="0" w:evenVBand="0" w:oddHBand="0" w:evenHBand="0" w:firstRowFirstColumn="0" w:firstRowLastColumn="0" w:lastRowFirstColumn="0" w:lastRowLastColumn="0"/>
            </w:pPr>
            <w:r>
              <w:t>2018</w:t>
            </w:r>
          </w:p>
        </w:tc>
        <w:tc>
          <w:tcPr>
            <w:tcW w:w="0" w:type="auto"/>
          </w:tcPr>
          <w:p w14:paraId="4612ED0A" w14:textId="77777777" w:rsidR="007753E7" w:rsidRDefault="007753E7" w:rsidP="00914A20">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0" w:type="auto"/>
          </w:tcPr>
          <w:p w14:paraId="5F1C6056" w14:textId="77777777" w:rsidR="007753E7" w:rsidRDefault="007753E7" w:rsidP="00914A20">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544" w:type="dxa"/>
          </w:tcPr>
          <w:p w14:paraId="5EA8BCED" w14:textId="77777777" w:rsidR="007753E7" w:rsidRDefault="007753E7" w:rsidP="00914A20">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1E21FF" w14:paraId="2AC49F73" w14:textId="77777777" w:rsidTr="00424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1685D49A" w14:textId="16468471" w:rsidR="001E21FF" w:rsidRPr="00DD3844" w:rsidRDefault="001E21FF" w:rsidP="001E21FF">
            <w:pPr>
              <w:pStyle w:val="ODCBodyText"/>
              <w:jc w:val="left"/>
              <w:rPr>
                <w:color w:val="auto"/>
              </w:rPr>
            </w:pPr>
            <w:r w:rsidRPr="00DD3844">
              <w:rPr>
                <w:color w:val="auto"/>
              </w:rPr>
              <w:t>Annual</w:t>
            </w:r>
          </w:p>
        </w:tc>
        <w:tc>
          <w:tcPr>
            <w:tcW w:w="0" w:type="auto"/>
          </w:tcPr>
          <w:p w14:paraId="52C12EE5" w14:textId="3CD886DB" w:rsidR="001E21FF" w:rsidRPr="00DD3844" w:rsidRDefault="008E7FF6" w:rsidP="001E21F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 xml:space="preserve">Initiative </w:t>
            </w:r>
            <w:r w:rsidR="001E21FF" w:rsidRPr="00DD3844">
              <w:rPr>
                <w:color w:val="auto"/>
              </w:rPr>
              <w:t>Material &amp; Database Review</w:t>
            </w:r>
          </w:p>
        </w:tc>
        <w:tc>
          <w:tcPr>
            <w:tcW w:w="0" w:type="auto"/>
          </w:tcPr>
          <w:p w14:paraId="5830DB2F" w14:textId="47E75993"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65558BAA" w14:textId="78FDE549"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1DDBE0B0" w14:textId="67D189CC"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544" w:type="dxa"/>
          </w:tcPr>
          <w:p w14:paraId="174770F2" w14:textId="2BAA91E7"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1E21FF" w14:paraId="516510A3" w14:textId="77777777" w:rsidTr="004240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1180A91" w14:textId="77777777" w:rsidR="001E21FF" w:rsidRPr="00DD3844" w:rsidRDefault="001E21FF" w:rsidP="001E21FF">
            <w:pPr>
              <w:pStyle w:val="ODCBodyText"/>
              <w:jc w:val="left"/>
              <w:rPr>
                <w:color w:val="auto"/>
              </w:rPr>
            </w:pPr>
          </w:p>
        </w:tc>
        <w:tc>
          <w:tcPr>
            <w:tcW w:w="0" w:type="auto"/>
          </w:tcPr>
          <w:p w14:paraId="5425C6B5" w14:textId="47DF737F" w:rsidR="001E21FF" w:rsidRPr="00DD3844" w:rsidRDefault="008E7FF6" w:rsidP="001E21FF">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 xml:space="preserve">Initiative </w:t>
            </w:r>
            <w:r w:rsidR="001E21FF" w:rsidRPr="00DD3844">
              <w:rPr>
                <w:color w:val="auto"/>
              </w:rPr>
              <w:t>Staff Interviews</w:t>
            </w:r>
          </w:p>
        </w:tc>
        <w:tc>
          <w:tcPr>
            <w:tcW w:w="0" w:type="auto"/>
          </w:tcPr>
          <w:p w14:paraId="4844F5FB" w14:textId="4EEBBE64"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189D6B10" w14:textId="4B12DCE7"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tcPr>
          <w:p w14:paraId="6A210639" w14:textId="5CBE5B31"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544" w:type="dxa"/>
          </w:tcPr>
          <w:p w14:paraId="0FF8A881" w14:textId="692B1941"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1E21FF" w14:paraId="4D7883A4" w14:textId="77777777" w:rsidTr="00424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2F88605" w14:textId="77777777" w:rsidR="001E21FF" w:rsidRPr="00DD3844" w:rsidRDefault="001E21FF" w:rsidP="001E21FF">
            <w:pPr>
              <w:pStyle w:val="ODCBodyText"/>
              <w:jc w:val="left"/>
              <w:rPr>
                <w:color w:val="auto"/>
              </w:rPr>
            </w:pPr>
          </w:p>
        </w:tc>
        <w:tc>
          <w:tcPr>
            <w:tcW w:w="0" w:type="auto"/>
          </w:tcPr>
          <w:p w14:paraId="133A27BD" w14:textId="618BF0F4" w:rsidR="001E21FF" w:rsidRPr="00DD3844" w:rsidRDefault="001E21FF" w:rsidP="001E21F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Engineering Desk Review</w:t>
            </w:r>
          </w:p>
        </w:tc>
        <w:tc>
          <w:tcPr>
            <w:tcW w:w="0" w:type="auto"/>
          </w:tcPr>
          <w:p w14:paraId="391340CD" w14:textId="59B41668"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32A9B95D" w14:textId="0C971542"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3438E3CD" w14:textId="333A04A9"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544" w:type="dxa"/>
          </w:tcPr>
          <w:p w14:paraId="05880019" w14:textId="5AD74F7B"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7753E7" w14:paraId="6C142EE6" w14:textId="77777777" w:rsidTr="004240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35F0C23" w14:textId="77777777" w:rsidR="007753E7" w:rsidRPr="00DD3844" w:rsidRDefault="007753E7" w:rsidP="007753E7">
            <w:pPr>
              <w:pStyle w:val="ODCBodyText"/>
              <w:jc w:val="left"/>
              <w:rPr>
                <w:color w:val="auto"/>
              </w:rPr>
            </w:pPr>
          </w:p>
        </w:tc>
        <w:tc>
          <w:tcPr>
            <w:tcW w:w="0" w:type="auto"/>
          </w:tcPr>
          <w:p w14:paraId="1061613A" w14:textId="1C697D63" w:rsidR="007753E7" w:rsidRPr="00DD3844" w:rsidRDefault="007753E7" w:rsidP="007753E7">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Gross Impact Analysis – Algorithm-Based</w:t>
            </w:r>
          </w:p>
        </w:tc>
        <w:tc>
          <w:tcPr>
            <w:tcW w:w="0" w:type="auto"/>
            <w:vAlign w:val="center"/>
          </w:tcPr>
          <w:p w14:paraId="02DB9EA1" w14:textId="2977FB11" w:rsidR="007753E7" w:rsidRPr="00DD3844" w:rsidRDefault="001E21FF" w:rsidP="007753E7">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3E612E93" w14:textId="5E761C07" w:rsidR="007753E7" w:rsidRPr="00DD3844" w:rsidRDefault="001E21FF" w:rsidP="007753E7">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31449E10" w14:textId="7B1F043A" w:rsidR="007753E7" w:rsidRPr="00DD3844" w:rsidRDefault="001E21FF" w:rsidP="007753E7">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544" w:type="dxa"/>
            <w:vAlign w:val="center"/>
          </w:tcPr>
          <w:p w14:paraId="3070A26E" w14:textId="025C9021" w:rsidR="007753E7" w:rsidRPr="00DD3844" w:rsidRDefault="001E21FF" w:rsidP="007753E7">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1E21FF" w14:paraId="4FFD278A" w14:textId="77777777" w:rsidTr="00424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1573552" w14:textId="77777777" w:rsidR="001E21FF" w:rsidRPr="00DD3844" w:rsidRDefault="001E21FF" w:rsidP="001E21FF">
            <w:pPr>
              <w:pStyle w:val="ODCBodyText"/>
              <w:jc w:val="left"/>
              <w:rPr>
                <w:color w:val="auto"/>
              </w:rPr>
            </w:pPr>
          </w:p>
        </w:tc>
        <w:tc>
          <w:tcPr>
            <w:tcW w:w="0" w:type="auto"/>
          </w:tcPr>
          <w:p w14:paraId="69A582AC" w14:textId="7D9699EE" w:rsidR="001E21FF" w:rsidRPr="00DD3844" w:rsidRDefault="001E21FF" w:rsidP="001E21FF">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Net Impact Analysis – SAG Approved NTGR</w:t>
            </w:r>
          </w:p>
        </w:tc>
        <w:tc>
          <w:tcPr>
            <w:tcW w:w="0" w:type="auto"/>
          </w:tcPr>
          <w:p w14:paraId="0D92F24E" w14:textId="5BD8F103"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59664A70" w14:textId="7F94E55C"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tcPr>
          <w:p w14:paraId="44429C0E" w14:textId="62E7EFB3"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544" w:type="dxa"/>
          </w:tcPr>
          <w:p w14:paraId="4A69981B" w14:textId="124846D4"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7753E7" w14:paraId="7981313A" w14:textId="77777777" w:rsidTr="004240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gridSpan w:val="6"/>
            <w:shd w:val="clear" w:color="auto" w:fill="98D6F6" w:themeFill="background1" w:themeFillTint="66"/>
          </w:tcPr>
          <w:p w14:paraId="43A70540" w14:textId="0C8D9BBA" w:rsidR="007753E7" w:rsidRPr="00DD3844" w:rsidRDefault="007753E7" w:rsidP="007753E7">
            <w:pPr>
              <w:pStyle w:val="ODCBodyText"/>
              <w:jc w:val="center"/>
              <w:rPr>
                <w:color w:val="auto"/>
              </w:rPr>
            </w:pPr>
          </w:p>
        </w:tc>
      </w:tr>
      <w:tr w:rsidR="001E21FF" w14:paraId="598F4944" w14:textId="77777777" w:rsidTr="00424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78D7078B" w14:textId="194B82AA" w:rsidR="001E21FF" w:rsidRPr="00DD3844" w:rsidRDefault="001E21FF" w:rsidP="001E21FF">
            <w:pPr>
              <w:pStyle w:val="ODCBodyText"/>
              <w:jc w:val="left"/>
              <w:rPr>
                <w:color w:val="auto"/>
              </w:rPr>
            </w:pPr>
            <w:r w:rsidRPr="00DD3844">
              <w:rPr>
                <w:color w:val="auto"/>
              </w:rPr>
              <w:t>Phased</w:t>
            </w:r>
          </w:p>
        </w:tc>
        <w:tc>
          <w:tcPr>
            <w:tcW w:w="0" w:type="auto"/>
          </w:tcPr>
          <w:p w14:paraId="6C496338" w14:textId="315D493C" w:rsidR="001E21FF" w:rsidRPr="00DD3844" w:rsidRDefault="001E21FF" w:rsidP="001E21FF">
            <w:pPr>
              <w:pStyle w:val="ODCBodyTex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Process Model Development</w:t>
            </w:r>
          </w:p>
        </w:tc>
        <w:tc>
          <w:tcPr>
            <w:tcW w:w="0" w:type="auto"/>
          </w:tcPr>
          <w:p w14:paraId="567041C5" w14:textId="468DC5DA"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2B980819" w14:textId="77FD17DC" w:rsidR="001E21FF" w:rsidRPr="00DD3844" w:rsidRDefault="00802AF7"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027B5F48" w14:textId="77777777"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544" w:type="dxa"/>
            <w:vAlign w:val="center"/>
          </w:tcPr>
          <w:p w14:paraId="52030979" w14:textId="77777777"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r w:rsidR="001E21FF" w14:paraId="5CE58737" w14:textId="77777777" w:rsidTr="004240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F20D5A6" w14:textId="08AE1440" w:rsidR="001E21FF" w:rsidRPr="00DD3844" w:rsidRDefault="001E21FF" w:rsidP="001E21FF">
            <w:pPr>
              <w:pStyle w:val="ODCBodyText"/>
              <w:jc w:val="left"/>
              <w:rPr>
                <w:color w:val="auto"/>
              </w:rPr>
            </w:pPr>
          </w:p>
        </w:tc>
        <w:tc>
          <w:tcPr>
            <w:tcW w:w="0" w:type="auto"/>
          </w:tcPr>
          <w:p w14:paraId="59B12303" w14:textId="1CF9E9C1" w:rsidR="001E21FF" w:rsidRPr="00DD3844" w:rsidRDefault="001E21FF" w:rsidP="001E21FF">
            <w:pPr>
              <w:pStyle w:val="ODCBodyText"/>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t>Il-TRM Algorithm Development</w:t>
            </w:r>
          </w:p>
        </w:tc>
        <w:tc>
          <w:tcPr>
            <w:tcW w:w="0" w:type="auto"/>
          </w:tcPr>
          <w:p w14:paraId="7B98FE88" w14:textId="23E4EFE0"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37699C72" w14:textId="77777777"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69A390C3" w14:textId="77777777"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544" w:type="dxa"/>
            <w:vAlign w:val="center"/>
          </w:tcPr>
          <w:p w14:paraId="42F57064" w14:textId="77777777" w:rsidR="001E21FF" w:rsidRPr="00DD3844" w:rsidRDefault="001E21FF" w:rsidP="001E21FF">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r>
      <w:tr w:rsidR="001E21FF" w14:paraId="7F2365C0" w14:textId="77777777" w:rsidTr="00424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51E8B55" w14:textId="77777777" w:rsidR="001E21FF" w:rsidRPr="00DD3844" w:rsidRDefault="001E21FF" w:rsidP="001E21FF">
            <w:pPr>
              <w:pStyle w:val="ODCBodyText"/>
              <w:rPr>
                <w:color w:val="auto"/>
              </w:rPr>
            </w:pPr>
          </w:p>
        </w:tc>
        <w:tc>
          <w:tcPr>
            <w:tcW w:w="0" w:type="auto"/>
          </w:tcPr>
          <w:p w14:paraId="7A7F3BE0" w14:textId="1D086E22" w:rsidR="001E21FF" w:rsidRPr="00DD3844" w:rsidRDefault="001E21FF" w:rsidP="001E21FF">
            <w:pPr>
              <w:pStyle w:val="ODCBodyText"/>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t>Participant Survey (Process &amp; NTG)</w:t>
            </w:r>
          </w:p>
        </w:tc>
        <w:tc>
          <w:tcPr>
            <w:tcW w:w="0" w:type="auto"/>
          </w:tcPr>
          <w:p w14:paraId="7E28EE5E" w14:textId="47EC17D5"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034D7EDE" w14:textId="43AA6356" w:rsidR="001E21FF" w:rsidRPr="00DD3844" w:rsidRDefault="00802AF7"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4F08C1B8" w14:textId="30F0D10F"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544" w:type="dxa"/>
            <w:vAlign w:val="center"/>
          </w:tcPr>
          <w:p w14:paraId="1DFC9D18" w14:textId="07A06FE1" w:rsidR="001E21FF" w:rsidRPr="00DD3844" w:rsidRDefault="001E21FF" w:rsidP="001E21FF">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08E0AAF8" w14:textId="21C4D858" w:rsidR="00A65ACC" w:rsidRDefault="00A65ACC" w:rsidP="00A65ACC">
      <w:pPr>
        <w:pStyle w:val="ODCBodyText"/>
      </w:pPr>
      <w:r>
        <w:t xml:space="preserve">We proposed the evaluation activities included in </w:t>
      </w:r>
      <w:r>
        <w:fldChar w:fldCharType="begin"/>
      </w:r>
      <w:r>
        <w:instrText xml:space="preserve"> REF _Ref502317128 \h </w:instrText>
      </w:r>
      <w:r>
        <w:fldChar w:fldCharType="separate"/>
      </w:r>
      <w:r w:rsidR="00A75F23">
        <w:t xml:space="preserve">Table </w:t>
      </w:r>
      <w:r w:rsidR="00A75F23">
        <w:rPr>
          <w:noProof/>
        </w:rPr>
        <w:t>15</w:t>
      </w:r>
      <w:r>
        <w:fldChar w:fldCharType="end"/>
      </w:r>
      <w:r>
        <w:t xml:space="preserve"> for the following reasons:</w:t>
      </w:r>
    </w:p>
    <w:p w14:paraId="4247CBFE" w14:textId="0AEC4B41" w:rsidR="00A65ACC" w:rsidRPr="00A65ACC" w:rsidRDefault="00A65ACC" w:rsidP="00A65ACC">
      <w:pPr>
        <w:pStyle w:val="Bullet1"/>
      </w:pPr>
      <w:r w:rsidRPr="00A65ACC">
        <w:rPr>
          <w:b/>
        </w:rPr>
        <w:t>2020 and 2021</w:t>
      </w:r>
      <w:r>
        <w:t xml:space="preserve">: During the last two years of the 2018 Plan period, the evaluation team </w:t>
      </w:r>
      <w:r w:rsidR="00707B4B">
        <w:t>plans to conduct basic process evaluation and impact evaluation only.</w:t>
      </w:r>
    </w:p>
    <w:p w14:paraId="1B4755A8" w14:textId="0086AE75" w:rsidR="009E77D8" w:rsidRDefault="009E77D8" w:rsidP="009E77D8">
      <w:pPr>
        <w:pStyle w:val="Heading2"/>
      </w:pPr>
      <w:bookmarkStart w:id="64" w:name="_Toc27335121"/>
      <w:r>
        <w:t>Cross-Cutting Business Program Research</w:t>
      </w:r>
      <w:bookmarkEnd w:id="64"/>
    </w:p>
    <w:p w14:paraId="28A7D87B" w14:textId="1AD8DAA5" w:rsidR="002E676A" w:rsidRDefault="008E7FF6" w:rsidP="008E7FF6">
      <w:pPr>
        <w:keepNext/>
        <w:keepLines/>
      </w:pPr>
      <w:r>
        <w:t xml:space="preserve">As in past years, we will conduct cross-cutting Business Program evaluation activities to inform the overall implementation approach to serving non-residential customers in AIC territory. </w:t>
      </w:r>
      <w:r w:rsidR="002E676A" w:rsidRPr="002E676A">
        <w:t xml:space="preserve">Given the change in eligible population and the types of offerings (e.g., integrated offerings for public sector and small businesses) there is a need for </w:t>
      </w:r>
      <w:r w:rsidR="002E676A">
        <w:t>targeted research to support AIC’s program implementation. We have begun a number of research tasks in the Transition Period and will continue these activities throughout the 2018-2021 cycle.</w:t>
      </w:r>
    </w:p>
    <w:p w14:paraId="4A2D9507" w14:textId="10D3CE8E" w:rsidR="008E7FF6" w:rsidRDefault="008E7FF6" w:rsidP="008E7FF6">
      <w:pPr>
        <w:keepNext/>
        <w:keepLines/>
      </w:pPr>
      <w:r>
        <w:t>We plan to complete two types of cross-cutting evaluation activities during the 2018-2021 cycle.</w:t>
      </w:r>
    </w:p>
    <w:p w14:paraId="7226A0CA" w14:textId="5BA85105" w:rsidR="002E676A" w:rsidRDefault="008E7FF6" w:rsidP="002E676A">
      <w:pPr>
        <w:pStyle w:val="Bullet1"/>
      </w:pPr>
      <w:r>
        <w:t>First, we plan on a year-by-year basis to complete research tasks that inform multiple Business Program initiatives. This will include</w:t>
      </w:r>
      <w:r w:rsidR="002E676A">
        <w:t xml:space="preserve"> a Business Program non-participant survey,</w:t>
      </w:r>
      <w:r>
        <w:t xml:space="preserve"> interviews with Business Program Energy Advisors, Business Program trade allies, AIC Key Account Executives, and other ad</w:t>
      </w:r>
      <w:r w:rsidR="00DD3844">
        <w:t xml:space="preserve"> </w:t>
      </w:r>
      <w:r>
        <w:t>hoc research as needed.</w:t>
      </w:r>
    </w:p>
    <w:p w14:paraId="4F357C9E" w14:textId="1D0030BF" w:rsidR="002E676A" w:rsidRDefault="002E676A" w:rsidP="00424062">
      <w:pPr>
        <w:pStyle w:val="Bullet1"/>
      </w:pPr>
      <w:r>
        <w:lastRenderedPageBreak/>
        <w:t>Second, throughout the 2018-2021 cycle, we plan to complete targeted non-residential market assessments based on AIC and stakeholder interest, as well as the results of the various research activities we have presented here.</w:t>
      </w:r>
    </w:p>
    <w:p w14:paraId="40A15A46" w14:textId="59C28DB7" w:rsidR="002E676A" w:rsidRPr="002E676A" w:rsidRDefault="002E676A">
      <w:pPr>
        <w:pStyle w:val="ODCBodyText"/>
      </w:pPr>
      <w:r>
        <w:fldChar w:fldCharType="begin"/>
      </w:r>
      <w:r>
        <w:instrText xml:space="preserve"> REF _Ref502829028 \h </w:instrText>
      </w:r>
      <w:r>
        <w:fldChar w:fldCharType="separate"/>
      </w:r>
      <w:r w:rsidR="00A75F23">
        <w:t xml:space="preserve">Table </w:t>
      </w:r>
      <w:r w:rsidR="00A75F23">
        <w:rPr>
          <w:noProof/>
        </w:rPr>
        <w:t>16</w:t>
      </w:r>
      <w:r>
        <w:fldChar w:fldCharType="end"/>
      </w:r>
      <w:r>
        <w:t xml:space="preserve"> presents currently planned cross-cutting research activities. The evaluation team will assess the need for each of these activities as we progress through the cycle and revise accordingly, but we will complete at least one assessment of Business Program non-participant spillover (NPSO) during this plan period.</w:t>
      </w:r>
    </w:p>
    <w:p w14:paraId="1C5FEA6A" w14:textId="602C1750" w:rsidR="002E676A" w:rsidRDefault="002E676A" w:rsidP="00FA04B9">
      <w:pPr>
        <w:pStyle w:val="Caption"/>
      </w:pPr>
      <w:bookmarkStart w:id="65" w:name="_Ref502829028"/>
      <w:bookmarkStart w:id="66" w:name="_Toc27335143"/>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16</w:t>
      </w:r>
      <w:r w:rsidR="00E656B8">
        <w:rPr>
          <w:noProof/>
        </w:rPr>
        <w:fldChar w:fldCharType="end"/>
      </w:r>
      <w:bookmarkEnd w:id="65"/>
      <w:r>
        <w:t>. Cross-Cutting Business Program Research Activities by Year</w:t>
      </w:r>
      <w:bookmarkEnd w:id="66"/>
    </w:p>
    <w:tbl>
      <w:tblPr>
        <w:tblStyle w:val="ODCBasic-1"/>
        <w:tblW w:w="0" w:type="auto"/>
        <w:tblLook w:val="04A0" w:firstRow="1" w:lastRow="0" w:firstColumn="1" w:lastColumn="0" w:noHBand="0" w:noVBand="1"/>
      </w:tblPr>
      <w:tblGrid>
        <w:gridCol w:w="3529"/>
        <w:gridCol w:w="614"/>
        <w:gridCol w:w="614"/>
        <w:gridCol w:w="614"/>
        <w:gridCol w:w="614"/>
      </w:tblGrid>
      <w:tr w:rsidR="002E676A" w14:paraId="0BDC30F3" w14:textId="77777777" w:rsidTr="00424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2BC503" w14:textId="0B11A9EF" w:rsidR="002E676A" w:rsidRDefault="002E676A" w:rsidP="008E7FF6">
            <w:pPr>
              <w:pStyle w:val="ODCBodyText"/>
            </w:pPr>
            <w:r>
              <w:t>Activity</w:t>
            </w:r>
          </w:p>
        </w:tc>
        <w:tc>
          <w:tcPr>
            <w:tcW w:w="0" w:type="auto"/>
          </w:tcPr>
          <w:p w14:paraId="0931EC95" w14:textId="4B79ED64" w:rsidR="002E676A" w:rsidRDefault="002E676A" w:rsidP="008E7FF6">
            <w:pPr>
              <w:pStyle w:val="ODCBodyText"/>
              <w:cnfStyle w:val="100000000000" w:firstRow="1" w:lastRow="0" w:firstColumn="0" w:lastColumn="0" w:oddVBand="0" w:evenVBand="0" w:oddHBand="0" w:evenHBand="0" w:firstRowFirstColumn="0" w:firstRowLastColumn="0" w:lastRowFirstColumn="0" w:lastRowLastColumn="0"/>
            </w:pPr>
            <w:r>
              <w:t>2018</w:t>
            </w:r>
          </w:p>
        </w:tc>
        <w:tc>
          <w:tcPr>
            <w:tcW w:w="0" w:type="auto"/>
          </w:tcPr>
          <w:p w14:paraId="5B4DBBF6" w14:textId="70AFDB7C" w:rsidR="002E676A" w:rsidRDefault="002E676A" w:rsidP="008E7FF6">
            <w:pPr>
              <w:pStyle w:val="ODCBodyText"/>
              <w:cnfStyle w:val="100000000000" w:firstRow="1" w:lastRow="0" w:firstColumn="0" w:lastColumn="0" w:oddVBand="0" w:evenVBand="0" w:oddHBand="0" w:evenHBand="0" w:firstRowFirstColumn="0" w:firstRowLastColumn="0" w:lastRowFirstColumn="0" w:lastRowLastColumn="0"/>
            </w:pPr>
            <w:r>
              <w:t>2019</w:t>
            </w:r>
          </w:p>
        </w:tc>
        <w:tc>
          <w:tcPr>
            <w:tcW w:w="0" w:type="auto"/>
          </w:tcPr>
          <w:p w14:paraId="5030B02C" w14:textId="43158308" w:rsidR="002E676A" w:rsidRDefault="002E676A" w:rsidP="008E7FF6">
            <w:pPr>
              <w:pStyle w:val="ODCBodyText"/>
              <w:cnfStyle w:val="100000000000" w:firstRow="1" w:lastRow="0" w:firstColumn="0" w:lastColumn="0" w:oddVBand="0" w:evenVBand="0" w:oddHBand="0" w:evenHBand="0" w:firstRowFirstColumn="0" w:firstRowLastColumn="0" w:lastRowFirstColumn="0" w:lastRowLastColumn="0"/>
            </w:pPr>
            <w:r>
              <w:t>2020</w:t>
            </w:r>
          </w:p>
        </w:tc>
        <w:tc>
          <w:tcPr>
            <w:tcW w:w="0" w:type="auto"/>
          </w:tcPr>
          <w:p w14:paraId="76E35FB9" w14:textId="2FE451E3" w:rsidR="002E676A" w:rsidRDefault="002E676A" w:rsidP="008E7FF6">
            <w:pPr>
              <w:pStyle w:val="ODCBodyText"/>
              <w:cnfStyle w:val="100000000000" w:firstRow="1" w:lastRow="0" w:firstColumn="0" w:lastColumn="0" w:oddVBand="0" w:evenVBand="0" w:oddHBand="0" w:evenHBand="0" w:firstRowFirstColumn="0" w:firstRowLastColumn="0" w:lastRowFirstColumn="0" w:lastRowLastColumn="0"/>
            </w:pPr>
            <w:r>
              <w:t>2021</w:t>
            </w:r>
          </w:p>
        </w:tc>
      </w:tr>
      <w:tr w:rsidR="002E676A" w14:paraId="5DEFE7EB" w14:textId="77777777" w:rsidTr="002E6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DB26B5" w14:textId="26EF128D" w:rsidR="002E676A" w:rsidRPr="00DD3844" w:rsidRDefault="002E676A" w:rsidP="002E676A">
            <w:pPr>
              <w:pStyle w:val="ODCBodyText"/>
              <w:rPr>
                <w:color w:val="auto"/>
              </w:rPr>
            </w:pPr>
            <w:r w:rsidRPr="00DD3844">
              <w:rPr>
                <w:color w:val="auto"/>
              </w:rPr>
              <w:t>Targeted Market Assessments</w:t>
            </w:r>
          </w:p>
        </w:tc>
        <w:tc>
          <w:tcPr>
            <w:tcW w:w="0" w:type="auto"/>
            <w:vAlign w:val="center"/>
          </w:tcPr>
          <w:p w14:paraId="6168CAAA" w14:textId="72498D0F" w:rsidR="002E676A" w:rsidRPr="00DD3844" w:rsidRDefault="002E676A" w:rsidP="002E676A">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0C33BE97" w14:textId="1F1B1F4B" w:rsidR="002E676A" w:rsidRPr="00DD3844" w:rsidRDefault="002E676A" w:rsidP="002E676A">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382370BC" w14:textId="19D72779" w:rsidR="002E676A" w:rsidRPr="00DD3844" w:rsidRDefault="002E676A" w:rsidP="002E676A">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42A8B9E2" w14:textId="542C76CE" w:rsidR="002E676A" w:rsidRPr="00DD3844" w:rsidRDefault="002E676A" w:rsidP="002E676A">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2E676A" w14:paraId="64A47DC6" w14:textId="77777777" w:rsidTr="002E67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C74D82" w14:textId="41D31374" w:rsidR="002E676A" w:rsidRPr="00DD3844" w:rsidRDefault="002E676A" w:rsidP="002E676A">
            <w:pPr>
              <w:pStyle w:val="ODCBodyText"/>
              <w:rPr>
                <w:color w:val="auto"/>
                <w:vertAlign w:val="superscript"/>
              </w:rPr>
            </w:pPr>
            <w:r w:rsidRPr="00DD3844">
              <w:rPr>
                <w:color w:val="auto"/>
              </w:rPr>
              <w:t>Non-Participant Survey (including NPSO)</w:t>
            </w:r>
          </w:p>
        </w:tc>
        <w:tc>
          <w:tcPr>
            <w:tcW w:w="0" w:type="auto"/>
            <w:vAlign w:val="center"/>
          </w:tcPr>
          <w:p w14:paraId="01F54142" w14:textId="19C4815A" w:rsidR="002E676A" w:rsidRPr="00DD3844" w:rsidRDefault="004F33CD" w:rsidP="002E676A">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38D529F7" w14:textId="4DE52DB2" w:rsidR="002E676A" w:rsidRPr="00DD3844" w:rsidRDefault="002E676A" w:rsidP="002E676A">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64B7A9EB" w14:textId="04ABC75D" w:rsidR="002E676A" w:rsidRPr="00DD3844" w:rsidRDefault="002E676A" w:rsidP="002E676A">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74FE8E42" w14:textId="77777777" w:rsidR="002E676A" w:rsidRPr="00DD3844" w:rsidRDefault="002E676A" w:rsidP="002E676A">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r>
      <w:tr w:rsidR="002E676A" w14:paraId="43A35692" w14:textId="77777777" w:rsidTr="00424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4E8DC1" w14:textId="35B1A124" w:rsidR="002E676A" w:rsidRPr="00DD3844" w:rsidRDefault="002E676A" w:rsidP="002E676A">
            <w:pPr>
              <w:pStyle w:val="ODCBodyText"/>
              <w:rPr>
                <w:color w:val="auto"/>
              </w:rPr>
            </w:pPr>
            <w:r w:rsidRPr="00DD3844">
              <w:rPr>
                <w:color w:val="auto"/>
              </w:rPr>
              <w:t>Energy Advisor Interviews</w:t>
            </w:r>
          </w:p>
        </w:tc>
        <w:tc>
          <w:tcPr>
            <w:tcW w:w="0" w:type="auto"/>
            <w:vAlign w:val="center"/>
          </w:tcPr>
          <w:p w14:paraId="75A0F6C8" w14:textId="51E67202" w:rsidR="002E676A" w:rsidRPr="00DD3844" w:rsidRDefault="002E676A" w:rsidP="00424062">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3B285669" w14:textId="77777777" w:rsidR="002E676A" w:rsidRPr="00DD3844" w:rsidRDefault="002E676A" w:rsidP="00424062">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1587C873" w14:textId="4D0BF827" w:rsidR="002E676A" w:rsidRPr="00DD3844" w:rsidRDefault="002E676A" w:rsidP="00424062">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15219023" w14:textId="77777777" w:rsidR="002E676A" w:rsidRPr="00DD3844" w:rsidRDefault="002E676A" w:rsidP="00424062">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r>
      <w:tr w:rsidR="002E676A" w14:paraId="13A03324" w14:textId="77777777" w:rsidTr="004240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3D004B" w14:textId="448D7A19" w:rsidR="002E676A" w:rsidRPr="00DD3844" w:rsidRDefault="002E676A" w:rsidP="002E676A">
            <w:pPr>
              <w:pStyle w:val="ODCBodyText"/>
              <w:rPr>
                <w:color w:val="auto"/>
              </w:rPr>
            </w:pPr>
            <w:r w:rsidRPr="00DD3844">
              <w:rPr>
                <w:color w:val="auto"/>
              </w:rPr>
              <w:t>Trade Ally Interviews</w:t>
            </w:r>
          </w:p>
        </w:tc>
        <w:tc>
          <w:tcPr>
            <w:tcW w:w="0" w:type="auto"/>
            <w:vAlign w:val="center"/>
          </w:tcPr>
          <w:p w14:paraId="7B41349B" w14:textId="5FDF31D5" w:rsidR="002E676A" w:rsidRPr="00DD3844" w:rsidRDefault="002E676A" w:rsidP="00424062">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0F8C05CA" w14:textId="77777777" w:rsidR="002E676A" w:rsidRPr="00DD3844" w:rsidRDefault="002E676A" w:rsidP="00424062">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09C6C405" w14:textId="5F3BC0F0" w:rsidR="002E676A" w:rsidRPr="00DD3844" w:rsidRDefault="002E676A" w:rsidP="00424062">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295A98AF" w14:textId="77777777" w:rsidR="002E676A" w:rsidRPr="00DD3844" w:rsidRDefault="002E676A" w:rsidP="00424062">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r>
      <w:tr w:rsidR="002E676A" w14:paraId="338F538E" w14:textId="77777777" w:rsidTr="00424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D69D16" w14:textId="729584AB" w:rsidR="002E676A" w:rsidRPr="00DD3844" w:rsidRDefault="002E676A" w:rsidP="002E676A">
            <w:pPr>
              <w:pStyle w:val="ODCBodyText"/>
              <w:rPr>
                <w:color w:val="auto"/>
              </w:rPr>
            </w:pPr>
            <w:r w:rsidRPr="00DD3844">
              <w:rPr>
                <w:color w:val="auto"/>
              </w:rPr>
              <w:t>Key Account Executive Interviews</w:t>
            </w:r>
          </w:p>
        </w:tc>
        <w:tc>
          <w:tcPr>
            <w:tcW w:w="0" w:type="auto"/>
            <w:vAlign w:val="center"/>
          </w:tcPr>
          <w:p w14:paraId="5B550086" w14:textId="77777777" w:rsidR="002E676A" w:rsidRPr="00DD3844" w:rsidRDefault="002E676A" w:rsidP="00424062">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670202F9" w14:textId="69DCE947" w:rsidR="002E676A" w:rsidRPr="00DD3844" w:rsidRDefault="002E676A" w:rsidP="00424062">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5338F2AE" w14:textId="1265B00D" w:rsidR="002E676A" w:rsidRPr="00DD3844" w:rsidRDefault="002E676A" w:rsidP="00424062">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4AC2F073" w14:textId="4F7BADA5" w:rsidR="002E676A" w:rsidRPr="00DD3844" w:rsidRDefault="002E676A" w:rsidP="00424062">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4F33CD" w14:paraId="57B6EA1B" w14:textId="77777777" w:rsidTr="004240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47E784" w14:textId="23AF127F" w:rsidR="004F33CD" w:rsidRPr="00DD3844" w:rsidRDefault="004F33CD" w:rsidP="004F33CD">
            <w:pPr>
              <w:pStyle w:val="ODCBodyText"/>
            </w:pPr>
            <w:bookmarkStart w:id="67" w:name="_Hlk502694099"/>
            <w:r w:rsidRPr="00DD3844">
              <w:rPr>
                <w:color w:val="auto"/>
              </w:rPr>
              <w:t>Historical Participation Analysis</w:t>
            </w:r>
          </w:p>
        </w:tc>
        <w:tc>
          <w:tcPr>
            <w:tcW w:w="0" w:type="auto"/>
            <w:vAlign w:val="center"/>
          </w:tcPr>
          <w:p w14:paraId="3F89AF69" w14:textId="0E655A4C" w:rsidR="004F33CD" w:rsidRPr="00DD3844" w:rsidRDefault="004F33CD" w:rsidP="004F33CD">
            <w:pPr>
              <w:pStyle w:val="ODCBodyText"/>
              <w:jc w:val="center"/>
              <w:cnfStyle w:val="000000010000" w:firstRow="0" w:lastRow="0" w:firstColumn="0" w:lastColumn="0" w:oddVBand="0" w:evenVBand="0" w:oddHBand="0" w:evenHBand="1" w:firstRowFirstColumn="0" w:firstRowLastColumn="0" w:lastRowFirstColumn="0" w:lastRowLastColumn="0"/>
            </w:pPr>
            <w:r w:rsidRPr="00DD3844">
              <w:rPr>
                <w:color w:val="auto"/>
              </w:rPr>
              <w:sym w:font="Wingdings" w:char="F0FC"/>
            </w:r>
          </w:p>
        </w:tc>
        <w:tc>
          <w:tcPr>
            <w:tcW w:w="0" w:type="auto"/>
            <w:vAlign w:val="center"/>
          </w:tcPr>
          <w:p w14:paraId="201B1DBF" w14:textId="77777777" w:rsidR="004F33CD" w:rsidRPr="00DD3844" w:rsidRDefault="004F33CD" w:rsidP="004F33CD">
            <w:pPr>
              <w:pStyle w:val="ODCBodyText"/>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4B50F09E" w14:textId="77777777" w:rsidR="004F33CD" w:rsidRPr="00DD3844" w:rsidRDefault="004F33CD" w:rsidP="004F33CD">
            <w:pPr>
              <w:pStyle w:val="ODCBodyText"/>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7B2BBB21" w14:textId="77777777" w:rsidR="004F33CD" w:rsidRPr="00DD3844" w:rsidRDefault="004F33CD" w:rsidP="004F33CD">
            <w:pPr>
              <w:pStyle w:val="ODCBodyText"/>
              <w:jc w:val="center"/>
              <w:cnfStyle w:val="000000010000" w:firstRow="0" w:lastRow="0" w:firstColumn="0" w:lastColumn="0" w:oddVBand="0" w:evenVBand="0" w:oddHBand="0" w:evenHBand="1" w:firstRowFirstColumn="0" w:firstRowLastColumn="0" w:lastRowFirstColumn="0" w:lastRowLastColumn="0"/>
            </w:pPr>
          </w:p>
        </w:tc>
      </w:tr>
      <w:tr w:rsidR="004F33CD" w14:paraId="13D4181E" w14:textId="77777777" w:rsidTr="00424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3FF73C" w14:textId="6145C603" w:rsidR="004F33CD" w:rsidRPr="00DD3844" w:rsidRDefault="004F33CD" w:rsidP="004F33CD">
            <w:pPr>
              <w:pStyle w:val="ODCBodyText"/>
            </w:pPr>
            <w:r w:rsidRPr="00DD3844">
              <w:rPr>
                <w:color w:val="auto"/>
              </w:rPr>
              <w:t>Customer Profiling</w:t>
            </w:r>
          </w:p>
        </w:tc>
        <w:tc>
          <w:tcPr>
            <w:tcW w:w="0" w:type="auto"/>
            <w:vAlign w:val="center"/>
          </w:tcPr>
          <w:p w14:paraId="73FC8213" w14:textId="77777777" w:rsidR="004F33CD" w:rsidRPr="00DD3844" w:rsidRDefault="004F33CD" w:rsidP="004F33CD">
            <w:pPr>
              <w:pStyle w:val="ODCBodyText"/>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39170578" w14:textId="1FF63C69" w:rsidR="004F33CD" w:rsidRPr="00DD3844" w:rsidRDefault="004F33CD" w:rsidP="004F33CD">
            <w:pPr>
              <w:pStyle w:val="ODCBodyText"/>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43399C18" w14:textId="19FE230A" w:rsidR="004F33CD" w:rsidRPr="00DD3844" w:rsidRDefault="004F33CD" w:rsidP="004F33CD">
            <w:pPr>
              <w:pStyle w:val="ODCBodyText"/>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142613D9" w14:textId="77777777" w:rsidR="004F33CD" w:rsidRPr="00DD3844" w:rsidRDefault="004F33CD" w:rsidP="004F33CD">
            <w:pPr>
              <w:pStyle w:val="ODCBodyText"/>
              <w:jc w:val="center"/>
              <w:cnfStyle w:val="000000100000" w:firstRow="0" w:lastRow="0" w:firstColumn="0" w:lastColumn="0" w:oddVBand="0" w:evenVBand="0" w:oddHBand="1" w:evenHBand="0" w:firstRowFirstColumn="0" w:firstRowLastColumn="0" w:lastRowFirstColumn="0" w:lastRowLastColumn="0"/>
            </w:pPr>
          </w:p>
        </w:tc>
      </w:tr>
    </w:tbl>
    <w:p w14:paraId="2620E7CD" w14:textId="4F3C543B" w:rsidR="001823F2" w:rsidRDefault="001823F2" w:rsidP="00F4018C">
      <w:pPr>
        <w:pStyle w:val="Heading1"/>
      </w:pPr>
      <w:bookmarkStart w:id="68" w:name="_Toc27335122"/>
      <w:bookmarkEnd w:id="67"/>
      <w:r>
        <w:t xml:space="preserve">Voltage Optimization </w:t>
      </w:r>
      <w:r w:rsidR="00F4018C">
        <w:t>Program</w:t>
      </w:r>
      <w:bookmarkEnd w:id="68"/>
    </w:p>
    <w:p w14:paraId="4400723A" w14:textId="1AE4355D" w:rsidR="001823F2" w:rsidRDefault="001823F2" w:rsidP="001823F2">
      <w:pPr>
        <w:pStyle w:val="BodyText"/>
      </w:pPr>
      <w:r>
        <w:t>Voltage optimization (VO) is a form of energy efficiency technology implemented by electric utilities at the distribution substation or circuit level that optimizes voltage levels along distribution circuits to reduce electricity usage. There are two main VO technologies: Conservation Voltage Reduction (CVR) and Volt-Var Optimization (VVO). CVR reduces customer energy consumption by reducing line voltage and VVO improves the power factor to reduce line losses.</w:t>
      </w:r>
      <w:r w:rsidRPr="00DB4FAB">
        <w:t xml:space="preserve"> </w:t>
      </w:r>
      <w:r>
        <w:t>Once implemented, VO technologies are intended to operate 24 hours a day, 365 days a year. AIC will implement hardware and software solutions using VO technologies.</w:t>
      </w:r>
    </w:p>
    <w:p w14:paraId="602B01F2" w14:textId="77777777" w:rsidR="001823F2" w:rsidRPr="00885286" w:rsidRDefault="001823F2" w:rsidP="001823F2">
      <w:r>
        <w:t>AIC launched its VO program in 2018, leveraging experience gained from a 2012 VO Pilot Project. As part of 2018 implementation activities, AIC installed hardware, software, and communications components</w:t>
      </w:r>
      <w:r>
        <w:rPr>
          <w:rStyle w:val="FootnoteReference"/>
        </w:rPr>
        <w:footnoteReference w:id="2"/>
      </w:r>
      <w:r>
        <w:t xml:space="preserve"> on a subset of 1,047 eligible feeders</w:t>
      </w:r>
      <w:r>
        <w:rPr>
          <w:rStyle w:val="FootnoteReference"/>
        </w:rPr>
        <w:footnoteReference w:id="3"/>
      </w:r>
      <w:r>
        <w:rPr>
          <w:vertAlign w:val="superscript"/>
        </w:rPr>
        <w:t xml:space="preserve"> </w:t>
      </w:r>
      <w:r>
        <w:t>on a phased basis, with 19 circuits deployed in 2018 and culminating in 1047</w:t>
      </w:r>
      <w:r>
        <w:rPr>
          <w:rStyle w:val="FootnoteReference"/>
        </w:rPr>
        <w:footnoteReference w:id="4"/>
      </w:r>
      <w:r>
        <w:t xml:space="preserve"> circuits deployed by 2024. In 2019, evaluation activities will evaluate the impacts of the circuits deployed in 2018, in addition to calculating impacts from “on/off testing,” which will commence in 2019.</w:t>
      </w:r>
    </w:p>
    <w:p w14:paraId="28667968" w14:textId="5A57EE43" w:rsidR="001823F2" w:rsidRPr="00A65ACC" w:rsidRDefault="001823F2" w:rsidP="001823F2">
      <w:pPr>
        <w:pStyle w:val="BodyText"/>
      </w:pPr>
      <w:r>
        <w:fldChar w:fldCharType="begin"/>
      </w:r>
      <w:r>
        <w:instrText xml:space="preserve"> REF _Ref531766970 \h </w:instrText>
      </w:r>
      <w:r>
        <w:fldChar w:fldCharType="separate"/>
      </w:r>
      <w:r w:rsidR="00A75F23">
        <w:t xml:space="preserve">Table </w:t>
      </w:r>
      <w:r w:rsidR="00A75F23">
        <w:rPr>
          <w:noProof/>
        </w:rPr>
        <w:t>17</w:t>
      </w:r>
      <w:r>
        <w:fldChar w:fldCharType="end"/>
      </w:r>
      <w:r>
        <w:t xml:space="preserve"> outlines the planned evaluation activities for the Voltage Optimization Initiative.</w:t>
      </w:r>
    </w:p>
    <w:p w14:paraId="7E4C41C7" w14:textId="10CBF336" w:rsidR="001823F2" w:rsidRPr="00D327C0" w:rsidRDefault="001823F2" w:rsidP="001823F2">
      <w:pPr>
        <w:pStyle w:val="Caption"/>
      </w:pPr>
      <w:bookmarkStart w:id="69" w:name="_Ref531766970"/>
      <w:bookmarkStart w:id="70" w:name="_Toc27335144"/>
      <w:r>
        <w:t xml:space="preserve">Table </w:t>
      </w:r>
      <w:r w:rsidR="00945A9D">
        <w:fldChar w:fldCharType="begin"/>
      </w:r>
      <w:r w:rsidR="00945A9D">
        <w:instrText xml:space="preserve"> SEQ Table \* ARABIC </w:instrText>
      </w:r>
      <w:r w:rsidR="00945A9D">
        <w:fldChar w:fldCharType="separate"/>
      </w:r>
      <w:r w:rsidR="00A75F23">
        <w:rPr>
          <w:noProof/>
        </w:rPr>
        <w:t>17</w:t>
      </w:r>
      <w:r w:rsidR="00945A9D">
        <w:rPr>
          <w:noProof/>
        </w:rPr>
        <w:fldChar w:fldCharType="end"/>
      </w:r>
      <w:bookmarkEnd w:id="69"/>
      <w:r>
        <w:t>. Voltage Optimization Evaluation Activities – Three Year Plan</w:t>
      </w:r>
      <w:bookmarkEnd w:id="70"/>
    </w:p>
    <w:tbl>
      <w:tblPr>
        <w:tblStyle w:val="ODCBasic-1"/>
        <w:tblW w:w="0" w:type="auto"/>
        <w:tblLook w:val="04A0" w:firstRow="1" w:lastRow="0" w:firstColumn="1" w:lastColumn="0" w:noHBand="0" w:noVBand="1"/>
      </w:tblPr>
      <w:tblGrid>
        <w:gridCol w:w="775"/>
        <w:gridCol w:w="6178"/>
        <w:gridCol w:w="614"/>
        <w:gridCol w:w="614"/>
        <w:gridCol w:w="614"/>
      </w:tblGrid>
      <w:tr w:rsidR="001823F2" w14:paraId="703670A4" w14:textId="77777777" w:rsidTr="00F401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E846112" w14:textId="77777777" w:rsidR="001823F2" w:rsidRDefault="001823F2" w:rsidP="00447839">
            <w:pPr>
              <w:pStyle w:val="ODCBodyText"/>
            </w:pPr>
            <w:r>
              <w:t>Timing</w:t>
            </w:r>
          </w:p>
        </w:tc>
        <w:tc>
          <w:tcPr>
            <w:tcW w:w="0" w:type="auto"/>
          </w:tcPr>
          <w:p w14:paraId="478CD5D1" w14:textId="77777777" w:rsidR="001823F2" w:rsidRDefault="001823F2" w:rsidP="00447839">
            <w:pPr>
              <w:pStyle w:val="ODCBodyText"/>
              <w:jc w:val="center"/>
              <w:cnfStyle w:val="100000000000" w:firstRow="1" w:lastRow="0" w:firstColumn="0" w:lastColumn="0" w:oddVBand="0" w:evenVBand="0" w:oddHBand="0" w:evenHBand="0" w:firstRowFirstColumn="0" w:firstRowLastColumn="0" w:lastRowFirstColumn="0" w:lastRowLastColumn="0"/>
            </w:pPr>
            <w:r>
              <w:t>Activity</w:t>
            </w:r>
          </w:p>
        </w:tc>
        <w:tc>
          <w:tcPr>
            <w:tcW w:w="0" w:type="auto"/>
          </w:tcPr>
          <w:p w14:paraId="00F38A72" w14:textId="77777777" w:rsidR="001823F2" w:rsidRDefault="001823F2" w:rsidP="00447839">
            <w:pPr>
              <w:pStyle w:val="ODCBodyText"/>
              <w:jc w:val="center"/>
              <w:cnfStyle w:val="100000000000" w:firstRow="1" w:lastRow="0" w:firstColumn="0" w:lastColumn="0" w:oddVBand="0" w:evenVBand="0" w:oddHBand="0" w:evenHBand="0" w:firstRowFirstColumn="0" w:firstRowLastColumn="0" w:lastRowFirstColumn="0" w:lastRowLastColumn="0"/>
            </w:pPr>
            <w:r>
              <w:t>2019</w:t>
            </w:r>
          </w:p>
        </w:tc>
        <w:tc>
          <w:tcPr>
            <w:tcW w:w="0" w:type="auto"/>
          </w:tcPr>
          <w:p w14:paraId="1A12F0E3" w14:textId="77777777" w:rsidR="001823F2" w:rsidRDefault="001823F2" w:rsidP="00447839">
            <w:pPr>
              <w:pStyle w:val="ODCBodyText"/>
              <w:jc w:val="center"/>
              <w:cnfStyle w:val="100000000000" w:firstRow="1" w:lastRow="0" w:firstColumn="0" w:lastColumn="0" w:oddVBand="0" w:evenVBand="0" w:oddHBand="0" w:evenHBand="0" w:firstRowFirstColumn="0" w:firstRowLastColumn="0" w:lastRowFirstColumn="0" w:lastRowLastColumn="0"/>
            </w:pPr>
            <w:r>
              <w:t>2020</w:t>
            </w:r>
          </w:p>
        </w:tc>
        <w:tc>
          <w:tcPr>
            <w:tcW w:w="0" w:type="auto"/>
          </w:tcPr>
          <w:p w14:paraId="63AFF427" w14:textId="77777777" w:rsidR="001823F2" w:rsidRDefault="001823F2" w:rsidP="00447839">
            <w:pPr>
              <w:pStyle w:val="ODCBodyText"/>
              <w:jc w:val="center"/>
              <w:cnfStyle w:val="100000000000" w:firstRow="1" w:lastRow="0" w:firstColumn="0" w:lastColumn="0" w:oddVBand="0" w:evenVBand="0" w:oddHBand="0" w:evenHBand="0" w:firstRowFirstColumn="0" w:firstRowLastColumn="0" w:lastRowFirstColumn="0" w:lastRowLastColumn="0"/>
            </w:pPr>
            <w:r>
              <w:t>2021</w:t>
            </w:r>
          </w:p>
        </w:tc>
      </w:tr>
      <w:tr w:rsidR="001823F2" w14:paraId="2A131580" w14:textId="77777777" w:rsidTr="00F40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9D1F1FC" w14:textId="40D90C5D" w:rsidR="001823F2" w:rsidRPr="00DD3844" w:rsidRDefault="001823F2">
            <w:pPr>
              <w:pStyle w:val="ODCBodyText"/>
              <w:jc w:val="left"/>
              <w:rPr>
                <w:color w:val="auto"/>
              </w:rPr>
            </w:pPr>
            <w:r>
              <w:rPr>
                <w:color w:val="auto"/>
              </w:rPr>
              <w:t>Annual</w:t>
            </w:r>
          </w:p>
        </w:tc>
        <w:tc>
          <w:tcPr>
            <w:tcW w:w="0" w:type="auto"/>
          </w:tcPr>
          <w:p w14:paraId="363D49DB" w14:textId="72CB4FDE" w:rsidR="001823F2" w:rsidRPr="00DD3844" w:rsidRDefault="00F4018C" w:rsidP="00447839">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Program</w:t>
            </w:r>
            <w:r w:rsidR="001823F2" w:rsidRPr="00DD3844">
              <w:rPr>
                <w:color w:val="auto"/>
              </w:rPr>
              <w:t xml:space="preserve"> Staff Interviews</w:t>
            </w:r>
          </w:p>
        </w:tc>
        <w:tc>
          <w:tcPr>
            <w:tcW w:w="0" w:type="auto"/>
            <w:vAlign w:val="center"/>
          </w:tcPr>
          <w:p w14:paraId="68473351" w14:textId="77777777" w:rsidR="001823F2" w:rsidRPr="00DD3844" w:rsidRDefault="001823F2" w:rsidP="00447839">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0E88A5B0" w14:textId="77777777" w:rsidR="001823F2" w:rsidRPr="00DD3844" w:rsidRDefault="001823F2" w:rsidP="00447839">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2B48FCB2" w14:textId="77777777" w:rsidR="001823F2" w:rsidRPr="00DD3844" w:rsidRDefault="001823F2" w:rsidP="00447839">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1823F2" w14:paraId="6E6E2551" w14:textId="77777777" w:rsidTr="00F40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92CAB5D" w14:textId="77777777" w:rsidR="001823F2" w:rsidRPr="00DD3844" w:rsidRDefault="001823F2" w:rsidP="00447839">
            <w:pPr>
              <w:pStyle w:val="ODCBodyText"/>
              <w:jc w:val="left"/>
              <w:rPr>
                <w:color w:val="auto"/>
              </w:rPr>
            </w:pPr>
          </w:p>
        </w:tc>
        <w:tc>
          <w:tcPr>
            <w:tcW w:w="0" w:type="auto"/>
          </w:tcPr>
          <w:p w14:paraId="01B6DCCA" w14:textId="44AB677F" w:rsidR="001823F2" w:rsidRPr="00DD3844" w:rsidRDefault="001823F2" w:rsidP="00447839">
            <w:pPr>
              <w:pStyle w:val="ODCBodyText"/>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Data Request and Materials Review</w:t>
            </w:r>
          </w:p>
        </w:tc>
        <w:tc>
          <w:tcPr>
            <w:tcW w:w="0" w:type="auto"/>
            <w:vAlign w:val="center"/>
          </w:tcPr>
          <w:p w14:paraId="5F40E83B" w14:textId="77777777" w:rsidR="001823F2" w:rsidRPr="00DD3844" w:rsidRDefault="001823F2" w:rsidP="00447839">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5819F7C6" w14:textId="77777777" w:rsidR="001823F2" w:rsidRPr="00DD3844" w:rsidRDefault="001823F2" w:rsidP="00447839">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77435DB0" w14:textId="77777777" w:rsidR="001823F2" w:rsidRPr="00DD3844" w:rsidRDefault="001823F2" w:rsidP="00447839">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1823F2" w14:paraId="0737BC21" w14:textId="77777777" w:rsidTr="00F40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29A8259" w14:textId="77777777" w:rsidR="001823F2" w:rsidRPr="00DD3844" w:rsidRDefault="001823F2" w:rsidP="00447839">
            <w:pPr>
              <w:pStyle w:val="ODCBodyText"/>
              <w:jc w:val="left"/>
              <w:rPr>
                <w:color w:val="auto"/>
              </w:rPr>
            </w:pPr>
          </w:p>
        </w:tc>
        <w:tc>
          <w:tcPr>
            <w:tcW w:w="0" w:type="auto"/>
          </w:tcPr>
          <w:p w14:paraId="4C8755CA" w14:textId="2F738C31" w:rsidR="001823F2" w:rsidRPr="00DD3844" w:rsidRDefault="001823F2" w:rsidP="00447839">
            <w:pPr>
              <w:pStyle w:val="ODCBodyText"/>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Verification of VO Deployment to Date</w:t>
            </w:r>
          </w:p>
        </w:tc>
        <w:tc>
          <w:tcPr>
            <w:tcW w:w="0" w:type="auto"/>
            <w:vAlign w:val="center"/>
          </w:tcPr>
          <w:p w14:paraId="7EF30ED4" w14:textId="77777777" w:rsidR="001823F2" w:rsidRPr="00DD3844" w:rsidRDefault="001823F2" w:rsidP="00447839">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4D8CE329" w14:textId="77777777" w:rsidR="001823F2" w:rsidRPr="00DD3844" w:rsidRDefault="001823F2" w:rsidP="00447839">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0" w:type="auto"/>
            <w:vAlign w:val="center"/>
          </w:tcPr>
          <w:p w14:paraId="30F37762" w14:textId="77777777" w:rsidR="001823F2" w:rsidRPr="00DD3844" w:rsidRDefault="001823F2" w:rsidP="00447839">
            <w:pPr>
              <w:pStyle w:val="ODCBodyText"/>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1823F2" w14:paraId="4374CC83" w14:textId="77777777" w:rsidTr="00F40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60252D6" w14:textId="77777777" w:rsidR="001823F2" w:rsidRPr="00DD3844" w:rsidRDefault="001823F2" w:rsidP="001823F2">
            <w:pPr>
              <w:pStyle w:val="ODCBodyText"/>
              <w:jc w:val="left"/>
            </w:pPr>
          </w:p>
        </w:tc>
        <w:tc>
          <w:tcPr>
            <w:tcW w:w="0" w:type="auto"/>
          </w:tcPr>
          <w:p w14:paraId="0230C086" w14:textId="034B3BA1" w:rsidR="001823F2" w:rsidRDefault="001823F2" w:rsidP="001823F2">
            <w:pPr>
              <w:pStyle w:val="ODCBodyText"/>
              <w:jc w:val="left"/>
              <w:cnfStyle w:val="000000010000" w:firstRow="0" w:lastRow="0" w:firstColumn="0" w:lastColumn="0" w:oddVBand="0" w:evenVBand="0" w:oddHBand="0" w:evenHBand="1" w:firstRowFirstColumn="0" w:firstRowLastColumn="0" w:lastRowFirstColumn="0" w:lastRowLastColumn="0"/>
            </w:pPr>
            <w:r>
              <w:rPr>
                <w:color w:val="auto"/>
              </w:rPr>
              <w:t>Impact Evaluation – Application of Energy Savings Algorithm</w:t>
            </w:r>
          </w:p>
        </w:tc>
        <w:tc>
          <w:tcPr>
            <w:tcW w:w="0" w:type="auto"/>
            <w:vAlign w:val="center"/>
          </w:tcPr>
          <w:p w14:paraId="235693EC" w14:textId="6B6022C7" w:rsidR="001823F2" w:rsidRPr="00DD3844" w:rsidRDefault="001823F2" w:rsidP="001823F2">
            <w:pPr>
              <w:pStyle w:val="ODCBodyText"/>
              <w:jc w:val="center"/>
              <w:cnfStyle w:val="000000010000" w:firstRow="0" w:lastRow="0" w:firstColumn="0" w:lastColumn="0" w:oddVBand="0" w:evenVBand="0" w:oddHBand="0" w:evenHBand="1" w:firstRowFirstColumn="0" w:firstRowLastColumn="0" w:lastRowFirstColumn="0" w:lastRowLastColumn="0"/>
            </w:pPr>
            <w:r w:rsidRPr="00DD3844">
              <w:rPr>
                <w:color w:val="auto"/>
              </w:rPr>
              <w:sym w:font="Wingdings" w:char="F0FC"/>
            </w:r>
          </w:p>
        </w:tc>
        <w:tc>
          <w:tcPr>
            <w:tcW w:w="0" w:type="auto"/>
            <w:vAlign w:val="center"/>
          </w:tcPr>
          <w:p w14:paraId="4B7583E7" w14:textId="62232753" w:rsidR="001823F2" w:rsidRPr="00DD3844" w:rsidRDefault="001823F2" w:rsidP="001823F2">
            <w:pPr>
              <w:pStyle w:val="ODCBodyText"/>
              <w:jc w:val="center"/>
              <w:cnfStyle w:val="000000010000" w:firstRow="0" w:lastRow="0" w:firstColumn="0" w:lastColumn="0" w:oddVBand="0" w:evenVBand="0" w:oddHBand="0" w:evenHBand="1" w:firstRowFirstColumn="0" w:firstRowLastColumn="0" w:lastRowFirstColumn="0" w:lastRowLastColumn="0"/>
            </w:pPr>
            <w:r w:rsidRPr="00DD3844">
              <w:rPr>
                <w:color w:val="auto"/>
              </w:rPr>
              <w:sym w:font="Wingdings" w:char="F0FC"/>
            </w:r>
          </w:p>
        </w:tc>
        <w:tc>
          <w:tcPr>
            <w:tcW w:w="0" w:type="auto"/>
            <w:vAlign w:val="center"/>
          </w:tcPr>
          <w:p w14:paraId="7652041D" w14:textId="79A895CF" w:rsidR="001823F2" w:rsidRPr="00DD3844" w:rsidRDefault="001823F2" w:rsidP="001823F2">
            <w:pPr>
              <w:pStyle w:val="ODCBodyText"/>
              <w:jc w:val="center"/>
              <w:cnfStyle w:val="000000010000" w:firstRow="0" w:lastRow="0" w:firstColumn="0" w:lastColumn="0" w:oddVBand="0" w:evenVBand="0" w:oddHBand="0" w:evenHBand="1" w:firstRowFirstColumn="0" w:firstRowLastColumn="0" w:lastRowFirstColumn="0" w:lastRowLastColumn="0"/>
            </w:pPr>
            <w:r w:rsidRPr="00DD3844">
              <w:rPr>
                <w:color w:val="auto"/>
              </w:rPr>
              <w:sym w:font="Wingdings" w:char="F0FC"/>
            </w:r>
          </w:p>
        </w:tc>
      </w:tr>
      <w:tr w:rsidR="001823F2" w14:paraId="56C5F4AB" w14:textId="77777777" w:rsidTr="00F40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98D6F6" w:themeFill="background1" w:themeFillTint="66"/>
          </w:tcPr>
          <w:p w14:paraId="66153603" w14:textId="77777777" w:rsidR="001823F2" w:rsidRPr="00DD3844" w:rsidRDefault="001823F2" w:rsidP="001823F2">
            <w:pPr>
              <w:pStyle w:val="ODCBodyText"/>
              <w:jc w:val="center"/>
              <w:rPr>
                <w:color w:val="auto"/>
              </w:rPr>
            </w:pPr>
          </w:p>
        </w:tc>
      </w:tr>
      <w:tr w:rsidR="00F4018C" w14:paraId="61C3F968" w14:textId="77777777" w:rsidTr="00F401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482D53" w14:textId="77777777" w:rsidR="00F4018C" w:rsidRPr="00DD3844" w:rsidRDefault="00F4018C" w:rsidP="00F4018C">
            <w:pPr>
              <w:pStyle w:val="ODCBodyText"/>
              <w:rPr>
                <w:color w:val="auto"/>
              </w:rPr>
            </w:pPr>
            <w:r>
              <w:rPr>
                <w:color w:val="auto"/>
              </w:rPr>
              <w:t>Phased</w:t>
            </w:r>
          </w:p>
        </w:tc>
        <w:tc>
          <w:tcPr>
            <w:tcW w:w="0" w:type="auto"/>
          </w:tcPr>
          <w:p w14:paraId="02FF7D88" w14:textId="065DDDD7" w:rsidR="00F4018C" w:rsidRPr="00DD3844" w:rsidRDefault="00F4018C" w:rsidP="00F4018C">
            <w:pPr>
              <w:pStyle w:val="ODCBodyText"/>
              <w:cnfStyle w:val="000000010000" w:firstRow="0" w:lastRow="0" w:firstColumn="0" w:lastColumn="0" w:oddVBand="0" w:evenVBand="0" w:oddHBand="0" w:evenHBand="1" w:firstRowFirstColumn="0" w:firstRowLastColumn="0" w:lastRowFirstColumn="0" w:lastRowLastColumn="0"/>
              <w:rPr>
                <w:color w:val="auto"/>
              </w:rPr>
            </w:pPr>
            <w:r>
              <w:rPr>
                <w:color w:val="auto"/>
              </w:rPr>
              <w:t>Impact Evaluation – Regression Analysis using On/Off Testing Approach</w:t>
            </w:r>
          </w:p>
        </w:tc>
        <w:tc>
          <w:tcPr>
            <w:tcW w:w="0" w:type="auto"/>
            <w:vAlign w:val="center"/>
          </w:tcPr>
          <w:p w14:paraId="1E7F7C9D" w14:textId="2DF60B4D" w:rsidR="00F4018C" w:rsidRPr="00DD3844" w:rsidRDefault="00707B4B" w:rsidP="00F4018C">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c>
          <w:tcPr>
            <w:tcW w:w="0" w:type="auto"/>
            <w:vAlign w:val="center"/>
          </w:tcPr>
          <w:p w14:paraId="1BDC51F9" w14:textId="68BF9EE8" w:rsidR="00F4018C" w:rsidRPr="00DD3844" w:rsidRDefault="00F4018C" w:rsidP="00F4018C">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6E417F77" w14:textId="77777777" w:rsidR="00F4018C" w:rsidRPr="00DD3844" w:rsidRDefault="00F4018C" w:rsidP="00F4018C">
            <w:pPr>
              <w:pStyle w:val="ODCBodyText"/>
              <w:jc w:val="center"/>
              <w:cnfStyle w:val="000000010000" w:firstRow="0" w:lastRow="0" w:firstColumn="0" w:lastColumn="0" w:oddVBand="0" w:evenVBand="0" w:oddHBand="0" w:evenHBand="1" w:firstRowFirstColumn="0" w:firstRowLastColumn="0" w:lastRowFirstColumn="0" w:lastRowLastColumn="0"/>
              <w:rPr>
                <w:color w:val="auto"/>
              </w:rPr>
            </w:pPr>
          </w:p>
        </w:tc>
      </w:tr>
    </w:tbl>
    <w:p w14:paraId="4DBE0E81" w14:textId="2AA0CD8F" w:rsidR="001823F2" w:rsidRDefault="00F4018C" w:rsidP="00F4018C">
      <w:pPr>
        <w:pStyle w:val="ODCBodyText"/>
      </w:pPr>
      <w:r>
        <w:t>In each year, we will conduct interviews with program staff and a standard impact evaluation approach using an algorithmic method. In addition, in 2019, we will conduct on/off testing to verify AIC’s deemed conservation voltage reduction factor (CVR</w:t>
      </w:r>
      <w:r>
        <w:rPr>
          <w:vertAlign w:val="subscript"/>
        </w:rPr>
        <w:t>f</w:t>
      </w:r>
      <w:r>
        <w:t>) and will provide an update to the Illinois TRM if necessary.</w:t>
      </w:r>
      <w:r w:rsidR="001823F2">
        <w:br w:type="page"/>
      </w:r>
    </w:p>
    <w:p w14:paraId="7C2E529C" w14:textId="6788C4A8" w:rsidR="00CB1124" w:rsidRDefault="009E77D8" w:rsidP="009E77D8">
      <w:pPr>
        <w:pStyle w:val="Heading1"/>
      </w:pPr>
      <w:bookmarkStart w:id="71" w:name="_Toc27335123"/>
      <w:r>
        <w:lastRenderedPageBreak/>
        <w:t>Portfolio-Level Evaluation Activities</w:t>
      </w:r>
      <w:bookmarkEnd w:id="71"/>
    </w:p>
    <w:p w14:paraId="04ED5E04" w14:textId="302F8CF0" w:rsidR="009E77D8" w:rsidRPr="009E77D8" w:rsidRDefault="009E77D8" w:rsidP="009E77D8">
      <w:r>
        <w:t xml:space="preserve">As part of the evaluation process, the team will </w:t>
      </w:r>
      <w:r w:rsidR="009B0894">
        <w:t xml:space="preserve">also </w:t>
      </w:r>
      <w:r>
        <w:t xml:space="preserve">perform a number of </w:t>
      </w:r>
      <w:r w:rsidR="009B0894">
        <w:t xml:space="preserve">annual </w:t>
      </w:r>
      <w:r>
        <w:t>portfolio-level activities. We describe ea</w:t>
      </w:r>
      <w:r w:rsidR="009B0894">
        <w:t>ch of these activities</w:t>
      </w:r>
      <w:r>
        <w:t xml:space="preserve"> within the following sections. </w:t>
      </w:r>
    </w:p>
    <w:p w14:paraId="513FC702" w14:textId="63778AEE" w:rsidR="009E77D8" w:rsidRDefault="009E77D8" w:rsidP="009E77D8">
      <w:pPr>
        <w:pStyle w:val="Heading2"/>
      </w:pPr>
      <w:bookmarkStart w:id="72" w:name="_Toc27335124"/>
      <w:r>
        <w:t>Statewide Technical Reference Manual</w:t>
      </w:r>
      <w:bookmarkEnd w:id="72"/>
    </w:p>
    <w:p w14:paraId="19AAD9BD" w14:textId="77777777" w:rsidR="00ED41E6" w:rsidRDefault="00ED41E6" w:rsidP="00ED41E6">
      <w:pPr>
        <w:pStyle w:val="Heading3"/>
      </w:pPr>
      <w:bookmarkStart w:id="73" w:name="_Toc425771255"/>
      <w:r>
        <w:t>Participation and Review</w:t>
      </w:r>
      <w:bookmarkEnd w:id="73"/>
    </w:p>
    <w:p w14:paraId="4A6FEDB8" w14:textId="7B97648C" w:rsidR="00ED41E6" w:rsidRDefault="00ED41E6" w:rsidP="00ED41E6">
      <w:pPr>
        <w:pStyle w:val="body11"/>
      </w:pPr>
      <w:r w:rsidRPr="00AF152B">
        <w:t xml:space="preserve">The team will continue its involvement in the </w:t>
      </w:r>
      <w:r w:rsidR="009B0894">
        <w:t>IL-</w:t>
      </w:r>
      <w:r w:rsidRPr="00AF152B">
        <w:t>TRM process, including participation in TAC meetings</w:t>
      </w:r>
      <w:r>
        <w:t xml:space="preserve"> and NTG Methodology Working </w:t>
      </w:r>
      <w:r w:rsidR="009B0894">
        <w:t>Group meetings. For the TAC</w:t>
      </w:r>
      <w:r>
        <w:t>, this will include participation</w:t>
      </w:r>
      <w:r w:rsidRPr="00AF152B">
        <w:t xml:space="preserve"> in weekly calls,</w:t>
      </w:r>
      <w:r>
        <w:t xml:space="preserve"> as well as </w:t>
      </w:r>
      <w:r w:rsidRPr="00AF152B">
        <w:t>review</w:t>
      </w:r>
      <w:r>
        <w:t>ing</w:t>
      </w:r>
      <w:r w:rsidRPr="00AF152B">
        <w:t xml:space="preserve"> and comment</w:t>
      </w:r>
      <w:r>
        <w:t>ing</w:t>
      </w:r>
      <w:r w:rsidRPr="00AF152B">
        <w:t xml:space="preserve"> on </w:t>
      </w:r>
      <w:r w:rsidR="00DD3844">
        <w:t>IL-</w:t>
      </w:r>
      <w:r w:rsidRPr="00AF152B">
        <w:t>TRM update items presented to the TAC</w:t>
      </w:r>
      <w:r>
        <w:t xml:space="preserve"> and reviewing and providing feedback on updated drafts of the IL-TRM that are released to SAG for comment</w:t>
      </w:r>
      <w:r w:rsidRPr="00AF152B">
        <w:t>.</w:t>
      </w:r>
      <w:r w:rsidR="009B0894">
        <w:t xml:space="preserve"> For the NTG Working Group</w:t>
      </w:r>
      <w:r>
        <w:t>, this includes participation in bi-monthly, monthly</w:t>
      </w:r>
      <w:r w:rsidR="00DD3844">
        <w:t>,</w:t>
      </w:r>
      <w:r>
        <w:t xml:space="preserve"> and at times weekly calls with working group members, as well as drafting methodological protocols for inclusion in the </w:t>
      </w:r>
      <w:r w:rsidR="00DD3844">
        <w:t>IL-</w:t>
      </w:r>
      <w:r>
        <w:t>TRM</w:t>
      </w:r>
      <w:r w:rsidR="009B0894">
        <w:t xml:space="preserve"> as needed</w:t>
      </w:r>
      <w:r>
        <w:t>.</w:t>
      </w:r>
    </w:p>
    <w:p w14:paraId="42FF7F50" w14:textId="77777777" w:rsidR="00ED41E6" w:rsidRDefault="00ED41E6" w:rsidP="00ED41E6">
      <w:pPr>
        <w:pStyle w:val="Heading3"/>
      </w:pPr>
      <w:bookmarkStart w:id="74" w:name="_Toc425771256"/>
      <w:bookmarkStart w:id="75" w:name="_Ref502859763"/>
      <w:r>
        <w:t>Research to Update the IL-TRM</w:t>
      </w:r>
      <w:bookmarkEnd w:id="74"/>
      <w:bookmarkEnd w:id="75"/>
    </w:p>
    <w:p w14:paraId="5EC4073D" w14:textId="739D8370" w:rsidR="00ED41E6" w:rsidRDefault="00ED41E6" w:rsidP="00ED41E6">
      <w:r>
        <w:t>Over the course of the 2018 Plan cycle, the evaluation team will conduct research to inform updates to the IL-TRM. The following table summarizes currently planned research activities associated with specific IL-TRM measures. The team has also reserved funds within each program year to support</w:t>
      </w:r>
      <w:r w:rsidR="009B0894">
        <w:t xml:space="preserve"> research into priority measures.</w:t>
      </w:r>
      <w:r>
        <w:t xml:space="preserve"> We plan to review and determine which measures to study based on ongoing discussions with AIC and ICC staff, as well as through participation in the TAC.</w:t>
      </w:r>
    </w:p>
    <w:p w14:paraId="16A3F3D9" w14:textId="740F57D3" w:rsidR="00ED41E6" w:rsidRPr="00ED41E6" w:rsidRDefault="00ED41E6" w:rsidP="00FA04B9">
      <w:pPr>
        <w:pStyle w:val="Caption"/>
      </w:pPr>
      <w:bookmarkStart w:id="76" w:name="_Ref502773761"/>
      <w:bookmarkStart w:id="77" w:name="_Toc27335145"/>
      <w:r>
        <w:t xml:space="preserve">Table </w:t>
      </w:r>
      <w:r w:rsidR="00E656B8">
        <w:rPr>
          <w:noProof/>
        </w:rPr>
        <w:fldChar w:fldCharType="begin"/>
      </w:r>
      <w:r w:rsidR="00E656B8">
        <w:rPr>
          <w:noProof/>
        </w:rPr>
        <w:instrText xml:space="preserve"> SEQ Table \* ARABIC </w:instrText>
      </w:r>
      <w:r w:rsidR="00E656B8">
        <w:rPr>
          <w:noProof/>
        </w:rPr>
        <w:fldChar w:fldCharType="separate"/>
      </w:r>
      <w:r w:rsidR="00A75F23">
        <w:rPr>
          <w:noProof/>
        </w:rPr>
        <w:t>18</w:t>
      </w:r>
      <w:r w:rsidR="00E656B8">
        <w:rPr>
          <w:noProof/>
        </w:rPr>
        <w:fldChar w:fldCharType="end"/>
      </w:r>
      <w:bookmarkEnd w:id="76"/>
      <w:r>
        <w:t>. Planned I</w:t>
      </w:r>
      <w:r w:rsidR="009C331D">
        <w:t>L</w:t>
      </w:r>
      <w:r>
        <w:t>-TRM Research Activities</w:t>
      </w:r>
      <w:bookmarkEnd w:id="77"/>
    </w:p>
    <w:tbl>
      <w:tblPr>
        <w:tblStyle w:val="ODCBasic-1"/>
        <w:tblW w:w="0" w:type="auto"/>
        <w:tblLook w:val="04A0" w:firstRow="1" w:lastRow="0" w:firstColumn="1" w:lastColumn="0" w:noHBand="0" w:noVBand="1"/>
      </w:tblPr>
      <w:tblGrid>
        <w:gridCol w:w="3501"/>
        <w:gridCol w:w="1223"/>
        <w:gridCol w:w="1223"/>
        <w:gridCol w:w="1223"/>
        <w:gridCol w:w="1224"/>
      </w:tblGrid>
      <w:tr w:rsidR="0074787E" w14:paraId="0D984A56" w14:textId="62413FAA" w:rsidTr="00136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872299" w14:textId="748EA9F7" w:rsidR="0074787E" w:rsidRDefault="0074787E" w:rsidP="00ED41E6">
            <w:r>
              <w:t>Research</w:t>
            </w:r>
          </w:p>
        </w:tc>
        <w:tc>
          <w:tcPr>
            <w:tcW w:w="1223" w:type="dxa"/>
          </w:tcPr>
          <w:p w14:paraId="4F46ED92" w14:textId="2FDF6BDC" w:rsidR="0074787E" w:rsidRDefault="0074787E" w:rsidP="0074787E">
            <w:pPr>
              <w:jc w:val="center"/>
              <w:cnfStyle w:val="100000000000" w:firstRow="1" w:lastRow="0" w:firstColumn="0" w:lastColumn="0" w:oddVBand="0" w:evenVBand="0" w:oddHBand="0" w:evenHBand="0" w:firstRowFirstColumn="0" w:firstRowLastColumn="0" w:lastRowFirstColumn="0" w:lastRowLastColumn="0"/>
            </w:pPr>
            <w:r>
              <w:t>2018</w:t>
            </w:r>
          </w:p>
        </w:tc>
        <w:tc>
          <w:tcPr>
            <w:tcW w:w="1223" w:type="dxa"/>
          </w:tcPr>
          <w:p w14:paraId="6F14D766" w14:textId="5BA96E11" w:rsidR="0074787E" w:rsidRDefault="0074787E" w:rsidP="0074787E">
            <w:pPr>
              <w:jc w:val="center"/>
              <w:cnfStyle w:val="100000000000" w:firstRow="1" w:lastRow="0" w:firstColumn="0" w:lastColumn="0" w:oddVBand="0" w:evenVBand="0" w:oddHBand="0" w:evenHBand="0" w:firstRowFirstColumn="0" w:firstRowLastColumn="0" w:lastRowFirstColumn="0" w:lastRowLastColumn="0"/>
            </w:pPr>
            <w:r>
              <w:t>2019</w:t>
            </w:r>
          </w:p>
        </w:tc>
        <w:tc>
          <w:tcPr>
            <w:tcW w:w="1223" w:type="dxa"/>
          </w:tcPr>
          <w:p w14:paraId="7C344F9F" w14:textId="1DA03E94" w:rsidR="0074787E" w:rsidRDefault="0074787E" w:rsidP="0074787E">
            <w:pPr>
              <w:jc w:val="center"/>
              <w:cnfStyle w:val="100000000000" w:firstRow="1" w:lastRow="0" w:firstColumn="0" w:lastColumn="0" w:oddVBand="0" w:evenVBand="0" w:oddHBand="0" w:evenHBand="0" w:firstRowFirstColumn="0" w:firstRowLastColumn="0" w:lastRowFirstColumn="0" w:lastRowLastColumn="0"/>
            </w:pPr>
            <w:r>
              <w:t>2020</w:t>
            </w:r>
          </w:p>
        </w:tc>
        <w:tc>
          <w:tcPr>
            <w:tcW w:w="1224" w:type="dxa"/>
          </w:tcPr>
          <w:p w14:paraId="7DDF720E" w14:textId="05F3F5D9" w:rsidR="0074787E" w:rsidRDefault="0074787E" w:rsidP="0074787E">
            <w:pPr>
              <w:jc w:val="center"/>
              <w:cnfStyle w:val="100000000000" w:firstRow="1" w:lastRow="0" w:firstColumn="0" w:lastColumn="0" w:oddVBand="0" w:evenVBand="0" w:oddHBand="0" w:evenHBand="0" w:firstRowFirstColumn="0" w:firstRowLastColumn="0" w:lastRowFirstColumn="0" w:lastRowLastColumn="0"/>
            </w:pPr>
            <w:r>
              <w:t>2021</w:t>
            </w:r>
          </w:p>
        </w:tc>
      </w:tr>
      <w:tr w:rsidR="00136CBB" w14:paraId="713DF11C" w14:textId="0027877D" w:rsidTr="0013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687679" w14:textId="5F8107E0" w:rsidR="00136CBB" w:rsidRPr="00DD3844" w:rsidRDefault="00136CBB" w:rsidP="00136CBB">
            <w:pPr>
              <w:jc w:val="left"/>
              <w:rPr>
                <w:color w:val="auto"/>
              </w:rPr>
            </w:pPr>
            <w:r w:rsidRPr="00DD3844">
              <w:rPr>
                <w:color w:val="auto"/>
              </w:rPr>
              <w:t xml:space="preserve">Residential </w:t>
            </w:r>
            <w:r>
              <w:rPr>
                <w:color w:val="auto"/>
              </w:rPr>
              <w:t>Advanced</w:t>
            </w:r>
            <w:r w:rsidRPr="00DD3844">
              <w:rPr>
                <w:color w:val="auto"/>
              </w:rPr>
              <w:t xml:space="preserve"> Thermostat Study</w:t>
            </w:r>
          </w:p>
        </w:tc>
        <w:tc>
          <w:tcPr>
            <w:tcW w:w="1223" w:type="dxa"/>
            <w:vAlign w:val="center"/>
          </w:tcPr>
          <w:p w14:paraId="1095C066" w14:textId="77777777" w:rsidR="00136CBB" w:rsidRPr="00DD3844" w:rsidRDefault="00136CBB" w:rsidP="00136CBB">
            <w:p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23" w:type="dxa"/>
            <w:vAlign w:val="center"/>
          </w:tcPr>
          <w:p w14:paraId="5C02C49F" w14:textId="04D356AE" w:rsidR="00136CBB" w:rsidRPr="00DD3844" w:rsidRDefault="00136CBB" w:rsidP="00136CBB">
            <w:pPr>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1223" w:type="dxa"/>
            <w:vAlign w:val="center"/>
          </w:tcPr>
          <w:p w14:paraId="07857864" w14:textId="1ACBE952" w:rsidR="00136CBB" w:rsidRPr="00DD3844" w:rsidRDefault="00136CBB" w:rsidP="00136CBB">
            <w:pPr>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c>
          <w:tcPr>
            <w:tcW w:w="1224" w:type="dxa"/>
            <w:vAlign w:val="center"/>
          </w:tcPr>
          <w:p w14:paraId="26684DBA" w14:textId="19EED117" w:rsidR="00136CBB" w:rsidRPr="00DD3844" w:rsidRDefault="00136CBB" w:rsidP="00136CBB">
            <w:pPr>
              <w:jc w:val="center"/>
              <w:cnfStyle w:val="000000100000" w:firstRow="0" w:lastRow="0" w:firstColumn="0" w:lastColumn="0" w:oddVBand="0" w:evenVBand="0" w:oddHBand="1" w:evenHBand="0" w:firstRowFirstColumn="0" w:firstRowLastColumn="0" w:lastRowFirstColumn="0" w:lastRowLastColumn="0"/>
              <w:rPr>
                <w:color w:val="auto"/>
              </w:rPr>
            </w:pPr>
            <w:r w:rsidRPr="00DD3844">
              <w:rPr>
                <w:color w:val="auto"/>
              </w:rPr>
              <w:sym w:font="Wingdings" w:char="F0FC"/>
            </w:r>
          </w:p>
        </w:tc>
      </w:tr>
      <w:tr w:rsidR="00136CBB" w14:paraId="3435E2A5" w14:textId="0A7A9FAC" w:rsidTr="000072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57A7D8" w14:textId="7E67E58C" w:rsidR="00136CBB" w:rsidRPr="00DD3844" w:rsidRDefault="00136CBB" w:rsidP="00136CBB">
            <w:pPr>
              <w:jc w:val="left"/>
              <w:rPr>
                <w:color w:val="auto"/>
              </w:rPr>
            </w:pPr>
            <w:r w:rsidRPr="00DD3844">
              <w:rPr>
                <w:color w:val="auto"/>
              </w:rPr>
              <w:t xml:space="preserve">Business </w:t>
            </w:r>
            <w:r>
              <w:rPr>
                <w:color w:val="auto"/>
              </w:rPr>
              <w:t>Advanced</w:t>
            </w:r>
            <w:r w:rsidRPr="00DD3844">
              <w:rPr>
                <w:color w:val="auto"/>
              </w:rPr>
              <w:t xml:space="preserve"> Thermostat Study</w:t>
            </w:r>
          </w:p>
        </w:tc>
        <w:tc>
          <w:tcPr>
            <w:tcW w:w="0" w:type="auto"/>
            <w:gridSpan w:val="4"/>
            <w:vAlign w:val="center"/>
          </w:tcPr>
          <w:p w14:paraId="10AD4C66" w14:textId="3D39C575" w:rsidR="00136CBB" w:rsidRPr="00DD3844" w:rsidRDefault="00136CBB" w:rsidP="00136CBB">
            <w:pPr>
              <w:jc w:val="center"/>
              <w:cnfStyle w:val="000000010000" w:firstRow="0" w:lastRow="0" w:firstColumn="0" w:lastColumn="0" w:oddVBand="0" w:evenVBand="0" w:oddHBand="0" w:evenHBand="1" w:firstRowFirstColumn="0" w:firstRowLastColumn="0" w:lastRowFirstColumn="0" w:lastRowLastColumn="0"/>
              <w:rPr>
                <w:color w:val="auto"/>
              </w:rPr>
            </w:pPr>
            <w:r>
              <w:rPr>
                <w:color w:val="auto"/>
              </w:rPr>
              <w:t xml:space="preserve">TBD - </w:t>
            </w:r>
            <w:r w:rsidRPr="00DD3844">
              <w:rPr>
                <w:color w:val="auto"/>
              </w:rPr>
              <w:t>Based on SW Collaboration</w:t>
            </w:r>
            <w:r>
              <w:rPr>
                <w:color w:val="auto"/>
              </w:rPr>
              <w:t xml:space="preserve"> and Measure Adoption</w:t>
            </w:r>
          </w:p>
        </w:tc>
      </w:tr>
      <w:tr w:rsidR="00136CBB" w14:paraId="148AD97A" w14:textId="77777777" w:rsidTr="0013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B4A982" w14:textId="1539F284" w:rsidR="00136CBB" w:rsidRPr="00610FBF" w:rsidRDefault="00136CBB" w:rsidP="00136CBB">
            <w:pPr>
              <w:jc w:val="left"/>
              <w:rPr>
                <w:color w:val="auto"/>
              </w:rPr>
            </w:pPr>
            <w:r w:rsidRPr="00610FBF">
              <w:rPr>
                <w:color w:val="auto"/>
              </w:rPr>
              <w:t>Steam Trap</w:t>
            </w:r>
            <w:r w:rsidR="00F827D8">
              <w:rPr>
                <w:color w:val="auto"/>
              </w:rPr>
              <w:t xml:space="preserve"> Impact Research</w:t>
            </w:r>
          </w:p>
        </w:tc>
        <w:tc>
          <w:tcPr>
            <w:tcW w:w="1223" w:type="dxa"/>
            <w:vAlign w:val="center"/>
          </w:tcPr>
          <w:p w14:paraId="10A9C660" w14:textId="2CA8BA85" w:rsidR="00136CBB" w:rsidRPr="00610FBF" w:rsidRDefault="00136CBB" w:rsidP="00136CBB">
            <w:pPr>
              <w:jc w:val="center"/>
              <w:cnfStyle w:val="000000100000" w:firstRow="0" w:lastRow="0" w:firstColumn="0" w:lastColumn="0" w:oddVBand="0" w:evenVBand="0" w:oddHBand="1" w:evenHBand="0" w:firstRowFirstColumn="0" w:firstRowLastColumn="0" w:lastRowFirstColumn="0" w:lastRowLastColumn="0"/>
            </w:pPr>
            <w:r w:rsidRPr="00DD3844">
              <w:rPr>
                <w:color w:val="auto"/>
              </w:rPr>
              <w:sym w:font="Wingdings" w:char="F0FC"/>
            </w:r>
          </w:p>
        </w:tc>
        <w:tc>
          <w:tcPr>
            <w:tcW w:w="1223" w:type="dxa"/>
            <w:vAlign w:val="center"/>
          </w:tcPr>
          <w:p w14:paraId="1B1AD80E" w14:textId="7D9C1038" w:rsidR="00136CBB" w:rsidRPr="00610FBF" w:rsidRDefault="00136CBB" w:rsidP="00136CBB">
            <w:p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23" w:type="dxa"/>
            <w:vAlign w:val="center"/>
          </w:tcPr>
          <w:p w14:paraId="6FDF4D1A" w14:textId="77777777" w:rsidR="00136CBB" w:rsidRPr="00DD3844" w:rsidRDefault="00136CBB" w:rsidP="00136CBB">
            <w:pPr>
              <w:jc w:val="center"/>
              <w:cnfStyle w:val="000000100000" w:firstRow="0" w:lastRow="0" w:firstColumn="0" w:lastColumn="0" w:oddVBand="0" w:evenVBand="0" w:oddHBand="1" w:evenHBand="0" w:firstRowFirstColumn="0" w:firstRowLastColumn="0" w:lastRowFirstColumn="0" w:lastRowLastColumn="0"/>
            </w:pPr>
          </w:p>
        </w:tc>
        <w:tc>
          <w:tcPr>
            <w:tcW w:w="1224" w:type="dxa"/>
            <w:vAlign w:val="center"/>
          </w:tcPr>
          <w:p w14:paraId="649DCB3D" w14:textId="77777777" w:rsidR="00136CBB" w:rsidRPr="00DD3844" w:rsidRDefault="00136CBB" w:rsidP="00136CBB">
            <w:pPr>
              <w:jc w:val="center"/>
              <w:cnfStyle w:val="000000100000" w:firstRow="0" w:lastRow="0" w:firstColumn="0" w:lastColumn="0" w:oddVBand="0" w:evenVBand="0" w:oddHBand="1" w:evenHBand="0" w:firstRowFirstColumn="0" w:firstRowLastColumn="0" w:lastRowFirstColumn="0" w:lastRowLastColumn="0"/>
            </w:pPr>
          </w:p>
        </w:tc>
      </w:tr>
      <w:tr w:rsidR="00136CBB" w14:paraId="3752443B" w14:textId="77777777" w:rsidTr="00136C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69FEC1" w14:textId="5B0F811E" w:rsidR="00136CBB" w:rsidRPr="00DD3844" w:rsidRDefault="00136CBB" w:rsidP="00136CBB">
            <w:pPr>
              <w:jc w:val="left"/>
              <w:rPr>
                <w:color w:val="auto"/>
              </w:rPr>
            </w:pPr>
            <w:r w:rsidRPr="00DD3844">
              <w:rPr>
                <w:color w:val="auto"/>
              </w:rPr>
              <w:t>Behavioral Persistence Study</w:t>
            </w:r>
          </w:p>
        </w:tc>
        <w:tc>
          <w:tcPr>
            <w:tcW w:w="1223" w:type="dxa"/>
          </w:tcPr>
          <w:p w14:paraId="1A4E1655" w14:textId="1B6DC854" w:rsidR="00136CBB" w:rsidRPr="00DD3844" w:rsidRDefault="00136CBB" w:rsidP="00136CBB">
            <w:pPr>
              <w:jc w:val="center"/>
              <w:cnfStyle w:val="000000010000" w:firstRow="0" w:lastRow="0" w:firstColumn="0" w:lastColumn="0" w:oddVBand="0" w:evenVBand="0" w:oddHBand="0" w:evenHBand="1" w:firstRowFirstColumn="0" w:firstRowLastColumn="0" w:lastRowFirstColumn="0" w:lastRowLastColumn="0"/>
              <w:rPr>
                <w:color w:val="auto"/>
              </w:rPr>
            </w:pPr>
            <w:r w:rsidRPr="00903F06">
              <w:rPr>
                <w:color w:val="auto"/>
              </w:rPr>
              <w:sym w:font="Wingdings" w:char="F0FC"/>
            </w:r>
          </w:p>
        </w:tc>
        <w:tc>
          <w:tcPr>
            <w:tcW w:w="1223" w:type="dxa"/>
          </w:tcPr>
          <w:p w14:paraId="40BB8A9A" w14:textId="03518098" w:rsidR="00136CBB" w:rsidRPr="00DD3844" w:rsidRDefault="00136CBB" w:rsidP="00136CBB">
            <w:pPr>
              <w:jc w:val="center"/>
              <w:cnfStyle w:val="000000010000" w:firstRow="0" w:lastRow="0" w:firstColumn="0" w:lastColumn="0" w:oddVBand="0" w:evenVBand="0" w:oddHBand="0" w:evenHBand="1" w:firstRowFirstColumn="0" w:firstRowLastColumn="0" w:lastRowFirstColumn="0" w:lastRowLastColumn="0"/>
              <w:rPr>
                <w:color w:val="auto"/>
              </w:rPr>
            </w:pPr>
            <w:r w:rsidRPr="00903F06">
              <w:rPr>
                <w:color w:val="auto"/>
              </w:rPr>
              <w:sym w:font="Wingdings" w:char="F0FC"/>
            </w:r>
          </w:p>
        </w:tc>
        <w:tc>
          <w:tcPr>
            <w:tcW w:w="1223" w:type="dxa"/>
          </w:tcPr>
          <w:p w14:paraId="75C119F9" w14:textId="68BEFD2A" w:rsidR="00136CBB" w:rsidRPr="00DD3844" w:rsidRDefault="00136CBB" w:rsidP="00136CBB">
            <w:pPr>
              <w:jc w:val="center"/>
              <w:cnfStyle w:val="000000010000" w:firstRow="0" w:lastRow="0" w:firstColumn="0" w:lastColumn="0" w:oddVBand="0" w:evenVBand="0" w:oddHBand="0" w:evenHBand="1" w:firstRowFirstColumn="0" w:firstRowLastColumn="0" w:lastRowFirstColumn="0" w:lastRowLastColumn="0"/>
              <w:rPr>
                <w:color w:val="auto"/>
              </w:rPr>
            </w:pPr>
            <w:r w:rsidRPr="00903F06">
              <w:rPr>
                <w:color w:val="auto"/>
              </w:rPr>
              <w:sym w:font="Wingdings" w:char="F0FC"/>
            </w:r>
          </w:p>
        </w:tc>
        <w:tc>
          <w:tcPr>
            <w:tcW w:w="1224" w:type="dxa"/>
            <w:vAlign w:val="center"/>
          </w:tcPr>
          <w:p w14:paraId="555EF7B8" w14:textId="3FEFB9F1" w:rsidR="00136CBB" w:rsidRPr="00DD3844" w:rsidRDefault="00136CBB" w:rsidP="00136CBB">
            <w:pPr>
              <w:jc w:val="center"/>
              <w:cnfStyle w:val="000000010000" w:firstRow="0" w:lastRow="0" w:firstColumn="0" w:lastColumn="0" w:oddVBand="0" w:evenVBand="0" w:oddHBand="0" w:evenHBand="1" w:firstRowFirstColumn="0" w:firstRowLastColumn="0" w:lastRowFirstColumn="0" w:lastRowLastColumn="0"/>
              <w:rPr>
                <w:color w:val="auto"/>
              </w:rPr>
            </w:pPr>
            <w:r w:rsidRPr="00DD3844">
              <w:rPr>
                <w:color w:val="auto"/>
              </w:rPr>
              <w:sym w:font="Wingdings" w:char="F0FC"/>
            </w:r>
          </w:p>
        </w:tc>
      </w:tr>
      <w:tr w:rsidR="00A75F23" w14:paraId="10AAFD95" w14:textId="77777777" w:rsidTr="00F861E1">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0" w:type="auto"/>
          </w:tcPr>
          <w:p w14:paraId="2522F2B2" w14:textId="74BE006C" w:rsidR="00A75F23" w:rsidRPr="00A75F23" w:rsidRDefault="00A75F23" w:rsidP="00136CBB">
            <w:pPr>
              <w:jc w:val="left"/>
              <w:rPr>
                <w:color w:val="auto"/>
              </w:rPr>
            </w:pPr>
            <w:r w:rsidRPr="00A75F23">
              <w:rPr>
                <w:color w:val="auto"/>
              </w:rPr>
              <w:t>Effective Useful Life Research</w:t>
            </w:r>
          </w:p>
        </w:tc>
        <w:tc>
          <w:tcPr>
            <w:tcW w:w="1223" w:type="dxa"/>
            <w:vAlign w:val="center"/>
          </w:tcPr>
          <w:p w14:paraId="48C559E0" w14:textId="77777777" w:rsidR="00A75F23" w:rsidRPr="00DD3844" w:rsidRDefault="00A75F23" w:rsidP="00136CBB">
            <w:pPr>
              <w:jc w:val="center"/>
              <w:cnfStyle w:val="000000100000" w:firstRow="0" w:lastRow="0" w:firstColumn="0" w:lastColumn="0" w:oddVBand="0" w:evenVBand="0" w:oddHBand="1" w:evenHBand="0" w:firstRowFirstColumn="0" w:firstRowLastColumn="0" w:lastRowFirstColumn="0" w:lastRowLastColumn="0"/>
            </w:pPr>
          </w:p>
        </w:tc>
        <w:tc>
          <w:tcPr>
            <w:tcW w:w="1223" w:type="dxa"/>
            <w:vAlign w:val="center"/>
          </w:tcPr>
          <w:p w14:paraId="5615BD97" w14:textId="77777777" w:rsidR="00A75F23" w:rsidRPr="00DD3844" w:rsidRDefault="00A75F23" w:rsidP="00136CBB">
            <w:pPr>
              <w:jc w:val="center"/>
              <w:cnfStyle w:val="000000100000" w:firstRow="0" w:lastRow="0" w:firstColumn="0" w:lastColumn="0" w:oddVBand="0" w:evenVBand="0" w:oddHBand="1" w:evenHBand="0" w:firstRowFirstColumn="0" w:firstRowLastColumn="0" w:lastRowFirstColumn="0" w:lastRowLastColumn="0"/>
            </w:pPr>
          </w:p>
        </w:tc>
        <w:tc>
          <w:tcPr>
            <w:tcW w:w="2447" w:type="dxa"/>
            <w:gridSpan w:val="2"/>
            <w:vAlign w:val="center"/>
          </w:tcPr>
          <w:p w14:paraId="643998E2" w14:textId="7EE6A484" w:rsidR="00A75F23" w:rsidRPr="00DD3844" w:rsidRDefault="00A75F23" w:rsidP="00136CBB">
            <w:pPr>
              <w:jc w:val="center"/>
              <w:cnfStyle w:val="000000100000" w:firstRow="0" w:lastRow="0" w:firstColumn="0" w:lastColumn="0" w:oddVBand="0" w:evenVBand="0" w:oddHBand="1" w:evenHBand="0" w:firstRowFirstColumn="0" w:firstRowLastColumn="0" w:lastRowFirstColumn="0" w:lastRowLastColumn="0"/>
            </w:pPr>
            <w:r>
              <w:rPr>
                <w:color w:val="auto"/>
              </w:rPr>
              <w:t>As needed</w:t>
            </w:r>
          </w:p>
        </w:tc>
      </w:tr>
    </w:tbl>
    <w:p w14:paraId="7C19A792" w14:textId="7B5B425F" w:rsidR="00ED41E6" w:rsidRPr="00ED41E6" w:rsidRDefault="009B0894" w:rsidP="00ED41E6">
      <w:r>
        <w:t xml:space="preserve">In addition to the measure specific research outlined in </w:t>
      </w:r>
      <w:r>
        <w:fldChar w:fldCharType="begin"/>
      </w:r>
      <w:r>
        <w:instrText xml:space="preserve"> REF _Ref502773761 \h </w:instrText>
      </w:r>
      <w:r>
        <w:fldChar w:fldCharType="separate"/>
      </w:r>
      <w:r w:rsidR="00A75F23">
        <w:t xml:space="preserve">Table </w:t>
      </w:r>
      <w:r w:rsidR="00A75F23">
        <w:rPr>
          <w:noProof/>
        </w:rPr>
        <w:t>18</w:t>
      </w:r>
      <w:r>
        <w:fldChar w:fldCharType="end"/>
      </w:r>
      <w:r>
        <w:t>, the evaluation team will submit work papers with updated IL-TRM assumptions and inputs based on program</w:t>
      </w:r>
      <w:r w:rsidR="00C93489">
        <w:t>-</w:t>
      </w:r>
      <w:r>
        <w:t xml:space="preserve"> and initiative</w:t>
      </w:r>
      <w:r w:rsidR="00C93489">
        <w:t>-</w:t>
      </w:r>
      <w:r>
        <w:t>specific research efforts outlined elsewhere in this plan.</w:t>
      </w:r>
      <w:r w:rsidR="00BF1074">
        <w:t xml:space="preserve"> </w:t>
      </w:r>
      <w:bookmarkStart w:id="78" w:name="_Hlk502850982"/>
      <w:r w:rsidR="00BF1074">
        <w:t>Further, we will continue to coordinate with other evaluation teams in the state on research related to Effective Useful Life (EUL).</w:t>
      </w:r>
      <w:bookmarkEnd w:id="78"/>
    </w:p>
    <w:p w14:paraId="32872731" w14:textId="4EF46883" w:rsidR="009E77D8" w:rsidRDefault="009E77D8" w:rsidP="009E77D8">
      <w:pPr>
        <w:pStyle w:val="Heading2"/>
      </w:pPr>
      <w:bookmarkStart w:id="79" w:name="_Toc27335125"/>
      <w:r>
        <w:t>Cost Effectiveness Analysis</w:t>
      </w:r>
      <w:bookmarkEnd w:id="79"/>
    </w:p>
    <w:p w14:paraId="0FD455E4" w14:textId="77777777" w:rsidR="00136CBB" w:rsidRDefault="00136CBB" w:rsidP="00136CBB">
      <w:pPr>
        <w:pStyle w:val="BodyText"/>
      </w:pPr>
      <w:r>
        <w:rPr>
          <w:rFonts w:eastAsiaTheme="minorHAnsi"/>
        </w:rPr>
        <w:t xml:space="preserve">On a yearly basis, we conduct a cost-effectiveness analysis of AIC’s energy efficiency portfolio. As directed by SB2814, we conduct a total resource cost (TRC) test to determine if AIC’s portfolio is cost-effective. </w:t>
      </w:r>
      <w:r>
        <w:t xml:space="preserve">A program is cost-effective if its net total resource benefits are positive: </w:t>
      </w:r>
    </w:p>
    <w:p w14:paraId="5FEFBA35" w14:textId="48D72AC7" w:rsidR="00136CBB" w:rsidRDefault="00136CBB" w:rsidP="00136CBB">
      <w:pPr>
        <w:pStyle w:val="Caption"/>
      </w:pPr>
      <w:r>
        <w:lastRenderedPageBreak/>
        <w:t xml:space="preserve">Equation </w:t>
      </w:r>
      <w:r>
        <w:rPr>
          <w:noProof/>
        </w:rPr>
        <w:fldChar w:fldCharType="begin"/>
      </w:r>
      <w:r>
        <w:rPr>
          <w:noProof/>
        </w:rPr>
        <w:instrText xml:space="preserve"> SEQ Equation \* ARABIC </w:instrText>
      </w:r>
      <w:r>
        <w:rPr>
          <w:noProof/>
        </w:rPr>
        <w:fldChar w:fldCharType="separate"/>
      </w:r>
      <w:r w:rsidR="00A75F23">
        <w:rPr>
          <w:noProof/>
        </w:rPr>
        <w:t>1</w:t>
      </w:r>
      <w:r>
        <w:rPr>
          <w:noProof/>
        </w:rPr>
        <w:fldChar w:fldCharType="end"/>
      </w:r>
      <w:r>
        <w:t>. Definition of Cost-Effectiveness</w:t>
      </w:r>
    </w:p>
    <w:p w14:paraId="0AC76DCE" w14:textId="77777777" w:rsidR="00136CBB" w:rsidRDefault="00945A9D" w:rsidP="00136CBB">
      <w:pPr>
        <w:pStyle w:val="BodyText"/>
        <w:keepNext/>
        <w:keepLines/>
      </w:pPr>
      <m:oMathPara>
        <m:oMath>
          <m:f>
            <m:fPr>
              <m:ctrlPr>
                <w:rPr>
                  <w:rFonts w:ascii="Cambria Math" w:hAnsi="Cambria Math"/>
                  <w:i/>
                </w:rPr>
              </m:ctrlPr>
            </m:fPr>
            <m:num>
              <m:r>
                <w:rPr>
                  <w:rFonts w:ascii="Cambria Math" w:hAnsi="Cambria Math"/>
                </w:rPr>
                <m:t>Total Resource Benefits</m:t>
              </m:r>
            </m:num>
            <m:den>
              <m:r>
                <w:rPr>
                  <w:rFonts w:ascii="Cambria Math" w:hAnsi="Cambria Math"/>
                </w:rPr>
                <m:t>Total Resource Costs</m:t>
              </m:r>
            </m:den>
          </m:f>
          <m:r>
            <w:rPr>
              <w:rFonts w:ascii="Cambria Math" w:hAnsi="Cambria Math"/>
            </w:rPr>
            <m:t xml:space="preserve"> ≥1</m:t>
          </m:r>
        </m:oMath>
      </m:oMathPara>
    </w:p>
    <w:p w14:paraId="1FCC368E" w14:textId="77777777" w:rsidR="00136CBB" w:rsidRDefault="00136CBB" w:rsidP="00136CBB">
      <w:pPr>
        <w:pStyle w:val="BodyText"/>
        <w:keepNext/>
        <w:keepLines/>
      </w:pPr>
      <w:r>
        <w:rPr>
          <w:rFonts w:eastAsiaTheme="minorHAnsi"/>
        </w:rPr>
        <w:t>In addition, we conduct the program administrator cost test (PA/UCT) to support SAG requested reporting</w:t>
      </w:r>
    </w:p>
    <w:p w14:paraId="78559A55" w14:textId="77777777" w:rsidR="00136CBB" w:rsidRDefault="00136CBB" w:rsidP="00136CBB">
      <w:pPr>
        <w:pStyle w:val="BodyText"/>
        <w:keepNext/>
        <w:keepLines/>
      </w:pPr>
      <w:r>
        <w:t>To assess cost-effectiveness, the team begins with a valuation of each program’s and the portfolio’s net total resource benefits, as measured by the avoided costs, the total incremental costs of measures installed, and administrative costs associated with the program. We will work closely with AIC and its implementer to ensure we accurately capture costs and benefits associated with the portfolio.</w:t>
      </w:r>
    </w:p>
    <w:p w14:paraId="070EAA4A" w14:textId="77777777" w:rsidR="00136CBB" w:rsidRDefault="00136CBB" w:rsidP="00136CBB">
      <w:pPr>
        <w:pStyle w:val="Bullet1"/>
      </w:pPr>
      <w:r>
        <w:t>The benefits used in the TRC test calculation include the full value of time and seasonally differentiated generation, transmission, and distribution, as well as capacity costs. The TRC test also accounts for avoided line losses and other quantifiable societal benefits, including avoided natural gas, water, and operations and maintenance costs.</w:t>
      </w:r>
    </w:p>
    <w:p w14:paraId="58A792A7" w14:textId="77777777" w:rsidR="00136CBB" w:rsidRDefault="00136CBB" w:rsidP="00136CBB">
      <w:pPr>
        <w:pStyle w:val="Bullet1"/>
        <w:numPr>
          <w:ilvl w:val="0"/>
          <w:numId w:val="0"/>
        </w:numPr>
        <w:ind w:left="720"/>
      </w:pPr>
      <w:r>
        <w:t>The calculation of avoided costs of power and energy that an electric utility would otherwise have had to acquire requires the inclusion of reasonable estimates of financial costs likely to be imposed by future regulations and legislation on emissions of greenhouse gases.</w:t>
      </w:r>
      <w:r>
        <w:rPr>
          <w:b/>
        </w:rPr>
        <w:t xml:space="preserve"> </w:t>
      </w:r>
      <w:r>
        <w:t>For each energy efficiency measure included in a program, the team will adjust the hourly (8,760) system-avoided costs by the hourly load shape of the end use affected by the measure; this enables us to capture the full value of time and seasonally differentiated measure impacts.</w:t>
      </w:r>
    </w:p>
    <w:p w14:paraId="2FB1EC3B" w14:textId="77777777" w:rsidR="00136CBB" w:rsidRDefault="00136CBB" w:rsidP="00136CBB">
      <w:pPr>
        <w:pStyle w:val="Bullet1"/>
      </w:pPr>
      <w:r>
        <w:t>For the cost component of the analysis, the team will consider incremental measure costs and direct utility costs. Incremental measure costs are the incremental expenses associated with installing energy efficiency measures and, where applicable, ongoing operation and maintenance costs. These costs include incentives, as well as customer contributions. Utility costs include the expenses associated with program development, marketing, delivery, operation, and EM&amp;V.</w:t>
      </w:r>
    </w:p>
    <w:p w14:paraId="57C06BEC" w14:textId="04F50400" w:rsidR="00136CBB" w:rsidRPr="0026390A" w:rsidRDefault="00136CBB" w:rsidP="00136CBB">
      <w:pPr>
        <w:pStyle w:val="BodyText"/>
      </w:pPr>
      <w:r>
        <w:t xml:space="preserve">SB2814 indicates that AIC’s requirement is for its energy efficiency portfolio to be cost-effective at the portfolio level. Nevertheless, to the degree possible, our analysis will provide insight into the cost-effectiveness of various components of AIC’s portfolio to provide further insight for program planning. In addition, our analysis will comply with all Illinois-specific guidance, including the Illinois TRC provisions included in the Illinois Energy Efficiency Policy Manual. We will report results of our analysis in an annual </w:t>
      </w:r>
      <w:r w:rsidR="00A75F23">
        <w:t>verified</w:t>
      </w:r>
      <w:r>
        <w:t xml:space="preserve"> cost-effectiveness report to be delivered after yearly program impacts have been finalized. The final annual </w:t>
      </w:r>
      <w:r w:rsidR="00A75F23">
        <w:t>verified</w:t>
      </w:r>
      <w:r>
        <w:t xml:space="preserve"> cost-effectiveness report will be delivered no later than September 30 of the year following the program year under consideration.</w:t>
      </w:r>
    </w:p>
    <w:p w14:paraId="6BF58A7A" w14:textId="6C2F50B2" w:rsidR="008B4E0E" w:rsidRDefault="008B4E0E" w:rsidP="009E77D8">
      <w:pPr>
        <w:pStyle w:val="Heading2"/>
      </w:pPr>
      <w:bookmarkStart w:id="80" w:name="_Toc27335126"/>
      <w:r>
        <w:t>QA/QC Process</w:t>
      </w:r>
      <w:bookmarkEnd w:id="80"/>
    </w:p>
    <w:p w14:paraId="7A2DBA95" w14:textId="7E85F28B" w:rsidR="008B4E0E" w:rsidRDefault="008B4E0E" w:rsidP="008B4E0E">
      <w:pPr>
        <w:pStyle w:val="ODCBodyText"/>
      </w:pPr>
      <w:r>
        <w:t xml:space="preserve">Per our contract, the team must also hire a separate entity for quality assurance/quality control (QA/QC) review and work collaboratively with this entity to ensure the quality of our evaluation plans, analysis, and reporting. For the last two cycles, the team has worked with Dr. Richard Ridge, who has an extensive background in energy efficiency evaluation. In recent years, Dr. Ridge has used his expertise to help write evaluation protocols and oversee other firms in their evaluation efforts, as well as continuing to perform evaluations across the country. For several years, Dr. Ridge was a consultant to the California Public Utilities Commission (CPUC) evaluation staff, where he worked with them to understand evaluation needs, review contractor plans, and participate in many aspects of a multi-million-dollar evaluation effort. Since 2008, he has been providing similar support to the New York State Department of Public Service. </w:t>
      </w:r>
    </w:p>
    <w:p w14:paraId="6E379CA5" w14:textId="58DDD7F4" w:rsidR="008B4E0E" w:rsidRPr="008B4E0E" w:rsidRDefault="008B4E0E" w:rsidP="008B4E0E">
      <w:r>
        <w:rPr>
          <w:szCs w:val="22"/>
        </w:rPr>
        <w:lastRenderedPageBreak/>
        <w:t>As part of the 2018 Plan evaluation effort, Dr. Ridge will continue to (1) discuss portfolio evaluation plans with the evaluation team, providing advice as needed; (2) participate in ongoing sampling and evaluation design efforts as requested; (3) review draft evaluation reports to ensure quality and accuracy; and (4) provide the ICC with a report on the efforts in which he was involved at the end of each year.</w:t>
      </w:r>
    </w:p>
    <w:p w14:paraId="3F56948F" w14:textId="4AF6750F" w:rsidR="009E77D8" w:rsidRDefault="009E77D8" w:rsidP="009E77D8">
      <w:pPr>
        <w:pStyle w:val="Heading2"/>
      </w:pPr>
      <w:bookmarkStart w:id="81" w:name="_Toc27335127"/>
      <w:r>
        <w:t>Reporting</w:t>
      </w:r>
      <w:bookmarkEnd w:id="81"/>
    </w:p>
    <w:p w14:paraId="4FE0A0F2" w14:textId="3A7B4F07" w:rsidR="00F22DC6" w:rsidRDefault="00F22DC6" w:rsidP="00F22DC6">
      <w:pPr>
        <w:rPr>
          <w:szCs w:val="22"/>
        </w:rPr>
      </w:pPr>
      <w:r>
        <w:t xml:space="preserve">Opinion Dynamics </w:t>
      </w:r>
      <w:r w:rsidR="00937671">
        <w:t>plans to provide</w:t>
      </w:r>
      <w:r>
        <w:t xml:space="preserve"> </w:t>
      </w:r>
      <w:r w:rsidR="008E7FF6">
        <w:t xml:space="preserve">four </w:t>
      </w:r>
      <w:r w:rsidR="00937671">
        <w:t xml:space="preserve">major types of reports that </w:t>
      </w:r>
      <w:r>
        <w:t>meets the Illinois statutory requirements for independent evaluation.</w:t>
      </w:r>
    </w:p>
    <w:p w14:paraId="778B54FA" w14:textId="77777777" w:rsidR="00F22DC6" w:rsidRDefault="00F22DC6" w:rsidP="00937671">
      <w:pPr>
        <w:pStyle w:val="Bullet1"/>
      </w:pPr>
      <w:r>
        <w:t>Annual program impact evaluation reports</w:t>
      </w:r>
    </w:p>
    <w:p w14:paraId="3747FEB2" w14:textId="77777777" w:rsidR="00F22DC6" w:rsidRDefault="00F22DC6" w:rsidP="00937671">
      <w:pPr>
        <w:pStyle w:val="Bullet1"/>
      </w:pPr>
      <w:r>
        <w:t>Annual integrated impact evaluation report</w:t>
      </w:r>
    </w:p>
    <w:p w14:paraId="6002C083" w14:textId="77777777" w:rsidR="00F22DC6" w:rsidRDefault="00F22DC6" w:rsidP="00937671">
      <w:pPr>
        <w:pStyle w:val="Bullet1"/>
      </w:pPr>
      <w:r>
        <w:t>Process and forward-looking evaluation memos</w:t>
      </w:r>
    </w:p>
    <w:p w14:paraId="64A0573A" w14:textId="77777777" w:rsidR="00F22DC6" w:rsidRDefault="00F22DC6" w:rsidP="00937671">
      <w:pPr>
        <w:pStyle w:val="Bullet1"/>
      </w:pPr>
      <w:r>
        <w:t>Annual integrated process/forward looking evaluation report</w:t>
      </w:r>
    </w:p>
    <w:p w14:paraId="763F2CA6" w14:textId="77777777" w:rsidR="00F22DC6" w:rsidRDefault="00F22DC6" w:rsidP="00937671">
      <w:pPr>
        <w:pStyle w:val="Heading3"/>
      </w:pPr>
      <w:r>
        <w:t>Annual Program Impact Evaluation Reports</w:t>
      </w:r>
    </w:p>
    <w:p w14:paraId="66FE8FF9" w14:textId="33C224E0" w:rsidR="00F22DC6" w:rsidRDefault="00937671" w:rsidP="00F22DC6">
      <w:pPr>
        <w:pStyle w:val="BodyText"/>
      </w:pPr>
      <w:r>
        <w:t xml:space="preserve">As outlined in this plan, </w:t>
      </w:r>
      <w:r w:rsidR="00F22DC6">
        <w:t xml:space="preserve">AIC's 2018-2021 Energy Efficiency Plan is comprised of two programs; the Residential Program and the Business Program. Within each program, </w:t>
      </w:r>
      <w:r>
        <w:t>multiple</w:t>
      </w:r>
      <w:r w:rsidR="00F22DC6">
        <w:t xml:space="preserve"> initiatives target different technologies and groups of customers.</w:t>
      </w:r>
      <w:r>
        <w:t xml:space="preserve"> As such, w</w:t>
      </w:r>
      <w:r w:rsidR="00F22DC6">
        <w:t xml:space="preserve">e </w:t>
      </w:r>
      <w:r>
        <w:t xml:space="preserve">will </w:t>
      </w:r>
      <w:r w:rsidR="00F22DC6">
        <w:t>issue two program-level impact evaluation reports (one each for the Residential and Business Programs). These reports will summarize the following information for each program:</w:t>
      </w:r>
    </w:p>
    <w:p w14:paraId="4EE63379" w14:textId="77777777" w:rsidR="00F22DC6" w:rsidRDefault="00F22DC6" w:rsidP="00937671">
      <w:pPr>
        <w:pStyle w:val="Bullet1"/>
      </w:pPr>
      <w:r>
        <w:t>First-Year Savings</w:t>
      </w:r>
    </w:p>
    <w:p w14:paraId="70519800" w14:textId="77777777" w:rsidR="00F22DC6" w:rsidRDefault="00F22DC6" w:rsidP="0099377D">
      <w:pPr>
        <w:pStyle w:val="Bullet2"/>
        <w:numPr>
          <w:ilvl w:val="1"/>
          <w:numId w:val="13"/>
        </w:numPr>
        <w:spacing w:line="290" w:lineRule="atLeast"/>
      </w:pPr>
      <w:r>
        <w:t>Ex ante gross and net savings (electric energy, electric demand, and gas energy)</w:t>
      </w:r>
    </w:p>
    <w:p w14:paraId="05411930" w14:textId="50E78AD4" w:rsidR="00F22DC6" w:rsidRDefault="00136CBB" w:rsidP="0099377D">
      <w:pPr>
        <w:pStyle w:val="Bullet2"/>
        <w:numPr>
          <w:ilvl w:val="1"/>
          <w:numId w:val="13"/>
        </w:numPr>
        <w:spacing w:line="290" w:lineRule="atLeast"/>
      </w:pPr>
      <w:r>
        <w:t>Verified</w:t>
      </w:r>
      <w:r w:rsidR="00937671">
        <w:t xml:space="preserve"> </w:t>
      </w:r>
      <w:r w:rsidR="00F22DC6">
        <w:t>gross and net savings (electric energy, electric demand, and gas energy)</w:t>
      </w:r>
    </w:p>
    <w:p w14:paraId="2D6FEA2E" w14:textId="77777777" w:rsidR="00F22DC6" w:rsidRDefault="00F22DC6" w:rsidP="0099377D">
      <w:pPr>
        <w:pStyle w:val="Bullet2"/>
        <w:numPr>
          <w:ilvl w:val="1"/>
          <w:numId w:val="13"/>
        </w:numPr>
        <w:spacing w:line="290" w:lineRule="atLeast"/>
      </w:pPr>
      <w:r>
        <w:t>Program-level gross realization rates (electric energy, electric demand, and gas energy)</w:t>
      </w:r>
    </w:p>
    <w:p w14:paraId="3977B2D7" w14:textId="4B96C2D4" w:rsidR="00F22DC6" w:rsidRDefault="00F22DC6" w:rsidP="0099377D">
      <w:pPr>
        <w:pStyle w:val="Bullet2"/>
        <w:numPr>
          <w:ilvl w:val="1"/>
          <w:numId w:val="13"/>
        </w:numPr>
        <w:spacing w:line="290" w:lineRule="atLeast"/>
      </w:pPr>
      <w:r>
        <w:t>Program-level NTGRs (electric and gas)</w:t>
      </w:r>
    </w:p>
    <w:p w14:paraId="4014AA90" w14:textId="465CB2AD" w:rsidR="00F22DC6" w:rsidRDefault="00F22DC6" w:rsidP="0099377D">
      <w:pPr>
        <w:pStyle w:val="Bullet2"/>
        <w:numPr>
          <w:ilvl w:val="1"/>
          <w:numId w:val="13"/>
        </w:numPr>
        <w:spacing w:line="290" w:lineRule="atLeast"/>
      </w:pPr>
      <w:r>
        <w:t xml:space="preserve">Gas savings </w:t>
      </w:r>
      <w:r w:rsidR="00937671">
        <w:t xml:space="preserve">to electric savings conversion </w:t>
      </w:r>
      <w:r>
        <w:t>where relev</w:t>
      </w:r>
      <w:r w:rsidR="00937671">
        <w:t>ant</w:t>
      </w:r>
    </w:p>
    <w:p w14:paraId="73E02296" w14:textId="77777777" w:rsidR="00F22DC6" w:rsidRDefault="00F22DC6" w:rsidP="00937671">
      <w:pPr>
        <w:pStyle w:val="Bullet1"/>
      </w:pPr>
      <w:r>
        <w:t>Cumulative Persisting Annual Savings</w:t>
      </w:r>
    </w:p>
    <w:p w14:paraId="789BD13F" w14:textId="77777777" w:rsidR="00F22DC6" w:rsidRDefault="00F22DC6" w:rsidP="0099377D">
      <w:pPr>
        <w:pStyle w:val="Bullet2"/>
        <w:numPr>
          <w:ilvl w:val="1"/>
          <w:numId w:val="13"/>
        </w:numPr>
        <w:spacing w:line="290" w:lineRule="atLeast"/>
      </w:pPr>
      <w:r>
        <w:t>Program-level weighted average measure life (WAML)</w:t>
      </w:r>
    </w:p>
    <w:p w14:paraId="0CB7485D" w14:textId="77777777" w:rsidR="00F22DC6" w:rsidRDefault="00F22DC6" w:rsidP="0099377D">
      <w:pPr>
        <w:pStyle w:val="Bullet2"/>
        <w:numPr>
          <w:ilvl w:val="1"/>
          <w:numId w:val="13"/>
        </w:numPr>
        <w:spacing w:line="290" w:lineRule="atLeast"/>
      </w:pPr>
      <w:r>
        <w:t>Measure-level effective useful life (EUL)</w:t>
      </w:r>
    </w:p>
    <w:p w14:paraId="6E5FCF9B" w14:textId="5460F5D7" w:rsidR="00F22DC6" w:rsidRDefault="00F22DC6" w:rsidP="0099377D">
      <w:pPr>
        <w:pStyle w:val="Bullet2"/>
        <w:numPr>
          <w:ilvl w:val="1"/>
          <w:numId w:val="13"/>
        </w:numPr>
        <w:spacing w:line="290" w:lineRule="atLeast"/>
      </w:pPr>
      <w:r>
        <w:t xml:space="preserve">Year-by-year incremental </w:t>
      </w:r>
      <w:r w:rsidR="00A75F23">
        <w:t>verified</w:t>
      </w:r>
      <w:r w:rsidR="008E7FF6">
        <w:t xml:space="preserve"> </w:t>
      </w:r>
      <w:r>
        <w:t>net savings</w:t>
      </w:r>
    </w:p>
    <w:p w14:paraId="6CAC5382" w14:textId="77777777" w:rsidR="00F22DC6" w:rsidRDefault="00F22DC6" w:rsidP="00937671">
      <w:pPr>
        <w:pStyle w:val="Bullet1"/>
      </w:pPr>
      <w:r>
        <w:t>Participation and program touch (where relevant)</w:t>
      </w:r>
    </w:p>
    <w:p w14:paraId="2A0C9924" w14:textId="77777777" w:rsidR="00F22DC6" w:rsidRDefault="00F22DC6" w:rsidP="0099377D">
      <w:pPr>
        <w:pStyle w:val="Bullet2"/>
        <w:numPr>
          <w:ilvl w:val="1"/>
          <w:numId w:val="13"/>
        </w:numPr>
        <w:spacing w:line="290" w:lineRule="atLeast"/>
      </w:pPr>
      <w:r>
        <w:t>Project counts</w:t>
      </w:r>
    </w:p>
    <w:p w14:paraId="405BB7BF" w14:textId="77777777" w:rsidR="00F22DC6" w:rsidRDefault="00F22DC6" w:rsidP="0099377D">
      <w:pPr>
        <w:pStyle w:val="Bullet2"/>
        <w:numPr>
          <w:ilvl w:val="1"/>
          <w:numId w:val="13"/>
        </w:numPr>
        <w:spacing w:line="290" w:lineRule="atLeast"/>
      </w:pPr>
      <w:r>
        <w:t>Participant counts</w:t>
      </w:r>
    </w:p>
    <w:p w14:paraId="19A4E0AC" w14:textId="4A7C6692" w:rsidR="00F22DC6" w:rsidRDefault="008E7FF6" w:rsidP="0099377D">
      <w:pPr>
        <w:pStyle w:val="Bullet2"/>
        <w:numPr>
          <w:ilvl w:val="1"/>
          <w:numId w:val="13"/>
        </w:numPr>
        <w:spacing w:line="290" w:lineRule="atLeast"/>
      </w:pPr>
      <w:r>
        <w:lastRenderedPageBreak/>
        <w:t>E</w:t>
      </w:r>
      <w:r w:rsidR="00F22DC6">
        <w:t xml:space="preserve">x ante and </w:t>
      </w:r>
      <w:r w:rsidR="00A75F23">
        <w:t>verified</w:t>
      </w:r>
      <w:r w:rsidR="00F22DC6">
        <w:t xml:space="preserve"> measure quantities</w:t>
      </w:r>
    </w:p>
    <w:p w14:paraId="654BE87F" w14:textId="668BA6E1" w:rsidR="00F22DC6" w:rsidRDefault="00937671" w:rsidP="00F22DC6">
      <w:pPr>
        <w:pStyle w:val="BodyText"/>
      </w:pPr>
      <w:r>
        <w:t>Where appropriate</w:t>
      </w:r>
      <w:r w:rsidR="00F22DC6">
        <w:t xml:space="preserve">, the annual program impact evaluation reports will </w:t>
      </w:r>
      <w:r>
        <w:t xml:space="preserve">also </w:t>
      </w:r>
      <w:r w:rsidR="00F22DC6">
        <w:t>present the information listed above broken down by program initiative. Additionally, the annual program impact evaluation reports will include appendices containing the following:</w:t>
      </w:r>
    </w:p>
    <w:p w14:paraId="2C232AF4" w14:textId="77777777" w:rsidR="00F22DC6" w:rsidRDefault="00F22DC6" w:rsidP="00937671">
      <w:pPr>
        <w:pStyle w:val="Bullet1"/>
      </w:pPr>
      <w:r>
        <w:t>Impact evaluation methodology</w:t>
      </w:r>
    </w:p>
    <w:p w14:paraId="408774BE" w14:textId="200C55D8" w:rsidR="00F22DC6" w:rsidRDefault="00F22DC6" w:rsidP="00937671">
      <w:pPr>
        <w:pStyle w:val="Bullet1"/>
      </w:pPr>
      <w:r>
        <w:t>Methodology and results for impact parameter estimates derived from the evaluation (e.g., updated in-service rates [ISRs] or hours of use [HOU] for lighting measures)</w:t>
      </w:r>
      <w:r w:rsidR="00DD3844">
        <w:t>,</w:t>
      </w:r>
      <w:r>
        <w:t xml:space="preserve"> where relevant</w:t>
      </w:r>
      <w:r w:rsidR="00937671">
        <w:t xml:space="preserve">. </w:t>
      </w:r>
      <w:r>
        <w:t xml:space="preserve">These estimates may be used to inform recommendations for future IL-TRM updates, or, where prescribed by the </w:t>
      </w:r>
      <w:r w:rsidR="00DD3844">
        <w:t>IL-</w:t>
      </w:r>
      <w:r>
        <w:t>TRM, to inform evaluation impact estimates</w:t>
      </w:r>
      <w:r w:rsidR="00937671">
        <w:t>.</w:t>
      </w:r>
    </w:p>
    <w:p w14:paraId="2796701F" w14:textId="77777777" w:rsidR="00F22DC6" w:rsidRDefault="00F22DC6" w:rsidP="00937671">
      <w:pPr>
        <w:pStyle w:val="Heading3"/>
      </w:pPr>
      <w:r>
        <w:t>Annual Integrated Impact Evaluation Report</w:t>
      </w:r>
    </w:p>
    <w:p w14:paraId="51581998" w14:textId="2AABF6D1" w:rsidR="00F22DC6" w:rsidRDefault="00F22DC6" w:rsidP="00F22DC6">
      <w:pPr>
        <w:pStyle w:val="BodyText"/>
      </w:pPr>
      <w:r>
        <w:t>Results from the two annual program impact evaluatio</w:t>
      </w:r>
      <w:r w:rsidR="00937671">
        <w:t xml:space="preserve">n reports will be combined </w:t>
      </w:r>
      <w:r w:rsidR="008E7FF6">
        <w:t>in a</w:t>
      </w:r>
      <w:r w:rsidR="00937671">
        <w:t xml:space="preserve"> single</w:t>
      </w:r>
      <w:r>
        <w:t xml:space="preserve"> integrated impact evaluation report</w:t>
      </w:r>
      <w:r w:rsidR="00937671">
        <w:t xml:space="preserve"> for each year. T</w:t>
      </w:r>
      <w:r>
        <w:t xml:space="preserve">his report will include information around </w:t>
      </w:r>
      <w:r w:rsidR="00937671">
        <w:t>CPAS</w:t>
      </w:r>
      <w:r>
        <w:t xml:space="preserve"> to allow for an overall assessment of whether or not statutory goals were met by the programs, namely:</w:t>
      </w:r>
    </w:p>
    <w:p w14:paraId="3BDACF3C" w14:textId="77777777" w:rsidR="00F22DC6" w:rsidRDefault="00F22DC6" w:rsidP="00937671">
      <w:pPr>
        <w:pStyle w:val="Bullet1"/>
      </w:pPr>
      <w:r>
        <w:t>Yearly expired persisting savings</w:t>
      </w:r>
    </w:p>
    <w:p w14:paraId="544D03AB" w14:textId="77777777" w:rsidR="00F22DC6" w:rsidRDefault="00F22DC6" w:rsidP="00937671">
      <w:pPr>
        <w:pStyle w:val="Bullet1"/>
      </w:pPr>
      <w:r>
        <w:t>Deemed cumulative annual persisting savings</w:t>
      </w:r>
    </w:p>
    <w:p w14:paraId="29928CEA" w14:textId="2D279D0A" w:rsidR="00F22DC6" w:rsidRDefault="00F22DC6" w:rsidP="00937671">
      <w:pPr>
        <w:pStyle w:val="Heading3"/>
      </w:pPr>
      <w:r>
        <w:t>Process and Forward-Looking Evaluation Memos</w:t>
      </w:r>
      <w:r w:rsidR="00937671">
        <w:t xml:space="preserve"> and Report</w:t>
      </w:r>
    </w:p>
    <w:p w14:paraId="7634C605" w14:textId="3736AE16" w:rsidR="00F22DC6" w:rsidRDefault="00F22DC6" w:rsidP="00F22DC6">
      <w:r>
        <w:t xml:space="preserve">When process or other forward-looking evaluations (including updated research around NTGRs) </w:t>
      </w:r>
      <w:r w:rsidR="00937671">
        <w:t xml:space="preserve">are conducted, the evaluation team </w:t>
      </w:r>
      <w:r>
        <w:t xml:space="preserve">will issue separate memos summarizing the results of these evaluations as needed. These memos may be issued at the program or initiative level depending on </w:t>
      </w:r>
      <w:r w:rsidR="00937671">
        <w:t xml:space="preserve">the </w:t>
      </w:r>
      <w:r>
        <w:t xml:space="preserve">research </w:t>
      </w:r>
      <w:r w:rsidR="00937671">
        <w:t>conducted</w:t>
      </w:r>
      <w:r>
        <w:t>.</w:t>
      </w:r>
    </w:p>
    <w:p w14:paraId="77F35587" w14:textId="01F515F1" w:rsidR="00F22DC6" w:rsidRDefault="00F22DC6" w:rsidP="00F22DC6">
      <w:pPr>
        <w:pStyle w:val="BodyText"/>
      </w:pPr>
      <w:r>
        <w:t xml:space="preserve">On an annual basis, </w:t>
      </w:r>
      <w:r w:rsidR="00937671">
        <w:t>the evaluation team</w:t>
      </w:r>
      <w:r>
        <w:t xml:space="preserve"> will </w:t>
      </w:r>
      <w:r w:rsidR="00937671">
        <w:t xml:space="preserve">also </w:t>
      </w:r>
      <w:r>
        <w:t>combine results from process and other forward-looking evaluation activities in an annual integrated report.</w:t>
      </w:r>
    </w:p>
    <w:p w14:paraId="29491628" w14:textId="77777777" w:rsidR="0046504D" w:rsidRDefault="0046504D" w:rsidP="0046504D">
      <w:pPr>
        <w:pStyle w:val="ODCBodyText"/>
      </w:pPr>
    </w:p>
    <w:p w14:paraId="0CF10E4F" w14:textId="331E87AA" w:rsidR="0074787E" w:rsidRDefault="0074787E" w:rsidP="00127B25">
      <w:pPr>
        <w:pStyle w:val="ODCBodyText"/>
        <w:sectPr w:rsidR="0074787E" w:rsidSect="00024F57">
          <w:pgSz w:w="12240" w:h="15840" w:code="1"/>
          <w:pgMar w:top="1800" w:right="1080" w:bottom="1656" w:left="1080" w:header="720" w:footer="720" w:gutter="0"/>
          <w:cols w:space="720"/>
          <w:docGrid w:linePitch="360"/>
        </w:sectPr>
      </w:pPr>
    </w:p>
    <w:p w14:paraId="1072905C" w14:textId="77777777" w:rsidR="00966A2D" w:rsidRDefault="00966A2D" w:rsidP="00127B25">
      <w:pPr>
        <w:pStyle w:val="ODCBodyText"/>
        <w:sectPr w:rsidR="00966A2D" w:rsidSect="00024F57">
          <w:headerReference w:type="default" r:id="rId25"/>
          <w:footerReference w:type="default" r:id="rId26"/>
          <w:pgSz w:w="12240" w:h="15840" w:code="1"/>
          <w:pgMar w:top="1800" w:right="1080" w:bottom="1656" w:left="1080" w:header="720" w:footer="720" w:gutter="0"/>
          <w:cols w:space="720"/>
          <w:docGrid w:linePitch="360"/>
        </w:sectPr>
      </w:pPr>
    </w:p>
    <w:p w14:paraId="1618C1BC" w14:textId="77777777" w:rsidR="00354DC1" w:rsidRPr="00F60BD3" w:rsidRDefault="00651B4B" w:rsidP="00651B4B">
      <w:pPr>
        <w:rPr>
          <w:rStyle w:val="ContactPage"/>
        </w:rPr>
      </w:pPr>
      <w:r w:rsidRPr="00F60BD3">
        <w:rPr>
          <w:rStyle w:val="ContactPage"/>
        </w:rPr>
        <w:t xml:space="preserve">For more information, please contact: </w:t>
      </w:r>
    </w:p>
    <w:p w14:paraId="4ECD187F" w14:textId="183ACAF1" w:rsidR="00651B4B" w:rsidRPr="006C095D" w:rsidRDefault="0074787E" w:rsidP="001C674D">
      <w:pPr>
        <w:pStyle w:val="ContactPgEmployeeName"/>
        <w:rPr>
          <w:color w:val="auto"/>
        </w:rPr>
      </w:pPr>
      <w:r>
        <w:rPr>
          <w:color w:val="auto"/>
        </w:rPr>
        <w:t>Hannah Howard</w:t>
      </w:r>
    </w:p>
    <w:p w14:paraId="2D3199C1" w14:textId="1967676D" w:rsidR="00651B4B" w:rsidRPr="006C095D" w:rsidRDefault="0074787E" w:rsidP="001C674D">
      <w:pPr>
        <w:pStyle w:val="ContactPgEmployeeName"/>
        <w:rPr>
          <w:color w:val="auto"/>
        </w:rPr>
      </w:pPr>
      <w:r>
        <w:rPr>
          <w:color w:val="auto"/>
        </w:rPr>
        <w:t>Managing Director</w:t>
      </w:r>
      <w:r w:rsidR="00A75F23">
        <w:rPr>
          <w:color w:val="auto"/>
        </w:rPr>
        <w:t xml:space="preserve"> / V.P.</w:t>
      </w:r>
    </w:p>
    <w:p w14:paraId="62E43DE1" w14:textId="77777777" w:rsidR="00651B4B" w:rsidRPr="0033220B" w:rsidRDefault="00651B4B" w:rsidP="00651B4B">
      <w:pPr>
        <w:pStyle w:val="BodyText"/>
        <w:spacing w:before="0" w:after="0"/>
      </w:pPr>
    </w:p>
    <w:p w14:paraId="6926C67D" w14:textId="46D1F76B" w:rsidR="00651B4B" w:rsidRPr="0033220B" w:rsidRDefault="0074787E" w:rsidP="00946409">
      <w:pPr>
        <w:pStyle w:val="BodyText"/>
        <w:spacing w:before="0" w:after="0"/>
        <w:jc w:val="left"/>
        <w:rPr>
          <w:sz w:val="28"/>
          <w:szCs w:val="28"/>
        </w:rPr>
      </w:pPr>
      <w:r>
        <w:rPr>
          <w:sz w:val="28"/>
          <w:szCs w:val="28"/>
        </w:rPr>
        <w:t xml:space="preserve">510 </w:t>
      </w:r>
      <w:r w:rsidR="00A75F23">
        <w:rPr>
          <w:sz w:val="28"/>
          <w:szCs w:val="28"/>
        </w:rPr>
        <w:t>214 0183</w:t>
      </w:r>
      <w:r w:rsidR="00651B4B" w:rsidRPr="0033220B">
        <w:rPr>
          <w:sz w:val="28"/>
          <w:szCs w:val="28"/>
        </w:rPr>
        <w:t xml:space="preserve"> tel</w:t>
      </w:r>
    </w:p>
    <w:p w14:paraId="132413B2" w14:textId="7D639040" w:rsidR="00651B4B" w:rsidRPr="0033220B" w:rsidRDefault="0074787E" w:rsidP="00946409">
      <w:pPr>
        <w:pStyle w:val="BodyText"/>
        <w:spacing w:before="0" w:after="0"/>
        <w:jc w:val="left"/>
        <w:rPr>
          <w:sz w:val="28"/>
          <w:szCs w:val="28"/>
        </w:rPr>
      </w:pPr>
      <w:r>
        <w:rPr>
          <w:sz w:val="28"/>
          <w:szCs w:val="28"/>
        </w:rPr>
        <w:t>hhoward</w:t>
      </w:r>
      <w:r w:rsidR="00651B4B" w:rsidRPr="0033220B">
        <w:rPr>
          <w:sz w:val="28"/>
          <w:szCs w:val="28"/>
        </w:rPr>
        <w:t>@opiniondynamics.com</w:t>
      </w:r>
    </w:p>
    <w:p w14:paraId="6A1450BA" w14:textId="77777777" w:rsidR="0039227B" w:rsidRPr="0033220B" w:rsidRDefault="0039227B" w:rsidP="00946409">
      <w:pPr>
        <w:pStyle w:val="BodyText"/>
        <w:spacing w:before="0" w:after="0"/>
        <w:jc w:val="left"/>
        <w:rPr>
          <w:sz w:val="28"/>
          <w:szCs w:val="28"/>
        </w:rPr>
      </w:pPr>
    </w:p>
    <w:p w14:paraId="2869F133" w14:textId="06F8136F" w:rsidR="00651B4B" w:rsidRPr="0033220B" w:rsidRDefault="00A75F23" w:rsidP="00946409">
      <w:pPr>
        <w:pStyle w:val="BodyText"/>
        <w:spacing w:before="0" w:after="0"/>
        <w:jc w:val="left"/>
        <w:rPr>
          <w:sz w:val="28"/>
          <w:szCs w:val="28"/>
        </w:rPr>
      </w:pPr>
      <w:r>
        <w:rPr>
          <w:sz w:val="28"/>
          <w:szCs w:val="28"/>
        </w:rPr>
        <w:t>1000 Winter Street</w:t>
      </w:r>
    </w:p>
    <w:p w14:paraId="0356EE26" w14:textId="093506FE" w:rsidR="00651B4B" w:rsidRPr="0033220B" w:rsidRDefault="00A75F23" w:rsidP="00946409">
      <w:pPr>
        <w:pStyle w:val="BodyText"/>
        <w:spacing w:before="0" w:after="0"/>
        <w:jc w:val="left"/>
        <w:rPr>
          <w:sz w:val="28"/>
          <w:szCs w:val="28"/>
        </w:rPr>
      </w:pPr>
      <w:r>
        <w:rPr>
          <w:sz w:val="28"/>
          <w:szCs w:val="28"/>
        </w:rPr>
        <w:t>Waltham, MA 02451</w:t>
      </w:r>
    </w:p>
    <w:p w14:paraId="38FAD942" w14:textId="77777777" w:rsidR="00935090" w:rsidRDefault="00935090" w:rsidP="00127B25">
      <w:pPr>
        <w:pStyle w:val="ODCBodyText"/>
      </w:pPr>
    </w:p>
    <w:p w14:paraId="0A6D8E53" w14:textId="77777777" w:rsidR="00446C83" w:rsidRDefault="00446C83" w:rsidP="00127B25">
      <w:pPr>
        <w:pStyle w:val="ODCBodyText"/>
      </w:pPr>
    </w:p>
    <w:p w14:paraId="27F9B55C" w14:textId="15210544" w:rsidR="00935090" w:rsidRPr="0039227B" w:rsidRDefault="00F4018C" w:rsidP="00127B25">
      <w:pPr>
        <w:pStyle w:val="ODCBodyText"/>
      </w:pPr>
      <w:r>
        <w:rPr>
          <w:noProof/>
        </w:rPr>
        <w:drawing>
          <wp:anchor distT="0" distB="0" distL="114300" distR="114300" simplePos="0" relativeHeight="251669504" behindDoc="0" locked="0" layoutInCell="1" allowOverlap="1" wp14:anchorId="2ED3C48A" wp14:editId="6307509B">
            <wp:simplePos x="0" y="0"/>
            <wp:positionH relativeFrom="page">
              <wp:align>center</wp:align>
            </wp:positionH>
            <wp:positionV relativeFrom="paragraph">
              <wp:posOffset>3725562</wp:posOffset>
            </wp:positionV>
            <wp:extent cx="5769864" cy="877824"/>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5769864" cy="8778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35090" w:rsidRPr="0039227B" w:rsidSect="00966A2D">
      <w:headerReference w:type="default" r:id="rId28"/>
      <w:footerReference w:type="default" r:id="rId29"/>
      <w:type w:val="continuous"/>
      <w:pgSz w:w="12240" w:h="15840" w:code="1"/>
      <w:pgMar w:top="1800" w:right="1080" w:bottom="1656"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885B" w14:textId="77777777" w:rsidR="00707B4B" w:rsidRDefault="00707B4B">
      <w:r>
        <w:separator/>
      </w:r>
    </w:p>
  </w:endnote>
  <w:endnote w:type="continuationSeparator" w:id="0">
    <w:p w14:paraId="6D3DE54C" w14:textId="77777777" w:rsidR="00707B4B" w:rsidRDefault="0070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72C3" w14:textId="77777777" w:rsidR="00707B4B" w:rsidRPr="004D4025" w:rsidRDefault="00707B4B" w:rsidP="004D4025">
    <w:pPr>
      <w:pStyle w:val="Footer"/>
      <w:pBdr>
        <w:top w:val="none" w:sz="0" w:space="0" w:color="auto"/>
      </w:pBdr>
    </w:pPr>
    <w:r>
      <mc:AlternateContent>
        <mc:Choice Requires="wps">
          <w:drawing>
            <wp:anchor distT="45720" distB="45720" distL="114300" distR="114300" simplePos="0" relativeHeight="251756032" behindDoc="0" locked="0" layoutInCell="1" allowOverlap="1" wp14:anchorId="112406DD" wp14:editId="2E280B73">
              <wp:simplePos x="0" y="0"/>
              <wp:positionH relativeFrom="column">
                <wp:posOffset>-267970</wp:posOffset>
              </wp:positionH>
              <wp:positionV relativeFrom="paragraph">
                <wp:posOffset>-275277</wp:posOffset>
              </wp:positionV>
              <wp:extent cx="2597023" cy="450358"/>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023" cy="450358"/>
                      </a:xfrm>
                      <a:prstGeom prst="rect">
                        <a:avLst/>
                      </a:prstGeom>
                      <a:noFill/>
                      <a:ln w="9525">
                        <a:noFill/>
                        <a:miter lim="800000"/>
                        <a:headEnd/>
                        <a:tailEnd/>
                      </a:ln>
                    </wps:spPr>
                    <wps:txbx>
                      <w:txbxContent>
                        <w:p w14:paraId="345FB640" w14:textId="77777777" w:rsidR="00707B4B" w:rsidRPr="00BB7B78" w:rsidRDefault="00707B4B" w:rsidP="004D4025">
                          <w:pPr>
                            <w:spacing w:before="0" w:after="0"/>
                            <w:rPr>
                              <w:color w:val="FFFFFF"/>
                              <w:sz w:val="18"/>
                            </w:rPr>
                          </w:pPr>
                          <w:r w:rsidRPr="00BB7B78">
                            <w:rPr>
                              <w:color w:val="FFFFFF"/>
                              <w:sz w:val="18"/>
                            </w:rPr>
                            <w:t>opiniondynamics.com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12406DD" id="_x0000_t202" coordsize="21600,21600" o:spt="202" path="m,l,21600r21600,l21600,xe">
              <v:stroke joinstyle="miter"/>
              <v:path gradientshapeok="t" o:connecttype="rect"/>
            </v:shapetype>
            <v:shape id="Text Box 2" o:spid="_x0000_s1028" type="#_x0000_t202" style="position:absolute;left:0;text-align:left;margin-left:-21.1pt;margin-top:-21.7pt;width:204.5pt;height:35.4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" filled="f" stroked="f">
              <v:textbox>
                <w:txbxContent>
                  <w:p w14:paraId="345FB640" w14:textId="77777777" w:rsidR="00707B4B" w:rsidRPr="00BB7B78" w:rsidRDefault="00707B4B" w:rsidP="004D4025">
                    <w:pPr>
                      <w:spacing w:before="0" w:after="0"/>
                      <w:rPr>
                        <w:color w:val="FFFFFF"/>
                        <w:sz w:val="18"/>
                      </w:rPr>
                    </w:pPr>
                    <w:r w:rsidRPr="00BB7B78">
                      <w:rPr>
                        <w:color w:val="FFFFFF"/>
                        <w:sz w:val="18"/>
                      </w:rPr>
                      <w:t>opiniondynamics.com</w:t>
                    </w:r>
                  </w:p>
                </w:txbxContent>
              </v:textbox>
            </v:shape>
          </w:pict>
        </mc:Fallback>
      </mc:AlternateContent>
    </w:r>
    <w:r>
      <w:drawing>
        <wp:anchor distT="0" distB="0" distL="114300" distR="114300" simplePos="0" relativeHeight="251753984" behindDoc="1" locked="0" layoutInCell="1" allowOverlap="1" wp14:anchorId="514C1956" wp14:editId="6F74DAEC">
          <wp:simplePos x="0" y="0"/>
          <wp:positionH relativeFrom="margin">
            <wp:align>center</wp:align>
          </wp:positionH>
          <wp:positionV relativeFrom="page">
            <wp:posOffset>9162415</wp:posOffset>
          </wp:positionV>
          <wp:extent cx="6922008" cy="484632"/>
          <wp:effectExtent l="0" t="0" r="0" b="0"/>
          <wp:wrapNone/>
          <wp:docPr id="10" name="Picture 10" descr="C:\Users\BrianR\Desktop\Cove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R\Desktop\Cover B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48463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01C3" w14:textId="77777777" w:rsidR="00707B4B" w:rsidRPr="00CB1124" w:rsidRDefault="00707B4B" w:rsidP="00CB1124">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r>
      <mc:AlternateContent>
        <mc:Choice Requires="wps">
          <w:drawing>
            <wp:anchor distT="45720" distB="45720" distL="114300" distR="114300" simplePos="0" relativeHeight="251747840" behindDoc="0" locked="0" layoutInCell="1" allowOverlap="1" wp14:anchorId="43791F72" wp14:editId="18B83E8B">
              <wp:simplePos x="0" y="0"/>
              <wp:positionH relativeFrom="column">
                <wp:posOffset>-260131</wp:posOffset>
              </wp:positionH>
              <wp:positionV relativeFrom="paragraph">
                <wp:posOffset>-283319</wp:posOffset>
              </wp:positionV>
              <wp:extent cx="2360930" cy="45035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358"/>
                      </a:xfrm>
                      <a:prstGeom prst="rect">
                        <a:avLst/>
                      </a:prstGeom>
                      <a:noFill/>
                      <a:ln w="9525">
                        <a:noFill/>
                        <a:miter lim="800000"/>
                        <a:headEnd/>
                        <a:tailEnd/>
                      </a:ln>
                    </wps:spPr>
                    <wps:txbx>
                      <w:txbxContent>
                        <w:p w14:paraId="42C0F36E" w14:textId="77777777" w:rsidR="00707B4B" w:rsidRPr="00BB7B78" w:rsidRDefault="00707B4B" w:rsidP="00CB1124">
                          <w:pPr>
                            <w:spacing w:before="0" w:after="0"/>
                            <w:rPr>
                              <w:color w:val="FFFFFF"/>
                              <w:sz w:val="18"/>
                            </w:rPr>
                          </w:pPr>
                          <w:r w:rsidRPr="00BB7B78">
                            <w:rPr>
                              <w:color w:val="FFFFFF"/>
                              <w:sz w:val="18"/>
                            </w:rPr>
                            <w:t>opiniondynamics.com</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43791F72" id="_x0000_t202" coordsize="21600,21600" o:spt="202" path="m,l,21600r21600,l21600,xe">
              <v:stroke joinstyle="miter"/>
              <v:path gradientshapeok="t" o:connecttype="rect"/>
            </v:shapetype>
            <v:shape id="_x0000_s1030" type="#_x0000_t202" style="position:absolute;margin-left:-20.5pt;margin-top:-22.3pt;width:185.9pt;height:35.45pt;z-index:251747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" filled="f" stroked="f">
              <v:textbox>
                <w:txbxContent>
                  <w:p w14:paraId="42C0F36E" w14:textId="77777777" w:rsidR="00707B4B" w:rsidRPr="00BB7B78" w:rsidRDefault="00707B4B" w:rsidP="00CB1124">
                    <w:pPr>
                      <w:spacing w:before="0" w:after="0"/>
                      <w:rPr>
                        <w:color w:val="FFFFFF"/>
                        <w:sz w:val="18"/>
                      </w:rPr>
                    </w:pPr>
                    <w:r w:rsidRPr="00BB7B78">
                      <w:rPr>
                        <w:color w:val="FFFFFF"/>
                        <w:sz w:val="18"/>
                      </w:rPr>
                      <w:t>opiniondynamics.com</w:t>
                    </w:r>
                  </w:p>
                </w:txbxContent>
              </v:textbox>
            </v:shape>
          </w:pict>
        </mc:Fallback>
      </mc:AlternateContent>
    </w:r>
    <w:r>
      <w:drawing>
        <wp:anchor distT="0" distB="0" distL="114300" distR="114300" simplePos="0" relativeHeight="251745792" behindDoc="1" locked="0" layoutInCell="1" allowOverlap="1" wp14:anchorId="6F442413" wp14:editId="2428D4FB">
          <wp:simplePos x="0" y="0"/>
          <wp:positionH relativeFrom="margin">
            <wp:align>center</wp:align>
          </wp:positionH>
          <wp:positionV relativeFrom="page">
            <wp:posOffset>9162415</wp:posOffset>
          </wp:positionV>
          <wp:extent cx="6922008" cy="484632"/>
          <wp:effectExtent l="0" t="0" r="0" b="0"/>
          <wp:wrapNone/>
          <wp:docPr id="11" name="Picture 11" descr="C:\Users\BrianR\Desktop\Cove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R\Desktop\Cover B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48463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6689" w14:textId="34A8A410" w:rsidR="00707B4B" w:rsidRPr="007E41B4" w:rsidRDefault="00945A9D" w:rsidP="0046504D">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sdt>
      <w:sdtPr>
        <w:rPr>
          <w:rFonts w:ascii="Franklin Gothic Medium" w:hAnsi="Franklin Gothic Medium"/>
          <w:i w:val="0"/>
          <w:noProof w:val="0"/>
          <w:color w:val="053572" w:themeColor="text2"/>
          <w:sz w:val="22"/>
          <w:szCs w:val="22"/>
        </w:rPr>
        <w:id w:val="-1498336864"/>
        <w:docPartObj>
          <w:docPartGallery w:val="Page Numbers (Bottom of Page)"/>
          <w:docPartUnique/>
        </w:docPartObj>
      </w:sdtPr>
      <w:sdtEndPr>
        <w:rPr>
          <w:noProof/>
        </w:rPr>
      </w:sdtEndPr>
      <w:sdtContent>
        <w:r w:rsidR="00707B4B" w:rsidRPr="00B7585A">
          <w:rPr>
            <w:rStyle w:val="Hyperlink"/>
            <w:rFonts w:ascii="Franklin Gothic Medium" w:hAnsi="Franklin Gothic Medium"/>
            <w:i w:val="0"/>
            <w:color w:val="1295D8"/>
            <w:sz w:val="22"/>
            <w:szCs w:val="22"/>
            <w:u w:val="none"/>
          </w:rPr>
          <w:t>opiniondynamics.com</w:t>
        </w:r>
      </w:sdtContent>
    </w:sdt>
    <w:r w:rsidR="00707B4B">
      <w:rPr>
        <w:rFonts w:ascii="Franklin Gothic Medium" w:hAnsi="Franklin Gothic Medium"/>
        <w:i w:val="0"/>
        <w:color w:val="053572" w:themeColor="text2"/>
        <w:sz w:val="22"/>
        <w:szCs w:val="22"/>
      </w:rPr>
      <w:tab/>
    </w:r>
    <w:r w:rsidR="00707B4B">
      <w:rPr>
        <w:rFonts w:ascii="Franklin Gothic Medium" w:hAnsi="Franklin Gothic Medium"/>
        <w:i w:val="0"/>
        <w:noProof w:val="0"/>
        <w:color w:val="053572" w:themeColor="text2"/>
        <w:sz w:val="22"/>
        <w:szCs w:val="22"/>
      </w:rPr>
      <w:t xml:space="preserve">Page </w:t>
    </w:r>
    <w:r w:rsidR="00707B4B">
      <w:rPr>
        <w:rFonts w:ascii="Franklin Gothic Medium" w:hAnsi="Franklin Gothic Medium"/>
        <w:i w:val="0"/>
        <w:noProof w:val="0"/>
        <w:color w:val="053572" w:themeColor="text2"/>
        <w:sz w:val="22"/>
        <w:szCs w:val="22"/>
      </w:rPr>
      <w:fldChar w:fldCharType="begin"/>
    </w:r>
    <w:r w:rsidR="00707B4B">
      <w:rPr>
        <w:rFonts w:ascii="Franklin Gothic Medium" w:hAnsi="Franklin Gothic Medium"/>
        <w:i w:val="0"/>
        <w:noProof w:val="0"/>
        <w:color w:val="053572" w:themeColor="text2"/>
        <w:sz w:val="22"/>
        <w:szCs w:val="22"/>
      </w:rPr>
      <w:instrText xml:space="preserve"> PAGE  \* roman  \* MERGEFORMAT </w:instrText>
    </w:r>
    <w:r w:rsidR="00707B4B">
      <w:rPr>
        <w:rFonts w:ascii="Franklin Gothic Medium" w:hAnsi="Franklin Gothic Medium"/>
        <w:i w:val="0"/>
        <w:noProof w:val="0"/>
        <w:color w:val="053572" w:themeColor="text2"/>
        <w:sz w:val="22"/>
        <w:szCs w:val="22"/>
      </w:rPr>
      <w:fldChar w:fldCharType="separate"/>
    </w:r>
    <w:r w:rsidR="00707B4B">
      <w:rPr>
        <w:rFonts w:ascii="Franklin Gothic Medium" w:hAnsi="Franklin Gothic Medium"/>
        <w:i w:val="0"/>
        <w:color w:val="053572" w:themeColor="text2"/>
        <w:sz w:val="22"/>
        <w:szCs w:val="22"/>
      </w:rPr>
      <w:t>i</w:t>
    </w:r>
    <w:r w:rsidR="00707B4B">
      <w:rPr>
        <w:rFonts w:ascii="Franklin Gothic Medium" w:hAnsi="Franklin Gothic Medium"/>
        <w:i w:val="0"/>
        <w:noProof w:val="0"/>
        <w:color w:val="053572" w:themeColor="text2"/>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Medium" w:hAnsi="Franklin Gothic Medium"/>
        <w:i w:val="0"/>
        <w:noProof w:val="0"/>
        <w:color w:val="053572" w:themeColor="text2"/>
        <w:sz w:val="22"/>
        <w:szCs w:val="22"/>
      </w:rPr>
      <w:id w:val="1521588959"/>
      <w:docPartObj>
        <w:docPartGallery w:val="Page Numbers (Bottom of Page)"/>
        <w:docPartUnique/>
      </w:docPartObj>
    </w:sdtPr>
    <w:sdtEndPr>
      <w:rPr>
        <w:noProof/>
      </w:rPr>
    </w:sdtEndPr>
    <w:sdtContent>
      <w:p w14:paraId="76F5B4FD" w14:textId="0ACF2932" w:rsidR="00707B4B" w:rsidRPr="007E41B4" w:rsidRDefault="00707B4B" w:rsidP="007E41B4">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r w:rsidRPr="00B7585A">
          <w:rPr>
            <w:rStyle w:val="Hyperlink"/>
            <w:rFonts w:ascii="Franklin Gothic Medium" w:hAnsi="Franklin Gothic Medium"/>
            <w:i w:val="0"/>
            <w:color w:val="1295D8"/>
            <w:sz w:val="22"/>
            <w:szCs w:val="22"/>
            <w:u w:val="none"/>
          </w:rPr>
          <w:t>opiniondynamics.com</w:t>
        </w:r>
        <w:r>
          <w:rPr>
            <w:rStyle w:val="Hyperlink"/>
            <w:color w:val="1295D8"/>
            <w:u w:val="none"/>
          </w:rPr>
          <w:tab/>
        </w:r>
        <w:r>
          <w:rPr>
            <w:rFonts w:ascii="Franklin Gothic Medium" w:hAnsi="Franklin Gothic Medium"/>
            <w:i w:val="0"/>
            <w:noProof w:val="0"/>
            <w:color w:val="053572" w:themeColor="text2"/>
            <w:sz w:val="22"/>
            <w:szCs w:val="22"/>
          </w:rPr>
          <w:t xml:space="preserve"> Page </w:t>
        </w:r>
        <w:r w:rsidRPr="0046504D">
          <w:rPr>
            <w:rFonts w:ascii="Franklin Gothic Medium" w:hAnsi="Franklin Gothic Medium"/>
            <w:i w:val="0"/>
            <w:noProof w:val="0"/>
            <w:color w:val="053572" w:themeColor="text2"/>
            <w:sz w:val="22"/>
            <w:szCs w:val="22"/>
          </w:rPr>
          <w:fldChar w:fldCharType="begin"/>
        </w:r>
        <w:r w:rsidRPr="0046504D">
          <w:rPr>
            <w:rFonts w:ascii="Franklin Gothic Medium" w:hAnsi="Franklin Gothic Medium"/>
            <w:i w:val="0"/>
            <w:noProof w:val="0"/>
            <w:color w:val="053572" w:themeColor="text2"/>
            <w:sz w:val="22"/>
            <w:szCs w:val="22"/>
          </w:rPr>
          <w:instrText xml:space="preserve"> PAGE   \* MERGEFORMAT </w:instrText>
        </w:r>
        <w:r w:rsidRPr="0046504D">
          <w:rPr>
            <w:rFonts w:ascii="Franklin Gothic Medium" w:hAnsi="Franklin Gothic Medium"/>
            <w:i w:val="0"/>
            <w:noProof w:val="0"/>
            <w:color w:val="053572" w:themeColor="text2"/>
            <w:sz w:val="22"/>
            <w:szCs w:val="22"/>
          </w:rPr>
          <w:fldChar w:fldCharType="separate"/>
        </w:r>
        <w:r>
          <w:rPr>
            <w:rFonts w:ascii="Franklin Gothic Medium" w:hAnsi="Franklin Gothic Medium"/>
            <w:i w:val="0"/>
            <w:color w:val="053572" w:themeColor="text2"/>
            <w:sz w:val="22"/>
            <w:szCs w:val="22"/>
          </w:rPr>
          <w:t>iv</w:t>
        </w:r>
        <w:r w:rsidRPr="0046504D">
          <w:rPr>
            <w:rFonts w:ascii="Franklin Gothic Medium" w:hAnsi="Franklin Gothic Medium"/>
            <w:i w:val="0"/>
            <w:color w:val="053572" w:themeColor="text2"/>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Medium" w:hAnsi="Franklin Gothic Medium"/>
        <w:i w:val="0"/>
        <w:noProof w:val="0"/>
        <w:color w:val="053572" w:themeColor="text2"/>
        <w:sz w:val="22"/>
        <w:szCs w:val="22"/>
      </w:rPr>
      <w:id w:val="-1365976859"/>
      <w:docPartObj>
        <w:docPartGallery w:val="Page Numbers (Bottom of Page)"/>
        <w:docPartUnique/>
      </w:docPartObj>
    </w:sdtPr>
    <w:sdtEndPr>
      <w:rPr>
        <w:noProof/>
      </w:rPr>
    </w:sdtEndPr>
    <w:sdtContent>
      <w:p w14:paraId="18772772" w14:textId="02AE61BA" w:rsidR="00707B4B" w:rsidRPr="007E41B4" w:rsidRDefault="00707B4B" w:rsidP="007E41B4">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r w:rsidRPr="00B7585A">
          <w:rPr>
            <w:rStyle w:val="Hyperlink"/>
            <w:rFonts w:ascii="Franklin Gothic Medium" w:hAnsi="Franklin Gothic Medium"/>
            <w:i w:val="0"/>
            <w:color w:val="1295D8"/>
            <w:sz w:val="22"/>
            <w:szCs w:val="22"/>
            <w:u w:val="none"/>
          </w:rPr>
          <w:t>opiniondynamics.com</w:t>
        </w:r>
        <w:r>
          <w:rPr>
            <w:rStyle w:val="Hyperlink"/>
            <w:color w:val="1295D8"/>
            <w:u w:val="none"/>
          </w:rPr>
          <w:tab/>
        </w:r>
        <w:r>
          <w:rPr>
            <w:rFonts w:ascii="Franklin Gothic Medium" w:hAnsi="Franklin Gothic Medium"/>
            <w:i w:val="0"/>
            <w:noProof w:val="0"/>
            <w:color w:val="053572" w:themeColor="text2"/>
            <w:sz w:val="22"/>
            <w:szCs w:val="22"/>
          </w:rPr>
          <w:t xml:space="preserve"> Page </w:t>
        </w:r>
        <w:r>
          <w:rPr>
            <w:rFonts w:ascii="Franklin Gothic Medium" w:hAnsi="Franklin Gothic Medium"/>
            <w:i w:val="0"/>
            <w:noProof w:val="0"/>
            <w:color w:val="053572" w:themeColor="text2"/>
            <w:sz w:val="22"/>
            <w:szCs w:val="22"/>
          </w:rPr>
          <w:fldChar w:fldCharType="begin"/>
        </w:r>
        <w:r>
          <w:rPr>
            <w:rFonts w:ascii="Franklin Gothic Medium" w:hAnsi="Franklin Gothic Medium"/>
            <w:i w:val="0"/>
            <w:noProof w:val="0"/>
            <w:color w:val="053572" w:themeColor="text2"/>
            <w:sz w:val="22"/>
            <w:szCs w:val="22"/>
          </w:rPr>
          <w:instrText xml:space="preserve"> PAGE  \* Arabic  \* MERGEFORMAT </w:instrText>
        </w:r>
        <w:r>
          <w:rPr>
            <w:rFonts w:ascii="Franklin Gothic Medium" w:hAnsi="Franklin Gothic Medium"/>
            <w:i w:val="0"/>
            <w:noProof w:val="0"/>
            <w:color w:val="053572" w:themeColor="text2"/>
            <w:sz w:val="22"/>
            <w:szCs w:val="22"/>
          </w:rPr>
          <w:fldChar w:fldCharType="separate"/>
        </w:r>
        <w:r>
          <w:rPr>
            <w:rFonts w:ascii="Franklin Gothic Medium" w:hAnsi="Franklin Gothic Medium"/>
            <w:i w:val="0"/>
            <w:color w:val="053572" w:themeColor="text2"/>
            <w:sz w:val="22"/>
            <w:szCs w:val="22"/>
          </w:rPr>
          <w:t>20</w:t>
        </w:r>
        <w:r>
          <w:rPr>
            <w:rFonts w:ascii="Franklin Gothic Medium" w:hAnsi="Franklin Gothic Medium"/>
            <w:i w:val="0"/>
            <w:noProof w:val="0"/>
            <w:color w:val="053572" w:themeColor="text2"/>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2DB99" w14:textId="1773739F" w:rsidR="00707B4B" w:rsidRPr="007E41B4" w:rsidRDefault="00707B4B" w:rsidP="007E41B4">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CE53" w14:textId="77777777" w:rsidR="00707B4B" w:rsidRPr="007E41B4" w:rsidRDefault="00707B4B" w:rsidP="007E41B4">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7A5E5" w14:textId="77777777" w:rsidR="00707B4B" w:rsidRDefault="00707B4B">
      <w:r>
        <w:separator/>
      </w:r>
    </w:p>
  </w:footnote>
  <w:footnote w:type="continuationSeparator" w:id="0">
    <w:p w14:paraId="69A6222B" w14:textId="77777777" w:rsidR="00707B4B" w:rsidRDefault="00707B4B">
      <w:r>
        <w:continuationSeparator/>
      </w:r>
    </w:p>
  </w:footnote>
  <w:footnote w:id="1">
    <w:p w14:paraId="7E38D498" w14:textId="2F81DD04" w:rsidR="00707B4B" w:rsidRDefault="00707B4B">
      <w:pPr>
        <w:pStyle w:val="FootnoteText"/>
      </w:pPr>
      <w:r>
        <w:rPr>
          <w:rStyle w:val="FootnoteReference"/>
        </w:rPr>
        <w:footnoteRef/>
      </w:r>
      <w:r>
        <w:t xml:space="preserve"> Gross savings are t</w:t>
      </w:r>
      <w:r w:rsidRPr="00A307C6">
        <w:t>he change in energy consumption and/or demand that results directly from program-related actions taken by participants in an efficiency program, regardless of why they participated</w:t>
      </w:r>
      <w:r>
        <w:t>. Net savings are</w:t>
      </w:r>
      <w:r w:rsidRPr="00A307C6">
        <w:t xml:space="preserve"> </w:t>
      </w:r>
      <w:r>
        <w:t>t</w:t>
      </w:r>
      <w:r w:rsidRPr="00A307C6">
        <w:t>he change in energy consumption and/or demand that is attributable to a particular energy</w:t>
      </w:r>
      <w:r>
        <w:t xml:space="preserve"> </w:t>
      </w:r>
      <w:r w:rsidRPr="00A307C6">
        <w:t>efficiency program</w:t>
      </w:r>
      <w:r>
        <w:t xml:space="preserve"> (SEE Action Energy Efficiency Program Impact Evaluation Guide).</w:t>
      </w:r>
    </w:p>
  </w:footnote>
  <w:footnote w:id="2">
    <w:p w14:paraId="6CF689D0" w14:textId="77777777" w:rsidR="00707B4B" w:rsidRDefault="00707B4B" w:rsidP="001823F2">
      <w:pPr>
        <w:pStyle w:val="ODCBodyText"/>
        <w:spacing w:before="0" w:after="0"/>
      </w:pPr>
      <w:r>
        <w:rPr>
          <w:rStyle w:val="FootnoteReference"/>
        </w:rPr>
        <w:footnoteRef/>
      </w:r>
      <w:r>
        <w:t xml:space="preserve"> </w:t>
      </w:r>
      <w:r w:rsidRPr="003918CA">
        <w:rPr>
          <w:sz w:val="18"/>
          <w:szCs w:val="20"/>
        </w:rPr>
        <w:t xml:space="preserve">Ameren Illinois identified multiple technology upgrades required </w:t>
      </w:r>
      <w:r>
        <w:rPr>
          <w:sz w:val="18"/>
          <w:szCs w:val="20"/>
        </w:rPr>
        <w:t xml:space="preserve">to successfully </w:t>
      </w:r>
      <w:r w:rsidRPr="003918CA">
        <w:rPr>
          <w:sz w:val="18"/>
          <w:szCs w:val="20"/>
        </w:rPr>
        <w:t>deploy a VO program. These technology upgrades have hardware, software and communication components.</w:t>
      </w:r>
      <w:r>
        <w:t xml:space="preserve"> </w:t>
      </w:r>
    </w:p>
  </w:footnote>
  <w:footnote w:id="3">
    <w:p w14:paraId="4911D5CA" w14:textId="77777777" w:rsidR="00707B4B" w:rsidRDefault="00707B4B" w:rsidP="001823F2">
      <w:pPr>
        <w:pStyle w:val="ODCBodyText"/>
        <w:spacing w:before="0" w:after="0"/>
      </w:pPr>
      <w:r>
        <w:rPr>
          <w:rStyle w:val="FootnoteReference"/>
        </w:rPr>
        <w:footnoteRef/>
      </w:r>
      <w:r>
        <w:t xml:space="preserve"> </w:t>
      </w:r>
      <w:r w:rsidRPr="0071173F">
        <w:rPr>
          <w:sz w:val="18"/>
          <w:szCs w:val="20"/>
        </w:rPr>
        <w:t>AIC staff used voltage level as the primary criteria for establishing the initial pool of potential candidate circuits</w:t>
      </w:r>
      <w:r>
        <w:rPr>
          <w:sz w:val="18"/>
          <w:szCs w:val="20"/>
        </w:rPr>
        <w:t xml:space="preserve"> and excluded </w:t>
      </w:r>
      <w:r w:rsidRPr="0071173F">
        <w:rPr>
          <w:sz w:val="18"/>
          <w:szCs w:val="20"/>
        </w:rPr>
        <w:t>circuits served by voltage levels &gt; 20 kV or that serve only exempt customers</w:t>
      </w:r>
      <w:r>
        <w:rPr>
          <w:sz w:val="18"/>
          <w:szCs w:val="20"/>
        </w:rPr>
        <w:t xml:space="preserve"> (</w:t>
      </w:r>
      <w:r w:rsidRPr="0071173F">
        <w:rPr>
          <w:sz w:val="18"/>
          <w:szCs w:val="20"/>
        </w:rPr>
        <w:t>a customer whose highest 15-minute demand is at or greater than 10 MW</w:t>
      </w:r>
      <w:r>
        <w:rPr>
          <w:sz w:val="18"/>
          <w:szCs w:val="20"/>
        </w:rPr>
        <w:t>)</w:t>
      </w:r>
      <w:r w:rsidRPr="0071173F">
        <w:rPr>
          <w:sz w:val="18"/>
          <w:szCs w:val="20"/>
        </w:rPr>
        <w:t>.</w:t>
      </w:r>
    </w:p>
  </w:footnote>
  <w:footnote w:id="4">
    <w:p w14:paraId="4C438F82" w14:textId="77777777" w:rsidR="00707B4B" w:rsidRDefault="00707B4B" w:rsidP="001823F2">
      <w:pPr>
        <w:pStyle w:val="FootnoteText"/>
        <w:spacing w:before="0"/>
      </w:pPr>
      <w:r>
        <w:rPr>
          <w:rStyle w:val="FootnoteReference"/>
        </w:rPr>
        <w:footnoteRef/>
      </w:r>
      <w:r>
        <w:t xml:space="preserve"> The number of circuits planned for VO deployment was determined based on </w:t>
      </w:r>
      <w:r w:rsidRPr="004853E0">
        <w:t>c</w:t>
      </w:r>
      <w:r>
        <w:t xml:space="preserve">alculated assumptions, industry </w:t>
      </w:r>
      <w:r w:rsidRPr="004853E0">
        <w:t xml:space="preserve">results, and past </w:t>
      </w:r>
      <w:r>
        <w:t xml:space="preserve">AIC </w:t>
      </w:r>
      <w:r w:rsidRPr="004853E0">
        <w:t xml:space="preserve">VO pilot results. </w:t>
      </w:r>
      <w:r>
        <w:t>The a</w:t>
      </w:r>
      <w:r w:rsidRPr="004853E0">
        <w:t>ctual number of feeders</w:t>
      </w:r>
      <w:r>
        <w:t xml:space="preserve"> with VO could increase based on deployment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C82E" w14:textId="77777777" w:rsidR="00707B4B" w:rsidRDefault="00707B4B" w:rsidP="004D4025">
    <w:pPr>
      <w:pStyle w:val="Header"/>
      <w:ind w:left="-720"/>
    </w:pPr>
    <w:r w:rsidRPr="00932CAE">
      <w:drawing>
        <wp:inline distT="0" distB="0" distL="0" distR="0" wp14:anchorId="3D2E6CC3" wp14:editId="390F5B31">
          <wp:extent cx="2414016" cy="1106424"/>
          <wp:effectExtent l="0" t="0" r="5715" b="0"/>
          <wp:docPr id="8"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a:blip r:embed="rId1" cstate="print"/>
                  <a:srcRect/>
                  <a:stretch>
                    <a:fillRect/>
                  </a:stretch>
                </pic:blipFill>
                <pic:spPr bwMode="auto">
                  <a:xfrm>
                    <a:off x="0" y="0"/>
                    <a:ext cx="2414016" cy="1106424"/>
                  </a:xfrm>
                  <a:prstGeom prst="rect">
                    <a:avLst/>
                  </a:prstGeom>
                  <a:noFill/>
                  <a:ln w="9525">
                    <a:noFill/>
                    <a:miter lim="800000"/>
                    <a:headEnd/>
                    <a:tailEnd/>
                  </a:ln>
                </pic:spPr>
              </pic:pic>
            </a:graphicData>
          </a:graphic>
        </wp:inline>
      </w:drawing>
    </w:r>
    <w:r>
      <mc:AlternateContent>
        <mc:Choice Requires="wps">
          <w:drawing>
            <wp:anchor distT="0" distB="0" distL="114300" distR="114300" simplePos="0" relativeHeight="251751936" behindDoc="0" locked="0" layoutInCell="1" allowOverlap="1" wp14:anchorId="1D2A454A" wp14:editId="79B0DD3B">
              <wp:simplePos x="0" y="0"/>
              <wp:positionH relativeFrom="page">
                <wp:posOffset>5715000</wp:posOffset>
              </wp:positionH>
              <wp:positionV relativeFrom="page">
                <wp:posOffset>466090</wp:posOffset>
              </wp:positionV>
              <wp:extent cx="1298448" cy="1005840"/>
              <wp:effectExtent l="0" t="0" r="0" b="381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448"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EECBA" w14:textId="77777777" w:rsidR="00707B4B" w:rsidRPr="00DD2B0E" w:rsidRDefault="00707B4B" w:rsidP="004D4025">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65FC4DFF" w14:textId="77777777" w:rsidR="00707B4B" w:rsidRPr="00DD2B0E" w:rsidRDefault="00707B4B" w:rsidP="004D4025">
                          <w:pPr>
                            <w:spacing w:before="0" w:after="0"/>
                            <w:rPr>
                              <w:sz w:val="16"/>
                              <w:szCs w:val="16"/>
                            </w:rPr>
                          </w:pPr>
                        </w:p>
                        <w:p w14:paraId="1B4912D8" w14:textId="77777777" w:rsidR="00707B4B" w:rsidRPr="004D1492" w:rsidRDefault="00707B4B" w:rsidP="004D4025">
                          <w:pPr>
                            <w:spacing w:before="0" w:after="0"/>
                            <w:rPr>
                              <w:color w:val="053572"/>
                              <w:sz w:val="16"/>
                              <w:szCs w:val="16"/>
                            </w:rPr>
                          </w:pPr>
                          <w:r w:rsidRPr="004D1492">
                            <w:rPr>
                              <w:color w:val="053572"/>
                              <w:sz w:val="16"/>
                              <w:szCs w:val="16"/>
                            </w:rPr>
                            <w:t xml:space="preserve">617 492 1400 </w:t>
                          </w:r>
                          <w:r w:rsidRPr="00507551">
                            <w:rPr>
                              <w:rStyle w:val="ODCtelChar"/>
                            </w:rPr>
                            <w:t>tel</w:t>
                          </w:r>
                        </w:p>
                        <w:p w14:paraId="5D64AED3" w14:textId="77777777" w:rsidR="00707B4B" w:rsidRPr="004D1492" w:rsidRDefault="00707B4B" w:rsidP="004D4025">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7A93C3FE" w14:textId="77777777" w:rsidR="00707B4B" w:rsidRPr="00DD2B0E" w:rsidRDefault="00707B4B" w:rsidP="004D4025">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11D2E455" w14:textId="77777777" w:rsidR="00707B4B" w:rsidRPr="00DD2B0E" w:rsidRDefault="00707B4B" w:rsidP="004D4025">
                          <w:pPr>
                            <w:spacing w:before="0" w:after="0"/>
                            <w:rPr>
                              <w:sz w:val="16"/>
                              <w:szCs w:val="16"/>
                            </w:rPr>
                          </w:pPr>
                        </w:p>
                        <w:p w14:paraId="628E4A7F" w14:textId="77777777" w:rsidR="00707B4B" w:rsidRPr="004D1492" w:rsidRDefault="00707B4B" w:rsidP="004D4025">
                          <w:pPr>
                            <w:spacing w:before="0" w:after="0"/>
                            <w:rPr>
                              <w:color w:val="053572"/>
                              <w:sz w:val="16"/>
                              <w:szCs w:val="16"/>
                            </w:rPr>
                          </w:pPr>
                          <w:r w:rsidRPr="004D1492">
                            <w:rPr>
                              <w:color w:val="053572"/>
                              <w:sz w:val="16"/>
                              <w:szCs w:val="16"/>
                            </w:rPr>
                            <w:t>1000 Winter St</w:t>
                          </w:r>
                        </w:p>
                        <w:p w14:paraId="07CCDE21" w14:textId="77777777" w:rsidR="00707B4B" w:rsidRPr="004D1492" w:rsidRDefault="00707B4B" w:rsidP="004D4025">
                          <w:pPr>
                            <w:spacing w:before="0" w:after="0"/>
                            <w:rPr>
                              <w:color w:val="053572"/>
                              <w:sz w:val="16"/>
                              <w:szCs w:val="16"/>
                            </w:rPr>
                          </w:pPr>
                          <w:r w:rsidRPr="004D1492">
                            <w:rPr>
                              <w:color w:val="053572"/>
                              <w:sz w:val="16"/>
                              <w:szCs w:val="16"/>
                            </w:rPr>
                            <w:t>Waltham, MA 02451</w:t>
                          </w:r>
                        </w:p>
                        <w:p w14:paraId="5972525B" w14:textId="77777777" w:rsidR="00707B4B" w:rsidRPr="00DD2B0E" w:rsidRDefault="00707B4B" w:rsidP="004D4025">
                          <w:pPr>
                            <w:spacing w:before="0" w:after="0"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D2A454A" id="_x0000_t202" coordsize="21600,21600" o:spt="202" path="m,l,21600r21600,l21600,xe">
              <v:stroke joinstyle="miter"/>
              <v:path gradientshapeok="t" o:connecttype="rect"/>
            </v:shapetype>
            <v:shape id="Text Box 1" o:spid="_x0000_s1027" type="#_x0000_t202" style="position:absolute;left:0;text-align:left;margin-left:450pt;margin-top:36.7pt;width:102.25pt;height:79.2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" stroked="f">
              <v:textbox>
                <w:txbxContent>
                  <w:p w14:paraId="21EEECBA" w14:textId="77777777" w:rsidR="00707B4B" w:rsidRPr="00DD2B0E" w:rsidRDefault="00707B4B" w:rsidP="004D4025">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65FC4DFF" w14:textId="77777777" w:rsidR="00707B4B" w:rsidRPr="00DD2B0E" w:rsidRDefault="00707B4B" w:rsidP="004D4025">
                    <w:pPr>
                      <w:spacing w:before="0" w:after="0"/>
                      <w:rPr>
                        <w:sz w:val="16"/>
                        <w:szCs w:val="16"/>
                      </w:rPr>
                    </w:pPr>
                  </w:p>
                  <w:p w14:paraId="1B4912D8" w14:textId="77777777" w:rsidR="00707B4B" w:rsidRPr="004D1492" w:rsidRDefault="00707B4B" w:rsidP="004D4025">
                    <w:pPr>
                      <w:spacing w:before="0" w:after="0"/>
                      <w:rPr>
                        <w:color w:val="053572"/>
                        <w:sz w:val="16"/>
                        <w:szCs w:val="16"/>
                      </w:rPr>
                    </w:pPr>
                    <w:r w:rsidRPr="004D1492">
                      <w:rPr>
                        <w:color w:val="053572"/>
                        <w:sz w:val="16"/>
                        <w:szCs w:val="16"/>
                      </w:rPr>
                      <w:t xml:space="preserve">617 492 1400 </w:t>
                    </w:r>
                    <w:r w:rsidRPr="00507551">
                      <w:rPr>
                        <w:rStyle w:val="ODCtelChar"/>
                      </w:rPr>
                      <w:t>tel</w:t>
                    </w:r>
                  </w:p>
                  <w:p w14:paraId="5D64AED3" w14:textId="77777777" w:rsidR="00707B4B" w:rsidRPr="004D1492" w:rsidRDefault="00707B4B" w:rsidP="004D4025">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7A93C3FE" w14:textId="77777777" w:rsidR="00707B4B" w:rsidRPr="00DD2B0E" w:rsidRDefault="00707B4B" w:rsidP="004D4025">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11D2E455" w14:textId="77777777" w:rsidR="00707B4B" w:rsidRPr="00DD2B0E" w:rsidRDefault="00707B4B" w:rsidP="004D4025">
                    <w:pPr>
                      <w:spacing w:before="0" w:after="0"/>
                      <w:rPr>
                        <w:sz w:val="16"/>
                        <w:szCs w:val="16"/>
                      </w:rPr>
                    </w:pPr>
                  </w:p>
                  <w:p w14:paraId="628E4A7F" w14:textId="77777777" w:rsidR="00707B4B" w:rsidRPr="004D1492" w:rsidRDefault="00707B4B" w:rsidP="004D4025">
                    <w:pPr>
                      <w:spacing w:before="0" w:after="0"/>
                      <w:rPr>
                        <w:color w:val="053572"/>
                        <w:sz w:val="16"/>
                        <w:szCs w:val="16"/>
                      </w:rPr>
                    </w:pPr>
                    <w:r w:rsidRPr="004D1492">
                      <w:rPr>
                        <w:color w:val="053572"/>
                        <w:sz w:val="16"/>
                        <w:szCs w:val="16"/>
                      </w:rPr>
                      <w:t>1000 Winter St</w:t>
                    </w:r>
                  </w:p>
                  <w:p w14:paraId="07CCDE21" w14:textId="77777777" w:rsidR="00707B4B" w:rsidRPr="004D1492" w:rsidRDefault="00707B4B" w:rsidP="004D4025">
                    <w:pPr>
                      <w:spacing w:before="0" w:after="0"/>
                      <w:rPr>
                        <w:color w:val="053572"/>
                        <w:sz w:val="16"/>
                        <w:szCs w:val="16"/>
                      </w:rPr>
                    </w:pPr>
                    <w:r w:rsidRPr="004D1492">
                      <w:rPr>
                        <w:color w:val="053572"/>
                        <w:sz w:val="16"/>
                        <w:szCs w:val="16"/>
                      </w:rPr>
                      <w:t>Waltham, MA 02451</w:t>
                    </w:r>
                  </w:p>
                  <w:p w14:paraId="5972525B" w14:textId="77777777" w:rsidR="00707B4B" w:rsidRPr="00DD2B0E" w:rsidRDefault="00707B4B" w:rsidP="004D4025">
                    <w:pPr>
                      <w:spacing w:before="0" w:after="0" w:line="0" w:lineRule="atLeast"/>
                      <w:rPr>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1401" w14:textId="77777777" w:rsidR="00707B4B" w:rsidRPr="00CB1124" w:rsidRDefault="00707B4B" w:rsidP="00CB1124">
    <w:pPr>
      <w:pStyle w:val="Header"/>
      <w:ind w:left="-720"/>
    </w:pPr>
    <w:r w:rsidRPr="00932CAE">
      <w:drawing>
        <wp:inline distT="0" distB="0" distL="0" distR="0" wp14:anchorId="70FF720A" wp14:editId="12C6CF77">
          <wp:extent cx="2414016" cy="1106424"/>
          <wp:effectExtent l="0" t="0" r="5715" b="0"/>
          <wp:docPr id="6"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a:blip r:embed="rId1" cstate="print"/>
                  <a:srcRect/>
                  <a:stretch>
                    <a:fillRect/>
                  </a:stretch>
                </pic:blipFill>
                <pic:spPr bwMode="auto">
                  <a:xfrm>
                    <a:off x="0" y="0"/>
                    <a:ext cx="2414016" cy="1106424"/>
                  </a:xfrm>
                  <a:prstGeom prst="rect">
                    <a:avLst/>
                  </a:prstGeom>
                  <a:noFill/>
                  <a:ln w="9525">
                    <a:noFill/>
                    <a:miter lim="800000"/>
                    <a:headEnd/>
                    <a:tailEnd/>
                  </a:ln>
                </pic:spPr>
              </pic:pic>
            </a:graphicData>
          </a:graphic>
        </wp:inline>
      </w:drawing>
    </w:r>
    <w:r>
      <mc:AlternateContent>
        <mc:Choice Requires="wps">
          <w:drawing>
            <wp:anchor distT="0" distB="0" distL="114300" distR="114300" simplePos="0" relativeHeight="251743744" behindDoc="0" locked="0" layoutInCell="1" allowOverlap="1" wp14:anchorId="7011B602" wp14:editId="72806A40">
              <wp:simplePos x="0" y="0"/>
              <wp:positionH relativeFrom="page">
                <wp:posOffset>5715000</wp:posOffset>
              </wp:positionH>
              <wp:positionV relativeFrom="page">
                <wp:posOffset>466090</wp:posOffset>
              </wp:positionV>
              <wp:extent cx="1298448" cy="100584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448"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E31CC" w14:textId="77777777" w:rsidR="00707B4B" w:rsidRPr="00DD2B0E" w:rsidRDefault="00707B4B" w:rsidP="00CB1124">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22394191" w14:textId="77777777" w:rsidR="00707B4B" w:rsidRPr="00DD2B0E" w:rsidRDefault="00707B4B" w:rsidP="00CB1124">
                          <w:pPr>
                            <w:spacing w:before="0" w:after="0"/>
                            <w:rPr>
                              <w:sz w:val="16"/>
                              <w:szCs w:val="16"/>
                            </w:rPr>
                          </w:pPr>
                        </w:p>
                        <w:p w14:paraId="09952515" w14:textId="77777777" w:rsidR="00707B4B" w:rsidRPr="004D1492" w:rsidRDefault="00707B4B" w:rsidP="00CB1124">
                          <w:pPr>
                            <w:spacing w:before="0" w:after="0"/>
                            <w:rPr>
                              <w:color w:val="053572"/>
                              <w:sz w:val="16"/>
                              <w:szCs w:val="16"/>
                            </w:rPr>
                          </w:pPr>
                          <w:r w:rsidRPr="004D1492">
                            <w:rPr>
                              <w:color w:val="053572"/>
                              <w:sz w:val="16"/>
                              <w:szCs w:val="16"/>
                            </w:rPr>
                            <w:t xml:space="preserve">617 492 1400 </w:t>
                          </w:r>
                          <w:r w:rsidRPr="00507551">
                            <w:rPr>
                              <w:rStyle w:val="ODCtelChar"/>
                            </w:rPr>
                            <w:t>tel</w:t>
                          </w:r>
                        </w:p>
                        <w:p w14:paraId="39BC3C18" w14:textId="77777777" w:rsidR="00707B4B" w:rsidRPr="004D1492" w:rsidRDefault="00707B4B" w:rsidP="00CB1124">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055A37AB" w14:textId="77777777" w:rsidR="00707B4B" w:rsidRPr="00DD2B0E" w:rsidRDefault="00707B4B" w:rsidP="00CB1124">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71165184" w14:textId="77777777" w:rsidR="00707B4B" w:rsidRPr="00DD2B0E" w:rsidRDefault="00707B4B" w:rsidP="00CB1124">
                          <w:pPr>
                            <w:spacing w:before="0" w:after="0"/>
                            <w:rPr>
                              <w:sz w:val="16"/>
                              <w:szCs w:val="16"/>
                            </w:rPr>
                          </w:pPr>
                        </w:p>
                        <w:p w14:paraId="00423037" w14:textId="77777777" w:rsidR="00707B4B" w:rsidRPr="004D1492" w:rsidRDefault="00707B4B" w:rsidP="00CB1124">
                          <w:pPr>
                            <w:spacing w:before="0" w:after="0"/>
                            <w:rPr>
                              <w:color w:val="053572"/>
                              <w:sz w:val="16"/>
                              <w:szCs w:val="16"/>
                            </w:rPr>
                          </w:pPr>
                          <w:r w:rsidRPr="004D1492">
                            <w:rPr>
                              <w:color w:val="053572"/>
                              <w:sz w:val="16"/>
                              <w:szCs w:val="16"/>
                            </w:rPr>
                            <w:t>1000 Winter St</w:t>
                          </w:r>
                        </w:p>
                        <w:p w14:paraId="064059D1" w14:textId="77777777" w:rsidR="00707B4B" w:rsidRPr="004D1492" w:rsidRDefault="00707B4B" w:rsidP="00CB1124">
                          <w:pPr>
                            <w:spacing w:before="0" w:after="0"/>
                            <w:rPr>
                              <w:color w:val="053572"/>
                              <w:sz w:val="16"/>
                              <w:szCs w:val="16"/>
                            </w:rPr>
                          </w:pPr>
                          <w:r w:rsidRPr="004D1492">
                            <w:rPr>
                              <w:color w:val="053572"/>
                              <w:sz w:val="16"/>
                              <w:szCs w:val="16"/>
                            </w:rPr>
                            <w:t>Waltham, MA 02451</w:t>
                          </w:r>
                        </w:p>
                        <w:p w14:paraId="6DC2645E" w14:textId="77777777" w:rsidR="00707B4B" w:rsidRPr="00DD2B0E" w:rsidRDefault="00707B4B" w:rsidP="00CB1124">
                          <w:pPr>
                            <w:spacing w:before="0" w:after="0"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011B602" id="_x0000_t202" coordsize="21600,21600" o:spt="202" path="m,l,21600r21600,l21600,xe">
              <v:stroke joinstyle="miter"/>
              <v:path gradientshapeok="t" o:connecttype="rect"/>
            </v:shapetype>
            <v:shape id="_x0000_s1029" type="#_x0000_t202" style="position:absolute;left:0;text-align:left;margin-left:450pt;margin-top:36.7pt;width:102.25pt;height:79.2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" stroked="f">
              <v:textbox>
                <w:txbxContent>
                  <w:p w14:paraId="572E31CC" w14:textId="77777777" w:rsidR="00707B4B" w:rsidRPr="00DD2B0E" w:rsidRDefault="00707B4B" w:rsidP="00CB1124">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22394191" w14:textId="77777777" w:rsidR="00707B4B" w:rsidRPr="00DD2B0E" w:rsidRDefault="00707B4B" w:rsidP="00CB1124">
                    <w:pPr>
                      <w:spacing w:before="0" w:after="0"/>
                      <w:rPr>
                        <w:sz w:val="16"/>
                        <w:szCs w:val="16"/>
                      </w:rPr>
                    </w:pPr>
                  </w:p>
                  <w:p w14:paraId="09952515" w14:textId="77777777" w:rsidR="00707B4B" w:rsidRPr="004D1492" w:rsidRDefault="00707B4B" w:rsidP="00CB1124">
                    <w:pPr>
                      <w:spacing w:before="0" w:after="0"/>
                      <w:rPr>
                        <w:color w:val="053572"/>
                        <w:sz w:val="16"/>
                        <w:szCs w:val="16"/>
                      </w:rPr>
                    </w:pPr>
                    <w:r w:rsidRPr="004D1492">
                      <w:rPr>
                        <w:color w:val="053572"/>
                        <w:sz w:val="16"/>
                        <w:szCs w:val="16"/>
                      </w:rPr>
                      <w:t xml:space="preserve">617 492 1400 </w:t>
                    </w:r>
                    <w:r w:rsidRPr="00507551">
                      <w:rPr>
                        <w:rStyle w:val="ODCtelChar"/>
                      </w:rPr>
                      <w:t>tel</w:t>
                    </w:r>
                  </w:p>
                  <w:p w14:paraId="39BC3C18" w14:textId="77777777" w:rsidR="00707B4B" w:rsidRPr="004D1492" w:rsidRDefault="00707B4B" w:rsidP="00CB1124">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055A37AB" w14:textId="77777777" w:rsidR="00707B4B" w:rsidRPr="00DD2B0E" w:rsidRDefault="00707B4B" w:rsidP="00CB1124">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71165184" w14:textId="77777777" w:rsidR="00707B4B" w:rsidRPr="00DD2B0E" w:rsidRDefault="00707B4B" w:rsidP="00CB1124">
                    <w:pPr>
                      <w:spacing w:before="0" w:after="0"/>
                      <w:rPr>
                        <w:sz w:val="16"/>
                        <w:szCs w:val="16"/>
                      </w:rPr>
                    </w:pPr>
                  </w:p>
                  <w:p w14:paraId="00423037" w14:textId="77777777" w:rsidR="00707B4B" w:rsidRPr="004D1492" w:rsidRDefault="00707B4B" w:rsidP="00CB1124">
                    <w:pPr>
                      <w:spacing w:before="0" w:after="0"/>
                      <w:rPr>
                        <w:color w:val="053572"/>
                        <w:sz w:val="16"/>
                        <w:szCs w:val="16"/>
                      </w:rPr>
                    </w:pPr>
                    <w:r w:rsidRPr="004D1492">
                      <w:rPr>
                        <w:color w:val="053572"/>
                        <w:sz w:val="16"/>
                        <w:szCs w:val="16"/>
                      </w:rPr>
                      <w:t>1000 Winter St</w:t>
                    </w:r>
                  </w:p>
                  <w:p w14:paraId="064059D1" w14:textId="77777777" w:rsidR="00707B4B" w:rsidRPr="004D1492" w:rsidRDefault="00707B4B" w:rsidP="00CB1124">
                    <w:pPr>
                      <w:spacing w:before="0" w:after="0"/>
                      <w:rPr>
                        <w:color w:val="053572"/>
                        <w:sz w:val="16"/>
                        <w:szCs w:val="16"/>
                      </w:rPr>
                    </w:pPr>
                    <w:r w:rsidRPr="004D1492">
                      <w:rPr>
                        <w:color w:val="053572"/>
                        <w:sz w:val="16"/>
                        <w:szCs w:val="16"/>
                      </w:rPr>
                      <w:t>Waltham, MA 02451</w:t>
                    </w:r>
                  </w:p>
                  <w:p w14:paraId="6DC2645E" w14:textId="77777777" w:rsidR="00707B4B" w:rsidRPr="00DD2B0E" w:rsidRDefault="00707B4B" w:rsidP="00CB1124">
                    <w:pPr>
                      <w:spacing w:before="0" w:after="0" w:line="0" w:lineRule="atLeast"/>
                      <w:rPr>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385A5" w14:textId="77777777" w:rsidR="00707B4B" w:rsidRDefault="00707B4B" w:rsidP="007E41B4">
    <w:pPr>
      <w:pStyle w:val="Header"/>
    </w:pPr>
    <w:r w:rsidRPr="00932CAE">
      <w:drawing>
        <wp:anchor distT="0" distB="0" distL="114300" distR="114300" simplePos="0" relativeHeight="251749888" behindDoc="0" locked="0" layoutInCell="1" allowOverlap="1" wp14:anchorId="4D7F6033" wp14:editId="2A9A5527">
          <wp:simplePos x="0" y="0"/>
          <wp:positionH relativeFrom="column">
            <wp:posOffset>-219710</wp:posOffset>
          </wp:positionH>
          <wp:positionV relativeFrom="page">
            <wp:posOffset>585470</wp:posOffset>
          </wp:positionV>
          <wp:extent cx="1170432" cy="374904"/>
          <wp:effectExtent l="0" t="0" r="0" b="6350"/>
          <wp:wrapNone/>
          <wp:docPr id="17"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16" t="18026" r="5644" b="20505"/>
                  <a:stretch/>
                </pic:blipFill>
                <pic:spPr bwMode="auto">
                  <a:xfrm>
                    <a:off x="0" y="0"/>
                    <a:ext cx="1170432" cy="3749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73E1" w14:textId="352AA9A5" w:rsidR="00707B4B" w:rsidRPr="00C3234F" w:rsidRDefault="00707B4B" w:rsidP="007E41B4">
    <w:pPr>
      <w:pStyle w:val="Header"/>
      <w:rPr>
        <w:rFonts w:ascii="Franklin Gothic Book" w:hAnsi="Franklin Gothic Book"/>
        <w:sz w:val="18"/>
      </w:rPr>
    </w:pPr>
    <w:r w:rsidRPr="00C3234F">
      <w:rPr>
        <w:rFonts w:ascii="Franklin Gothic Book" w:hAnsi="Franklin Gothic Book"/>
        <w:sz w:val="18"/>
      </w:rPr>
      <w:fldChar w:fldCharType="begin"/>
    </w:r>
    <w:r w:rsidRPr="00C3234F">
      <w:rPr>
        <w:rFonts w:ascii="Franklin Gothic Book" w:hAnsi="Franklin Gothic Book"/>
        <w:sz w:val="18"/>
      </w:rPr>
      <w:instrText xml:space="preserve"> STYLEREF  "Heading 1" </w:instrText>
    </w:r>
    <w:r w:rsidRPr="00C3234F">
      <w:rPr>
        <w:rFonts w:ascii="Franklin Gothic Book" w:hAnsi="Franklin Gothic Book"/>
        <w:sz w:val="18"/>
      </w:rPr>
      <w:fldChar w:fldCharType="separate"/>
    </w:r>
    <w:r w:rsidR="00945A9D">
      <w:rPr>
        <w:rFonts w:ascii="Franklin Gothic Book" w:hAnsi="Franklin Gothic Book"/>
        <w:sz w:val="18"/>
      </w:rPr>
      <w:t>Portfolio-Level Evaluation Activities</w:t>
    </w:r>
    <w:r w:rsidRPr="00C3234F">
      <w:rPr>
        <w:rFonts w:ascii="Franklin Gothic Book" w:hAnsi="Franklin Gothic Book"/>
        <w:sz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8A79" w14:textId="0EDA8857" w:rsidR="00707B4B" w:rsidRPr="0074787E" w:rsidRDefault="00707B4B" w:rsidP="007478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BD82" w14:textId="77777777" w:rsidR="00707B4B" w:rsidRPr="00966A2D" w:rsidRDefault="00707B4B" w:rsidP="00966A2D">
    <w:pPr>
      <w:pStyle w:val="Header"/>
      <w:tabs>
        <w:tab w:val="clear" w:pos="9360"/>
        <w:tab w:val="left" w:pos="35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49C"/>
    <w:multiLevelType w:val="hybridMultilevel"/>
    <w:tmpl w:val="1B8E5A38"/>
    <w:lvl w:ilvl="0" w:tplc="98627286">
      <w:start w:val="1"/>
      <w:numFmt w:val="decimal"/>
      <w:pStyle w:val="CaptionFigure"/>
      <w:suff w:val="space"/>
      <w:lvlText w:val="Figur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3F9"/>
    <w:multiLevelType w:val="multilevel"/>
    <w:tmpl w:val="493C0114"/>
    <w:lvl w:ilvl="0">
      <w:start w:val="1"/>
      <w:numFmt w:val="decimal"/>
      <w:lvlText w:val="%1."/>
      <w:lvlJc w:val="left"/>
      <w:pPr>
        <w:ind w:left="360" w:hanging="360"/>
      </w:pPr>
    </w:lvl>
    <w:lvl w:ilvl="1">
      <w:start w:val="1"/>
      <w:numFmt w:val="decimal"/>
      <w:pStyle w:val="NumberList1"/>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5915ED"/>
    <w:multiLevelType w:val="multilevel"/>
    <w:tmpl w:val="0958B590"/>
    <w:lvl w:ilvl="0">
      <w:start w:val="1"/>
      <w:numFmt w:val="bullet"/>
      <w:pStyle w:val="Bullet1"/>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3" w15:restartNumberingAfterBreak="0">
    <w:nsid w:val="23BE5A86"/>
    <w:multiLevelType w:val="hybridMultilevel"/>
    <w:tmpl w:val="C7CA2270"/>
    <w:lvl w:ilvl="0" w:tplc="8BC0BE18">
      <w:start w:val="1"/>
      <w:numFmt w:val="upperLetter"/>
      <w:pStyle w:val="HeadingAppendix"/>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B47FF"/>
    <w:multiLevelType w:val="multilevel"/>
    <w:tmpl w:val="9C62F472"/>
    <w:lvl w:ilvl="0">
      <w:start w:val="1"/>
      <w:numFmt w:val="decimal"/>
      <w:pStyle w:val="Heading1"/>
      <w:lvlText w:val="%1."/>
      <w:lvlJc w:val="left"/>
      <w:pPr>
        <w:tabs>
          <w:tab w:val="num" w:pos="1080"/>
        </w:tabs>
        <w:ind w:left="0" w:firstLine="0"/>
      </w:pPr>
      <w:rPr>
        <w:rFonts w:hint="default"/>
      </w:rPr>
    </w:lvl>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sz w:val="32"/>
        <w:vertAlign w:val="baseline"/>
      </w:rPr>
    </w:lvl>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auto"/>
        <w:sz w:val="28"/>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pStyle w:val="Heading8"/>
      <w:lvlText w:val="%1.%2.%3.%4.%5.%6.%7.%8"/>
      <w:lvlJc w:val="left"/>
      <w:pPr>
        <w:tabs>
          <w:tab w:val="num" w:pos="360"/>
        </w:tabs>
        <w:ind w:left="0" w:firstLine="0"/>
      </w:pPr>
      <w:rPr>
        <w:rFonts w:hint="default"/>
      </w:rPr>
    </w:lvl>
    <w:lvl w:ilvl="8">
      <w:start w:val="1"/>
      <w:numFmt w:val="decimal"/>
      <w:pStyle w:val="Heading9"/>
      <w:lvlText w:val="%1.%2.%3.%4.%5.%6.%7.%8.%9"/>
      <w:lvlJc w:val="left"/>
      <w:pPr>
        <w:tabs>
          <w:tab w:val="num" w:pos="360"/>
        </w:tabs>
        <w:ind w:left="0" w:firstLine="0"/>
      </w:pPr>
      <w:rPr>
        <w:rFonts w:hint="default"/>
      </w:rPr>
    </w:lvl>
  </w:abstractNum>
  <w:abstractNum w:abstractNumId="5" w15:restartNumberingAfterBreak="0">
    <w:nsid w:val="48BA3A0A"/>
    <w:multiLevelType w:val="multilevel"/>
    <w:tmpl w:val="FCB0889E"/>
    <w:styleLink w:val="NumberList"/>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15:restartNumberingAfterBreak="0">
    <w:nsid w:val="54F04FCE"/>
    <w:multiLevelType w:val="multilevel"/>
    <w:tmpl w:val="BF5000BC"/>
    <w:lvl w:ilvl="0">
      <w:start w:val="1"/>
      <w:numFmt w:val="bullet"/>
      <w:pStyle w:val="ListBullet"/>
      <w:lvlText w:val=""/>
      <w:lvlJc w:val="left"/>
      <w:pPr>
        <w:ind w:left="360" w:hanging="360"/>
      </w:pPr>
      <w:rPr>
        <w:rFonts w:ascii="Wingdings" w:hAnsi="Wingdings" w:hint="default"/>
        <w:color w:val="053572"/>
      </w:rPr>
    </w:lvl>
    <w:lvl w:ilvl="1">
      <w:start w:val="1"/>
      <w:numFmt w:val="bullet"/>
      <w:lvlText w:val=""/>
      <w:lvlJc w:val="left"/>
      <w:pPr>
        <w:ind w:left="1080" w:hanging="360"/>
      </w:pPr>
      <w:rPr>
        <w:rFonts w:ascii="Wingdings" w:hAnsi="Wingdings" w:hint="default"/>
        <w:color w:val="1295D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0887A7A"/>
    <w:multiLevelType w:val="hybridMultilevel"/>
    <w:tmpl w:val="F0A220D0"/>
    <w:lvl w:ilvl="0" w:tplc="34040792">
      <w:start w:val="1"/>
      <w:numFmt w:val="decimal"/>
      <w:pStyle w:val="CaptionTable"/>
      <w:suff w:val="space"/>
      <w:lvlText w:val="Tabl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8215D"/>
    <w:multiLevelType w:val="multilevel"/>
    <w:tmpl w:val="5F688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04A28D7"/>
    <w:multiLevelType w:val="multilevel"/>
    <w:tmpl w:val="4B2C62E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pStyle w:val="NumberList1-a"/>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1"/>
  </w:num>
  <w:num w:numId="4">
    <w:abstractNumId w:val="9"/>
  </w:num>
  <w:num w:numId="5">
    <w:abstractNumId w:val="3"/>
  </w:num>
  <w:num w:numId="6">
    <w:abstractNumId w:val="5"/>
  </w:num>
  <w:num w:numId="7">
    <w:abstractNumId w:val="4"/>
  </w:num>
  <w:num w:numId="8">
    <w:abstractNumId w:val="2"/>
  </w:num>
  <w:num w:numId="9">
    <w:abstractNumId w:val="0"/>
  </w:num>
  <w:num w:numId="10">
    <w:abstractNumId w:val="7"/>
  </w:num>
  <w:num w:numId="11">
    <w:abstractNumId w:val="4"/>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sz w:val="32"/>
          <w:vertAlign w:val="baseline"/>
        </w:rPr>
      </w:lvl>
    </w:lvlOverride>
    <w:lvlOverride w:ilvl="2">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4D4D4F"/>
          <w:sz w:val="28"/>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pStyle w:val="Heading8"/>
        <w:lvlText w:val="%1.%2.%3.%4.%5.%6.%7.%8"/>
        <w:lvlJc w:val="left"/>
        <w:pPr>
          <w:tabs>
            <w:tab w:val="num" w:pos="360"/>
          </w:tabs>
          <w:ind w:left="0" w:firstLine="0"/>
        </w:pPr>
        <w:rPr>
          <w:rFonts w:hint="default"/>
        </w:rPr>
      </w:lvl>
    </w:lvlOverride>
    <w:lvlOverride w:ilvl="8">
      <w:lvl w:ilvl="8">
        <w:start w:val="1"/>
        <w:numFmt w:val="decimal"/>
        <w:pStyle w:val="Heading9"/>
        <w:lvlText w:val="%1.%2.%3.%4.%5.%6.%7.%8.%9"/>
        <w:lvlJc w:val="left"/>
        <w:pPr>
          <w:tabs>
            <w:tab w:val="num" w:pos="360"/>
          </w:tabs>
          <w:ind w:left="0" w:firstLine="0"/>
        </w:pPr>
        <w:rPr>
          <w:rFonts w:hint="default"/>
        </w:rPr>
      </w:lvl>
    </w:lvlOverride>
  </w:num>
  <w:num w:numId="12">
    <w:abstractNumId w:val="2"/>
  </w:num>
  <w:num w:numId="13">
    <w:abstractNumId w:val="2"/>
  </w:num>
  <w:num w:numId="14">
    <w:abstractNumId w:val="8"/>
  </w:num>
  <w:num w:numId="15">
    <w:abstractNumId w:val="4"/>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CF"/>
    <w:rsid w:val="0000152E"/>
    <w:rsid w:val="000022DC"/>
    <w:rsid w:val="00002664"/>
    <w:rsid w:val="000035F3"/>
    <w:rsid w:val="0000425C"/>
    <w:rsid w:val="00004A94"/>
    <w:rsid w:val="00006723"/>
    <w:rsid w:val="00007227"/>
    <w:rsid w:val="000107CD"/>
    <w:rsid w:val="00010892"/>
    <w:rsid w:val="00010D96"/>
    <w:rsid w:val="00010E0E"/>
    <w:rsid w:val="0001133B"/>
    <w:rsid w:val="00012598"/>
    <w:rsid w:val="00012717"/>
    <w:rsid w:val="0001290C"/>
    <w:rsid w:val="000140B6"/>
    <w:rsid w:val="00014656"/>
    <w:rsid w:val="00016C92"/>
    <w:rsid w:val="00016F15"/>
    <w:rsid w:val="00020154"/>
    <w:rsid w:val="00020B2A"/>
    <w:rsid w:val="00020DD8"/>
    <w:rsid w:val="000243AD"/>
    <w:rsid w:val="000246CF"/>
    <w:rsid w:val="0002473D"/>
    <w:rsid w:val="00024F57"/>
    <w:rsid w:val="00031030"/>
    <w:rsid w:val="00033DBE"/>
    <w:rsid w:val="000345FA"/>
    <w:rsid w:val="00034D7A"/>
    <w:rsid w:val="0003623B"/>
    <w:rsid w:val="0003678F"/>
    <w:rsid w:val="0003692B"/>
    <w:rsid w:val="00036D6C"/>
    <w:rsid w:val="000378CC"/>
    <w:rsid w:val="00037E48"/>
    <w:rsid w:val="000406E9"/>
    <w:rsid w:val="0004102C"/>
    <w:rsid w:val="0004132F"/>
    <w:rsid w:val="00041FB4"/>
    <w:rsid w:val="000441CF"/>
    <w:rsid w:val="00044F5A"/>
    <w:rsid w:val="000461A5"/>
    <w:rsid w:val="00047377"/>
    <w:rsid w:val="000502CF"/>
    <w:rsid w:val="0005514E"/>
    <w:rsid w:val="00055448"/>
    <w:rsid w:val="00055FBD"/>
    <w:rsid w:val="0005763B"/>
    <w:rsid w:val="000579BF"/>
    <w:rsid w:val="00060310"/>
    <w:rsid w:val="00061B3E"/>
    <w:rsid w:val="000630AB"/>
    <w:rsid w:val="00063DAA"/>
    <w:rsid w:val="00065122"/>
    <w:rsid w:val="00065461"/>
    <w:rsid w:val="0006663F"/>
    <w:rsid w:val="0006675D"/>
    <w:rsid w:val="000669CE"/>
    <w:rsid w:val="0006796F"/>
    <w:rsid w:val="000707BE"/>
    <w:rsid w:val="00071250"/>
    <w:rsid w:val="00071F12"/>
    <w:rsid w:val="00072F80"/>
    <w:rsid w:val="0007491B"/>
    <w:rsid w:val="00074E11"/>
    <w:rsid w:val="000754B1"/>
    <w:rsid w:val="000764BE"/>
    <w:rsid w:val="000765C7"/>
    <w:rsid w:val="0007754D"/>
    <w:rsid w:val="000824B6"/>
    <w:rsid w:val="00083808"/>
    <w:rsid w:val="00084B7C"/>
    <w:rsid w:val="000857C8"/>
    <w:rsid w:val="00087AC3"/>
    <w:rsid w:val="000915B7"/>
    <w:rsid w:val="00094385"/>
    <w:rsid w:val="00097009"/>
    <w:rsid w:val="00097F4F"/>
    <w:rsid w:val="000A08F9"/>
    <w:rsid w:val="000A2601"/>
    <w:rsid w:val="000A66BA"/>
    <w:rsid w:val="000A7D52"/>
    <w:rsid w:val="000B1477"/>
    <w:rsid w:val="000B2531"/>
    <w:rsid w:val="000B5D7D"/>
    <w:rsid w:val="000B61D5"/>
    <w:rsid w:val="000C14DE"/>
    <w:rsid w:val="000C3C32"/>
    <w:rsid w:val="000C4563"/>
    <w:rsid w:val="000C487A"/>
    <w:rsid w:val="000C53ED"/>
    <w:rsid w:val="000C607B"/>
    <w:rsid w:val="000C745F"/>
    <w:rsid w:val="000D05C8"/>
    <w:rsid w:val="000D0DA2"/>
    <w:rsid w:val="000D1215"/>
    <w:rsid w:val="000D388E"/>
    <w:rsid w:val="000D407C"/>
    <w:rsid w:val="000D44C9"/>
    <w:rsid w:val="000D46D7"/>
    <w:rsid w:val="000D5385"/>
    <w:rsid w:val="000D5D85"/>
    <w:rsid w:val="000D7E2B"/>
    <w:rsid w:val="000E08C4"/>
    <w:rsid w:val="000E25E0"/>
    <w:rsid w:val="000E2DC6"/>
    <w:rsid w:val="000E4C04"/>
    <w:rsid w:val="000E5420"/>
    <w:rsid w:val="000E64BA"/>
    <w:rsid w:val="000E6D72"/>
    <w:rsid w:val="000F0499"/>
    <w:rsid w:val="000F16B2"/>
    <w:rsid w:val="000F17F4"/>
    <w:rsid w:val="000F1ED9"/>
    <w:rsid w:val="000F37D8"/>
    <w:rsid w:val="000F4553"/>
    <w:rsid w:val="00100D04"/>
    <w:rsid w:val="001014EE"/>
    <w:rsid w:val="00101E59"/>
    <w:rsid w:val="001025F6"/>
    <w:rsid w:val="00102DB2"/>
    <w:rsid w:val="001069EC"/>
    <w:rsid w:val="00110E44"/>
    <w:rsid w:val="00111B10"/>
    <w:rsid w:val="00112078"/>
    <w:rsid w:val="00112530"/>
    <w:rsid w:val="00115259"/>
    <w:rsid w:val="001173A8"/>
    <w:rsid w:val="00117E60"/>
    <w:rsid w:val="00123176"/>
    <w:rsid w:val="001237B5"/>
    <w:rsid w:val="0012407E"/>
    <w:rsid w:val="00124BBC"/>
    <w:rsid w:val="001251FB"/>
    <w:rsid w:val="00125BED"/>
    <w:rsid w:val="00126051"/>
    <w:rsid w:val="00126AE7"/>
    <w:rsid w:val="00126FFE"/>
    <w:rsid w:val="00127280"/>
    <w:rsid w:val="00127B25"/>
    <w:rsid w:val="00127CB4"/>
    <w:rsid w:val="00131E59"/>
    <w:rsid w:val="001320E4"/>
    <w:rsid w:val="001332B1"/>
    <w:rsid w:val="00133A43"/>
    <w:rsid w:val="00134900"/>
    <w:rsid w:val="00136CBB"/>
    <w:rsid w:val="00137C84"/>
    <w:rsid w:val="00141B35"/>
    <w:rsid w:val="00142361"/>
    <w:rsid w:val="001446C1"/>
    <w:rsid w:val="001461D5"/>
    <w:rsid w:val="001463E8"/>
    <w:rsid w:val="00146442"/>
    <w:rsid w:val="001464BC"/>
    <w:rsid w:val="001514CA"/>
    <w:rsid w:val="0015400B"/>
    <w:rsid w:val="00155E6F"/>
    <w:rsid w:val="00156707"/>
    <w:rsid w:val="00156D76"/>
    <w:rsid w:val="00161593"/>
    <w:rsid w:val="001620F4"/>
    <w:rsid w:val="0016224F"/>
    <w:rsid w:val="00164D8D"/>
    <w:rsid w:val="001658CA"/>
    <w:rsid w:val="00166B38"/>
    <w:rsid w:val="00167D10"/>
    <w:rsid w:val="00171357"/>
    <w:rsid w:val="00172482"/>
    <w:rsid w:val="00173C43"/>
    <w:rsid w:val="00176695"/>
    <w:rsid w:val="0017678D"/>
    <w:rsid w:val="00176D80"/>
    <w:rsid w:val="00180F21"/>
    <w:rsid w:val="0018179C"/>
    <w:rsid w:val="00181B4D"/>
    <w:rsid w:val="001823F2"/>
    <w:rsid w:val="00183142"/>
    <w:rsid w:val="00183F15"/>
    <w:rsid w:val="0018442D"/>
    <w:rsid w:val="00185504"/>
    <w:rsid w:val="00187C53"/>
    <w:rsid w:val="00190169"/>
    <w:rsid w:val="001943C8"/>
    <w:rsid w:val="001963C1"/>
    <w:rsid w:val="00196459"/>
    <w:rsid w:val="001A02EB"/>
    <w:rsid w:val="001A1CA9"/>
    <w:rsid w:val="001A26C6"/>
    <w:rsid w:val="001A305C"/>
    <w:rsid w:val="001A3950"/>
    <w:rsid w:val="001A4CEE"/>
    <w:rsid w:val="001A5F06"/>
    <w:rsid w:val="001B13F0"/>
    <w:rsid w:val="001B2A8E"/>
    <w:rsid w:val="001B2AFB"/>
    <w:rsid w:val="001B30AA"/>
    <w:rsid w:val="001B370C"/>
    <w:rsid w:val="001B5A4D"/>
    <w:rsid w:val="001B66E7"/>
    <w:rsid w:val="001B7A1F"/>
    <w:rsid w:val="001C05F8"/>
    <w:rsid w:val="001C18A6"/>
    <w:rsid w:val="001C2B31"/>
    <w:rsid w:val="001C2C09"/>
    <w:rsid w:val="001C2C0E"/>
    <w:rsid w:val="001C2D8C"/>
    <w:rsid w:val="001C365D"/>
    <w:rsid w:val="001C41A3"/>
    <w:rsid w:val="001C4A6F"/>
    <w:rsid w:val="001C5022"/>
    <w:rsid w:val="001C56C9"/>
    <w:rsid w:val="001C5FD6"/>
    <w:rsid w:val="001C674D"/>
    <w:rsid w:val="001C6FF6"/>
    <w:rsid w:val="001C72C9"/>
    <w:rsid w:val="001C772A"/>
    <w:rsid w:val="001D0411"/>
    <w:rsid w:val="001D12D8"/>
    <w:rsid w:val="001D3EB1"/>
    <w:rsid w:val="001D4114"/>
    <w:rsid w:val="001D46B4"/>
    <w:rsid w:val="001D4E59"/>
    <w:rsid w:val="001D6B1A"/>
    <w:rsid w:val="001D7F00"/>
    <w:rsid w:val="001E01FD"/>
    <w:rsid w:val="001E21FF"/>
    <w:rsid w:val="001E4675"/>
    <w:rsid w:val="001E49AC"/>
    <w:rsid w:val="001E5164"/>
    <w:rsid w:val="001E6243"/>
    <w:rsid w:val="001E728C"/>
    <w:rsid w:val="001F1505"/>
    <w:rsid w:val="001F3FC1"/>
    <w:rsid w:val="001F3FD5"/>
    <w:rsid w:val="001F492D"/>
    <w:rsid w:val="001F4ECA"/>
    <w:rsid w:val="001F66E2"/>
    <w:rsid w:val="001F7D96"/>
    <w:rsid w:val="0020101A"/>
    <w:rsid w:val="00201CA5"/>
    <w:rsid w:val="002026BF"/>
    <w:rsid w:val="00202F16"/>
    <w:rsid w:val="00206419"/>
    <w:rsid w:val="00206578"/>
    <w:rsid w:val="0020697A"/>
    <w:rsid w:val="002069A7"/>
    <w:rsid w:val="00206E0C"/>
    <w:rsid w:val="00207194"/>
    <w:rsid w:val="00207619"/>
    <w:rsid w:val="00207F96"/>
    <w:rsid w:val="0021183A"/>
    <w:rsid w:val="00213933"/>
    <w:rsid w:val="00214AED"/>
    <w:rsid w:val="00214B15"/>
    <w:rsid w:val="00214C89"/>
    <w:rsid w:val="002154C4"/>
    <w:rsid w:val="0021653D"/>
    <w:rsid w:val="002169DD"/>
    <w:rsid w:val="00221973"/>
    <w:rsid w:val="00223452"/>
    <w:rsid w:val="00223570"/>
    <w:rsid w:val="0022516B"/>
    <w:rsid w:val="002255D6"/>
    <w:rsid w:val="00226E4E"/>
    <w:rsid w:val="002277BD"/>
    <w:rsid w:val="00235AF6"/>
    <w:rsid w:val="00236D21"/>
    <w:rsid w:val="0024109F"/>
    <w:rsid w:val="00241258"/>
    <w:rsid w:val="0024126F"/>
    <w:rsid w:val="00241AFB"/>
    <w:rsid w:val="00241E40"/>
    <w:rsid w:val="0024336F"/>
    <w:rsid w:val="00243650"/>
    <w:rsid w:val="00243B66"/>
    <w:rsid w:val="00244AD9"/>
    <w:rsid w:val="0024686C"/>
    <w:rsid w:val="00246DD5"/>
    <w:rsid w:val="00247AF0"/>
    <w:rsid w:val="002506F1"/>
    <w:rsid w:val="0025373B"/>
    <w:rsid w:val="00253EEB"/>
    <w:rsid w:val="00253F11"/>
    <w:rsid w:val="0025466A"/>
    <w:rsid w:val="002548DF"/>
    <w:rsid w:val="0025587C"/>
    <w:rsid w:val="00256324"/>
    <w:rsid w:val="00256ADE"/>
    <w:rsid w:val="0025742C"/>
    <w:rsid w:val="002606CC"/>
    <w:rsid w:val="00260C05"/>
    <w:rsid w:val="002618B0"/>
    <w:rsid w:val="0026307E"/>
    <w:rsid w:val="002631A2"/>
    <w:rsid w:val="00263815"/>
    <w:rsid w:val="00264012"/>
    <w:rsid w:val="00265250"/>
    <w:rsid w:val="002658E6"/>
    <w:rsid w:val="0026674B"/>
    <w:rsid w:val="00266C3B"/>
    <w:rsid w:val="00266FC5"/>
    <w:rsid w:val="00267372"/>
    <w:rsid w:val="0026785A"/>
    <w:rsid w:val="00270111"/>
    <w:rsid w:val="00270D33"/>
    <w:rsid w:val="002739C3"/>
    <w:rsid w:val="00276272"/>
    <w:rsid w:val="0027687F"/>
    <w:rsid w:val="00277192"/>
    <w:rsid w:val="0028070E"/>
    <w:rsid w:val="00280B43"/>
    <w:rsid w:val="0028242B"/>
    <w:rsid w:val="00282491"/>
    <w:rsid w:val="00283270"/>
    <w:rsid w:val="002852ED"/>
    <w:rsid w:val="002859AA"/>
    <w:rsid w:val="00285D08"/>
    <w:rsid w:val="00286504"/>
    <w:rsid w:val="00286AE0"/>
    <w:rsid w:val="00296A9A"/>
    <w:rsid w:val="00296FC3"/>
    <w:rsid w:val="002A03FA"/>
    <w:rsid w:val="002A0662"/>
    <w:rsid w:val="002A410F"/>
    <w:rsid w:val="002A48F7"/>
    <w:rsid w:val="002A4FAC"/>
    <w:rsid w:val="002A528A"/>
    <w:rsid w:val="002A5691"/>
    <w:rsid w:val="002A5CE0"/>
    <w:rsid w:val="002A7088"/>
    <w:rsid w:val="002B0FFF"/>
    <w:rsid w:val="002B4F0A"/>
    <w:rsid w:val="002B6248"/>
    <w:rsid w:val="002C1687"/>
    <w:rsid w:val="002C1D20"/>
    <w:rsid w:val="002C2326"/>
    <w:rsid w:val="002C3A89"/>
    <w:rsid w:val="002C3D7C"/>
    <w:rsid w:val="002C4D5C"/>
    <w:rsid w:val="002C5B0D"/>
    <w:rsid w:val="002C7294"/>
    <w:rsid w:val="002C7CFF"/>
    <w:rsid w:val="002D1898"/>
    <w:rsid w:val="002D2DEC"/>
    <w:rsid w:val="002D37CF"/>
    <w:rsid w:val="002D4169"/>
    <w:rsid w:val="002D5F05"/>
    <w:rsid w:val="002D65FD"/>
    <w:rsid w:val="002D6735"/>
    <w:rsid w:val="002D7459"/>
    <w:rsid w:val="002E18CE"/>
    <w:rsid w:val="002E2D7F"/>
    <w:rsid w:val="002E4178"/>
    <w:rsid w:val="002E676A"/>
    <w:rsid w:val="002E749A"/>
    <w:rsid w:val="002E77A7"/>
    <w:rsid w:val="002F051B"/>
    <w:rsid w:val="002F17D9"/>
    <w:rsid w:val="002F465B"/>
    <w:rsid w:val="002F4993"/>
    <w:rsid w:val="003029CE"/>
    <w:rsid w:val="003035E7"/>
    <w:rsid w:val="00304460"/>
    <w:rsid w:val="00304956"/>
    <w:rsid w:val="00305495"/>
    <w:rsid w:val="003063BF"/>
    <w:rsid w:val="003079E5"/>
    <w:rsid w:val="0031029F"/>
    <w:rsid w:val="003114BE"/>
    <w:rsid w:val="00311CC6"/>
    <w:rsid w:val="003123D1"/>
    <w:rsid w:val="00312D75"/>
    <w:rsid w:val="0031499A"/>
    <w:rsid w:val="0031681D"/>
    <w:rsid w:val="00316C12"/>
    <w:rsid w:val="00321291"/>
    <w:rsid w:val="00321D07"/>
    <w:rsid w:val="00322494"/>
    <w:rsid w:val="00322AE2"/>
    <w:rsid w:val="0032328D"/>
    <w:rsid w:val="003260CA"/>
    <w:rsid w:val="00326D9B"/>
    <w:rsid w:val="00327C4E"/>
    <w:rsid w:val="003312DE"/>
    <w:rsid w:val="00331470"/>
    <w:rsid w:val="0033220B"/>
    <w:rsid w:val="00332EF0"/>
    <w:rsid w:val="00334CD3"/>
    <w:rsid w:val="0033550D"/>
    <w:rsid w:val="00336106"/>
    <w:rsid w:val="00337C94"/>
    <w:rsid w:val="00340DDF"/>
    <w:rsid w:val="003410C7"/>
    <w:rsid w:val="003418C0"/>
    <w:rsid w:val="00341911"/>
    <w:rsid w:val="00344D0A"/>
    <w:rsid w:val="00345AF0"/>
    <w:rsid w:val="003464D9"/>
    <w:rsid w:val="003465CC"/>
    <w:rsid w:val="003509FD"/>
    <w:rsid w:val="00351204"/>
    <w:rsid w:val="0035135E"/>
    <w:rsid w:val="003518C9"/>
    <w:rsid w:val="00351BA9"/>
    <w:rsid w:val="003521A3"/>
    <w:rsid w:val="003528DE"/>
    <w:rsid w:val="00354DC1"/>
    <w:rsid w:val="0035596F"/>
    <w:rsid w:val="003562B1"/>
    <w:rsid w:val="00356844"/>
    <w:rsid w:val="0035706B"/>
    <w:rsid w:val="00357352"/>
    <w:rsid w:val="00360188"/>
    <w:rsid w:val="00364174"/>
    <w:rsid w:val="003662B5"/>
    <w:rsid w:val="0036642C"/>
    <w:rsid w:val="00366A98"/>
    <w:rsid w:val="00366F90"/>
    <w:rsid w:val="003677DD"/>
    <w:rsid w:val="00370F87"/>
    <w:rsid w:val="00371013"/>
    <w:rsid w:val="003725D4"/>
    <w:rsid w:val="003727DB"/>
    <w:rsid w:val="003740A7"/>
    <w:rsid w:val="003740B9"/>
    <w:rsid w:val="00374E6A"/>
    <w:rsid w:val="00375273"/>
    <w:rsid w:val="003771B7"/>
    <w:rsid w:val="0037741F"/>
    <w:rsid w:val="0038037D"/>
    <w:rsid w:val="003805B5"/>
    <w:rsid w:val="00380821"/>
    <w:rsid w:val="00382812"/>
    <w:rsid w:val="00383667"/>
    <w:rsid w:val="003853C1"/>
    <w:rsid w:val="00385947"/>
    <w:rsid w:val="0039227B"/>
    <w:rsid w:val="00394046"/>
    <w:rsid w:val="00394724"/>
    <w:rsid w:val="0039665C"/>
    <w:rsid w:val="003A2F8F"/>
    <w:rsid w:val="003A3F26"/>
    <w:rsid w:val="003A45B4"/>
    <w:rsid w:val="003A4A35"/>
    <w:rsid w:val="003A4CE2"/>
    <w:rsid w:val="003A5F3D"/>
    <w:rsid w:val="003A69C0"/>
    <w:rsid w:val="003A6D05"/>
    <w:rsid w:val="003A7AB4"/>
    <w:rsid w:val="003B2780"/>
    <w:rsid w:val="003B2A8B"/>
    <w:rsid w:val="003B4918"/>
    <w:rsid w:val="003B4F3F"/>
    <w:rsid w:val="003B5D60"/>
    <w:rsid w:val="003B6AC1"/>
    <w:rsid w:val="003B713B"/>
    <w:rsid w:val="003B7EE2"/>
    <w:rsid w:val="003C152C"/>
    <w:rsid w:val="003C191D"/>
    <w:rsid w:val="003C2241"/>
    <w:rsid w:val="003C31B9"/>
    <w:rsid w:val="003C34F6"/>
    <w:rsid w:val="003C504D"/>
    <w:rsid w:val="003C5329"/>
    <w:rsid w:val="003C59AB"/>
    <w:rsid w:val="003C5E8E"/>
    <w:rsid w:val="003C5F95"/>
    <w:rsid w:val="003C6D6C"/>
    <w:rsid w:val="003D59CB"/>
    <w:rsid w:val="003D5C15"/>
    <w:rsid w:val="003E448C"/>
    <w:rsid w:val="003E48EA"/>
    <w:rsid w:val="003E5BB7"/>
    <w:rsid w:val="003E5CB9"/>
    <w:rsid w:val="003E62C1"/>
    <w:rsid w:val="003E72BB"/>
    <w:rsid w:val="003E77FF"/>
    <w:rsid w:val="003F159A"/>
    <w:rsid w:val="003F1806"/>
    <w:rsid w:val="003F2EE3"/>
    <w:rsid w:val="003F32B1"/>
    <w:rsid w:val="003F3CB3"/>
    <w:rsid w:val="003F56CC"/>
    <w:rsid w:val="003F5C2D"/>
    <w:rsid w:val="003F5C33"/>
    <w:rsid w:val="004001A5"/>
    <w:rsid w:val="00400B13"/>
    <w:rsid w:val="00400F93"/>
    <w:rsid w:val="004016F7"/>
    <w:rsid w:val="00402F02"/>
    <w:rsid w:val="004047DA"/>
    <w:rsid w:val="00405423"/>
    <w:rsid w:val="00406D10"/>
    <w:rsid w:val="0040792F"/>
    <w:rsid w:val="004079BB"/>
    <w:rsid w:val="00411950"/>
    <w:rsid w:val="0041231B"/>
    <w:rsid w:val="00412DA5"/>
    <w:rsid w:val="00413002"/>
    <w:rsid w:val="004142B4"/>
    <w:rsid w:val="004177DB"/>
    <w:rsid w:val="00417A7F"/>
    <w:rsid w:val="0042059A"/>
    <w:rsid w:val="004209BF"/>
    <w:rsid w:val="00424062"/>
    <w:rsid w:val="004243CD"/>
    <w:rsid w:val="00424466"/>
    <w:rsid w:val="00425251"/>
    <w:rsid w:val="00426DF6"/>
    <w:rsid w:val="00431E93"/>
    <w:rsid w:val="004355CB"/>
    <w:rsid w:val="00435E7A"/>
    <w:rsid w:val="00437026"/>
    <w:rsid w:val="00437B1B"/>
    <w:rsid w:val="00441218"/>
    <w:rsid w:val="004414E0"/>
    <w:rsid w:val="004419AF"/>
    <w:rsid w:val="00442F45"/>
    <w:rsid w:val="00443301"/>
    <w:rsid w:val="004442B8"/>
    <w:rsid w:val="00444490"/>
    <w:rsid w:val="0044488D"/>
    <w:rsid w:val="00446A37"/>
    <w:rsid w:val="00446BAF"/>
    <w:rsid w:val="00446C83"/>
    <w:rsid w:val="00446E47"/>
    <w:rsid w:val="0044767C"/>
    <w:rsid w:val="00447839"/>
    <w:rsid w:val="00447BE8"/>
    <w:rsid w:val="004548F5"/>
    <w:rsid w:val="00455B2B"/>
    <w:rsid w:val="004563D8"/>
    <w:rsid w:val="004576F3"/>
    <w:rsid w:val="00457E89"/>
    <w:rsid w:val="0046061A"/>
    <w:rsid w:val="00460812"/>
    <w:rsid w:val="0046157A"/>
    <w:rsid w:val="00461D86"/>
    <w:rsid w:val="004636F8"/>
    <w:rsid w:val="0046376C"/>
    <w:rsid w:val="00463835"/>
    <w:rsid w:val="004641A2"/>
    <w:rsid w:val="0046504D"/>
    <w:rsid w:val="004662BF"/>
    <w:rsid w:val="004663C8"/>
    <w:rsid w:val="00466976"/>
    <w:rsid w:val="00470661"/>
    <w:rsid w:val="00476978"/>
    <w:rsid w:val="00476FB7"/>
    <w:rsid w:val="0048263F"/>
    <w:rsid w:val="0048336C"/>
    <w:rsid w:val="00485349"/>
    <w:rsid w:val="00485612"/>
    <w:rsid w:val="004856B3"/>
    <w:rsid w:val="00485877"/>
    <w:rsid w:val="0048659C"/>
    <w:rsid w:val="004908DD"/>
    <w:rsid w:val="004959D0"/>
    <w:rsid w:val="0049645D"/>
    <w:rsid w:val="00497710"/>
    <w:rsid w:val="004A0EF0"/>
    <w:rsid w:val="004A1FEC"/>
    <w:rsid w:val="004A41FF"/>
    <w:rsid w:val="004A459F"/>
    <w:rsid w:val="004A6FA7"/>
    <w:rsid w:val="004A7BE6"/>
    <w:rsid w:val="004B1067"/>
    <w:rsid w:val="004B4733"/>
    <w:rsid w:val="004B54F7"/>
    <w:rsid w:val="004B568F"/>
    <w:rsid w:val="004B6F3D"/>
    <w:rsid w:val="004B7576"/>
    <w:rsid w:val="004C0FEA"/>
    <w:rsid w:val="004C4B24"/>
    <w:rsid w:val="004C59E8"/>
    <w:rsid w:val="004C600C"/>
    <w:rsid w:val="004D18F3"/>
    <w:rsid w:val="004D269D"/>
    <w:rsid w:val="004D2F76"/>
    <w:rsid w:val="004D4025"/>
    <w:rsid w:val="004E004D"/>
    <w:rsid w:val="004E0793"/>
    <w:rsid w:val="004E0BEA"/>
    <w:rsid w:val="004E0F41"/>
    <w:rsid w:val="004E4528"/>
    <w:rsid w:val="004E470A"/>
    <w:rsid w:val="004E4EE8"/>
    <w:rsid w:val="004E653D"/>
    <w:rsid w:val="004E6D0A"/>
    <w:rsid w:val="004E7034"/>
    <w:rsid w:val="004E74D4"/>
    <w:rsid w:val="004F09F4"/>
    <w:rsid w:val="004F0F16"/>
    <w:rsid w:val="004F1DF6"/>
    <w:rsid w:val="004F2757"/>
    <w:rsid w:val="004F2A8B"/>
    <w:rsid w:val="004F2E3D"/>
    <w:rsid w:val="004F33CD"/>
    <w:rsid w:val="004F340B"/>
    <w:rsid w:val="004F5728"/>
    <w:rsid w:val="004F6047"/>
    <w:rsid w:val="004F6B56"/>
    <w:rsid w:val="004F6BA4"/>
    <w:rsid w:val="004F7478"/>
    <w:rsid w:val="004F79D9"/>
    <w:rsid w:val="00500296"/>
    <w:rsid w:val="00500605"/>
    <w:rsid w:val="00500885"/>
    <w:rsid w:val="005010F2"/>
    <w:rsid w:val="0050291C"/>
    <w:rsid w:val="00503054"/>
    <w:rsid w:val="00507551"/>
    <w:rsid w:val="0051066C"/>
    <w:rsid w:val="00510C00"/>
    <w:rsid w:val="0051230C"/>
    <w:rsid w:val="00512D73"/>
    <w:rsid w:val="00513797"/>
    <w:rsid w:val="00513ECA"/>
    <w:rsid w:val="00514CA7"/>
    <w:rsid w:val="00514D77"/>
    <w:rsid w:val="00516648"/>
    <w:rsid w:val="00522CDD"/>
    <w:rsid w:val="005274FE"/>
    <w:rsid w:val="005303D2"/>
    <w:rsid w:val="00530CDA"/>
    <w:rsid w:val="00530EF9"/>
    <w:rsid w:val="00531F60"/>
    <w:rsid w:val="0053236D"/>
    <w:rsid w:val="00534112"/>
    <w:rsid w:val="00535F1B"/>
    <w:rsid w:val="0053607C"/>
    <w:rsid w:val="005362E2"/>
    <w:rsid w:val="005369EA"/>
    <w:rsid w:val="005370A2"/>
    <w:rsid w:val="00540D05"/>
    <w:rsid w:val="00541188"/>
    <w:rsid w:val="00542334"/>
    <w:rsid w:val="0054432C"/>
    <w:rsid w:val="005454DD"/>
    <w:rsid w:val="00547615"/>
    <w:rsid w:val="005500AE"/>
    <w:rsid w:val="005517EA"/>
    <w:rsid w:val="005542CC"/>
    <w:rsid w:val="00554E88"/>
    <w:rsid w:val="00556185"/>
    <w:rsid w:val="00556E23"/>
    <w:rsid w:val="005579A8"/>
    <w:rsid w:val="005612CD"/>
    <w:rsid w:val="00561FC5"/>
    <w:rsid w:val="00562B53"/>
    <w:rsid w:val="00562CEA"/>
    <w:rsid w:val="00563006"/>
    <w:rsid w:val="00563A9A"/>
    <w:rsid w:val="00564747"/>
    <w:rsid w:val="00565523"/>
    <w:rsid w:val="00565BCD"/>
    <w:rsid w:val="00566B48"/>
    <w:rsid w:val="00566E67"/>
    <w:rsid w:val="005678BE"/>
    <w:rsid w:val="00575AB4"/>
    <w:rsid w:val="00575C34"/>
    <w:rsid w:val="00575F4B"/>
    <w:rsid w:val="00576876"/>
    <w:rsid w:val="0057689F"/>
    <w:rsid w:val="00576C16"/>
    <w:rsid w:val="005771AB"/>
    <w:rsid w:val="005819E9"/>
    <w:rsid w:val="00582576"/>
    <w:rsid w:val="00582A7C"/>
    <w:rsid w:val="005835E9"/>
    <w:rsid w:val="00587394"/>
    <w:rsid w:val="00587D1B"/>
    <w:rsid w:val="005914F8"/>
    <w:rsid w:val="00594544"/>
    <w:rsid w:val="005945BD"/>
    <w:rsid w:val="00594E55"/>
    <w:rsid w:val="005952A4"/>
    <w:rsid w:val="00595929"/>
    <w:rsid w:val="005961B3"/>
    <w:rsid w:val="0059632A"/>
    <w:rsid w:val="00596F59"/>
    <w:rsid w:val="00597A53"/>
    <w:rsid w:val="005A1A2F"/>
    <w:rsid w:val="005A1C5D"/>
    <w:rsid w:val="005A44DE"/>
    <w:rsid w:val="005A44F9"/>
    <w:rsid w:val="005A5B58"/>
    <w:rsid w:val="005A604B"/>
    <w:rsid w:val="005B00E5"/>
    <w:rsid w:val="005B45CB"/>
    <w:rsid w:val="005B5516"/>
    <w:rsid w:val="005B5C26"/>
    <w:rsid w:val="005B5C99"/>
    <w:rsid w:val="005B79ED"/>
    <w:rsid w:val="005C0F08"/>
    <w:rsid w:val="005C4AC9"/>
    <w:rsid w:val="005C4DB7"/>
    <w:rsid w:val="005C7324"/>
    <w:rsid w:val="005C76E3"/>
    <w:rsid w:val="005D0824"/>
    <w:rsid w:val="005D35A7"/>
    <w:rsid w:val="005D3886"/>
    <w:rsid w:val="005D3BF2"/>
    <w:rsid w:val="005D44EC"/>
    <w:rsid w:val="005D5722"/>
    <w:rsid w:val="005D7249"/>
    <w:rsid w:val="005D7827"/>
    <w:rsid w:val="005D7A4E"/>
    <w:rsid w:val="005E0BC0"/>
    <w:rsid w:val="005E0C80"/>
    <w:rsid w:val="005E243D"/>
    <w:rsid w:val="005E29C0"/>
    <w:rsid w:val="005E3BDE"/>
    <w:rsid w:val="005E4EE1"/>
    <w:rsid w:val="005E5DC2"/>
    <w:rsid w:val="005E6409"/>
    <w:rsid w:val="005E7ABC"/>
    <w:rsid w:val="005F06DD"/>
    <w:rsid w:val="005F0B8F"/>
    <w:rsid w:val="005F1913"/>
    <w:rsid w:val="005F379F"/>
    <w:rsid w:val="005F6287"/>
    <w:rsid w:val="005F72D3"/>
    <w:rsid w:val="005F77BE"/>
    <w:rsid w:val="005F7BD3"/>
    <w:rsid w:val="00601A75"/>
    <w:rsid w:val="00603585"/>
    <w:rsid w:val="00603BBE"/>
    <w:rsid w:val="006052C6"/>
    <w:rsid w:val="00605A7A"/>
    <w:rsid w:val="00607059"/>
    <w:rsid w:val="00607981"/>
    <w:rsid w:val="006100E6"/>
    <w:rsid w:val="006101F5"/>
    <w:rsid w:val="00610FBF"/>
    <w:rsid w:val="00612968"/>
    <w:rsid w:val="00613B03"/>
    <w:rsid w:val="00615DBB"/>
    <w:rsid w:val="006162FF"/>
    <w:rsid w:val="00617366"/>
    <w:rsid w:val="00620C02"/>
    <w:rsid w:val="00621049"/>
    <w:rsid w:val="00621058"/>
    <w:rsid w:val="00621C0A"/>
    <w:rsid w:val="00622D08"/>
    <w:rsid w:val="00623A23"/>
    <w:rsid w:val="0062432D"/>
    <w:rsid w:val="00624576"/>
    <w:rsid w:val="006249F7"/>
    <w:rsid w:val="00624A03"/>
    <w:rsid w:val="0062636E"/>
    <w:rsid w:val="006265DE"/>
    <w:rsid w:val="00626865"/>
    <w:rsid w:val="006276F6"/>
    <w:rsid w:val="00630E7D"/>
    <w:rsid w:val="006337A0"/>
    <w:rsid w:val="00633B61"/>
    <w:rsid w:val="00633F62"/>
    <w:rsid w:val="006342C1"/>
    <w:rsid w:val="006346E4"/>
    <w:rsid w:val="00634D04"/>
    <w:rsid w:val="006429BE"/>
    <w:rsid w:val="0064447E"/>
    <w:rsid w:val="00646E0A"/>
    <w:rsid w:val="00651421"/>
    <w:rsid w:val="00651B4B"/>
    <w:rsid w:val="006529AD"/>
    <w:rsid w:val="00652AEA"/>
    <w:rsid w:val="006548A4"/>
    <w:rsid w:val="00656111"/>
    <w:rsid w:val="00657798"/>
    <w:rsid w:val="00662FB2"/>
    <w:rsid w:val="006630FA"/>
    <w:rsid w:val="00664511"/>
    <w:rsid w:val="00665045"/>
    <w:rsid w:val="006669C5"/>
    <w:rsid w:val="00671A5C"/>
    <w:rsid w:val="00671F05"/>
    <w:rsid w:val="00673B23"/>
    <w:rsid w:val="00675CAA"/>
    <w:rsid w:val="00676609"/>
    <w:rsid w:val="006817FC"/>
    <w:rsid w:val="006819B4"/>
    <w:rsid w:val="006820CD"/>
    <w:rsid w:val="00684406"/>
    <w:rsid w:val="00685B10"/>
    <w:rsid w:val="0068691B"/>
    <w:rsid w:val="006902E2"/>
    <w:rsid w:val="00690B3C"/>
    <w:rsid w:val="00691F94"/>
    <w:rsid w:val="00692808"/>
    <w:rsid w:val="00693577"/>
    <w:rsid w:val="006938B3"/>
    <w:rsid w:val="00695901"/>
    <w:rsid w:val="00695D3D"/>
    <w:rsid w:val="00696641"/>
    <w:rsid w:val="00697B64"/>
    <w:rsid w:val="006A19BA"/>
    <w:rsid w:val="006A2B03"/>
    <w:rsid w:val="006A2B28"/>
    <w:rsid w:val="006A2FE5"/>
    <w:rsid w:val="006A4DC3"/>
    <w:rsid w:val="006A634C"/>
    <w:rsid w:val="006A65CE"/>
    <w:rsid w:val="006A6B4A"/>
    <w:rsid w:val="006B074C"/>
    <w:rsid w:val="006B275D"/>
    <w:rsid w:val="006B356B"/>
    <w:rsid w:val="006B38D2"/>
    <w:rsid w:val="006B4385"/>
    <w:rsid w:val="006B44DB"/>
    <w:rsid w:val="006B4EE9"/>
    <w:rsid w:val="006B5462"/>
    <w:rsid w:val="006B5940"/>
    <w:rsid w:val="006B6A69"/>
    <w:rsid w:val="006C095D"/>
    <w:rsid w:val="006C205C"/>
    <w:rsid w:val="006C3AF4"/>
    <w:rsid w:val="006C4270"/>
    <w:rsid w:val="006C43A2"/>
    <w:rsid w:val="006C4AF5"/>
    <w:rsid w:val="006C558C"/>
    <w:rsid w:val="006D01ED"/>
    <w:rsid w:val="006D03C9"/>
    <w:rsid w:val="006D05DD"/>
    <w:rsid w:val="006D1D8F"/>
    <w:rsid w:val="006D2E64"/>
    <w:rsid w:val="006D3C10"/>
    <w:rsid w:val="006D5428"/>
    <w:rsid w:val="006D57F7"/>
    <w:rsid w:val="006D6199"/>
    <w:rsid w:val="006D72BA"/>
    <w:rsid w:val="006E01C2"/>
    <w:rsid w:val="006E1BA3"/>
    <w:rsid w:val="006E30C5"/>
    <w:rsid w:val="006E5123"/>
    <w:rsid w:val="006E6562"/>
    <w:rsid w:val="006E69ED"/>
    <w:rsid w:val="006E741C"/>
    <w:rsid w:val="006F007F"/>
    <w:rsid w:val="006F0A96"/>
    <w:rsid w:val="006F0AE3"/>
    <w:rsid w:val="006F0B19"/>
    <w:rsid w:val="006F0FE6"/>
    <w:rsid w:val="006F32F9"/>
    <w:rsid w:val="006F4059"/>
    <w:rsid w:val="006F498F"/>
    <w:rsid w:val="006F564C"/>
    <w:rsid w:val="006F57CB"/>
    <w:rsid w:val="006F59E5"/>
    <w:rsid w:val="006F6E4A"/>
    <w:rsid w:val="006F7EF7"/>
    <w:rsid w:val="007009A9"/>
    <w:rsid w:val="00700A09"/>
    <w:rsid w:val="00700F0D"/>
    <w:rsid w:val="00703EFF"/>
    <w:rsid w:val="007047C6"/>
    <w:rsid w:val="00705B70"/>
    <w:rsid w:val="00705BD3"/>
    <w:rsid w:val="00706226"/>
    <w:rsid w:val="0070713B"/>
    <w:rsid w:val="00707A99"/>
    <w:rsid w:val="00707AC2"/>
    <w:rsid w:val="00707B4B"/>
    <w:rsid w:val="007107C2"/>
    <w:rsid w:val="007116D5"/>
    <w:rsid w:val="00712058"/>
    <w:rsid w:val="007143F3"/>
    <w:rsid w:val="00714BCE"/>
    <w:rsid w:val="0071592A"/>
    <w:rsid w:val="007173DD"/>
    <w:rsid w:val="00717551"/>
    <w:rsid w:val="00717780"/>
    <w:rsid w:val="00717B09"/>
    <w:rsid w:val="00720641"/>
    <w:rsid w:val="00720E06"/>
    <w:rsid w:val="00720E44"/>
    <w:rsid w:val="00721364"/>
    <w:rsid w:val="00721EE9"/>
    <w:rsid w:val="0072202A"/>
    <w:rsid w:val="00723763"/>
    <w:rsid w:val="00723E9C"/>
    <w:rsid w:val="00724026"/>
    <w:rsid w:val="00724553"/>
    <w:rsid w:val="00725732"/>
    <w:rsid w:val="007257E1"/>
    <w:rsid w:val="00726FF6"/>
    <w:rsid w:val="00730147"/>
    <w:rsid w:val="00730562"/>
    <w:rsid w:val="00732C47"/>
    <w:rsid w:val="00733C29"/>
    <w:rsid w:val="007362F2"/>
    <w:rsid w:val="007403B3"/>
    <w:rsid w:val="007407FE"/>
    <w:rsid w:val="00741362"/>
    <w:rsid w:val="00741B35"/>
    <w:rsid w:val="007423D3"/>
    <w:rsid w:val="007427CC"/>
    <w:rsid w:val="00742BCE"/>
    <w:rsid w:val="00742D8F"/>
    <w:rsid w:val="00743A19"/>
    <w:rsid w:val="007452F8"/>
    <w:rsid w:val="007457E8"/>
    <w:rsid w:val="00745856"/>
    <w:rsid w:val="007467F8"/>
    <w:rsid w:val="00747690"/>
    <w:rsid w:val="0074787E"/>
    <w:rsid w:val="00747BF9"/>
    <w:rsid w:val="00747C41"/>
    <w:rsid w:val="00751850"/>
    <w:rsid w:val="00752F93"/>
    <w:rsid w:val="0075455C"/>
    <w:rsid w:val="00754B88"/>
    <w:rsid w:val="0075622C"/>
    <w:rsid w:val="007569A7"/>
    <w:rsid w:val="00756FF8"/>
    <w:rsid w:val="00757AAE"/>
    <w:rsid w:val="0076069A"/>
    <w:rsid w:val="00760E74"/>
    <w:rsid w:val="007610A9"/>
    <w:rsid w:val="00762BC5"/>
    <w:rsid w:val="0076328E"/>
    <w:rsid w:val="00763319"/>
    <w:rsid w:val="007638AD"/>
    <w:rsid w:val="00763A4B"/>
    <w:rsid w:val="007647BD"/>
    <w:rsid w:val="00764B98"/>
    <w:rsid w:val="00765A06"/>
    <w:rsid w:val="0076689D"/>
    <w:rsid w:val="00767426"/>
    <w:rsid w:val="00767669"/>
    <w:rsid w:val="00771867"/>
    <w:rsid w:val="00771A8D"/>
    <w:rsid w:val="007720E5"/>
    <w:rsid w:val="007753E7"/>
    <w:rsid w:val="00775E29"/>
    <w:rsid w:val="00777706"/>
    <w:rsid w:val="007822EE"/>
    <w:rsid w:val="007834B9"/>
    <w:rsid w:val="00783566"/>
    <w:rsid w:val="007848C4"/>
    <w:rsid w:val="00784E04"/>
    <w:rsid w:val="00785885"/>
    <w:rsid w:val="00785F70"/>
    <w:rsid w:val="007873D2"/>
    <w:rsid w:val="00791C61"/>
    <w:rsid w:val="00796D6F"/>
    <w:rsid w:val="0079717C"/>
    <w:rsid w:val="00797582"/>
    <w:rsid w:val="007A0A6D"/>
    <w:rsid w:val="007A16CF"/>
    <w:rsid w:val="007A32CC"/>
    <w:rsid w:val="007A38AC"/>
    <w:rsid w:val="007A4FD9"/>
    <w:rsid w:val="007A50EA"/>
    <w:rsid w:val="007A5EC4"/>
    <w:rsid w:val="007A658C"/>
    <w:rsid w:val="007A7263"/>
    <w:rsid w:val="007A7ED2"/>
    <w:rsid w:val="007B2F30"/>
    <w:rsid w:val="007B3224"/>
    <w:rsid w:val="007B40B2"/>
    <w:rsid w:val="007B4E45"/>
    <w:rsid w:val="007B53EC"/>
    <w:rsid w:val="007B55A8"/>
    <w:rsid w:val="007B6987"/>
    <w:rsid w:val="007B69E7"/>
    <w:rsid w:val="007B73CB"/>
    <w:rsid w:val="007B7E81"/>
    <w:rsid w:val="007C0A90"/>
    <w:rsid w:val="007C10BE"/>
    <w:rsid w:val="007C16BC"/>
    <w:rsid w:val="007C1968"/>
    <w:rsid w:val="007C2FA9"/>
    <w:rsid w:val="007C331E"/>
    <w:rsid w:val="007C43ED"/>
    <w:rsid w:val="007C541E"/>
    <w:rsid w:val="007C6427"/>
    <w:rsid w:val="007C661C"/>
    <w:rsid w:val="007D07CD"/>
    <w:rsid w:val="007D0BA3"/>
    <w:rsid w:val="007D123A"/>
    <w:rsid w:val="007D2874"/>
    <w:rsid w:val="007D3A65"/>
    <w:rsid w:val="007D3C70"/>
    <w:rsid w:val="007D5402"/>
    <w:rsid w:val="007D5B30"/>
    <w:rsid w:val="007E08D4"/>
    <w:rsid w:val="007E1C0F"/>
    <w:rsid w:val="007E1C67"/>
    <w:rsid w:val="007E3FC6"/>
    <w:rsid w:val="007E41B4"/>
    <w:rsid w:val="007E6251"/>
    <w:rsid w:val="007F0958"/>
    <w:rsid w:val="007F0DEF"/>
    <w:rsid w:val="007F286B"/>
    <w:rsid w:val="007F2D43"/>
    <w:rsid w:val="007F543A"/>
    <w:rsid w:val="007F5C17"/>
    <w:rsid w:val="007F5C25"/>
    <w:rsid w:val="007F6B8D"/>
    <w:rsid w:val="007F7C8E"/>
    <w:rsid w:val="008015A5"/>
    <w:rsid w:val="008027BE"/>
    <w:rsid w:val="00802AF7"/>
    <w:rsid w:val="00802C3F"/>
    <w:rsid w:val="00802E46"/>
    <w:rsid w:val="008032B4"/>
    <w:rsid w:val="00803A9E"/>
    <w:rsid w:val="008041B1"/>
    <w:rsid w:val="00804A36"/>
    <w:rsid w:val="00810751"/>
    <w:rsid w:val="00811730"/>
    <w:rsid w:val="00813B8E"/>
    <w:rsid w:val="008142B3"/>
    <w:rsid w:val="00815FDA"/>
    <w:rsid w:val="00816BD0"/>
    <w:rsid w:val="00817352"/>
    <w:rsid w:val="00817395"/>
    <w:rsid w:val="008173BF"/>
    <w:rsid w:val="0081768C"/>
    <w:rsid w:val="00817CB0"/>
    <w:rsid w:val="008214AF"/>
    <w:rsid w:val="008217DB"/>
    <w:rsid w:val="00823648"/>
    <w:rsid w:val="00823E39"/>
    <w:rsid w:val="0082462E"/>
    <w:rsid w:val="00824AB3"/>
    <w:rsid w:val="00825FC1"/>
    <w:rsid w:val="0083181F"/>
    <w:rsid w:val="00832DB7"/>
    <w:rsid w:val="00832EFA"/>
    <w:rsid w:val="00833401"/>
    <w:rsid w:val="0083623F"/>
    <w:rsid w:val="00837A46"/>
    <w:rsid w:val="00843B1F"/>
    <w:rsid w:val="00845762"/>
    <w:rsid w:val="00845B82"/>
    <w:rsid w:val="008466C4"/>
    <w:rsid w:val="0084738F"/>
    <w:rsid w:val="008520D5"/>
    <w:rsid w:val="008536BB"/>
    <w:rsid w:val="00856346"/>
    <w:rsid w:val="00856675"/>
    <w:rsid w:val="008572A4"/>
    <w:rsid w:val="0086163B"/>
    <w:rsid w:val="00861A9A"/>
    <w:rsid w:val="0086203C"/>
    <w:rsid w:val="00862179"/>
    <w:rsid w:val="0086270A"/>
    <w:rsid w:val="00865998"/>
    <w:rsid w:val="00866268"/>
    <w:rsid w:val="00866FFD"/>
    <w:rsid w:val="00872320"/>
    <w:rsid w:val="0087280E"/>
    <w:rsid w:val="0087465B"/>
    <w:rsid w:val="0087731B"/>
    <w:rsid w:val="008820E9"/>
    <w:rsid w:val="00882763"/>
    <w:rsid w:val="00883346"/>
    <w:rsid w:val="00883E4E"/>
    <w:rsid w:val="00887877"/>
    <w:rsid w:val="00891ED9"/>
    <w:rsid w:val="008937D9"/>
    <w:rsid w:val="008957B6"/>
    <w:rsid w:val="008A0ACD"/>
    <w:rsid w:val="008A1379"/>
    <w:rsid w:val="008A13C9"/>
    <w:rsid w:val="008A13E6"/>
    <w:rsid w:val="008A2953"/>
    <w:rsid w:val="008A5F18"/>
    <w:rsid w:val="008A71F4"/>
    <w:rsid w:val="008A774E"/>
    <w:rsid w:val="008A7BC9"/>
    <w:rsid w:val="008B04F9"/>
    <w:rsid w:val="008B259B"/>
    <w:rsid w:val="008B45E5"/>
    <w:rsid w:val="008B49F9"/>
    <w:rsid w:val="008B4E0E"/>
    <w:rsid w:val="008B548A"/>
    <w:rsid w:val="008B5DA1"/>
    <w:rsid w:val="008B5EF7"/>
    <w:rsid w:val="008C2592"/>
    <w:rsid w:val="008C30BB"/>
    <w:rsid w:val="008C5EBD"/>
    <w:rsid w:val="008C692A"/>
    <w:rsid w:val="008C7236"/>
    <w:rsid w:val="008D04E8"/>
    <w:rsid w:val="008D1EB0"/>
    <w:rsid w:val="008D27DD"/>
    <w:rsid w:val="008D5211"/>
    <w:rsid w:val="008D758F"/>
    <w:rsid w:val="008E0C74"/>
    <w:rsid w:val="008E6832"/>
    <w:rsid w:val="008E72A6"/>
    <w:rsid w:val="008E77DD"/>
    <w:rsid w:val="008E7A05"/>
    <w:rsid w:val="008E7FF6"/>
    <w:rsid w:val="008F0F62"/>
    <w:rsid w:val="008F1352"/>
    <w:rsid w:val="008F1B7A"/>
    <w:rsid w:val="008F2074"/>
    <w:rsid w:val="008F39DB"/>
    <w:rsid w:val="008F4412"/>
    <w:rsid w:val="008F499A"/>
    <w:rsid w:val="008F569E"/>
    <w:rsid w:val="008F664E"/>
    <w:rsid w:val="008F7ACC"/>
    <w:rsid w:val="008F7C81"/>
    <w:rsid w:val="009003A8"/>
    <w:rsid w:val="00900B8A"/>
    <w:rsid w:val="00901D44"/>
    <w:rsid w:val="009024B6"/>
    <w:rsid w:val="009039CB"/>
    <w:rsid w:val="00904956"/>
    <w:rsid w:val="00905E48"/>
    <w:rsid w:val="00905EEC"/>
    <w:rsid w:val="0090771B"/>
    <w:rsid w:val="0091159B"/>
    <w:rsid w:val="00911C6B"/>
    <w:rsid w:val="0091276E"/>
    <w:rsid w:val="00914855"/>
    <w:rsid w:val="00914A20"/>
    <w:rsid w:val="00916ACB"/>
    <w:rsid w:val="00916BEA"/>
    <w:rsid w:val="009200A6"/>
    <w:rsid w:val="00922DE2"/>
    <w:rsid w:val="00922E89"/>
    <w:rsid w:val="0092471B"/>
    <w:rsid w:val="00924E17"/>
    <w:rsid w:val="009255FF"/>
    <w:rsid w:val="0092562C"/>
    <w:rsid w:val="00927A9F"/>
    <w:rsid w:val="0093107C"/>
    <w:rsid w:val="009321F4"/>
    <w:rsid w:val="0093235C"/>
    <w:rsid w:val="00932A3A"/>
    <w:rsid w:val="00932CAE"/>
    <w:rsid w:val="00932E46"/>
    <w:rsid w:val="009330AB"/>
    <w:rsid w:val="00933A8D"/>
    <w:rsid w:val="00933C01"/>
    <w:rsid w:val="00935090"/>
    <w:rsid w:val="00935276"/>
    <w:rsid w:val="00935EBA"/>
    <w:rsid w:val="00937671"/>
    <w:rsid w:val="00942BA9"/>
    <w:rsid w:val="0094359F"/>
    <w:rsid w:val="00944FD5"/>
    <w:rsid w:val="0094598F"/>
    <w:rsid w:val="00945A9D"/>
    <w:rsid w:val="00946409"/>
    <w:rsid w:val="00946AB2"/>
    <w:rsid w:val="00947595"/>
    <w:rsid w:val="00947605"/>
    <w:rsid w:val="0095063A"/>
    <w:rsid w:val="00952877"/>
    <w:rsid w:val="009529AD"/>
    <w:rsid w:val="00952EF2"/>
    <w:rsid w:val="0095300C"/>
    <w:rsid w:val="009537D8"/>
    <w:rsid w:val="009539A1"/>
    <w:rsid w:val="00953EEF"/>
    <w:rsid w:val="00955FB6"/>
    <w:rsid w:val="009575FA"/>
    <w:rsid w:val="00957960"/>
    <w:rsid w:val="0096206A"/>
    <w:rsid w:val="00962105"/>
    <w:rsid w:val="009629CB"/>
    <w:rsid w:val="009647BE"/>
    <w:rsid w:val="00966A2D"/>
    <w:rsid w:val="009673B8"/>
    <w:rsid w:val="00967418"/>
    <w:rsid w:val="00970727"/>
    <w:rsid w:val="00970CA8"/>
    <w:rsid w:val="00971906"/>
    <w:rsid w:val="00972392"/>
    <w:rsid w:val="00972F9D"/>
    <w:rsid w:val="009738A7"/>
    <w:rsid w:val="009751C6"/>
    <w:rsid w:val="00977976"/>
    <w:rsid w:val="00977C64"/>
    <w:rsid w:val="0098066A"/>
    <w:rsid w:val="00982722"/>
    <w:rsid w:val="009829CD"/>
    <w:rsid w:val="00985062"/>
    <w:rsid w:val="0099153D"/>
    <w:rsid w:val="00991E72"/>
    <w:rsid w:val="00992623"/>
    <w:rsid w:val="0099297B"/>
    <w:rsid w:val="009930F7"/>
    <w:rsid w:val="0099377D"/>
    <w:rsid w:val="009938BC"/>
    <w:rsid w:val="00993B42"/>
    <w:rsid w:val="00995A84"/>
    <w:rsid w:val="00996884"/>
    <w:rsid w:val="00997035"/>
    <w:rsid w:val="009A0CC7"/>
    <w:rsid w:val="009A1B2E"/>
    <w:rsid w:val="009A285C"/>
    <w:rsid w:val="009A36B3"/>
    <w:rsid w:val="009A42FF"/>
    <w:rsid w:val="009A4426"/>
    <w:rsid w:val="009B0894"/>
    <w:rsid w:val="009B140E"/>
    <w:rsid w:val="009B28B1"/>
    <w:rsid w:val="009B2A42"/>
    <w:rsid w:val="009B40A3"/>
    <w:rsid w:val="009B411F"/>
    <w:rsid w:val="009B57A5"/>
    <w:rsid w:val="009B6419"/>
    <w:rsid w:val="009B7375"/>
    <w:rsid w:val="009B7F8C"/>
    <w:rsid w:val="009C0346"/>
    <w:rsid w:val="009C08CE"/>
    <w:rsid w:val="009C2059"/>
    <w:rsid w:val="009C331D"/>
    <w:rsid w:val="009C5E6B"/>
    <w:rsid w:val="009C6F0F"/>
    <w:rsid w:val="009D22AE"/>
    <w:rsid w:val="009D25D5"/>
    <w:rsid w:val="009D3058"/>
    <w:rsid w:val="009D383F"/>
    <w:rsid w:val="009D3F44"/>
    <w:rsid w:val="009D427F"/>
    <w:rsid w:val="009D4536"/>
    <w:rsid w:val="009D46F2"/>
    <w:rsid w:val="009D59A7"/>
    <w:rsid w:val="009D5DBA"/>
    <w:rsid w:val="009D61CD"/>
    <w:rsid w:val="009D65EB"/>
    <w:rsid w:val="009D750C"/>
    <w:rsid w:val="009E0B96"/>
    <w:rsid w:val="009E0C48"/>
    <w:rsid w:val="009E288E"/>
    <w:rsid w:val="009E2E63"/>
    <w:rsid w:val="009E3764"/>
    <w:rsid w:val="009E37F2"/>
    <w:rsid w:val="009E422B"/>
    <w:rsid w:val="009E5BA8"/>
    <w:rsid w:val="009E64EA"/>
    <w:rsid w:val="009E6588"/>
    <w:rsid w:val="009E75CE"/>
    <w:rsid w:val="009E77D8"/>
    <w:rsid w:val="009E7CD7"/>
    <w:rsid w:val="009F0382"/>
    <w:rsid w:val="009F0B6D"/>
    <w:rsid w:val="009F14B0"/>
    <w:rsid w:val="009F168B"/>
    <w:rsid w:val="009F1AF6"/>
    <w:rsid w:val="009F2C92"/>
    <w:rsid w:val="009F4781"/>
    <w:rsid w:val="009F67F3"/>
    <w:rsid w:val="009F7967"/>
    <w:rsid w:val="00A025DE"/>
    <w:rsid w:val="00A04879"/>
    <w:rsid w:val="00A05BA3"/>
    <w:rsid w:val="00A061C5"/>
    <w:rsid w:val="00A06FE9"/>
    <w:rsid w:val="00A071BD"/>
    <w:rsid w:val="00A07D75"/>
    <w:rsid w:val="00A10754"/>
    <w:rsid w:val="00A11284"/>
    <w:rsid w:val="00A11460"/>
    <w:rsid w:val="00A11BD2"/>
    <w:rsid w:val="00A13BC3"/>
    <w:rsid w:val="00A1449E"/>
    <w:rsid w:val="00A15988"/>
    <w:rsid w:val="00A161FA"/>
    <w:rsid w:val="00A17140"/>
    <w:rsid w:val="00A21969"/>
    <w:rsid w:val="00A2291A"/>
    <w:rsid w:val="00A22B31"/>
    <w:rsid w:val="00A22C97"/>
    <w:rsid w:val="00A2337E"/>
    <w:rsid w:val="00A23ACF"/>
    <w:rsid w:val="00A23BAF"/>
    <w:rsid w:val="00A2681E"/>
    <w:rsid w:val="00A26DD7"/>
    <w:rsid w:val="00A307C6"/>
    <w:rsid w:val="00A31A67"/>
    <w:rsid w:val="00A32857"/>
    <w:rsid w:val="00A35895"/>
    <w:rsid w:val="00A36001"/>
    <w:rsid w:val="00A3632A"/>
    <w:rsid w:val="00A36687"/>
    <w:rsid w:val="00A370A0"/>
    <w:rsid w:val="00A3763C"/>
    <w:rsid w:val="00A376D1"/>
    <w:rsid w:val="00A41263"/>
    <w:rsid w:val="00A41C2F"/>
    <w:rsid w:val="00A42932"/>
    <w:rsid w:val="00A42DB2"/>
    <w:rsid w:val="00A4426B"/>
    <w:rsid w:val="00A450C4"/>
    <w:rsid w:val="00A450EA"/>
    <w:rsid w:val="00A47606"/>
    <w:rsid w:val="00A4778C"/>
    <w:rsid w:val="00A53D8E"/>
    <w:rsid w:val="00A53F71"/>
    <w:rsid w:val="00A54C98"/>
    <w:rsid w:val="00A55631"/>
    <w:rsid w:val="00A55DAF"/>
    <w:rsid w:val="00A55E64"/>
    <w:rsid w:val="00A60AF5"/>
    <w:rsid w:val="00A61B96"/>
    <w:rsid w:val="00A62C6E"/>
    <w:rsid w:val="00A65597"/>
    <w:rsid w:val="00A657A6"/>
    <w:rsid w:val="00A65980"/>
    <w:rsid w:val="00A65ACC"/>
    <w:rsid w:val="00A67336"/>
    <w:rsid w:val="00A676BD"/>
    <w:rsid w:val="00A67A98"/>
    <w:rsid w:val="00A726F9"/>
    <w:rsid w:val="00A72AA7"/>
    <w:rsid w:val="00A72B6D"/>
    <w:rsid w:val="00A74754"/>
    <w:rsid w:val="00A74868"/>
    <w:rsid w:val="00A758A7"/>
    <w:rsid w:val="00A75EC9"/>
    <w:rsid w:val="00A75F23"/>
    <w:rsid w:val="00A77702"/>
    <w:rsid w:val="00A81023"/>
    <w:rsid w:val="00A81C3D"/>
    <w:rsid w:val="00A82E0C"/>
    <w:rsid w:val="00A84DB2"/>
    <w:rsid w:val="00A86344"/>
    <w:rsid w:val="00A863BF"/>
    <w:rsid w:val="00A869E4"/>
    <w:rsid w:val="00A914C3"/>
    <w:rsid w:val="00A91E2A"/>
    <w:rsid w:val="00A929C4"/>
    <w:rsid w:val="00A931A8"/>
    <w:rsid w:val="00A93E4A"/>
    <w:rsid w:val="00A94BFD"/>
    <w:rsid w:val="00A9555D"/>
    <w:rsid w:val="00A971D5"/>
    <w:rsid w:val="00AA056B"/>
    <w:rsid w:val="00AA074A"/>
    <w:rsid w:val="00AA0F93"/>
    <w:rsid w:val="00AA2E78"/>
    <w:rsid w:val="00AA686A"/>
    <w:rsid w:val="00AA710D"/>
    <w:rsid w:val="00AB0277"/>
    <w:rsid w:val="00AB21C2"/>
    <w:rsid w:val="00AB2BA2"/>
    <w:rsid w:val="00AB4121"/>
    <w:rsid w:val="00AB4323"/>
    <w:rsid w:val="00AB5E46"/>
    <w:rsid w:val="00AC20D2"/>
    <w:rsid w:val="00AC5810"/>
    <w:rsid w:val="00AC6844"/>
    <w:rsid w:val="00AC6B91"/>
    <w:rsid w:val="00AD06F2"/>
    <w:rsid w:val="00AD0BB8"/>
    <w:rsid w:val="00AD0EDA"/>
    <w:rsid w:val="00AD2AF4"/>
    <w:rsid w:val="00AD2C41"/>
    <w:rsid w:val="00AD4D41"/>
    <w:rsid w:val="00AD68B1"/>
    <w:rsid w:val="00AE06C6"/>
    <w:rsid w:val="00AE1827"/>
    <w:rsid w:val="00AE298B"/>
    <w:rsid w:val="00AE4EF5"/>
    <w:rsid w:val="00AE5D92"/>
    <w:rsid w:val="00AE5E00"/>
    <w:rsid w:val="00AE5E94"/>
    <w:rsid w:val="00AE775B"/>
    <w:rsid w:val="00AE7B70"/>
    <w:rsid w:val="00AF1F7B"/>
    <w:rsid w:val="00AF3039"/>
    <w:rsid w:val="00AF3E08"/>
    <w:rsid w:val="00AF4AC5"/>
    <w:rsid w:val="00AF71CF"/>
    <w:rsid w:val="00B007DA"/>
    <w:rsid w:val="00B02493"/>
    <w:rsid w:val="00B0278F"/>
    <w:rsid w:val="00B03794"/>
    <w:rsid w:val="00B03DDD"/>
    <w:rsid w:val="00B03F08"/>
    <w:rsid w:val="00B068E2"/>
    <w:rsid w:val="00B06FD0"/>
    <w:rsid w:val="00B104C7"/>
    <w:rsid w:val="00B10CDE"/>
    <w:rsid w:val="00B126E4"/>
    <w:rsid w:val="00B12F5B"/>
    <w:rsid w:val="00B13813"/>
    <w:rsid w:val="00B14303"/>
    <w:rsid w:val="00B17BE7"/>
    <w:rsid w:val="00B2229F"/>
    <w:rsid w:val="00B2246E"/>
    <w:rsid w:val="00B2398B"/>
    <w:rsid w:val="00B241B0"/>
    <w:rsid w:val="00B266AB"/>
    <w:rsid w:val="00B26A3E"/>
    <w:rsid w:val="00B30660"/>
    <w:rsid w:val="00B310D3"/>
    <w:rsid w:val="00B3226A"/>
    <w:rsid w:val="00B32F21"/>
    <w:rsid w:val="00B3446E"/>
    <w:rsid w:val="00B35073"/>
    <w:rsid w:val="00B35639"/>
    <w:rsid w:val="00B404F3"/>
    <w:rsid w:val="00B43792"/>
    <w:rsid w:val="00B44E98"/>
    <w:rsid w:val="00B455C6"/>
    <w:rsid w:val="00B4670D"/>
    <w:rsid w:val="00B469B4"/>
    <w:rsid w:val="00B46E37"/>
    <w:rsid w:val="00B471D8"/>
    <w:rsid w:val="00B51ADD"/>
    <w:rsid w:val="00B521C8"/>
    <w:rsid w:val="00B52791"/>
    <w:rsid w:val="00B53425"/>
    <w:rsid w:val="00B53A88"/>
    <w:rsid w:val="00B54275"/>
    <w:rsid w:val="00B548D9"/>
    <w:rsid w:val="00B54AAB"/>
    <w:rsid w:val="00B55485"/>
    <w:rsid w:val="00B57AAE"/>
    <w:rsid w:val="00B62A03"/>
    <w:rsid w:val="00B62D77"/>
    <w:rsid w:val="00B66D4A"/>
    <w:rsid w:val="00B671DD"/>
    <w:rsid w:val="00B70CE5"/>
    <w:rsid w:val="00B71119"/>
    <w:rsid w:val="00B73EF0"/>
    <w:rsid w:val="00B74994"/>
    <w:rsid w:val="00B7585A"/>
    <w:rsid w:val="00B76300"/>
    <w:rsid w:val="00B76822"/>
    <w:rsid w:val="00B77C41"/>
    <w:rsid w:val="00B80C01"/>
    <w:rsid w:val="00B80D82"/>
    <w:rsid w:val="00B82003"/>
    <w:rsid w:val="00B82770"/>
    <w:rsid w:val="00B83AC6"/>
    <w:rsid w:val="00B844CC"/>
    <w:rsid w:val="00B84AD7"/>
    <w:rsid w:val="00B85663"/>
    <w:rsid w:val="00B87BE6"/>
    <w:rsid w:val="00B9425E"/>
    <w:rsid w:val="00B942E7"/>
    <w:rsid w:val="00B9626D"/>
    <w:rsid w:val="00B975CD"/>
    <w:rsid w:val="00B97DA4"/>
    <w:rsid w:val="00B97EEE"/>
    <w:rsid w:val="00BA44C5"/>
    <w:rsid w:val="00BA605A"/>
    <w:rsid w:val="00BA6085"/>
    <w:rsid w:val="00BA759A"/>
    <w:rsid w:val="00BA7B55"/>
    <w:rsid w:val="00BB09F6"/>
    <w:rsid w:val="00BB15D6"/>
    <w:rsid w:val="00BB1793"/>
    <w:rsid w:val="00BB52C6"/>
    <w:rsid w:val="00BB5D17"/>
    <w:rsid w:val="00BB7B78"/>
    <w:rsid w:val="00BC0486"/>
    <w:rsid w:val="00BC15E2"/>
    <w:rsid w:val="00BC21A7"/>
    <w:rsid w:val="00BC2B6E"/>
    <w:rsid w:val="00BC3604"/>
    <w:rsid w:val="00BC46D7"/>
    <w:rsid w:val="00BC46EB"/>
    <w:rsid w:val="00BC5CE7"/>
    <w:rsid w:val="00BC6C90"/>
    <w:rsid w:val="00BC789C"/>
    <w:rsid w:val="00BC7DB2"/>
    <w:rsid w:val="00BD2A31"/>
    <w:rsid w:val="00BD5107"/>
    <w:rsid w:val="00BD5B14"/>
    <w:rsid w:val="00BD5DE5"/>
    <w:rsid w:val="00BD613C"/>
    <w:rsid w:val="00BD6E7C"/>
    <w:rsid w:val="00BD72C0"/>
    <w:rsid w:val="00BE1656"/>
    <w:rsid w:val="00BE2609"/>
    <w:rsid w:val="00BE27C9"/>
    <w:rsid w:val="00BE308E"/>
    <w:rsid w:val="00BE5136"/>
    <w:rsid w:val="00BE573C"/>
    <w:rsid w:val="00BE61FD"/>
    <w:rsid w:val="00BE6E66"/>
    <w:rsid w:val="00BE7EA7"/>
    <w:rsid w:val="00BF099D"/>
    <w:rsid w:val="00BF0B7A"/>
    <w:rsid w:val="00BF1074"/>
    <w:rsid w:val="00BF27D8"/>
    <w:rsid w:val="00BF38E5"/>
    <w:rsid w:val="00BF3C40"/>
    <w:rsid w:val="00BF3F5E"/>
    <w:rsid w:val="00BF4DDC"/>
    <w:rsid w:val="00BF562B"/>
    <w:rsid w:val="00BF5D8E"/>
    <w:rsid w:val="00BF6CD1"/>
    <w:rsid w:val="00BF75ED"/>
    <w:rsid w:val="00C010C0"/>
    <w:rsid w:val="00C03405"/>
    <w:rsid w:val="00C03EDA"/>
    <w:rsid w:val="00C04893"/>
    <w:rsid w:val="00C04A1F"/>
    <w:rsid w:val="00C04D5C"/>
    <w:rsid w:val="00C0530D"/>
    <w:rsid w:val="00C05BCD"/>
    <w:rsid w:val="00C103F2"/>
    <w:rsid w:val="00C10418"/>
    <w:rsid w:val="00C112E8"/>
    <w:rsid w:val="00C11B6F"/>
    <w:rsid w:val="00C137A2"/>
    <w:rsid w:val="00C13EBD"/>
    <w:rsid w:val="00C1434A"/>
    <w:rsid w:val="00C155DD"/>
    <w:rsid w:val="00C1585F"/>
    <w:rsid w:val="00C170F5"/>
    <w:rsid w:val="00C17D38"/>
    <w:rsid w:val="00C210F2"/>
    <w:rsid w:val="00C22BEA"/>
    <w:rsid w:val="00C23992"/>
    <w:rsid w:val="00C25980"/>
    <w:rsid w:val="00C25B90"/>
    <w:rsid w:val="00C3234F"/>
    <w:rsid w:val="00C3317A"/>
    <w:rsid w:val="00C3409D"/>
    <w:rsid w:val="00C34981"/>
    <w:rsid w:val="00C3579C"/>
    <w:rsid w:val="00C37FE0"/>
    <w:rsid w:val="00C4222B"/>
    <w:rsid w:val="00C42E41"/>
    <w:rsid w:val="00C44A27"/>
    <w:rsid w:val="00C45857"/>
    <w:rsid w:val="00C46E48"/>
    <w:rsid w:val="00C477B1"/>
    <w:rsid w:val="00C54DB5"/>
    <w:rsid w:val="00C55000"/>
    <w:rsid w:val="00C55730"/>
    <w:rsid w:val="00C55C08"/>
    <w:rsid w:val="00C55EE4"/>
    <w:rsid w:val="00C5646F"/>
    <w:rsid w:val="00C5749C"/>
    <w:rsid w:val="00C57E2A"/>
    <w:rsid w:val="00C62096"/>
    <w:rsid w:val="00C64F2D"/>
    <w:rsid w:val="00C65278"/>
    <w:rsid w:val="00C6645F"/>
    <w:rsid w:val="00C679A7"/>
    <w:rsid w:val="00C71F9F"/>
    <w:rsid w:val="00C73F89"/>
    <w:rsid w:val="00C74E77"/>
    <w:rsid w:val="00C76C44"/>
    <w:rsid w:val="00C819C2"/>
    <w:rsid w:val="00C84B9B"/>
    <w:rsid w:val="00C867FB"/>
    <w:rsid w:val="00C86A3F"/>
    <w:rsid w:val="00C8717C"/>
    <w:rsid w:val="00C9001E"/>
    <w:rsid w:val="00C90885"/>
    <w:rsid w:val="00C90ADD"/>
    <w:rsid w:val="00C91891"/>
    <w:rsid w:val="00C93489"/>
    <w:rsid w:val="00C949F2"/>
    <w:rsid w:val="00C958EF"/>
    <w:rsid w:val="00C960FD"/>
    <w:rsid w:val="00C96259"/>
    <w:rsid w:val="00C964E0"/>
    <w:rsid w:val="00C96676"/>
    <w:rsid w:val="00C97293"/>
    <w:rsid w:val="00CA633F"/>
    <w:rsid w:val="00CA776C"/>
    <w:rsid w:val="00CB09E4"/>
    <w:rsid w:val="00CB1124"/>
    <w:rsid w:val="00CB1660"/>
    <w:rsid w:val="00CB1BE9"/>
    <w:rsid w:val="00CB243F"/>
    <w:rsid w:val="00CB386B"/>
    <w:rsid w:val="00CB490D"/>
    <w:rsid w:val="00CB5A23"/>
    <w:rsid w:val="00CC092A"/>
    <w:rsid w:val="00CC4482"/>
    <w:rsid w:val="00CC64E9"/>
    <w:rsid w:val="00CD09CA"/>
    <w:rsid w:val="00CD2728"/>
    <w:rsid w:val="00CD2C4E"/>
    <w:rsid w:val="00CD3D73"/>
    <w:rsid w:val="00CD4F69"/>
    <w:rsid w:val="00CD5B3E"/>
    <w:rsid w:val="00CD680F"/>
    <w:rsid w:val="00CD7123"/>
    <w:rsid w:val="00CE018F"/>
    <w:rsid w:val="00CE051F"/>
    <w:rsid w:val="00CE1066"/>
    <w:rsid w:val="00CE1227"/>
    <w:rsid w:val="00CE1FB7"/>
    <w:rsid w:val="00CE1FC9"/>
    <w:rsid w:val="00CE2EE0"/>
    <w:rsid w:val="00CE4432"/>
    <w:rsid w:val="00CE5C91"/>
    <w:rsid w:val="00CE63A3"/>
    <w:rsid w:val="00CF2E83"/>
    <w:rsid w:val="00CF3004"/>
    <w:rsid w:val="00CF308B"/>
    <w:rsid w:val="00CF3502"/>
    <w:rsid w:val="00CF4C9A"/>
    <w:rsid w:val="00CF5A40"/>
    <w:rsid w:val="00CF6368"/>
    <w:rsid w:val="00D00821"/>
    <w:rsid w:val="00D0123B"/>
    <w:rsid w:val="00D01944"/>
    <w:rsid w:val="00D01A69"/>
    <w:rsid w:val="00D022DA"/>
    <w:rsid w:val="00D02530"/>
    <w:rsid w:val="00D03A37"/>
    <w:rsid w:val="00D04487"/>
    <w:rsid w:val="00D066D0"/>
    <w:rsid w:val="00D07911"/>
    <w:rsid w:val="00D07BFD"/>
    <w:rsid w:val="00D07E03"/>
    <w:rsid w:val="00D10583"/>
    <w:rsid w:val="00D109E3"/>
    <w:rsid w:val="00D10FCB"/>
    <w:rsid w:val="00D116F6"/>
    <w:rsid w:val="00D11F71"/>
    <w:rsid w:val="00D122F2"/>
    <w:rsid w:val="00D134AD"/>
    <w:rsid w:val="00D138EE"/>
    <w:rsid w:val="00D14899"/>
    <w:rsid w:val="00D16066"/>
    <w:rsid w:val="00D1634F"/>
    <w:rsid w:val="00D17859"/>
    <w:rsid w:val="00D22B41"/>
    <w:rsid w:val="00D22FF9"/>
    <w:rsid w:val="00D238EE"/>
    <w:rsid w:val="00D24CD1"/>
    <w:rsid w:val="00D25678"/>
    <w:rsid w:val="00D27C2A"/>
    <w:rsid w:val="00D306D5"/>
    <w:rsid w:val="00D32264"/>
    <w:rsid w:val="00D327C0"/>
    <w:rsid w:val="00D33040"/>
    <w:rsid w:val="00D331FE"/>
    <w:rsid w:val="00D34677"/>
    <w:rsid w:val="00D358D9"/>
    <w:rsid w:val="00D35CEB"/>
    <w:rsid w:val="00D3619E"/>
    <w:rsid w:val="00D36406"/>
    <w:rsid w:val="00D40D7F"/>
    <w:rsid w:val="00D40FEE"/>
    <w:rsid w:val="00D41970"/>
    <w:rsid w:val="00D446A9"/>
    <w:rsid w:val="00D44B78"/>
    <w:rsid w:val="00D452C4"/>
    <w:rsid w:val="00D4662B"/>
    <w:rsid w:val="00D47722"/>
    <w:rsid w:val="00D50D59"/>
    <w:rsid w:val="00D53A77"/>
    <w:rsid w:val="00D54500"/>
    <w:rsid w:val="00D57440"/>
    <w:rsid w:val="00D57516"/>
    <w:rsid w:val="00D5799A"/>
    <w:rsid w:val="00D61B92"/>
    <w:rsid w:val="00D620B4"/>
    <w:rsid w:val="00D63FDE"/>
    <w:rsid w:val="00D655F6"/>
    <w:rsid w:val="00D65724"/>
    <w:rsid w:val="00D65D1C"/>
    <w:rsid w:val="00D7076E"/>
    <w:rsid w:val="00D7110B"/>
    <w:rsid w:val="00D713AF"/>
    <w:rsid w:val="00D71EFE"/>
    <w:rsid w:val="00D721EA"/>
    <w:rsid w:val="00D72D3D"/>
    <w:rsid w:val="00D73D06"/>
    <w:rsid w:val="00D759B5"/>
    <w:rsid w:val="00D762D2"/>
    <w:rsid w:val="00D8243C"/>
    <w:rsid w:val="00D82BF7"/>
    <w:rsid w:val="00D84392"/>
    <w:rsid w:val="00D8497C"/>
    <w:rsid w:val="00D85A7D"/>
    <w:rsid w:val="00D92336"/>
    <w:rsid w:val="00D927BC"/>
    <w:rsid w:val="00D92D2D"/>
    <w:rsid w:val="00D931CE"/>
    <w:rsid w:val="00D93451"/>
    <w:rsid w:val="00D979EB"/>
    <w:rsid w:val="00DA07D7"/>
    <w:rsid w:val="00DA0C9D"/>
    <w:rsid w:val="00DA1156"/>
    <w:rsid w:val="00DA2ECE"/>
    <w:rsid w:val="00DA2F41"/>
    <w:rsid w:val="00DA30AB"/>
    <w:rsid w:val="00DA3CEE"/>
    <w:rsid w:val="00DA4CB6"/>
    <w:rsid w:val="00DA6968"/>
    <w:rsid w:val="00DB018D"/>
    <w:rsid w:val="00DB3D48"/>
    <w:rsid w:val="00DB3D9D"/>
    <w:rsid w:val="00DB50C3"/>
    <w:rsid w:val="00DB516F"/>
    <w:rsid w:val="00DB64C9"/>
    <w:rsid w:val="00DB7F3C"/>
    <w:rsid w:val="00DB7FE8"/>
    <w:rsid w:val="00DC0CA9"/>
    <w:rsid w:val="00DC24AC"/>
    <w:rsid w:val="00DC2CF4"/>
    <w:rsid w:val="00DC377E"/>
    <w:rsid w:val="00DC6D31"/>
    <w:rsid w:val="00DD0200"/>
    <w:rsid w:val="00DD0F06"/>
    <w:rsid w:val="00DD1040"/>
    <w:rsid w:val="00DD1094"/>
    <w:rsid w:val="00DD1314"/>
    <w:rsid w:val="00DD1359"/>
    <w:rsid w:val="00DD19ED"/>
    <w:rsid w:val="00DD25F7"/>
    <w:rsid w:val="00DD319F"/>
    <w:rsid w:val="00DD3844"/>
    <w:rsid w:val="00DD4A73"/>
    <w:rsid w:val="00DD5898"/>
    <w:rsid w:val="00DD7E5D"/>
    <w:rsid w:val="00DE18D0"/>
    <w:rsid w:val="00DE41EF"/>
    <w:rsid w:val="00DE4FE6"/>
    <w:rsid w:val="00DE5133"/>
    <w:rsid w:val="00DE5C98"/>
    <w:rsid w:val="00DE5FED"/>
    <w:rsid w:val="00DE603B"/>
    <w:rsid w:val="00DE6D99"/>
    <w:rsid w:val="00DF12C1"/>
    <w:rsid w:val="00DF2443"/>
    <w:rsid w:val="00DF34E5"/>
    <w:rsid w:val="00DF3E32"/>
    <w:rsid w:val="00DF41E7"/>
    <w:rsid w:val="00DF41EB"/>
    <w:rsid w:val="00DF73F6"/>
    <w:rsid w:val="00E00B6A"/>
    <w:rsid w:val="00E01731"/>
    <w:rsid w:val="00E01A2B"/>
    <w:rsid w:val="00E02710"/>
    <w:rsid w:val="00E03AF0"/>
    <w:rsid w:val="00E03C44"/>
    <w:rsid w:val="00E045E9"/>
    <w:rsid w:val="00E05663"/>
    <w:rsid w:val="00E0679E"/>
    <w:rsid w:val="00E1255A"/>
    <w:rsid w:val="00E1337A"/>
    <w:rsid w:val="00E13D7B"/>
    <w:rsid w:val="00E15949"/>
    <w:rsid w:val="00E1711B"/>
    <w:rsid w:val="00E1737E"/>
    <w:rsid w:val="00E17C7F"/>
    <w:rsid w:val="00E224F4"/>
    <w:rsid w:val="00E2264B"/>
    <w:rsid w:val="00E22FF2"/>
    <w:rsid w:val="00E25472"/>
    <w:rsid w:val="00E2705B"/>
    <w:rsid w:val="00E31C8F"/>
    <w:rsid w:val="00E335E7"/>
    <w:rsid w:val="00E33C0D"/>
    <w:rsid w:val="00E37CCA"/>
    <w:rsid w:val="00E40422"/>
    <w:rsid w:val="00E4092F"/>
    <w:rsid w:val="00E40FBD"/>
    <w:rsid w:val="00E425A6"/>
    <w:rsid w:val="00E42B3C"/>
    <w:rsid w:val="00E42B6B"/>
    <w:rsid w:val="00E44F3D"/>
    <w:rsid w:val="00E50278"/>
    <w:rsid w:val="00E51355"/>
    <w:rsid w:val="00E52D89"/>
    <w:rsid w:val="00E54294"/>
    <w:rsid w:val="00E543F9"/>
    <w:rsid w:val="00E55117"/>
    <w:rsid w:val="00E55A60"/>
    <w:rsid w:val="00E56718"/>
    <w:rsid w:val="00E56F0E"/>
    <w:rsid w:val="00E57610"/>
    <w:rsid w:val="00E612EB"/>
    <w:rsid w:val="00E639F6"/>
    <w:rsid w:val="00E64E7A"/>
    <w:rsid w:val="00E6548E"/>
    <w:rsid w:val="00E656B8"/>
    <w:rsid w:val="00E6640F"/>
    <w:rsid w:val="00E6699B"/>
    <w:rsid w:val="00E67196"/>
    <w:rsid w:val="00E672E7"/>
    <w:rsid w:val="00E71FDD"/>
    <w:rsid w:val="00E73F64"/>
    <w:rsid w:val="00E742AF"/>
    <w:rsid w:val="00E743F2"/>
    <w:rsid w:val="00E744D3"/>
    <w:rsid w:val="00E74837"/>
    <w:rsid w:val="00E757FE"/>
    <w:rsid w:val="00E762F0"/>
    <w:rsid w:val="00E77EF4"/>
    <w:rsid w:val="00E806FB"/>
    <w:rsid w:val="00E80B5D"/>
    <w:rsid w:val="00E810D1"/>
    <w:rsid w:val="00E82A24"/>
    <w:rsid w:val="00E8463A"/>
    <w:rsid w:val="00E851F8"/>
    <w:rsid w:val="00E862DE"/>
    <w:rsid w:val="00E863C6"/>
    <w:rsid w:val="00E86466"/>
    <w:rsid w:val="00E875B0"/>
    <w:rsid w:val="00E90110"/>
    <w:rsid w:val="00E927FA"/>
    <w:rsid w:val="00E93D2A"/>
    <w:rsid w:val="00E945F9"/>
    <w:rsid w:val="00E94DBE"/>
    <w:rsid w:val="00E95674"/>
    <w:rsid w:val="00E97A59"/>
    <w:rsid w:val="00EA0F53"/>
    <w:rsid w:val="00EA11F6"/>
    <w:rsid w:val="00EA36A7"/>
    <w:rsid w:val="00EA3ADB"/>
    <w:rsid w:val="00EA4581"/>
    <w:rsid w:val="00EA60EB"/>
    <w:rsid w:val="00EA674D"/>
    <w:rsid w:val="00EA7CA2"/>
    <w:rsid w:val="00EB0400"/>
    <w:rsid w:val="00EB08CC"/>
    <w:rsid w:val="00EB0D97"/>
    <w:rsid w:val="00EB12D1"/>
    <w:rsid w:val="00EB4011"/>
    <w:rsid w:val="00EB51CC"/>
    <w:rsid w:val="00EB534C"/>
    <w:rsid w:val="00EB7826"/>
    <w:rsid w:val="00EB785E"/>
    <w:rsid w:val="00EB7885"/>
    <w:rsid w:val="00EC0030"/>
    <w:rsid w:val="00EC199D"/>
    <w:rsid w:val="00EC349E"/>
    <w:rsid w:val="00EC568B"/>
    <w:rsid w:val="00EC56B6"/>
    <w:rsid w:val="00EC7C15"/>
    <w:rsid w:val="00EC7E83"/>
    <w:rsid w:val="00ED0F28"/>
    <w:rsid w:val="00ED27C2"/>
    <w:rsid w:val="00ED41E6"/>
    <w:rsid w:val="00ED5158"/>
    <w:rsid w:val="00ED5E04"/>
    <w:rsid w:val="00ED763A"/>
    <w:rsid w:val="00EE2B37"/>
    <w:rsid w:val="00EE2F3B"/>
    <w:rsid w:val="00EE3180"/>
    <w:rsid w:val="00EE3512"/>
    <w:rsid w:val="00EE368E"/>
    <w:rsid w:val="00EE3C91"/>
    <w:rsid w:val="00EE536F"/>
    <w:rsid w:val="00EE5A35"/>
    <w:rsid w:val="00EE6925"/>
    <w:rsid w:val="00EE725B"/>
    <w:rsid w:val="00EF25A1"/>
    <w:rsid w:val="00EF2AE9"/>
    <w:rsid w:val="00EF3EE2"/>
    <w:rsid w:val="00EF443B"/>
    <w:rsid w:val="00EF51BA"/>
    <w:rsid w:val="00EF6D2F"/>
    <w:rsid w:val="00F00FE7"/>
    <w:rsid w:val="00F0122B"/>
    <w:rsid w:val="00F0506F"/>
    <w:rsid w:val="00F05094"/>
    <w:rsid w:val="00F05D46"/>
    <w:rsid w:val="00F07221"/>
    <w:rsid w:val="00F10E03"/>
    <w:rsid w:val="00F12842"/>
    <w:rsid w:val="00F14001"/>
    <w:rsid w:val="00F15B66"/>
    <w:rsid w:val="00F17EBB"/>
    <w:rsid w:val="00F22DC6"/>
    <w:rsid w:val="00F264FB"/>
    <w:rsid w:val="00F26F7C"/>
    <w:rsid w:val="00F2744F"/>
    <w:rsid w:val="00F3149D"/>
    <w:rsid w:val="00F32224"/>
    <w:rsid w:val="00F3253D"/>
    <w:rsid w:val="00F3335A"/>
    <w:rsid w:val="00F3555B"/>
    <w:rsid w:val="00F36F37"/>
    <w:rsid w:val="00F4018C"/>
    <w:rsid w:val="00F402C5"/>
    <w:rsid w:val="00F406F2"/>
    <w:rsid w:val="00F407A6"/>
    <w:rsid w:val="00F40C0A"/>
    <w:rsid w:val="00F4124C"/>
    <w:rsid w:val="00F42C25"/>
    <w:rsid w:val="00F43A1B"/>
    <w:rsid w:val="00F4411F"/>
    <w:rsid w:val="00F442F4"/>
    <w:rsid w:val="00F460B4"/>
    <w:rsid w:val="00F46915"/>
    <w:rsid w:val="00F507A9"/>
    <w:rsid w:val="00F508E5"/>
    <w:rsid w:val="00F51169"/>
    <w:rsid w:val="00F54038"/>
    <w:rsid w:val="00F5475A"/>
    <w:rsid w:val="00F55D9E"/>
    <w:rsid w:val="00F56D58"/>
    <w:rsid w:val="00F60097"/>
    <w:rsid w:val="00F6028D"/>
    <w:rsid w:val="00F609D0"/>
    <w:rsid w:val="00F60BD3"/>
    <w:rsid w:val="00F60FF8"/>
    <w:rsid w:val="00F6100C"/>
    <w:rsid w:val="00F61C2B"/>
    <w:rsid w:val="00F61D73"/>
    <w:rsid w:val="00F62106"/>
    <w:rsid w:val="00F628D7"/>
    <w:rsid w:val="00F629A2"/>
    <w:rsid w:val="00F636CD"/>
    <w:rsid w:val="00F6397A"/>
    <w:rsid w:val="00F6458E"/>
    <w:rsid w:val="00F64F94"/>
    <w:rsid w:val="00F65269"/>
    <w:rsid w:val="00F657B3"/>
    <w:rsid w:val="00F7324A"/>
    <w:rsid w:val="00F73B1F"/>
    <w:rsid w:val="00F74E17"/>
    <w:rsid w:val="00F767B8"/>
    <w:rsid w:val="00F76836"/>
    <w:rsid w:val="00F76E89"/>
    <w:rsid w:val="00F771C4"/>
    <w:rsid w:val="00F77779"/>
    <w:rsid w:val="00F80F95"/>
    <w:rsid w:val="00F81CB4"/>
    <w:rsid w:val="00F81E6D"/>
    <w:rsid w:val="00F827D8"/>
    <w:rsid w:val="00F857E9"/>
    <w:rsid w:val="00F9068B"/>
    <w:rsid w:val="00F90A26"/>
    <w:rsid w:val="00F91431"/>
    <w:rsid w:val="00F91ADB"/>
    <w:rsid w:val="00F934BC"/>
    <w:rsid w:val="00F9353C"/>
    <w:rsid w:val="00F959E8"/>
    <w:rsid w:val="00F96A86"/>
    <w:rsid w:val="00FA04B9"/>
    <w:rsid w:val="00FA1F8A"/>
    <w:rsid w:val="00FA3899"/>
    <w:rsid w:val="00FA6FB9"/>
    <w:rsid w:val="00FB1103"/>
    <w:rsid w:val="00FB169C"/>
    <w:rsid w:val="00FB3028"/>
    <w:rsid w:val="00FB3682"/>
    <w:rsid w:val="00FB41BC"/>
    <w:rsid w:val="00FB5BF7"/>
    <w:rsid w:val="00FB6204"/>
    <w:rsid w:val="00FB68D1"/>
    <w:rsid w:val="00FB6D6D"/>
    <w:rsid w:val="00FB71B1"/>
    <w:rsid w:val="00FC275C"/>
    <w:rsid w:val="00FC2D59"/>
    <w:rsid w:val="00FC74B8"/>
    <w:rsid w:val="00FD00A6"/>
    <w:rsid w:val="00FD0F37"/>
    <w:rsid w:val="00FD2455"/>
    <w:rsid w:val="00FD2CD7"/>
    <w:rsid w:val="00FD4FA1"/>
    <w:rsid w:val="00FD5514"/>
    <w:rsid w:val="00FD7799"/>
    <w:rsid w:val="00FE07B7"/>
    <w:rsid w:val="00FE0DAC"/>
    <w:rsid w:val="00FE23D2"/>
    <w:rsid w:val="00FE34F5"/>
    <w:rsid w:val="00FE3ED6"/>
    <w:rsid w:val="00FE47A1"/>
    <w:rsid w:val="00FE644C"/>
    <w:rsid w:val="00FF0367"/>
    <w:rsid w:val="00FF0C5D"/>
    <w:rsid w:val="00FF1875"/>
    <w:rsid w:val="00FF1CF9"/>
    <w:rsid w:val="00FF2481"/>
    <w:rsid w:val="00FF2F90"/>
    <w:rsid w:val="00FF4189"/>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7C2D7F05"/>
  <w15:docId w15:val="{9B276E5A-9481-4A95-AFC0-09325CF0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imes New Roman" w:hAnsi="Franklin Gothic Book" w:cs="Times New Roman"/>
        <w:sz w:val="22"/>
        <w:szCs w:val="22"/>
        <w:lang w:val="en-US" w:eastAsia="en-US" w:bidi="ar-SA"/>
      </w:rPr>
    </w:rPrDefault>
    <w:pPrDefault>
      <w:pPr>
        <w:spacing w:before="200" w:after="200"/>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nhideWhenUsed="1"/>
    <w:lsdException w:name="heading 9" w:semiHidden="1"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iPriority="1" w:unhideWhenUsed="1"/>
    <w:lsdException w:name="header" w:semiHidden="1" w:uiPriority="96"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qFormat="1"/>
    <w:lsdException w:name="Bibliography" w:semiHidden="1" w:uiPriority="37"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rsid w:val="00253EEB"/>
    <w:pPr>
      <w:jc w:val="both"/>
    </w:pPr>
    <w:rPr>
      <w:szCs w:val="24"/>
    </w:rPr>
  </w:style>
  <w:style w:type="paragraph" w:styleId="Heading1">
    <w:name w:val="heading 1"/>
    <w:next w:val="Normal"/>
    <w:link w:val="Heading1Char"/>
    <w:qFormat/>
    <w:rsid w:val="00F3555B"/>
    <w:pPr>
      <w:keepNext/>
      <w:keepLines/>
      <w:numPr>
        <w:numId w:val="7"/>
      </w:numPr>
      <w:suppressAutoHyphens/>
      <w:spacing w:after="240"/>
      <w:outlineLvl w:val="0"/>
    </w:pPr>
    <w:rPr>
      <w:rFonts w:ascii="Franklin Gothic Medium" w:hAnsi="Franklin Gothic Medium"/>
      <w:color w:val="053572"/>
      <w:sz w:val="36"/>
      <w:szCs w:val="24"/>
    </w:rPr>
  </w:style>
  <w:style w:type="paragraph" w:styleId="Heading2">
    <w:name w:val="heading 2"/>
    <w:basedOn w:val="Heading1"/>
    <w:next w:val="Normal"/>
    <w:link w:val="Heading2Char"/>
    <w:qFormat/>
    <w:rsid w:val="00CD5B3E"/>
    <w:pPr>
      <w:numPr>
        <w:ilvl w:val="1"/>
      </w:numPr>
      <w:spacing w:before="280" w:after="200"/>
      <w:outlineLvl w:val="1"/>
    </w:pPr>
    <w:rPr>
      <w:color w:val="1295D8"/>
      <w:sz w:val="32"/>
    </w:rPr>
  </w:style>
  <w:style w:type="paragraph" w:styleId="Heading3">
    <w:name w:val="heading 3"/>
    <w:basedOn w:val="Heading2"/>
    <w:next w:val="Normal"/>
    <w:link w:val="Heading3Char"/>
    <w:qFormat/>
    <w:rsid w:val="00651421"/>
    <w:pPr>
      <w:keepNext w:val="0"/>
      <w:keepLines w:val="0"/>
      <w:numPr>
        <w:ilvl w:val="2"/>
        <w:numId w:val="11"/>
      </w:numPr>
      <w:suppressAutoHyphens w:val="0"/>
      <w:spacing w:before="240"/>
      <w:outlineLvl w:val="2"/>
    </w:pPr>
    <w:rPr>
      <w:rFonts w:cs="Arial"/>
      <w:bCs/>
      <w:color w:val="4D4D4F"/>
      <w:sz w:val="28"/>
      <w:szCs w:val="26"/>
    </w:rPr>
  </w:style>
  <w:style w:type="paragraph" w:styleId="Heading4">
    <w:name w:val="heading 4"/>
    <w:basedOn w:val="Heading3"/>
    <w:next w:val="BodyText"/>
    <w:link w:val="Heading4Char"/>
    <w:uiPriority w:val="2"/>
    <w:qFormat/>
    <w:rsid w:val="008A13E6"/>
    <w:pPr>
      <w:numPr>
        <w:numId w:val="0"/>
      </w:numPr>
      <w:spacing w:after="180"/>
      <w:outlineLvl w:val="3"/>
    </w:pPr>
    <w:rPr>
      <w:color w:val="053572" w:themeColor="text2"/>
      <w:sz w:val="24"/>
      <w:szCs w:val="24"/>
    </w:rPr>
  </w:style>
  <w:style w:type="paragraph" w:styleId="Heading5">
    <w:name w:val="heading 5"/>
    <w:basedOn w:val="Heading4"/>
    <w:next w:val="BodyText"/>
    <w:link w:val="Heading5Char"/>
    <w:uiPriority w:val="2"/>
    <w:qFormat/>
    <w:rsid w:val="008A13E6"/>
    <w:pPr>
      <w:spacing w:after="160"/>
      <w:outlineLvl w:val="4"/>
    </w:pPr>
    <w:rPr>
      <w:iCs/>
      <w:color w:val="1295D8"/>
      <w:sz w:val="22"/>
      <w:szCs w:val="22"/>
    </w:rPr>
  </w:style>
  <w:style w:type="paragraph" w:styleId="Heading6">
    <w:name w:val="heading 6"/>
    <w:basedOn w:val="Heading5"/>
    <w:next w:val="BodyText"/>
    <w:link w:val="Heading6Char"/>
    <w:uiPriority w:val="2"/>
    <w:qFormat/>
    <w:rsid w:val="008A13E6"/>
    <w:pPr>
      <w:spacing w:after="120"/>
      <w:outlineLvl w:val="5"/>
    </w:pPr>
    <w:rPr>
      <w:color w:val="696969"/>
      <w:szCs w:val="21"/>
    </w:rPr>
  </w:style>
  <w:style w:type="paragraph" w:styleId="Heading7">
    <w:name w:val="heading 7"/>
    <w:basedOn w:val="Normal"/>
    <w:next w:val="Normal"/>
    <w:uiPriority w:val="2"/>
    <w:semiHidden/>
    <w:unhideWhenUsed/>
    <w:rsid w:val="00B51ADD"/>
    <w:pPr>
      <w:spacing w:before="240" w:after="60"/>
      <w:jc w:val="left"/>
      <w:outlineLvl w:val="6"/>
    </w:pPr>
    <w:rPr>
      <w:szCs w:val="22"/>
    </w:rPr>
  </w:style>
  <w:style w:type="paragraph" w:styleId="Heading8">
    <w:name w:val="heading 8"/>
    <w:basedOn w:val="Normal"/>
    <w:next w:val="Normal"/>
    <w:uiPriority w:val="99"/>
    <w:semiHidden/>
    <w:unhideWhenUsed/>
    <w:rsid w:val="00B51ADD"/>
    <w:pPr>
      <w:numPr>
        <w:ilvl w:val="7"/>
        <w:numId w:val="7"/>
      </w:numPr>
      <w:spacing w:before="240" w:after="60"/>
      <w:jc w:val="left"/>
      <w:outlineLvl w:val="7"/>
    </w:pPr>
    <w:rPr>
      <w:i/>
      <w:iCs/>
      <w:szCs w:val="22"/>
    </w:rPr>
  </w:style>
  <w:style w:type="paragraph" w:styleId="Heading9">
    <w:name w:val="heading 9"/>
    <w:basedOn w:val="Normal"/>
    <w:next w:val="Normal"/>
    <w:uiPriority w:val="99"/>
    <w:semiHidden/>
    <w:unhideWhenUsed/>
    <w:rsid w:val="00B51ADD"/>
    <w:pPr>
      <w:numPr>
        <w:ilvl w:val="8"/>
        <w:numId w:val="7"/>
      </w:numPr>
      <w:spacing w:before="240" w:after="60"/>
      <w:jc w:val="left"/>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 Text Char Char Char Char Char Char Char Char Char Char Char Char Char Char Char,Body Text1 Char Char Char Char,Body Text Char Char1 Char Char Char Char Char Char,Body Text Char Char,bt Char,Body Text Char1 Char,Memo Body Text"/>
    <w:link w:val="BodyTextChar"/>
    <w:uiPriority w:val="99"/>
    <w:qFormat/>
    <w:rsid w:val="00633B61"/>
    <w:pPr>
      <w:jc w:val="both"/>
    </w:pPr>
    <w:rPr>
      <w:szCs w:val="24"/>
    </w:rPr>
  </w:style>
  <w:style w:type="character" w:customStyle="1" w:styleId="BodyTextChar">
    <w:name w:val="Body Text Char"/>
    <w:aliases w:val="bt Char1,body text Char,Body Text Char Char Char Char Char Char Char Char Char Char Char Char Char Char Char Char,Body Text1 Char Char Char Char Char,Body Text Char Char1 Char Char Char Char Char Char Char,Body Text Char Char Char"/>
    <w:basedOn w:val="DefaultParagraphFont"/>
    <w:link w:val="BodyText"/>
    <w:uiPriority w:val="99"/>
    <w:rsid w:val="00F12842"/>
    <w:rPr>
      <w:szCs w:val="24"/>
    </w:rPr>
  </w:style>
  <w:style w:type="character" w:customStyle="1" w:styleId="Heading1Char">
    <w:name w:val="Heading 1 Char"/>
    <w:basedOn w:val="DefaultParagraphFont"/>
    <w:link w:val="Heading1"/>
    <w:rsid w:val="00F3555B"/>
    <w:rPr>
      <w:rFonts w:ascii="Franklin Gothic Medium" w:hAnsi="Franklin Gothic Medium"/>
      <w:color w:val="053572"/>
      <w:sz w:val="36"/>
      <w:szCs w:val="24"/>
    </w:rPr>
  </w:style>
  <w:style w:type="paragraph" w:styleId="BlockText">
    <w:name w:val="Block Text"/>
    <w:basedOn w:val="BodyText"/>
    <w:uiPriority w:val="99"/>
    <w:rsid w:val="00B51ADD"/>
    <w:pPr>
      <w:ind w:left="1440" w:right="1440"/>
    </w:pPr>
    <w:rPr>
      <w:i/>
    </w:rPr>
  </w:style>
  <w:style w:type="character" w:customStyle="1" w:styleId="Heading4Char">
    <w:name w:val="Heading 4 Char"/>
    <w:basedOn w:val="DefaultParagraphFont"/>
    <w:link w:val="Heading4"/>
    <w:uiPriority w:val="2"/>
    <w:rsid w:val="008A13E6"/>
    <w:rPr>
      <w:rFonts w:ascii="Franklin Gothic Medium" w:hAnsi="Franklin Gothic Medium" w:cs="Arial"/>
      <w:bCs/>
      <w:color w:val="053572" w:themeColor="text2"/>
      <w:sz w:val="24"/>
      <w:szCs w:val="24"/>
    </w:rPr>
  </w:style>
  <w:style w:type="character" w:styleId="CommentReference">
    <w:name w:val="annotation reference"/>
    <w:basedOn w:val="DefaultParagraphFont"/>
    <w:rsid w:val="00B51ADD"/>
    <w:rPr>
      <w:sz w:val="16"/>
      <w:szCs w:val="16"/>
    </w:rPr>
  </w:style>
  <w:style w:type="paragraph" w:styleId="CommentText">
    <w:name w:val="annotation text"/>
    <w:basedOn w:val="Normal"/>
    <w:link w:val="CommentTextChar"/>
    <w:uiPriority w:val="1"/>
    <w:rsid w:val="00B51ADD"/>
    <w:rPr>
      <w:sz w:val="20"/>
      <w:szCs w:val="20"/>
    </w:rPr>
  </w:style>
  <w:style w:type="paragraph" w:styleId="CommentSubject">
    <w:name w:val="annotation subject"/>
    <w:basedOn w:val="CommentText"/>
    <w:next w:val="CommentText"/>
    <w:semiHidden/>
    <w:rsid w:val="00B51ADD"/>
    <w:rPr>
      <w:b/>
      <w:bCs/>
    </w:rPr>
  </w:style>
  <w:style w:type="paragraph" w:styleId="BalloonText">
    <w:name w:val="Balloon Text"/>
    <w:basedOn w:val="Normal"/>
    <w:semiHidden/>
    <w:rsid w:val="00B51ADD"/>
    <w:rPr>
      <w:rFonts w:ascii="Tahoma" w:hAnsi="Tahoma" w:cs="Tahoma"/>
      <w:sz w:val="16"/>
      <w:szCs w:val="16"/>
    </w:rPr>
  </w:style>
  <w:style w:type="paragraph" w:styleId="FootnoteText">
    <w:name w:val="footnote text"/>
    <w:aliases w:val="Footnote_Text,Footnote Text1 Char,Footnote Text Char Ch Char Char Char,Footnote Text Char Ch Char Char,Footnote Text1 Char Char Char,Footnote Text Char Ch Char,Footnote Text Char Ch,ft Char,ft,Char2 Char,TBG Style,ALTS FOOTNOTE,fn,FOOTNOTE"/>
    <w:basedOn w:val="Normal"/>
    <w:link w:val="FootnoteTextChar"/>
    <w:uiPriority w:val="3"/>
    <w:qFormat/>
    <w:rsid w:val="0033220B"/>
    <w:pPr>
      <w:spacing w:after="80"/>
    </w:pPr>
    <w:rPr>
      <w:sz w:val="18"/>
      <w:szCs w:val="20"/>
    </w:rPr>
  </w:style>
  <w:style w:type="character" w:styleId="FootnoteReference">
    <w:name w:val="footnote reference"/>
    <w:aliases w:val="Footnote_Reference"/>
    <w:basedOn w:val="DefaultParagraphFont"/>
    <w:uiPriority w:val="3"/>
    <w:qFormat/>
    <w:rsid w:val="00B51ADD"/>
    <w:rPr>
      <w:vertAlign w:val="superscript"/>
    </w:rPr>
  </w:style>
  <w:style w:type="paragraph" w:styleId="TOC1">
    <w:name w:val="toc 1"/>
    <w:aliases w:val="ODC TOC 1"/>
    <w:basedOn w:val="Normal"/>
    <w:next w:val="Normal"/>
    <w:autoRedefine/>
    <w:uiPriority w:val="39"/>
    <w:qFormat/>
    <w:rsid w:val="00802C3F"/>
    <w:pPr>
      <w:tabs>
        <w:tab w:val="right" w:leader="dot" w:pos="9360"/>
      </w:tabs>
      <w:spacing w:before="120" w:after="120"/>
      <w:ind w:left="360" w:hanging="360"/>
    </w:pPr>
    <w:rPr>
      <w:noProof/>
    </w:rPr>
  </w:style>
  <w:style w:type="paragraph" w:styleId="TOC2">
    <w:name w:val="toc 2"/>
    <w:basedOn w:val="Normal"/>
    <w:next w:val="Normal"/>
    <w:autoRedefine/>
    <w:uiPriority w:val="39"/>
    <w:rsid w:val="00802C3F"/>
    <w:pPr>
      <w:tabs>
        <w:tab w:val="left" w:pos="1152"/>
        <w:tab w:val="right" w:leader="dot" w:pos="9360"/>
      </w:tabs>
      <w:ind w:left="936" w:hanging="504"/>
    </w:pPr>
  </w:style>
  <w:style w:type="character" w:styleId="Hyperlink">
    <w:name w:val="Hyperlink"/>
    <w:basedOn w:val="DefaultParagraphFont"/>
    <w:uiPriority w:val="99"/>
    <w:rsid w:val="00B51ADD"/>
    <w:rPr>
      <w:color w:val="0000FF"/>
      <w:u w:val="single"/>
    </w:rPr>
  </w:style>
  <w:style w:type="paragraph" w:styleId="TOC3">
    <w:name w:val="toc 3"/>
    <w:basedOn w:val="Normal"/>
    <w:next w:val="Normal"/>
    <w:autoRedefine/>
    <w:uiPriority w:val="39"/>
    <w:rsid w:val="00802C3F"/>
    <w:pPr>
      <w:tabs>
        <w:tab w:val="right" w:leader="dot" w:pos="9360"/>
      </w:tabs>
      <w:spacing w:before="100"/>
      <w:ind w:left="1584" w:hanging="648"/>
    </w:pPr>
  </w:style>
  <w:style w:type="paragraph" w:styleId="Caption">
    <w:name w:val="caption"/>
    <w:aliases w:val="Table Caption,Char,Caption Char1 Char"/>
    <w:basedOn w:val="BodyText"/>
    <w:next w:val="BodyText"/>
    <w:link w:val="CaptionChar"/>
    <w:autoRedefine/>
    <w:qFormat/>
    <w:rsid w:val="00FA04B9"/>
    <w:pPr>
      <w:keepNext/>
      <w:spacing w:before="120" w:after="120"/>
      <w:jc w:val="center"/>
    </w:pPr>
    <w:rPr>
      <w:b/>
      <w:bCs/>
      <w:szCs w:val="20"/>
    </w:rPr>
  </w:style>
  <w:style w:type="character" w:customStyle="1" w:styleId="CaptionChar">
    <w:name w:val="Caption Char"/>
    <w:aliases w:val="Table Caption Char,Char Char,Caption Char1 Char Char"/>
    <w:basedOn w:val="DefaultParagraphFont"/>
    <w:link w:val="Caption"/>
    <w:rsid w:val="00FA04B9"/>
    <w:rPr>
      <w:b/>
      <w:bCs/>
      <w:szCs w:val="20"/>
    </w:rPr>
  </w:style>
  <w:style w:type="paragraph" w:customStyle="1" w:styleId="Bullet1">
    <w:name w:val="Bullet 1"/>
    <w:aliases w:val="Bullet_1"/>
    <w:basedOn w:val="Normal"/>
    <w:next w:val="BodyText"/>
    <w:link w:val="Bullet1Char"/>
    <w:uiPriority w:val="99"/>
    <w:qFormat/>
    <w:rsid w:val="00D07BFD"/>
    <w:pPr>
      <w:numPr>
        <w:numId w:val="8"/>
      </w:numPr>
      <w:spacing w:after="120"/>
    </w:pPr>
  </w:style>
  <w:style w:type="paragraph" w:customStyle="1" w:styleId="Bullet2">
    <w:name w:val="Bullet 2"/>
    <w:basedOn w:val="Normal"/>
    <w:next w:val="BodyText"/>
    <w:uiPriority w:val="99"/>
    <w:qFormat/>
    <w:rsid w:val="00D07BFD"/>
    <w:pPr>
      <w:numPr>
        <w:ilvl w:val="1"/>
        <w:numId w:val="8"/>
      </w:numPr>
      <w:spacing w:after="120"/>
    </w:pPr>
  </w:style>
  <w:style w:type="paragraph" w:customStyle="1" w:styleId="Bullet3">
    <w:name w:val="Bullet 3"/>
    <w:basedOn w:val="Normal"/>
    <w:next w:val="BodyText"/>
    <w:uiPriority w:val="1"/>
    <w:qFormat/>
    <w:rsid w:val="00D07BFD"/>
    <w:pPr>
      <w:numPr>
        <w:ilvl w:val="2"/>
        <w:numId w:val="8"/>
      </w:numPr>
      <w:spacing w:after="120"/>
    </w:pPr>
  </w:style>
  <w:style w:type="paragraph" w:styleId="TableofFigures">
    <w:name w:val="table of figures"/>
    <w:aliases w:val="TOC Tables &amp; Figures entries"/>
    <w:basedOn w:val="BodyText"/>
    <w:next w:val="BodyText"/>
    <w:uiPriority w:val="99"/>
    <w:rsid w:val="0092562C"/>
    <w:pPr>
      <w:spacing w:before="120" w:after="120"/>
    </w:pPr>
  </w:style>
  <w:style w:type="paragraph" w:styleId="Index1">
    <w:name w:val="index 1"/>
    <w:basedOn w:val="Normal"/>
    <w:next w:val="Normal"/>
    <w:autoRedefine/>
    <w:semiHidden/>
    <w:rsid w:val="00B51ADD"/>
    <w:pPr>
      <w:ind w:left="240" w:hanging="240"/>
    </w:pPr>
  </w:style>
  <w:style w:type="character" w:customStyle="1" w:styleId="FooterChar">
    <w:name w:val="Footer Char"/>
    <w:basedOn w:val="DefaultParagraphFont"/>
    <w:link w:val="Footer"/>
    <w:uiPriority w:val="99"/>
    <w:rsid w:val="00206419"/>
    <w:rPr>
      <w:rFonts w:ascii="Verdana" w:hAnsi="Verdana"/>
      <w:i/>
      <w:noProof/>
      <w:sz w:val="20"/>
      <w:szCs w:val="20"/>
    </w:rPr>
  </w:style>
  <w:style w:type="paragraph" w:styleId="TOCHeading">
    <w:name w:val="TOC Heading"/>
    <w:basedOn w:val="Normal"/>
    <w:next w:val="TOC1"/>
    <w:uiPriority w:val="54"/>
    <w:rsid w:val="00B51ADD"/>
    <w:pPr>
      <w:pBdr>
        <w:bottom w:val="thickThinSmallGap" w:sz="24" w:space="1" w:color="003366"/>
      </w:pBdr>
      <w:spacing w:after="360"/>
    </w:pPr>
    <w:rPr>
      <w:rFonts w:ascii="Verdana" w:hAnsi="Verdana"/>
      <w:b/>
      <w:smallCaps/>
      <w:color w:val="003366"/>
      <w:sz w:val="40"/>
      <w:szCs w:val="40"/>
    </w:rPr>
  </w:style>
  <w:style w:type="paragraph" w:customStyle="1" w:styleId="TitlePgPreparedforby">
    <w:name w:val="TitlePg_Prepared for&amp; by"/>
    <w:basedOn w:val="BodyText"/>
    <w:uiPriority w:val="84"/>
    <w:rsid w:val="00B51ADD"/>
    <w:pPr>
      <w:spacing w:before="600"/>
    </w:pPr>
    <w:rPr>
      <w:bCs/>
      <w:i/>
      <w:iCs/>
      <w:szCs w:val="20"/>
    </w:rPr>
  </w:style>
  <w:style w:type="character" w:customStyle="1" w:styleId="Heading2Char">
    <w:name w:val="Heading 2 Char"/>
    <w:basedOn w:val="DefaultParagraphFont"/>
    <w:link w:val="Heading2"/>
    <w:rsid w:val="00446BAF"/>
    <w:rPr>
      <w:rFonts w:ascii="Franklin Gothic Medium" w:hAnsi="Franklin Gothic Medium"/>
      <w:color w:val="1295D8"/>
      <w:sz w:val="32"/>
      <w:szCs w:val="24"/>
    </w:rPr>
  </w:style>
  <w:style w:type="paragraph" w:styleId="Header">
    <w:name w:val="header"/>
    <w:basedOn w:val="Normal"/>
    <w:link w:val="HeaderChar"/>
    <w:uiPriority w:val="96"/>
    <w:rsid w:val="001461D5"/>
    <w:pPr>
      <w:tabs>
        <w:tab w:val="right" w:pos="9360"/>
      </w:tabs>
    </w:pPr>
    <w:rPr>
      <w:rFonts w:ascii="Verdana" w:hAnsi="Verdana"/>
      <w:i/>
      <w:noProof/>
      <w:sz w:val="20"/>
      <w:szCs w:val="20"/>
    </w:rPr>
  </w:style>
  <w:style w:type="paragraph" w:styleId="Footer">
    <w:name w:val="footer"/>
    <w:basedOn w:val="BodyText"/>
    <w:next w:val="FooterLine2"/>
    <w:link w:val="FooterChar"/>
    <w:uiPriority w:val="99"/>
    <w:rsid w:val="00206419"/>
    <w:pPr>
      <w:pBdr>
        <w:top w:val="single" w:sz="4" w:space="1" w:color="auto"/>
      </w:pBdr>
      <w:tabs>
        <w:tab w:val="center" w:pos="4320"/>
        <w:tab w:val="right" w:pos="9360"/>
      </w:tabs>
      <w:spacing w:before="100" w:beforeAutospacing="1" w:after="0"/>
    </w:pPr>
    <w:rPr>
      <w:rFonts w:ascii="Verdana" w:hAnsi="Verdana"/>
      <w:i/>
      <w:noProof/>
      <w:sz w:val="20"/>
      <w:szCs w:val="20"/>
    </w:rPr>
  </w:style>
  <w:style w:type="table" w:styleId="Table3Deffects1">
    <w:name w:val="Table 3D effects 1"/>
    <w:basedOn w:val="TableNormal"/>
    <w:rsid w:val="00B51ADD"/>
    <w:pPr>
      <w:spacing w:after="1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Heading3Char">
    <w:name w:val="Heading 3 Char"/>
    <w:basedOn w:val="DefaultParagraphFont"/>
    <w:link w:val="Heading3"/>
    <w:rsid w:val="00651421"/>
    <w:rPr>
      <w:rFonts w:ascii="Franklin Gothic Medium" w:hAnsi="Franklin Gothic Medium" w:cs="Arial"/>
      <w:bCs/>
      <w:color w:val="4D4D4F"/>
      <w:sz w:val="28"/>
      <w:szCs w:val="26"/>
    </w:rPr>
  </w:style>
  <w:style w:type="character" w:customStyle="1" w:styleId="Heading5Char">
    <w:name w:val="Heading 5 Char"/>
    <w:basedOn w:val="DefaultParagraphFont"/>
    <w:link w:val="Heading5"/>
    <w:uiPriority w:val="2"/>
    <w:rsid w:val="008A13E6"/>
    <w:rPr>
      <w:rFonts w:ascii="Franklin Gothic Medium" w:hAnsi="Franklin Gothic Medium" w:cs="Arial"/>
      <w:bCs/>
      <w:iCs/>
      <w:color w:val="1295D8"/>
    </w:rPr>
  </w:style>
  <w:style w:type="paragraph" w:customStyle="1" w:styleId="HeadingAppendix">
    <w:name w:val="Heading_Appendix"/>
    <w:basedOn w:val="Heading1"/>
    <w:next w:val="BodyText"/>
    <w:uiPriority w:val="2"/>
    <w:qFormat/>
    <w:locked/>
    <w:rsid w:val="00F60FF8"/>
    <w:pPr>
      <w:pageBreakBefore/>
      <w:numPr>
        <w:numId w:val="5"/>
      </w:numPr>
    </w:pPr>
  </w:style>
  <w:style w:type="paragraph" w:customStyle="1" w:styleId="FooterLine2">
    <w:name w:val="Footer_Line2"/>
    <w:basedOn w:val="Footer"/>
    <w:uiPriority w:val="97"/>
    <w:rsid w:val="00B51ADD"/>
    <w:pPr>
      <w:pBdr>
        <w:top w:val="none" w:sz="0" w:space="0" w:color="auto"/>
      </w:pBdr>
      <w:spacing w:before="0" w:beforeAutospacing="0"/>
    </w:pPr>
  </w:style>
  <w:style w:type="table" w:customStyle="1" w:styleId="ODCBasic-1">
    <w:name w:val="ODC_Basic-1"/>
    <w:basedOn w:val="TableClassic1"/>
    <w:uiPriority w:val="99"/>
    <w:qFormat/>
    <w:rsid w:val="0003692B"/>
    <w:pPr>
      <w:spacing w:before="0" w:after="0"/>
      <w:jc w:val="center"/>
    </w:pPr>
    <w:rPr>
      <w:color w:val="4D4D4F"/>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tcPr>
    <w:tblStylePr w:type="firstRow">
      <w:pPr>
        <w:wordWrap/>
        <w:jc w:val="center"/>
        <w:outlineLvl w:val="9"/>
      </w:pPr>
      <w:rPr>
        <w:rFonts w:ascii="Franklin Gothic Medium" w:hAnsi="Franklin Gothic Medium"/>
        <w:b w:val="0"/>
        <w:i w:val="0"/>
        <w:iCs/>
        <w:color w:val="FFFFFF"/>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Franklin Gothic Medium" w:hAnsi="Franklin Gothic Medium"/>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Footnote">
    <w:name w:val="Table_Footnote"/>
    <w:basedOn w:val="BodyText"/>
    <w:uiPriority w:val="3"/>
    <w:qFormat/>
    <w:rsid w:val="00B51ADD"/>
    <w:pPr>
      <w:spacing w:before="40" w:after="60"/>
    </w:pPr>
    <w:rPr>
      <w:sz w:val="19"/>
      <w:szCs w:val="19"/>
    </w:rPr>
  </w:style>
  <w:style w:type="paragraph" w:customStyle="1" w:styleId="TableNumbers">
    <w:name w:val="Table_Numbers"/>
    <w:basedOn w:val="Normal"/>
    <w:uiPriority w:val="3"/>
    <w:qFormat/>
    <w:rsid w:val="00B51ADD"/>
    <w:pPr>
      <w:spacing w:after="0"/>
      <w:ind w:right="184"/>
      <w:jc w:val="right"/>
    </w:pPr>
    <w:rPr>
      <w:szCs w:val="22"/>
    </w:rPr>
  </w:style>
  <w:style w:type="table" w:styleId="TableGrid">
    <w:name w:val="Table Grid"/>
    <w:basedOn w:val="TableNormal"/>
    <w:rsid w:val="00B5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
    <w:rsid w:val="00B51ADD"/>
  </w:style>
  <w:style w:type="paragraph" w:styleId="ListParagraph">
    <w:name w:val="List Paragraph"/>
    <w:basedOn w:val="Normal"/>
    <w:uiPriority w:val="1"/>
    <w:qFormat/>
    <w:rsid w:val="00B51ADD"/>
    <w:pPr>
      <w:numPr>
        <w:numId w:val="6"/>
      </w:numPr>
      <w:jc w:val="left"/>
    </w:pPr>
    <w:rPr>
      <w:szCs w:val="22"/>
    </w:rPr>
  </w:style>
  <w:style w:type="numbering" w:customStyle="1" w:styleId="NumberList">
    <w:name w:val="Number List"/>
    <w:uiPriority w:val="99"/>
    <w:rsid w:val="00B51ADD"/>
    <w:pPr>
      <w:numPr>
        <w:numId w:val="2"/>
      </w:numPr>
    </w:pPr>
  </w:style>
  <w:style w:type="table" w:styleId="TableClassic1">
    <w:name w:val="Table Classic 1"/>
    <w:basedOn w:val="TableNormal"/>
    <w:rsid w:val="00B51ADD"/>
    <w:pPr>
      <w:spacing w:after="1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lePgCompanyName">
    <w:name w:val="TitlePg_CompanyName"/>
    <w:uiPriority w:val="84"/>
    <w:rsid w:val="00B51ADD"/>
    <w:pPr>
      <w:jc w:val="center"/>
    </w:pPr>
    <w:rPr>
      <w:b/>
      <w:bCs/>
      <w:smallCaps/>
      <w:sz w:val="28"/>
      <w:szCs w:val="28"/>
    </w:rPr>
  </w:style>
  <w:style w:type="paragraph" w:customStyle="1" w:styleId="TitlePgReportTitle">
    <w:name w:val="TitlePg_Report Title"/>
    <w:uiPriority w:val="84"/>
    <w:rsid w:val="00B51ADD"/>
    <w:pPr>
      <w:jc w:val="center"/>
    </w:pPr>
    <w:rPr>
      <w:rFonts w:ascii="Arial" w:hAnsi="Arial"/>
      <w:b/>
      <w:bCs/>
      <w:smallCaps/>
      <w:sz w:val="48"/>
      <w:szCs w:val="48"/>
    </w:rPr>
  </w:style>
  <w:style w:type="paragraph" w:customStyle="1" w:styleId="TitlePgReportType">
    <w:name w:val="TitlePg_Report Type"/>
    <w:basedOn w:val="Header"/>
    <w:uiPriority w:val="84"/>
    <w:rsid w:val="00B51ADD"/>
    <w:pPr>
      <w:jc w:val="center"/>
    </w:pPr>
    <w:rPr>
      <w:b/>
      <w:i w:val="0"/>
      <w:sz w:val="32"/>
    </w:rPr>
  </w:style>
  <w:style w:type="paragraph" w:customStyle="1" w:styleId="TitlePgAddress">
    <w:name w:val="TitlePg_Address"/>
    <w:basedOn w:val="BodyText"/>
    <w:uiPriority w:val="84"/>
    <w:rsid w:val="00B51ADD"/>
    <w:pPr>
      <w:spacing w:before="0" w:after="0"/>
    </w:pPr>
  </w:style>
  <w:style w:type="paragraph" w:customStyle="1" w:styleId="TitlePgContactDate">
    <w:name w:val="TitlePg_Contact &amp; Date"/>
    <w:basedOn w:val="TitlePgAddress"/>
    <w:uiPriority w:val="84"/>
    <w:rsid w:val="00B51ADD"/>
    <w:pPr>
      <w:spacing w:line="480" w:lineRule="auto"/>
    </w:pPr>
  </w:style>
  <w:style w:type="paragraph" w:customStyle="1" w:styleId="TitlePgLogo">
    <w:name w:val="TitlePg_Logo"/>
    <w:basedOn w:val="BodyText"/>
    <w:uiPriority w:val="84"/>
    <w:rsid w:val="00B51ADD"/>
    <w:rPr>
      <w:noProof/>
    </w:rPr>
  </w:style>
  <w:style w:type="character" w:styleId="EndnoteReference">
    <w:name w:val="endnote reference"/>
    <w:basedOn w:val="DefaultParagraphFont"/>
    <w:uiPriority w:val="99"/>
    <w:rsid w:val="00B51ADD"/>
    <w:rPr>
      <w:vertAlign w:val="superscript"/>
    </w:rPr>
  </w:style>
  <w:style w:type="paragraph" w:styleId="EndnoteText">
    <w:name w:val="endnote text"/>
    <w:basedOn w:val="Normal"/>
    <w:link w:val="EndnoteTextChar"/>
    <w:uiPriority w:val="99"/>
    <w:rsid w:val="000C607B"/>
    <w:pPr>
      <w:spacing w:after="0"/>
    </w:pPr>
    <w:rPr>
      <w:sz w:val="18"/>
      <w:szCs w:val="20"/>
    </w:rPr>
  </w:style>
  <w:style w:type="character" w:customStyle="1" w:styleId="EndnoteTextChar">
    <w:name w:val="Endnote Text Char"/>
    <w:basedOn w:val="DefaultParagraphFont"/>
    <w:link w:val="EndnoteText"/>
    <w:uiPriority w:val="99"/>
    <w:rsid w:val="000C607B"/>
    <w:rPr>
      <w:sz w:val="18"/>
      <w:szCs w:val="20"/>
    </w:rPr>
  </w:style>
  <w:style w:type="paragraph" w:styleId="Signature">
    <w:name w:val="Signature"/>
    <w:basedOn w:val="Normal"/>
    <w:link w:val="SignatureChar"/>
    <w:uiPriority w:val="1"/>
    <w:rsid w:val="00B51ADD"/>
    <w:pPr>
      <w:spacing w:after="0"/>
      <w:ind w:left="4320"/>
    </w:pPr>
  </w:style>
  <w:style w:type="character" w:customStyle="1" w:styleId="SignatureChar">
    <w:name w:val="Signature Char"/>
    <w:basedOn w:val="DefaultParagraphFont"/>
    <w:link w:val="Signature"/>
    <w:uiPriority w:val="1"/>
    <w:rsid w:val="00F12842"/>
    <w:rPr>
      <w:szCs w:val="24"/>
    </w:rPr>
  </w:style>
  <w:style w:type="character" w:styleId="Strong">
    <w:name w:val="Strong"/>
    <w:basedOn w:val="DefaultParagraphFont"/>
    <w:uiPriority w:val="1"/>
    <w:rsid w:val="00B51ADD"/>
    <w:rPr>
      <w:b/>
      <w:bCs/>
    </w:rPr>
  </w:style>
  <w:style w:type="character" w:styleId="Emphasis">
    <w:name w:val="Emphasis"/>
    <w:basedOn w:val="DefaultParagraphFont"/>
    <w:uiPriority w:val="99"/>
    <w:qFormat/>
    <w:rsid w:val="00B51ADD"/>
    <w:rPr>
      <w:i/>
      <w:iCs/>
    </w:rPr>
  </w:style>
  <w:style w:type="paragraph" w:styleId="DocumentMap">
    <w:name w:val="Document Map"/>
    <w:basedOn w:val="Normal"/>
    <w:link w:val="DocumentMapChar"/>
    <w:uiPriority w:val="99"/>
    <w:unhideWhenUsed/>
    <w:rsid w:val="00B51ADD"/>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B51ADD"/>
    <w:rPr>
      <w:rFonts w:ascii="Tahoma" w:hAnsi="Tahoma" w:cs="Tahoma"/>
      <w:sz w:val="16"/>
      <w:szCs w:val="16"/>
    </w:rPr>
  </w:style>
  <w:style w:type="paragraph" w:styleId="NormalWeb">
    <w:name w:val="Normal (Web)"/>
    <w:basedOn w:val="Normal"/>
    <w:uiPriority w:val="99"/>
    <w:semiHidden/>
    <w:rsid w:val="00B51ADD"/>
    <w:pPr>
      <w:spacing w:before="100" w:beforeAutospacing="1" w:after="100" w:afterAutospacing="1"/>
    </w:pPr>
    <w:rPr>
      <w:rFonts w:ascii="Times New Roman" w:hAnsi="Times New Roman"/>
    </w:rPr>
  </w:style>
  <w:style w:type="paragraph" w:customStyle="1" w:styleId="NumberList1">
    <w:name w:val="Number_List1"/>
    <w:basedOn w:val="BodyText"/>
    <w:uiPriority w:val="1"/>
    <w:semiHidden/>
    <w:qFormat/>
    <w:locked/>
    <w:rsid w:val="00B51ADD"/>
    <w:pPr>
      <w:numPr>
        <w:ilvl w:val="1"/>
        <w:numId w:val="3"/>
      </w:numPr>
    </w:pPr>
  </w:style>
  <w:style w:type="paragraph" w:customStyle="1" w:styleId="NumberList1-a">
    <w:name w:val="Number_List1-a"/>
    <w:basedOn w:val="NumberList1"/>
    <w:uiPriority w:val="1"/>
    <w:semiHidden/>
    <w:qFormat/>
    <w:locked/>
    <w:rsid w:val="00B51ADD"/>
    <w:pPr>
      <w:numPr>
        <w:ilvl w:val="2"/>
        <w:numId w:val="4"/>
      </w:numPr>
    </w:pPr>
  </w:style>
  <w:style w:type="paragraph" w:customStyle="1" w:styleId="Graphic">
    <w:name w:val="Graphic"/>
    <w:basedOn w:val="Normal"/>
    <w:uiPriority w:val="2"/>
    <w:qFormat/>
    <w:locked/>
    <w:rsid w:val="00B51ADD"/>
    <w:pPr>
      <w:suppressAutoHyphens/>
      <w:spacing w:after="240"/>
      <w:jc w:val="center"/>
    </w:pPr>
    <w:rPr>
      <w:b/>
      <w:bCs/>
      <w:noProof/>
      <w:szCs w:val="20"/>
    </w:rPr>
  </w:style>
  <w:style w:type="paragraph" w:customStyle="1" w:styleId="Formula">
    <w:name w:val="Formula"/>
    <w:basedOn w:val="BodyText"/>
    <w:uiPriority w:val="3"/>
    <w:qFormat/>
    <w:locked/>
    <w:rsid w:val="00B51ADD"/>
    <w:pPr>
      <w:spacing w:after="240"/>
    </w:pPr>
    <w:rPr>
      <w:rFonts w:ascii="Cambria Math" w:hAnsi="Cambria Math"/>
      <w:i/>
    </w:rPr>
  </w:style>
  <w:style w:type="paragraph" w:customStyle="1" w:styleId="zSRnote">
    <w:name w:val="zSR note"/>
    <w:basedOn w:val="Normal"/>
    <w:uiPriority w:val="99"/>
    <w:unhideWhenUsed/>
    <w:locked/>
    <w:rsid w:val="00B51ADD"/>
    <w:pPr>
      <w:spacing w:after="0"/>
    </w:pPr>
    <w:rPr>
      <w:color w:val="FF0000"/>
    </w:rPr>
  </w:style>
  <w:style w:type="paragraph" w:customStyle="1" w:styleId="Figure">
    <w:name w:val="Figure"/>
    <w:basedOn w:val="Graphic"/>
    <w:uiPriority w:val="1"/>
    <w:locked/>
    <w:rsid w:val="00B51ADD"/>
    <w:pPr>
      <w:spacing w:after="360"/>
    </w:pPr>
  </w:style>
  <w:style w:type="paragraph" w:customStyle="1" w:styleId="FigureCaption">
    <w:name w:val="Figure_Caption"/>
    <w:basedOn w:val="Normal"/>
    <w:next w:val="Figure"/>
    <w:uiPriority w:val="3"/>
    <w:semiHidden/>
    <w:qFormat/>
    <w:locked/>
    <w:rsid w:val="00B51ADD"/>
    <w:pPr>
      <w:keepNext/>
      <w:keepLines/>
      <w:suppressAutoHyphens/>
      <w:spacing w:before="320" w:after="120"/>
      <w:jc w:val="center"/>
    </w:pPr>
    <w:rPr>
      <w:b/>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paragraph" w:customStyle="1" w:styleId="Headernone">
    <w:name w:val="Header_none"/>
    <w:basedOn w:val="Header"/>
    <w:uiPriority w:val="1"/>
    <w:semiHidden/>
    <w:locked/>
    <w:rsid w:val="00B51ADD"/>
  </w:style>
  <w:style w:type="paragraph" w:customStyle="1" w:styleId="NumberList1-a-Body">
    <w:name w:val="Number_List1-a-Body"/>
    <w:basedOn w:val="NumberList1-a"/>
    <w:uiPriority w:val="1"/>
    <w:semiHidden/>
    <w:locked/>
    <w:rsid w:val="00B51ADD"/>
    <w:pPr>
      <w:numPr>
        <w:ilvl w:val="0"/>
        <w:numId w:val="0"/>
      </w:numPr>
      <w:ind w:left="1080"/>
    </w:pPr>
  </w:style>
  <w:style w:type="paragraph" w:customStyle="1" w:styleId="NumberList1-Body">
    <w:name w:val="Number_List1-Body"/>
    <w:basedOn w:val="NumberList1"/>
    <w:uiPriority w:val="1"/>
    <w:semiHidden/>
    <w:locked/>
    <w:rsid w:val="00B51ADD"/>
    <w:pPr>
      <w:numPr>
        <w:ilvl w:val="0"/>
        <w:numId w:val="0"/>
      </w:numPr>
      <w:ind w:left="720"/>
    </w:pPr>
  </w:style>
  <w:style w:type="paragraph" w:styleId="TOC9">
    <w:name w:val="toc 9"/>
    <w:basedOn w:val="Normal"/>
    <w:next w:val="Normal"/>
    <w:autoRedefine/>
    <w:uiPriority w:val="99"/>
    <w:semiHidden/>
    <w:rsid w:val="00102DB2"/>
    <w:pPr>
      <w:spacing w:after="100"/>
      <w:ind w:left="1760"/>
    </w:pPr>
  </w:style>
  <w:style w:type="character" w:customStyle="1" w:styleId="EmployeePosition">
    <w:name w:val="Employee Position"/>
    <w:basedOn w:val="DefaultParagraphFont"/>
    <w:uiPriority w:val="1"/>
    <w:rsid w:val="00932CAE"/>
    <w:rPr>
      <w:rFonts w:ascii="Franklin Gothic Book" w:hAnsi="Franklin Gothic Book"/>
    </w:rPr>
  </w:style>
  <w:style w:type="paragraph" w:customStyle="1" w:styleId="ODCDocumentTitle">
    <w:name w:val="ODC Document Title"/>
    <w:basedOn w:val="Normal"/>
    <w:link w:val="ODCDocumentTitleChar"/>
    <w:qFormat/>
    <w:rsid w:val="00507551"/>
    <w:pPr>
      <w:spacing w:before="0" w:after="0" w:line="290" w:lineRule="atLeast"/>
    </w:pPr>
    <w:rPr>
      <w:color w:val="053572"/>
      <w:sz w:val="72"/>
      <w:szCs w:val="72"/>
    </w:rPr>
  </w:style>
  <w:style w:type="paragraph" w:customStyle="1" w:styleId="ODCDocumentSubtitle">
    <w:name w:val="ODC Document Subtitle"/>
    <w:basedOn w:val="BodyText"/>
    <w:link w:val="ODCDocumentSubtitleChar"/>
    <w:qFormat/>
    <w:rsid w:val="00946409"/>
    <w:pPr>
      <w:spacing w:before="0" w:after="0" w:line="290" w:lineRule="atLeast"/>
      <w:jc w:val="left"/>
    </w:pPr>
    <w:rPr>
      <w:color w:val="053572"/>
      <w:sz w:val="44"/>
      <w:szCs w:val="44"/>
    </w:rPr>
  </w:style>
  <w:style w:type="character" w:customStyle="1" w:styleId="ODCDocumentTitleChar">
    <w:name w:val="ODC Document Title Char"/>
    <w:basedOn w:val="DefaultParagraphFont"/>
    <w:link w:val="ODCDocumentTitle"/>
    <w:rsid w:val="00507551"/>
    <w:rPr>
      <w:color w:val="053572"/>
      <w:sz w:val="72"/>
      <w:szCs w:val="72"/>
    </w:rPr>
  </w:style>
  <w:style w:type="paragraph" w:customStyle="1" w:styleId="ODCtel">
    <w:name w:val="ODC tel"/>
    <w:aliases w:val="fax,toll"/>
    <w:basedOn w:val="Normal"/>
    <w:link w:val="ODCtelChar"/>
    <w:uiPriority w:val="1"/>
    <w:qFormat/>
    <w:rsid w:val="00507551"/>
    <w:pPr>
      <w:spacing w:before="0" w:after="0"/>
    </w:pPr>
    <w:rPr>
      <w:color w:val="1295D8"/>
      <w:sz w:val="16"/>
      <w:szCs w:val="16"/>
    </w:rPr>
  </w:style>
  <w:style w:type="character" w:customStyle="1" w:styleId="ODCDocumentSubtitleChar">
    <w:name w:val="ODC Document Subtitle Char"/>
    <w:basedOn w:val="BodyTextChar"/>
    <w:link w:val="ODCDocumentSubtitle"/>
    <w:rsid w:val="00946409"/>
    <w:rPr>
      <w:color w:val="053572"/>
      <w:sz w:val="44"/>
      <w:szCs w:val="44"/>
    </w:rPr>
  </w:style>
  <w:style w:type="paragraph" w:customStyle="1" w:styleId="EmployeeName">
    <w:name w:val="Employee Name"/>
    <w:basedOn w:val="BodyText"/>
    <w:link w:val="EmployeeNameChar"/>
    <w:uiPriority w:val="1"/>
    <w:qFormat/>
    <w:rsid w:val="001C674D"/>
    <w:pPr>
      <w:spacing w:before="0" w:after="0" w:line="290" w:lineRule="atLeast"/>
      <w:jc w:val="left"/>
    </w:pPr>
    <w:rPr>
      <w:rFonts w:ascii="Franklin Gothic Medium" w:hAnsi="Franklin Gothic Medium"/>
      <w:color w:val="4D4D4F"/>
      <w:sz w:val="28"/>
      <w:szCs w:val="28"/>
    </w:rPr>
  </w:style>
  <w:style w:type="character" w:customStyle="1" w:styleId="ODCtelChar">
    <w:name w:val="ODC tel Char"/>
    <w:aliases w:val="fax Char,toll Char"/>
    <w:basedOn w:val="DefaultParagraphFont"/>
    <w:link w:val="ODCtel"/>
    <w:uiPriority w:val="1"/>
    <w:rsid w:val="00F12842"/>
    <w:rPr>
      <w:color w:val="1295D8"/>
      <w:sz w:val="16"/>
      <w:szCs w:val="16"/>
    </w:rPr>
  </w:style>
  <w:style w:type="paragraph" w:customStyle="1" w:styleId="ODCPosition-Date">
    <w:name w:val="ODC Position-Date"/>
    <w:basedOn w:val="BodyText"/>
    <w:link w:val="ODCPosition-DateChar"/>
    <w:qFormat/>
    <w:rsid w:val="005A1A2F"/>
    <w:pPr>
      <w:spacing w:before="0" w:after="0" w:line="290" w:lineRule="atLeast"/>
    </w:pPr>
    <w:rPr>
      <w:sz w:val="28"/>
      <w:szCs w:val="28"/>
    </w:rPr>
  </w:style>
  <w:style w:type="character" w:customStyle="1" w:styleId="EmployeeNameChar">
    <w:name w:val="Employee Name Char"/>
    <w:basedOn w:val="BodyTextChar"/>
    <w:link w:val="EmployeeName"/>
    <w:uiPriority w:val="1"/>
    <w:rsid w:val="00F12842"/>
    <w:rPr>
      <w:rFonts w:ascii="Franklin Gothic Medium" w:hAnsi="Franklin Gothic Medium"/>
      <w:color w:val="4D4D4F"/>
      <w:sz w:val="28"/>
      <w:szCs w:val="28"/>
    </w:rPr>
  </w:style>
  <w:style w:type="paragraph" w:customStyle="1" w:styleId="FooterPagerNumber">
    <w:name w:val="Footer Pager Number"/>
    <w:basedOn w:val="Normal"/>
    <w:uiPriority w:val="1"/>
    <w:rsid w:val="00E945F9"/>
    <w:pPr>
      <w:spacing w:before="0" w:after="0" w:line="290" w:lineRule="atLeast"/>
      <w:jc w:val="right"/>
    </w:pPr>
    <w:rPr>
      <w:rFonts w:asciiTheme="minorHAnsi" w:eastAsiaTheme="minorEastAsia" w:hAnsiTheme="minorHAnsi" w:cstheme="minorBidi"/>
      <w:color w:val="053572" w:themeColor="text2"/>
      <w:sz w:val="16"/>
      <w:szCs w:val="16"/>
    </w:rPr>
  </w:style>
  <w:style w:type="character" w:customStyle="1" w:styleId="ODCPosition-DateChar">
    <w:name w:val="ODC Position-Date Char"/>
    <w:basedOn w:val="BodyTextChar"/>
    <w:link w:val="ODCPosition-Date"/>
    <w:rsid w:val="005A1A2F"/>
    <w:rPr>
      <w:sz w:val="28"/>
      <w:szCs w:val="28"/>
    </w:rPr>
  </w:style>
  <w:style w:type="paragraph" w:styleId="TOC4">
    <w:name w:val="toc 4"/>
    <w:basedOn w:val="Normal"/>
    <w:next w:val="Normal"/>
    <w:autoRedefine/>
    <w:uiPriority w:val="39"/>
    <w:unhideWhenUsed/>
    <w:rsid w:val="00721364"/>
    <w:pPr>
      <w:spacing w:before="0" w:after="0" w:line="290" w:lineRule="atLeast"/>
      <w:ind w:left="660"/>
      <w:jc w:val="left"/>
    </w:pPr>
    <w:rPr>
      <w:rFonts w:asciiTheme="minorHAnsi" w:eastAsiaTheme="minorEastAsia" w:hAnsiTheme="minorHAnsi" w:cstheme="minorBidi"/>
      <w:sz w:val="20"/>
      <w:szCs w:val="20"/>
    </w:rPr>
  </w:style>
  <w:style w:type="paragraph" w:styleId="TOC5">
    <w:name w:val="toc 5"/>
    <w:basedOn w:val="Normal"/>
    <w:next w:val="Normal"/>
    <w:autoRedefine/>
    <w:uiPriority w:val="39"/>
    <w:unhideWhenUsed/>
    <w:rsid w:val="00721364"/>
    <w:pPr>
      <w:spacing w:before="0" w:after="0" w:line="290" w:lineRule="atLeast"/>
      <w:ind w:left="880"/>
      <w:jc w:val="left"/>
    </w:pPr>
    <w:rPr>
      <w:rFonts w:asciiTheme="minorHAnsi" w:eastAsiaTheme="minorEastAsia" w:hAnsiTheme="minorHAnsi" w:cstheme="minorBidi"/>
      <w:sz w:val="20"/>
      <w:szCs w:val="20"/>
    </w:rPr>
  </w:style>
  <w:style w:type="paragraph" w:styleId="TOC6">
    <w:name w:val="toc 6"/>
    <w:basedOn w:val="Normal"/>
    <w:next w:val="Normal"/>
    <w:autoRedefine/>
    <w:uiPriority w:val="39"/>
    <w:unhideWhenUsed/>
    <w:rsid w:val="00721364"/>
    <w:pPr>
      <w:spacing w:before="0" w:after="0" w:line="290" w:lineRule="atLeast"/>
      <w:ind w:left="1100"/>
      <w:jc w:val="left"/>
    </w:pPr>
    <w:rPr>
      <w:rFonts w:asciiTheme="minorHAnsi" w:eastAsiaTheme="minorEastAsia" w:hAnsiTheme="minorHAnsi" w:cstheme="minorBidi"/>
      <w:sz w:val="20"/>
      <w:szCs w:val="20"/>
    </w:rPr>
  </w:style>
  <w:style w:type="paragraph" w:customStyle="1" w:styleId="TableofContentsStyle1">
    <w:name w:val="Table of Contents Style 1"/>
    <w:basedOn w:val="Heading1"/>
    <w:link w:val="TableofContentsStyle1Char"/>
    <w:uiPriority w:val="1"/>
    <w:qFormat/>
    <w:rsid w:val="00754B88"/>
    <w:pPr>
      <w:pageBreakBefore/>
      <w:numPr>
        <w:numId w:val="0"/>
      </w:numPr>
      <w:suppressAutoHyphens w:val="0"/>
      <w:spacing w:before="0" w:after="360" w:line="480" w:lineRule="exact"/>
    </w:pPr>
    <w:rPr>
      <w:rFonts w:eastAsiaTheme="majorEastAsia" w:cstheme="majorBidi"/>
      <w:b/>
      <w:bCs/>
      <w:color w:val="053572" w:themeColor="accent1"/>
      <w:szCs w:val="32"/>
    </w:rPr>
  </w:style>
  <w:style w:type="character" w:customStyle="1" w:styleId="TableofContentsStyle1Char">
    <w:name w:val="Table of Contents Style 1 Char"/>
    <w:basedOn w:val="Heading1Char"/>
    <w:link w:val="TableofContentsStyle1"/>
    <w:uiPriority w:val="1"/>
    <w:rsid w:val="00F12842"/>
    <w:rPr>
      <w:rFonts w:ascii="Franklin Gothic Medium" w:eastAsiaTheme="majorEastAsia" w:hAnsi="Franklin Gothic Medium" w:cstheme="majorBidi"/>
      <w:b/>
      <w:bCs/>
      <w:color w:val="053572" w:themeColor="accent1"/>
      <w:sz w:val="36"/>
      <w:szCs w:val="32"/>
    </w:rPr>
  </w:style>
  <w:style w:type="character" w:customStyle="1" w:styleId="HeaderChar">
    <w:name w:val="Header Char"/>
    <w:basedOn w:val="DefaultParagraphFont"/>
    <w:link w:val="Header"/>
    <w:uiPriority w:val="96"/>
    <w:rsid w:val="001461D5"/>
    <w:rPr>
      <w:rFonts w:ascii="Verdana" w:hAnsi="Verdana"/>
      <w:i/>
      <w:noProof/>
      <w:sz w:val="20"/>
      <w:szCs w:val="20"/>
    </w:rPr>
  </w:style>
  <w:style w:type="character" w:customStyle="1" w:styleId="FootnoteTextChar">
    <w:name w:val="Footnote Text Char"/>
    <w:aliases w:val="Footnote_Text Char,Footnote Text1 Char Char,Footnote Text Char Ch Char Char Char Char,Footnote Text Char Ch Char Char Char1,Footnote Text1 Char Char Char Char,Footnote Text Char Ch Char Char1,Footnote Text Char Ch Char1,ft Char Char"/>
    <w:basedOn w:val="DefaultParagraphFont"/>
    <w:link w:val="FootnoteText"/>
    <w:uiPriority w:val="3"/>
    <w:rsid w:val="0033220B"/>
    <w:rPr>
      <w:sz w:val="18"/>
      <w:szCs w:val="20"/>
    </w:rPr>
  </w:style>
  <w:style w:type="character" w:customStyle="1" w:styleId="Heading6Char">
    <w:name w:val="Heading 6 Char"/>
    <w:basedOn w:val="DefaultParagraphFont"/>
    <w:link w:val="Heading6"/>
    <w:uiPriority w:val="2"/>
    <w:rsid w:val="00AD4D41"/>
    <w:rPr>
      <w:rFonts w:ascii="Franklin Gothic Medium" w:hAnsi="Franklin Gothic Medium" w:cs="Arial"/>
      <w:bCs/>
      <w:iCs/>
      <w:color w:val="696969"/>
      <w:szCs w:val="21"/>
    </w:rPr>
  </w:style>
  <w:style w:type="character" w:customStyle="1" w:styleId="ContactPage">
    <w:name w:val="Contact Page"/>
    <w:basedOn w:val="DefaultParagraphFont"/>
    <w:uiPriority w:val="1"/>
    <w:rsid w:val="00F60BD3"/>
    <w:rPr>
      <w:rFonts w:ascii="Franklin Gothic Medium" w:hAnsi="Franklin Gothic Medium"/>
      <w:color w:val="053572"/>
      <w:sz w:val="28"/>
    </w:rPr>
  </w:style>
  <w:style w:type="paragraph" w:customStyle="1" w:styleId="ContactPgEmployeeName">
    <w:name w:val="Contact Pg Employee Name"/>
    <w:basedOn w:val="EmployeeName"/>
    <w:uiPriority w:val="1"/>
    <w:rsid w:val="00946409"/>
  </w:style>
  <w:style w:type="table" w:styleId="Table3Deffects3">
    <w:name w:val="Table 3D effects 3"/>
    <w:basedOn w:val="TableNormal"/>
    <w:rsid w:val="004B54F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DCTabletext">
    <w:name w:val="ODC Table text"/>
    <w:basedOn w:val="BodyText"/>
    <w:link w:val="ODCTabletextChar"/>
    <w:qFormat/>
    <w:rsid w:val="00575C34"/>
    <w:pPr>
      <w:spacing w:before="0" w:after="0"/>
    </w:pPr>
    <w:rPr>
      <w:color w:val="4D4D4F"/>
      <w:sz w:val="20"/>
    </w:rPr>
  </w:style>
  <w:style w:type="table" w:styleId="GridTable1Light-Accent1">
    <w:name w:val="Grid Table 1 Light Accent 1"/>
    <w:basedOn w:val="TableNormal"/>
    <w:uiPriority w:val="46"/>
    <w:rsid w:val="00D721EA"/>
    <w:pPr>
      <w:spacing w:after="0"/>
    </w:pPr>
    <w:tblPr>
      <w:tblStyleRowBandSize w:val="1"/>
      <w:tblStyleColBandSize w:val="1"/>
      <w:tblBorders>
        <w:top w:val="single" w:sz="4" w:space="0" w:color="68A7F8" w:themeColor="accent1" w:themeTint="66"/>
        <w:left w:val="single" w:sz="4" w:space="0" w:color="68A7F8" w:themeColor="accent1" w:themeTint="66"/>
        <w:bottom w:val="single" w:sz="4" w:space="0" w:color="68A7F8" w:themeColor="accent1" w:themeTint="66"/>
        <w:right w:val="single" w:sz="4" w:space="0" w:color="68A7F8" w:themeColor="accent1" w:themeTint="66"/>
        <w:insideH w:val="single" w:sz="4" w:space="0" w:color="68A7F8" w:themeColor="accent1" w:themeTint="66"/>
        <w:insideV w:val="single" w:sz="4" w:space="0" w:color="68A7F8" w:themeColor="accent1" w:themeTint="66"/>
      </w:tblBorders>
    </w:tblPr>
    <w:tblStylePr w:type="firstRow">
      <w:rPr>
        <w:b/>
        <w:bCs/>
      </w:rPr>
      <w:tblPr/>
      <w:tcPr>
        <w:tcBorders>
          <w:bottom w:val="single" w:sz="12" w:space="0" w:color="1E7CF5" w:themeColor="accent1" w:themeTint="99"/>
        </w:tcBorders>
      </w:tcPr>
    </w:tblStylePr>
    <w:tblStylePr w:type="lastRow">
      <w:rPr>
        <w:b/>
        <w:bCs/>
      </w:rPr>
      <w:tblPr/>
      <w:tcPr>
        <w:tcBorders>
          <w:top w:val="double" w:sz="2" w:space="0" w:color="1E7CF5" w:themeColor="accent1" w:themeTint="99"/>
        </w:tcBorders>
      </w:tcPr>
    </w:tblStylePr>
    <w:tblStylePr w:type="firstCol">
      <w:rPr>
        <w:b/>
        <w:bCs/>
      </w:rPr>
    </w:tblStylePr>
    <w:tblStylePr w:type="lastCol">
      <w:rPr>
        <w:b/>
        <w:bCs/>
      </w:rPr>
    </w:tblStylePr>
  </w:style>
  <w:style w:type="character" w:customStyle="1" w:styleId="ODCTabletextChar">
    <w:name w:val="ODC Table text Char"/>
    <w:basedOn w:val="BodyTextChar"/>
    <w:link w:val="ODCTabletext"/>
    <w:rsid w:val="00575C34"/>
    <w:rPr>
      <w:color w:val="4D4D4F"/>
      <w:sz w:val="20"/>
      <w:szCs w:val="24"/>
    </w:rPr>
  </w:style>
  <w:style w:type="paragraph" w:customStyle="1" w:styleId="ODCBodyText">
    <w:name w:val="ODC Body Text"/>
    <w:link w:val="ODCBodyTextChar"/>
    <w:qFormat/>
    <w:rsid w:val="00127B25"/>
    <w:pPr>
      <w:jc w:val="both"/>
    </w:pPr>
    <w:rPr>
      <w:szCs w:val="24"/>
    </w:rPr>
  </w:style>
  <w:style w:type="paragraph" w:customStyle="1" w:styleId="CaptionFigure">
    <w:name w:val="Caption Figure"/>
    <w:basedOn w:val="Caption"/>
    <w:link w:val="CaptionFigureChar"/>
    <w:qFormat/>
    <w:rsid w:val="00633B61"/>
    <w:pPr>
      <w:numPr>
        <w:numId w:val="9"/>
      </w:numPr>
      <w:spacing w:before="200" w:after="80"/>
    </w:pPr>
  </w:style>
  <w:style w:type="character" w:customStyle="1" w:styleId="ODCBodyTextChar">
    <w:name w:val="ODC Body Text Char"/>
    <w:basedOn w:val="BodyTextChar"/>
    <w:link w:val="ODCBodyText"/>
    <w:rsid w:val="00127B25"/>
    <w:rPr>
      <w:szCs w:val="24"/>
    </w:rPr>
  </w:style>
  <w:style w:type="paragraph" w:customStyle="1" w:styleId="CaptionTable">
    <w:name w:val="Caption Table"/>
    <w:basedOn w:val="Caption"/>
    <w:link w:val="CaptionTableChar"/>
    <w:qFormat/>
    <w:rsid w:val="00633B61"/>
    <w:pPr>
      <w:numPr>
        <w:numId w:val="10"/>
      </w:numPr>
      <w:spacing w:before="200" w:after="80"/>
    </w:pPr>
  </w:style>
  <w:style w:type="character" w:customStyle="1" w:styleId="CaptionFigureChar">
    <w:name w:val="Caption Figure Char"/>
    <w:basedOn w:val="CaptionChar"/>
    <w:link w:val="CaptionFigure"/>
    <w:rsid w:val="00633B61"/>
    <w:rPr>
      <w:b/>
      <w:bCs/>
      <w:szCs w:val="20"/>
    </w:rPr>
  </w:style>
  <w:style w:type="character" w:customStyle="1" w:styleId="CaptionTableChar">
    <w:name w:val="Caption Table Char"/>
    <w:basedOn w:val="CaptionChar"/>
    <w:link w:val="CaptionTable"/>
    <w:rsid w:val="00633B61"/>
    <w:rPr>
      <w:b/>
      <w:bCs/>
      <w:szCs w:val="20"/>
    </w:rPr>
  </w:style>
  <w:style w:type="paragraph" w:customStyle="1" w:styleId="TableCaption">
    <w:name w:val="Table_Caption"/>
    <w:basedOn w:val="BodyText"/>
    <w:uiPriority w:val="3"/>
    <w:qFormat/>
    <w:rsid w:val="005E0BC0"/>
    <w:pPr>
      <w:keepNext/>
      <w:keepLines/>
      <w:suppressAutoHyphens/>
      <w:spacing w:before="320" w:after="120"/>
      <w:jc w:val="center"/>
    </w:pPr>
    <w:rPr>
      <w:b/>
    </w:rPr>
  </w:style>
  <w:style w:type="paragraph" w:customStyle="1" w:styleId="body11">
    <w:name w:val="body11"/>
    <w:basedOn w:val="BodyText"/>
    <w:link w:val="body11Char"/>
    <w:qFormat/>
    <w:rsid w:val="005E0BC0"/>
    <w:pPr>
      <w:spacing w:before="0" w:after="160"/>
    </w:pPr>
    <w:rPr>
      <w:szCs w:val="22"/>
    </w:rPr>
  </w:style>
  <w:style w:type="character" w:customStyle="1" w:styleId="body11Char">
    <w:name w:val="body11 Char"/>
    <w:basedOn w:val="DefaultParagraphFont"/>
    <w:link w:val="body11"/>
    <w:rsid w:val="005E0BC0"/>
  </w:style>
  <w:style w:type="character" w:customStyle="1" w:styleId="Bullet1Char">
    <w:name w:val="Bullet 1 Char"/>
    <w:basedOn w:val="DefaultParagraphFont"/>
    <w:link w:val="Bullet1"/>
    <w:uiPriority w:val="99"/>
    <w:rsid w:val="005E0BC0"/>
    <w:rPr>
      <w:szCs w:val="24"/>
    </w:rPr>
  </w:style>
  <w:style w:type="character" w:customStyle="1" w:styleId="CommentTextChar">
    <w:name w:val="Comment Text Char"/>
    <w:basedOn w:val="DefaultParagraphFont"/>
    <w:link w:val="CommentText"/>
    <w:uiPriority w:val="1"/>
    <w:rsid w:val="00914A20"/>
    <w:rPr>
      <w:sz w:val="20"/>
      <w:szCs w:val="20"/>
    </w:rPr>
  </w:style>
  <w:style w:type="paragraph" w:customStyle="1" w:styleId="Default">
    <w:name w:val="Default"/>
    <w:rsid w:val="0033550D"/>
    <w:pPr>
      <w:autoSpaceDE w:val="0"/>
      <w:autoSpaceDN w:val="0"/>
      <w:adjustRightInd w:val="0"/>
      <w:spacing w:before="0" w:after="0"/>
    </w:pPr>
    <w:rPr>
      <w:rFonts w:cs="Franklin Gothic Book"/>
      <w:color w:val="000000"/>
      <w:sz w:val="24"/>
      <w:szCs w:val="24"/>
    </w:rPr>
  </w:style>
  <w:style w:type="paragraph" w:styleId="ListBullet">
    <w:name w:val="List Bullet"/>
    <w:aliases w:val="List Bullet 1 Alt+1"/>
    <w:basedOn w:val="Bullet1"/>
    <w:uiPriority w:val="9"/>
    <w:semiHidden/>
    <w:unhideWhenUsed/>
    <w:qFormat/>
    <w:rsid w:val="00F22DC6"/>
    <w:pPr>
      <w:numPr>
        <w:numId w:val="1"/>
      </w:numPr>
      <w:spacing w:before="0"/>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49293">
      <w:bodyDiv w:val="1"/>
      <w:marLeft w:val="0"/>
      <w:marRight w:val="0"/>
      <w:marTop w:val="0"/>
      <w:marBottom w:val="0"/>
      <w:divBdr>
        <w:top w:val="none" w:sz="0" w:space="0" w:color="auto"/>
        <w:left w:val="none" w:sz="0" w:space="0" w:color="auto"/>
        <w:bottom w:val="none" w:sz="0" w:space="0" w:color="auto"/>
        <w:right w:val="none" w:sz="0" w:space="0" w:color="auto"/>
      </w:divBdr>
    </w:div>
    <w:div w:id="624124126">
      <w:bodyDiv w:val="1"/>
      <w:marLeft w:val="0"/>
      <w:marRight w:val="0"/>
      <w:marTop w:val="0"/>
      <w:marBottom w:val="0"/>
      <w:divBdr>
        <w:top w:val="none" w:sz="0" w:space="0" w:color="auto"/>
        <w:left w:val="none" w:sz="0" w:space="0" w:color="auto"/>
        <w:bottom w:val="none" w:sz="0" w:space="0" w:color="auto"/>
        <w:right w:val="none" w:sz="0" w:space="0" w:color="auto"/>
      </w:divBdr>
    </w:div>
    <w:div w:id="936719972">
      <w:bodyDiv w:val="1"/>
      <w:marLeft w:val="0"/>
      <w:marRight w:val="0"/>
      <w:marTop w:val="0"/>
      <w:marBottom w:val="0"/>
      <w:divBdr>
        <w:top w:val="none" w:sz="0" w:space="0" w:color="auto"/>
        <w:left w:val="none" w:sz="0" w:space="0" w:color="auto"/>
        <w:bottom w:val="none" w:sz="0" w:space="0" w:color="auto"/>
        <w:right w:val="none" w:sz="0" w:space="0" w:color="auto"/>
      </w:divBdr>
    </w:div>
    <w:div w:id="1110974229">
      <w:bodyDiv w:val="1"/>
      <w:marLeft w:val="0"/>
      <w:marRight w:val="0"/>
      <w:marTop w:val="0"/>
      <w:marBottom w:val="0"/>
      <w:divBdr>
        <w:top w:val="none" w:sz="0" w:space="0" w:color="auto"/>
        <w:left w:val="none" w:sz="0" w:space="0" w:color="auto"/>
        <w:bottom w:val="none" w:sz="0" w:space="0" w:color="auto"/>
        <w:right w:val="none" w:sz="0" w:space="0" w:color="auto"/>
      </w:divBdr>
    </w:div>
    <w:div w:id="1313412178">
      <w:bodyDiv w:val="1"/>
      <w:marLeft w:val="0"/>
      <w:marRight w:val="0"/>
      <w:marTop w:val="0"/>
      <w:marBottom w:val="0"/>
      <w:divBdr>
        <w:top w:val="none" w:sz="0" w:space="0" w:color="auto"/>
        <w:left w:val="none" w:sz="0" w:space="0" w:color="auto"/>
        <w:bottom w:val="none" w:sz="0" w:space="0" w:color="auto"/>
        <w:right w:val="none" w:sz="0" w:space="0" w:color="auto"/>
      </w:divBdr>
    </w:div>
    <w:div w:id="1601256952">
      <w:bodyDiv w:val="1"/>
      <w:marLeft w:val="0"/>
      <w:marRight w:val="0"/>
      <w:marTop w:val="0"/>
      <w:marBottom w:val="0"/>
      <w:divBdr>
        <w:top w:val="none" w:sz="0" w:space="0" w:color="auto"/>
        <w:left w:val="none" w:sz="0" w:space="0" w:color="auto"/>
        <w:bottom w:val="none" w:sz="0" w:space="0" w:color="auto"/>
        <w:right w:val="none" w:sz="0" w:space="0" w:color="auto"/>
      </w:divBdr>
    </w:div>
    <w:div w:id="1707558377">
      <w:bodyDiv w:val="1"/>
      <w:marLeft w:val="0"/>
      <w:marRight w:val="0"/>
      <w:marTop w:val="0"/>
      <w:marBottom w:val="0"/>
      <w:divBdr>
        <w:top w:val="none" w:sz="0" w:space="0" w:color="auto"/>
        <w:left w:val="none" w:sz="0" w:space="0" w:color="auto"/>
        <w:bottom w:val="none" w:sz="0" w:space="0" w:color="auto"/>
        <w:right w:val="none" w:sz="0" w:space="0" w:color="auto"/>
      </w:divBdr>
    </w:div>
    <w:div w:id="1731267926">
      <w:bodyDiv w:val="1"/>
      <w:marLeft w:val="0"/>
      <w:marRight w:val="0"/>
      <w:marTop w:val="0"/>
      <w:marBottom w:val="0"/>
      <w:divBdr>
        <w:top w:val="none" w:sz="0" w:space="0" w:color="auto"/>
        <w:left w:val="none" w:sz="0" w:space="0" w:color="auto"/>
        <w:bottom w:val="none" w:sz="0" w:space="0" w:color="auto"/>
        <w:right w:val="none" w:sz="0" w:space="0" w:color="auto"/>
      </w:divBdr>
    </w:div>
    <w:div w:id="1806121243">
      <w:bodyDiv w:val="1"/>
      <w:marLeft w:val="0"/>
      <w:marRight w:val="0"/>
      <w:marTop w:val="0"/>
      <w:marBottom w:val="0"/>
      <w:divBdr>
        <w:top w:val="none" w:sz="0" w:space="0" w:color="auto"/>
        <w:left w:val="none" w:sz="0" w:space="0" w:color="auto"/>
        <w:bottom w:val="none" w:sz="0" w:space="0" w:color="auto"/>
        <w:right w:val="none" w:sz="0" w:space="0" w:color="auto"/>
      </w:divBdr>
    </w:div>
    <w:div w:id="1854496731">
      <w:bodyDiv w:val="1"/>
      <w:marLeft w:val="0"/>
      <w:marRight w:val="0"/>
      <w:marTop w:val="0"/>
      <w:marBottom w:val="0"/>
      <w:divBdr>
        <w:top w:val="none" w:sz="0" w:space="0" w:color="auto"/>
        <w:left w:val="none" w:sz="0" w:space="0" w:color="auto"/>
        <w:bottom w:val="none" w:sz="0" w:space="0" w:color="auto"/>
        <w:right w:val="none" w:sz="0" w:space="0" w:color="auto"/>
      </w:divBdr>
    </w:div>
    <w:div w:id="20522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Visio_Drawing.vsdx"/><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8.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nold\Downloads\Template_Word_Evaluation%20(5).dotx" TargetMode="External"/></Relationships>
</file>

<file path=word/theme/theme1.xml><?xml version="1.0" encoding="utf-8"?>
<a:theme xmlns:a="http://schemas.openxmlformats.org/drawingml/2006/main" name="Office Theme">
  <a:themeElements>
    <a:clrScheme name="ODC Theme">
      <a:dk1>
        <a:srgbClr val="4D4D4F"/>
      </a:dk1>
      <a:lt1>
        <a:srgbClr val="1295D8"/>
      </a:lt1>
      <a:dk2>
        <a:srgbClr val="053572"/>
      </a:dk2>
      <a:lt2>
        <a:srgbClr val="FFFFFF"/>
      </a:lt2>
      <a:accent1>
        <a:srgbClr val="053572"/>
      </a:accent1>
      <a:accent2>
        <a:srgbClr val="1295D8"/>
      </a:accent2>
      <a:accent3>
        <a:srgbClr val="4D4D4F"/>
      </a:accent3>
      <a:accent4>
        <a:srgbClr val="0069B6"/>
      </a:accent4>
      <a:accent5>
        <a:srgbClr val="64B3E8"/>
      </a:accent5>
      <a:accent6>
        <a:srgbClr val="696969"/>
      </a:accent6>
      <a:hlink>
        <a:srgbClr val="FF6C2F"/>
      </a:hlink>
      <a:folHlink>
        <a:srgbClr val="FFB51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6304169B5C345922DB5030F995D49" ma:contentTypeVersion="0" ma:contentTypeDescription="Create a new document." ma:contentTypeScope="" ma:versionID="4cbbdc000ca8e3f2734d344ca1f97c2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58EF17A-7038-4602-85E2-AC67FBC31009}">
  <ds:schemaRefs>
    <ds:schemaRef ds:uri="http://schemas.microsoft.com/sharepoint/v3/contenttype/forms"/>
  </ds:schemaRefs>
</ds:datastoreItem>
</file>

<file path=customXml/itemProps2.xml><?xml version="1.0" encoding="utf-8"?>
<ds:datastoreItem xmlns:ds="http://schemas.openxmlformats.org/officeDocument/2006/customXml" ds:itemID="{D7BA97CF-464D-45BF-A10C-90E8C174DC87}">
  <ds:schemaRefs>
    <ds:schemaRef ds:uri="http://schemas.microsoft.com/office/2006/metadata/properties"/>
  </ds:schemaRefs>
</ds:datastoreItem>
</file>

<file path=customXml/itemProps3.xml><?xml version="1.0" encoding="utf-8"?>
<ds:datastoreItem xmlns:ds="http://schemas.openxmlformats.org/officeDocument/2006/customXml" ds:itemID="{C170B902-47AF-4E91-9B4A-044C30A3D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656297-52B1-4D2E-BADF-736B6F11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Template_Word_Evaluation (5)</Template>
  <TotalTime>0</TotalTime>
  <Pages>29</Pages>
  <Words>9207</Words>
  <Characters>52486</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Report Template v2012.0403</vt:lpstr>
    </vt:vector>
  </TitlesOfParts>
  <Company>Opinion Dynamics Corporation</Company>
  <LinksUpToDate>false</LinksUpToDate>
  <CharactersWithSpaces>61570</CharactersWithSpaces>
  <SharedDoc>false</SharedDoc>
  <HLinks>
    <vt:vector size="36" baseType="variant">
      <vt:variant>
        <vt:i4>1048627</vt:i4>
      </vt:variant>
      <vt:variant>
        <vt:i4>47</vt:i4>
      </vt:variant>
      <vt:variant>
        <vt:i4>0</vt:i4>
      </vt:variant>
      <vt:variant>
        <vt:i4>5</vt:i4>
      </vt:variant>
      <vt:variant>
        <vt:lpwstr/>
      </vt:variant>
      <vt:variant>
        <vt:lpwstr>_Toc214678284</vt:lpwstr>
      </vt:variant>
      <vt:variant>
        <vt:i4>1048627</vt:i4>
      </vt:variant>
      <vt:variant>
        <vt:i4>38</vt:i4>
      </vt:variant>
      <vt:variant>
        <vt:i4>0</vt:i4>
      </vt:variant>
      <vt:variant>
        <vt:i4>5</vt:i4>
      </vt:variant>
      <vt:variant>
        <vt:lpwstr/>
      </vt:variant>
      <vt:variant>
        <vt:lpwstr>_Toc214678282</vt:lpwstr>
      </vt:variant>
      <vt:variant>
        <vt:i4>2031667</vt:i4>
      </vt:variant>
      <vt:variant>
        <vt:i4>29</vt:i4>
      </vt:variant>
      <vt:variant>
        <vt:i4>0</vt:i4>
      </vt:variant>
      <vt:variant>
        <vt:i4>5</vt:i4>
      </vt:variant>
      <vt:variant>
        <vt:lpwstr/>
      </vt:variant>
      <vt:variant>
        <vt:lpwstr>_Toc214678279</vt:lpwstr>
      </vt:variant>
      <vt:variant>
        <vt:i4>2031667</vt:i4>
      </vt:variant>
      <vt:variant>
        <vt:i4>20</vt:i4>
      </vt:variant>
      <vt:variant>
        <vt:i4>0</vt:i4>
      </vt:variant>
      <vt:variant>
        <vt:i4>5</vt:i4>
      </vt:variant>
      <vt:variant>
        <vt:lpwstr/>
      </vt:variant>
      <vt:variant>
        <vt:lpwstr>_Toc214678276</vt:lpwstr>
      </vt:variant>
      <vt:variant>
        <vt:i4>2031667</vt:i4>
      </vt:variant>
      <vt:variant>
        <vt:i4>11</vt:i4>
      </vt:variant>
      <vt:variant>
        <vt:i4>0</vt:i4>
      </vt:variant>
      <vt:variant>
        <vt:i4>5</vt:i4>
      </vt:variant>
      <vt:variant>
        <vt:lpwstr/>
      </vt:variant>
      <vt:variant>
        <vt:lpwstr>_Toc214678274</vt:lpwstr>
      </vt:variant>
      <vt:variant>
        <vt:i4>2031667</vt:i4>
      </vt:variant>
      <vt:variant>
        <vt:i4>5</vt:i4>
      </vt:variant>
      <vt:variant>
        <vt:i4>0</vt:i4>
      </vt:variant>
      <vt:variant>
        <vt:i4>5</vt:i4>
      </vt:variant>
      <vt:variant>
        <vt:lpwstr/>
      </vt:variant>
      <vt:variant>
        <vt:lpwstr>_Toc214678273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v2012.0403</dc:title>
  <dc:subject>Template</dc:subject>
  <dc:creator>Hannah Arnold</dc:creator>
  <cp:keywords>template, report</cp:keywords>
  <cp:lastModifiedBy>Celia Johnson</cp:lastModifiedBy>
  <cp:revision>2</cp:revision>
  <cp:lastPrinted>2017-12-29T22:48:00Z</cp:lastPrinted>
  <dcterms:created xsi:type="dcterms:W3CDTF">2019-12-16T13:47:00Z</dcterms:created>
  <dcterms:modified xsi:type="dcterms:W3CDTF">2019-12-16T13:47:00Z</dcterms:modified>
  <cp:category>Reports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ed">
    <vt:lpwstr>S Roswit</vt:lpwstr>
  </property>
  <property fmtid="{D5CDD505-2E9C-101B-9397-08002B2CF9AE}" pid="3" name="ContentTypeId">
    <vt:lpwstr>0x0101002CA6304169B5C345922DB5030F995D49</vt:lpwstr>
  </property>
</Properties>
</file>