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Franklin Gothic Book" w:hAnsi="Franklin Gothic Book"/>
          <w:sz w:val="22"/>
        </w:rPr>
        <w:id w:val="2047950357"/>
        <w:docPartObj>
          <w:docPartGallery w:val="Cover Pages"/>
          <w:docPartUnique/>
        </w:docPartObj>
      </w:sdtPr>
      <w:sdtEndPr/>
      <w:sdtContent>
        <w:p w14:paraId="1F0C2F55" w14:textId="0FAFB0E1" w:rsidR="001F322C" w:rsidRDefault="00311011" w:rsidP="000E0419">
          <w:pPr>
            <w:pStyle w:val="TableTextLeftMedium"/>
          </w:pPr>
          <w:r>
            <w:rPr>
              <w:noProof/>
            </w:rPr>
            <w:drawing>
              <wp:anchor distT="0" distB="0" distL="114300" distR="114300" simplePos="0" relativeHeight="251667456" behindDoc="1" locked="0" layoutInCell="1" allowOverlap="1" wp14:anchorId="43796E93" wp14:editId="03BE865D">
                <wp:simplePos x="0" y="0"/>
                <wp:positionH relativeFrom="column">
                  <wp:posOffset>-350520</wp:posOffset>
                </wp:positionH>
                <wp:positionV relativeFrom="paragraph">
                  <wp:posOffset>-828675</wp:posOffset>
                </wp:positionV>
                <wp:extent cx="7801610" cy="10095230"/>
                <wp:effectExtent l="0" t="0" r="8890" b="1270"/>
                <wp:wrapNone/>
                <wp:docPr id="1596089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89302"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7801610" cy="10095230"/>
                        </a:xfrm>
                        <a:prstGeom prst="rect">
                          <a:avLst/>
                        </a:prstGeom>
                      </pic:spPr>
                    </pic:pic>
                  </a:graphicData>
                </a:graphic>
                <wp14:sizeRelH relativeFrom="margin">
                  <wp14:pctWidth>0</wp14:pctWidth>
                </wp14:sizeRelH>
                <wp14:sizeRelV relativeFrom="margin">
                  <wp14:pctHeight>0</wp14:pctHeight>
                </wp14:sizeRelV>
              </wp:anchor>
            </w:drawing>
          </w:r>
        </w:p>
        <w:p w14:paraId="3180A513" w14:textId="5C431327" w:rsidR="001F322C" w:rsidRDefault="001F322C" w:rsidP="001F322C">
          <w:r>
            <w:rPr>
              <w:noProof/>
            </w:rPr>
            <mc:AlternateContent>
              <mc:Choice Requires="wps">
                <w:drawing>
                  <wp:anchor distT="190500" distB="190500" distL="476250" distR="476250" simplePos="0" relativeHeight="251658240" behindDoc="0" locked="0" layoutInCell="1" allowOverlap="1" wp14:anchorId="5E74AA50" wp14:editId="3CB694DB">
                    <wp:simplePos x="0" y="0"/>
                    <wp:positionH relativeFrom="page">
                      <wp:align>left</wp:align>
                    </wp:positionH>
                    <wp:positionV relativeFrom="page">
                      <wp:posOffset>2041071</wp:posOffset>
                    </wp:positionV>
                    <wp:extent cx="7766685" cy="3771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685" cy="3771900"/>
                            </a:xfrm>
                            <a:prstGeom prst="rect">
                              <a:avLst/>
                            </a:prstGeom>
                            <a:noFill/>
                            <a:ln w="9525">
                              <a:noFill/>
                              <a:miter lim="800000"/>
                              <a:headEnd/>
                              <a:tailEnd/>
                            </a:ln>
                          </wps:spPr>
                          <wps:txbx>
                            <w:txbxContent>
                              <w:p w14:paraId="17A181FA" w14:textId="05265515" w:rsidR="00D27354" w:rsidRDefault="00B854C9" w:rsidP="00D27354">
                                <w:pPr>
                                  <w:pStyle w:val="Title"/>
                                </w:pPr>
                                <w:r>
                                  <w:t>Ameren Illinois Company</w:t>
                                </w:r>
                              </w:p>
                              <w:p w14:paraId="2A0402A7" w14:textId="33C6DB68" w:rsidR="00D27354" w:rsidRPr="00D27354" w:rsidRDefault="00B854C9" w:rsidP="00612B6A">
                                <w:pPr>
                                  <w:pStyle w:val="Subtitle"/>
                                  <w:ind w:right="3915"/>
                                  <w:rPr>
                                    <w:lang w:val="en-ZA"/>
                                  </w:rPr>
                                </w:pPr>
                                <w:r>
                                  <w:rPr>
                                    <w:lang w:val="en-ZA"/>
                                  </w:rPr>
                                  <w:t>2024 Business Program Impact Evaluation Report</w:t>
                                </w:r>
                              </w:p>
                              <w:p w14:paraId="76E6884C" w14:textId="77777777" w:rsidR="00D27354" w:rsidRDefault="00D27354" w:rsidP="00D27354">
                                <w:pPr>
                                  <w:ind w:left="450"/>
                                  <w:rPr>
                                    <w:rFonts w:ascii="Rift Soft Light" w:hAnsi="Rift Soft Light"/>
                                    <w:sz w:val="44"/>
                                    <w:szCs w:val="44"/>
                                    <w:lang w:val="en-ZA"/>
                                  </w:rPr>
                                </w:pPr>
                              </w:p>
                              <w:p w14:paraId="2A64E804" w14:textId="77777777" w:rsidR="00612B6A" w:rsidRPr="00D27354" w:rsidRDefault="00612B6A" w:rsidP="00D27354">
                                <w:pPr>
                                  <w:ind w:left="450"/>
                                  <w:rPr>
                                    <w:rFonts w:ascii="Rift Soft Light" w:hAnsi="Rift Soft Light"/>
                                    <w:sz w:val="44"/>
                                    <w:szCs w:val="44"/>
                                    <w:lang w:val="en-ZA"/>
                                  </w:rPr>
                                </w:pPr>
                              </w:p>
                              <w:p w14:paraId="0507BE54" w14:textId="0B9133A3" w:rsidR="00D27354" w:rsidRDefault="00B854C9" w:rsidP="00C54B21">
                                <w:pPr>
                                  <w:pStyle w:val="Title3"/>
                                  <w:rPr>
                                    <w:lang w:val="en-ZA"/>
                                  </w:rPr>
                                </w:pPr>
                                <w:r>
                                  <w:rPr>
                                    <w:lang w:val="en-ZA"/>
                                  </w:rPr>
                                  <w:t>Draft</w:t>
                                </w:r>
                              </w:p>
                              <w:p w14:paraId="47BFF91B" w14:textId="6381ECED" w:rsidR="00B854C9" w:rsidRPr="00D27354" w:rsidRDefault="00B854C9" w:rsidP="00C54B21">
                                <w:pPr>
                                  <w:pStyle w:val="Title3"/>
                                  <w:rPr>
                                    <w:lang w:val="en-ZA"/>
                                  </w:rPr>
                                </w:pPr>
                                <w:r>
                                  <w:rPr>
                                    <w:lang w:val="en-ZA"/>
                                  </w:rPr>
                                  <w:t>March 1</w:t>
                                </w:r>
                                <w:r w:rsidR="001D5D92">
                                  <w:rPr>
                                    <w:lang w:val="en-ZA"/>
                                  </w:rPr>
                                  <w:t>3</w:t>
                                </w:r>
                                <w:r>
                                  <w:rPr>
                                    <w:lang w:val="en-ZA"/>
                                  </w:rPr>
                                  <w:t>,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74AA50" id="_x0000_t202" coordsize="21600,21600" o:spt="202" path="m,l,21600r21600,l21600,xe">
                    <v:stroke joinstyle="miter"/>
                    <v:path gradientshapeok="t" o:connecttype="rect"/>
                  </v:shapetype>
                  <v:shape id="Text Box 2" o:spid="_x0000_s1026" type="#_x0000_t202" style="position:absolute;margin-left:0;margin-top:160.7pt;width:611.55pt;height:297pt;z-index:251658240;visibility:visible;mso-wrap-style:square;mso-width-percent:0;mso-height-percent:0;mso-wrap-distance-left:37.5pt;mso-wrap-distance-top:15pt;mso-wrap-distance-right:37.5pt;mso-wrap-distance-bottom:15pt;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lqV+QEAAM4DAAAOAAAAZHJzL2Uyb0RvYy54bWysU9uO2yAQfa/Uf0C8N7bTXK04q+1ut6q0&#10;vUjbfgDGOEYFhgKJnX59B+zNRu1bVT+gwQNn5pw57G4GrchJOC/BVLSY5ZQIw6GR5lDR798e3mwo&#10;8YGZhikwoqJn4enN/vWrXW9LMYcOVCMcQRDjy95WtAvBllnmeSc08zOwwmCyBadZwK07ZI1jPaJr&#10;lc3zfJX14BrrgAvv8e/9mKT7hN+2gocvbetFIKqi2FtIq0trHddsv2PlwTHbST61wf6hC82kwaIX&#10;qHsWGDk6+ReUltyBhzbMOOgM2lZykTggmyL/g81Tx6xIXFAcby8y+f8Hyz+fnuxXR8LwDgYcYCLh&#10;7SPwH54YuOuYOYhb56DvBGuwcBEly3rry+lqlNqXPoLU/SdocMjsGCABDa3TURXkSRAdB3C+iC6G&#10;QDj+XK9Xq9VmSQnH3Nv1utjmaSwZK5+vW+fDBwGaxKCiDqea4Nnp0YfYDiufj8RqBh6kUmmyypC+&#10;otvlfJkuXGW0DGg8JXVFN3n8RitElu9Nky4HJtUYYwFlJtqR6cg5DPWAByP9GpozCuBgNBg+CAw6&#10;cL8o6dFcFfU/j8wJStRHgyJui8UiujFtFsv1HDfuOlNfZ5jhCFXRQMkY3oXk4JHrLYrdyiTDSydT&#10;r2iapM5k8OjK63069fIM978BAAD//wMAUEsDBBQABgAIAAAAIQAQ5j2Z3gAAAAkBAAAPAAAAZHJz&#10;L2Rvd25yZXYueG1sTI/BTsMwEETvSPyDtZW4UTtpimjIpkIgriBKi8TNjbdJ1HgdxW4T/h73RI+j&#10;Gc28KdaT7cSZBt86RkjmCgRx5UzLNcL26+3+EYQPmo3uHBPCL3lYl7c3hc6NG/mTzptQi1jCPtcI&#10;TQh9LqWvGrLaz11PHL2DG6wOUQ61NIMeY7ntZKrUg7S65bjQ6J5eGqqOm5NF2L0ffr4z9VG/2mU/&#10;uklJtiuJeDebnp9ABJrCfxgu+BEdysi0dyc2XnQI8UhAWKRJBuJip+kiAbFHWCXLDGRZyOsH5R8A&#10;AAD//wMAUEsBAi0AFAAGAAgAAAAhALaDOJL+AAAA4QEAABMAAAAAAAAAAAAAAAAAAAAAAFtDb250&#10;ZW50X1R5cGVzXS54bWxQSwECLQAUAAYACAAAACEAOP0h/9YAAACUAQAACwAAAAAAAAAAAAAAAAAv&#10;AQAAX3JlbHMvLnJlbHNQSwECLQAUAAYACAAAACEAjFZalfkBAADOAwAADgAAAAAAAAAAAAAAAAAu&#10;AgAAZHJzL2Uyb0RvYy54bWxQSwECLQAUAAYACAAAACEAEOY9md4AAAAJAQAADwAAAAAAAAAAAAAA&#10;AABTBAAAZHJzL2Rvd25yZXYueG1sUEsFBgAAAAAEAAQA8wAAAF4FAAAAAA==&#10;" filled="f" stroked="f">
                    <v:textbox>
                      <w:txbxContent>
                        <w:p w14:paraId="17A181FA" w14:textId="05265515" w:rsidR="00D27354" w:rsidRDefault="00B854C9" w:rsidP="00D27354">
                          <w:pPr>
                            <w:pStyle w:val="Title"/>
                          </w:pPr>
                          <w:r>
                            <w:t>Ameren Illinois Company</w:t>
                          </w:r>
                        </w:p>
                        <w:p w14:paraId="2A0402A7" w14:textId="33C6DB68" w:rsidR="00D27354" w:rsidRPr="00D27354" w:rsidRDefault="00B854C9" w:rsidP="00612B6A">
                          <w:pPr>
                            <w:pStyle w:val="Subtitle"/>
                            <w:ind w:right="3915"/>
                            <w:rPr>
                              <w:lang w:val="en-ZA"/>
                            </w:rPr>
                          </w:pPr>
                          <w:r>
                            <w:rPr>
                              <w:lang w:val="en-ZA"/>
                            </w:rPr>
                            <w:t>2024 Business Program Impact Evaluation Report</w:t>
                          </w:r>
                        </w:p>
                        <w:p w14:paraId="76E6884C" w14:textId="77777777" w:rsidR="00D27354" w:rsidRDefault="00D27354" w:rsidP="00D27354">
                          <w:pPr>
                            <w:ind w:left="450"/>
                            <w:rPr>
                              <w:rFonts w:ascii="Rift Soft Light" w:hAnsi="Rift Soft Light"/>
                              <w:sz w:val="44"/>
                              <w:szCs w:val="44"/>
                              <w:lang w:val="en-ZA"/>
                            </w:rPr>
                          </w:pPr>
                        </w:p>
                        <w:p w14:paraId="2A64E804" w14:textId="77777777" w:rsidR="00612B6A" w:rsidRPr="00D27354" w:rsidRDefault="00612B6A" w:rsidP="00D27354">
                          <w:pPr>
                            <w:ind w:left="450"/>
                            <w:rPr>
                              <w:rFonts w:ascii="Rift Soft Light" w:hAnsi="Rift Soft Light"/>
                              <w:sz w:val="44"/>
                              <w:szCs w:val="44"/>
                              <w:lang w:val="en-ZA"/>
                            </w:rPr>
                          </w:pPr>
                        </w:p>
                        <w:p w14:paraId="0507BE54" w14:textId="0B9133A3" w:rsidR="00D27354" w:rsidRDefault="00B854C9" w:rsidP="00C54B21">
                          <w:pPr>
                            <w:pStyle w:val="Title3"/>
                            <w:rPr>
                              <w:lang w:val="en-ZA"/>
                            </w:rPr>
                          </w:pPr>
                          <w:r>
                            <w:rPr>
                              <w:lang w:val="en-ZA"/>
                            </w:rPr>
                            <w:t>Draft</w:t>
                          </w:r>
                        </w:p>
                        <w:p w14:paraId="47BFF91B" w14:textId="6381ECED" w:rsidR="00B854C9" w:rsidRPr="00D27354" w:rsidRDefault="00B854C9" w:rsidP="00C54B21">
                          <w:pPr>
                            <w:pStyle w:val="Title3"/>
                            <w:rPr>
                              <w:lang w:val="en-ZA"/>
                            </w:rPr>
                          </w:pPr>
                          <w:r>
                            <w:rPr>
                              <w:lang w:val="en-ZA"/>
                            </w:rPr>
                            <w:t>March 1</w:t>
                          </w:r>
                          <w:r w:rsidR="001D5D92">
                            <w:rPr>
                              <w:lang w:val="en-ZA"/>
                            </w:rPr>
                            <w:t>3</w:t>
                          </w:r>
                          <w:r>
                            <w:rPr>
                              <w:lang w:val="en-ZA"/>
                            </w:rPr>
                            <w:t>, 2024</w:t>
                          </w:r>
                        </w:p>
                      </w:txbxContent>
                    </v:textbox>
                    <w10:wrap type="square" anchorx="page" anchory="page"/>
                  </v:shape>
                </w:pict>
              </mc:Fallback>
            </mc:AlternateContent>
          </w:r>
          <w:r>
            <w:br w:type="page"/>
          </w:r>
          <w:r w:rsidR="00C425C2">
            <w:rPr>
              <w:noProof/>
            </w:rPr>
            <w:drawing>
              <wp:anchor distT="0" distB="0" distL="114300" distR="114300" simplePos="0" relativeHeight="251665408" behindDoc="1" locked="0" layoutInCell="1" allowOverlap="1" wp14:anchorId="557EC529" wp14:editId="7B5EA65C">
                <wp:simplePos x="0" y="0"/>
                <wp:positionH relativeFrom="column">
                  <wp:posOffset>-350520</wp:posOffset>
                </wp:positionH>
                <wp:positionV relativeFrom="paragraph">
                  <wp:posOffset>-875030</wp:posOffset>
                </wp:positionV>
                <wp:extent cx="7938877" cy="10272789"/>
                <wp:effectExtent l="0" t="0" r="5080" b="0"/>
                <wp:wrapNone/>
                <wp:docPr id="1259283369" name="Picture 1" descr="A cover of a magaz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283369" name="Picture 1" descr="A cover of a magazin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938877" cy="10272789"/>
                        </a:xfrm>
                        <a:prstGeom prst="rect">
                          <a:avLst/>
                        </a:prstGeom>
                      </pic:spPr>
                    </pic:pic>
                  </a:graphicData>
                </a:graphic>
                <wp14:sizeRelH relativeFrom="margin">
                  <wp14:pctWidth>0</wp14:pctWidth>
                </wp14:sizeRelH>
                <wp14:sizeRelV relativeFrom="margin">
                  <wp14:pctHeight>0</wp14:pctHeight>
                </wp14:sizeRelV>
              </wp:anchor>
            </w:drawing>
          </w:r>
          <w:r w:rsidR="00B45EFD">
            <w:rPr>
              <w:noProof/>
            </w:rPr>
            <w:drawing>
              <wp:anchor distT="0" distB="0" distL="114300" distR="114300" simplePos="0" relativeHeight="251663360" behindDoc="1" locked="0" layoutInCell="1" allowOverlap="1" wp14:anchorId="792109E9" wp14:editId="03861E78">
                <wp:simplePos x="0" y="0"/>
                <wp:positionH relativeFrom="column">
                  <wp:posOffset>-350520</wp:posOffset>
                </wp:positionH>
                <wp:positionV relativeFrom="paragraph">
                  <wp:posOffset>-875030</wp:posOffset>
                </wp:positionV>
                <wp:extent cx="7838880" cy="10143395"/>
                <wp:effectExtent l="0" t="0" r="0" b="0"/>
                <wp:wrapNone/>
                <wp:docPr id="826601317" name="Picture 1" descr="A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601317" name="Picture 1" descr="A cover of a book&#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7838880" cy="10143395"/>
                        </a:xfrm>
                        <a:prstGeom prst="rect">
                          <a:avLst/>
                        </a:prstGeom>
                      </pic:spPr>
                    </pic:pic>
                  </a:graphicData>
                </a:graphic>
                <wp14:sizeRelH relativeFrom="margin">
                  <wp14:pctWidth>0</wp14:pctWidth>
                </wp14:sizeRelH>
                <wp14:sizeRelV relativeFrom="margin">
                  <wp14:pctHeight>0</wp14:pctHeight>
                </wp14:sizeRelV>
              </wp:anchor>
            </w:drawing>
          </w:r>
          <w:r w:rsidR="00FA39DF">
            <w:rPr>
              <w:noProof/>
            </w:rPr>
            <w:drawing>
              <wp:anchor distT="0" distB="0" distL="114300" distR="114300" simplePos="0" relativeHeight="251657215" behindDoc="1" locked="1" layoutInCell="1" allowOverlap="1" wp14:anchorId="4B4B8795" wp14:editId="2B9D3C7E">
                <wp:simplePos x="0" y="0"/>
                <wp:positionH relativeFrom="page">
                  <wp:posOffset>9525</wp:posOffset>
                </wp:positionH>
                <wp:positionV relativeFrom="page">
                  <wp:posOffset>-46990</wp:posOffset>
                </wp:positionV>
                <wp:extent cx="7753350" cy="10032365"/>
                <wp:effectExtent l="0" t="0" r="0" b="698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a:extLst>
                            <a:ext uri="{28A0092B-C50C-407E-A947-70E740481C1C}">
                              <a14:useLocalDpi xmlns:a14="http://schemas.microsoft.com/office/drawing/2010/main" val="0"/>
                            </a:ext>
                          </a:extLst>
                        </a:blip>
                        <a:stretch>
                          <a:fillRect/>
                        </a:stretch>
                      </pic:blipFill>
                      <pic:spPr>
                        <a:xfrm>
                          <a:off x="0" y="0"/>
                          <a:ext cx="7753350" cy="1003236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Franklin Gothic Book" w:hAnsi="Franklin Gothic Book"/>
          <w:noProof/>
          <w:color w:val="4A4D56" w:themeColor="text1"/>
          <w:sz w:val="22"/>
          <w:szCs w:val="22"/>
        </w:rPr>
        <w:id w:val="-2089219017"/>
        <w:docPartObj>
          <w:docPartGallery w:val="Table of Contents"/>
          <w:docPartUnique/>
        </w:docPartObj>
      </w:sdtPr>
      <w:sdtEndPr/>
      <w:sdtContent>
        <w:p w14:paraId="2F75F6D5" w14:textId="77777777" w:rsidR="00311011" w:rsidRDefault="00311011" w:rsidP="00311011">
          <w:pPr>
            <w:pStyle w:val="TOCHeading"/>
          </w:pPr>
          <w:r>
            <w:t>Contents</w:t>
          </w:r>
        </w:p>
        <w:p w14:paraId="5B8B047F" w14:textId="77777777" w:rsidR="00311011" w:rsidRDefault="00311011" w:rsidP="00311011">
          <w:pPr>
            <w:sectPr w:rsidR="00311011" w:rsidSect="00311011">
              <w:headerReference w:type="default" r:id="rId15"/>
              <w:footerReference w:type="default" r:id="rId16"/>
              <w:headerReference w:type="first" r:id="rId17"/>
              <w:type w:val="continuous"/>
              <w:pgSz w:w="12240" w:h="15840" w:code="1"/>
              <w:pgMar w:top="39" w:right="567" w:bottom="567" w:left="567" w:header="567" w:footer="340" w:gutter="0"/>
              <w:cols w:space="708"/>
              <w:titlePg/>
              <w:docGrid w:linePitch="360"/>
            </w:sectPr>
          </w:pPr>
        </w:p>
        <w:p w14:paraId="3C7C4972" w14:textId="74A47A02" w:rsidR="000458DD" w:rsidRDefault="00311011">
          <w:pPr>
            <w:pStyle w:val="TOC1"/>
            <w:rPr>
              <w:rFonts w:asciiTheme="minorHAnsi" w:eastAsiaTheme="minorEastAsia" w:hAnsiTheme="minorHAnsi" w:cstheme="minorBidi"/>
              <w:color w:val="auto"/>
              <w:kern w:val="2"/>
              <w:sz w:val="24"/>
              <w:szCs w:val="24"/>
              <w14:ligatures w14:val="standardContextual"/>
            </w:rPr>
          </w:pPr>
          <w:r>
            <w:fldChar w:fldCharType="begin"/>
          </w:r>
          <w:r>
            <w:instrText xml:space="preserve"> TOC \o "1-2" \h \z \u </w:instrText>
          </w:r>
          <w:r>
            <w:fldChar w:fldCharType="separate"/>
          </w:r>
          <w:hyperlink w:anchor="_Toc192766895" w:history="1">
            <w:r w:rsidR="000458DD" w:rsidRPr="00584B48">
              <w:rPr>
                <w:rStyle w:val="Hyperlink"/>
              </w:rPr>
              <w:t>1.</w:t>
            </w:r>
            <w:r w:rsidR="000458DD">
              <w:rPr>
                <w:rFonts w:asciiTheme="minorHAnsi" w:eastAsiaTheme="minorEastAsia" w:hAnsiTheme="minorHAnsi" w:cstheme="minorBidi"/>
                <w:color w:val="auto"/>
                <w:kern w:val="2"/>
                <w:sz w:val="24"/>
                <w:szCs w:val="24"/>
                <w14:ligatures w14:val="standardContextual"/>
              </w:rPr>
              <w:tab/>
            </w:r>
            <w:r w:rsidR="000458DD" w:rsidRPr="00584B48">
              <w:rPr>
                <w:rStyle w:val="Hyperlink"/>
              </w:rPr>
              <w:t>Executive Summary</w:t>
            </w:r>
            <w:r w:rsidR="000458DD">
              <w:rPr>
                <w:webHidden/>
              </w:rPr>
              <w:tab/>
            </w:r>
            <w:r w:rsidR="000458DD">
              <w:rPr>
                <w:webHidden/>
              </w:rPr>
              <w:fldChar w:fldCharType="begin"/>
            </w:r>
            <w:r w:rsidR="000458DD">
              <w:rPr>
                <w:webHidden/>
              </w:rPr>
              <w:instrText xml:space="preserve"> PAGEREF _Toc192766895 \h </w:instrText>
            </w:r>
            <w:r w:rsidR="000458DD">
              <w:rPr>
                <w:webHidden/>
              </w:rPr>
            </w:r>
            <w:r w:rsidR="000458DD">
              <w:rPr>
                <w:webHidden/>
              </w:rPr>
              <w:fldChar w:fldCharType="separate"/>
            </w:r>
            <w:r w:rsidR="000458DD">
              <w:rPr>
                <w:webHidden/>
              </w:rPr>
              <w:t>8</w:t>
            </w:r>
            <w:r w:rsidR="000458DD">
              <w:rPr>
                <w:webHidden/>
              </w:rPr>
              <w:fldChar w:fldCharType="end"/>
            </w:r>
          </w:hyperlink>
        </w:p>
        <w:p w14:paraId="071A668C" w14:textId="39E59035"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896" w:history="1">
            <w:r w:rsidRPr="00584B48">
              <w:rPr>
                <w:rStyle w:val="Hyperlink"/>
              </w:rPr>
              <w:t>1.1</w:t>
            </w:r>
            <w:r>
              <w:rPr>
                <w:rFonts w:asciiTheme="minorHAnsi" w:eastAsiaTheme="minorEastAsia" w:hAnsiTheme="minorHAnsi" w:cstheme="minorBidi"/>
                <w:color w:val="auto"/>
                <w:kern w:val="2"/>
                <w:sz w:val="24"/>
                <w:szCs w:val="24"/>
                <w14:ligatures w14:val="standardContextual"/>
              </w:rPr>
              <w:tab/>
            </w:r>
            <w:r w:rsidRPr="00584B48">
              <w:rPr>
                <w:rStyle w:val="Hyperlink"/>
              </w:rPr>
              <w:t>Program Overview</w:t>
            </w:r>
            <w:r>
              <w:rPr>
                <w:webHidden/>
              </w:rPr>
              <w:tab/>
            </w:r>
            <w:r>
              <w:rPr>
                <w:webHidden/>
              </w:rPr>
              <w:fldChar w:fldCharType="begin"/>
            </w:r>
            <w:r>
              <w:rPr>
                <w:webHidden/>
              </w:rPr>
              <w:instrText xml:space="preserve"> PAGEREF _Toc192766896 \h </w:instrText>
            </w:r>
            <w:r>
              <w:rPr>
                <w:webHidden/>
              </w:rPr>
            </w:r>
            <w:r>
              <w:rPr>
                <w:webHidden/>
              </w:rPr>
              <w:fldChar w:fldCharType="separate"/>
            </w:r>
            <w:r>
              <w:rPr>
                <w:webHidden/>
              </w:rPr>
              <w:t>8</w:t>
            </w:r>
            <w:r>
              <w:rPr>
                <w:webHidden/>
              </w:rPr>
              <w:fldChar w:fldCharType="end"/>
            </w:r>
          </w:hyperlink>
        </w:p>
        <w:p w14:paraId="1ADCAAF4" w14:textId="3FADF126"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897" w:history="1">
            <w:r w:rsidRPr="00584B48">
              <w:rPr>
                <w:rStyle w:val="Hyperlink"/>
              </w:rPr>
              <w:t>1.2</w:t>
            </w:r>
            <w:r>
              <w:rPr>
                <w:rFonts w:asciiTheme="minorHAnsi" w:eastAsiaTheme="minorEastAsia" w:hAnsiTheme="minorHAnsi" w:cstheme="minorBidi"/>
                <w:color w:val="auto"/>
                <w:kern w:val="2"/>
                <w:sz w:val="24"/>
                <w:szCs w:val="24"/>
                <w14:ligatures w14:val="standardContextual"/>
              </w:rPr>
              <w:tab/>
            </w:r>
            <w:r w:rsidRPr="00584B48">
              <w:rPr>
                <w:rStyle w:val="Hyperlink"/>
              </w:rPr>
              <w:t>Policy Background</w:t>
            </w:r>
            <w:r>
              <w:rPr>
                <w:webHidden/>
              </w:rPr>
              <w:tab/>
            </w:r>
            <w:r>
              <w:rPr>
                <w:webHidden/>
              </w:rPr>
              <w:fldChar w:fldCharType="begin"/>
            </w:r>
            <w:r>
              <w:rPr>
                <w:webHidden/>
              </w:rPr>
              <w:instrText xml:space="preserve"> PAGEREF _Toc192766897 \h </w:instrText>
            </w:r>
            <w:r>
              <w:rPr>
                <w:webHidden/>
              </w:rPr>
            </w:r>
            <w:r>
              <w:rPr>
                <w:webHidden/>
              </w:rPr>
              <w:fldChar w:fldCharType="separate"/>
            </w:r>
            <w:r>
              <w:rPr>
                <w:webHidden/>
              </w:rPr>
              <w:t>9</w:t>
            </w:r>
            <w:r>
              <w:rPr>
                <w:webHidden/>
              </w:rPr>
              <w:fldChar w:fldCharType="end"/>
            </w:r>
          </w:hyperlink>
        </w:p>
        <w:p w14:paraId="1E971EEC" w14:textId="7EC22A92"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898" w:history="1">
            <w:r w:rsidRPr="00584B48">
              <w:rPr>
                <w:rStyle w:val="Hyperlink"/>
              </w:rPr>
              <w:t>1.3</w:t>
            </w:r>
            <w:r>
              <w:rPr>
                <w:rFonts w:asciiTheme="minorHAnsi" w:eastAsiaTheme="minorEastAsia" w:hAnsiTheme="minorHAnsi" w:cstheme="minorBidi"/>
                <w:color w:val="auto"/>
                <w:kern w:val="2"/>
                <w:sz w:val="24"/>
                <w:szCs w:val="24"/>
                <w14:ligatures w14:val="standardContextual"/>
              </w:rPr>
              <w:tab/>
            </w:r>
            <w:r w:rsidRPr="00584B48">
              <w:rPr>
                <w:rStyle w:val="Hyperlink"/>
              </w:rPr>
              <w:t>Program Savings</w:t>
            </w:r>
            <w:r>
              <w:rPr>
                <w:webHidden/>
              </w:rPr>
              <w:tab/>
            </w:r>
            <w:r>
              <w:rPr>
                <w:webHidden/>
              </w:rPr>
              <w:fldChar w:fldCharType="begin"/>
            </w:r>
            <w:r>
              <w:rPr>
                <w:webHidden/>
              </w:rPr>
              <w:instrText xml:space="preserve"> PAGEREF _Toc192766898 \h </w:instrText>
            </w:r>
            <w:r>
              <w:rPr>
                <w:webHidden/>
              </w:rPr>
            </w:r>
            <w:r>
              <w:rPr>
                <w:webHidden/>
              </w:rPr>
              <w:fldChar w:fldCharType="separate"/>
            </w:r>
            <w:r>
              <w:rPr>
                <w:webHidden/>
              </w:rPr>
              <w:t>10</w:t>
            </w:r>
            <w:r>
              <w:rPr>
                <w:webHidden/>
              </w:rPr>
              <w:fldChar w:fldCharType="end"/>
            </w:r>
          </w:hyperlink>
        </w:p>
        <w:p w14:paraId="2689F3C4" w14:textId="141344EF"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899" w:history="1">
            <w:r w:rsidRPr="00584B48">
              <w:rPr>
                <w:rStyle w:val="Hyperlink"/>
              </w:rPr>
              <w:t>2.</w:t>
            </w:r>
            <w:r>
              <w:rPr>
                <w:rFonts w:asciiTheme="minorHAnsi" w:eastAsiaTheme="minorEastAsia" w:hAnsiTheme="minorHAnsi" w:cstheme="minorBidi"/>
                <w:color w:val="auto"/>
                <w:kern w:val="2"/>
                <w:sz w:val="24"/>
                <w:szCs w:val="24"/>
                <w14:ligatures w14:val="standardContextual"/>
              </w:rPr>
              <w:tab/>
            </w:r>
            <w:r w:rsidRPr="00584B48">
              <w:rPr>
                <w:rStyle w:val="Hyperlink"/>
              </w:rPr>
              <w:t>Evaluation Approach</w:t>
            </w:r>
            <w:r>
              <w:rPr>
                <w:webHidden/>
              </w:rPr>
              <w:tab/>
            </w:r>
            <w:r>
              <w:rPr>
                <w:webHidden/>
              </w:rPr>
              <w:fldChar w:fldCharType="begin"/>
            </w:r>
            <w:r>
              <w:rPr>
                <w:webHidden/>
              </w:rPr>
              <w:instrText xml:space="preserve"> PAGEREF _Toc192766899 \h </w:instrText>
            </w:r>
            <w:r>
              <w:rPr>
                <w:webHidden/>
              </w:rPr>
            </w:r>
            <w:r>
              <w:rPr>
                <w:webHidden/>
              </w:rPr>
              <w:fldChar w:fldCharType="separate"/>
            </w:r>
            <w:r>
              <w:rPr>
                <w:webHidden/>
              </w:rPr>
              <w:t>14</w:t>
            </w:r>
            <w:r>
              <w:rPr>
                <w:webHidden/>
              </w:rPr>
              <w:fldChar w:fldCharType="end"/>
            </w:r>
          </w:hyperlink>
        </w:p>
        <w:p w14:paraId="15596A3E" w14:textId="1A7CC554"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0" w:history="1">
            <w:r w:rsidRPr="00584B48">
              <w:rPr>
                <w:rStyle w:val="Hyperlink"/>
              </w:rPr>
              <w:t>2.1</w:t>
            </w:r>
            <w:r>
              <w:rPr>
                <w:rFonts w:asciiTheme="minorHAnsi" w:eastAsiaTheme="minorEastAsia" w:hAnsiTheme="minorHAnsi" w:cstheme="minorBidi"/>
                <w:color w:val="auto"/>
                <w:kern w:val="2"/>
                <w:sz w:val="24"/>
                <w:szCs w:val="24"/>
                <w14:ligatures w14:val="standardContextual"/>
              </w:rPr>
              <w:tab/>
            </w:r>
            <w:r w:rsidRPr="00584B48">
              <w:rPr>
                <w:rStyle w:val="Hyperlink"/>
              </w:rPr>
              <w:t>Research Objectives and Evaluation Approach</w:t>
            </w:r>
            <w:r>
              <w:rPr>
                <w:webHidden/>
              </w:rPr>
              <w:tab/>
            </w:r>
            <w:r>
              <w:rPr>
                <w:webHidden/>
              </w:rPr>
              <w:fldChar w:fldCharType="begin"/>
            </w:r>
            <w:r>
              <w:rPr>
                <w:webHidden/>
              </w:rPr>
              <w:instrText xml:space="preserve"> PAGEREF _Toc192766900 \h </w:instrText>
            </w:r>
            <w:r>
              <w:rPr>
                <w:webHidden/>
              </w:rPr>
            </w:r>
            <w:r>
              <w:rPr>
                <w:webHidden/>
              </w:rPr>
              <w:fldChar w:fldCharType="separate"/>
            </w:r>
            <w:r>
              <w:rPr>
                <w:webHidden/>
              </w:rPr>
              <w:t>14</w:t>
            </w:r>
            <w:r>
              <w:rPr>
                <w:webHidden/>
              </w:rPr>
              <w:fldChar w:fldCharType="end"/>
            </w:r>
          </w:hyperlink>
        </w:p>
        <w:p w14:paraId="224D7D4E" w14:textId="6F912E2E"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1" w:history="1">
            <w:r w:rsidRPr="00584B48">
              <w:rPr>
                <w:rStyle w:val="Hyperlink"/>
              </w:rPr>
              <w:t>2.2</w:t>
            </w:r>
            <w:r>
              <w:rPr>
                <w:rFonts w:asciiTheme="minorHAnsi" w:eastAsiaTheme="minorEastAsia" w:hAnsiTheme="minorHAnsi" w:cstheme="minorBidi"/>
                <w:color w:val="auto"/>
                <w:kern w:val="2"/>
                <w:sz w:val="24"/>
                <w:szCs w:val="24"/>
                <w14:ligatures w14:val="standardContextual"/>
              </w:rPr>
              <w:tab/>
            </w:r>
            <w:r w:rsidRPr="00584B48">
              <w:rPr>
                <w:rStyle w:val="Hyperlink"/>
              </w:rPr>
              <w:t>Verified Gross Impact Analysis Approach</w:t>
            </w:r>
            <w:r>
              <w:rPr>
                <w:webHidden/>
              </w:rPr>
              <w:tab/>
            </w:r>
            <w:r>
              <w:rPr>
                <w:webHidden/>
              </w:rPr>
              <w:fldChar w:fldCharType="begin"/>
            </w:r>
            <w:r>
              <w:rPr>
                <w:webHidden/>
              </w:rPr>
              <w:instrText xml:space="preserve"> PAGEREF _Toc192766901 \h </w:instrText>
            </w:r>
            <w:r>
              <w:rPr>
                <w:webHidden/>
              </w:rPr>
            </w:r>
            <w:r>
              <w:rPr>
                <w:webHidden/>
              </w:rPr>
              <w:fldChar w:fldCharType="separate"/>
            </w:r>
            <w:r>
              <w:rPr>
                <w:webHidden/>
              </w:rPr>
              <w:t>14</w:t>
            </w:r>
            <w:r>
              <w:rPr>
                <w:webHidden/>
              </w:rPr>
              <w:fldChar w:fldCharType="end"/>
            </w:r>
          </w:hyperlink>
        </w:p>
        <w:p w14:paraId="11CCD655" w14:textId="745DDCE9"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2" w:history="1">
            <w:r w:rsidRPr="00584B48">
              <w:rPr>
                <w:rStyle w:val="Hyperlink"/>
              </w:rPr>
              <w:t>2.3</w:t>
            </w:r>
            <w:r>
              <w:rPr>
                <w:rFonts w:asciiTheme="minorHAnsi" w:eastAsiaTheme="minorEastAsia" w:hAnsiTheme="minorHAnsi" w:cstheme="minorBidi"/>
                <w:color w:val="auto"/>
                <w:kern w:val="2"/>
                <w:sz w:val="24"/>
                <w:szCs w:val="24"/>
                <w14:ligatures w14:val="standardContextual"/>
              </w:rPr>
              <w:tab/>
            </w:r>
            <w:r w:rsidRPr="00584B48">
              <w:rPr>
                <w:rStyle w:val="Hyperlink"/>
              </w:rPr>
              <w:t>Verified Net Impact Analysis Approach</w:t>
            </w:r>
            <w:r>
              <w:rPr>
                <w:webHidden/>
              </w:rPr>
              <w:tab/>
            </w:r>
            <w:r>
              <w:rPr>
                <w:webHidden/>
              </w:rPr>
              <w:fldChar w:fldCharType="begin"/>
            </w:r>
            <w:r>
              <w:rPr>
                <w:webHidden/>
              </w:rPr>
              <w:instrText xml:space="preserve"> PAGEREF _Toc192766902 \h </w:instrText>
            </w:r>
            <w:r>
              <w:rPr>
                <w:webHidden/>
              </w:rPr>
            </w:r>
            <w:r>
              <w:rPr>
                <w:webHidden/>
              </w:rPr>
              <w:fldChar w:fldCharType="separate"/>
            </w:r>
            <w:r>
              <w:rPr>
                <w:webHidden/>
              </w:rPr>
              <w:t>15</w:t>
            </w:r>
            <w:r>
              <w:rPr>
                <w:webHidden/>
              </w:rPr>
              <w:fldChar w:fldCharType="end"/>
            </w:r>
          </w:hyperlink>
        </w:p>
        <w:p w14:paraId="7A4728CF" w14:textId="3674C67F"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3" w:history="1">
            <w:r w:rsidRPr="00584B48">
              <w:rPr>
                <w:rStyle w:val="Hyperlink"/>
              </w:rPr>
              <w:t>2.4</w:t>
            </w:r>
            <w:r>
              <w:rPr>
                <w:rFonts w:asciiTheme="minorHAnsi" w:eastAsiaTheme="minorEastAsia" w:hAnsiTheme="minorHAnsi" w:cstheme="minorBidi"/>
                <w:color w:val="auto"/>
                <w:kern w:val="2"/>
                <w:sz w:val="24"/>
                <w:szCs w:val="24"/>
                <w14:ligatures w14:val="standardContextual"/>
              </w:rPr>
              <w:tab/>
            </w:r>
            <w:r w:rsidRPr="00584B48">
              <w:rPr>
                <w:rStyle w:val="Hyperlink"/>
              </w:rPr>
              <w:t>Sources and Mitigation of Error</w:t>
            </w:r>
            <w:r>
              <w:rPr>
                <w:webHidden/>
              </w:rPr>
              <w:tab/>
            </w:r>
            <w:r>
              <w:rPr>
                <w:webHidden/>
              </w:rPr>
              <w:fldChar w:fldCharType="begin"/>
            </w:r>
            <w:r>
              <w:rPr>
                <w:webHidden/>
              </w:rPr>
              <w:instrText xml:space="preserve"> PAGEREF _Toc192766903 \h </w:instrText>
            </w:r>
            <w:r>
              <w:rPr>
                <w:webHidden/>
              </w:rPr>
            </w:r>
            <w:r>
              <w:rPr>
                <w:webHidden/>
              </w:rPr>
              <w:fldChar w:fldCharType="separate"/>
            </w:r>
            <w:r>
              <w:rPr>
                <w:webHidden/>
              </w:rPr>
              <w:t>16</w:t>
            </w:r>
            <w:r>
              <w:rPr>
                <w:webHidden/>
              </w:rPr>
              <w:fldChar w:fldCharType="end"/>
            </w:r>
          </w:hyperlink>
        </w:p>
        <w:p w14:paraId="16F5744E" w14:textId="143E9B03"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04" w:history="1">
            <w:r w:rsidRPr="00584B48">
              <w:rPr>
                <w:rStyle w:val="Hyperlink"/>
              </w:rPr>
              <w:t>3.</w:t>
            </w:r>
            <w:r>
              <w:rPr>
                <w:rFonts w:asciiTheme="minorHAnsi" w:eastAsiaTheme="minorEastAsia" w:hAnsiTheme="minorHAnsi" w:cstheme="minorBidi"/>
                <w:color w:val="auto"/>
                <w:kern w:val="2"/>
                <w:sz w:val="24"/>
                <w:szCs w:val="24"/>
                <w14:ligatures w14:val="standardContextual"/>
              </w:rPr>
              <w:tab/>
            </w:r>
            <w:r w:rsidRPr="00584B48">
              <w:rPr>
                <w:rStyle w:val="Hyperlink"/>
              </w:rPr>
              <w:t>Initiative-Level Results</w:t>
            </w:r>
            <w:r>
              <w:rPr>
                <w:webHidden/>
              </w:rPr>
              <w:tab/>
            </w:r>
            <w:r>
              <w:rPr>
                <w:webHidden/>
              </w:rPr>
              <w:fldChar w:fldCharType="begin"/>
            </w:r>
            <w:r>
              <w:rPr>
                <w:webHidden/>
              </w:rPr>
              <w:instrText xml:space="preserve"> PAGEREF _Toc192766904 \h </w:instrText>
            </w:r>
            <w:r>
              <w:rPr>
                <w:webHidden/>
              </w:rPr>
            </w:r>
            <w:r>
              <w:rPr>
                <w:webHidden/>
              </w:rPr>
              <w:fldChar w:fldCharType="separate"/>
            </w:r>
            <w:r>
              <w:rPr>
                <w:webHidden/>
              </w:rPr>
              <w:t>18</w:t>
            </w:r>
            <w:r>
              <w:rPr>
                <w:webHidden/>
              </w:rPr>
              <w:fldChar w:fldCharType="end"/>
            </w:r>
          </w:hyperlink>
        </w:p>
        <w:p w14:paraId="617B856A" w14:textId="5EC5BFE8"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5" w:history="1">
            <w:r w:rsidRPr="00584B48">
              <w:rPr>
                <w:rStyle w:val="Hyperlink"/>
              </w:rPr>
              <w:t>3.1</w:t>
            </w:r>
            <w:r>
              <w:rPr>
                <w:rFonts w:asciiTheme="minorHAnsi" w:eastAsiaTheme="minorEastAsia" w:hAnsiTheme="minorHAnsi" w:cstheme="minorBidi"/>
                <w:color w:val="auto"/>
                <w:kern w:val="2"/>
                <w:sz w:val="24"/>
                <w:szCs w:val="24"/>
                <w14:ligatures w14:val="standardContextual"/>
              </w:rPr>
              <w:tab/>
            </w:r>
            <w:r w:rsidRPr="00584B48">
              <w:rPr>
                <w:rStyle w:val="Hyperlink"/>
              </w:rPr>
              <w:t>Standard Initiative</w:t>
            </w:r>
            <w:r>
              <w:rPr>
                <w:webHidden/>
              </w:rPr>
              <w:tab/>
            </w:r>
            <w:r>
              <w:rPr>
                <w:webHidden/>
              </w:rPr>
              <w:fldChar w:fldCharType="begin"/>
            </w:r>
            <w:r>
              <w:rPr>
                <w:webHidden/>
              </w:rPr>
              <w:instrText xml:space="preserve"> PAGEREF _Toc192766905 \h </w:instrText>
            </w:r>
            <w:r>
              <w:rPr>
                <w:webHidden/>
              </w:rPr>
            </w:r>
            <w:r>
              <w:rPr>
                <w:webHidden/>
              </w:rPr>
              <w:fldChar w:fldCharType="separate"/>
            </w:r>
            <w:r>
              <w:rPr>
                <w:webHidden/>
              </w:rPr>
              <w:t>18</w:t>
            </w:r>
            <w:r>
              <w:rPr>
                <w:webHidden/>
              </w:rPr>
              <w:fldChar w:fldCharType="end"/>
            </w:r>
          </w:hyperlink>
        </w:p>
        <w:p w14:paraId="5ABA0C5F" w14:textId="5D451007"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6" w:history="1">
            <w:r w:rsidRPr="00584B48">
              <w:rPr>
                <w:rStyle w:val="Hyperlink"/>
              </w:rPr>
              <w:t>3.2</w:t>
            </w:r>
            <w:r>
              <w:rPr>
                <w:rFonts w:asciiTheme="minorHAnsi" w:eastAsiaTheme="minorEastAsia" w:hAnsiTheme="minorHAnsi" w:cstheme="minorBidi"/>
                <w:color w:val="auto"/>
                <w:kern w:val="2"/>
                <w:sz w:val="24"/>
                <w:szCs w:val="24"/>
                <w14:ligatures w14:val="standardContextual"/>
              </w:rPr>
              <w:tab/>
            </w:r>
            <w:r w:rsidRPr="00584B48">
              <w:rPr>
                <w:rStyle w:val="Hyperlink"/>
              </w:rPr>
              <w:t>Custom Initiative</w:t>
            </w:r>
            <w:r>
              <w:rPr>
                <w:webHidden/>
              </w:rPr>
              <w:tab/>
            </w:r>
            <w:r>
              <w:rPr>
                <w:webHidden/>
              </w:rPr>
              <w:fldChar w:fldCharType="begin"/>
            </w:r>
            <w:r>
              <w:rPr>
                <w:webHidden/>
              </w:rPr>
              <w:instrText xml:space="preserve"> PAGEREF _Toc192766906 \h </w:instrText>
            </w:r>
            <w:r>
              <w:rPr>
                <w:webHidden/>
              </w:rPr>
            </w:r>
            <w:r>
              <w:rPr>
                <w:webHidden/>
              </w:rPr>
              <w:fldChar w:fldCharType="separate"/>
            </w:r>
            <w:r>
              <w:rPr>
                <w:webHidden/>
              </w:rPr>
              <w:t>33</w:t>
            </w:r>
            <w:r>
              <w:rPr>
                <w:webHidden/>
              </w:rPr>
              <w:fldChar w:fldCharType="end"/>
            </w:r>
          </w:hyperlink>
        </w:p>
        <w:p w14:paraId="2E7982B0" w14:textId="2FF620BD"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7" w:history="1">
            <w:r w:rsidRPr="00584B48">
              <w:rPr>
                <w:rStyle w:val="Hyperlink"/>
              </w:rPr>
              <w:t>3.3</w:t>
            </w:r>
            <w:r>
              <w:rPr>
                <w:rFonts w:asciiTheme="minorHAnsi" w:eastAsiaTheme="minorEastAsia" w:hAnsiTheme="minorHAnsi" w:cstheme="minorBidi"/>
                <w:color w:val="auto"/>
                <w:kern w:val="2"/>
                <w:sz w:val="24"/>
                <w:szCs w:val="24"/>
                <w14:ligatures w14:val="standardContextual"/>
              </w:rPr>
              <w:tab/>
            </w:r>
            <w:r w:rsidRPr="00584B48">
              <w:rPr>
                <w:rStyle w:val="Hyperlink"/>
              </w:rPr>
              <w:t>Retro-Commissioning Initiative</w:t>
            </w:r>
            <w:r>
              <w:rPr>
                <w:webHidden/>
              </w:rPr>
              <w:tab/>
            </w:r>
            <w:r>
              <w:rPr>
                <w:webHidden/>
              </w:rPr>
              <w:fldChar w:fldCharType="begin"/>
            </w:r>
            <w:r>
              <w:rPr>
                <w:webHidden/>
              </w:rPr>
              <w:instrText xml:space="preserve"> PAGEREF _Toc192766907 \h </w:instrText>
            </w:r>
            <w:r>
              <w:rPr>
                <w:webHidden/>
              </w:rPr>
            </w:r>
            <w:r>
              <w:rPr>
                <w:webHidden/>
              </w:rPr>
              <w:fldChar w:fldCharType="separate"/>
            </w:r>
            <w:r>
              <w:rPr>
                <w:webHidden/>
              </w:rPr>
              <w:t>44</w:t>
            </w:r>
            <w:r>
              <w:rPr>
                <w:webHidden/>
              </w:rPr>
              <w:fldChar w:fldCharType="end"/>
            </w:r>
          </w:hyperlink>
        </w:p>
        <w:p w14:paraId="06975C2E" w14:textId="5A064AD8"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8" w:history="1">
            <w:r w:rsidRPr="00584B48">
              <w:rPr>
                <w:rStyle w:val="Hyperlink"/>
              </w:rPr>
              <w:t>3.4</w:t>
            </w:r>
            <w:r>
              <w:rPr>
                <w:rFonts w:asciiTheme="minorHAnsi" w:eastAsiaTheme="minorEastAsia" w:hAnsiTheme="minorHAnsi" w:cstheme="minorBidi"/>
                <w:color w:val="auto"/>
                <w:kern w:val="2"/>
                <w:sz w:val="24"/>
                <w:szCs w:val="24"/>
                <w14:ligatures w14:val="standardContextual"/>
              </w:rPr>
              <w:tab/>
            </w:r>
            <w:r w:rsidRPr="00584B48">
              <w:rPr>
                <w:rStyle w:val="Hyperlink"/>
              </w:rPr>
              <w:t>Streetlighting Initiative</w:t>
            </w:r>
            <w:r>
              <w:rPr>
                <w:webHidden/>
              </w:rPr>
              <w:tab/>
            </w:r>
            <w:r>
              <w:rPr>
                <w:webHidden/>
              </w:rPr>
              <w:fldChar w:fldCharType="begin"/>
            </w:r>
            <w:r>
              <w:rPr>
                <w:webHidden/>
              </w:rPr>
              <w:instrText xml:space="preserve"> PAGEREF _Toc192766908 \h </w:instrText>
            </w:r>
            <w:r>
              <w:rPr>
                <w:webHidden/>
              </w:rPr>
            </w:r>
            <w:r>
              <w:rPr>
                <w:webHidden/>
              </w:rPr>
              <w:fldChar w:fldCharType="separate"/>
            </w:r>
            <w:r>
              <w:rPr>
                <w:webHidden/>
              </w:rPr>
              <w:t>53</w:t>
            </w:r>
            <w:r>
              <w:rPr>
                <w:webHidden/>
              </w:rPr>
              <w:fldChar w:fldCharType="end"/>
            </w:r>
          </w:hyperlink>
        </w:p>
        <w:p w14:paraId="77B7F3B3" w14:textId="2EFCEE48"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09" w:history="1">
            <w:r w:rsidRPr="00584B48">
              <w:rPr>
                <w:rStyle w:val="Hyperlink"/>
              </w:rPr>
              <w:t>3.5</w:t>
            </w:r>
            <w:r>
              <w:rPr>
                <w:rFonts w:asciiTheme="minorHAnsi" w:eastAsiaTheme="minorEastAsia" w:hAnsiTheme="minorHAnsi" w:cstheme="minorBidi"/>
                <w:color w:val="auto"/>
                <w:kern w:val="2"/>
                <w:sz w:val="24"/>
                <w:szCs w:val="24"/>
                <w14:ligatures w14:val="standardContextual"/>
              </w:rPr>
              <w:tab/>
            </w:r>
            <w:r w:rsidRPr="00584B48">
              <w:rPr>
                <w:rStyle w:val="Hyperlink"/>
              </w:rPr>
              <w:t>Small Business Initiative</w:t>
            </w:r>
            <w:r>
              <w:rPr>
                <w:webHidden/>
              </w:rPr>
              <w:tab/>
            </w:r>
            <w:r>
              <w:rPr>
                <w:webHidden/>
              </w:rPr>
              <w:fldChar w:fldCharType="begin"/>
            </w:r>
            <w:r>
              <w:rPr>
                <w:webHidden/>
              </w:rPr>
              <w:instrText xml:space="preserve"> PAGEREF _Toc192766909 \h </w:instrText>
            </w:r>
            <w:r>
              <w:rPr>
                <w:webHidden/>
              </w:rPr>
            </w:r>
            <w:r>
              <w:rPr>
                <w:webHidden/>
              </w:rPr>
              <w:fldChar w:fldCharType="separate"/>
            </w:r>
            <w:r>
              <w:rPr>
                <w:webHidden/>
              </w:rPr>
              <w:t>57</w:t>
            </w:r>
            <w:r>
              <w:rPr>
                <w:webHidden/>
              </w:rPr>
              <w:fldChar w:fldCharType="end"/>
            </w:r>
          </w:hyperlink>
        </w:p>
        <w:p w14:paraId="670D138F" w14:textId="4C2953E8"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0" w:history="1">
            <w:r w:rsidRPr="00584B48">
              <w:rPr>
                <w:rStyle w:val="Hyperlink"/>
              </w:rPr>
              <w:t>3.6</w:t>
            </w:r>
            <w:r>
              <w:rPr>
                <w:rFonts w:asciiTheme="minorHAnsi" w:eastAsiaTheme="minorEastAsia" w:hAnsiTheme="minorHAnsi" w:cstheme="minorBidi"/>
                <w:color w:val="auto"/>
                <w:kern w:val="2"/>
                <w:sz w:val="24"/>
                <w:szCs w:val="24"/>
                <w14:ligatures w14:val="standardContextual"/>
              </w:rPr>
              <w:tab/>
            </w:r>
            <w:r w:rsidRPr="00584B48">
              <w:rPr>
                <w:rStyle w:val="Hyperlink"/>
              </w:rPr>
              <w:t>Midstream Initiative</w:t>
            </w:r>
            <w:r>
              <w:rPr>
                <w:webHidden/>
              </w:rPr>
              <w:tab/>
            </w:r>
            <w:r>
              <w:rPr>
                <w:webHidden/>
              </w:rPr>
              <w:fldChar w:fldCharType="begin"/>
            </w:r>
            <w:r>
              <w:rPr>
                <w:webHidden/>
              </w:rPr>
              <w:instrText xml:space="preserve"> PAGEREF _Toc192766910 \h </w:instrText>
            </w:r>
            <w:r>
              <w:rPr>
                <w:webHidden/>
              </w:rPr>
            </w:r>
            <w:r>
              <w:rPr>
                <w:webHidden/>
              </w:rPr>
              <w:fldChar w:fldCharType="separate"/>
            </w:r>
            <w:r>
              <w:rPr>
                <w:webHidden/>
              </w:rPr>
              <w:t>70</w:t>
            </w:r>
            <w:r>
              <w:rPr>
                <w:webHidden/>
              </w:rPr>
              <w:fldChar w:fldCharType="end"/>
            </w:r>
          </w:hyperlink>
        </w:p>
        <w:p w14:paraId="7BB446C3" w14:textId="1065F652"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11" w:history="1">
            <w:r w:rsidRPr="00584B48">
              <w:rPr>
                <w:rStyle w:val="Hyperlink"/>
              </w:rPr>
              <w:t>Appendix A.</w:t>
            </w:r>
            <w:r>
              <w:rPr>
                <w:rFonts w:asciiTheme="minorHAnsi" w:eastAsiaTheme="minorEastAsia" w:hAnsiTheme="minorHAnsi" w:cstheme="minorBidi"/>
                <w:color w:val="auto"/>
                <w:kern w:val="2"/>
                <w:sz w:val="24"/>
                <w:szCs w:val="24"/>
                <w14:ligatures w14:val="standardContextual"/>
              </w:rPr>
              <w:tab/>
            </w:r>
            <w:r w:rsidRPr="00584B48">
              <w:rPr>
                <w:rStyle w:val="Hyperlink"/>
              </w:rPr>
              <w:t>Impact Analysis Methodology</w:t>
            </w:r>
            <w:r>
              <w:rPr>
                <w:webHidden/>
              </w:rPr>
              <w:tab/>
            </w:r>
            <w:r>
              <w:rPr>
                <w:webHidden/>
              </w:rPr>
              <w:fldChar w:fldCharType="begin"/>
            </w:r>
            <w:r>
              <w:rPr>
                <w:webHidden/>
              </w:rPr>
              <w:instrText xml:space="preserve"> PAGEREF _Toc192766911 \h </w:instrText>
            </w:r>
            <w:r>
              <w:rPr>
                <w:webHidden/>
              </w:rPr>
            </w:r>
            <w:r>
              <w:rPr>
                <w:webHidden/>
              </w:rPr>
              <w:fldChar w:fldCharType="separate"/>
            </w:r>
            <w:r>
              <w:rPr>
                <w:webHidden/>
              </w:rPr>
              <w:t>90</w:t>
            </w:r>
            <w:r>
              <w:rPr>
                <w:webHidden/>
              </w:rPr>
              <w:fldChar w:fldCharType="end"/>
            </w:r>
          </w:hyperlink>
        </w:p>
        <w:p w14:paraId="4E0BA3AB" w14:textId="0D5F81B1"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2" w:history="1">
            <w:r w:rsidRPr="00584B48">
              <w:rPr>
                <w:rStyle w:val="Hyperlink"/>
              </w:rPr>
              <w:t>Standard Initiative</w:t>
            </w:r>
            <w:r>
              <w:rPr>
                <w:webHidden/>
              </w:rPr>
              <w:tab/>
            </w:r>
            <w:r>
              <w:rPr>
                <w:webHidden/>
              </w:rPr>
              <w:fldChar w:fldCharType="begin"/>
            </w:r>
            <w:r>
              <w:rPr>
                <w:webHidden/>
              </w:rPr>
              <w:instrText xml:space="preserve"> PAGEREF _Toc192766912 \h </w:instrText>
            </w:r>
            <w:r>
              <w:rPr>
                <w:webHidden/>
              </w:rPr>
            </w:r>
            <w:r>
              <w:rPr>
                <w:webHidden/>
              </w:rPr>
              <w:fldChar w:fldCharType="separate"/>
            </w:r>
            <w:r>
              <w:rPr>
                <w:webHidden/>
              </w:rPr>
              <w:t>90</w:t>
            </w:r>
            <w:r>
              <w:rPr>
                <w:webHidden/>
              </w:rPr>
              <w:fldChar w:fldCharType="end"/>
            </w:r>
          </w:hyperlink>
        </w:p>
        <w:p w14:paraId="2F92C8A4" w14:textId="61E8B72F"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3" w:history="1">
            <w:r w:rsidRPr="00584B48">
              <w:rPr>
                <w:rStyle w:val="Hyperlink"/>
              </w:rPr>
              <w:t>Custom Initiative</w:t>
            </w:r>
            <w:r>
              <w:rPr>
                <w:webHidden/>
              </w:rPr>
              <w:tab/>
            </w:r>
            <w:r>
              <w:rPr>
                <w:webHidden/>
              </w:rPr>
              <w:fldChar w:fldCharType="begin"/>
            </w:r>
            <w:r>
              <w:rPr>
                <w:webHidden/>
              </w:rPr>
              <w:instrText xml:space="preserve"> PAGEREF _Toc192766913 \h </w:instrText>
            </w:r>
            <w:r>
              <w:rPr>
                <w:webHidden/>
              </w:rPr>
            </w:r>
            <w:r>
              <w:rPr>
                <w:webHidden/>
              </w:rPr>
              <w:fldChar w:fldCharType="separate"/>
            </w:r>
            <w:r>
              <w:rPr>
                <w:webHidden/>
              </w:rPr>
              <w:t>93</w:t>
            </w:r>
            <w:r>
              <w:rPr>
                <w:webHidden/>
              </w:rPr>
              <w:fldChar w:fldCharType="end"/>
            </w:r>
          </w:hyperlink>
        </w:p>
        <w:p w14:paraId="2D27F62C" w14:textId="4F7251E1"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4" w:history="1">
            <w:r w:rsidRPr="00584B48">
              <w:rPr>
                <w:rStyle w:val="Hyperlink"/>
              </w:rPr>
              <w:t>Retro-Commissioning Initiative</w:t>
            </w:r>
            <w:r>
              <w:rPr>
                <w:webHidden/>
              </w:rPr>
              <w:tab/>
            </w:r>
            <w:r>
              <w:rPr>
                <w:webHidden/>
              </w:rPr>
              <w:fldChar w:fldCharType="begin"/>
            </w:r>
            <w:r>
              <w:rPr>
                <w:webHidden/>
              </w:rPr>
              <w:instrText xml:space="preserve"> PAGEREF _Toc192766914 \h </w:instrText>
            </w:r>
            <w:r>
              <w:rPr>
                <w:webHidden/>
              </w:rPr>
            </w:r>
            <w:r>
              <w:rPr>
                <w:webHidden/>
              </w:rPr>
              <w:fldChar w:fldCharType="separate"/>
            </w:r>
            <w:r>
              <w:rPr>
                <w:webHidden/>
              </w:rPr>
              <w:t>99</w:t>
            </w:r>
            <w:r>
              <w:rPr>
                <w:webHidden/>
              </w:rPr>
              <w:fldChar w:fldCharType="end"/>
            </w:r>
          </w:hyperlink>
        </w:p>
        <w:p w14:paraId="711BD178" w14:textId="5528C35C"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5" w:history="1">
            <w:r w:rsidRPr="00584B48">
              <w:rPr>
                <w:rStyle w:val="Hyperlink"/>
              </w:rPr>
              <w:t>Streetlighting Initiative</w:t>
            </w:r>
            <w:r>
              <w:rPr>
                <w:webHidden/>
              </w:rPr>
              <w:tab/>
            </w:r>
            <w:r>
              <w:rPr>
                <w:webHidden/>
              </w:rPr>
              <w:fldChar w:fldCharType="begin"/>
            </w:r>
            <w:r>
              <w:rPr>
                <w:webHidden/>
              </w:rPr>
              <w:instrText xml:space="preserve"> PAGEREF _Toc192766915 \h </w:instrText>
            </w:r>
            <w:r>
              <w:rPr>
                <w:webHidden/>
              </w:rPr>
            </w:r>
            <w:r>
              <w:rPr>
                <w:webHidden/>
              </w:rPr>
              <w:fldChar w:fldCharType="separate"/>
            </w:r>
            <w:r>
              <w:rPr>
                <w:webHidden/>
              </w:rPr>
              <w:t>112</w:t>
            </w:r>
            <w:r>
              <w:rPr>
                <w:webHidden/>
              </w:rPr>
              <w:fldChar w:fldCharType="end"/>
            </w:r>
          </w:hyperlink>
        </w:p>
        <w:p w14:paraId="533FE07A" w14:textId="178836D8"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6" w:history="1">
            <w:r w:rsidRPr="00584B48">
              <w:rPr>
                <w:rStyle w:val="Hyperlink"/>
              </w:rPr>
              <w:t>Small Business Initiative</w:t>
            </w:r>
            <w:r>
              <w:rPr>
                <w:webHidden/>
              </w:rPr>
              <w:tab/>
            </w:r>
            <w:r>
              <w:rPr>
                <w:webHidden/>
              </w:rPr>
              <w:fldChar w:fldCharType="begin"/>
            </w:r>
            <w:r>
              <w:rPr>
                <w:webHidden/>
              </w:rPr>
              <w:instrText xml:space="preserve"> PAGEREF _Toc192766916 \h </w:instrText>
            </w:r>
            <w:r>
              <w:rPr>
                <w:webHidden/>
              </w:rPr>
            </w:r>
            <w:r>
              <w:rPr>
                <w:webHidden/>
              </w:rPr>
              <w:fldChar w:fldCharType="separate"/>
            </w:r>
            <w:r>
              <w:rPr>
                <w:webHidden/>
              </w:rPr>
              <w:t>112</w:t>
            </w:r>
            <w:r>
              <w:rPr>
                <w:webHidden/>
              </w:rPr>
              <w:fldChar w:fldCharType="end"/>
            </w:r>
          </w:hyperlink>
        </w:p>
        <w:p w14:paraId="54939A23" w14:textId="7BDD44A0"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7" w:history="1">
            <w:r w:rsidRPr="00584B48">
              <w:rPr>
                <w:rStyle w:val="Hyperlink"/>
              </w:rPr>
              <w:t>Midstream Initiative</w:t>
            </w:r>
            <w:r>
              <w:rPr>
                <w:webHidden/>
              </w:rPr>
              <w:tab/>
            </w:r>
            <w:r>
              <w:rPr>
                <w:webHidden/>
              </w:rPr>
              <w:fldChar w:fldCharType="begin"/>
            </w:r>
            <w:r>
              <w:rPr>
                <w:webHidden/>
              </w:rPr>
              <w:instrText xml:space="preserve"> PAGEREF _Toc192766917 \h </w:instrText>
            </w:r>
            <w:r>
              <w:rPr>
                <w:webHidden/>
              </w:rPr>
            </w:r>
            <w:r>
              <w:rPr>
                <w:webHidden/>
              </w:rPr>
              <w:fldChar w:fldCharType="separate"/>
            </w:r>
            <w:r>
              <w:rPr>
                <w:webHidden/>
              </w:rPr>
              <w:t>114</w:t>
            </w:r>
            <w:r>
              <w:rPr>
                <w:webHidden/>
              </w:rPr>
              <w:fldChar w:fldCharType="end"/>
            </w:r>
          </w:hyperlink>
        </w:p>
        <w:p w14:paraId="3D8D072F" w14:textId="1840F15E"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18" w:history="1">
            <w:r w:rsidRPr="00584B48">
              <w:rPr>
                <w:rStyle w:val="Hyperlink"/>
              </w:rPr>
              <w:t>Appendix B.</w:t>
            </w:r>
            <w:r>
              <w:rPr>
                <w:rFonts w:asciiTheme="minorHAnsi" w:eastAsiaTheme="minorEastAsia" w:hAnsiTheme="minorHAnsi" w:cstheme="minorBidi"/>
                <w:color w:val="auto"/>
                <w:kern w:val="2"/>
                <w:sz w:val="24"/>
                <w:szCs w:val="24"/>
                <w14:ligatures w14:val="standardContextual"/>
              </w:rPr>
              <w:tab/>
            </w:r>
            <w:r w:rsidRPr="00584B48">
              <w:rPr>
                <w:rStyle w:val="Hyperlink"/>
              </w:rPr>
              <w:t>Additional Impacts</w:t>
            </w:r>
            <w:r>
              <w:rPr>
                <w:webHidden/>
              </w:rPr>
              <w:tab/>
            </w:r>
            <w:r>
              <w:rPr>
                <w:webHidden/>
              </w:rPr>
              <w:fldChar w:fldCharType="begin"/>
            </w:r>
            <w:r>
              <w:rPr>
                <w:webHidden/>
              </w:rPr>
              <w:instrText xml:space="preserve"> PAGEREF _Toc192766918 \h </w:instrText>
            </w:r>
            <w:r>
              <w:rPr>
                <w:webHidden/>
              </w:rPr>
            </w:r>
            <w:r>
              <w:rPr>
                <w:webHidden/>
              </w:rPr>
              <w:fldChar w:fldCharType="separate"/>
            </w:r>
            <w:r>
              <w:rPr>
                <w:webHidden/>
              </w:rPr>
              <w:t>116</w:t>
            </w:r>
            <w:r>
              <w:rPr>
                <w:webHidden/>
              </w:rPr>
              <w:fldChar w:fldCharType="end"/>
            </w:r>
          </w:hyperlink>
        </w:p>
        <w:p w14:paraId="66596113" w14:textId="7C873645"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19" w:history="1">
            <w:r w:rsidRPr="00584B48">
              <w:rPr>
                <w:rStyle w:val="Hyperlink"/>
              </w:rPr>
              <w:t>Introduction</w:t>
            </w:r>
            <w:r>
              <w:rPr>
                <w:webHidden/>
              </w:rPr>
              <w:tab/>
            </w:r>
            <w:r>
              <w:rPr>
                <w:webHidden/>
              </w:rPr>
              <w:fldChar w:fldCharType="begin"/>
            </w:r>
            <w:r>
              <w:rPr>
                <w:webHidden/>
              </w:rPr>
              <w:instrText xml:space="preserve"> PAGEREF _Toc192766919 \h </w:instrText>
            </w:r>
            <w:r>
              <w:rPr>
                <w:webHidden/>
              </w:rPr>
            </w:r>
            <w:r>
              <w:rPr>
                <w:webHidden/>
              </w:rPr>
              <w:fldChar w:fldCharType="separate"/>
            </w:r>
            <w:r>
              <w:rPr>
                <w:webHidden/>
              </w:rPr>
              <w:t>116</w:t>
            </w:r>
            <w:r>
              <w:rPr>
                <w:webHidden/>
              </w:rPr>
              <w:fldChar w:fldCharType="end"/>
            </w:r>
          </w:hyperlink>
        </w:p>
        <w:p w14:paraId="0DEE0F4A" w14:textId="750AE0B0"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0" w:history="1">
            <w:r w:rsidRPr="00584B48">
              <w:rPr>
                <w:rStyle w:val="Hyperlink"/>
              </w:rPr>
              <w:t>Standard Initiative</w:t>
            </w:r>
            <w:r>
              <w:rPr>
                <w:webHidden/>
              </w:rPr>
              <w:tab/>
            </w:r>
            <w:r>
              <w:rPr>
                <w:webHidden/>
              </w:rPr>
              <w:fldChar w:fldCharType="begin"/>
            </w:r>
            <w:r>
              <w:rPr>
                <w:webHidden/>
              </w:rPr>
              <w:instrText xml:space="preserve"> PAGEREF _Toc192766920 \h </w:instrText>
            </w:r>
            <w:r>
              <w:rPr>
                <w:webHidden/>
              </w:rPr>
            </w:r>
            <w:r>
              <w:rPr>
                <w:webHidden/>
              </w:rPr>
              <w:fldChar w:fldCharType="separate"/>
            </w:r>
            <w:r>
              <w:rPr>
                <w:webHidden/>
              </w:rPr>
              <w:t>117</w:t>
            </w:r>
            <w:r>
              <w:rPr>
                <w:webHidden/>
              </w:rPr>
              <w:fldChar w:fldCharType="end"/>
            </w:r>
          </w:hyperlink>
        </w:p>
        <w:p w14:paraId="00CD4741" w14:textId="303606E3"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1" w:history="1">
            <w:r w:rsidRPr="00584B48">
              <w:rPr>
                <w:rStyle w:val="Hyperlink"/>
              </w:rPr>
              <w:t>Custom Initiative</w:t>
            </w:r>
            <w:r>
              <w:rPr>
                <w:webHidden/>
              </w:rPr>
              <w:tab/>
            </w:r>
            <w:r>
              <w:rPr>
                <w:webHidden/>
              </w:rPr>
              <w:fldChar w:fldCharType="begin"/>
            </w:r>
            <w:r>
              <w:rPr>
                <w:webHidden/>
              </w:rPr>
              <w:instrText xml:space="preserve"> PAGEREF _Toc192766921 \h </w:instrText>
            </w:r>
            <w:r>
              <w:rPr>
                <w:webHidden/>
              </w:rPr>
            </w:r>
            <w:r>
              <w:rPr>
                <w:webHidden/>
              </w:rPr>
              <w:fldChar w:fldCharType="separate"/>
            </w:r>
            <w:r>
              <w:rPr>
                <w:webHidden/>
              </w:rPr>
              <w:t>118</w:t>
            </w:r>
            <w:r>
              <w:rPr>
                <w:webHidden/>
              </w:rPr>
              <w:fldChar w:fldCharType="end"/>
            </w:r>
          </w:hyperlink>
        </w:p>
        <w:p w14:paraId="5E333305" w14:textId="68F1C076"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2" w:history="1">
            <w:r w:rsidRPr="00584B48">
              <w:rPr>
                <w:rStyle w:val="Hyperlink"/>
              </w:rPr>
              <w:t>Retro-Commissioning Initiative</w:t>
            </w:r>
            <w:r>
              <w:rPr>
                <w:webHidden/>
              </w:rPr>
              <w:tab/>
            </w:r>
            <w:r>
              <w:rPr>
                <w:webHidden/>
              </w:rPr>
              <w:fldChar w:fldCharType="begin"/>
            </w:r>
            <w:r>
              <w:rPr>
                <w:webHidden/>
              </w:rPr>
              <w:instrText xml:space="preserve"> PAGEREF _Toc192766922 \h </w:instrText>
            </w:r>
            <w:r>
              <w:rPr>
                <w:webHidden/>
              </w:rPr>
            </w:r>
            <w:r>
              <w:rPr>
                <w:webHidden/>
              </w:rPr>
              <w:fldChar w:fldCharType="separate"/>
            </w:r>
            <w:r>
              <w:rPr>
                <w:webHidden/>
              </w:rPr>
              <w:t>119</w:t>
            </w:r>
            <w:r>
              <w:rPr>
                <w:webHidden/>
              </w:rPr>
              <w:fldChar w:fldCharType="end"/>
            </w:r>
          </w:hyperlink>
        </w:p>
        <w:p w14:paraId="6D393FAD" w14:textId="5E21ECAA"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3" w:history="1">
            <w:r w:rsidRPr="00584B48">
              <w:rPr>
                <w:rStyle w:val="Hyperlink"/>
              </w:rPr>
              <w:t>Streetlighting Initiative</w:t>
            </w:r>
            <w:r>
              <w:rPr>
                <w:webHidden/>
              </w:rPr>
              <w:tab/>
            </w:r>
            <w:r>
              <w:rPr>
                <w:webHidden/>
              </w:rPr>
              <w:fldChar w:fldCharType="begin"/>
            </w:r>
            <w:r>
              <w:rPr>
                <w:webHidden/>
              </w:rPr>
              <w:instrText xml:space="preserve"> PAGEREF _Toc192766923 \h </w:instrText>
            </w:r>
            <w:r>
              <w:rPr>
                <w:webHidden/>
              </w:rPr>
            </w:r>
            <w:r>
              <w:rPr>
                <w:webHidden/>
              </w:rPr>
              <w:fldChar w:fldCharType="separate"/>
            </w:r>
            <w:r>
              <w:rPr>
                <w:webHidden/>
              </w:rPr>
              <w:t>120</w:t>
            </w:r>
            <w:r>
              <w:rPr>
                <w:webHidden/>
              </w:rPr>
              <w:fldChar w:fldCharType="end"/>
            </w:r>
          </w:hyperlink>
        </w:p>
        <w:p w14:paraId="484CB4A0" w14:textId="568C2753"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4" w:history="1">
            <w:r w:rsidRPr="00584B48">
              <w:rPr>
                <w:rStyle w:val="Hyperlink"/>
              </w:rPr>
              <w:t>Small Business Initiative</w:t>
            </w:r>
            <w:r>
              <w:rPr>
                <w:webHidden/>
              </w:rPr>
              <w:tab/>
            </w:r>
            <w:r>
              <w:rPr>
                <w:webHidden/>
              </w:rPr>
              <w:fldChar w:fldCharType="begin"/>
            </w:r>
            <w:r>
              <w:rPr>
                <w:webHidden/>
              </w:rPr>
              <w:instrText xml:space="preserve"> PAGEREF _Toc192766924 \h </w:instrText>
            </w:r>
            <w:r>
              <w:rPr>
                <w:webHidden/>
              </w:rPr>
            </w:r>
            <w:r>
              <w:rPr>
                <w:webHidden/>
              </w:rPr>
              <w:fldChar w:fldCharType="separate"/>
            </w:r>
            <w:r>
              <w:rPr>
                <w:webHidden/>
              </w:rPr>
              <w:t>121</w:t>
            </w:r>
            <w:r>
              <w:rPr>
                <w:webHidden/>
              </w:rPr>
              <w:fldChar w:fldCharType="end"/>
            </w:r>
          </w:hyperlink>
        </w:p>
        <w:p w14:paraId="41BA43CE" w14:textId="485240D5"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5" w:history="1">
            <w:r w:rsidRPr="00584B48">
              <w:rPr>
                <w:rStyle w:val="Hyperlink"/>
              </w:rPr>
              <w:t>Midstream Initiative</w:t>
            </w:r>
            <w:r>
              <w:rPr>
                <w:webHidden/>
              </w:rPr>
              <w:tab/>
            </w:r>
            <w:r>
              <w:rPr>
                <w:webHidden/>
              </w:rPr>
              <w:fldChar w:fldCharType="begin"/>
            </w:r>
            <w:r>
              <w:rPr>
                <w:webHidden/>
              </w:rPr>
              <w:instrText xml:space="preserve"> PAGEREF _Toc192766925 \h </w:instrText>
            </w:r>
            <w:r>
              <w:rPr>
                <w:webHidden/>
              </w:rPr>
            </w:r>
            <w:r>
              <w:rPr>
                <w:webHidden/>
              </w:rPr>
              <w:fldChar w:fldCharType="separate"/>
            </w:r>
            <w:r>
              <w:rPr>
                <w:webHidden/>
              </w:rPr>
              <w:t>122</w:t>
            </w:r>
            <w:r>
              <w:rPr>
                <w:webHidden/>
              </w:rPr>
              <w:fldChar w:fldCharType="end"/>
            </w:r>
          </w:hyperlink>
        </w:p>
        <w:p w14:paraId="21C7FBF9" w14:textId="7D542560"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26" w:history="1">
            <w:r w:rsidRPr="00584B48">
              <w:rPr>
                <w:rStyle w:val="Hyperlink"/>
              </w:rPr>
              <w:t>Appendix C.</w:t>
            </w:r>
            <w:r>
              <w:rPr>
                <w:rFonts w:asciiTheme="minorHAnsi" w:eastAsiaTheme="minorEastAsia" w:hAnsiTheme="minorHAnsi" w:cstheme="minorBidi"/>
                <w:color w:val="auto"/>
                <w:kern w:val="2"/>
                <w:sz w:val="24"/>
                <w:szCs w:val="24"/>
                <w14:ligatures w14:val="standardContextual"/>
              </w:rPr>
              <w:tab/>
            </w:r>
            <w:r w:rsidRPr="00584B48">
              <w:rPr>
                <w:rStyle w:val="Hyperlink"/>
              </w:rPr>
              <w:t>Cumulative Persisting Annual Savings</w:t>
            </w:r>
            <w:r>
              <w:rPr>
                <w:webHidden/>
              </w:rPr>
              <w:tab/>
            </w:r>
            <w:r>
              <w:rPr>
                <w:webHidden/>
              </w:rPr>
              <w:fldChar w:fldCharType="begin"/>
            </w:r>
            <w:r>
              <w:rPr>
                <w:webHidden/>
              </w:rPr>
              <w:instrText xml:space="preserve"> PAGEREF _Toc192766926 \h </w:instrText>
            </w:r>
            <w:r>
              <w:rPr>
                <w:webHidden/>
              </w:rPr>
            </w:r>
            <w:r>
              <w:rPr>
                <w:webHidden/>
              </w:rPr>
              <w:fldChar w:fldCharType="separate"/>
            </w:r>
            <w:r>
              <w:rPr>
                <w:webHidden/>
              </w:rPr>
              <w:t>124</w:t>
            </w:r>
            <w:r>
              <w:rPr>
                <w:webHidden/>
              </w:rPr>
              <w:fldChar w:fldCharType="end"/>
            </w:r>
          </w:hyperlink>
        </w:p>
        <w:p w14:paraId="101A3389" w14:textId="0C4B74ED"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7" w:history="1">
            <w:r w:rsidRPr="00584B48">
              <w:rPr>
                <w:rStyle w:val="Hyperlink"/>
              </w:rPr>
              <w:t>Standard Initiative</w:t>
            </w:r>
            <w:r>
              <w:rPr>
                <w:webHidden/>
              </w:rPr>
              <w:tab/>
            </w:r>
            <w:r>
              <w:rPr>
                <w:webHidden/>
              </w:rPr>
              <w:fldChar w:fldCharType="begin"/>
            </w:r>
            <w:r>
              <w:rPr>
                <w:webHidden/>
              </w:rPr>
              <w:instrText xml:space="preserve"> PAGEREF _Toc192766927 \h </w:instrText>
            </w:r>
            <w:r>
              <w:rPr>
                <w:webHidden/>
              </w:rPr>
            </w:r>
            <w:r>
              <w:rPr>
                <w:webHidden/>
              </w:rPr>
              <w:fldChar w:fldCharType="separate"/>
            </w:r>
            <w:r>
              <w:rPr>
                <w:webHidden/>
              </w:rPr>
              <w:t>125</w:t>
            </w:r>
            <w:r>
              <w:rPr>
                <w:webHidden/>
              </w:rPr>
              <w:fldChar w:fldCharType="end"/>
            </w:r>
          </w:hyperlink>
        </w:p>
        <w:p w14:paraId="5837CB76" w14:textId="70DB5055"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8" w:history="1">
            <w:r w:rsidRPr="00584B48">
              <w:rPr>
                <w:rStyle w:val="Hyperlink"/>
              </w:rPr>
              <w:t>Custom Initiative</w:t>
            </w:r>
            <w:r>
              <w:rPr>
                <w:webHidden/>
              </w:rPr>
              <w:tab/>
            </w:r>
            <w:r>
              <w:rPr>
                <w:webHidden/>
              </w:rPr>
              <w:fldChar w:fldCharType="begin"/>
            </w:r>
            <w:r>
              <w:rPr>
                <w:webHidden/>
              </w:rPr>
              <w:instrText xml:space="preserve"> PAGEREF _Toc192766928 \h </w:instrText>
            </w:r>
            <w:r>
              <w:rPr>
                <w:webHidden/>
              </w:rPr>
            </w:r>
            <w:r>
              <w:rPr>
                <w:webHidden/>
              </w:rPr>
              <w:fldChar w:fldCharType="separate"/>
            </w:r>
            <w:r>
              <w:rPr>
                <w:webHidden/>
              </w:rPr>
              <w:t>126</w:t>
            </w:r>
            <w:r>
              <w:rPr>
                <w:webHidden/>
              </w:rPr>
              <w:fldChar w:fldCharType="end"/>
            </w:r>
          </w:hyperlink>
        </w:p>
        <w:p w14:paraId="6F854CA6" w14:textId="4DD10C33"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29" w:history="1">
            <w:r w:rsidRPr="00584B48">
              <w:rPr>
                <w:rStyle w:val="Hyperlink"/>
              </w:rPr>
              <w:t>Retro-Commissioning Initiative</w:t>
            </w:r>
            <w:r>
              <w:rPr>
                <w:webHidden/>
              </w:rPr>
              <w:tab/>
            </w:r>
            <w:r>
              <w:rPr>
                <w:webHidden/>
              </w:rPr>
              <w:fldChar w:fldCharType="begin"/>
            </w:r>
            <w:r>
              <w:rPr>
                <w:webHidden/>
              </w:rPr>
              <w:instrText xml:space="preserve"> PAGEREF _Toc192766929 \h </w:instrText>
            </w:r>
            <w:r>
              <w:rPr>
                <w:webHidden/>
              </w:rPr>
            </w:r>
            <w:r>
              <w:rPr>
                <w:webHidden/>
              </w:rPr>
              <w:fldChar w:fldCharType="separate"/>
            </w:r>
            <w:r>
              <w:rPr>
                <w:webHidden/>
              </w:rPr>
              <w:t>126</w:t>
            </w:r>
            <w:r>
              <w:rPr>
                <w:webHidden/>
              </w:rPr>
              <w:fldChar w:fldCharType="end"/>
            </w:r>
          </w:hyperlink>
        </w:p>
        <w:p w14:paraId="67DA73E3" w14:textId="1C50DB00"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30" w:history="1">
            <w:r w:rsidRPr="00584B48">
              <w:rPr>
                <w:rStyle w:val="Hyperlink"/>
              </w:rPr>
              <w:t>Streetlighting Initiative</w:t>
            </w:r>
            <w:r>
              <w:rPr>
                <w:webHidden/>
              </w:rPr>
              <w:tab/>
            </w:r>
            <w:r>
              <w:rPr>
                <w:webHidden/>
              </w:rPr>
              <w:fldChar w:fldCharType="begin"/>
            </w:r>
            <w:r>
              <w:rPr>
                <w:webHidden/>
              </w:rPr>
              <w:instrText xml:space="preserve"> PAGEREF _Toc192766930 \h </w:instrText>
            </w:r>
            <w:r>
              <w:rPr>
                <w:webHidden/>
              </w:rPr>
            </w:r>
            <w:r>
              <w:rPr>
                <w:webHidden/>
              </w:rPr>
              <w:fldChar w:fldCharType="separate"/>
            </w:r>
            <w:r>
              <w:rPr>
                <w:webHidden/>
              </w:rPr>
              <w:t>127</w:t>
            </w:r>
            <w:r>
              <w:rPr>
                <w:webHidden/>
              </w:rPr>
              <w:fldChar w:fldCharType="end"/>
            </w:r>
          </w:hyperlink>
        </w:p>
        <w:p w14:paraId="429CC7C5" w14:textId="55173130"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31" w:history="1">
            <w:r w:rsidRPr="00584B48">
              <w:rPr>
                <w:rStyle w:val="Hyperlink"/>
              </w:rPr>
              <w:t>Small Business Initiative</w:t>
            </w:r>
            <w:r>
              <w:rPr>
                <w:webHidden/>
              </w:rPr>
              <w:tab/>
            </w:r>
            <w:r>
              <w:rPr>
                <w:webHidden/>
              </w:rPr>
              <w:fldChar w:fldCharType="begin"/>
            </w:r>
            <w:r>
              <w:rPr>
                <w:webHidden/>
              </w:rPr>
              <w:instrText xml:space="preserve"> PAGEREF _Toc192766931 \h </w:instrText>
            </w:r>
            <w:r>
              <w:rPr>
                <w:webHidden/>
              </w:rPr>
            </w:r>
            <w:r>
              <w:rPr>
                <w:webHidden/>
              </w:rPr>
              <w:fldChar w:fldCharType="separate"/>
            </w:r>
            <w:r>
              <w:rPr>
                <w:webHidden/>
              </w:rPr>
              <w:t>128</w:t>
            </w:r>
            <w:r>
              <w:rPr>
                <w:webHidden/>
              </w:rPr>
              <w:fldChar w:fldCharType="end"/>
            </w:r>
          </w:hyperlink>
        </w:p>
        <w:p w14:paraId="13A8B785" w14:textId="54BFFD26" w:rsidR="000458DD" w:rsidRDefault="000458DD">
          <w:pPr>
            <w:pStyle w:val="TOC2"/>
            <w:rPr>
              <w:rFonts w:asciiTheme="minorHAnsi" w:eastAsiaTheme="minorEastAsia" w:hAnsiTheme="minorHAnsi" w:cstheme="minorBidi"/>
              <w:color w:val="auto"/>
              <w:kern w:val="2"/>
              <w:sz w:val="24"/>
              <w:szCs w:val="24"/>
              <w14:ligatures w14:val="standardContextual"/>
            </w:rPr>
          </w:pPr>
          <w:hyperlink w:anchor="_Toc192766932" w:history="1">
            <w:r w:rsidRPr="00584B48">
              <w:rPr>
                <w:rStyle w:val="Hyperlink"/>
              </w:rPr>
              <w:t>Midstream Initiative</w:t>
            </w:r>
            <w:r>
              <w:rPr>
                <w:webHidden/>
              </w:rPr>
              <w:tab/>
            </w:r>
            <w:r>
              <w:rPr>
                <w:webHidden/>
              </w:rPr>
              <w:fldChar w:fldCharType="begin"/>
            </w:r>
            <w:r>
              <w:rPr>
                <w:webHidden/>
              </w:rPr>
              <w:instrText xml:space="preserve"> PAGEREF _Toc192766932 \h </w:instrText>
            </w:r>
            <w:r>
              <w:rPr>
                <w:webHidden/>
              </w:rPr>
            </w:r>
            <w:r>
              <w:rPr>
                <w:webHidden/>
              </w:rPr>
              <w:fldChar w:fldCharType="separate"/>
            </w:r>
            <w:r>
              <w:rPr>
                <w:webHidden/>
              </w:rPr>
              <w:t>129</w:t>
            </w:r>
            <w:r>
              <w:rPr>
                <w:webHidden/>
              </w:rPr>
              <w:fldChar w:fldCharType="end"/>
            </w:r>
          </w:hyperlink>
        </w:p>
        <w:p w14:paraId="4A9532D2" w14:textId="7EF0AA0B"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33" w:history="1">
            <w:r w:rsidRPr="00584B48">
              <w:rPr>
                <w:rStyle w:val="Hyperlink"/>
              </w:rPr>
              <w:t>Appendix D.</w:t>
            </w:r>
            <w:r>
              <w:rPr>
                <w:rFonts w:asciiTheme="minorHAnsi" w:eastAsiaTheme="minorEastAsia" w:hAnsiTheme="minorHAnsi" w:cstheme="minorBidi"/>
                <w:color w:val="auto"/>
                <w:kern w:val="2"/>
                <w:sz w:val="24"/>
                <w:szCs w:val="24"/>
                <w14:ligatures w14:val="standardContextual"/>
              </w:rPr>
              <w:tab/>
            </w:r>
            <w:r w:rsidRPr="00584B48">
              <w:rPr>
                <w:rStyle w:val="Hyperlink"/>
              </w:rPr>
              <w:t>Custom Initiative Project Reports</w:t>
            </w:r>
            <w:r>
              <w:rPr>
                <w:webHidden/>
              </w:rPr>
              <w:tab/>
            </w:r>
            <w:r>
              <w:rPr>
                <w:webHidden/>
              </w:rPr>
              <w:fldChar w:fldCharType="begin"/>
            </w:r>
            <w:r>
              <w:rPr>
                <w:webHidden/>
              </w:rPr>
              <w:instrText xml:space="preserve"> PAGEREF _Toc192766933 \h </w:instrText>
            </w:r>
            <w:r>
              <w:rPr>
                <w:webHidden/>
              </w:rPr>
            </w:r>
            <w:r>
              <w:rPr>
                <w:webHidden/>
              </w:rPr>
              <w:fldChar w:fldCharType="separate"/>
            </w:r>
            <w:r>
              <w:rPr>
                <w:webHidden/>
              </w:rPr>
              <w:t>130</w:t>
            </w:r>
            <w:r>
              <w:rPr>
                <w:webHidden/>
              </w:rPr>
              <w:fldChar w:fldCharType="end"/>
            </w:r>
          </w:hyperlink>
        </w:p>
        <w:p w14:paraId="58CB8365" w14:textId="3B31FFDA" w:rsidR="000458DD" w:rsidRDefault="000458DD">
          <w:pPr>
            <w:pStyle w:val="TOC1"/>
            <w:rPr>
              <w:rFonts w:asciiTheme="minorHAnsi" w:eastAsiaTheme="minorEastAsia" w:hAnsiTheme="minorHAnsi" w:cstheme="minorBidi"/>
              <w:color w:val="auto"/>
              <w:kern w:val="2"/>
              <w:sz w:val="24"/>
              <w:szCs w:val="24"/>
              <w14:ligatures w14:val="standardContextual"/>
            </w:rPr>
          </w:pPr>
          <w:hyperlink w:anchor="_Toc192766934" w:history="1">
            <w:r w:rsidRPr="00584B48">
              <w:rPr>
                <w:rStyle w:val="Hyperlink"/>
              </w:rPr>
              <w:t>Appendix E.</w:t>
            </w:r>
            <w:r>
              <w:rPr>
                <w:rFonts w:asciiTheme="minorHAnsi" w:eastAsiaTheme="minorEastAsia" w:hAnsiTheme="minorHAnsi" w:cstheme="minorBidi"/>
                <w:color w:val="auto"/>
                <w:kern w:val="2"/>
                <w:sz w:val="24"/>
                <w:szCs w:val="24"/>
                <w14:ligatures w14:val="standardContextual"/>
              </w:rPr>
              <w:tab/>
            </w:r>
            <w:r w:rsidRPr="00584B48">
              <w:rPr>
                <w:rStyle w:val="Hyperlink"/>
              </w:rPr>
              <w:t>2024 LLLC MT Pilot Market Progress Evaluation Report</w:t>
            </w:r>
            <w:r>
              <w:rPr>
                <w:webHidden/>
              </w:rPr>
              <w:tab/>
            </w:r>
            <w:r>
              <w:rPr>
                <w:webHidden/>
              </w:rPr>
              <w:fldChar w:fldCharType="begin"/>
            </w:r>
            <w:r>
              <w:rPr>
                <w:webHidden/>
              </w:rPr>
              <w:instrText xml:space="preserve"> PAGEREF _Toc192766934 \h </w:instrText>
            </w:r>
            <w:r>
              <w:rPr>
                <w:webHidden/>
              </w:rPr>
            </w:r>
            <w:r>
              <w:rPr>
                <w:webHidden/>
              </w:rPr>
              <w:fldChar w:fldCharType="separate"/>
            </w:r>
            <w:r>
              <w:rPr>
                <w:webHidden/>
              </w:rPr>
              <w:t>131</w:t>
            </w:r>
            <w:r>
              <w:rPr>
                <w:webHidden/>
              </w:rPr>
              <w:fldChar w:fldCharType="end"/>
            </w:r>
          </w:hyperlink>
        </w:p>
        <w:p w14:paraId="48D7C941" w14:textId="127CA31E" w:rsidR="00311011" w:rsidRDefault="00311011" w:rsidP="00311011">
          <w:pPr>
            <w:pStyle w:val="TOCHeading"/>
            <w:rPr>
              <w:noProof/>
            </w:rPr>
          </w:pPr>
          <w:r>
            <w:rPr>
              <w:noProof/>
            </w:rPr>
            <w:fldChar w:fldCharType="end"/>
          </w:r>
        </w:p>
        <w:p w14:paraId="19508B99" w14:textId="77777777" w:rsidR="00311011" w:rsidRPr="005326AB" w:rsidRDefault="00311011" w:rsidP="00311011">
          <w:pPr>
            <w:pStyle w:val="TOCHeading"/>
            <w:rPr>
              <w:rStyle w:val="Hyperlink"/>
            </w:rPr>
          </w:pPr>
          <w:r w:rsidRPr="003C4811">
            <w:t>TABLES</w:t>
          </w:r>
        </w:p>
        <w:p w14:paraId="544F3075" w14:textId="4F1010DE" w:rsidR="000458DD" w:rsidRDefault="00311011">
          <w:pPr>
            <w:pStyle w:val="TableofFigures"/>
            <w:rPr>
              <w:rFonts w:asciiTheme="minorHAnsi" w:eastAsiaTheme="minorEastAsia" w:hAnsiTheme="minorHAnsi" w:cstheme="minorBidi"/>
              <w:noProof/>
              <w:color w:val="auto"/>
              <w:kern w:val="2"/>
              <w:sz w:val="24"/>
              <w:szCs w:val="24"/>
              <w14:ligatures w14:val="standardContextual"/>
            </w:rPr>
          </w:pPr>
          <w:r w:rsidRPr="005326AB">
            <w:rPr>
              <w:rStyle w:val="Hyperlink"/>
            </w:rPr>
            <w:fldChar w:fldCharType="begin"/>
          </w:r>
          <w:r w:rsidRPr="005326AB">
            <w:rPr>
              <w:rStyle w:val="Hyperlink"/>
            </w:rPr>
            <w:instrText xml:space="preserve"> TOC \h \z \c "Table" </w:instrText>
          </w:r>
          <w:r w:rsidRPr="005326AB">
            <w:rPr>
              <w:rStyle w:val="Hyperlink"/>
            </w:rPr>
            <w:fldChar w:fldCharType="separate"/>
          </w:r>
          <w:hyperlink w:anchor="_Toc192766935" w:history="1">
            <w:r w:rsidR="000458DD" w:rsidRPr="00425D25">
              <w:rPr>
                <w:rStyle w:val="Hyperlink"/>
              </w:rPr>
              <w:t>Table 1. 2024 Business Program Electric Energy Annual Savings Summary</w:t>
            </w:r>
            <w:r w:rsidR="000458DD">
              <w:rPr>
                <w:noProof/>
                <w:webHidden/>
              </w:rPr>
              <w:tab/>
            </w:r>
            <w:r w:rsidR="000458DD">
              <w:rPr>
                <w:noProof/>
                <w:webHidden/>
              </w:rPr>
              <w:fldChar w:fldCharType="begin"/>
            </w:r>
            <w:r w:rsidR="000458DD">
              <w:rPr>
                <w:noProof/>
                <w:webHidden/>
              </w:rPr>
              <w:instrText xml:space="preserve"> PAGEREF _Toc192766935 \h </w:instrText>
            </w:r>
            <w:r w:rsidR="000458DD">
              <w:rPr>
                <w:noProof/>
                <w:webHidden/>
              </w:rPr>
            </w:r>
            <w:r w:rsidR="000458DD">
              <w:rPr>
                <w:noProof/>
                <w:webHidden/>
              </w:rPr>
              <w:fldChar w:fldCharType="separate"/>
            </w:r>
            <w:r w:rsidR="000458DD">
              <w:rPr>
                <w:noProof/>
                <w:webHidden/>
              </w:rPr>
              <w:t>10</w:t>
            </w:r>
            <w:r w:rsidR="000458DD">
              <w:rPr>
                <w:noProof/>
                <w:webHidden/>
              </w:rPr>
              <w:fldChar w:fldCharType="end"/>
            </w:r>
          </w:hyperlink>
        </w:p>
        <w:p w14:paraId="7D02CF44" w14:textId="2BCC4CB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36" w:history="1">
            <w:r w:rsidRPr="00425D25">
              <w:rPr>
                <w:rStyle w:val="Hyperlink"/>
              </w:rPr>
              <w:t>Table 2. 2024 Business Program Electric Demand Annual Savings Summary</w:t>
            </w:r>
            <w:r>
              <w:rPr>
                <w:noProof/>
                <w:webHidden/>
              </w:rPr>
              <w:tab/>
            </w:r>
            <w:r>
              <w:rPr>
                <w:noProof/>
                <w:webHidden/>
              </w:rPr>
              <w:fldChar w:fldCharType="begin"/>
            </w:r>
            <w:r>
              <w:rPr>
                <w:noProof/>
                <w:webHidden/>
              </w:rPr>
              <w:instrText xml:space="preserve"> PAGEREF _Toc192766936 \h </w:instrText>
            </w:r>
            <w:r>
              <w:rPr>
                <w:noProof/>
                <w:webHidden/>
              </w:rPr>
            </w:r>
            <w:r>
              <w:rPr>
                <w:noProof/>
                <w:webHidden/>
              </w:rPr>
              <w:fldChar w:fldCharType="separate"/>
            </w:r>
            <w:r>
              <w:rPr>
                <w:noProof/>
                <w:webHidden/>
              </w:rPr>
              <w:t>11</w:t>
            </w:r>
            <w:r>
              <w:rPr>
                <w:noProof/>
                <w:webHidden/>
              </w:rPr>
              <w:fldChar w:fldCharType="end"/>
            </w:r>
          </w:hyperlink>
        </w:p>
        <w:p w14:paraId="6FD670F1" w14:textId="47CC4DC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37" w:history="1">
            <w:r w:rsidRPr="00425D25">
              <w:rPr>
                <w:rStyle w:val="Hyperlink"/>
              </w:rPr>
              <w:t>Table 3. 2024 Business Program Gas Annual Savings Summary</w:t>
            </w:r>
            <w:r>
              <w:rPr>
                <w:noProof/>
                <w:webHidden/>
              </w:rPr>
              <w:tab/>
            </w:r>
            <w:r>
              <w:rPr>
                <w:noProof/>
                <w:webHidden/>
              </w:rPr>
              <w:fldChar w:fldCharType="begin"/>
            </w:r>
            <w:r>
              <w:rPr>
                <w:noProof/>
                <w:webHidden/>
              </w:rPr>
              <w:instrText xml:space="preserve"> PAGEREF _Toc192766937 \h </w:instrText>
            </w:r>
            <w:r>
              <w:rPr>
                <w:noProof/>
                <w:webHidden/>
              </w:rPr>
            </w:r>
            <w:r>
              <w:rPr>
                <w:noProof/>
                <w:webHidden/>
              </w:rPr>
              <w:fldChar w:fldCharType="separate"/>
            </w:r>
            <w:r>
              <w:rPr>
                <w:noProof/>
                <w:webHidden/>
              </w:rPr>
              <w:t>12</w:t>
            </w:r>
            <w:r>
              <w:rPr>
                <w:noProof/>
                <w:webHidden/>
              </w:rPr>
              <w:fldChar w:fldCharType="end"/>
            </w:r>
          </w:hyperlink>
        </w:p>
        <w:p w14:paraId="10B7B687" w14:textId="68F79FB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38" w:history="1">
            <w:r w:rsidRPr="00425D25">
              <w:rPr>
                <w:rStyle w:val="Hyperlink"/>
              </w:rPr>
              <w:t>Table 4. 2024 Business Program CPAS and WAML</w:t>
            </w:r>
            <w:r>
              <w:rPr>
                <w:noProof/>
                <w:webHidden/>
              </w:rPr>
              <w:tab/>
            </w:r>
            <w:r>
              <w:rPr>
                <w:noProof/>
                <w:webHidden/>
              </w:rPr>
              <w:fldChar w:fldCharType="begin"/>
            </w:r>
            <w:r>
              <w:rPr>
                <w:noProof/>
                <w:webHidden/>
              </w:rPr>
              <w:instrText xml:space="preserve"> PAGEREF _Toc192766938 \h </w:instrText>
            </w:r>
            <w:r>
              <w:rPr>
                <w:noProof/>
                <w:webHidden/>
              </w:rPr>
            </w:r>
            <w:r>
              <w:rPr>
                <w:noProof/>
                <w:webHidden/>
              </w:rPr>
              <w:fldChar w:fldCharType="separate"/>
            </w:r>
            <w:r>
              <w:rPr>
                <w:noProof/>
                <w:webHidden/>
              </w:rPr>
              <w:t>13</w:t>
            </w:r>
            <w:r>
              <w:rPr>
                <w:noProof/>
                <w:webHidden/>
              </w:rPr>
              <w:fldChar w:fldCharType="end"/>
            </w:r>
          </w:hyperlink>
        </w:p>
        <w:p w14:paraId="72E21EF3" w14:textId="0F6A59E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39" w:history="1">
            <w:r w:rsidRPr="00425D25">
              <w:rPr>
                <w:rStyle w:val="Hyperlink"/>
              </w:rPr>
              <w:t>Table 5. 2024 Business Program Impact Evaluation Activities</w:t>
            </w:r>
            <w:r>
              <w:rPr>
                <w:noProof/>
                <w:webHidden/>
              </w:rPr>
              <w:tab/>
            </w:r>
            <w:r>
              <w:rPr>
                <w:noProof/>
                <w:webHidden/>
              </w:rPr>
              <w:fldChar w:fldCharType="begin"/>
            </w:r>
            <w:r>
              <w:rPr>
                <w:noProof/>
                <w:webHidden/>
              </w:rPr>
              <w:instrText xml:space="preserve"> PAGEREF _Toc192766939 \h </w:instrText>
            </w:r>
            <w:r>
              <w:rPr>
                <w:noProof/>
                <w:webHidden/>
              </w:rPr>
            </w:r>
            <w:r>
              <w:rPr>
                <w:noProof/>
                <w:webHidden/>
              </w:rPr>
              <w:fldChar w:fldCharType="separate"/>
            </w:r>
            <w:r>
              <w:rPr>
                <w:noProof/>
                <w:webHidden/>
              </w:rPr>
              <w:t>14</w:t>
            </w:r>
            <w:r>
              <w:rPr>
                <w:noProof/>
                <w:webHidden/>
              </w:rPr>
              <w:fldChar w:fldCharType="end"/>
            </w:r>
          </w:hyperlink>
        </w:p>
        <w:p w14:paraId="67CA3C2C" w14:textId="700B5D2C"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0" w:history="1">
            <w:r w:rsidRPr="00425D25">
              <w:rPr>
                <w:rStyle w:val="Hyperlink"/>
              </w:rPr>
              <w:t>Table 6. 2024 Standard Initiative Annual Savings</w:t>
            </w:r>
            <w:r>
              <w:rPr>
                <w:noProof/>
                <w:webHidden/>
              </w:rPr>
              <w:tab/>
            </w:r>
            <w:r>
              <w:rPr>
                <w:noProof/>
                <w:webHidden/>
              </w:rPr>
              <w:fldChar w:fldCharType="begin"/>
            </w:r>
            <w:r>
              <w:rPr>
                <w:noProof/>
                <w:webHidden/>
              </w:rPr>
              <w:instrText xml:space="preserve"> PAGEREF _Toc192766940 \h </w:instrText>
            </w:r>
            <w:r>
              <w:rPr>
                <w:noProof/>
                <w:webHidden/>
              </w:rPr>
            </w:r>
            <w:r>
              <w:rPr>
                <w:noProof/>
                <w:webHidden/>
              </w:rPr>
              <w:fldChar w:fldCharType="separate"/>
            </w:r>
            <w:r>
              <w:rPr>
                <w:noProof/>
                <w:webHidden/>
              </w:rPr>
              <w:t>18</w:t>
            </w:r>
            <w:r>
              <w:rPr>
                <w:noProof/>
                <w:webHidden/>
              </w:rPr>
              <w:fldChar w:fldCharType="end"/>
            </w:r>
          </w:hyperlink>
        </w:p>
        <w:p w14:paraId="54735367" w14:textId="50F0DF67"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1" w:history="1">
            <w:r w:rsidRPr="00425D25">
              <w:rPr>
                <w:rStyle w:val="Hyperlink"/>
              </w:rPr>
              <w:t>Table 7. 2024 Standard Core Channel Participation Summary by Measure Category</w:t>
            </w:r>
            <w:r>
              <w:rPr>
                <w:noProof/>
                <w:webHidden/>
              </w:rPr>
              <w:tab/>
            </w:r>
            <w:r>
              <w:rPr>
                <w:noProof/>
                <w:webHidden/>
              </w:rPr>
              <w:fldChar w:fldCharType="begin"/>
            </w:r>
            <w:r>
              <w:rPr>
                <w:noProof/>
                <w:webHidden/>
              </w:rPr>
              <w:instrText xml:space="preserve"> PAGEREF _Toc192766941 \h </w:instrText>
            </w:r>
            <w:r>
              <w:rPr>
                <w:noProof/>
                <w:webHidden/>
              </w:rPr>
            </w:r>
            <w:r>
              <w:rPr>
                <w:noProof/>
                <w:webHidden/>
              </w:rPr>
              <w:fldChar w:fldCharType="separate"/>
            </w:r>
            <w:r>
              <w:rPr>
                <w:noProof/>
                <w:webHidden/>
              </w:rPr>
              <w:t>20</w:t>
            </w:r>
            <w:r>
              <w:rPr>
                <w:noProof/>
                <w:webHidden/>
              </w:rPr>
              <w:fldChar w:fldCharType="end"/>
            </w:r>
          </w:hyperlink>
        </w:p>
        <w:p w14:paraId="67537414" w14:textId="12A0645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2" w:history="1">
            <w:r w:rsidRPr="00425D25">
              <w:rPr>
                <w:rStyle w:val="Hyperlink"/>
              </w:rPr>
              <w:t>Table 8. 2024 Standard Core Channel Program Ally Participation Summary</w:t>
            </w:r>
            <w:r>
              <w:rPr>
                <w:noProof/>
                <w:webHidden/>
              </w:rPr>
              <w:tab/>
            </w:r>
            <w:r>
              <w:rPr>
                <w:noProof/>
                <w:webHidden/>
              </w:rPr>
              <w:fldChar w:fldCharType="begin"/>
            </w:r>
            <w:r>
              <w:rPr>
                <w:noProof/>
                <w:webHidden/>
              </w:rPr>
              <w:instrText xml:space="preserve"> PAGEREF _Toc192766942 \h </w:instrText>
            </w:r>
            <w:r>
              <w:rPr>
                <w:noProof/>
                <w:webHidden/>
              </w:rPr>
            </w:r>
            <w:r>
              <w:rPr>
                <w:noProof/>
                <w:webHidden/>
              </w:rPr>
              <w:fldChar w:fldCharType="separate"/>
            </w:r>
            <w:r>
              <w:rPr>
                <w:noProof/>
                <w:webHidden/>
              </w:rPr>
              <w:t>21</w:t>
            </w:r>
            <w:r>
              <w:rPr>
                <w:noProof/>
                <w:webHidden/>
              </w:rPr>
              <w:fldChar w:fldCharType="end"/>
            </w:r>
          </w:hyperlink>
        </w:p>
        <w:p w14:paraId="0798FF0E" w14:textId="51FE4E3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3" w:history="1">
            <w:r w:rsidRPr="00425D25">
              <w:rPr>
                <w:rStyle w:val="Hyperlink"/>
              </w:rPr>
              <w:t>Table 9. 2024 Standard Core Channel Electric Energy Savings by Measure</w:t>
            </w:r>
            <w:r>
              <w:rPr>
                <w:noProof/>
                <w:webHidden/>
              </w:rPr>
              <w:tab/>
            </w:r>
            <w:r>
              <w:rPr>
                <w:noProof/>
                <w:webHidden/>
              </w:rPr>
              <w:fldChar w:fldCharType="begin"/>
            </w:r>
            <w:r>
              <w:rPr>
                <w:noProof/>
                <w:webHidden/>
              </w:rPr>
              <w:instrText xml:space="preserve"> PAGEREF _Toc192766943 \h </w:instrText>
            </w:r>
            <w:r>
              <w:rPr>
                <w:noProof/>
                <w:webHidden/>
              </w:rPr>
            </w:r>
            <w:r>
              <w:rPr>
                <w:noProof/>
                <w:webHidden/>
              </w:rPr>
              <w:fldChar w:fldCharType="separate"/>
            </w:r>
            <w:r>
              <w:rPr>
                <w:noProof/>
                <w:webHidden/>
              </w:rPr>
              <w:t>22</w:t>
            </w:r>
            <w:r>
              <w:rPr>
                <w:noProof/>
                <w:webHidden/>
              </w:rPr>
              <w:fldChar w:fldCharType="end"/>
            </w:r>
          </w:hyperlink>
        </w:p>
        <w:p w14:paraId="137D831F" w14:textId="668796D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4" w:history="1">
            <w:r w:rsidRPr="00425D25">
              <w:rPr>
                <w:rStyle w:val="Hyperlink"/>
              </w:rPr>
              <w:t>Table 10. 2024 Standard Core Channel Electric Demand Savings by Measure</w:t>
            </w:r>
            <w:r>
              <w:rPr>
                <w:noProof/>
                <w:webHidden/>
              </w:rPr>
              <w:tab/>
            </w:r>
            <w:r>
              <w:rPr>
                <w:noProof/>
                <w:webHidden/>
              </w:rPr>
              <w:fldChar w:fldCharType="begin"/>
            </w:r>
            <w:r>
              <w:rPr>
                <w:noProof/>
                <w:webHidden/>
              </w:rPr>
              <w:instrText xml:space="preserve"> PAGEREF _Toc192766944 \h </w:instrText>
            </w:r>
            <w:r>
              <w:rPr>
                <w:noProof/>
                <w:webHidden/>
              </w:rPr>
            </w:r>
            <w:r>
              <w:rPr>
                <w:noProof/>
                <w:webHidden/>
              </w:rPr>
              <w:fldChar w:fldCharType="separate"/>
            </w:r>
            <w:r>
              <w:rPr>
                <w:noProof/>
                <w:webHidden/>
              </w:rPr>
              <w:t>23</w:t>
            </w:r>
            <w:r>
              <w:rPr>
                <w:noProof/>
                <w:webHidden/>
              </w:rPr>
              <w:fldChar w:fldCharType="end"/>
            </w:r>
          </w:hyperlink>
        </w:p>
        <w:p w14:paraId="511BF73B" w14:textId="25C334A4"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5" w:history="1">
            <w:r w:rsidRPr="00425D25">
              <w:rPr>
                <w:rStyle w:val="Hyperlink"/>
              </w:rPr>
              <w:t>Table 11. 2024 Standard Core Channel Gas Savings by Measure</w:t>
            </w:r>
            <w:r>
              <w:rPr>
                <w:noProof/>
                <w:webHidden/>
              </w:rPr>
              <w:tab/>
            </w:r>
            <w:r>
              <w:rPr>
                <w:noProof/>
                <w:webHidden/>
              </w:rPr>
              <w:fldChar w:fldCharType="begin"/>
            </w:r>
            <w:r>
              <w:rPr>
                <w:noProof/>
                <w:webHidden/>
              </w:rPr>
              <w:instrText xml:space="preserve"> PAGEREF _Toc192766945 \h </w:instrText>
            </w:r>
            <w:r>
              <w:rPr>
                <w:noProof/>
                <w:webHidden/>
              </w:rPr>
            </w:r>
            <w:r>
              <w:rPr>
                <w:noProof/>
                <w:webHidden/>
              </w:rPr>
              <w:fldChar w:fldCharType="separate"/>
            </w:r>
            <w:r>
              <w:rPr>
                <w:noProof/>
                <w:webHidden/>
              </w:rPr>
              <w:t>23</w:t>
            </w:r>
            <w:r>
              <w:rPr>
                <w:noProof/>
                <w:webHidden/>
              </w:rPr>
              <w:fldChar w:fldCharType="end"/>
            </w:r>
          </w:hyperlink>
        </w:p>
        <w:p w14:paraId="38E86A66" w14:textId="73E4676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6" w:history="1">
            <w:r w:rsidRPr="00425D25">
              <w:rPr>
                <w:rStyle w:val="Hyperlink"/>
              </w:rPr>
              <w:t>Table 12. 2024 Online Store Channel Participation Summary by Measure</w:t>
            </w:r>
            <w:r>
              <w:rPr>
                <w:noProof/>
                <w:webHidden/>
              </w:rPr>
              <w:tab/>
            </w:r>
            <w:r>
              <w:rPr>
                <w:noProof/>
                <w:webHidden/>
              </w:rPr>
              <w:fldChar w:fldCharType="begin"/>
            </w:r>
            <w:r>
              <w:rPr>
                <w:noProof/>
                <w:webHidden/>
              </w:rPr>
              <w:instrText xml:space="preserve"> PAGEREF _Toc192766946 \h </w:instrText>
            </w:r>
            <w:r>
              <w:rPr>
                <w:noProof/>
                <w:webHidden/>
              </w:rPr>
            </w:r>
            <w:r>
              <w:rPr>
                <w:noProof/>
                <w:webHidden/>
              </w:rPr>
              <w:fldChar w:fldCharType="separate"/>
            </w:r>
            <w:r>
              <w:rPr>
                <w:noProof/>
                <w:webHidden/>
              </w:rPr>
              <w:t>24</w:t>
            </w:r>
            <w:r>
              <w:rPr>
                <w:noProof/>
                <w:webHidden/>
              </w:rPr>
              <w:fldChar w:fldCharType="end"/>
            </w:r>
          </w:hyperlink>
        </w:p>
        <w:p w14:paraId="4746AE56" w14:textId="696A7A6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7" w:history="1">
            <w:r w:rsidRPr="00425D25">
              <w:rPr>
                <w:rStyle w:val="Hyperlink"/>
              </w:rPr>
              <w:t>Table 13. 2024 Online Store Channel Electric Energy Savings by Measure</w:t>
            </w:r>
            <w:r>
              <w:rPr>
                <w:noProof/>
                <w:webHidden/>
              </w:rPr>
              <w:tab/>
            </w:r>
            <w:r>
              <w:rPr>
                <w:noProof/>
                <w:webHidden/>
              </w:rPr>
              <w:fldChar w:fldCharType="begin"/>
            </w:r>
            <w:r>
              <w:rPr>
                <w:noProof/>
                <w:webHidden/>
              </w:rPr>
              <w:instrText xml:space="preserve"> PAGEREF _Toc192766947 \h </w:instrText>
            </w:r>
            <w:r>
              <w:rPr>
                <w:noProof/>
                <w:webHidden/>
              </w:rPr>
            </w:r>
            <w:r>
              <w:rPr>
                <w:noProof/>
                <w:webHidden/>
              </w:rPr>
              <w:fldChar w:fldCharType="separate"/>
            </w:r>
            <w:r>
              <w:rPr>
                <w:noProof/>
                <w:webHidden/>
              </w:rPr>
              <w:t>25</w:t>
            </w:r>
            <w:r>
              <w:rPr>
                <w:noProof/>
                <w:webHidden/>
              </w:rPr>
              <w:fldChar w:fldCharType="end"/>
            </w:r>
          </w:hyperlink>
        </w:p>
        <w:p w14:paraId="7D9AE691" w14:textId="341A9B1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8" w:history="1">
            <w:r w:rsidRPr="00425D25">
              <w:rPr>
                <w:rStyle w:val="Hyperlink"/>
              </w:rPr>
              <w:t>Table 14. 2024 Online Store Channel Electric Demand Savings by Measure</w:t>
            </w:r>
            <w:r>
              <w:rPr>
                <w:noProof/>
                <w:webHidden/>
              </w:rPr>
              <w:tab/>
            </w:r>
            <w:r>
              <w:rPr>
                <w:noProof/>
                <w:webHidden/>
              </w:rPr>
              <w:fldChar w:fldCharType="begin"/>
            </w:r>
            <w:r>
              <w:rPr>
                <w:noProof/>
                <w:webHidden/>
              </w:rPr>
              <w:instrText xml:space="preserve"> PAGEREF _Toc192766948 \h </w:instrText>
            </w:r>
            <w:r>
              <w:rPr>
                <w:noProof/>
                <w:webHidden/>
              </w:rPr>
            </w:r>
            <w:r>
              <w:rPr>
                <w:noProof/>
                <w:webHidden/>
              </w:rPr>
              <w:fldChar w:fldCharType="separate"/>
            </w:r>
            <w:r>
              <w:rPr>
                <w:noProof/>
                <w:webHidden/>
              </w:rPr>
              <w:t>25</w:t>
            </w:r>
            <w:r>
              <w:rPr>
                <w:noProof/>
                <w:webHidden/>
              </w:rPr>
              <w:fldChar w:fldCharType="end"/>
            </w:r>
          </w:hyperlink>
        </w:p>
        <w:p w14:paraId="3A8C33E6" w14:textId="275FAF3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49" w:history="1">
            <w:r w:rsidRPr="00425D25">
              <w:rPr>
                <w:rStyle w:val="Hyperlink"/>
              </w:rPr>
              <w:t>Table 15. 2024 Online Store Channel Gas Savings by Measure</w:t>
            </w:r>
            <w:r>
              <w:rPr>
                <w:noProof/>
                <w:webHidden/>
              </w:rPr>
              <w:tab/>
            </w:r>
            <w:r>
              <w:rPr>
                <w:noProof/>
                <w:webHidden/>
              </w:rPr>
              <w:fldChar w:fldCharType="begin"/>
            </w:r>
            <w:r>
              <w:rPr>
                <w:noProof/>
                <w:webHidden/>
              </w:rPr>
              <w:instrText xml:space="preserve"> PAGEREF _Toc192766949 \h </w:instrText>
            </w:r>
            <w:r>
              <w:rPr>
                <w:noProof/>
                <w:webHidden/>
              </w:rPr>
            </w:r>
            <w:r>
              <w:rPr>
                <w:noProof/>
                <w:webHidden/>
              </w:rPr>
              <w:fldChar w:fldCharType="separate"/>
            </w:r>
            <w:r>
              <w:rPr>
                <w:noProof/>
                <w:webHidden/>
              </w:rPr>
              <w:t>26</w:t>
            </w:r>
            <w:r>
              <w:rPr>
                <w:noProof/>
                <w:webHidden/>
              </w:rPr>
              <w:fldChar w:fldCharType="end"/>
            </w:r>
          </w:hyperlink>
        </w:p>
        <w:p w14:paraId="2FAFD5B3" w14:textId="121B368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0" w:history="1">
            <w:r w:rsidRPr="00425D25">
              <w:rPr>
                <w:rStyle w:val="Hyperlink"/>
              </w:rPr>
              <w:t>Table 16. BOC Training Topics by Level</w:t>
            </w:r>
            <w:r>
              <w:rPr>
                <w:noProof/>
                <w:webHidden/>
              </w:rPr>
              <w:tab/>
            </w:r>
            <w:r>
              <w:rPr>
                <w:noProof/>
                <w:webHidden/>
              </w:rPr>
              <w:fldChar w:fldCharType="begin"/>
            </w:r>
            <w:r>
              <w:rPr>
                <w:noProof/>
                <w:webHidden/>
              </w:rPr>
              <w:instrText xml:space="preserve"> PAGEREF _Toc192766950 \h </w:instrText>
            </w:r>
            <w:r>
              <w:rPr>
                <w:noProof/>
                <w:webHidden/>
              </w:rPr>
            </w:r>
            <w:r>
              <w:rPr>
                <w:noProof/>
                <w:webHidden/>
              </w:rPr>
              <w:fldChar w:fldCharType="separate"/>
            </w:r>
            <w:r>
              <w:rPr>
                <w:noProof/>
                <w:webHidden/>
              </w:rPr>
              <w:t>27</w:t>
            </w:r>
            <w:r>
              <w:rPr>
                <w:noProof/>
                <w:webHidden/>
              </w:rPr>
              <w:fldChar w:fldCharType="end"/>
            </w:r>
          </w:hyperlink>
        </w:p>
        <w:p w14:paraId="07A5F106" w14:textId="612AF8C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1" w:history="1">
            <w:r w:rsidRPr="00425D25">
              <w:rPr>
                <w:rStyle w:val="Hyperlink"/>
              </w:rPr>
              <w:t>Table 17. 2024 BOC Training Channel Participation Summary by Segment</w:t>
            </w:r>
            <w:r>
              <w:rPr>
                <w:noProof/>
                <w:webHidden/>
              </w:rPr>
              <w:tab/>
            </w:r>
            <w:r>
              <w:rPr>
                <w:noProof/>
                <w:webHidden/>
              </w:rPr>
              <w:fldChar w:fldCharType="begin"/>
            </w:r>
            <w:r>
              <w:rPr>
                <w:noProof/>
                <w:webHidden/>
              </w:rPr>
              <w:instrText xml:space="preserve"> PAGEREF _Toc192766951 \h </w:instrText>
            </w:r>
            <w:r>
              <w:rPr>
                <w:noProof/>
                <w:webHidden/>
              </w:rPr>
            </w:r>
            <w:r>
              <w:rPr>
                <w:noProof/>
                <w:webHidden/>
              </w:rPr>
              <w:fldChar w:fldCharType="separate"/>
            </w:r>
            <w:r>
              <w:rPr>
                <w:noProof/>
                <w:webHidden/>
              </w:rPr>
              <w:t>27</w:t>
            </w:r>
            <w:r>
              <w:rPr>
                <w:noProof/>
                <w:webHidden/>
              </w:rPr>
              <w:fldChar w:fldCharType="end"/>
            </w:r>
          </w:hyperlink>
        </w:p>
        <w:p w14:paraId="041C211D" w14:textId="798BE2A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2" w:history="1">
            <w:r w:rsidRPr="00425D25">
              <w:rPr>
                <w:rStyle w:val="Hyperlink"/>
              </w:rPr>
              <w:t>Table 18. 2024 BOC Training Channel Electric Energy Savings by Measure</w:t>
            </w:r>
            <w:r>
              <w:rPr>
                <w:noProof/>
                <w:webHidden/>
              </w:rPr>
              <w:tab/>
            </w:r>
            <w:r>
              <w:rPr>
                <w:noProof/>
                <w:webHidden/>
              </w:rPr>
              <w:fldChar w:fldCharType="begin"/>
            </w:r>
            <w:r>
              <w:rPr>
                <w:noProof/>
                <w:webHidden/>
              </w:rPr>
              <w:instrText xml:space="preserve"> PAGEREF _Toc192766952 \h </w:instrText>
            </w:r>
            <w:r>
              <w:rPr>
                <w:noProof/>
                <w:webHidden/>
              </w:rPr>
            </w:r>
            <w:r>
              <w:rPr>
                <w:noProof/>
                <w:webHidden/>
              </w:rPr>
              <w:fldChar w:fldCharType="separate"/>
            </w:r>
            <w:r>
              <w:rPr>
                <w:noProof/>
                <w:webHidden/>
              </w:rPr>
              <w:t>28</w:t>
            </w:r>
            <w:r>
              <w:rPr>
                <w:noProof/>
                <w:webHidden/>
              </w:rPr>
              <w:fldChar w:fldCharType="end"/>
            </w:r>
          </w:hyperlink>
        </w:p>
        <w:p w14:paraId="462F1646" w14:textId="602C63E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3" w:history="1">
            <w:r w:rsidRPr="00425D25">
              <w:rPr>
                <w:rStyle w:val="Hyperlink"/>
              </w:rPr>
              <w:t>Table 19. 2024 BOC Training Channel Electric Demand Savings by Measure</w:t>
            </w:r>
            <w:r>
              <w:rPr>
                <w:noProof/>
                <w:webHidden/>
              </w:rPr>
              <w:tab/>
            </w:r>
            <w:r>
              <w:rPr>
                <w:noProof/>
                <w:webHidden/>
              </w:rPr>
              <w:fldChar w:fldCharType="begin"/>
            </w:r>
            <w:r>
              <w:rPr>
                <w:noProof/>
                <w:webHidden/>
              </w:rPr>
              <w:instrText xml:space="preserve"> PAGEREF _Toc192766953 \h </w:instrText>
            </w:r>
            <w:r>
              <w:rPr>
                <w:noProof/>
                <w:webHidden/>
              </w:rPr>
            </w:r>
            <w:r>
              <w:rPr>
                <w:noProof/>
                <w:webHidden/>
              </w:rPr>
              <w:fldChar w:fldCharType="separate"/>
            </w:r>
            <w:r>
              <w:rPr>
                <w:noProof/>
                <w:webHidden/>
              </w:rPr>
              <w:t>28</w:t>
            </w:r>
            <w:r>
              <w:rPr>
                <w:noProof/>
                <w:webHidden/>
              </w:rPr>
              <w:fldChar w:fldCharType="end"/>
            </w:r>
          </w:hyperlink>
        </w:p>
        <w:p w14:paraId="177652E0" w14:textId="32280C6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4" w:history="1">
            <w:r w:rsidRPr="00425D25">
              <w:rPr>
                <w:rStyle w:val="Hyperlink"/>
              </w:rPr>
              <w:t>Table 20. 2024 BOC Training Channel Gas Savings by Measure</w:t>
            </w:r>
            <w:r>
              <w:rPr>
                <w:noProof/>
                <w:webHidden/>
              </w:rPr>
              <w:tab/>
            </w:r>
            <w:r>
              <w:rPr>
                <w:noProof/>
                <w:webHidden/>
              </w:rPr>
              <w:fldChar w:fldCharType="begin"/>
            </w:r>
            <w:r>
              <w:rPr>
                <w:noProof/>
                <w:webHidden/>
              </w:rPr>
              <w:instrText xml:space="preserve"> PAGEREF _Toc192766954 \h </w:instrText>
            </w:r>
            <w:r>
              <w:rPr>
                <w:noProof/>
                <w:webHidden/>
              </w:rPr>
            </w:r>
            <w:r>
              <w:rPr>
                <w:noProof/>
                <w:webHidden/>
              </w:rPr>
              <w:fldChar w:fldCharType="separate"/>
            </w:r>
            <w:r>
              <w:rPr>
                <w:noProof/>
                <w:webHidden/>
              </w:rPr>
              <w:t>28</w:t>
            </w:r>
            <w:r>
              <w:rPr>
                <w:noProof/>
                <w:webHidden/>
              </w:rPr>
              <w:fldChar w:fldCharType="end"/>
            </w:r>
          </w:hyperlink>
        </w:p>
        <w:p w14:paraId="31560DE1" w14:textId="7B328E7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5" w:history="1">
            <w:r w:rsidRPr="00425D25">
              <w:rPr>
                <w:rStyle w:val="Hyperlink"/>
              </w:rPr>
              <w:t>Table 21. 2024 Standard Initiative CPAS and WAML</w:t>
            </w:r>
            <w:r>
              <w:rPr>
                <w:noProof/>
                <w:webHidden/>
              </w:rPr>
              <w:tab/>
            </w:r>
            <w:r>
              <w:rPr>
                <w:noProof/>
                <w:webHidden/>
              </w:rPr>
              <w:fldChar w:fldCharType="begin"/>
            </w:r>
            <w:r>
              <w:rPr>
                <w:noProof/>
                <w:webHidden/>
              </w:rPr>
              <w:instrText xml:space="preserve"> PAGEREF _Toc192766955 \h </w:instrText>
            </w:r>
            <w:r>
              <w:rPr>
                <w:noProof/>
                <w:webHidden/>
              </w:rPr>
            </w:r>
            <w:r>
              <w:rPr>
                <w:noProof/>
                <w:webHidden/>
              </w:rPr>
              <w:fldChar w:fldCharType="separate"/>
            </w:r>
            <w:r>
              <w:rPr>
                <w:noProof/>
                <w:webHidden/>
              </w:rPr>
              <w:t>30</w:t>
            </w:r>
            <w:r>
              <w:rPr>
                <w:noProof/>
                <w:webHidden/>
              </w:rPr>
              <w:fldChar w:fldCharType="end"/>
            </w:r>
          </w:hyperlink>
        </w:p>
        <w:p w14:paraId="4D5F348C" w14:textId="58EBAF2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6" w:history="1">
            <w:r w:rsidRPr="00425D25">
              <w:rPr>
                <w:rStyle w:val="Hyperlink"/>
              </w:rPr>
              <w:t>Table 22. 2024 Standard Core Channel CPAS and WAML</w:t>
            </w:r>
            <w:r>
              <w:rPr>
                <w:noProof/>
                <w:webHidden/>
              </w:rPr>
              <w:tab/>
            </w:r>
            <w:r>
              <w:rPr>
                <w:noProof/>
                <w:webHidden/>
              </w:rPr>
              <w:fldChar w:fldCharType="begin"/>
            </w:r>
            <w:r>
              <w:rPr>
                <w:noProof/>
                <w:webHidden/>
              </w:rPr>
              <w:instrText xml:space="preserve"> PAGEREF _Toc192766956 \h </w:instrText>
            </w:r>
            <w:r>
              <w:rPr>
                <w:noProof/>
                <w:webHidden/>
              </w:rPr>
            </w:r>
            <w:r>
              <w:rPr>
                <w:noProof/>
                <w:webHidden/>
              </w:rPr>
              <w:fldChar w:fldCharType="separate"/>
            </w:r>
            <w:r>
              <w:rPr>
                <w:noProof/>
                <w:webHidden/>
              </w:rPr>
              <w:t>30</w:t>
            </w:r>
            <w:r>
              <w:rPr>
                <w:noProof/>
                <w:webHidden/>
              </w:rPr>
              <w:fldChar w:fldCharType="end"/>
            </w:r>
          </w:hyperlink>
        </w:p>
        <w:p w14:paraId="586FC775" w14:textId="5C049B7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7" w:history="1">
            <w:r w:rsidRPr="00425D25">
              <w:rPr>
                <w:rStyle w:val="Hyperlink"/>
              </w:rPr>
              <w:t>Table 23. 2024 Online Store Channel CPAS and WAML</w:t>
            </w:r>
            <w:r>
              <w:rPr>
                <w:noProof/>
                <w:webHidden/>
              </w:rPr>
              <w:tab/>
            </w:r>
            <w:r>
              <w:rPr>
                <w:noProof/>
                <w:webHidden/>
              </w:rPr>
              <w:fldChar w:fldCharType="begin"/>
            </w:r>
            <w:r>
              <w:rPr>
                <w:noProof/>
                <w:webHidden/>
              </w:rPr>
              <w:instrText xml:space="preserve"> PAGEREF _Toc192766957 \h </w:instrText>
            </w:r>
            <w:r>
              <w:rPr>
                <w:noProof/>
                <w:webHidden/>
              </w:rPr>
            </w:r>
            <w:r>
              <w:rPr>
                <w:noProof/>
                <w:webHidden/>
              </w:rPr>
              <w:fldChar w:fldCharType="separate"/>
            </w:r>
            <w:r>
              <w:rPr>
                <w:noProof/>
                <w:webHidden/>
              </w:rPr>
              <w:t>31</w:t>
            </w:r>
            <w:r>
              <w:rPr>
                <w:noProof/>
                <w:webHidden/>
              </w:rPr>
              <w:fldChar w:fldCharType="end"/>
            </w:r>
          </w:hyperlink>
        </w:p>
        <w:p w14:paraId="5343C339" w14:textId="72644C1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8" w:history="1">
            <w:r w:rsidRPr="00425D25">
              <w:rPr>
                <w:rStyle w:val="Hyperlink"/>
              </w:rPr>
              <w:t>Table 24. 2024 BOC Training CPAS and WAML</w:t>
            </w:r>
            <w:r>
              <w:rPr>
                <w:noProof/>
                <w:webHidden/>
              </w:rPr>
              <w:tab/>
            </w:r>
            <w:r>
              <w:rPr>
                <w:noProof/>
                <w:webHidden/>
              </w:rPr>
              <w:fldChar w:fldCharType="begin"/>
            </w:r>
            <w:r>
              <w:rPr>
                <w:noProof/>
                <w:webHidden/>
              </w:rPr>
              <w:instrText xml:space="preserve"> PAGEREF _Toc192766958 \h </w:instrText>
            </w:r>
            <w:r>
              <w:rPr>
                <w:noProof/>
                <w:webHidden/>
              </w:rPr>
            </w:r>
            <w:r>
              <w:rPr>
                <w:noProof/>
                <w:webHidden/>
              </w:rPr>
              <w:fldChar w:fldCharType="separate"/>
            </w:r>
            <w:r>
              <w:rPr>
                <w:noProof/>
                <w:webHidden/>
              </w:rPr>
              <w:t>31</w:t>
            </w:r>
            <w:r>
              <w:rPr>
                <w:noProof/>
                <w:webHidden/>
              </w:rPr>
              <w:fldChar w:fldCharType="end"/>
            </w:r>
          </w:hyperlink>
        </w:p>
        <w:p w14:paraId="69A534E0" w14:textId="572C71A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59" w:history="1">
            <w:r w:rsidRPr="00425D25">
              <w:rPr>
                <w:rStyle w:val="Hyperlink"/>
              </w:rPr>
              <w:t>Table 25. 2024 Custom Initiative Participation Summary by Channel</w:t>
            </w:r>
            <w:r>
              <w:rPr>
                <w:noProof/>
                <w:webHidden/>
              </w:rPr>
              <w:tab/>
            </w:r>
            <w:r>
              <w:rPr>
                <w:noProof/>
                <w:webHidden/>
              </w:rPr>
              <w:fldChar w:fldCharType="begin"/>
            </w:r>
            <w:r>
              <w:rPr>
                <w:noProof/>
                <w:webHidden/>
              </w:rPr>
              <w:instrText xml:space="preserve"> PAGEREF _Toc192766959 \h </w:instrText>
            </w:r>
            <w:r>
              <w:rPr>
                <w:noProof/>
                <w:webHidden/>
              </w:rPr>
            </w:r>
            <w:r>
              <w:rPr>
                <w:noProof/>
                <w:webHidden/>
              </w:rPr>
              <w:fldChar w:fldCharType="separate"/>
            </w:r>
            <w:r>
              <w:rPr>
                <w:noProof/>
                <w:webHidden/>
              </w:rPr>
              <w:t>33</w:t>
            </w:r>
            <w:r>
              <w:rPr>
                <w:noProof/>
                <w:webHidden/>
              </w:rPr>
              <w:fldChar w:fldCharType="end"/>
            </w:r>
          </w:hyperlink>
        </w:p>
        <w:p w14:paraId="01EA670C" w14:textId="2F7B6E8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0" w:history="1">
            <w:r w:rsidRPr="00425D25">
              <w:rPr>
                <w:rStyle w:val="Hyperlink"/>
              </w:rPr>
              <w:t>Table 26. 2024 Custom Initiative Projects by Facility Type</w:t>
            </w:r>
            <w:r>
              <w:rPr>
                <w:noProof/>
                <w:webHidden/>
              </w:rPr>
              <w:tab/>
            </w:r>
            <w:r>
              <w:rPr>
                <w:noProof/>
                <w:webHidden/>
              </w:rPr>
              <w:fldChar w:fldCharType="begin"/>
            </w:r>
            <w:r>
              <w:rPr>
                <w:noProof/>
                <w:webHidden/>
              </w:rPr>
              <w:instrText xml:space="preserve"> PAGEREF _Toc192766960 \h </w:instrText>
            </w:r>
            <w:r>
              <w:rPr>
                <w:noProof/>
                <w:webHidden/>
              </w:rPr>
            </w:r>
            <w:r>
              <w:rPr>
                <w:noProof/>
                <w:webHidden/>
              </w:rPr>
              <w:fldChar w:fldCharType="separate"/>
            </w:r>
            <w:r>
              <w:rPr>
                <w:noProof/>
                <w:webHidden/>
              </w:rPr>
              <w:t>34</w:t>
            </w:r>
            <w:r>
              <w:rPr>
                <w:noProof/>
                <w:webHidden/>
              </w:rPr>
              <w:fldChar w:fldCharType="end"/>
            </w:r>
          </w:hyperlink>
        </w:p>
        <w:p w14:paraId="187FD988" w14:textId="32AB4BA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1" w:history="1">
            <w:r w:rsidRPr="00425D25">
              <w:rPr>
                <w:rStyle w:val="Hyperlink"/>
              </w:rPr>
              <w:t>Table 27. 2024 Custom Initiative Annual Savings</w:t>
            </w:r>
            <w:r>
              <w:rPr>
                <w:noProof/>
                <w:webHidden/>
              </w:rPr>
              <w:tab/>
            </w:r>
            <w:r>
              <w:rPr>
                <w:noProof/>
                <w:webHidden/>
              </w:rPr>
              <w:fldChar w:fldCharType="begin"/>
            </w:r>
            <w:r>
              <w:rPr>
                <w:noProof/>
                <w:webHidden/>
              </w:rPr>
              <w:instrText xml:space="preserve"> PAGEREF _Toc192766961 \h </w:instrText>
            </w:r>
            <w:r>
              <w:rPr>
                <w:noProof/>
                <w:webHidden/>
              </w:rPr>
            </w:r>
            <w:r>
              <w:rPr>
                <w:noProof/>
                <w:webHidden/>
              </w:rPr>
              <w:fldChar w:fldCharType="separate"/>
            </w:r>
            <w:r>
              <w:rPr>
                <w:noProof/>
                <w:webHidden/>
              </w:rPr>
              <w:t>35</w:t>
            </w:r>
            <w:r>
              <w:rPr>
                <w:noProof/>
                <w:webHidden/>
              </w:rPr>
              <w:fldChar w:fldCharType="end"/>
            </w:r>
          </w:hyperlink>
        </w:p>
        <w:p w14:paraId="7BC8E34A" w14:textId="2E94DD8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2" w:history="1">
            <w:r w:rsidRPr="00425D25">
              <w:rPr>
                <w:rStyle w:val="Hyperlink"/>
              </w:rPr>
              <w:t>Table 28. 2024 Custom Incentives Channel Gross Impact Results for Sample Projects</w:t>
            </w:r>
            <w:r>
              <w:rPr>
                <w:noProof/>
                <w:webHidden/>
              </w:rPr>
              <w:tab/>
            </w:r>
            <w:r>
              <w:rPr>
                <w:noProof/>
                <w:webHidden/>
              </w:rPr>
              <w:fldChar w:fldCharType="begin"/>
            </w:r>
            <w:r>
              <w:rPr>
                <w:noProof/>
                <w:webHidden/>
              </w:rPr>
              <w:instrText xml:space="preserve"> PAGEREF _Toc192766962 \h </w:instrText>
            </w:r>
            <w:r>
              <w:rPr>
                <w:noProof/>
                <w:webHidden/>
              </w:rPr>
            </w:r>
            <w:r>
              <w:rPr>
                <w:noProof/>
                <w:webHidden/>
              </w:rPr>
              <w:fldChar w:fldCharType="separate"/>
            </w:r>
            <w:r>
              <w:rPr>
                <w:noProof/>
                <w:webHidden/>
              </w:rPr>
              <w:t>36</w:t>
            </w:r>
            <w:r>
              <w:rPr>
                <w:noProof/>
                <w:webHidden/>
              </w:rPr>
              <w:fldChar w:fldCharType="end"/>
            </w:r>
          </w:hyperlink>
        </w:p>
        <w:p w14:paraId="64C47728" w14:textId="4C68B73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3" w:history="1">
            <w:r w:rsidRPr="00425D25">
              <w:rPr>
                <w:rStyle w:val="Hyperlink"/>
              </w:rPr>
              <w:t>Table 29. 2024 Custom Incentives Channel Gross Impact Results for Sampled Fuel Switching Projects</w:t>
            </w:r>
            <w:r>
              <w:rPr>
                <w:noProof/>
                <w:webHidden/>
              </w:rPr>
              <w:tab/>
            </w:r>
            <w:r>
              <w:rPr>
                <w:noProof/>
                <w:webHidden/>
              </w:rPr>
              <w:fldChar w:fldCharType="begin"/>
            </w:r>
            <w:r>
              <w:rPr>
                <w:noProof/>
                <w:webHidden/>
              </w:rPr>
              <w:instrText xml:space="preserve"> PAGEREF _Toc192766963 \h </w:instrText>
            </w:r>
            <w:r>
              <w:rPr>
                <w:noProof/>
                <w:webHidden/>
              </w:rPr>
            </w:r>
            <w:r>
              <w:rPr>
                <w:noProof/>
                <w:webHidden/>
              </w:rPr>
              <w:fldChar w:fldCharType="separate"/>
            </w:r>
            <w:r>
              <w:rPr>
                <w:noProof/>
                <w:webHidden/>
              </w:rPr>
              <w:t>37</w:t>
            </w:r>
            <w:r>
              <w:rPr>
                <w:noProof/>
                <w:webHidden/>
              </w:rPr>
              <w:fldChar w:fldCharType="end"/>
            </w:r>
          </w:hyperlink>
        </w:p>
        <w:p w14:paraId="601C1B50" w14:textId="126339D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4" w:history="1">
            <w:r w:rsidRPr="00425D25">
              <w:rPr>
                <w:rStyle w:val="Hyperlink"/>
              </w:rPr>
              <w:t>Table 30. 2024 Custom Incentives Channel Realization Rates by Wave and Fuel Type</w:t>
            </w:r>
            <w:r>
              <w:rPr>
                <w:noProof/>
                <w:webHidden/>
              </w:rPr>
              <w:tab/>
            </w:r>
            <w:r>
              <w:rPr>
                <w:noProof/>
                <w:webHidden/>
              </w:rPr>
              <w:fldChar w:fldCharType="begin"/>
            </w:r>
            <w:r>
              <w:rPr>
                <w:noProof/>
                <w:webHidden/>
              </w:rPr>
              <w:instrText xml:space="preserve"> PAGEREF _Toc192766964 \h </w:instrText>
            </w:r>
            <w:r>
              <w:rPr>
                <w:noProof/>
                <w:webHidden/>
              </w:rPr>
            </w:r>
            <w:r>
              <w:rPr>
                <w:noProof/>
                <w:webHidden/>
              </w:rPr>
              <w:fldChar w:fldCharType="separate"/>
            </w:r>
            <w:r>
              <w:rPr>
                <w:noProof/>
                <w:webHidden/>
              </w:rPr>
              <w:t>39</w:t>
            </w:r>
            <w:r>
              <w:rPr>
                <w:noProof/>
                <w:webHidden/>
              </w:rPr>
              <w:fldChar w:fldCharType="end"/>
            </w:r>
          </w:hyperlink>
        </w:p>
        <w:p w14:paraId="3150A77A" w14:textId="43D4319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5" w:history="1">
            <w:r w:rsidRPr="00425D25">
              <w:rPr>
                <w:rStyle w:val="Hyperlink"/>
              </w:rPr>
              <w:t>Table 31. 2024 Custom Incentives Channel Electric Energy Savings by Wave</w:t>
            </w:r>
            <w:r>
              <w:rPr>
                <w:noProof/>
                <w:webHidden/>
              </w:rPr>
              <w:tab/>
            </w:r>
            <w:r>
              <w:rPr>
                <w:noProof/>
                <w:webHidden/>
              </w:rPr>
              <w:fldChar w:fldCharType="begin"/>
            </w:r>
            <w:r>
              <w:rPr>
                <w:noProof/>
                <w:webHidden/>
              </w:rPr>
              <w:instrText xml:space="preserve"> PAGEREF _Toc192766965 \h </w:instrText>
            </w:r>
            <w:r>
              <w:rPr>
                <w:noProof/>
                <w:webHidden/>
              </w:rPr>
            </w:r>
            <w:r>
              <w:rPr>
                <w:noProof/>
                <w:webHidden/>
              </w:rPr>
              <w:fldChar w:fldCharType="separate"/>
            </w:r>
            <w:r>
              <w:rPr>
                <w:noProof/>
                <w:webHidden/>
              </w:rPr>
              <w:t>39</w:t>
            </w:r>
            <w:r>
              <w:rPr>
                <w:noProof/>
                <w:webHidden/>
              </w:rPr>
              <w:fldChar w:fldCharType="end"/>
            </w:r>
          </w:hyperlink>
        </w:p>
        <w:p w14:paraId="7E35BDDF" w14:textId="4F0C917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6" w:history="1">
            <w:r w:rsidRPr="00425D25">
              <w:rPr>
                <w:rStyle w:val="Hyperlink"/>
              </w:rPr>
              <w:t>Table 32. 2024 Custom Incentives Channel Electric Demand Savings by Wave</w:t>
            </w:r>
            <w:r>
              <w:rPr>
                <w:noProof/>
                <w:webHidden/>
              </w:rPr>
              <w:tab/>
            </w:r>
            <w:r>
              <w:rPr>
                <w:noProof/>
                <w:webHidden/>
              </w:rPr>
              <w:fldChar w:fldCharType="begin"/>
            </w:r>
            <w:r>
              <w:rPr>
                <w:noProof/>
                <w:webHidden/>
              </w:rPr>
              <w:instrText xml:space="preserve"> PAGEREF _Toc192766966 \h </w:instrText>
            </w:r>
            <w:r>
              <w:rPr>
                <w:noProof/>
                <w:webHidden/>
              </w:rPr>
            </w:r>
            <w:r>
              <w:rPr>
                <w:noProof/>
                <w:webHidden/>
              </w:rPr>
              <w:fldChar w:fldCharType="separate"/>
            </w:r>
            <w:r>
              <w:rPr>
                <w:noProof/>
                <w:webHidden/>
              </w:rPr>
              <w:t>39</w:t>
            </w:r>
            <w:r>
              <w:rPr>
                <w:noProof/>
                <w:webHidden/>
              </w:rPr>
              <w:fldChar w:fldCharType="end"/>
            </w:r>
          </w:hyperlink>
        </w:p>
        <w:p w14:paraId="6EC209F2" w14:textId="0B92ABA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7" w:history="1">
            <w:r w:rsidRPr="00425D25">
              <w:rPr>
                <w:rStyle w:val="Hyperlink"/>
              </w:rPr>
              <w:t>Table 33. 2024 Custom Incentives Channel Gas Savings by Wave</w:t>
            </w:r>
            <w:r>
              <w:rPr>
                <w:noProof/>
                <w:webHidden/>
              </w:rPr>
              <w:tab/>
            </w:r>
            <w:r>
              <w:rPr>
                <w:noProof/>
                <w:webHidden/>
              </w:rPr>
              <w:fldChar w:fldCharType="begin"/>
            </w:r>
            <w:r>
              <w:rPr>
                <w:noProof/>
                <w:webHidden/>
              </w:rPr>
              <w:instrText xml:space="preserve"> PAGEREF _Toc192766967 \h </w:instrText>
            </w:r>
            <w:r>
              <w:rPr>
                <w:noProof/>
                <w:webHidden/>
              </w:rPr>
            </w:r>
            <w:r>
              <w:rPr>
                <w:noProof/>
                <w:webHidden/>
              </w:rPr>
              <w:fldChar w:fldCharType="separate"/>
            </w:r>
            <w:r>
              <w:rPr>
                <w:noProof/>
                <w:webHidden/>
              </w:rPr>
              <w:t>40</w:t>
            </w:r>
            <w:r>
              <w:rPr>
                <w:noProof/>
                <w:webHidden/>
              </w:rPr>
              <w:fldChar w:fldCharType="end"/>
            </w:r>
          </w:hyperlink>
        </w:p>
        <w:p w14:paraId="25048586" w14:textId="3086F3F7"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8" w:history="1">
            <w:r w:rsidRPr="00425D25">
              <w:rPr>
                <w:rStyle w:val="Hyperlink"/>
              </w:rPr>
              <w:t>Table 34. 2024 New Construction Lighting Channel Gross Impact Results for Sampled Projects</w:t>
            </w:r>
            <w:r>
              <w:rPr>
                <w:noProof/>
                <w:webHidden/>
              </w:rPr>
              <w:tab/>
            </w:r>
            <w:r>
              <w:rPr>
                <w:noProof/>
                <w:webHidden/>
              </w:rPr>
              <w:fldChar w:fldCharType="begin"/>
            </w:r>
            <w:r>
              <w:rPr>
                <w:noProof/>
                <w:webHidden/>
              </w:rPr>
              <w:instrText xml:space="preserve"> PAGEREF _Toc192766968 \h </w:instrText>
            </w:r>
            <w:r>
              <w:rPr>
                <w:noProof/>
                <w:webHidden/>
              </w:rPr>
            </w:r>
            <w:r>
              <w:rPr>
                <w:noProof/>
                <w:webHidden/>
              </w:rPr>
              <w:fldChar w:fldCharType="separate"/>
            </w:r>
            <w:r>
              <w:rPr>
                <w:noProof/>
                <w:webHidden/>
              </w:rPr>
              <w:t>40</w:t>
            </w:r>
            <w:r>
              <w:rPr>
                <w:noProof/>
                <w:webHidden/>
              </w:rPr>
              <w:fldChar w:fldCharType="end"/>
            </w:r>
          </w:hyperlink>
        </w:p>
        <w:p w14:paraId="39831BDB" w14:textId="3714593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69" w:history="1">
            <w:r w:rsidRPr="00425D25">
              <w:rPr>
                <w:rStyle w:val="Hyperlink"/>
              </w:rPr>
              <w:t>Table 35. 2024 New Construction Lighting Channel Realization Rates</w:t>
            </w:r>
            <w:r>
              <w:rPr>
                <w:noProof/>
                <w:webHidden/>
              </w:rPr>
              <w:tab/>
            </w:r>
            <w:r>
              <w:rPr>
                <w:noProof/>
                <w:webHidden/>
              </w:rPr>
              <w:fldChar w:fldCharType="begin"/>
            </w:r>
            <w:r>
              <w:rPr>
                <w:noProof/>
                <w:webHidden/>
              </w:rPr>
              <w:instrText xml:space="preserve"> PAGEREF _Toc192766969 \h </w:instrText>
            </w:r>
            <w:r>
              <w:rPr>
                <w:noProof/>
                <w:webHidden/>
              </w:rPr>
            </w:r>
            <w:r>
              <w:rPr>
                <w:noProof/>
                <w:webHidden/>
              </w:rPr>
              <w:fldChar w:fldCharType="separate"/>
            </w:r>
            <w:r>
              <w:rPr>
                <w:noProof/>
                <w:webHidden/>
              </w:rPr>
              <w:t>41</w:t>
            </w:r>
            <w:r>
              <w:rPr>
                <w:noProof/>
                <w:webHidden/>
              </w:rPr>
              <w:fldChar w:fldCharType="end"/>
            </w:r>
          </w:hyperlink>
        </w:p>
        <w:p w14:paraId="75D0608B" w14:textId="6446DD7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0" w:history="1">
            <w:r w:rsidRPr="00425D25">
              <w:rPr>
                <w:rStyle w:val="Hyperlink"/>
              </w:rPr>
              <w:t>Table 36. 2024 New Construction Lighting Channel Electric Energy Savings</w:t>
            </w:r>
            <w:r>
              <w:rPr>
                <w:noProof/>
                <w:webHidden/>
              </w:rPr>
              <w:tab/>
            </w:r>
            <w:r>
              <w:rPr>
                <w:noProof/>
                <w:webHidden/>
              </w:rPr>
              <w:fldChar w:fldCharType="begin"/>
            </w:r>
            <w:r>
              <w:rPr>
                <w:noProof/>
                <w:webHidden/>
              </w:rPr>
              <w:instrText xml:space="preserve"> PAGEREF _Toc192766970 \h </w:instrText>
            </w:r>
            <w:r>
              <w:rPr>
                <w:noProof/>
                <w:webHidden/>
              </w:rPr>
            </w:r>
            <w:r>
              <w:rPr>
                <w:noProof/>
                <w:webHidden/>
              </w:rPr>
              <w:fldChar w:fldCharType="separate"/>
            </w:r>
            <w:r>
              <w:rPr>
                <w:noProof/>
                <w:webHidden/>
              </w:rPr>
              <w:t>41</w:t>
            </w:r>
            <w:r>
              <w:rPr>
                <w:noProof/>
                <w:webHidden/>
              </w:rPr>
              <w:fldChar w:fldCharType="end"/>
            </w:r>
          </w:hyperlink>
        </w:p>
        <w:p w14:paraId="5614B958" w14:textId="7F1743F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1" w:history="1">
            <w:r w:rsidRPr="00425D25">
              <w:rPr>
                <w:rStyle w:val="Hyperlink"/>
              </w:rPr>
              <w:t>Table 37. 2024 New Construction Lighting Channel Electric Demand Savings</w:t>
            </w:r>
            <w:r>
              <w:rPr>
                <w:noProof/>
                <w:webHidden/>
              </w:rPr>
              <w:tab/>
            </w:r>
            <w:r>
              <w:rPr>
                <w:noProof/>
                <w:webHidden/>
              </w:rPr>
              <w:fldChar w:fldCharType="begin"/>
            </w:r>
            <w:r>
              <w:rPr>
                <w:noProof/>
                <w:webHidden/>
              </w:rPr>
              <w:instrText xml:space="preserve"> PAGEREF _Toc192766971 \h </w:instrText>
            </w:r>
            <w:r>
              <w:rPr>
                <w:noProof/>
                <w:webHidden/>
              </w:rPr>
            </w:r>
            <w:r>
              <w:rPr>
                <w:noProof/>
                <w:webHidden/>
              </w:rPr>
              <w:fldChar w:fldCharType="separate"/>
            </w:r>
            <w:r>
              <w:rPr>
                <w:noProof/>
                <w:webHidden/>
              </w:rPr>
              <w:t>41</w:t>
            </w:r>
            <w:r>
              <w:rPr>
                <w:noProof/>
                <w:webHidden/>
              </w:rPr>
              <w:fldChar w:fldCharType="end"/>
            </w:r>
          </w:hyperlink>
        </w:p>
        <w:p w14:paraId="741740C1" w14:textId="2F8DDBD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2" w:history="1">
            <w:r w:rsidRPr="00425D25">
              <w:rPr>
                <w:rStyle w:val="Hyperlink"/>
              </w:rPr>
              <w:t>Table 38. 2024 Custom Initiative CPAS and WAML</w:t>
            </w:r>
            <w:r>
              <w:rPr>
                <w:noProof/>
                <w:webHidden/>
              </w:rPr>
              <w:tab/>
            </w:r>
            <w:r>
              <w:rPr>
                <w:noProof/>
                <w:webHidden/>
              </w:rPr>
              <w:fldChar w:fldCharType="begin"/>
            </w:r>
            <w:r>
              <w:rPr>
                <w:noProof/>
                <w:webHidden/>
              </w:rPr>
              <w:instrText xml:space="preserve"> PAGEREF _Toc192766972 \h </w:instrText>
            </w:r>
            <w:r>
              <w:rPr>
                <w:noProof/>
                <w:webHidden/>
              </w:rPr>
            </w:r>
            <w:r>
              <w:rPr>
                <w:noProof/>
                <w:webHidden/>
              </w:rPr>
              <w:fldChar w:fldCharType="separate"/>
            </w:r>
            <w:r>
              <w:rPr>
                <w:noProof/>
                <w:webHidden/>
              </w:rPr>
              <w:t>42</w:t>
            </w:r>
            <w:r>
              <w:rPr>
                <w:noProof/>
                <w:webHidden/>
              </w:rPr>
              <w:fldChar w:fldCharType="end"/>
            </w:r>
          </w:hyperlink>
        </w:p>
        <w:p w14:paraId="3B1C1982" w14:textId="12B8070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3" w:history="1">
            <w:r w:rsidRPr="00425D25">
              <w:rPr>
                <w:rStyle w:val="Hyperlink"/>
              </w:rPr>
              <w:t>Table 39. 2024 Retro-Commissioning Initiative Annual Savings</w:t>
            </w:r>
            <w:r>
              <w:rPr>
                <w:noProof/>
                <w:webHidden/>
              </w:rPr>
              <w:tab/>
            </w:r>
            <w:r>
              <w:rPr>
                <w:noProof/>
                <w:webHidden/>
              </w:rPr>
              <w:fldChar w:fldCharType="begin"/>
            </w:r>
            <w:r>
              <w:rPr>
                <w:noProof/>
                <w:webHidden/>
              </w:rPr>
              <w:instrText xml:space="preserve"> PAGEREF _Toc192766973 \h </w:instrText>
            </w:r>
            <w:r>
              <w:rPr>
                <w:noProof/>
                <w:webHidden/>
              </w:rPr>
            </w:r>
            <w:r>
              <w:rPr>
                <w:noProof/>
                <w:webHidden/>
              </w:rPr>
              <w:fldChar w:fldCharType="separate"/>
            </w:r>
            <w:r>
              <w:rPr>
                <w:noProof/>
                <w:webHidden/>
              </w:rPr>
              <w:t>45</w:t>
            </w:r>
            <w:r>
              <w:rPr>
                <w:noProof/>
                <w:webHidden/>
              </w:rPr>
              <w:fldChar w:fldCharType="end"/>
            </w:r>
          </w:hyperlink>
        </w:p>
        <w:p w14:paraId="400B718F" w14:textId="06F4BFD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4" w:history="1">
            <w:r w:rsidRPr="00425D25">
              <w:rPr>
                <w:rStyle w:val="Hyperlink"/>
              </w:rPr>
              <w:t>Table 40. 2024 Retro-Commissioning Core Channel Incentive Structure</w:t>
            </w:r>
            <w:r>
              <w:rPr>
                <w:noProof/>
                <w:webHidden/>
              </w:rPr>
              <w:tab/>
            </w:r>
            <w:r>
              <w:rPr>
                <w:noProof/>
                <w:webHidden/>
              </w:rPr>
              <w:fldChar w:fldCharType="begin"/>
            </w:r>
            <w:r>
              <w:rPr>
                <w:noProof/>
                <w:webHidden/>
              </w:rPr>
              <w:instrText xml:space="preserve"> PAGEREF _Toc192766974 \h </w:instrText>
            </w:r>
            <w:r>
              <w:rPr>
                <w:noProof/>
                <w:webHidden/>
              </w:rPr>
            </w:r>
            <w:r>
              <w:rPr>
                <w:noProof/>
                <w:webHidden/>
              </w:rPr>
              <w:fldChar w:fldCharType="separate"/>
            </w:r>
            <w:r>
              <w:rPr>
                <w:noProof/>
                <w:webHidden/>
              </w:rPr>
              <w:t>46</w:t>
            </w:r>
            <w:r>
              <w:rPr>
                <w:noProof/>
                <w:webHidden/>
              </w:rPr>
              <w:fldChar w:fldCharType="end"/>
            </w:r>
          </w:hyperlink>
        </w:p>
        <w:p w14:paraId="121052EB" w14:textId="50E6831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5" w:history="1">
            <w:r w:rsidRPr="00425D25">
              <w:rPr>
                <w:rStyle w:val="Hyperlink"/>
              </w:rPr>
              <w:t>Table 41. 2024 Retro-Commissioning Core Channel Participation Summary</w:t>
            </w:r>
            <w:r>
              <w:rPr>
                <w:noProof/>
                <w:webHidden/>
              </w:rPr>
              <w:tab/>
            </w:r>
            <w:r>
              <w:rPr>
                <w:noProof/>
                <w:webHidden/>
              </w:rPr>
              <w:fldChar w:fldCharType="begin"/>
            </w:r>
            <w:r>
              <w:rPr>
                <w:noProof/>
                <w:webHidden/>
              </w:rPr>
              <w:instrText xml:space="preserve"> PAGEREF _Toc192766975 \h </w:instrText>
            </w:r>
            <w:r>
              <w:rPr>
                <w:noProof/>
                <w:webHidden/>
              </w:rPr>
            </w:r>
            <w:r>
              <w:rPr>
                <w:noProof/>
                <w:webHidden/>
              </w:rPr>
              <w:fldChar w:fldCharType="separate"/>
            </w:r>
            <w:r>
              <w:rPr>
                <w:noProof/>
                <w:webHidden/>
              </w:rPr>
              <w:t>46</w:t>
            </w:r>
            <w:r>
              <w:rPr>
                <w:noProof/>
                <w:webHidden/>
              </w:rPr>
              <w:fldChar w:fldCharType="end"/>
            </w:r>
          </w:hyperlink>
        </w:p>
        <w:p w14:paraId="1749BE4A" w14:textId="0242D68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6" w:history="1">
            <w:r w:rsidRPr="00425D25">
              <w:rPr>
                <w:rStyle w:val="Hyperlink"/>
              </w:rPr>
              <w:t>Table 42. 2024 RCx Core Channel Electric Energy Savings by Measure</w:t>
            </w:r>
            <w:r>
              <w:rPr>
                <w:noProof/>
                <w:webHidden/>
              </w:rPr>
              <w:tab/>
            </w:r>
            <w:r>
              <w:rPr>
                <w:noProof/>
                <w:webHidden/>
              </w:rPr>
              <w:fldChar w:fldCharType="begin"/>
            </w:r>
            <w:r>
              <w:rPr>
                <w:noProof/>
                <w:webHidden/>
              </w:rPr>
              <w:instrText xml:space="preserve"> PAGEREF _Toc192766976 \h </w:instrText>
            </w:r>
            <w:r>
              <w:rPr>
                <w:noProof/>
                <w:webHidden/>
              </w:rPr>
            </w:r>
            <w:r>
              <w:rPr>
                <w:noProof/>
                <w:webHidden/>
              </w:rPr>
              <w:fldChar w:fldCharType="separate"/>
            </w:r>
            <w:r>
              <w:rPr>
                <w:noProof/>
                <w:webHidden/>
              </w:rPr>
              <w:t>47</w:t>
            </w:r>
            <w:r>
              <w:rPr>
                <w:noProof/>
                <w:webHidden/>
              </w:rPr>
              <w:fldChar w:fldCharType="end"/>
            </w:r>
          </w:hyperlink>
        </w:p>
        <w:p w14:paraId="0315EA36" w14:textId="041D6013"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7" w:history="1">
            <w:r w:rsidRPr="00425D25">
              <w:rPr>
                <w:rStyle w:val="Hyperlink"/>
              </w:rPr>
              <w:t>Table 43. 2024 RCx Core Channel Electric Demand Savings by Measure</w:t>
            </w:r>
            <w:r>
              <w:rPr>
                <w:noProof/>
                <w:webHidden/>
              </w:rPr>
              <w:tab/>
            </w:r>
            <w:r>
              <w:rPr>
                <w:noProof/>
                <w:webHidden/>
              </w:rPr>
              <w:fldChar w:fldCharType="begin"/>
            </w:r>
            <w:r>
              <w:rPr>
                <w:noProof/>
                <w:webHidden/>
              </w:rPr>
              <w:instrText xml:space="preserve"> PAGEREF _Toc192766977 \h </w:instrText>
            </w:r>
            <w:r>
              <w:rPr>
                <w:noProof/>
                <w:webHidden/>
              </w:rPr>
            </w:r>
            <w:r>
              <w:rPr>
                <w:noProof/>
                <w:webHidden/>
              </w:rPr>
              <w:fldChar w:fldCharType="separate"/>
            </w:r>
            <w:r>
              <w:rPr>
                <w:noProof/>
                <w:webHidden/>
              </w:rPr>
              <w:t>47</w:t>
            </w:r>
            <w:r>
              <w:rPr>
                <w:noProof/>
                <w:webHidden/>
              </w:rPr>
              <w:fldChar w:fldCharType="end"/>
            </w:r>
          </w:hyperlink>
        </w:p>
        <w:p w14:paraId="7AC6DE79" w14:textId="4D35E9C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8" w:history="1">
            <w:r w:rsidRPr="00425D25">
              <w:rPr>
                <w:rStyle w:val="Hyperlink"/>
              </w:rPr>
              <w:t>Table 44. 2024 Virtual Commissioning Channel Annual Savings</w:t>
            </w:r>
            <w:r>
              <w:rPr>
                <w:noProof/>
                <w:webHidden/>
              </w:rPr>
              <w:tab/>
            </w:r>
            <w:r>
              <w:rPr>
                <w:noProof/>
                <w:webHidden/>
              </w:rPr>
              <w:fldChar w:fldCharType="begin"/>
            </w:r>
            <w:r>
              <w:rPr>
                <w:noProof/>
                <w:webHidden/>
              </w:rPr>
              <w:instrText xml:space="preserve"> PAGEREF _Toc192766978 \h </w:instrText>
            </w:r>
            <w:r>
              <w:rPr>
                <w:noProof/>
                <w:webHidden/>
              </w:rPr>
            </w:r>
            <w:r>
              <w:rPr>
                <w:noProof/>
                <w:webHidden/>
              </w:rPr>
              <w:fldChar w:fldCharType="separate"/>
            </w:r>
            <w:r>
              <w:rPr>
                <w:noProof/>
                <w:webHidden/>
              </w:rPr>
              <w:t>49</w:t>
            </w:r>
            <w:r>
              <w:rPr>
                <w:noProof/>
                <w:webHidden/>
              </w:rPr>
              <w:fldChar w:fldCharType="end"/>
            </w:r>
          </w:hyperlink>
        </w:p>
        <w:p w14:paraId="3A51C564" w14:textId="75F4B36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79" w:history="1">
            <w:r w:rsidRPr="00425D25">
              <w:rPr>
                <w:rStyle w:val="Hyperlink"/>
              </w:rPr>
              <w:t>Table 45. 2024 Virtual Strategic Energy Management Channel Annual Savings</w:t>
            </w:r>
            <w:r>
              <w:rPr>
                <w:noProof/>
                <w:webHidden/>
              </w:rPr>
              <w:tab/>
            </w:r>
            <w:r>
              <w:rPr>
                <w:noProof/>
                <w:webHidden/>
              </w:rPr>
              <w:fldChar w:fldCharType="begin"/>
            </w:r>
            <w:r>
              <w:rPr>
                <w:noProof/>
                <w:webHidden/>
              </w:rPr>
              <w:instrText xml:space="preserve"> PAGEREF _Toc192766979 \h </w:instrText>
            </w:r>
            <w:r>
              <w:rPr>
                <w:noProof/>
                <w:webHidden/>
              </w:rPr>
            </w:r>
            <w:r>
              <w:rPr>
                <w:noProof/>
                <w:webHidden/>
              </w:rPr>
              <w:fldChar w:fldCharType="separate"/>
            </w:r>
            <w:r>
              <w:rPr>
                <w:noProof/>
                <w:webHidden/>
              </w:rPr>
              <w:t>50</w:t>
            </w:r>
            <w:r>
              <w:rPr>
                <w:noProof/>
                <w:webHidden/>
              </w:rPr>
              <w:fldChar w:fldCharType="end"/>
            </w:r>
          </w:hyperlink>
        </w:p>
        <w:p w14:paraId="6E0E5A6D" w14:textId="191F414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0" w:history="1">
            <w:r w:rsidRPr="00425D25">
              <w:rPr>
                <w:rStyle w:val="Hyperlink"/>
              </w:rPr>
              <w:t>Table 46. 2024 Retro-Commissioning Initiative CPAS and WAML</w:t>
            </w:r>
            <w:r>
              <w:rPr>
                <w:noProof/>
                <w:webHidden/>
              </w:rPr>
              <w:tab/>
            </w:r>
            <w:r>
              <w:rPr>
                <w:noProof/>
                <w:webHidden/>
              </w:rPr>
              <w:fldChar w:fldCharType="begin"/>
            </w:r>
            <w:r>
              <w:rPr>
                <w:noProof/>
                <w:webHidden/>
              </w:rPr>
              <w:instrText xml:space="preserve"> PAGEREF _Toc192766980 \h </w:instrText>
            </w:r>
            <w:r>
              <w:rPr>
                <w:noProof/>
                <w:webHidden/>
              </w:rPr>
            </w:r>
            <w:r>
              <w:rPr>
                <w:noProof/>
                <w:webHidden/>
              </w:rPr>
              <w:fldChar w:fldCharType="separate"/>
            </w:r>
            <w:r>
              <w:rPr>
                <w:noProof/>
                <w:webHidden/>
              </w:rPr>
              <w:t>51</w:t>
            </w:r>
            <w:r>
              <w:rPr>
                <w:noProof/>
                <w:webHidden/>
              </w:rPr>
              <w:fldChar w:fldCharType="end"/>
            </w:r>
          </w:hyperlink>
        </w:p>
        <w:p w14:paraId="37B00447" w14:textId="73EE742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1" w:history="1">
            <w:r w:rsidRPr="00425D25">
              <w:rPr>
                <w:rStyle w:val="Hyperlink"/>
              </w:rPr>
              <w:t>Table 47. 2024 Streetlighting Initiative Annual Savings</w:t>
            </w:r>
            <w:r>
              <w:rPr>
                <w:noProof/>
                <w:webHidden/>
              </w:rPr>
              <w:tab/>
            </w:r>
            <w:r>
              <w:rPr>
                <w:noProof/>
                <w:webHidden/>
              </w:rPr>
              <w:fldChar w:fldCharType="begin"/>
            </w:r>
            <w:r>
              <w:rPr>
                <w:noProof/>
                <w:webHidden/>
              </w:rPr>
              <w:instrText xml:space="preserve"> PAGEREF _Toc192766981 \h </w:instrText>
            </w:r>
            <w:r>
              <w:rPr>
                <w:noProof/>
                <w:webHidden/>
              </w:rPr>
            </w:r>
            <w:r>
              <w:rPr>
                <w:noProof/>
                <w:webHidden/>
              </w:rPr>
              <w:fldChar w:fldCharType="separate"/>
            </w:r>
            <w:r>
              <w:rPr>
                <w:noProof/>
                <w:webHidden/>
              </w:rPr>
              <w:t>53</w:t>
            </w:r>
            <w:r>
              <w:rPr>
                <w:noProof/>
                <w:webHidden/>
              </w:rPr>
              <w:fldChar w:fldCharType="end"/>
            </w:r>
          </w:hyperlink>
        </w:p>
        <w:p w14:paraId="76A0FB38" w14:textId="68CDFDA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2" w:history="1">
            <w:r w:rsidRPr="00425D25">
              <w:rPr>
                <w:rStyle w:val="Hyperlink"/>
              </w:rPr>
              <w:t>Table 48. 2024 Municipality-Owned Streetlighting Channel Electric Energy Savings by Measure</w:t>
            </w:r>
            <w:r>
              <w:rPr>
                <w:noProof/>
                <w:webHidden/>
              </w:rPr>
              <w:tab/>
            </w:r>
            <w:r>
              <w:rPr>
                <w:noProof/>
                <w:webHidden/>
              </w:rPr>
              <w:fldChar w:fldCharType="begin"/>
            </w:r>
            <w:r>
              <w:rPr>
                <w:noProof/>
                <w:webHidden/>
              </w:rPr>
              <w:instrText xml:space="preserve"> PAGEREF _Toc192766982 \h </w:instrText>
            </w:r>
            <w:r>
              <w:rPr>
                <w:noProof/>
                <w:webHidden/>
              </w:rPr>
            </w:r>
            <w:r>
              <w:rPr>
                <w:noProof/>
                <w:webHidden/>
              </w:rPr>
              <w:fldChar w:fldCharType="separate"/>
            </w:r>
            <w:r>
              <w:rPr>
                <w:noProof/>
                <w:webHidden/>
              </w:rPr>
              <w:t>54</w:t>
            </w:r>
            <w:r>
              <w:rPr>
                <w:noProof/>
                <w:webHidden/>
              </w:rPr>
              <w:fldChar w:fldCharType="end"/>
            </w:r>
          </w:hyperlink>
        </w:p>
        <w:p w14:paraId="18D294F9" w14:textId="7565760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3" w:history="1">
            <w:r w:rsidRPr="00425D25">
              <w:rPr>
                <w:rStyle w:val="Hyperlink"/>
              </w:rPr>
              <w:t>Table 49. 2024 Utility-Owned Streetlighting Channel Electric Energy Savings by Measure</w:t>
            </w:r>
            <w:r>
              <w:rPr>
                <w:noProof/>
                <w:webHidden/>
              </w:rPr>
              <w:tab/>
            </w:r>
            <w:r>
              <w:rPr>
                <w:noProof/>
                <w:webHidden/>
              </w:rPr>
              <w:fldChar w:fldCharType="begin"/>
            </w:r>
            <w:r>
              <w:rPr>
                <w:noProof/>
                <w:webHidden/>
              </w:rPr>
              <w:instrText xml:space="preserve"> PAGEREF _Toc192766983 \h </w:instrText>
            </w:r>
            <w:r>
              <w:rPr>
                <w:noProof/>
                <w:webHidden/>
              </w:rPr>
            </w:r>
            <w:r>
              <w:rPr>
                <w:noProof/>
                <w:webHidden/>
              </w:rPr>
              <w:fldChar w:fldCharType="separate"/>
            </w:r>
            <w:r>
              <w:rPr>
                <w:noProof/>
                <w:webHidden/>
              </w:rPr>
              <w:t>54</w:t>
            </w:r>
            <w:r>
              <w:rPr>
                <w:noProof/>
                <w:webHidden/>
              </w:rPr>
              <w:fldChar w:fldCharType="end"/>
            </w:r>
          </w:hyperlink>
        </w:p>
        <w:p w14:paraId="61A9D139" w14:textId="5503AAE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4" w:history="1">
            <w:r w:rsidRPr="00425D25">
              <w:rPr>
                <w:rStyle w:val="Hyperlink"/>
              </w:rPr>
              <w:t>Table 50. 2024 Streetlighting Initiative CPAS and WAML</w:t>
            </w:r>
            <w:r>
              <w:rPr>
                <w:noProof/>
                <w:webHidden/>
              </w:rPr>
              <w:tab/>
            </w:r>
            <w:r>
              <w:rPr>
                <w:noProof/>
                <w:webHidden/>
              </w:rPr>
              <w:fldChar w:fldCharType="begin"/>
            </w:r>
            <w:r>
              <w:rPr>
                <w:noProof/>
                <w:webHidden/>
              </w:rPr>
              <w:instrText xml:space="preserve"> PAGEREF _Toc192766984 \h </w:instrText>
            </w:r>
            <w:r>
              <w:rPr>
                <w:noProof/>
                <w:webHidden/>
              </w:rPr>
            </w:r>
            <w:r>
              <w:rPr>
                <w:noProof/>
                <w:webHidden/>
              </w:rPr>
              <w:fldChar w:fldCharType="separate"/>
            </w:r>
            <w:r>
              <w:rPr>
                <w:noProof/>
                <w:webHidden/>
              </w:rPr>
              <w:t>55</w:t>
            </w:r>
            <w:r>
              <w:rPr>
                <w:noProof/>
                <w:webHidden/>
              </w:rPr>
              <w:fldChar w:fldCharType="end"/>
            </w:r>
          </w:hyperlink>
        </w:p>
        <w:p w14:paraId="4ACC5D76" w14:textId="238BDFE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5" w:history="1">
            <w:r w:rsidRPr="00425D25">
              <w:rPr>
                <w:rStyle w:val="Hyperlink"/>
              </w:rPr>
              <w:t>Table 51. 2024 Municipality-Owned Streetlighting Channel CPAS and WAML</w:t>
            </w:r>
            <w:r>
              <w:rPr>
                <w:noProof/>
                <w:webHidden/>
              </w:rPr>
              <w:tab/>
            </w:r>
            <w:r>
              <w:rPr>
                <w:noProof/>
                <w:webHidden/>
              </w:rPr>
              <w:fldChar w:fldCharType="begin"/>
            </w:r>
            <w:r>
              <w:rPr>
                <w:noProof/>
                <w:webHidden/>
              </w:rPr>
              <w:instrText xml:space="preserve"> PAGEREF _Toc192766985 \h </w:instrText>
            </w:r>
            <w:r>
              <w:rPr>
                <w:noProof/>
                <w:webHidden/>
              </w:rPr>
            </w:r>
            <w:r>
              <w:rPr>
                <w:noProof/>
                <w:webHidden/>
              </w:rPr>
              <w:fldChar w:fldCharType="separate"/>
            </w:r>
            <w:r>
              <w:rPr>
                <w:noProof/>
                <w:webHidden/>
              </w:rPr>
              <w:t>55</w:t>
            </w:r>
            <w:r>
              <w:rPr>
                <w:noProof/>
                <w:webHidden/>
              </w:rPr>
              <w:fldChar w:fldCharType="end"/>
            </w:r>
          </w:hyperlink>
        </w:p>
        <w:p w14:paraId="1D2A44F9" w14:textId="312C63A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6" w:history="1">
            <w:r w:rsidRPr="00425D25">
              <w:rPr>
                <w:rStyle w:val="Hyperlink"/>
              </w:rPr>
              <w:t>Table 52. 2024 Utility-Owned Streetlighting Channel CPAS and WAML</w:t>
            </w:r>
            <w:r>
              <w:rPr>
                <w:noProof/>
                <w:webHidden/>
              </w:rPr>
              <w:tab/>
            </w:r>
            <w:r>
              <w:rPr>
                <w:noProof/>
                <w:webHidden/>
              </w:rPr>
              <w:fldChar w:fldCharType="begin"/>
            </w:r>
            <w:r>
              <w:rPr>
                <w:noProof/>
                <w:webHidden/>
              </w:rPr>
              <w:instrText xml:space="preserve"> PAGEREF _Toc192766986 \h </w:instrText>
            </w:r>
            <w:r>
              <w:rPr>
                <w:noProof/>
                <w:webHidden/>
              </w:rPr>
            </w:r>
            <w:r>
              <w:rPr>
                <w:noProof/>
                <w:webHidden/>
              </w:rPr>
              <w:fldChar w:fldCharType="separate"/>
            </w:r>
            <w:r>
              <w:rPr>
                <w:noProof/>
                <w:webHidden/>
              </w:rPr>
              <w:t>56</w:t>
            </w:r>
            <w:r>
              <w:rPr>
                <w:noProof/>
                <w:webHidden/>
              </w:rPr>
              <w:fldChar w:fldCharType="end"/>
            </w:r>
          </w:hyperlink>
        </w:p>
        <w:p w14:paraId="79A4B468" w14:textId="436AFA9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7" w:history="1">
            <w:r w:rsidRPr="00425D25">
              <w:rPr>
                <w:rStyle w:val="Hyperlink"/>
              </w:rPr>
              <w:t>Table 53. 2024 Small Business Initiative Annual Savings</w:t>
            </w:r>
            <w:r>
              <w:rPr>
                <w:noProof/>
                <w:webHidden/>
              </w:rPr>
              <w:tab/>
            </w:r>
            <w:r>
              <w:rPr>
                <w:noProof/>
                <w:webHidden/>
              </w:rPr>
              <w:fldChar w:fldCharType="begin"/>
            </w:r>
            <w:r>
              <w:rPr>
                <w:noProof/>
                <w:webHidden/>
              </w:rPr>
              <w:instrText xml:space="preserve"> PAGEREF _Toc192766987 \h </w:instrText>
            </w:r>
            <w:r>
              <w:rPr>
                <w:noProof/>
                <w:webHidden/>
              </w:rPr>
            </w:r>
            <w:r>
              <w:rPr>
                <w:noProof/>
                <w:webHidden/>
              </w:rPr>
              <w:fldChar w:fldCharType="separate"/>
            </w:r>
            <w:r>
              <w:rPr>
                <w:noProof/>
                <w:webHidden/>
              </w:rPr>
              <w:t>58</w:t>
            </w:r>
            <w:r>
              <w:rPr>
                <w:noProof/>
                <w:webHidden/>
              </w:rPr>
              <w:fldChar w:fldCharType="end"/>
            </w:r>
          </w:hyperlink>
        </w:p>
        <w:p w14:paraId="3EAA0393" w14:textId="3C91228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8" w:history="1">
            <w:r w:rsidRPr="00425D25">
              <w:rPr>
                <w:rStyle w:val="Hyperlink"/>
              </w:rPr>
              <w:t>Table 54. 2024 Small Business Direct Install Channel Participation Summary by Measure</w:t>
            </w:r>
            <w:r>
              <w:rPr>
                <w:noProof/>
                <w:webHidden/>
              </w:rPr>
              <w:tab/>
            </w:r>
            <w:r>
              <w:rPr>
                <w:noProof/>
                <w:webHidden/>
              </w:rPr>
              <w:fldChar w:fldCharType="begin"/>
            </w:r>
            <w:r>
              <w:rPr>
                <w:noProof/>
                <w:webHidden/>
              </w:rPr>
              <w:instrText xml:space="preserve"> PAGEREF _Toc192766988 \h </w:instrText>
            </w:r>
            <w:r>
              <w:rPr>
                <w:noProof/>
                <w:webHidden/>
              </w:rPr>
            </w:r>
            <w:r>
              <w:rPr>
                <w:noProof/>
                <w:webHidden/>
              </w:rPr>
              <w:fldChar w:fldCharType="separate"/>
            </w:r>
            <w:r>
              <w:rPr>
                <w:noProof/>
                <w:webHidden/>
              </w:rPr>
              <w:t>59</w:t>
            </w:r>
            <w:r>
              <w:rPr>
                <w:noProof/>
                <w:webHidden/>
              </w:rPr>
              <w:fldChar w:fldCharType="end"/>
            </w:r>
          </w:hyperlink>
        </w:p>
        <w:p w14:paraId="1B57F9BE" w14:textId="6923E4B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89" w:history="1">
            <w:r w:rsidRPr="00425D25">
              <w:rPr>
                <w:rStyle w:val="Hyperlink"/>
              </w:rPr>
              <w:t>Table 55. 2024 Small Business Direct Install Channel Program Ally Participation Summary</w:t>
            </w:r>
            <w:r>
              <w:rPr>
                <w:noProof/>
                <w:webHidden/>
              </w:rPr>
              <w:tab/>
            </w:r>
            <w:r>
              <w:rPr>
                <w:noProof/>
                <w:webHidden/>
              </w:rPr>
              <w:fldChar w:fldCharType="begin"/>
            </w:r>
            <w:r>
              <w:rPr>
                <w:noProof/>
                <w:webHidden/>
              </w:rPr>
              <w:instrText xml:space="preserve"> PAGEREF _Toc192766989 \h </w:instrText>
            </w:r>
            <w:r>
              <w:rPr>
                <w:noProof/>
                <w:webHidden/>
              </w:rPr>
            </w:r>
            <w:r>
              <w:rPr>
                <w:noProof/>
                <w:webHidden/>
              </w:rPr>
              <w:fldChar w:fldCharType="separate"/>
            </w:r>
            <w:r>
              <w:rPr>
                <w:noProof/>
                <w:webHidden/>
              </w:rPr>
              <w:t>60</w:t>
            </w:r>
            <w:r>
              <w:rPr>
                <w:noProof/>
                <w:webHidden/>
              </w:rPr>
              <w:fldChar w:fldCharType="end"/>
            </w:r>
          </w:hyperlink>
        </w:p>
        <w:p w14:paraId="1914B19D" w14:textId="57FBD80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0" w:history="1">
            <w:r w:rsidRPr="00425D25">
              <w:rPr>
                <w:rStyle w:val="Hyperlink"/>
              </w:rPr>
              <w:t>Table 56. 2024 Small Business Direct Install Channel Electric Energy Savings by Measure</w:t>
            </w:r>
            <w:r>
              <w:rPr>
                <w:noProof/>
                <w:webHidden/>
              </w:rPr>
              <w:tab/>
            </w:r>
            <w:r>
              <w:rPr>
                <w:noProof/>
                <w:webHidden/>
              </w:rPr>
              <w:fldChar w:fldCharType="begin"/>
            </w:r>
            <w:r>
              <w:rPr>
                <w:noProof/>
                <w:webHidden/>
              </w:rPr>
              <w:instrText xml:space="preserve"> PAGEREF _Toc192766990 \h </w:instrText>
            </w:r>
            <w:r>
              <w:rPr>
                <w:noProof/>
                <w:webHidden/>
              </w:rPr>
            </w:r>
            <w:r>
              <w:rPr>
                <w:noProof/>
                <w:webHidden/>
              </w:rPr>
              <w:fldChar w:fldCharType="separate"/>
            </w:r>
            <w:r>
              <w:rPr>
                <w:noProof/>
                <w:webHidden/>
              </w:rPr>
              <w:t>61</w:t>
            </w:r>
            <w:r>
              <w:rPr>
                <w:noProof/>
                <w:webHidden/>
              </w:rPr>
              <w:fldChar w:fldCharType="end"/>
            </w:r>
          </w:hyperlink>
        </w:p>
        <w:p w14:paraId="49EE815E" w14:textId="2BA8EE43"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1" w:history="1">
            <w:r w:rsidRPr="00425D25">
              <w:rPr>
                <w:rStyle w:val="Hyperlink"/>
              </w:rPr>
              <w:t>Table 57. 2024 Small Business Direct Install Channel Demand Energy Savings by Measure</w:t>
            </w:r>
            <w:r>
              <w:rPr>
                <w:noProof/>
                <w:webHidden/>
              </w:rPr>
              <w:tab/>
            </w:r>
            <w:r>
              <w:rPr>
                <w:noProof/>
                <w:webHidden/>
              </w:rPr>
              <w:fldChar w:fldCharType="begin"/>
            </w:r>
            <w:r>
              <w:rPr>
                <w:noProof/>
                <w:webHidden/>
              </w:rPr>
              <w:instrText xml:space="preserve"> PAGEREF _Toc192766991 \h </w:instrText>
            </w:r>
            <w:r>
              <w:rPr>
                <w:noProof/>
                <w:webHidden/>
              </w:rPr>
            </w:r>
            <w:r>
              <w:rPr>
                <w:noProof/>
                <w:webHidden/>
              </w:rPr>
              <w:fldChar w:fldCharType="separate"/>
            </w:r>
            <w:r>
              <w:rPr>
                <w:noProof/>
                <w:webHidden/>
              </w:rPr>
              <w:t>61</w:t>
            </w:r>
            <w:r>
              <w:rPr>
                <w:noProof/>
                <w:webHidden/>
              </w:rPr>
              <w:fldChar w:fldCharType="end"/>
            </w:r>
          </w:hyperlink>
        </w:p>
        <w:p w14:paraId="5DE5C8DD" w14:textId="5EF1F9B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2" w:history="1">
            <w:r w:rsidRPr="00425D25">
              <w:rPr>
                <w:rStyle w:val="Hyperlink"/>
              </w:rPr>
              <w:t>Table 58. 2024 Small Business Energy Performance Channel Participation Summary by Measure</w:t>
            </w:r>
            <w:r>
              <w:rPr>
                <w:noProof/>
                <w:webHidden/>
              </w:rPr>
              <w:tab/>
            </w:r>
            <w:r>
              <w:rPr>
                <w:noProof/>
                <w:webHidden/>
              </w:rPr>
              <w:fldChar w:fldCharType="begin"/>
            </w:r>
            <w:r>
              <w:rPr>
                <w:noProof/>
                <w:webHidden/>
              </w:rPr>
              <w:instrText xml:space="preserve"> PAGEREF _Toc192766992 \h </w:instrText>
            </w:r>
            <w:r>
              <w:rPr>
                <w:noProof/>
                <w:webHidden/>
              </w:rPr>
            </w:r>
            <w:r>
              <w:rPr>
                <w:noProof/>
                <w:webHidden/>
              </w:rPr>
              <w:fldChar w:fldCharType="separate"/>
            </w:r>
            <w:r>
              <w:rPr>
                <w:noProof/>
                <w:webHidden/>
              </w:rPr>
              <w:t>63</w:t>
            </w:r>
            <w:r>
              <w:rPr>
                <w:noProof/>
                <w:webHidden/>
              </w:rPr>
              <w:fldChar w:fldCharType="end"/>
            </w:r>
          </w:hyperlink>
        </w:p>
        <w:p w14:paraId="5357BEB2" w14:textId="1F45B0E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3" w:history="1">
            <w:r w:rsidRPr="00425D25">
              <w:rPr>
                <w:rStyle w:val="Hyperlink"/>
              </w:rPr>
              <w:t>Table 59. 2024 Small Business Energy Performance Channel Program Ally Participation Summary</w:t>
            </w:r>
            <w:r>
              <w:rPr>
                <w:noProof/>
                <w:webHidden/>
              </w:rPr>
              <w:tab/>
            </w:r>
            <w:r>
              <w:rPr>
                <w:noProof/>
                <w:webHidden/>
              </w:rPr>
              <w:fldChar w:fldCharType="begin"/>
            </w:r>
            <w:r>
              <w:rPr>
                <w:noProof/>
                <w:webHidden/>
              </w:rPr>
              <w:instrText xml:space="preserve"> PAGEREF _Toc192766993 \h </w:instrText>
            </w:r>
            <w:r>
              <w:rPr>
                <w:noProof/>
                <w:webHidden/>
              </w:rPr>
            </w:r>
            <w:r>
              <w:rPr>
                <w:noProof/>
                <w:webHidden/>
              </w:rPr>
              <w:fldChar w:fldCharType="separate"/>
            </w:r>
            <w:r>
              <w:rPr>
                <w:noProof/>
                <w:webHidden/>
              </w:rPr>
              <w:t>64</w:t>
            </w:r>
            <w:r>
              <w:rPr>
                <w:noProof/>
                <w:webHidden/>
              </w:rPr>
              <w:fldChar w:fldCharType="end"/>
            </w:r>
          </w:hyperlink>
        </w:p>
        <w:p w14:paraId="683B8888" w14:textId="13F5444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4" w:history="1">
            <w:r w:rsidRPr="00425D25">
              <w:rPr>
                <w:rStyle w:val="Hyperlink"/>
              </w:rPr>
              <w:t>Table 60. 2024 Small Business Energy Performance Channel Electric Energy Savings by Measure</w:t>
            </w:r>
            <w:r>
              <w:rPr>
                <w:noProof/>
                <w:webHidden/>
              </w:rPr>
              <w:tab/>
            </w:r>
            <w:r>
              <w:rPr>
                <w:noProof/>
                <w:webHidden/>
              </w:rPr>
              <w:fldChar w:fldCharType="begin"/>
            </w:r>
            <w:r>
              <w:rPr>
                <w:noProof/>
                <w:webHidden/>
              </w:rPr>
              <w:instrText xml:space="preserve"> PAGEREF _Toc192766994 \h </w:instrText>
            </w:r>
            <w:r>
              <w:rPr>
                <w:noProof/>
                <w:webHidden/>
              </w:rPr>
            </w:r>
            <w:r>
              <w:rPr>
                <w:noProof/>
                <w:webHidden/>
              </w:rPr>
              <w:fldChar w:fldCharType="separate"/>
            </w:r>
            <w:r>
              <w:rPr>
                <w:noProof/>
                <w:webHidden/>
              </w:rPr>
              <w:t>64</w:t>
            </w:r>
            <w:r>
              <w:rPr>
                <w:noProof/>
                <w:webHidden/>
              </w:rPr>
              <w:fldChar w:fldCharType="end"/>
            </w:r>
          </w:hyperlink>
        </w:p>
        <w:p w14:paraId="4EF1A964" w14:textId="17A8E1D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5" w:history="1">
            <w:r w:rsidRPr="00425D25">
              <w:rPr>
                <w:rStyle w:val="Hyperlink"/>
              </w:rPr>
              <w:t>Table 61. 2024 Small Business Energy Performance Channel Demand Energy Savings by Measure</w:t>
            </w:r>
            <w:r>
              <w:rPr>
                <w:noProof/>
                <w:webHidden/>
              </w:rPr>
              <w:tab/>
            </w:r>
            <w:r>
              <w:rPr>
                <w:noProof/>
                <w:webHidden/>
              </w:rPr>
              <w:fldChar w:fldCharType="begin"/>
            </w:r>
            <w:r>
              <w:rPr>
                <w:noProof/>
                <w:webHidden/>
              </w:rPr>
              <w:instrText xml:space="preserve"> PAGEREF _Toc192766995 \h </w:instrText>
            </w:r>
            <w:r>
              <w:rPr>
                <w:noProof/>
                <w:webHidden/>
              </w:rPr>
            </w:r>
            <w:r>
              <w:rPr>
                <w:noProof/>
                <w:webHidden/>
              </w:rPr>
              <w:fldChar w:fldCharType="separate"/>
            </w:r>
            <w:r>
              <w:rPr>
                <w:noProof/>
                <w:webHidden/>
              </w:rPr>
              <w:t>64</w:t>
            </w:r>
            <w:r>
              <w:rPr>
                <w:noProof/>
                <w:webHidden/>
              </w:rPr>
              <w:fldChar w:fldCharType="end"/>
            </w:r>
          </w:hyperlink>
        </w:p>
        <w:p w14:paraId="27FC2EF5" w14:textId="1058FB6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6" w:history="1">
            <w:r w:rsidRPr="00425D25">
              <w:rPr>
                <w:rStyle w:val="Hyperlink"/>
              </w:rPr>
              <w:t>Table 62. 2024 Small Business Energy Performance Channel Gas Savings by Measure</w:t>
            </w:r>
            <w:r>
              <w:rPr>
                <w:noProof/>
                <w:webHidden/>
              </w:rPr>
              <w:tab/>
            </w:r>
            <w:r>
              <w:rPr>
                <w:noProof/>
                <w:webHidden/>
              </w:rPr>
              <w:fldChar w:fldCharType="begin"/>
            </w:r>
            <w:r>
              <w:rPr>
                <w:noProof/>
                <w:webHidden/>
              </w:rPr>
              <w:instrText xml:space="preserve"> PAGEREF _Toc192766996 \h </w:instrText>
            </w:r>
            <w:r>
              <w:rPr>
                <w:noProof/>
                <w:webHidden/>
              </w:rPr>
            </w:r>
            <w:r>
              <w:rPr>
                <w:noProof/>
                <w:webHidden/>
              </w:rPr>
              <w:fldChar w:fldCharType="separate"/>
            </w:r>
            <w:r>
              <w:rPr>
                <w:noProof/>
                <w:webHidden/>
              </w:rPr>
              <w:t>65</w:t>
            </w:r>
            <w:r>
              <w:rPr>
                <w:noProof/>
                <w:webHidden/>
              </w:rPr>
              <w:fldChar w:fldCharType="end"/>
            </w:r>
          </w:hyperlink>
        </w:p>
        <w:p w14:paraId="10A22760" w14:textId="5F0D0B5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7" w:history="1">
            <w:r w:rsidRPr="00425D25">
              <w:rPr>
                <w:rStyle w:val="Hyperlink"/>
              </w:rPr>
              <w:t>Table 63. 2024 Small Business Initiative CPAS and WAML</w:t>
            </w:r>
            <w:r>
              <w:rPr>
                <w:noProof/>
                <w:webHidden/>
              </w:rPr>
              <w:tab/>
            </w:r>
            <w:r>
              <w:rPr>
                <w:noProof/>
                <w:webHidden/>
              </w:rPr>
              <w:fldChar w:fldCharType="begin"/>
            </w:r>
            <w:r>
              <w:rPr>
                <w:noProof/>
                <w:webHidden/>
              </w:rPr>
              <w:instrText xml:space="preserve"> PAGEREF _Toc192766997 \h </w:instrText>
            </w:r>
            <w:r>
              <w:rPr>
                <w:noProof/>
                <w:webHidden/>
              </w:rPr>
            </w:r>
            <w:r>
              <w:rPr>
                <w:noProof/>
                <w:webHidden/>
              </w:rPr>
              <w:fldChar w:fldCharType="separate"/>
            </w:r>
            <w:r>
              <w:rPr>
                <w:noProof/>
                <w:webHidden/>
              </w:rPr>
              <w:t>67</w:t>
            </w:r>
            <w:r>
              <w:rPr>
                <w:noProof/>
                <w:webHidden/>
              </w:rPr>
              <w:fldChar w:fldCharType="end"/>
            </w:r>
          </w:hyperlink>
        </w:p>
        <w:p w14:paraId="37CD5475" w14:textId="13B5B8D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8" w:history="1">
            <w:r w:rsidRPr="00425D25">
              <w:rPr>
                <w:rStyle w:val="Hyperlink"/>
              </w:rPr>
              <w:t>Table 64. 2024 Small Business Direct Install Channel CPAS and WAML</w:t>
            </w:r>
            <w:r>
              <w:rPr>
                <w:noProof/>
                <w:webHidden/>
              </w:rPr>
              <w:tab/>
            </w:r>
            <w:r>
              <w:rPr>
                <w:noProof/>
                <w:webHidden/>
              </w:rPr>
              <w:fldChar w:fldCharType="begin"/>
            </w:r>
            <w:r>
              <w:rPr>
                <w:noProof/>
                <w:webHidden/>
              </w:rPr>
              <w:instrText xml:space="preserve"> PAGEREF _Toc192766998 \h </w:instrText>
            </w:r>
            <w:r>
              <w:rPr>
                <w:noProof/>
                <w:webHidden/>
              </w:rPr>
            </w:r>
            <w:r>
              <w:rPr>
                <w:noProof/>
                <w:webHidden/>
              </w:rPr>
              <w:fldChar w:fldCharType="separate"/>
            </w:r>
            <w:r>
              <w:rPr>
                <w:noProof/>
                <w:webHidden/>
              </w:rPr>
              <w:t>67</w:t>
            </w:r>
            <w:r>
              <w:rPr>
                <w:noProof/>
                <w:webHidden/>
              </w:rPr>
              <w:fldChar w:fldCharType="end"/>
            </w:r>
          </w:hyperlink>
        </w:p>
        <w:p w14:paraId="5B2DEA63" w14:textId="074790A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6999" w:history="1">
            <w:r w:rsidRPr="00425D25">
              <w:rPr>
                <w:rStyle w:val="Hyperlink"/>
              </w:rPr>
              <w:t>Table 65. 2024 Small Business Energy Performance Channel CPAS and WAML</w:t>
            </w:r>
            <w:r>
              <w:rPr>
                <w:noProof/>
                <w:webHidden/>
              </w:rPr>
              <w:tab/>
            </w:r>
            <w:r>
              <w:rPr>
                <w:noProof/>
                <w:webHidden/>
              </w:rPr>
              <w:fldChar w:fldCharType="begin"/>
            </w:r>
            <w:r>
              <w:rPr>
                <w:noProof/>
                <w:webHidden/>
              </w:rPr>
              <w:instrText xml:space="preserve"> PAGEREF _Toc192766999 \h </w:instrText>
            </w:r>
            <w:r>
              <w:rPr>
                <w:noProof/>
                <w:webHidden/>
              </w:rPr>
            </w:r>
            <w:r>
              <w:rPr>
                <w:noProof/>
                <w:webHidden/>
              </w:rPr>
              <w:fldChar w:fldCharType="separate"/>
            </w:r>
            <w:r>
              <w:rPr>
                <w:noProof/>
                <w:webHidden/>
              </w:rPr>
              <w:t>68</w:t>
            </w:r>
            <w:r>
              <w:rPr>
                <w:noProof/>
                <w:webHidden/>
              </w:rPr>
              <w:fldChar w:fldCharType="end"/>
            </w:r>
          </w:hyperlink>
        </w:p>
        <w:p w14:paraId="0B85C8A9" w14:textId="189A985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0" w:history="1">
            <w:r w:rsidRPr="00425D25">
              <w:rPr>
                <w:rStyle w:val="Hyperlink"/>
              </w:rPr>
              <w:t>Table 66. 2024 Midstream Initiative Annual Savings</w:t>
            </w:r>
            <w:r>
              <w:rPr>
                <w:noProof/>
                <w:webHidden/>
              </w:rPr>
              <w:tab/>
            </w:r>
            <w:r>
              <w:rPr>
                <w:noProof/>
                <w:webHidden/>
              </w:rPr>
              <w:fldChar w:fldCharType="begin"/>
            </w:r>
            <w:r>
              <w:rPr>
                <w:noProof/>
                <w:webHidden/>
              </w:rPr>
              <w:instrText xml:space="preserve"> PAGEREF _Toc192767000 \h </w:instrText>
            </w:r>
            <w:r>
              <w:rPr>
                <w:noProof/>
                <w:webHidden/>
              </w:rPr>
            </w:r>
            <w:r>
              <w:rPr>
                <w:noProof/>
                <w:webHidden/>
              </w:rPr>
              <w:fldChar w:fldCharType="separate"/>
            </w:r>
            <w:r>
              <w:rPr>
                <w:noProof/>
                <w:webHidden/>
              </w:rPr>
              <w:t>70</w:t>
            </w:r>
            <w:r>
              <w:rPr>
                <w:noProof/>
                <w:webHidden/>
              </w:rPr>
              <w:fldChar w:fldCharType="end"/>
            </w:r>
          </w:hyperlink>
        </w:p>
        <w:p w14:paraId="266FB611" w14:textId="2C1A272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1" w:history="1">
            <w:r w:rsidRPr="00425D25">
              <w:rPr>
                <w:rStyle w:val="Hyperlink"/>
              </w:rPr>
              <w:t>Table 67. 2024 Midstream Lighting Channel Participation Summary by Measure</w:t>
            </w:r>
            <w:r>
              <w:rPr>
                <w:noProof/>
                <w:webHidden/>
              </w:rPr>
              <w:tab/>
            </w:r>
            <w:r>
              <w:rPr>
                <w:noProof/>
                <w:webHidden/>
              </w:rPr>
              <w:fldChar w:fldCharType="begin"/>
            </w:r>
            <w:r>
              <w:rPr>
                <w:noProof/>
                <w:webHidden/>
              </w:rPr>
              <w:instrText xml:space="preserve"> PAGEREF _Toc192767001 \h </w:instrText>
            </w:r>
            <w:r>
              <w:rPr>
                <w:noProof/>
                <w:webHidden/>
              </w:rPr>
            </w:r>
            <w:r>
              <w:rPr>
                <w:noProof/>
                <w:webHidden/>
              </w:rPr>
              <w:fldChar w:fldCharType="separate"/>
            </w:r>
            <w:r>
              <w:rPr>
                <w:noProof/>
                <w:webHidden/>
              </w:rPr>
              <w:t>71</w:t>
            </w:r>
            <w:r>
              <w:rPr>
                <w:noProof/>
                <w:webHidden/>
              </w:rPr>
              <w:fldChar w:fldCharType="end"/>
            </w:r>
          </w:hyperlink>
        </w:p>
        <w:p w14:paraId="26A86645" w14:textId="1DEF63B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2" w:history="1">
            <w:r w:rsidRPr="00425D25">
              <w:rPr>
                <w:rStyle w:val="Hyperlink"/>
              </w:rPr>
              <w:t>Table 68. 2024 Midstream Lighting Channel Participating Distributor Summary</w:t>
            </w:r>
            <w:r>
              <w:rPr>
                <w:noProof/>
                <w:webHidden/>
              </w:rPr>
              <w:tab/>
            </w:r>
            <w:r>
              <w:rPr>
                <w:noProof/>
                <w:webHidden/>
              </w:rPr>
              <w:fldChar w:fldCharType="begin"/>
            </w:r>
            <w:r>
              <w:rPr>
                <w:noProof/>
                <w:webHidden/>
              </w:rPr>
              <w:instrText xml:space="preserve"> PAGEREF _Toc192767002 \h </w:instrText>
            </w:r>
            <w:r>
              <w:rPr>
                <w:noProof/>
                <w:webHidden/>
              </w:rPr>
            </w:r>
            <w:r>
              <w:rPr>
                <w:noProof/>
                <w:webHidden/>
              </w:rPr>
              <w:fldChar w:fldCharType="separate"/>
            </w:r>
            <w:r>
              <w:rPr>
                <w:noProof/>
                <w:webHidden/>
              </w:rPr>
              <w:t>72</w:t>
            </w:r>
            <w:r>
              <w:rPr>
                <w:noProof/>
                <w:webHidden/>
              </w:rPr>
              <w:fldChar w:fldCharType="end"/>
            </w:r>
          </w:hyperlink>
        </w:p>
        <w:p w14:paraId="25683278" w14:textId="56155603"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3" w:history="1">
            <w:r w:rsidRPr="00425D25">
              <w:rPr>
                <w:rStyle w:val="Hyperlink"/>
              </w:rPr>
              <w:t>Table 69. 2024 Midstream Lighting Channel Electric Energy Savings by Measure</w:t>
            </w:r>
            <w:r>
              <w:rPr>
                <w:noProof/>
                <w:webHidden/>
              </w:rPr>
              <w:tab/>
            </w:r>
            <w:r>
              <w:rPr>
                <w:noProof/>
                <w:webHidden/>
              </w:rPr>
              <w:fldChar w:fldCharType="begin"/>
            </w:r>
            <w:r>
              <w:rPr>
                <w:noProof/>
                <w:webHidden/>
              </w:rPr>
              <w:instrText xml:space="preserve"> PAGEREF _Toc192767003 \h </w:instrText>
            </w:r>
            <w:r>
              <w:rPr>
                <w:noProof/>
                <w:webHidden/>
              </w:rPr>
            </w:r>
            <w:r>
              <w:rPr>
                <w:noProof/>
                <w:webHidden/>
              </w:rPr>
              <w:fldChar w:fldCharType="separate"/>
            </w:r>
            <w:r>
              <w:rPr>
                <w:noProof/>
                <w:webHidden/>
              </w:rPr>
              <w:t>73</w:t>
            </w:r>
            <w:r>
              <w:rPr>
                <w:noProof/>
                <w:webHidden/>
              </w:rPr>
              <w:fldChar w:fldCharType="end"/>
            </w:r>
          </w:hyperlink>
        </w:p>
        <w:p w14:paraId="2964F16C" w14:textId="1FFB339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4" w:history="1">
            <w:r w:rsidRPr="00425D25">
              <w:rPr>
                <w:rStyle w:val="Hyperlink"/>
              </w:rPr>
              <w:t>Table 70. 2024 Midstream Lighting Channel Electric Demand Savings by Measure</w:t>
            </w:r>
            <w:r>
              <w:rPr>
                <w:noProof/>
                <w:webHidden/>
              </w:rPr>
              <w:tab/>
            </w:r>
            <w:r>
              <w:rPr>
                <w:noProof/>
                <w:webHidden/>
              </w:rPr>
              <w:fldChar w:fldCharType="begin"/>
            </w:r>
            <w:r>
              <w:rPr>
                <w:noProof/>
                <w:webHidden/>
              </w:rPr>
              <w:instrText xml:space="preserve"> PAGEREF _Toc192767004 \h </w:instrText>
            </w:r>
            <w:r>
              <w:rPr>
                <w:noProof/>
                <w:webHidden/>
              </w:rPr>
            </w:r>
            <w:r>
              <w:rPr>
                <w:noProof/>
                <w:webHidden/>
              </w:rPr>
              <w:fldChar w:fldCharType="separate"/>
            </w:r>
            <w:r>
              <w:rPr>
                <w:noProof/>
                <w:webHidden/>
              </w:rPr>
              <w:t>73</w:t>
            </w:r>
            <w:r>
              <w:rPr>
                <w:noProof/>
                <w:webHidden/>
              </w:rPr>
              <w:fldChar w:fldCharType="end"/>
            </w:r>
          </w:hyperlink>
        </w:p>
        <w:p w14:paraId="208E8F2F" w14:textId="685CD1F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5" w:history="1">
            <w:r w:rsidRPr="00425D25">
              <w:rPr>
                <w:rStyle w:val="Hyperlink"/>
              </w:rPr>
              <w:t>Table 71. 2024 Midstream HVAC Channel Participation Summary by Measure</w:t>
            </w:r>
            <w:r>
              <w:rPr>
                <w:noProof/>
                <w:webHidden/>
              </w:rPr>
              <w:tab/>
            </w:r>
            <w:r>
              <w:rPr>
                <w:noProof/>
                <w:webHidden/>
              </w:rPr>
              <w:fldChar w:fldCharType="begin"/>
            </w:r>
            <w:r>
              <w:rPr>
                <w:noProof/>
                <w:webHidden/>
              </w:rPr>
              <w:instrText xml:space="preserve"> PAGEREF _Toc192767005 \h </w:instrText>
            </w:r>
            <w:r>
              <w:rPr>
                <w:noProof/>
                <w:webHidden/>
              </w:rPr>
            </w:r>
            <w:r>
              <w:rPr>
                <w:noProof/>
                <w:webHidden/>
              </w:rPr>
              <w:fldChar w:fldCharType="separate"/>
            </w:r>
            <w:r>
              <w:rPr>
                <w:noProof/>
                <w:webHidden/>
              </w:rPr>
              <w:t>76</w:t>
            </w:r>
            <w:r>
              <w:rPr>
                <w:noProof/>
                <w:webHidden/>
              </w:rPr>
              <w:fldChar w:fldCharType="end"/>
            </w:r>
          </w:hyperlink>
        </w:p>
        <w:p w14:paraId="1817B47A" w14:textId="1DB57A3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6" w:history="1">
            <w:r w:rsidRPr="00425D25">
              <w:rPr>
                <w:rStyle w:val="Hyperlink"/>
                <w:bCs/>
              </w:rPr>
              <w:t>Table 72. 2024 Midstream HVAC Channel Participating Distributor Summary</w:t>
            </w:r>
            <w:r>
              <w:rPr>
                <w:noProof/>
                <w:webHidden/>
              </w:rPr>
              <w:tab/>
            </w:r>
            <w:r>
              <w:rPr>
                <w:noProof/>
                <w:webHidden/>
              </w:rPr>
              <w:fldChar w:fldCharType="begin"/>
            </w:r>
            <w:r>
              <w:rPr>
                <w:noProof/>
                <w:webHidden/>
              </w:rPr>
              <w:instrText xml:space="preserve"> PAGEREF _Toc192767006 \h </w:instrText>
            </w:r>
            <w:r>
              <w:rPr>
                <w:noProof/>
                <w:webHidden/>
              </w:rPr>
            </w:r>
            <w:r>
              <w:rPr>
                <w:noProof/>
                <w:webHidden/>
              </w:rPr>
              <w:fldChar w:fldCharType="separate"/>
            </w:r>
            <w:r>
              <w:rPr>
                <w:noProof/>
                <w:webHidden/>
              </w:rPr>
              <w:t>76</w:t>
            </w:r>
            <w:r>
              <w:rPr>
                <w:noProof/>
                <w:webHidden/>
              </w:rPr>
              <w:fldChar w:fldCharType="end"/>
            </w:r>
          </w:hyperlink>
        </w:p>
        <w:p w14:paraId="60735AD9" w14:textId="531D98D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7" w:history="1">
            <w:r w:rsidRPr="00425D25">
              <w:rPr>
                <w:rStyle w:val="Hyperlink"/>
              </w:rPr>
              <w:t>Table 73. 2024 Midstream HVAC Channel Electric Energy Savings by Measure</w:t>
            </w:r>
            <w:r>
              <w:rPr>
                <w:noProof/>
                <w:webHidden/>
              </w:rPr>
              <w:tab/>
            </w:r>
            <w:r>
              <w:rPr>
                <w:noProof/>
                <w:webHidden/>
              </w:rPr>
              <w:fldChar w:fldCharType="begin"/>
            </w:r>
            <w:r>
              <w:rPr>
                <w:noProof/>
                <w:webHidden/>
              </w:rPr>
              <w:instrText xml:space="preserve"> PAGEREF _Toc192767007 \h </w:instrText>
            </w:r>
            <w:r>
              <w:rPr>
                <w:noProof/>
                <w:webHidden/>
              </w:rPr>
            </w:r>
            <w:r>
              <w:rPr>
                <w:noProof/>
                <w:webHidden/>
              </w:rPr>
              <w:fldChar w:fldCharType="separate"/>
            </w:r>
            <w:r>
              <w:rPr>
                <w:noProof/>
                <w:webHidden/>
              </w:rPr>
              <w:t>77</w:t>
            </w:r>
            <w:r>
              <w:rPr>
                <w:noProof/>
                <w:webHidden/>
              </w:rPr>
              <w:fldChar w:fldCharType="end"/>
            </w:r>
          </w:hyperlink>
        </w:p>
        <w:p w14:paraId="44712F51" w14:textId="7571D113"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8" w:history="1">
            <w:r w:rsidRPr="00425D25">
              <w:rPr>
                <w:rStyle w:val="Hyperlink"/>
              </w:rPr>
              <w:t>Table 74. 2024 Midstream HVAC Channel Electric Demand Savings by Measure</w:t>
            </w:r>
            <w:r>
              <w:rPr>
                <w:noProof/>
                <w:webHidden/>
              </w:rPr>
              <w:tab/>
            </w:r>
            <w:r>
              <w:rPr>
                <w:noProof/>
                <w:webHidden/>
              </w:rPr>
              <w:fldChar w:fldCharType="begin"/>
            </w:r>
            <w:r>
              <w:rPr>
                <w:noProof/>
                <w:webHidden/>
              </w:rPr>
              <w:instrText xml:space="preserve"> PAGEREF _Toc192767008 \h </w:instrText>
            </w:r>
            <w:r>
              <w:rPr>
                <w:noProof/>
                <w:webHidden/>
              </w:rPr>
            </w:r>
            <w:r>
              <w:rPr>
                <w:noProof/>
                <w:webHidden/>
              </w:rPr>
              <w:fldChar w:fldCharType="separate"/>
            </w:r>
            <w:r>
              <w:rPr>
                <w:noProof/>
                <w:webHidden/>
              </w:rPr>
              <w:t>77</w:t>
            </w:r>
            <w:r>
              <w:rPr>
                <w:noProof/>
                <w:webHidden/>
              </w:rPr>
              <w:fldChar w:fldCharType="end"/>
            </w:r>
          </w:hyperlink>
        </w:p>
        <w:p w14:paraId="45311343" w14:textId="742991A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09" w:history="1">
            <w:r w:rsidRPr="00425D25">
              <w:rPr>
                <w:rStyle w:val="Hyperlink"/>
              </w:rPr>
              <w:t>Table 75. 2024 Midstream HVAC Channel Gas Savings by Measure</w:t>
            </w:r>
            <w:r>
              <w:rPr>
                <w:noProof/>
                <w:webHidden/>
              </w:rPr>
              <w:tab/>
            </w:r>
            <w:r>
              <w:rPr>
                <w:noProof/>
                <w:webHidden/>
              </w:rPr>
              <w:fldChar w:fldCharType="begin"/>
            </w:r>
            <w:r>
              <w:rPr>
                <w:noProof/>
                <w:webHidden/>
              </w:rPr>
              <w:instrText xml:space="preserve"> PAGEREF _Toc192767009 \h </w:instrText>
            </w:r>
            <w:r>
              <w:rPr>
                <w:noProof/>
                <w:webHidden/>
              </w:rPr>
            </w:r>
            <w:r>
              <w:rPr>
                <w:noProof/>
                <w:webHidden/>
              </w:rPr>
              <w:fldChar w:fldCharType="separate"/>
            </w:r>
            <w:r>
              <w:rPr>
                <w:noProof/>
                <w:webHidden/>
              </w:rPr>
              <w:t>78</w:t>
            </w:r>
            <w:r>
              <w:rPr>
                <w:noProof/>
                <w:webHidden/>
              </w:rPr>
              <w:fldChar w:fldCharType="end"/>
            </w:r>
          </w:hyperlink>
        </w:p>
        <w:p w14:paraId="06BCCD35" w14:textId="711BED6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0" w:history="1">
            <w:r w:rsidRPr="00425D25">
              <w:rPr>
                <w:rStyle w:val="Hyperlink"/>
              </w:rPr>
              <w:t>Table 76. 2024 Midstream Food Service Channel Participation Summary by Measure</w:t>
            </w:r>
            <w:r>
              <w:rPr>
                <w:noProof/>
                <w:webHidden/>
              </w:rPr>
              <w:tab/>
            </w:r>
            <w:r>
              <w:rPr>
                <w:noProof/>
                <w:webHidden/>
              </w:rPr>
              <w:fldChar w:fldCharType="begin"/>
            </w:r>
            <w:r>
              <w:rPr>
                <w:noProof/>
                <w:webHidden/>
              </w:rPr>
              <w:instrText xml:space="preserve"> PAGEREF _Toc192767010 \h </w:instrText>
            </w:r>
            <w:r>
              <w:rPr>
                <w:noProof/>
                <w:webHidden/>
              </w:rPr>
            </w:r>
            <w:r>
              <w:rPr>
                <w:noProof/>
                <w:webHidden/>
              </w:rPr>
              <w:fldChar w:fldCharType="separate"/>
            </w:r>
            <w:r>
              <w:rPr>
                <w:noProof/>
                <w:webHidden/>
              </w:rPr>
              <w:t>80</w:t>
            </w:r>
            <w:r>
              <w:rPr>
                <w:noProof/>
                <w:webHidden/>
              </w:rPr>
              <w:fldChar w:fldCharType="end"/>
            </w:r>
          </w:hyperlink>
        </w:p>
        <w:p w14:paraId="141911E5" w14:textId="055D898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1" w:history="1">
            <w:r w:rsidRPr="00425D25">
              <w:rPr>
                <w:rStyle w:val="Hyperlink"/>
              </w:rPr>
              <w:t>Table 77. 2024 Midstream Food Service Channel Electric Energy Savings by Measure</w:t>
            </w:r>
            <w:r>
              <w:rPr>
                <w:noProof/>
                <w:webHidden/>
              </w:rPr>
              <w:tab/>
            </w:r>
            <w:r>
              <w:rPr>
                <w:noProof/>
                <w:webHidden/>
              </w:rPr>
              <w:fldChar w:fldCharType="begin"/>
            </w:r>
            <w:r>
              <w:rPr>
                <w:noProof/>
                <w:webHidden/>
              </w:rPr>
              <w:instrText xml:space="preserve"> PAGEREF _Toc192767011 \h </w:instrText>
            </w:r>
            <w:r>
              <w:rPr>
                <w:noProof/>
                <w:webHidden/>
              </w:rPr>
            </w:r>
            <w:r>
              <w:rPr>
                <w:noProof/>
                <w:webHidden/>
              </w:rPr>
              <w:fldChar w:fldCharType="separate"/>
            </w:r>
            <w:r>
              <w:rPr>
                <w:noProof/>
                <w:webHidden/>
              </w:rPr>
              <w:t>81</w:t>
            </w:r>
            <w:r>
              <w:rPr>
                <w:noProof/>
                <w:webHidden/>
              </w:rPr>
              <w:fldChar w:fldCharType="end"/>
            </w:r>
          </w:hyperlink>
        </w:p>
        <w:p w14:paraId="20D0350B" w14:textId="5D9C14F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2" w:history="1">
            <w:r w:rsidRPr="00425D25">
              <w:rPr>
                <w:rStyle w:val="Hyperlink"/>
              </w:rPr>
              <w:t>Table 78. 2024 Midstream Food Service Channel Electric Demand Savings by Measure</w:t>
            </w:r>
            <w:r>
              <w:rPr>
                <w:noProof/>
                <w:webHidden/>
              </w:rPr>
              <w:tab/>
            </w:r>
            <w:r>
              <w:rPr>
                <w:noProof/>
                <w:webHidden/>
              </w:rPr>
              <w:fldChar w:fldCharType="begin"/>
            </w:r>
            <w:r>
              <w:rPr>
                <w:noProof/>
                <w:webHidden/>
              </w:rPr>
              <w:instrText xml:space="preserve"> PAGEREF _Toc192767012 \h </w:instrText>
            </w:r>
            <w:r>
              <w:rPr>
                <w:noProof/>
                <w:webHidden/>
              </w:rPr>
            </w:r>
            <w:r>
              <w:rPr>
                <w:noProof/>
                <w:webHidden/>
              </w:rPr>
              <w:fldChar w:fldCharType="separate"/>
            </w:r>
            <w:r>
              <w:rPr>
                <w:noProof/>
                <w:webHidden/>
              </w:rPr>
              <w:t>82</w:t>
            </w:r>
            <w:r>
              <w:rPr>
                <w:noProof/>
                <w:webHidden/>
              </w:rPr>
              <w:fldChar w:fldCharType="end"/>
            </w:r>
          </w:hyperlink>
        </w:p>
        <w:p w14:paraId="6E8F98F9" w14:textId="1157776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3" w:history="1">
            <w:r w:rsidRPr="00425D25">
              <w:rPr>
                <w:rStyle w:val="Hyperlink"/>
              </w:rPr>
              <w:t>Table 79. 2024 Midstream Food Service Channel Gas Savings by Measure</w:t>
            </w:r>
            <w:r>
              <w:rPr>
                <w:noProof/>
                <w:webHidden/>
              </w:rPr>
              <w:tab/>
            </w:r>
            <w:r>
              <w:rPr>
                <w:noProof/>
                <w:webHidden/>
              </w:rPr>
              <w:fldChar w:fldCharType="begin"/>
            </w:r>
            <w:r>
              <w:rPr>
                <w:noProof/>
                <w:webHidden/>
              </w:rPr>
              <w:instrText xml:space="preserve"> PAGEREF _Toc192767013 \h </w:instrText>
            </w:r>
            <w:r>
              <w:rPr>
                <w:noProof/>
                <w:webHidden/>
              </w:rPr>
            </w:r>
            <w:r>
              <w:rPr>
                <w:noProof/>
                <w:webHidden/>
              </w:rPr>
              <w:fldChar w:fldCharType="separate"/>
            </w:r>
            <w:r>
              <w:rPr>
                <w:noProof/>
                <w:webHidden/>
              </w:rPr>
              <w:t>82</w:t>
            </w:r>
            <w:r>
              <w:rPr>
                <w:noProof/>
                <w:webHidden/>
              </w:rPr>
              <w:fldChar w:fldCharType="end"/>
            </w:r>
          </w:hyperlink>
        </w:p>
        <w:p w14:paraId="15EC6838" w14:textId="0D13523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4" w:history="1">
            <w:r w:rsidRPr="00425D25">
              <w:rPr>
                <w:rStyle w:val="Hyperlink"/>
              </w:rPr>
              <w:t>Table 80. 2024 Midstream Initiative CPAS and WAML</w:t>
            </w:r>
            <w:r>
              <w:rPr>
                <w:noProof/>
                <w:webHidden/>
              </w:rPr>
              <w:tab/>
            </w:r>
            <w:r>
              <w:rPr>
                <w:noProof/>
                <w:webHidden/>
              </w:rPr>
              <w:fldChar w:fldCharType="begin"/>
            </w:r>
            <w:r>
              <w:rPr>
                <w:noProof/>
                <w:webHidden/>
              </w:rPr>
              <w:instrText xml:space="preserve"> PAGEREF _Toc192767014 \h </w:instrText>
            </w:r>
            <w:r>
              <w:rPr>
                <w:noProof/>
                <w:webHidden/>
              </w:rPr>
            </w:r>
            <w:r>
              <w:rPr>
                <w:noProof/>
                <w:webHidden/>
              </w:rPr>
              <w:fldChar w:fldCharType="separate"/>
            </w:r>
            <w:r>
              <w:rPr>
                <w:noProof/>
                <w:webHidden/>
              </w:rPr>
              <w:t>86</w:t>
            </w:r>
            <w:r>
              <w:rPr>
                <w:noProof/>
                <w:webHidden/>
              </w:rPr>
              <w:fldChar w:fldCharType="end"/>
            </w:r>
          </w:hyperlink>
        </w:p>
        <w:p w14:paraId="2966E537" w14:textId="00B9617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5" w:history="1">
            <w:r w:rsidRPr="00425D25">
              <w:rPr>
                <w:rStyle w:val="Hyperlink"/>
              </w:rPr>
              <w:t>Table 81. 2024 Midstream Lighting Channel CPAS and WAML</w:t>
            </w:r>
            <w:r>
              <w:rPr>
                <w:noProof/>
                <w:webHidden/>
              </w:rPr>
              <w:tab/>
            </w:r>
            <w:r>
              <w:rPr>
                <w:noProof/>
                <w:webHidden/>
              </w:rPr>
              <w:fldChar w:fldCharType="begin"/>
            </w:r>
            <w:r>
              <w:rPr>
                <w:noProof/>
                <w:webHidden/>
              </w:rPr>
              <w:instrText xml:space="preserve"> PAGEREF _Toc192767015 \h </w:instrText>
            </w:r>
            <w:r>
              <w:rPr>
                <w:noProof/>
                <w:webHidden/>
              </w:rPr>
            </w:r>
            <w:r>
              <w:rPr>
                <w:noProof/>
                <w:webHidden/>
              </w:rPr>
              <w:fldChar w:fldCharType="separate"/>
            </w:r>
            <w:r>
              <w:rPr>
                <w:noProof/>
                <w:webHidden/>
              </w:rPr>
              <w:t>86</w:t>
            </w:r>
            <w:r>
              <w:rPr>
                <w:noProof/>
                <w:webHidden/>
              </w:rPr>
              <w:fldChar w:fldCharType="end"/>
            </w:r>
          </w:hyperlink>
        </w:p>
        <w:p w14:paraId="6B7443A6" w14:textId="22EA475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6" w:history="1">
            <w:r w:rsidRPr="00425D25">
              <w:rPr>
                <w:rStyle w:val="Hyperlink"/>
              </w:rPr>
              <w:t>Table 82. 2024 Midstream HVAC Channel CPAS and WAML</w:t>
            </w:r>
            <w:r>
              <w:rPr>
                <w:noProof/>
                <w:webHidden/>
              </w:rPr>
              <w:tab/>
            </w:r>
            <w:r>
              <w:rPr>
                <w:noProof/>
                <w:webHidden/>
              </w:rPr>
              <w:fldChar w:fldCharType="begin"/>
            </w:r>
            <w:r>
              <w:rPr>
                <w:noProof/>
                <w:webHidden/>
              </w:rPr>
              <w:instrText xml:space="preserve"> PAGEREF _Toc192767016 \h </w:instrText>
            </w:r>
            <w:r>
              <w:rPr>
                <w:noProof/>
                <w:webHidden/>
              </w:rPr>
            </w:r>
            <w:r>
              <w:rPr>
                <w:noProof/>
                <w:webHidden/>
              </w:rPr>
              <w:fldChar w:fldCharType="separate"/>
            </w:r>
            <w:r>
              <w:rPr>
                <w:noProof/>
                <w:webHidden/>
              </w:rPr>
              <w:t>87</w:t>
            </w:r>
            <w:r>
              <w:rPr>
                <w:noProof/>
                <w:webHidden/>
              </w:rPr>
              <w:fldChar w:fldCharType="end"/>
            </w:r>
          </w:hyperlink>
        </w:p>
        <w:p w14:paraId="66541AE2" w14:textId="62765514"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7" w:history="1">
            <w:r w:rsidRPr="00425D25">
              <w:rPr>
                <w:rStyle w:val="Hyperlink"/>
              </w:rPr>
              <w:t>Table 83. 2024 Midstream Food Service Channel CPAS and WAML</w:t>
            </w:r>
            <w:r>
              <w:rPr>
                <w:noProof/>
                <w:webHidden/>
              </w:rPr>
              <w:tab/>
            </w:r>
            <w:r>
              <w:rPr>
                <w:noProof/>
                <w:webHidden/>
              </w:rPr>
              <w:fldChar w:fldCharType="begin"/>
            </w:r>
            <w:r>
              <w:rPr>
                <w:noProof/>
                <w:webHidden/>
              </w:rPr>
              <w:instrText xml:space="preserve"> PAGEREF _Toc192767017 \h </w:instrText>
            </w:r>
            <w:r>
              <w:rPr>
                <w:noProof/>
                <w:webHidden/>
              </w:rPr>
            </w:r>
            <w:r>
              <w:rPr>
                <w:noProof/>
                <w:webHidden/>
              </w:rPr>
              <w:fldChar w:fldCharType="separate"/>
            </w:r>
            <w:r>
              <w:rPr>
                <w:noProof/>
                <w:webHidden/>
              </w:rPr>
              <w:t>87</w:t>
            </w:r>
            <w:r>
              <w:rPr>
                <w:noProof/>
                <w:webHidden/>
              </w:rPr>
              <w:fldChar w:fldCharType="end"/>
            </w:r>
          </w:hyperlink>
        </w:p>
        <w:p w14:paraId="43983960" w14:textId="46192EE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8" w:history="1">
            <w:r w:rsidRPr="00425D25">
              <w:rPr>
                <w:rStyle w:val="Hyperlink"/>
              </w:rPr>
              <w:t>Table 84. Standard Initiative Evaluated Measures</w:t>
            </w:r>
            <w:r>
              <w:rPr>
                <w:noProof/>
                <w:webHidden/>
              </w:rPr>
              <w:tab/>
            </w:r>
            <w:r>
              <w:rPr>
                <w:noProof/>
                <w:webHidden/>
              </w:rPr>
              <w:fldChar w:fldCharType="begin"/>
            </w:r>
            <w:r>
              <w:rPr>
                <w:noProof/>
                <w:webHidden/>
              </w:rPr>
              <w:instrText xml:space="preserve"> PAGEREF _Toc192767018 \h </w:instrText>
            </w:r>
            <w:r>
              <w:rPr>
                <w:noProof/>
                <w:webHidden/>
              </w:rPr>
            </w:r>
            <w:r>
              <w:rPr>
                <w:noProof/>
                <w:webHidden/>
              </w:rPr>
              <w:fldChar w:fldCharType="separate"/>
            </w:r>
            <w:r>
              <w:rPr>
                <w:noProof/>
                <w:webHidden/>
              </w:rPr>
              <w:t>90</w:t>
            </w:r>
            <w:r>
              <w:rPr>
                <w:noProof/>
                <w:webHidden/>
              </w:rPr>
              <w:fldChar w:fldCharType="end"/>
            </w:r>
          </w:hyperlink>
        </w:p>
        <w:p w14:paraId="41DDF995" w14:textId="078149E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19" w:history="1">
            <w:r w:rsidRPr="00425D25">
              <w:rPr>
                <w:rStyle w:val="Hyperlink"/>
              </w:rPr>
              <w:t>Table 85. Deemed Inputs for VFD Calculations</w:t>
            </w:r>
            <w:r>
              <w:rPr>
                <w:noProof/>
                <w:webHidden/>
              </w:rPr>
              <w:tab/>
            </w:r>
            <w:r>
              <w:rPr>
                <w:noProof/>
                <w:webHidden/>
              </w:rPr>
              <w:fldChar w:fldCharType="begin"/>
            </w:r>
            <w:r>
              <w:rPr>
                <w:noProof/>
                <w:webHidden/>
              </w:rPr>
              <w:instrText xml:space="preserve"> PAGEREF _Toc192767019 \h </w:instrText>
            </w:r>
            <w:r>
              <w:rPr>
                <w:noProof/>
                <w:webHidden/>
              </w:rPr>
            </w:r>
            <w:r>
              <w:rPr>
                <w:noProof/>
                <w:webHidden/>
              </w:rPr>
              <w:fldChar w:fldCharType="separate"/>
            </w:r>
            <w:r>
              <w:rPr>
                <w:noProof/>
                <w:webHidden/>
              </w:rPr>
              <w:t>92</w:t>
            </w:r>
            <w:r>
              <w:rPr>
                <w:noProof/>
                <w:webHidden/>
              </w:rPr>
              <w:fldChar w:fldCharType="end"/>
            </w:r>
          </w:hyperlink>
        </w:p>
        <w:p w14:paraId="7BBC9D92" w14:textId="3697820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0" w:history="1">
            <w:r w:rsidRPr="00425D25">
              <w:rPr>
                <w:rStyle w:val="Hyperlink"/>
              </w:rPr>
              <w:t>Table 86. 2024 SAG-Approved Standard Initiative NTGRs</w:t>
            </w:r>
            <w:r>
              <w:rPr>
                <w:noProof/>
                <w:webHidden/>
              </w:rPr>
              <w:tab/>
            </w:r>
            <w:r>
              <w:rPr>
                <w:noProof/>
                <w:webHidden/>
              </w:rPr>
              <w:fldChar w:fldCharType="begin"/>
            </w:r>
            <w:r>
              <w:rPr>
                <w:noProof/>
                <w:webHidden/>
              </w:rPr>
              <w:instrText xml:space="preserve"> PAGEREF _Toc192767020 \h </w:instrText>
            </w:r>
            <w:r>
              <w:rPr>
                <w:noProof/>
                <w:webHidden/>
              </w:rPr>
            </w:r>
            <w:r>
              <w:rPr>
                <w:noProof/>
                <w:webHidden/>
              </w:rPr>
              <w:fldChar w:fldCharType="separate"/>
            </w:r>
            <w:r>
              <w:rPr>
                <w:noProof/>
                <w:webHidden/>
              </w:rPr>
              <w:t>92</w:t>
            </w:r>
            <w:r>
              <w:rPr>
                <w:noProof/>
                <w:webHidden/>
              </w:rPr>
              <w:fldChar w:fldCharType="end"/>
            </w:r>
          </w:hyperlink>
        </w:p>
        <w:p w14:paraId="0DF5DF15" w14:textId="424D31E3"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1" w:history="1">
            <w:r w:rsidRPr="00425D25">
              <w:rPr>
                <w:rStyle w:val="Hyperlink"/>
              </w:rPr>
              <w:t>Table 87. Custom Incentives Channel Sampling Approach for Projects with Electric Savings</w:t>
            </w:r>
            <w:r>
              <w:rPr>
                <w:noProof/>
                <w:webHidden/>
              </w:rPr>
              <w:tab/>
            </w:r>
            <w:r>
              <w:rPr>
                <w:noProof/>
                <w:webHidden/>
              </w:rPr>
              <w:fldChar w:fldCharType="begin"/>
            </w:r>
            <w:r>
              <w:rPr>
                <w:noProof/>
                <w:webHidden/>
              </w:rPr>
              <w:instrText xml:space="preserve"> PAGEREF _Toc192767021 \h </w:instrText>
            </w:r>
            <w:r>
              <w:rPr>
                <w:noProof/>
                <w:webHidden/>
              </w:rPr>
            </w:r>
            <w:r>
              <w:rPr>
                <w:noProof/>
                <w:webHidden/>
              </w:rPr>
              <w:fldChar w:fldCharType="separate"/>
            </w:r>
            <w:r>
              <w:rPr>
                <w:noProof/>
                <w:webHidden/>
              </w:rPr>
              <w:t>94</w:t>
            </w:r>
            <w:r>
              <w:rPr>
                <w:noProof/>
                <w:webHidden/>
              </w:rPr>
              <w:fldChar w:fldCharType="end"/>
            </w:r>
          </w:hyperlink>
        </w:p>
        <w:p w14:paraId="2C7BD19E" w14:textId="229183A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2" w:history="1">
            <w:r w:rsidRPr="00425D25">
              <w:rPr>
                <w:rStyle w:val="Hyperlink"/>
              </w:rPr>
              <w:t>Table 88. Custom Incentives Channel Sampling Approach for Projects with Gas Savings</w:t>
            </w:r>
            <w:r>
              <w:rPr>
                <w:noProof/>
                <w:webHidden/>
              </w:rPr>
              <w:tab/>
            </w:r>
            <w:r>
              <w:rPr>
                <w:noProof/>
                <w:webHidden/>
              </w:rPr>
              <w:fldChar w:fldCharType="begin"/>
            </w:r>
            <w:r>
              <w:rPr>
                <w:noProof/>
                <w:webHidden/>
              </w:rPr>
              <w:instrText xml:space="preserve"> PAGEREF _Toc192767022 \h </w:instrText>
            </w:r>
            <w:r>
              <w:rPr>
                <w:noProof/>
                <w:webHidden/>
              </w:rPr>
            </w:r>
            <w:r>
              <w:rPr>
                <w:noProof/>
                <w:webHidden/>
              </w:rPr>
              <w:fldChar w:fldCharType="separate"/>
            </w:r>
            <w:r>
              <w:rPr>
                <w:noProof/>
                <w:webHidden/>
              </w:rPr>
              <w:t>94</w:t>
            </w:r>
            <w:r>
              <w:rPr>
                <w:noProof/>
                <w:webHidden/>
              </w:rPr>
              <w:fldChar w:fldCharType="end"/>
            </w:r>
          </w:hyperlink>
        </w:p>
        <w:p w14:paraId="25255B97" w14:textId="4980F9B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3" w:history="1">
            <w:r w:rsidRPr="00425D25">
              <w:rPr>
                <w:rStyle w:val="Hyperlink"/>
              </w:rPr>
              <w:t>Table 89. Custom Incentives Channel Sampling Approach for Fuel-Switching Projects</w:t>
            </w:r>
            <w:r>
              <w:rPr>
                <w:noProof/>
                <w:webHidden/>
              </w:rPr>
              <w:tab/>
            </w:r>
            <w:r>
              <w:rPr>
                <w:noProof/>
                <w:webHidden/>
              </w:rPr>
              <w:fldChar w:fldCharType="begin"/>
            </w:r>
            <w:r>
              <w:rPr>
                <w:noProof/>
                <w:webHidden/>
              </w:rPr>
              <w:instrText xml:space="preserve"> PAGEREF _Toc192767023 \h </w:instrText>
            </w:r>
            <w:r>
              <w:rPr>
                <w:noProof/>
                <w:webHidden/>
              </w:rPr>
            </w:r>
            <w:r>
              <w:rPr>
                <w:noProof/>
                <w:webHidden/>
              </w:rPr>
              <w:fldChar w:fldCharType="separate"/>
            </w:r>
            <w:r>
              <w:rPr>
                <w:noProof/>
                <w:webHidden/>
              </w:rPr>
              <w:t>94</w:t>
            </w:r>
            <w:r>
              <w:rPr>
                <w:noProof/>
                <w:webHidden/>
              </w:rPr>
              <w:fldChar w:fldCharType="end"/>
            </w:r>
          </w:hyperlink>
        </w:p>
        <w:p w14:paraId="25376462" w14:textId="7FE6238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4" w:history="1">
            <w:r w:rsidRPr="00425D25">
              <w:rPr>
                <w:rStyle w:val="Hyperlink"/>
              </w:rPr>
              <w:t>Table 90. Custom Incentives Channel Measure Life Adjustments Due to Evaluation</w:t>
            </w:r>
            <w:r>
              <w:rPr>
                <w:noProof/>
                <w:webHidden/>
              </w:rPr>
              <w:tab/>
            </w:r>
            <w:r>
              <w:rPr>
                <w:noProof/>
                <w:webHidden/>
              </w:rPr>
              <w:fldChar w:fldCharType="begin"/>
            </w:r>
            <w:r>
              <w:rPr>
                <w:noProof/>
                <w:webHidden/>
              </w:rPr>
              <w:instrText xml:space="preserve"> PAGEREF _Toc192767024 \h </w:instrText>
            </w:r>
            <w:r>
              <w:rPr>
                <w:noProof/>
                <w:webHidden/>
              </w:rPr>
            </w:r>
            <w:r>
              <w:rPr>
                <w:noProof/>
                <w:webHidden/>
              </w:rPr>
              <w:fldChar w:fldCharType="separate"/>
            </w:r>
            <w:r>
              <w:rPr>
                <w:noProof/>
                <w:webHidden/>
              </w:rPr>
              <w:t>96</w:t>
            </w:r>
            <w:r>
              <w:rPr>
                <w:noProof/>
                <w:webHidden/>
              </w:rPr>
              <w:fldChar w:fldCharType="end"/>
            </w:r>
          </w:hyperlink>
        </w:p>
        <w:p w14:paraId="5912C3BD" w14:textId="260D544C"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5" w:history="1">
            <w:r w:rsidRPr="00425D25">
              <w:rPr>
                <w:rStyle w:val="Hyperlink"/>
              </w:rPr>
              <w:t>Table 91. Sampling Approach for New Construction Lighting Projects with Electric Savings</w:t>
            </w:r>
            <w:r>
              <w:rPr>
                <w:noProof/>
                <w:webHidden/>
              </w:rPr>
              <w:tab/>
            </w:r>
            <w:r>
              <w:rPr>
                <w:noProof/>
                <w:webHidden/>
              </w:rPr>
              <w:fldChar w:fldCharType="begin"/>
            </w:r>
            <w:r>
              <w:rPr>
                <w:noProof/>
                <w:webHidden/>
              </w:rPr>
              <w:instrText xml:space="preserve"> PAGEREF _Toc192767025 \h </w:instrText>
            </w:r>
            <w:r>
              <w:rPr>
                <w:noProof/>
                <w:webHidden/>
              </w:rPr>
            </w:r>
            <w:r>
              <w:rPr>
                <w:noProof/>
                <w:webHidden/>
              </w:rPr>
              <w:fldChar w:fldCharType="separate"/>
            </w:r>
            <w:r>
              <w:rPr>
                <w:noProof/>
                <w:webHidden/>
              </w:rPr>
              <w:t>97</w:t>
            </w:r>
            <w:r>
              <w:rPr>
                <w:noProof/>
                <w:webHidden/>
              </w:rPr>
              <w:fldChar w:fldCharType="end"/>
            </w:r>
          </w:hyperlink>
        </w:p>
        <w:p w14:paraId="3FEC1615" w14:textId="364238F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6" w:history="1">
            <w:r w:rsidRPr="00425D25">
              <w:rPr>
                <w:rStyle w:val="Hyperlink"/>
              </w:rPr>
              <w:t>Table 92. New Construction Lighting Channel Measure Life Adjustments Due to Evaluation</w:t>
            </w:r>
            <w:r>
              <w:rPr>
                <w:noProof/>
                <w:webHidden/>
              </w:rPr>
              <w:tab/>
            </w:r>
            <w:r>
              <w:rPr>
                <w:noProof/>
                <w:webHidden/>
              </w:rPr>
              <w:fldChar w:fldCharType="begin"/>
            </w:r>
            <w:r>
              <w:rPr>
                <w:noProof/>
                <w:webHidden/>
              </w:rPr>
              <w:instrText xml:space="preserve"> PAGEREF _Toc192767026 \h </w:instrText>
            </w:r>
            <w:r>
              <w:rPr>
                <w:noProof/>
                <w:webHidden/>
              </w:rPr>
            </w:r>
            <w:r>
              <w:rPr>
                <w:noProof/>
                <w:webHidden/>
              </w:rPr>
              <w:fldChar w:fldCharType="separate"/>
            </w:r>
            <w:r>
              <w:rPr>
                <w:noProof/>
                <w:webHidden/>
              </w:rPr>
              <w:t>98</w:t>
            </w:r>
            <w:r>
              <w:rPr>
                <w:noProof/>
                <w:webHidden/>
              </w:rPr>
              <w:fldChar w:fldCharType="end"/>
            </w:r>
          </w:hyperlink>
        </w:p>
        <w:p w14:paraId="5F17F719" w14:textId="3295FC2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7" w:history="1">
            <w:r w:rsidRPr="00425D25">
              <w:rPr>
                <w:rStyle w:val="Hyperlink"/>
              </w:rPr>
              <w:t>Table 93. 2024 SAG-Approved Custom Initiative NTGRs</w:t>
            </w:r>
            <w:r>
              <w:rPr>
                <w:noProof/>
                <w:webHidden/>
              </w:rPr>
              <w:tab/>
            </w:r>
            <w:r>
              <w:rPr>
                <w:noProof/>
                <w:webHidden/>
              </w:rPr>
              <w:fldChar w:fldCharType="begin"/>
            </w:r>
            <w:r>
              <w:rPr>
                <w:noProof/>
                <w:webHidden/>
              </w:rPr>
              <w:instrText xml:space="preserve"> PAGEREF _Toc192767027 \h </w:instrText>
            </w:r>
            <w:r>
              <w:rPr>
                <w:noProof/>
                <w:webHidden/>
              </w:rPr>
            </w:r>
            <w:r>
              <w:rPr>
                <w:noProof/>
                <w:webHidden/>
              </w:rPr>
              <w:fldChar w:fldCharType="separate"/>
            </w:r>
            <w:r>
              <w:rPr>
                <w:noProof/>
                <w:webHidden/>
              </w:rPr>
              <w:t>99</w:t>
            </w:r>
            <w:r>
              <w:rPr>
                <w:noProof/>
                <w:webHidden/>
              </w:rPr>
              <w:fldChar w:fldCharType="end"/>
            </w:r>
          </w:hyperlink>
        </w:p>
        <w:p w14:paraId="356F6142" w14:textId="1B2C9E22"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8" w:history="1">
            <w:r w:rsidRPr="00425D25">
              <w:rPr>
                <w:rStyle w:val="Hyperlink"/>
              </w:rPr>
              <w:t>Table 94. NRE Details</w:t>
            </w:r>
            <w:r>
              <w:rPr>
                <w:noProof/>
                <w:webHidden/>
              </w:rPr>
              <w:tab/>
            </w:r>
            <w:r>
              <w:rPr>
                <w:noProof/>
                <w:webHidden/>
              </w:rPr>
              <w:fldChar w:fldCharType="begin"/>
            </w:r>
            <w:r>
              <w:rPr>
                <w:noProof/>
                <w:webHidden/>
              </w:rPr>
              <w:instrText xml:space="preserve"> PAGEREF _Toc192767028 \h </w:instrText>
            </w:r>
            <w:r>
              <w:rPr>
                <w:noProof/>
                <w:webHidden/>
              </w:rPr>
            </w:r>
            <w:r>
              <w:rPr>
                <w:noProof/>
                <w:webHidden/>
              </w:rPr>
              <w:fldChar w:fldCharType="separate"/>
            </w:r>
            <w:r>
              <w:rPr>
                <w:noProof/>
                <w:webHidden/>
              </w:rPr>
              <w:t>104</w:t>
            </w:r>
            <w:r>
              <w:rPr>
                <w:noProof/>
                <w:webHidden/>
              </w:rPr>
              <w:fldChar w:fldCharType="end"/>
            </w:r>
          </w:hyperlink>
        </w:p>
        <w:p w14:paraId="0CF2FF64" w14:textId="050381CC"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29" w:history="1">
            <w:r w:rsidRPr="00425D25">
              <w:rPr>
                <w:rStyle w:val="Hyperlink"/>
              </w:rPr>
              <w:t>Table 95. 2024 Virtual Commissioning Annual Savings by Project</w:t>
            </w:r>
            <w:r>
              <w:rPr>
                <w:noProof/>
                <w:webHidden/>
              </w:rPr>
              <w:tab/>
            </w:r>
            <w:r>
              <w:rPr>
                <w:noProof/>
                <w:webHidden/>
              </w:rPr>
              <w:fldChar w:fldCharType="begin"/>
            </w:r>
            <w:r>
              <w:rPr>
                <w:noProof/>
                <w:webHidden/>
              </w:rPr>
              <w:instrText xml:space="preserve"> PAGEREF _Toc192767029 \h </w:instrText>
            </w:r>
            <w:r>
              <w:rPr>
                <w:noProof/>
                <w:webHidden/>
              </w:rPr>
            </w:r>
            <w:r>
              <w:rPr>
                <w:noProof/>
                <w:webHidden/>
              </w:rPr>
              <w:fldChar w:fldCharType="separate"/>
            </w:r>
            <w:r>
              <w:rPr>
                <w:noProof/>
                <w:webHidden/>
              </w:rPr>
              <w:t>105</w:t>
            </w:r>
            <w:r>
              <w:rPr>
                <w:noProof/>
                <w:webHidden/>
              </w:rPr>
              <w:fldChar w:fldCharType="end"/>
            </w:r>
          </w:hyperlink>
        </w:p>
        <w:p w14:paraId="613C4DB5" w14:textId="365FB50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0" w:history="1">
            <w:r w:rsidRPr="00425D25">
              <w:rPr>
                <w:rStyle w:val="Hyperlink"/>
              </w:rPr>
              <w:t>Table 96. 2024 Virtual Commissioning Model Goodness-of-Fit Metrics by Project</w:t>
            </w:r>
            <w:r>
              <w:rPr>
                <w:noProof/>
                <w:webHidden/>
              </w:rPr>
              <w:tab/>
            </w:r>
            <w:r>
              <w:rPr>
                <w:noProof/>
                <w:webHidden/>
              </w:rPr>
              <w:fldChar w:fldCharType="begin"/>
            </w:r>
            <w:r>
              <w:rPr>
                <w:noProof/>
                <w:webHidden/>
              </w:rPr>
              <w:instrText xml:space="preserve"> PAGEREF _Toc192767030 \h </w:instrText>
            </w:r>
            <w:r>
              <w:rPr>
                <w:noProof/>
                <w:webHidden/>
              </w:rPr>
            </w:r>
            <w:r>
              <w:rPr>
                <w:noProof/>
                <w:webHidden/>
              </w:rPr>
              <w:fldChar w:fldCharType="separate"/>
            </w:r>
            <w:r>
              <w:rPr>
                <w:noProof/>
                <w:webHidden/>
              </w:rPr>
              <w:t>105</w:t>
            </w:r>
            <w:r>
              <w:rPr>
                <w:noProof/>
                <w:webHidden/>
              </w:rPr>
              <w:fldChar w:fldCharType="end"/>
            </w:r>
          </w:hyperlink>
        </w:p>
        <w:p w14:paraId="617E034D" w14:textId="4EAB691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1" w:history="1">
            <w:r w:rsidRPr="00425D25">
              <w:rPr>
                <w:rStyle w:val="Hyperlink"/>
              </w:rPr>
              <w:t>Table 97. Summary of Projects Completed through Other AIC Initiatives</w:t>
            </w:r>
            <w:r>
              <w:rPr>
                <w:noProof/>
                <w:webHidden/>
              </w:rPr>
              <w:tab/>
            </w:r>
            <w:r>
              <w:rPr>
                <w:noProof/>
                <w:webHidden/>
              </w:rPr>
              <w:fldChar w:fldCharType="begin"/>
            </w:r>
            <w:r>
              <w:rPr>
                <w:noProof/>
                <w:webHidden/>
              </w:rPr>
              <w:instrText xml:space="preserve"> PAGEREF _Toc192767031 \h </w:instrText>
            </w:r>
            <w:r>
              <w:rPr>
                <w:noProof/>
                <w:webHidden/>
              </w:rPr>
            </w:r>
            <w:r>
              <w:rPr>
                <w:noProof/>
                <w:webHidden/>
              </w:rPr>
              <w:fldChar w:fldCharType="separate"/>
            </w:r>
            <w:r>
              <w:rPr>
                <w:noProof/>
                <w:webHidden/>
              </w:rPr>
              <w:t>106</w:t>
            </w:r>
            <w:r>
              <w:rPr>
                <w:noProof/>
                <w:webHidden/>
              </w:rPr>
              <w:fldChar w:fldCharType="end"/>
            </w:r>
          </w:hyperlink>
        </w:p>
        <w:p w14:paraId="3A51860D" w14:textId="5E54E14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2" w:history="1">
            <w:r w:rsidRPr="00425D25">
              <w:rPr>
                <w:rStyle w:val="Hyperlink"/>
              </w:rPr>
              <w:t>Table 98. 2024 Virtual SEM Annual Savings by Project</w:t>
            </w:r>
            <w:r>
              <w:rPr>
                <w:noProof/>
                <w:webHidden/>
              </w:rPr>
              <w:tab/>
            </w:r>
            <w:r>
              <w:rPr>
                <w:noProof/>
                <w:webHidden/>
              </w:rPr>
              <w:fldChar w:fldCharType="begin"/>
            </w:r>
            <w:r>
              <w:rPr>
                <w:noProof/>
                <w:webHidden/>
              </w:rPr>
              <w:instrText xml:space="preserve"> PAGEREF _Toc192767032 \h </w:instrText>
            </w:r>
            <w:r>
              <w:rPr>
                <w:noProof/>
                <w:webHidden/>
              </w:rPr>
            </w:r>
            <w:r>
              <w:rPr>
                <w:noProof/>
                <w:webHidden/>
              </w:rPr>
              <w:fldChar w:fldCharType="separate"/>
            </w:r>
            <w:r>
              <w:rPr>
                <w:noProof/>
                <w:webHidden/>
              </w:rPr>
              <w:t>110</w:t>
            </w:r>
            <w:r>
              <w:rPr>
                <w:noProof/>
                <w:webHidden/>
              </w:rPr>
              <w:fldChar w:fldCharType="end"/>
            </w:r>
          </w:hyperlink>
        </w:p>
        <w:p w14:paraId="64907BD5" w14:textId="197E1E8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3" w:history="1">
            <w:r w:rsidRPr="00425D25">
              <w:rPr>
                <w:rStyle w:val="Hyperlink"/>
              </w:rPr>
              <w:t>Table 99. 2024 Virtual SEM Model Goodness-of-Fit Metrics by Project</w:t>
            </w:r>
            <w:r>
              <w:rPr>
                <w:noProof/>
                <w:webHidden/>
              </w:rPr>
              <w:tab/>
            </w:r>
            <w:r>
              <w:rPr>
                <w:noProof/>
                <w:webHidden/>
              </w:rPr>
              <w:fldChar w:fldCharType="begin"/>
            </w:r>
            <w:r>
              <w:rPr>
                <w:noProof/>
                <w:webHidden/>
              </w:rPr>
              <w:instrText xml:space="preserve"> PAGEREF _Toc192767033 \h </w:instrText>
            </w:r>
            <w:r>
              <w:rPr>
                <w:noProof/>
                <w:webHidden/>
              </w:rPr>
            </w:r>
            <w:r>
              <w:rPr>
                <w:noProof/>
                <w:webHidden/>
              </w:rPr>
              <w:fldChar w:fldCharType="separate"/>
            </w:r>
            <w:r>
              <w:rPr>
                <w:noProof/>
                <w:webHidden/>
              </w:rPr>
              <w:t>110</w:t>
            </w:r>
            <w:r>
              <w:rPr>
                <w:noProof/>
                <w:webHidden/>
              </w:rPr>
              <w:fldChar w:fldCharType="end"/>
            </w:r>
          </w:hyperlink>
        </w:p>
        <w:p w14:paraId="15EB95CA" w14:textId="0B85B4E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4" w:history="1">
            <w:r w:rsidRPr="00425D25">
              <w:rPr>
                <w:rStyle w:val="Hyperlink"/>
              </w:rPr>
              <w:t>Table 100. Summary of Projects Completed through Other AIC Initiatives</w:t>
            </w:r>
            <w:r>
              <w:rPr>
                <w:noProof/>
                <w:webHidden/>
              </w:rPr>
              <w:tab/>
            </w:r>
            <w:r>
              <w:rPr>
                <w:noProof/>
                <w:webHidden/>
              </w:rPr>
              <w:fldChar w:fldCharType="begin"/>
            </w:r>
            <w:r>
              <w:rPr>
                <w:noProof/>
                <w:webHidden/>
              </w:rPr>
              <w:instrText xml:space="preserve"> PAGEREF _Toc192767034 \h </w:instrText>
            </w:r>
            <w:r>
              <w:rPr>
                <w:noProof/>
                <w:webHidden/>
              </w:rPr>
            </w:r>
            <w:r>
              <w:rPr>
                <w:noProof/>
                <w:webHidden/>
              </w:rPr>
              <w:fldChar w:fldCharType="separate"/>
            </w:r>
            <w:r>
              <w:rPr>
                <w:noProof/>
                <w:webHidden/>
              </w:rPr>
              <w:t>111</w:t>
            </w:r>
            <w:r>
              <w:rPr>
                <w:noProof/>
                <w:webHidden/>
              </w:rPr>
              <w:fldChar w:fldCharType="end"/>
            </w:r>
          </w:hyperlink>
        </w:p>
        <w:p w14:paraId="09DE2015" w14:textId="45F20A0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5" w:history="1">
            <w:r w:rsidRPr="00425D25">
              <w:rPr>
                <w:rStyle w:val="Hyperlink"/>
              </w:rPr>
              <w:t>Table 101. 2024 SAG-Approved Retro-Commissioning Initiative NTGRs</w:t>
            </w:r>
            <w:r>
              <w:rPr>
                <w:noProof/>
                <w:webHidden/>
              </w:rPr>
              <w:tab/>
            </w:r>
            <w:r>
              <w:rPr>
                <w:noProof/>
                <w:webHidden/>
              </w:rPr>
              <w:fldChar w:fldCharType="begin"/>
            </w:r>
            <w:r>
              <w:rPr>
                <w:noProof/>
                <w:webHidden/>
              </w:rPr>
              <w:instrText xml:space="preserve"> PAGEREF _Toc192767035 \h </w:instrText>
            </w:r>
            <w:r>
              <w:rPr>
                <w:noProof/>
                <w:webHidden/>
              </w:rPr>
            </w:r>
            <w:r>
              <w:rPr>
                <w:noProof/>
                <w:webHidden/>
              </w:rPr>
              <w:fldChar w:fldCharType="separate"/>
            </w:r>
            <w:r>
              <w:rPr>
                <w:noProof/>
                <w:webHidden/>
              </w:rPr>
              <w:t>111</w:t>
            </w:r>
            <w:r>
              <w:rPr>
                <w:noProof/>
                <w:webHidden/>
              </w:rPr>
              <w:fldChar w:fldCharType="end"/>
            </w:r>
          </w:hyperlink>
        </w:p>
        <w:p w14:paraId="298173DD" w14:textId="1198CE2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6" w:history="1">
            <w:r w:rsidRPr="00425D25">
              <w:rPr>
                <w:rStyle w:val="Hyperlink"/>
              </w:rPr>
              <w:t>Table 102. Streetlighting Initiative Evaluated Measures</w:t>
            </w:r>
            <w:r>
              <w:rPr>
                <w:noProof/>
                <w:webHidden/>
              </w:rPr>
              <w:tab/>
            </w:r>
            <w:r>
              <w:rPr>
                <w:noProof/>
                <w:webHidden/>
              </w:rPr>
              <w:fldChar w:fldCharType="begin"/>
            </w:r>
            <w:r>
              <w:rPr>
                <w:noProof/>
                <w:webHidden/>
              </w:rPr>
              <w:instrText xml:space="preserve"> PAGEREF _Toc192767036 \h </w:instrText>
            </w:r>
            <w:r>
              <w:rPr>
                <w:noProof/>
                <w:webHidden/>
              </w:rPr>
            </w:r>
            <w:r>
              <w:rPr>
                <w:noProof/>
                <w:webHidden/>
              </w:rPr>
              <w:fldChar w:fldCharType="separate"/>
            </w:r>
            <w:r>
              <w:rPr>
                <w:noProof/>
                <w:webHidden/>
              </w:rPr>
              <w:t>112</w:t>
            </w:r>
            <w:r>
              <w:rPr>
                <w:noProof/>
                <w:webHidden/>
              </w:rPr>
              <w:fldChar w:fldCharType="end"/>
            </w:r>
          </w:hyperlink>
        </w:p>
        <w:p w14:paraId="66469B88" w14:textId="14A215F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7" w:history="1">
            <w:r w:rsidRPr="00425D25">
              <w:rPr>
                <w:rStyle w:val="Hyperlink"/>
              </w:rPr>
              <w:t>Table 103. 2024 SAG-Approved Streetlighting Initiative NTGRs</w:t>
            </w:r>
            <w:r>
              <w:rPr>
                <w:noProof/>
                <w:webHidden/>
              </w:rPr>
              <w:tab/>
            </w:r>
            <w:r>
              <w:rPr>
                <w:noProof/>
                <w:webHidden/>
              </w:rPr>
              <w:fldChar w:fldCharType="begin"/>
            </w:r>
            <w:r>
              <w:rPr>
                <w:noProof/>
                <w:webHidden/>
              </w:rPr>
              <w:instrText xml:space="preserve"> PAGEREF _Toc192767037 \h </w:instrText>
            </w:r>
            <w:r>
              <w:rPr>
                <w:noProof/>
                <w:webHidden/>
              </w:rPr>
            </w:r>
            <w:r>
              <w:rPr>
                <w:noProof/>
                <w:webHidden/>
              </w:rPr>
              <w:fldChar w:fldCharType="separate"/>
            </w:r>
            <w:r>
              <w:rPr>
                <w:noProof/>
                <w:webHidden/>
              </w:rPr>
              <w:t>112</w:t>
            </w:r>
            <w:r>
              <w:rPr>
                <w:noProof/>
                <w:webHidden/>
              </w:rPr>
              <w:fldChar w:fldCharType="end"/>
            </w:r>
          </w:hyperlink>
        </w:p>
        <w:p w14:paraId="3DC99DBA" w14:textId="6A872E9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8" w:history="1">
            <w:r w:rsidRPr="00425D25">
              <w:rPr>
                <w:rStyle w:val="Hyperlink"/>
              </w:rPr>
              <w:t>Table 104. Small Business Initiative Evaluated Measures</w:t>
            </w:r>
            <w:r>
              <w:rPr>
                <w:noProof/>
                <w:webHidden/>
              </w:rPr>
              <w:tab/>
            </w:r>
            <w:r>
              <w:rPr>
                <w:noProof/>
                <w:webHidden/>
              </w:rPr>
              <w:fldChar w:fldCharType="begin"/>
            </w:r>
            <w:r>
              <w:rPr>
                <w:noProof/>
                <w:webHidden/>
              </w:rPr>
              <w:instrText xml:space="preserve"> PAGEREF _Toc192767038 \h </w:instrText>
            </w:r>
            <w:r>
              <w:rPr>
                <w:noProof/>
                <w:webHidden/>
              </w:rPr>
            </w:r>
            <w:r>
              <w:rPr>
                <w:noProof/>
                <w:webHidden/>
              </w:rPr>
              <w:fldChar w:fldCharType="separate"/>
            </w:r>
            <w:r>
              <w:rPr>
                <w:noProof/>
                <w:webHidden/>
              </w:rPr>
              <w:t>113</w:t>
            </w:r>
            <w:r>
              <w:rPr>
                <w:noProof/>
                <w:webHidden/>
              </w:rPr>
              <w:fldChar w:fldCharType="end"/>
            </w:r>
          </w:hyperlink>
        </w:p>
        <w:p w14:paraId="7AB4C2EE" w14:textId="340D416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39" w:history="1">
            <w:r w:rsidRPr="00425D25">
              <w:rPr>
                <w:rStyle w:val="Hyperlink"/>
              </w:rPr>
              <w:t>Table 105. 2024 SAG-Approved Small Business Initiative NTGRs</w:t>
            </w:r>
            <w:r>
              <w:rPr>
                <w:noProof/>
                <w:webHidden/>
              </w:rPr>
              <w:tab/>
            </w:r>
            <w:r>
              <w:rPr>
                <w:noProof/>
                <w:webHidden/>
              </w:rPr>
              <w:fldChar w:fldCharType="begin"/>
            </w:r>
            <w:r>
              <w:rPr>
                <w:noProof/>
                <w:webHidden/>
              </w:rPr>
              <w:instrText xml:space="preserve"> PAGEREF _Toc192767039 \h </w:instrText>
            </w:r>
            <w:r>
              <w:rPr>
                <w:noProof/>
                <w:webHidden/>
              </w:rPr>
            </w:r>
            <w:r>
              <w:rPr>
                <w:noProof/>
                <w:webHidden/>
              </w:rPr>
              <w:fldChar w:fldCharType="separate"/>
            </w:r>
            <w:r>
              <w:rPr>
                <w:noProof/>
                <w:webHidden/>
              </w:rPr>
              <w:t>113</w:t>
            </w:r>
            <w:r>
              <w:rPr>
                <w:noProof/>
                <w:webHidden/>
              </w:rPr>
              <w:fldChar w:fldCharType="end"/>
            </w:r>
          </w:hyperlink>
        </w:p>
        <w:p w14:paraId="03A726EA" w14:textId="6552358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0" w:history="1">
            <w:r w:rsidRPr="00425D25">
              <w:rPr>
                <w:rStyle w:val="Hyperlink"/>
              </w:rPr>
              <w:t>Table 106. Midstream Initiative Evaluated Measures</w:t>
            </w:r>
            <w:r>
              <w:rPr>
                <w:noProof/>
                <w:webHidden/>
              </w:rPr>
              <w:tab/>
            </w:r>
            <w:r>
              <w:rPr>
                <w:noProof/>
                <w:webHidden/>
              </w:rPr>
              <w:fldChar w:fldCharType="begin"/>
            </w:r>
            <w:r>
              <w:rPr>
                <w:noProof/>
                <w:webHidden/>
              </w:rPr>
              <w:instrText xml:space="preserve"> PAGEREF _Toc192767040 \h </w:instrText>
            </w:r>
            <w:r>
              <w:rPr>
                <w:noProof/>
                <w:webHidden/>
              </w:rPr>
            </w:r>
            <w:r>
              <w:rPr>
                <w:noProof/>
                <w:webHidden/>
              </w:rPr>
              <w:fldChar w:fldCharType="separate"/>
            </w:r>
            <w:r>
              <w:rPr>
                <w:noProof/>
                <w:webHidden/>
              </w:rPr>
              <w:t>114</w:t>
            </w:r>
            <w:r>
              <w:rPr>
                <w:noProof/>
                <w:webHidden/>
              </w:rPr>
              <w:fldChar w:fldCharType="end"/>
            </w:r>
          </w:hyperlink>
        </w:p>
        <w:p w14:paraId="3E8C9BA0" w14:textId="0A8AA72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1" w:history="1">
            <w:r w:rsidRPr="00425D25">
              <w:rPr>
                <w:rStyle w:val="Hyperlink"/>
              </w:rPr>
              <w:t>Table 107. 2024 SAG-Approved Midstream Initiative NTGRs</w:t>
            </w:r>
            <w:r>
              <w:rPr>
                <w:noProof/>
                <w:webHidden/>
              </w:rPr>
              <w:tab/>
            </w:r>
            <w:r>
              <w:rPr>
                <w:noProof/>
                <w:webHidden/>
              </w:rPr>
              <w:fldChar w:fldCharType="begin"/>
            </w:r>
            <w:r>
              <w:rPr>
                <w:noProof/>
                <w:webHidden/>
              </w:rPr>
              <w:instrText xml:space="preserve"> PAGEREF _Toc192767041 \h </w:instrText>
            </w:r>
            <w:r>
              <w:rPr>
                <w:noProof/>
                <w:webHidden/>
              </w:rPr>
            </w:r>
            <w:r>
              <w:rPr>
                <w:noProof/>
                <w:webHidden/>
              </w:rPr>
              <w:fldChar w:fldCharType="separate"/>
            </w:r>
            <w:r>
              <w:rPr>
                <w:noProof/>
                <w:webHidden/>
              </w:rPr>
              <w:t>115</w:t>
            </w:r>
            <w:r>
              <w:rPr>
                <w:noProof/>
                <w:webHidden/>
              </w:rPr>
              <w:fldChar w:fldCharType="end"/>
            </w:r>
          </w:hyperlink>
        </w:p>
        <w:p w14:paraId="333B20F1" w14:textId="65BC812B"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2" w:history="1">
            <w:r w:rsidRPr="00425D25">
              <w:rPr>
                <w:rStyle w:val="Hyperlink"/>
              </w:rPr>
              <w:t>Table 108. 2024 Standard Core Channel non-AIC Natural Gas Savings</w:t>
            </w:r>
            <w:r>
              <w:rPr>
                <w:noProof/>
                <w:webHidden/>
              </w:rPr>
              <w:tab/>
            </w:r>
            <w:r>
              <w:rPr>
                <w:noProof/>
                <w:webHidden/>
              </w:rPr>
              <w:fldChar w:fldCharType="begin"/>
            </w:r>
            <w:r>
              <w:rPr>
                <w:noProof/>
                <w:webHidden/>
              </w:rPr>
              <w:instrText xml:space="preserve"> PAGEREF _Toc192767042 \h </w:instrText>
            </w:r>
            <w:r>
              <w:rPr>
                <w:noProof/>
                <w:webHidden/>
              </w:rPr>
            </w:r>
            <w:r>
              <w:rPr>
                <w:noProof/>
                <w:webHidden/>
              </w:rPr>
              <w:fldChar w:fldCharType="separate"/>
            </w:r>
            <w:r>
              <w:rPr>
                <w:noProof/>
                <w:webHidden/>
              </w:rPr>
              <w:t>117</w:t>
            </w:r>
            <w:r>
              <w:rPr>
                <w:noProof/>
                <w:webHidden/>
              </w:rPr>
              <w:fldChar w:fldCharType="end"/>
            </w:r>
          </w:hyperlink>
        </w:p>
        <w:p w14:paraId="7E6B92E4" w14:textId="68920C9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3" w:history="1">
            <w:r w:rsidRPr="00425D25">
              <w:rPr>
                <w:rStyle w:val="Hyperlink"/>
              </w:rPr>
              <w:t>Table 109. 2024 Standard Initiative Gas Heating Penalties</w:t>
            </w:r>
            <w:r>
              <w:rPr>
                <w:noProof/>
                <w:webHidden/>
              </w:rPr>
              <w:tab/>
            </w:r>
            <w:r>
              <w:rPr>
                <w:noProof/>
                <w:webHidden/>
              </w:rPr>
              <w:fldChar w:fldCharType="begin"/>
            </w:r>
            <w:r>
              <w:rPr>
                <w:noProof/>
                <w:webHidden/>
              </w:rPr>
              <w:instrText xml:space="preserve"> PAGEREF _Toc192767043 \h </w:instrText>
            </w:r>
            <w:r>
              <w:rPr>
                <w:noProof/>
                <w:webHidden/>
              </w:rPr>
            </w:r>
            <w:r>
              <w:rPr>
                <w:noProof/>
                <w:webHidden/>
              </w:rPr>
              <w:fldChar w:fldCharType="separate"/>
            </w:r>
            <w:r>
              <w:rPr>
                <w:noProof/>
                <w:webHidden/>
              </w:rPr>
              <w:t>117</w:t>
            </w:r>
            <w:r>
              <w:rPr>
                <w:noProof/>
                <w:webHidden/>
              </w:rPr>
              <w:fldChar w:fldCharType="end"/>
            </w:r>
          </w:hyperlink>
        </w:p>
        <w:p w14:paraId="7FEF30C2" w14:textId="3109D50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4" w:history="1">
            <w:r w:rsidRPr="00425D25">
              <w:rPr>
                <w:rStyle w:val="Hyperlink"/>
              </w:rPr>
              <w:t>Table 110. 2024 Standard Initiative Secondary Electric and Water Savings by Measure</w:t>
            </w:r>
            <w:r>
              <w:rPr>
                <w:noProof/>
                <w:webHidden/>
              </w:rPr>
              <w:tab/>
            </w:r>
            <w:r>
              <w:rPr>
                <w:noProof/>
                <w:webHidden/>
              </w:rPr>
              <w:fldChar w:fldCharType="begin"/>
            </w:r>
            <w:r>
              <w:rPr>
                <w:noProof/>
                <w:webHidden/>
              </w:rPr>
              <w:instrText xml:space="preserve"> PAGEREF _Toc192767044 \h </w:instrText>
            </w:r>
            <w:r>
              <w:rPr>
                <w:noProof/>
                <w:webHidden/>
              </w:rPr>
            </w:r>
            <w:r>
              <w:rPr>
                <w:noProof/>
                <w:webHidden/>
              </w:rPr>
              <w:fldChar w:fldCharType="separate"/>
            </w:r>
            <w:r>
              <w:rPr>
                <w:noProof/>
                <w:webHidden/>
              </w:rPr>
              <w:t>118</w:t>
            </w:r>
            <w:r>
              <w:rPr>
                <w:noProof/>
                <w:webHidden/>
              </w:rPr>
              <w:fldChar w:fldCharType="end"/>
            </w:r>
          </w:hyperlink>
        </w:p>
        <w:p w14:paraId="162E6D1A" w14:textId="6FD62B8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5" w:history="1">
            <w:r w:rsidRPr="00425D25">
              <w:rPr>
                <w:rStyle w:val="Hyperlink"/>
              </w:rPr>
              <w:t>Table 111. 2024 Standard Initiative Verified Gross Impacts for Cost-Effectiveness</w:t>
            </w:r>
            <w:r>
              <w:rPr>
                <w:noProof/>
                <w:webHidden/>
              </w:rPr>
              <w:tab/>
            </w:r>
            <w:r>
              <w:rPr>
                <w:noProof/>
                <w:webHidden/>
              </w:rPr>
              <w:fldChar w:fldCharType="begin"/>
            </w:r>
            <w:r>
              <w:rPr>
                <w:noProof/>
                <w:webHidden/>
              </w:rPr>
              <w:instrText xml:space="preserve"> PAGEREF _Toc192767045 \h </w:instrText>
            </w:r>
            <w:r>
              <w:rPr>
                <w:noProof/>
                <w:webHidden/>
              </w:rPr>
            </w:r>
            <w:r>
              <w:rPr>
                <w:noProof/>
                <w:webHidden/>
              </w:rPr>
              <w:fldChar w:fldCharType="separate"/>
            </w:r>
            <w:r>
              <w:rPr>
                <w:noProof/>
                <w:webHidden/>
              </w:rPr>
              <w:t>118</w:t>
            </w:r>
            <w:r>
              <w:rPr>
                <w:noProof/>
                <w:webHidden/>
              </w:rPr>
              <w:fldChar w:fldCharType="end"/>
            </w:r>
          </w:hyperlink>
        </w:p>
        <w:p w14:paraId="0E1C4435" w14:textId="45FF798E"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6" w:history="1">
            <w:r w:rsidRPr="00425D25">
              <w:rPr>
                <w:rStyle w:val="Hyperlink"/>
              </w:rPr>
              <w:t>Table 112. 2024 Custom Initiative Non-AIC Natural Gas Savings</w:t>
            </w:r>
            <w:r>
              <w:rPr>
                <w:noProof/>
                <w:webHidden/>
              </w:rPr>
              <w:tab/>
            </w:r>
            <w:r>
              <w:rPr>
                <w:noProof/>
                <w:webHidden/>
              </w:rPr>
              <w:fldChar w:fldCharType="begin"/>
            </w:r>
            <w:r>
              <w:rPr>
                <w:noProof/>
                <w:webHidden/>
              </w:rPr>
              <w:instrText xml:space="preserve"> PAGEREF _Toc192767046 \h </w:instrText>
            </w:r>
            <w:r>
              <w:rPr>
                <w:noProof/>
                <w:webHidden/>
              </w:rPr>
            </w:r>
            <w:r>
              <w:rPr>
                <w:noProof/>
                <w:webHidden/>
              </w:rPr>
              <w:fldChar w:fldCharType="separate"/>
            </w:r>
            <w:r>
              <w:rPr>
                <w:noProof/>
                <w:webHidden/>
              </w:rPr>
              <w:t>118</w:t>
            </w:r>
            <w:r>
              <w:rPr>
                <w:noProof/>
                <w:webHidden/>
              </w:rPr>
              <w:fldChar w:fldCharType="end"/>
            </w:r>
          </w:hyperlink>
        </w:p>
        <w:p w14:paraId="6D715CD9" w14:textId="370A3FE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7" w:history="1">
            <w:r w:rsidRPr="00425D25">
              <w:rPr>
                <w:rStyle w:val="Hyperlink"/>
              </w:rPr>
              <w:t>Table 113. 2024 Custom Initiative Verified Gross Impacts for Cost-Effectiveness</w:t>
            </w:r>
            <w:r>
              <w:rPr>
                <w:noProof/>
                <w:webHidden/>
              </w:rPr>
              <w:tab/>
            </w:r>
            <w:r>
              <w:rPr>
                <w:noProof/>
                <w:webHidden/>
              </w:rPr>
              <w:fldChar w:fldCharType="begin"/>
            </w:r>
            <w:r>
              <w:rPr>
                <w:noProof/>
                <w:webHidden/>
              </w:rPr>
              <w:instrText xml:space="preserve"> PAGEREF _Toc192767047 \h </w:instrText>
            </w:r>
            <w:r>
              <w:rPr>
                <w:noProof/>
                <w:webHidden/>
              </w:rPr>
            </w:r>
            <w:r>
              <w:rPr>
                <w:noProof/>
                <w:webHidden/>
              </w:rPr>
              <w:fldChar w:fldCharType="separate"/>
            </w:r>
            <w:r>
              <w:rPr>
                <w:noProof/>
                <w:webHidden/>
              </w:rPr>
              <w:t>119</w:t>
            </w:r>
            <w:r>
              <w:rPr>
                <w:noProof/>
                <w:webHidden/>
              </w:rPr>
              <w:fldChar w:fldCharType="end"/>
            </w:r>
          </w:hyperlink>
        </w:p>
        <w:p w14:paraId="3103E87E" w14:textId="0BF51369"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8" w:history="1">
            <w:r w:rsidRPr="00425D25">
              <w:rPr>
                <w:rStyle w:val="Hyperlink"/>
              </w:rPr>
              <w:t>Table 114. 2024 Retro-Commissioning Initiative Verified Gross Impacts for Cost-Effectiveness</w:t>
            </w:r>
            <w:r>
              <w:rPr>
                <w:noProof/>
                <w:webHidden/>
              </w:rPr>
              <w:tab/>
            </w:r>
            <w:r>
              <w:rPr>
                <w:noProof/>
                <w:webHidden/>
              </w:rPr>
              <w:fldChar w:fldCharType="begin"/>
            </w:r>
            <w:r>
              <w:rPr>
                <w:noProof/>
                <w:webHidden/>
              </w:rPr>
              <w:instrText xml:space="preserve"> PAGEREF _Toc192767048 \h </w:instrText>
            </w:r>
            <w:r>
              <w:rPr>
                <w:noProof/>
                <w:webHidden/>
              </w:rPr>
            </w:r>
            <w:r>
              <w:rPr>
                <w:noProof/>
                <w:webHidden/>
              </w:rPr>
              <w:fldChar w:fldCharType="separate"/>
            </w:r>
            <w:r>
              <w:rPr>
                <w:noProof/>
                <w:webHidden/>
              </w:rPr>
              <w:t>120</w:t>
            </w:r>
            <w:r>
              <w:rPr>
                <w:noProof/>
                <w:webHidden/>
              </w:rPr>
              <w:fldChar w:fldCharType="end"/>
            </w:r>
          </w:hyperlink>
        </w:p>
        <w:p w14:paraId="7DFB06C2" w14:textId="7953388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49" w:history="1">
            <w:r w:rsidRPr="00425D25">
              <w:rPr>
                <w:rStyle w:val="Hyperlink"/>
              </w:rPr>
              <w:t>Table 115. 2024 Streetlighting Initiative Verified Gross Impacts for Cost-Effectiveness</w:t>
            </w:r>
            <w:r>
              <w:rPr>
                <w:noProof/>
                <w:webHidden/>
              </w:rPr>
              <w:tab/>
            </w:r>
            <w:r>
              <w:rPr>
                <w:noProof/>
                <w:webHidden/>
              </w:rPr>
              <w:fldChar w:fldCharType="begin"/>
            </w:r>
            <w:r>
              <w:rPr>
                <w:noProof/>
                <w:webHidden/>
              </w:rPr>
              <w:instrText xml:space="preserve"> PAGEREF _Toc192767049 \h </w:instrText>
            </w:r>
            <w:r>
              <w:rPr>
                <w:noProof/>
                <w:webHidden/>
              </w:rPr>
            </w:r>
            <w:r>
              <w:rPr>
                <w:noProof/>
                <w:webHidden/>
              </w:rPr>
              <w:fldChar w:fldCharType="separate"/>
            </w:r>
            <w:r>
              <w:rPr>
                <w:noProof/>
                <w:webHidden/>
              </w:rPr>
              <w:t>121</w:t>
            </w:r>
            <w:r>
              <w:rPr>
                <w:noProof/>
                <w:webHidden/>
              </w:rPr>
              <w:fldChar w:fldCharType="end"/>
            </w:r>
          </w:hyperlink>
        </w:p>
        <w:p w14:paraId="223F2A47" w14:textId="6716245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0" w:history="1">
            <w:r w:rsidRPr="00425D25">
              <w:rPr>
                <w:rStyle w:val="Hyperlink"/>
              </w:rPr>
              <w:t>Table 116. 2024 Small Business Energy Performance Channel non-AIC Natural Gas Savings</w:t>
            </w:r>
            <w:r>
              <w:rPr>
                <w:noProof/>
                <w:webHidden/>
              </w:rPr>
              <w:tab/>
            </w:r>
            <w:r>
              <w:rPr>
                <w:noProof/>
                <w:webHidden/>
              </w:rPr>
              <w:fldChar w:fldCharType="begin"/>
            </w:r>
            <w:r>
              <w:rPr>
                <w:noProof/>
                <w:webHidden/>
              </w:rPr>
              <w:instrText xml:space="preserve"> PAGEREF _Toc192767050 \h </w:instrText>
            </w:r>
            <w:r>
              <w:rPr>
                <w:noProof/>
                <w:webHidden/>
              </w:rPr>
            </w:r>
            <w:r>
              <w:rPr>
                <w:noProof/>
                <w:webHidden/>
              </w:rPr>
              <w:fldChar w:fldCharType="separate"/>
            </w:r>
            <w:r>
              <w:rPr>
                <w:noProof/>
                <w:webHidden/>
              </w:rPr>
              <w:t>121</w:t>
            </w:r>
            <w:r>
              <w:rPr>
                <w:noProof/>
                <w:webHidden/>
              </w:rPr>
              <w:fldChar w:fldCharType="end"/>
            </w:r>
          </w:hyperlink>
        </w:p>
        <w:p w14:paraId="6C45AB8D" w14:textId="5A965A60"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1" w:history="1">
            <w:r w:rsidRPr="00425D25">
              <w:rPr>
                <w:rStyle w:val="Hyperlink"/>
              </w:rPr>
              <w:t>Table 117. 2024 Small Business Initiative Gas Heating Penalties</w:t>
            </w:r>
            <w:r>
              <w:rPr>
                <w:noProof/>
                <w:webHidden/>
              </w:rPr>
              <w:tab/>
            </w:r>
            <w:r>
              <w:rPr>
                <w:noProof/>
                <w:webHidden/>
              </w:rPr>
              <w:fldChar w:fldCharType="begin"/>
            </w:r>
            <w:r>
              <w:rPr>
                <w:noProof/>
                <w:webHidden/>
              </w:rPr>
              <w:instrText xml:space="preserve"> PAGEREF _Toc192767051 \h </w:instrText>
            </w:r>
            <w:r>
              <w:rPr>
                <w:noProof/>
                <w:webHidden/>
              </w:rPr>
            </w:r>
            <w:r>
              <w:rPr>
                <w:noProof/>
                <w:webHidden/>
              </w:rPr>
              <w:fldChar w:fldCharType="separate"/>
            </w:r>
            <w:r>
              <w:rPr>
                <w:noProof/>
                <w:webHidden/>
              </w:rPr>
              <w:t>121</w:t>
            </w:r>
            <w:r>
              <w:rPr>
                <w:noProof/>
                <w:webHidden/>
              </w:rPr>
              <w:fldChar w:fldCharType="end"/>
            </w:r>
          </w:hyperlink>
        </w:p>
        <w:p w14:paraId="47D31E2F" w14:textId="5AF68FA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2" w:history="1">
            <w:r w:rsidRPr="00425D25">
              <w:rPr>
                <w:rStyle w:val="Hyperlink"/>
              </w:rPr>
              <w:t>Table 118. 2024 Small Business Initiative Verified Gross Impacts for Cost-Effectiveness</w:t>
            </w:r>
            <w:r>
              <w:rPr>
                <w:noProof/>
                <w:webHidden/>
              </w:rPr>
              <w:tab/>
            </w:r>
            <w:r>
              <w:rPr>
                <w:noProof/>
                <w:webHidden/>
              </w:rPr>
              <w:fldChar w:fldCharType="begin"/>
            </w:r>
            <w:r>
              <w:rPr>
                <w:noProof/>
                <w:webHidden/>
              </w:rPr>
              <w:instrText xml:space="preserve"> PAGEREF _Toc192767052 \h </w:instrText>
            </w:r>
            <w:r>
              <w:rPr>
                <w:noProof/>
                <w:webHidden/>
              </w:rPr>
            </w:r>
            <w:r>
              <w:rPr>
                <w:noProof/>
                <w:webHidden/>
              </w:rPr>
              <w:fldChar w:fldCharType="separate"/>
            </w:r>
            <w:r>
              <w:rPr>
                <w:noProof/>
                <w:webHidden/>
              </w:rPr>
              <w:t>122</w:t>
            </w:r>
            <w:r>
              <w:rPr>
                <w:noProof/>
                <w:webHidden/>
              </w:rPr>
              <w:fldChar w:fldCharType="end"/>
            </w:r>
          </w:hyperlink>
        </w:p>
        <w:p w14:paraId="0939C286" w14:textId="1336FD9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3" w:history="1">
            <w:r w:rsidRPr="00425D25">
              <w:rPr>
                <w:rStyle w:val="Hyperlink"/>
              </w:rPr>
              <w:t>Table 119. 2024 Midstream Initiative Gas Heating Penalties</w:t>
            </w:r>
            <w:r>
              <w:rPr>
                <w:noProof/>
                <w:webHidden/>
              </w:rPr>
              <w:tab/>
            </w:r>
            <w:r>
              <w:rPr>
                <w:noProof/>
                <w:webHidden/>
              </w:rPr>
              <w:fldChar w:fldCharType="begin"/>
            </w:r>
            <w:r>
              <w:rPr>
                <w:noProof/>
                <w:webHidden/>
              </w:rPr>
              <w:instrText xml:space="preserve"> PAGEREF _Toc192767053 \h </w:instrText>
            </w:r>
            <w:r>
              <w:rPr>
                <w:noProof/>
                <w:webHidden/>
              </w:rPr>
            </w:r>
            <w:r>
              <w:rPr>
                <w:noProof/>
                <w:webHidden/>
              </w:rPr>
              <w:fldChar w:fldCharType="separate"/>
            </w:r>
            <w:r>
              <w:rPr>
                <w:noProof/>
                <w:webHidden/>
              </w:rPr>
              <w:t>122</w:t>
            </w:r>
            <w:r>
              <w:rPr>
                <w:noProof/>
                <w:webHidden/>
              </w:rPr>
              <w:fldChar w:fldCharType="end"/>
            </w:r>
          </w:hyperlink>
        </w:p>
        <w:p w14:paraId="07E8532B" w14:textId="5D6833F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4" w:history="1">
            <w:r w:rsidRPr="00425D25">
              <w:rPr>
                <w:rStyle w:val="Hyperlink"/>
              </w:rPr>
              <w:t>Table 120. 2024 Midstream Initiative Secondary Electric and Water Savings by Measure</w:t>
            </w:r>
            <w:r>
              <w:rPr>
                <w:noProof/>
                <w:webHidden/>
              </w:rPr>
              <w:tab/>
            </w:r>
            <w:r>
              <w:rPr>
                <w:noProof/>
                <w:webHidden/>
              </w:rPr>
              <w:fldChar w:fldCharType="begin"/>
            </w:r>
            <w:r>
              <w:rPr>
                <w:noProof/>
                <w:webHidden/>
              </w:rPr>
              <w:instrText xml:space="preserve"> PAGEREF _Toc192767054 \h </w:instrText>
            </w:r>
            <w:r>
              <w:rPr>
                <w:noProof/>
                <w:webHidden/>
              </w:rPr>
            </w:r>
            <w:r>
              <w:rPr>
                <w:noProof/>
                <w:webHidden/>
              </w:rPr>
              <w:fldChar w:fldCharType="separate"/>
            </w:r>
            <w:r>
              <w:rPr>
                <w:noProof/>
                <w:webHidden/>
              </w:rPr>
              <w:t>122</w:t>
            </w:r>
            <w:r>
              <w:rPr>
                <w:noProof/>
                <w:webHidden/>
              </w:rPr>
              <w:fldChar w:fldCharType="end"/>
            </w:r>
          </w:hyperlink>
        </w:p>
        <w:p w14:paraId="76CB4CD8" w14:textId="736438B4"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5" w:history="1">
            <w:r w:rsidRPr="00425D25">
              <w:rPr>
                <w:rStyle w:val="Hyperlink"/>
              </w:rPr>
              <w:t>Table 121. 2024 Midstream Initiative Verified Gross Impacts for Cost-Effectiveness</w:t>
            </w:r>
            <w:r>
              <w:rPr>
                <w:noProof/>
                <w:webHidden/>
              </w:rPr>
              <w:tab/>
            </w:r>
            <w:r>
              <w:rPr>
                <w:noProof/>
                <w:webHidden/>
              </w:rPr>
              <w:fldChar w:fldCharType="begin"/>
            </w:r>
            <w:r>
              <w:rPr>
                <w:noProof/>
                <w:webHidden/>
              </w:rPr>
              <w:instrText xml:space="preserve"> PAGEREF _Toc192767055 \h </w:instrText>
            </w:r>
            <w:r>
              <w:rPr>
                <w:noProof/>
                <w:webHidden/>
              </w:rPr>
            </w:r>
            <w:r>
              <w:rPr>
                <w:noProof/>
                <w:webHidden/>
              </w:rPr>
              <w:fldChar w:fldCharType="separate"/>
            </w:r>
            <w:r>
              <w:rPr>
                <w:noProof/>
                <w:webHidden/>
              </w:rPr>
              <w:t>123</w:t>
            </w:r>
            <w:r>
              <w:rPr>
                <w:noProof/>
                <w:webHidden/>
              </w:rPr>
              <w:fldChar w:fldCharType="end"/>
            </w:r>
          </w:hyperlink>
        </w:p>
        <w:p w14:paraId="704FEB75" w14:textId="446D266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6" w:history="1">
            <w:r w:rsidRPr="00425D25">
              <w:rPr>
                <w:rStyle w:val="Hyperlink"/>
              </w:rPr>
              <w:t>Table 122. 2024 Business Program CPAS and WAML</w:t>
            </w:r>
            <w:r>
              <w:rPr>
                <w:noProof/>
                <w:webHidden/>
              </w:rPr>
              <w:tab/>
            </w:r>
            <w:r>
              <w:rPr>
                <w:noProof/>
                <w:webHidden/>
              </w:rPr>
              <w:fldChar w:fldCharType="begin"/>
            </w:r>
            <w:r>
              <w:rPr>
                <w:noProof/>
                <w:webHidden/>
              </w:rPr>
              <w:instrText xml:space="preserve"> PAGEREF _Toc192767056 \h </w:instrText>
            </w:r>
            <w:r>
              <w:rPr>
                <w:noProof/>
                <w:webHidden/>
              </w:rPr>
            </w:r>
            <w:r>
              <w:rPr>
                <w:noProof/>
                <w:webHidden/>
              </w:rPr>
              <w:fldChar w:fldCharType="separate"/>
            </w:r>
            <w:r>
              <w:rPr>
                <w:noProof/>
                <w:webHidden/>
              </w:rPr>
              <w:t>124</w:t>
            </w:r>
            <w:r>
              <w:rPr>
                <w:noProof/>
                <w:webHidden/>
              </w:rPr>
              <w:fldChar w:fldCharType="end"/>
            </w:r>
          </w:hyperlink>
        </w:p>
        <w:p w14:paraId="4508E469" w14:textId="2727E6ED"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7" w:history="1">
            <w:r w:rsidRPr="00425D25">
              <w:rPr>
                <w:rStyle w:val="Hyperlink"/>
              </w:rPr>
              <w:t>Table 123. 2024 Standard Initiative Program CPAS and WAML</w:t>
            </w:r>
            <w:r>
              <w:rPr>
                <w:noProof/>
                <w:webHidden/>
              </w:rPr>
              <w:tab/>
            </w:r>
            <w:r>
              <w:rPr>
                <w:noProof/>
                <w:webHidden/>
              </w:rPr>
              <w:fldChar w:fldCharType="begin"/>
            </w:r>
            <w:r>
              <w:rPr>
                <w:noProof/>
                <w:webHidden/>
              </w:rPr>
              <w:instrText xml:space="preserve"> PAGEREF _Toc192767057 \h </w:instrText>
            </w:r>
            <w:r>
              <w:rPr>
                <w:noProof/>
                <w:webHidden/>
              </w:rPr>
            </w:r>
            <w:r>
              <w:rPr>
                <w:noProof/>
                <w:webHidden/>
              </w:rPr>
              <w:fldChar w:fldCharType="separate"/>
            </w:r>
            <w:r>
              <w:rPr>
                <w:noProof/>
                <w:webHidden/>
              </w:rPr>
              <w:t>125</w:t>
            </w:r>
            <w:r>
              <w:rPr>
                <w:noProof/>
                <w:webHidden/>
              </w:rPr>
              <w:fldChar w:fldCharType="end"/>
            </w:r>
          </w:hyperlink>
        </w:p>
        <w:p w14:paraId="012F6232" w14:textId="050A9981"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8" w:history="1">
            <w:r w:rsidRPr="00425D25">
              <w:rPr>
                <w:rStyle w:val="Hyperlink"/>
              </w:rPr>
              <w:t>Table 124. 2024 Custom Initiative Program CPAS and WAML</w:t>
            </w:r>
            <w:r>
              <w:rPr>
                <w:noProof/>
                <w:webHidden/>
              </w:rPr>
              <w:tab/>
            </w:r>
            <w:r>
              <w:rPr>
                <w:noProof/>
                <w:webHidden/>
              </w:rPr>
              <w:fldChar w:fldCharType="begin"/>
            </w:r>
            <w:r>
              <w:rPr>
                <w:noProof/>
                <w:webHidden/>
              </w:rPr>
              <w:instrText xml:space="preserve"> PAGEREF _Toc192767058 \h </w:instrText>
            </w:r>
            <w:r>
              <w:rPr>
                <w:noProof/>
                <w:webHidden/>
              </w:rPr>
            </w:r>
            <w:r>
              <w:rPr>
                <w:noProof/>
                <w:webHidden/>
              </w:rPr>
              <w:fldChar w:fldCharType="separate"/>
            </w:r>
            <w:r>
              <w:rPr>
                <w:noProof/>
                <w:webHidden/>
              </w:rPr>
              <w:t>126</w:t>
            </w:r>
            <w:r>
              <w:rPr>
                <w:noProof/>
                <w:webHidden/>
              </w:rPr>
              <w:fldChar w:fldCharType="end"/>
            </w:r>
          </w:hyperlink>
        </w:p>
        <w:p w14:paraId="11D6C7AC" w14:textId="39C839EF"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59" w:history="1">
            <w:r w:rsidRPr="00425D25">
              <w:rPr>
                <w:rStyle w:val="Hyperlink"/>
              </w:rPr>
              <w:t>Table 125. 2024 Retro-Commissioning Initiative Program CPAS and WAML</w:t>
            </w:r>
            <w:r>
              <w:rPr>
                <w:noProof/>
                <w:webHidden/>
              </w:rPr>
              <w:tab/>
            </w:r>
            <w:r>
              <w:rPr>
                <w:noProof/>
                <w:webHidden/>
              </w:rPr>
              <w:fldChar w:fldCharType="begin"/>
            </w:r>
            <w:r>
              <w:rPr>
                <w:noProof/>
                <w:webHidden/>
              </w:rPr>
              <w:instrText xml:space="preserve"> PAGEREF _Toc192767059 \h </w:instrText>
            </w:r>
            <w:r>
              <w:rPr>
                <w:noProof/>
                <w:webHidden/>
              </w:rPr>
            </w:r>
            <w:r>
              <w:rPr>
                <w:noProof/>
                <w:webHidden/>
              </w:rPr>
              <w:fldChar w:fldCharType="separate"/>
            </w:r>
            <w:r>
              <w:rPr>
                <w:noProof/>
                <w:webHidden/>
              </w:rPr>
              <w:t>126</w:t>
            </w:r>
            <w:r>
              <w:rPr>
                <w:noProof/>
                <w:webHidden/>
              </w:rPr>
              <w:fldChar w:fldCharType="end"/>
            </w:r>
          </w:hyperlink>
        </w:p>
        <w:p w14:paraId="77B6CB1A" w14:textId="781A9676"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0" w:history="1">
            <w:r w:rsidRPr="00425D25">
              <w:rPr>
                <w:rStyle w:val="Hyperlink"/>
              </w:rPr>
              <w:t>Table 126. 2024 Streetlighting Initiative Program CPAS and WAML</w:t>
            </w:r>
            <w:r>
              <w:rPr>
                <w:noProof/>
                <w:webHidden/>
              </w:rPr>
              <w:tab/>
            </w:r>
            <w:r>
              <w:rPr>
                <w:noProof/>
                <w:webHidden/>
              </w:rPr>
              <w:fldChar w:fldCharType="begin"/>
            </w:r>
            <w:r>
              <w:rPr>
                <w:noProof/>
                <w:webHidden/>
              </w:rPr>
              <w:instrText xml:space="preserve"> PAGEREF _Toc192767060 \h </w:instrText>
            </w:r>
            <w:r>
              <w:rPr>
                <w:noProof/>
                <w:webHidden/>
              </w:rPr>
            </w:r>
            <w:r>
              <w:rPr>
                <w:noProof/>
                <w:webHidden/>
              </w:rPr>
              <w:fldChar w:fldCharType="separate"/>
            </w:r>
            <w:r>
              <w:rPr>
                <w:noProof/>
                <w:webHidden/>
              </w:rPr>
              <w:t>127</w:t>
            </w:r>
            <w:r>
              <w:rPr>
                <w:noProof/>
                <w:webHidden/>
              </w:rPr>
              <w:fldChar w:fldCharType="end"/>
            </w:r>
          </w:hyperlink>
        </w:p>
        <w:p w14:paraId="3A9AA3F0" w14:textId="3D178C97"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1" w:history="1">
            <w:r w:rsidRPr="00425D25">
              <w:rPr>
                <w:rStyle w:val="Hyperlink"/>
              </w:rPr>
              <w:t>Table 127. 2024 Small Business Initiative Program CPAS and WAML</w:t>
            </w:r>
            <w:r>
              <w:rPr>
                <w:noProof/>
                <w:webHidden/>
              </w:rPr>
              <w:tab/>
            </w:r>
            <w:r>
              <w:rPr>
                <w:noProof/>
                <w:webHidden/>
              </w:rPr>
              <w:fldChar w:fldCharType="begin"/>
            </w:r>
            <w:r>
              <w:rPr>
                <w:noProof/>
                <w:webHidden/>
              </w:rPr>
              <w:instrText xml:space="preserve"> PAGEREF _Toc192767061 \h </w:instrText>
            </w:r>
            <w:r>
              <w:rPr>
                <w:noProof/>
                <w:webHidden/>
              </w:rPr>
            </w:r>
            <w:r>
              <w:rPr>
                <w:noProof/>
                <w:webHidden/>
              </w:rPr>
              <w:fldChar w:fldCharType="separate"/>
            </w:r>
            <w:r>
              <w:rPr>
                <w:noProof/>
                <w:webHidden/>
              </w:rPr>
              <w:t>128</w:t>
            </w:r>
            <w:r>
              <w:rPr>
                <w:noProof/>
                <w:webHidden/>
              </w:rPr>
              <w:fldChar w:fldCharType="end"/>
            </w:r>
          </w:hyperlink>
        </w:p>
        <w:p w14:paraId="598FF73E" w14:textId="345CC07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2" w:history="1">
            <w:r w:rsidRPr="00425D25">
              <w:rPr>
                <w:rStyle w:val="Hyperlink"/>
              </w:rPr>
              <w:t>Table 128. 2024 Midstream Initiative Program CPAS and WAML</w:t>
            </w:r>
            <w:r>
              <w:rPr>
                <w:noProof/>
                <w:webHidden/>
              </w:rPr>
              <w:tab/>
            </w:r>
            <w:r>
              <w:rPr>
                <w:noProof/>
                <w:webHidden/>
              </w:rPr>
              <w:fldChar w:fldCharType="begin"/>
            </w:r>
            <w:r>
              <w:rPr>
                <w:noProof/>
                <w:webHidden/>
              </w:rPr>
              <w:instrText xml:space="preserve"> PAGEREF _Toc192767062 \h </w:instrText>
            </w:r>
            <w:r>
              <w:rPr>
                <w:noProof/>
                <w:webHidden/>
              </w:rPr>
            </w:r>
            <w:r>
              <w:rPr>
                <w:noProof/>
                <w:webHidden/>
              </w:rPr>
              <w:fldChar w:fldCharType="separate"/>
            </w:r>
            <w:r>
              <w:rPr>
                <w:noProof/>
                <w:webHidden/>
              </w:rPr>
              <w:t>129</w:t>
            </w:r>
            <w:r>
              <w:rPr>
                <w:noProof/>
                <w:webHidden/>
              </w:rPr>
              <w:fldChar w:fldCharType="end"/>
            </w:r>
          </w:hyperlink>
        </w:p>
        <w:p w14:paraId="17C4FB08" w14:textId="030CE330" w:rsidR="00311011" w:rsidRDefault="00311011" w:rsidP="00311011">
          <w:pPr>
            <w:pStyle w:val="TOAHeading"/>
            <w:rPr>
              <w:rStyle w:val="Hyperlink"/>
            </w:rPr>
          </w:pPr>
          <w:r w:rsidRPr="005326AB">
            <w:rPr>
              <w:rStyle w:val="Hyperlink"/>
            </w:rPr>
            <w:fldChar w:fldCharType="end"/>
          </w:r>
        </w:p>
        <w:p w14:paraId="7ADF257D" w14:textId="77777777" w:rsidR="00311011" w:rsidRDefault="00311011" w:rsidP="00311011">
          <w:pPr>
            <w:pStyle w:val="TOAHeading"/>
            <w:rPr>
              <w:rStyle w:val="Hyperlink"/>
            </w:rPr>
          </w:pPr>
        </w:p>
        <w:p w14:paraId="5DAE2678" w14:textId="77777777" w:rsidR="00311011" w:rsidRPr="005326AB" w:rsidRDefault="00311011" w:rsidP="00311011">
          <w:pPr>
            <w:pStyle w:val="TOAHeading"/>
            <w:rPr>
              <w:rStyle w:val="Hyperlink"/>
            </w:rPr>
          </w:pPr>
          <w:r w:rsidRPr="003C4811">
            <w:t>FIGURES</w:t>
          </w:r>
        </w:p>
        <w:p w14:paraId="59F5CE99" w14:textId="0CC66207" w:rsidR="000458DD" w:rsidRDefault="00311011">
          <w:pPr>
            <w:pStyle w:val="TableofFigures"/>
            <w:rPr>
              <w:rFonts w:asciiTheme="minorHAnsi" w:eastAsiaTheme="minorEastAsia" w:hAnsiTheme="minorHAnsi" w:cstheme="minorBidi"/>
              <w:noProof/>
              <w:color w:val="auto"/>
              <w:kern w:val="2"/>
              <w:sz w:val="24"/>
              <w:szCs w:val="24"/>
              <w14:ligatures w14:val="standardContextual"/>
            </w:rPr>
          </w:pPr>
          <w:r w:rsidRPr="005326AB">
            <w:rPr>
              <w:rStyle w:val="Hyperlink"/>
            </w:rPr>
            <w:fldChar w:fldCharType="begin"/>
          </w:r>
          <w:r w:rsidRPr="005326AB">
            <w:rPr>
              <w:rStyle w:val="Hyperlink"/>
            </w:rPr>
            <w:instrText xml:space="preserve"> TOC \h \z \c "Figure" </w:instrText>
          </w:r>
          <w:r w:rsidRPr="005326AB">
            <w:rPr>
              <w:rStyle w:val="Hyperlink"/>
            </w:rPr>
            <w:fldChar w:fldCharType="separate"/>
          </w:r>
          <w:hyperlink w:anchor="_Toc192767063" w:history="1">
            <w:r w:rsidR="000458DD" w:rsidRPr="00093E12">
              <w:rPr>
                <w:rStyle w:val="Hyperlink"/>
              </w:rPr>
              <w:t>Figure 1. 2024 Standard Core Channel Participation by Facility Type</w:t>
            </w:r>
            <w:r w:rsidR="000458DD">
              <w:rPr>
                <w:noProof/>
                <w:webHidden/>
              </w:rPr>
              <w:tab/>
            </w:r>
            <w:r w:rsidR="000458DD">
              <w:rPr>
                <w:noProof/>
                <w:webHidden/>
              </w:rPr>
              <w:fldChar w:fldCharType="begin"/>
            </w:r>
            <w:r w:rsidR="000458DD">
              <w:rPr>
                <w:noProof/>
                <w:webHidden/>
              </w:rPr>
              <w:instrText xml:space="preserve"> PAGEREF _Toc192767063 \h </w:instrText>
            </w:r>
            <w:r w:rsidR="000458DD">
              <w:rPr>
                <w:noProof/>
                <w:webHidden/>
              </w:rPr>
            </w:r>
            <w:r w:rsidR="000458DD">
              <w:rPr>
                <w:noProof/>
                <w:webHidden/>
              </w:rPr>
              <w:fldChar w:fldCharType="separate"/>
            </w:r>
            <w:r w:rsidR="000458DD">
              <w:rPr>
                <w:noProof/>
                <w:webHidden/>
              </w:rPr>
              <w:t>21</w:t>
            </w:r>
            <w:r w:rsidR="000458DD">
              <w:rPr>
                <w:noProof/>
                <w:webHidden/>
              </w:rPr>
              <w:fldChar w:fldCharType="end"/>
            </w:r>
          </w:hyperlink>
        </w:p>
        <w:p w14:paraId="4603B3D3" w14:textId="33608698"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4" w:history="1">
            <w:r w:rsidRPr="00093E12">
              <w:rPr>
                <w:rStyle w:val="Hyperlink"/>
              </w:rPr>
              <w:t>Figure 2. 2024 Virtual Commissioning Participation by Facility Type</w:t>
            </w:r>
            <w:r>
              <w:rPr>
                <w:noProof/>
                <w:webHidden/>
              </w:rPr>
              <w:tab/>
            </w:r>
            <w:r>
              <w:rPr>
                <w:noProof/>
                <w:webHidden/>
              </w:rPr>
              <w:fldChar w:fldCharType="begin"/>
            </w:r>
            <w:r>
              <w:rPr>
                <w:noProof/>
                <w:webHidden/>
              </w:rPr>
              <w:instrText xml:space="preserve"> PAGEREF _Toc192767064 \h </w:instrText>
            </w:r>
            <w:r>
              <w:rPr>
                <w:noProof/>
                <w:webHidden/>
              </w:rPr>
            </w:r>
            <w:r>
              <w:rPr>
                <w:noProof/>
                <w:webHidden/>
              </w:rPr>
              <w:fldChar w:fldCharType="separate"/>
            </w:r>
            <w:r>
              <w:rPr>
                <w:noProof/>
                <w:webHidden/>
              </w:rPr>
              <w:t>49</w:t>
            </w:r>
            <w:r>
              <w:rPr>
                <w:noProof/>
                <w:webHidden/>
              </w:rPr>
              <w:fldChar w:fldCharType="end"/>
            </w:r>
          </w:hyperlink>
        </w:p>
        <w:p w14:paraId="1716833E" w14:textId="0CC36395"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5" w:history="1">
            <w:r w:rsidRPr="00093E12">
              <w:rPr>
                <w:rStyle w:val="Hyperlink"/>
              </w:rPr>
              <w:t>Figure 3. 2024 Small Business Direct Install Participation by Facility Type</w:t>
            </w:r>
            <w:r>
              <w:rPr>
                <w:noProof/>
                <w:webHidden/>
              </w:rPr>
              <w:tab/>
            </w:r>
            <w:r>
              <w:rPr>
                <w:noProof/>
                <w:webHidden/>
              </w:rPr>
              <w:fldChar w:fldCharType="begin"/>
            </w:r>
            <w:r>
              <w:rPr>
                <w:noProof/>
                <w:webHidden/>
              </w:rPr>
              <w:instrText xml:space="preserve"> PAGEREF _Toc192767065 \h </w:instrText>
            </w:r>
            <w:r>
              <w:rPr>
                <w:noProof/>
                <w:webHidden/>
              </w:rPr>
            </w:r>
            <w:r>
              <w:rPr>
                <w:noProof/>
                <w:webHidden/>
              </w:rPr>
              <w:fldChar w:fldCharType="separate"/>
            </w:r>
            <w:r>
              <w:rPr>
                <w:noProof/>
                <w:webHidden/>
              </w:rPr>
              <w:t>60</w:t>
            </w:r>
            <w:r>
              <w:rPr>
                <w:noProof/>
                <w:webHidden/>
              </w:rPr>
              <w:fldChar w:fldCharType="end"/>
            </w:r>
          </w:hyperlink>
        </w:p>
        <w:p w14:paraId="55B58FFA" w14:textId="030A933A" w:rsidR="000458DD" w:rsidRDefault="000458DD">
          <w:pPr>
            <w:pStyle w:val="TableofFigures"/>
            <w:rPr>
              <w:rFonts w:asciiTheme="minorHAnsi" w:eastAsiaTheme="minorEastAsia" w:hAnsiTheme="minorHAnsi" w:cstheme="minorBidi"/>
              <w:noProof/>
              <w:color w:val="auto"/>
              <w:kern w:val="2"/>
              <w:sz w:val="24"/>
              <w:szCs w:val="24"/>
              <w14:ligatures w14:val="standardContextual"/>
            </w:rPr>
          </w:pPr>
          <w:hyperlink w:anchor="_Toc192767066" w:history="1">
            <w:r w:rsidRPr="00093E12">
              <w:rPr>
                <w:rStyle w:val="Hyperlink"/>
              </w:rPr>
              <w:t>Figure 4. 2024 Small Business Energy Performance Participation by Facility Type</w:t>
            </w:r>
            <w:r>
              <w:rPr>
                <w:noProof/>
                <w:webHidden/>
              </w:rPr>
              <w:tab/>
            </w:r>
            <w:r>
              <w:rPr>
                <w:noProof/>
                <w:webHidden/>
              </w:rPr>
              <w:fldChar w:fldCharType="begin"/>
            </w:r>
            <w:r>
              <w:rPr>
                <w:noProof/>
                <w:webHidden/>
              </w:rPr>
              <w:instrText xml:space="preserve"> PAGEREF _Toc192767066 \h </w:instrText>
            </w:r>
            <w:r>
              <w:rPr>
                <w:noProof/>
                <w:webHidden/>
              </w:rPr>
            </w:r>
            <w:r>
              <w:rPr>
                <w:noProof/>
                <w:webHidden/>
              </w:rPr>
              <w:fldChar w:fldCharType="separate"/>
            </w:r>
            <w:r>
              <w:rPr>
                <w:noProof/>
                <w:webHidden/>
              </w:rPr>
              <w:t>63</w:t>
            </w:r>
            <w:r>
              <w:rPr>
                <w:noProof/>
                <w:webHidden/>
              </w:rPr>
              <w:fldChar w:fldCharType="end"/>
            </w:r>
          </w:hyperlink>
        </w:p>
        <w:p w14:paraId="05F40E66" w14:textId="31615B56" w:rsidR="00311011" w:rsidRDefault="00311011" w:rsidP="00311011">
          <w:pPr>
            <w:pStyle w:val="TOC1"/>
            <w:rPr>
              <w:noProof w:val="0"/>
            </w:rPr>
          </w:pPr>
          <w:r w:rsidRPr="005326AB">
            <w:rPr>
              <w:rStyle w:val="Hyperlink"/>
            </w:rPr>
            <w:fldChar w:fldCharType="end"/>
          </w:r>
        </w:p>
      </w:sdtContent>
    </w:sdt>
    <w:p w14:paraId="3C1B9772" w14:textId="77777777" w:rsidR="00BD573A" w:rsidRPr="00E7019E" w:rsidRDefault="00BD573A" w:rsidP="00E7019E"/>
    <w:p w14:paraId="098DD559" w14:textId="77777777" w:rsidR="00BD573A" w:rsidRPr="00BD573A" w:rsidRDefault="00BD573A" w:rsidP="00BD573A"/>
    <w:p w14:paraId="213E5E26" w14:textId="77777777" w:rsidR="00BD573A" w:rsidRPr="00BD573A" w:rsidRDefault="00BD573A" w:rsidP="00BD573A">
      <w:pPr>
        <w:sectPr w:rsidR="00BD573A" w:rsidRPr="00BD573A" w:rsidSect="00B45EFD">
          <w:headerReference w:type="default" r:id="rId18"/>
          <w:footerReference w:type="default" r:id="rId19"/>
          <w:type w:val="continuous"/>
          <w:pgSz w:w="12240" w:h="15840" w:code="1"/>
          <w:pgMar w:top="39" w:right="567" w:bottom="567" w:left="567" w:header="142" w:footer="340" w:gutter="0"/>
          <w:cols w:space="708"/>
          <w:titlePg/>
          <w:docGrid w:linePitch="360"/>
        </w:sectPr>
      </w:pPr>
    </w:p>
    <w:p w14:paraId="70AE8EB9" w14:textId="4E0FFABD" w:rsidR="00294548" w:rsidRDefault="002E7602" w:rsidP="006E68B0">
      <w:pPr>
        <w:pStyle w:val="Heading1"/>
      </w:pPr>
      <w:bookmarkStart w:id="0" w:name="_Toc191992394"/>
      <w:bookmarkStart w:id="1" w:name="_Toc192766895"/>
      <w:r>
        <w:lastRenderedPageBreak/>
        <w:t>Executive Summary</w:t>
      </w:r>
      <w:bookmarkEnd w:id="0"/>
      <w:bookmarkEnd w:id="1"/>
    </w:p>
    <w:p w14:paraId="73A654E0" w14:textId="2DF9EF1C" w:rsidR="009E5DB3" w:rsidRDefault="00C83536" w:rsidP="00150B28">
      <w:pPr>
        <w:pStyle w:val="BodyText"/>
      </w:pPr>
      <w:r>
        <w:t xml:space="preserve">This report presents the impact evaluation results </w:t>
      </w:r>
      <w:r w:rsidR="0085392F">
        <w:t>for</w:t>
      </w:r>
      <w:r>
        <w:t xml:space="preserve"> Ameren Illinois Company’s (AIC) 2024 Business Program. The Business Program is part of AIC’s overall portfolio of residential and nonresidential energy efficiency programs implemented during 2024. The overarching objective of the 2024 Business Program impact evaluation is to determine gross and net electric energy, electric demand, and fossil fuel impacts associated with the Program. </w:t>
      </w:r>
    </w:p>
    <w:p w14:paraId="300559D5" w14:textId="7119F23B" w:rsidR="002E7602" w:rsidRDefault="002E7602" w:rsidP="002E7602">
      <w:pPr>
        <w:pStyle w:val="Heading2"/>
      </w:pPr>
      <w:bookmarkStart w:id="2" w:name="_Toc191992395"/>
      <w:bookmarkStart w:id="3" w:name="_Toc192766896"/>
      <w:r>
        <w:t>Program Overview</w:t>
      </w:r>
      <w:bookmarkEnd w:id="2"/>
      <w:bookmarkEnd w:id="3"/>
    </w:p>
    <w:p w14:paraId="01632650" w14:textId="5492353D" w:rsidR="00C83536" w:rsidRDefault="00C83536" w:rsidP="00C83536">
      <w:r>
        <w:t>The Business Program is the largest component of AIC’s portfolio and is made up of several initiatives (further broken down into channels) that the evaluation team assessed as part of the 2024 evaluation:</w:t>
      </w:r>
      <w:r w:rsidR="00FB0371">
        <w:rPr>
          <w:rStyle w:val="FootnoteReference"/>
        </w:rPr>
        <w:footnoteReference w:id="1"/>
      </w:r>
      <w:r>
        <w:t xml:space="preserve"> </w:t>
      </w:r>
    </w:p>
    <w:p w14:paraId="44A280DD" w14:textId="73B6CB23" w:rsidR="00C83536" w:rsidRDefault="00C83536" w:rsidP="00C83536">
      <w:pPr>
        <w:pStyle w:val="ListBullet"/>
      </w:pPr>
      <w:r>
        <w:t>Standard Initiative</w:t>
      </w:r>
    </w:p>
    <w:p w14:paraId="6577FF6F" w14:textId="707C8519" w:rsidR="00C83536" w:rsidRDefault="00C83536" w:rsidP="00C83536">
      <w:pPr>
        <w:pStyle w:val="ListBullet2"/>
      </w:pPr>
      <w:r>
        <w:t>Core channel</w:t>
      </w:r>
    </w:p>
    <w:p w14:paraId="62C82861" w14:textId="33E396EC" w:rsidR="00C83536" w:rsidRDefault="00C83536" w:rsidP="00C83536">
      <w:pPr>
        <w:pStyle w:val="ListBullet2"/>
      </w:pPr>
      <w:r>
        <w:t xml:space="preserve">Online Store channel </w:t>
      </w:r>
    </w:p>
    <w:p w14:paraId="5F1F9822" w14:textId="145337DB" w:rsidR="00C83536" w:rsidRDefault="00C83536" w:rsidP="00C83536">
      <w:pPr>
        <w:pStyle w:val="ListBullet2"/>
      </w:pPr>
      <w:r>
        <w:t>Building Operator Certification (BOC)</w:t>
      </w:r>
      <w:r w:rsidR="001F2D5C">
        <w:t xml:space="preserve"> Training channel</w:t>
      </w:r>
    </w:p>
    <w:p w14:paraId="73388F3D" w14:textId="2405D134" w:rsidR="00C83536" w:rsidRDefault="00C83536" w:rsidP="00C83536">
      <w:pPr>
        <w:pStyle w:val="ListBullet"/>
      </w:pPr>
      <w:r>
        <w:t xml:space="preserve">Custom Initiative </w:t>
      </w:r>
    </w:p>
    <w:p w14:paraId="0112F052" w14:textId="6A09ED52" w:rsidR="00C83536" w:rsidRDefault="00C83536" w:rsidP="00C83536">
      <w:pPr>
        <w:pStyle w:val="ListBullet2"/>
      </w:pPr>
      <w:r>
        <w:t>Custom Incentives channel</w:t>
      </w:r>
    </w:p>
    <w:p w14:paraId="1C55C373" w14:textId="2A95BD33" w:rsidR="00C83536" w:rsidRDefault="00C83536" w:rsidP="00C83536">
      <w:pPr>
        <w:pStyle w:val="ListBullet2"/>
      </w:pPr>
      <w:r>
        <w:t>New Construction Lighting channel</w:t>
      </w:r>
    </w:p>
    <w:p w14:paraId="781F3810" w14:textId="1653D145" w:rsidR="00C83536" w:rsidRDefault="00C83536" w:rsidP="00C83536">
      <w:pPr>
        <w:pStyle w:val="ListBullet"/>
      </w:pPr>
      <w:r>
        <w:t>Retro-Commissioning (RCx) Initiative</w:t>
      </w:r>
    </w:p>
    <w:p w14:paraId="399EF88F" w14:textId="09DAF4C6" w:rsidR="00C83536" w:rsidRDefault="00C83536" w:rsidP="00C83536">
      <w:pPr>
        <w:pStyle w:val="ListBullet2"/>
      </w:pPr>
      <w:r>
        <w:t>Core channel (RCx Core)</w:t>
      </w:r>
    </w:p>
    <w:p w14:paraId="31948ADF" w14:textId="7D6BCCC3" w:rsidR="00C83536" w:rsidRDefault="00C83536" w:rsidP="00C83536">
      <w:pPr>
        <w:pStyle w:val="ListBullet2"/>
      </w:pPr>
      <w:r>
        <w:t>Virtual Commissioning</w:t>
      </w:r>
      <w:r w:rsidRPr="00663A8B">
        <w:t>™</w:t>
      </w:r>
      <w:r>
        <w:t xml:space="preserve"> channel (VCx)</w:t>
      </w:r>
    </w:p>
    <w:p w14:paraId="30D47BC1" w14:textId="19C201FB" w:rsidR="001F2D5C" w:rsidRDefault="001F2D5C" w:rsidP="001F2D5C">
      <w:pPr>
        <w:pStyle w:val="ListBullet2"/>
      </w:pPr>
      <w:r>
        <w:t>Virtual Strategic Energy Management (Virtual SEM) channel</w:t>
      </w:r>
    </w:p>
    <w:p w14:paraId="7F850B0D" w14:textId="37A4BFF2" w:rsidR="00C83536" w:rsidRDefault="00C83536" w:rsidP="00C83536">
      <w:pPr>
        <w:pStyle w:val="ListBullet"/>
      </w:pPr>
      <w:r>
        <w:t>Streetlighting Initiative</w:t>
      </w:r>
    </w:p>
    <w:p w14:paraId="157902A5" w14:textId="291B4D36" w:rsidR="00C83536" w:rsidRDefault="00C83536" w:rsidP="00C83536">
      <w:pPr>
        <w:pStyle w:val="ListBullet2"/>
      </w:pPr>
      <w:r>
        <w:t>Municipality-Owned Streetlighting (MOSL)</w:t>
      </w:r>
      <w:r w:rsidR="001F2D5C">
        <w:t xml:space="preserve"> channel </w:t>
      </w:r>
    </w:p>
    <w:p w14:paraId="492C7FFA" w14:textId="10999E62" w:rsidR="00C83536" w:rsidRDefault="00C83536" w:rsidP="00C83536">
      <w:pPr>
        <w:pStyle w:val="ListBullet2"/>
      </w:pPr>
      <w:r>
        <w:t>Utility-Owned Streetlighting (UOSL)</w:t>
      </w:r>
      <w:r w:rsidR="001F2D5C">
        <w:t xml:space="preserve"> channel </w:t>
      </w:r>
    </w:p>
    <w:p w14:paraId="13FE14B6" w14:textId="232F1E01" w:rsidR="00C83536" w:rsidRDefault="00C83536" w:rsidP="00C83536">
      <w:pPr>
        <w:pStyle w:val="ListBullet"/>
      </w:pPr>
      <w:r>
        <w:t xml:space="preserve">Small Business Initiative </w:t>
      </w:r>
    </w:p>
    <w:p w14:paraId="267F5B3F" w14:textId="34126D23" w:rsidR="00C83536" w:rsidRDefault="00C83536" w:rsidP="00C83536">
      <w:pPr>
        <w:pStyle w:val="ListBullet2"/>
      </w:pPr>
      <w:r>
        <w:t>Small Business Direct Install (SBDI)</w:t>
      </w:r>
      <w:r w:rsidR="001F2D5C">
        <w:t xml:space="preserve"> channel </w:t>
      </w:r>
    </w:p>
    <w:p w14:paraId="3D1DAC35" w14:textId="4A8C0AD7" w:rsidR="00C83536" w:rsidRDefault="00C83536" w:rsidP="00C83536">
      <w:pPr>
        <w:pStyle w:val="ListBullet2"/>
      </w:pPr>
      <w:r>
        <w:t>Small Business Energy Performance (SBEP)</w:t>
      </w:r>
      <w:r w:rsidR="001F2D5C">
        <w:t xml:space="preserve"> channel </w:t>
      </w:r>
    </w:p>
    <w:p w14:paraId="76DC3BEB" w14:textId="304E8559" w:rsidR="00C83536" w:rsidRDefault="00C83536" w:rsidP="00C83536">
      <w:pPr>
        <w:pStyle w:val="ListBullet"/>
      </w:pPr>
      <w:r>
        <w:t>Midstream Initiative</w:t>
      </w:r>
    </w:p>
    <w:p w14:paraId="75E4D9CB" w14:textId="23B2C71A" w:rsidR="00C83536" w:rsidRDefault="00C83536" w:rsidP="00C83536">
      <w:pPr>
        <w:pStyle w:val="ListBullet2"/>
      </w:pPr>
      <w:r>
        <w:t>Lighting channel</w:t>
      </w:r>
    </w:p>
    <w:p w14:paraId="688B92CE" w14:textId="49887E6D" w:rsidR="00C83536" w:rsidRDefault="00C83536" w:rsidP="00C83536">
      <w:pPr>
        <w:pStyle w:val="ListBullet2"/>
      </w:pPr>
      <w:r>
        <w:t>HVAC channel</w:t>
      </w:r>
    </w:p>
    <w:p w14:paraId="4EE80415" w14:textId="6856917A" w:rsidR="00C83536" w:rsidRDefault="00C83536" w:rsidP="00C83536">
      <w:pPr>
        <w:pStyle w:val="ListBullet2"/>
      </w:pPr>
      <w:r>
        <w:t>Food Service channel</w:t>
      </w:r>
    </w:p>
    <w:p w14:paraId="4033C2BF" w14:textId="368788D1" w:rsidR="005E1260" w:rsidRDefault="005E1260" w:rsidP="005E1260">
      <w:pPr>
        <w:pStyle w:val="ListBullet"/>
      </w:pPr>
      <w:r>
        <w:t>Luminaire</w:t>
      </w:r>
      <w:r w:rsidR="00062EDA">
        <w:t>-</w:t>
      </w:r>
      <w:r>
        <w:t>Level Lighting Control (LLLC)</w:t>
      </w:r>
      <w:r w:rsidR="00062EDA">
        <w:t xml:space="preserve"> Market Transformation</w:t>
      </w:r>
      <w:r w:rsidR="003D2B1D">
        <w:t xml:space="preserve"> </w:t>
      </w:r>
      <w:r w:rsidR="00062EDA">
        <w:t>(MT)</w:t>
      </w:r>
      <w:r w:rsidR="003D2B1D">
        <w:t xml:space="preserve"> Pilot</w:t>
      </w:r>
      <w:r>
        <w:rPr>
          <w:rStyle w:val="FootnoteReference"/>
        </w:rPr>
        <w:footnoteReference w:id="2"/>
      </w:r>
    </w:p>
    <w:p w14:paraId="1A059777" w14:textId="705C3232" w:rsidR="00C83536" w:rsidRPr="00C83536" w:rsidRDefault="00C83536" w:rsidP="00C83536">
      <w:r>
        <w:lastRenderedPageBreak/>
        <w:t xml:space="preserve">The initiatives are designed to achieve energy savings from nonresidential customers in accordance with AIC’s plan filing. The Small Business and Standard </w:t>
      </w:r>
      <w:r w:rsidR="00862ADA">
        <w:t>I</w:t>
      </w:r>
      <w:r>
        <w:t xml:space="preserve">nitiatives </w:t>
      </w:r>
      <w:r w:rsidR="001F2D5C">
        <w:t>are key drivers</w:t>
      </w:r>
      <w:r w:rsidR="001F2D5C" w:rsidRPr="00663A8B">
        <w:t xml:space="preserve"> </w:t>
      </w:r>
      <w:r>
        <w:t xml:space="preserve">of Business Program energy savings; they primarily provide </w:t>
      </w:r>
      <w:r w:rsidR="00862ADA">
        <w:t>customers with energy assessments, prescriptive rebates, and installation services</w:t>
      </w:r>
      <w:r>
        <w:t xml:space="preserve">. The </w:t>
      </w:r>
      <w:r w:rsidR="001F2D5C">
        <w:t>C</w:t>
      </w:r>
      <w:r>
        <w:t xml:space="preserve">ustom and RCx </w:t>
      </w:r>
      <w:r w:rsidR="00862ADA">
        <w:t>I</w:t>
      </w:r>
      <w:r>
        <w:t xml:space="preserve">nitiatives provide information, technical support, and financial assistance for </w:t>
      </w:r>
      <w:r w:rsidR="009A25BF">
        <w:t xml:space="preserve">custom </w:t>
      </w:r>
      <w:r>
        <w:t xml:space="preserve">energy efficiency projects. The Midstream Initiative </w:t>
      </w:r>
      <w:r w:rsidR="00862ADA">
        <w:t>incentivizes</w:t>
      </w:r>
      <w:r>
        <w:t xml:space="preserve"> equipment wholesalers and distributors to reduce prices at the point of </w:t>
      </w:r>
      <w:r w:rsidR="0085392F">
        <w:t>sale and</w:t>
      </w:r>
      <w:r w:rsidR="001F2D5C">
        <w:t xml:space="preserve"> is becoming an increasing point of emphasis for the </w:t>
      </w:r>
      <w:r w:rsidR="00DD3A42">
        <w:t>p</w:t>
      </w:r>
      <w:r w:rsidR="001F2D5C">
        <w:t>rogram. Lastly,</w:t>
      </w:r>
      <w:r w:rsidR="001F2D5C" w:rsidRPr="00663A8B">
        <w:t xml:space="preserve"> </w:t>
      </w:r>
      <w:r>
        <w:t xml:space="preserve">the Streetlighting Initiative seeks to increase </w:t>
      </w:r>
      <w:r w:rsidR="0085392F">
        <w:t>the adoption</w:t>
      </w:r>
      <w:r>
        <w:t xml:space="preserve"> of energy-efficient streetlights throughout AIC’s territory. </w:t>
      </w:r>
    </w:p>
    <w:p w14:paraId="2E7B306A" w14:textId="51A9F586" w:rsidR="002E7602" w:rsidRDefault="002E7602" w:rsidP="002E7602">
      <w:pPr>
        <w:pStyle w:val="Heading2"/>
      </w:pPr>
      <w:bookmarkStart w:id="4" w:name="_Toc191992396"/>
      <w:bookmarkStart w:id="5" w:name="_Toc192766897"/>
      <w:r>
        <w:t>Policy Background</w:t>
      </w:r>
      <w:bookmarkEnd w:id="4"/>
      <w:bookmarkEnd w:id="5"/>
    </w:p>
    <w:p w14:paraId="7C2421B8" w14:textId="5BDA5B12" w:rsidR="002B2845" w:rsidRDefault="002B2845" w:rsidP="002B2845">
      <w:r>
        <w:t xml:space="preserve">This is the </w:t>
      </w:r>
      <w:r w:rsidR="00357A4A">
        <w:t>third</w:t>
      </w:r>
      <w:r>
        <w:t xml:space="preserve"> calendar year of AIC’s sixth Electric and Gas Energy Efficiency and Demand Response Plan, covering calendar years 2022</w:t>
      </w:r>
      <w:r w:rsidR="00862ADA">
        <w:t>–</w:t>
      </w:r>
      <w:r>
        <w:t xml:space="preserve">2025 (Plan 6). </w:t>
      </w:r>
      <w:r w:rsidR="00357A4A">
        <w:t xml:space="preserve">AIC’s Plan 6 portfolio is governed by components of Illinois state law (220 ILCS 5/8-103B [Section 8-103B] and 220 ILCS 5/8-104 [Section 8-104]) </w:t>
      </w:r>
      <w:r w:rsidR="009A25BF">
        <w:t>that direc</w:t>
      </w:r>
      <w:r w:rsidR="00211C84">
        <w:t>t</w:t>
      </w:r>
      <w:r w:rsidR="00357A4A">
        <w:t xml:space="preserve"> large, regulated utilities to offer electric and gas energy efficiency programs. Section 8-103B and Section 8-104 were recently substantively revised through the passage of Illinois Public Act 102-0662 (the Climate and Equitable Jobs Act, or CEJA) in September 2021.</w:t>
      </w:r>
    </w:p>
    <w:p w14:paraId="54268F2F" w14:textId="4A19FD61" w:rsidR="002B2845" w:rsidRDefault="002B2845" w:rsidP="002B2845">
      <w:r>
        <w:t xml:space="preserve">Section 8-103B and Section 8-104 define key </w:t>
      </w:r>
      <w:r w:rsidR="00862ADA">
        <w:t>policy points</w:t>
      </w:r>
      <w:r>
        <w:t xml:space="preserve"> relevant to </w:t>
      </w:r>
      <w:r w:rsidR="00862ADA">
        <w:t xml:space="preserve">evaluating the 2024 AIC Business Program. These </w:t>
      </w:r>
      <w:r>
        <w:t>are summarized below as context for this evaluation report.</w:t>
      </w:r>
    </w:p>
    <w:p w14:paraId="548D5FB1" w14:textId="778330ED" w:rsidR="00E141BA" w:rsidRDefault="00E141BA" w:rsidP="00E141BA">
      <w:pPr>
        <w:pStyle w:val="ListBullet"/>
      </w:pPr>
      <w:r w:rsidRPr="00E141BA">
        <w:rPr>
          <w:b/>
          <w:bCs/>
        </w:rPr>
        <w:t>Cumulative Persisting Annual Savings (CPAS</w:t>
      </w:r>
      <w:r w:rsidRPr="0085392F">
        <w:rPr>
          <w:b/>
          <w:bCs/>
        </w:rPr>
        <w:t>)</w:t>
      </w:r>
      <w:r w:rsidRPr="00E141BA">
        <w:t xml:space="preserve">: Since 2018, electric energy savings goals for Illinois utilities have been primarily defined based on persisting savings as a percentage of sales. </w:t>
      </w:r>
      <w:r w:rsidR="009A25BF">
        <w:t>Therefore</w:t>
      </w:r>
      <w:r w:rsidRPr="00E141BA">
        <w:t>, annual evaluations of AIC’s electric energy efficiency programs must present both annual and persisting savings over the life of delivered measures. As a result, AIC and its program implementer have sought to deliver programs that achieve savings that persist for longer periods of time.</w:t>
      </w:r>
    </w:p>
    <w:p w14:paraId="7F65B9D2" w14:textId="25FB7105" w:rsidR="00E141BA" w:rsidRDefault="00E141BA" w:rsidP="00E141BA">
      <w:pPr>
        <w:pStyle w:val="ListBullet"/>
      </w:pPr>
      <w:r w:rsidRPr="00B63B6D">
        <w:rPr>
          <w:b/>
          <w:bCs/>
        </w:rPr>
        <w:t xml:space="preserve">Weighted Average Measure Life (WAML): </w:t>
      </w:r>
      <w:r>
        <w:t xml:space="preserve">Section 8-103B allows AIC to create a regulatory asset from all of its </w:t>
      </w:r>
      <w:r w:rsidR="009A25BF">
        <w:t xml:space="preserve">expenditures incurred under Section </w:t>
      </w:r>
      <w:r>
        <w:t>8-103B</w:t>
      </w:r>
      <w:r w:rsidR="009A25BF">
        <w:t xml:space="preserve">. AIC can then </w:t>
      </w:r>
      <w:r>
        <w:t>amortize and recover the total expenditures of</w:t>
      </w:r>
      <w:r w:rsidR="009A25BF">
        <w:t xml:space="preserve"> this</w:t>
      </w:r>
      <w:r>
        <w:t xml:space="preserve"> regulatory asset “over a period that is equal to the weighted average of the measure lives implemented for that year that are reflected in the regulatory asset.”</w:t>
      </w:r>
      <w:r>
        <w:rPr>
          <w:rStyle w:val="FootnoteReference"/>
        </w:rPr>
        <w:footnoteReference w:id="3"/>
      </w:r>
      <w:r>
        <w:t xml:space="preserve"> Therefore, annual evaluations of AIC’s electric energy efficiency programs must present a WAML in accordance with the </w:t>
      </w:r>
      <w:r w:rsidR="00862ADA">
        <w:t>calculation guidelines</w:t>
      </w:r>
      <w:r>
        <w:t xml:space="preserve"> in the Illinois Stakeholder Advisory Group’s (SAG) WAML Report and the Illinois Energy Efficiency Policy Manual.</w:t>
      </w:r>
      <w:r>
        <w:rPr>
          <w:rStyle w:val="FootnoteReference"/>
        </w:rPr>
        <w:footnoteReference w:id="4"/>
      </w:r>
    </w:p>
    <w:p w14:paraId="3CDDB016" w14:textId="437231A3" w:rsidR="00E141BA" w:rsidRDefault="00E141BA" w:rsidP="00E141BA">
      <w:pPr>
        <w:pStyle w:val="ListBullet"/>
      </w:pPr>
      <w:r w:rsidRPr="00B63B6D">
        <w:rPr>
          <w:b/>
          <w:bCs/>
        </w:rPr>
        <w:t xml:space="preserve">Applicable Annual Incremental Goal (AAIG): </w:t>
      </w:r>
      <w:r>
        <w:t>Section 8-103B allows AIC to earn a rate of return on their electric energy efficiency spending if they create a regulatory asset, as discussed above. The rate of return that is earned can be adjusted either up or down as a function of AIC’s performance relative to its AAIG. The AAIG is defined as the difference between the cumulative persisting electric savings goal for the year being evaluated and the cumulative persisting electric savings goal for the previous year. AIC must achieve sufficient savings through its programs to replace savings from measures at the end of their measure life before progress can be counted toward the AAIG. Therefore, annual evaluations of AIC’s electric energy efficiency programs must assess AIC’s performance against its AAIG.</w:t>
      </w:r>
    </w:p>
    <w:p w14:paraId="546CFC23" w14:textId="4347F5D9" w:rsidR="00E141BA" w:rsidRDefault="00E141BA" w:rsidP="00E141BA">
      <w:pPr>
        <w:pStyle w:val="ListBullet"/>
      </w:pPr>
      <w:r w:rsidRPr="00B63B6D">
        <w:rPr>
          <w:b/>
          <w:bCs/>
        </w:rPr>
        <w:t xml:space="preserve">(b-25) Savings Conversion: </w:t>
      </w:r>
      <w:r>
        <w:t xml:space="preserve">Subsection (b-25) of Section 8-103B allows electric utilities to “convert” savings achieved of other fuels, including natural gas, to electric savings for the purposes of goal attainment in certain cases. The total amount of savings allowed to be converted is capped at a maximum of 10% of the utility’s </w:t>
      </w:r>
      <w:r>
        <w:lastRenderedPageBreak/>
        <w:t>applicable annual total savings requirement.</w:t>
      </w:r>
      <w:r>
        <w:rPr>
          <w:rStyle w:val="FootnoteReference"/>
        </w:rPr>
        <w:footnoteReference w:id="5"/>
      </w:r>
      <w:r w:rsidR="0085392F" w:rsidRPr="0085392F">
        <w:rPr>
          <w:vertAlign w:val="superscript"/>
        </w:rPr>
        <w:t>,</w:t>
      </w:r>
      <w:r>
        <w:rPr>
          <w:rStyle w:val="FootnoteReference"/>
        </w:rPr>
        <w:footnoteReference w:id="6"/>
      </w:r>
      <w:r w:rsidR="00211C84">
        <w:rPr>
          <w:vertAlign w:val="superscript"/>
        </w:rPr>
        <w:t xml:space="preserve"> </w:t>
      </w:r>
      <w:r w:rsidR="00211C84">
        <w:t xml:space="preserve">The </w:t>
      </w:r>
      <w:r w:rsidR="00211C84" w:rsidRPr="00307925">
        <w:rPr>
          <w:i/>
          <w:iCs/>
        </w:rPr>
        <w:t>2024 AIC Integrated Impact Evaluation Report</w:t>
      </w:r>
      <w:r w:rsidR="00211C84">
        <w:rPr>
          <w:i/>
          <w:iCs/>
        </w:rPr>
        <w:t xml:space="preserve"> </w:t>
      </w:r>
      <w:r w:rsidR="00211C84" w:rsidRPr="00AA6E13">
        <w:t xml:space="preserve">presents the </w:t>
      </w:r>
      <w:r w:rsidR="00211C84">
        <w:rPr>
          <w:i/>
          <w:iCs/>
        </w:rPr>
        <w:t>s</w:t>
      </w:r>
      <w:r w:rsidR="00062EDA">
        <w:t>avings AIC claimed in 2024 via (b-25) conversions; this report presents actual savings achieved for all fuels.</w:t>
      </w:r>
    </w:p>
    <w:p w14:paraId="49763558" w14:textId="6379D5A5" w:rsidR="00E141BA" w:rsidRPr="002B2845" w:rsidRDefault="00D36CFE" w:rsidP="00045964">
      <w:pPr>
        <w:pStyle w:val="ListBullet"/>
      </w:pPr>
      <w:r w:rsidRPr="00D36CFE">
        <w:rPr>
          <w:b/>
          <w:bCs/>
        </w:rPr>
        <w:t>Large Customer Opt-Outs:</w:t>
      </w:r>
      <w:r w:rsidRPr="00D36CFE">
        <w:t xml:space="preserve"> </w:t>
      </w:r>
      <w:r w:rsidR="00357A4A">
        <w:t>In 2018, the Future Energy Jobs Act (FEJA) excluded large electric customers from participating in AIC’s Business Program.</w:t>
      </w:r>
      <w:r w:rsidR="00357A4A" w:rsidRPr="004E5C5D">
        <w:rPr>
          <w:vertAlign w:val="superscript"/>
        </w:rPr>
        <w:footnoteReference w:id="7"/>
      </w:r>
      <w:r w:rsidR="00357A4A">
        <w:t xml:space="preserve"> CEJA removed this exclusion starting in the 2022 program year; however, large electric customers can still opt</w:t>
      </w:r>
      <w:r w:rsidR="00211C84">
        <w:t xml:space="preserve"> </w:t>
      </w:r>
      <w:r w:rsidR="00357A4A">
        <w:t>out of the programs. Large electric customers who opt</w:t>
      </w:r>
      <w:r w:rsidR="00211C84">
        <w:t xml:space="preserve"> </w:t>
      </w:r>
      <w:r w:rsidR="00357A4A">
        <w:t>out of the Program must submit an American Society of Heating, Refrigeration, and Air-Conditioning Engineers (ASHRAE) level 2 or higher audit report to the utility</w:t>
      </w:r>
      <w:r w:rsidR="00211C84">
        <w:t>. This report should</w:t>
      </w:r>
      <w:r w:rsidR="00357A4A">
        <w:t xml:space="preserve"> identif</w:t>
      </w:r>
      <w:r w:rsidR="00211C84">
        <w:t>y</w:t>
      </w:r>
      <w:r w:rsidR="00357A4A">
        <w:t xml:space="preserve"> all cost-effective energy efficiency project opportunities that could be invested in over the next 10 years</w:t>
      </w:r>
      <w:r w:rsidR="00211C84">
        <w:t xml:space="preserve">. Additionally, customers must provide </w:t>
      </w:r>
      <w:r w:rsidR="00357A4A">
        <w:t xml:space="preserve">a detailed plan </w:t>
      </w:r>
      <w:r w:rsidR="00211C84">
        <w:t xml:space="preserve">outlining how they intend to reallocate the funds they would have paid into the utility's energy efficiency programs toward their </w:t>
      </w:r>
      <w:r w:rsidR="00357A4A">
        <w:t xml:space="preserve">internal energy efficiency efforts. Opt-outs are only valid for a given plan cycle; large electric customers must request to </w:t>
      </w:r>
      <w:r w:rsidR="00211C84">
        <w:t>opt out</w:t>
      </w:r>
      <w:r w:rsidR="00357A4A">
        <w:t xml:space="preserve"> of future cycles. In 2020, large gas customers became ineligible to participate in AIC’s Business Program; they remain excluded</w:t>
      </w:r>
      <w:r w:rsidRPr="00D36CFE">
        <w:t>.</w:t>
      </w:r>
      <w:r>
        <w:rPr>
          <w:rStyle w:val="FootnoteReference"/>
        </w:rPr>
        <w:footnoteReference w:id="8"/>
      </w:r>
    </w:p>
    <w:p w14:paraId="3D0E0F5E" w14:textId="633F2166" w:rsidR="002E7602" w:rsidRDefault="002E7602" w:rsidP="002E7602">
      <w:pPr>
        <w:pStyle w:val="Heading2"/>
      </w:pPr>
      <w:bookmarkStart w:id="6" w:name="_Toc191992397"/>
      <w:bookmarkStart w:id="7" w:name="_Toc192766898"/>
      <w:r>
        <w:t>Program Savings</w:t>
      </w:r>
      <w:bookmarkEnd w:id="6"/>
      <w:bookmarkEnd w:id="7"/>
    </w:p>
    <w:p w14:paraId="362D4DF5" w14:textId="19ECDCE9" w:rsidR="00045964" w:rsidRPr="00045964" w:rsidRDefault="00045964" w:rsidP="00045964">
      <w:r w:rsidRPr="00045964">
        <w:t>In the following sections, the evaluation team presents annual savings (annualized 202</w:t>
      </w:r>
      <w:r>
        <w:t>4</w:t>
      </w:r>
      <w:r w:rsidRPr="00045964">
        <w:t xml:space="preserve"> energy savings) and CPAS for AIC's Business Program. As discussed in greater detail in the </w:t>
      </w:r>
      <w:r w:rsidRPr="00357A4A">
        <w:rPr>
          <w:i/>
          <w:iCs/>
        </w:rPr>
        <w:t>2024 AIC Integrated Impact Evaluation Report</w:t>
      </w:r>
      <w:r w:rsidRPr="00045964">
        <w:t>, AIC’s performance compared to its AAIG is determined based on both types of savings.</w:t>
      </w:r>
    </w:p>
    <w:p w14:paraId="4B1BE670" w14:textId="0C664708" w:rsidR="002E7602" w:rsidRDefault="002E7602" w:rsidP="003F6F9A">
      <w:pPr>
        <w:pStyle w:val="Heading3"/>
        <w:tabs>
          <w:tab w:val="clear" w:pos="2160"/>
          <w:tab w:val="num" w:pos="1080"/>
        </w:tabs>
        <w:ind w:left="0"/>
      </w:pPr>
      <w:bookmarkStart w:id="8" w:name="_Toc191992398"/>
      <w:r>
        <w:t>Annual Savings</w:t>
      </w:r>
      <w:bookmarkEnd w:id="8"/>
    </w:p>
    <w:p w14:paraId="6933E492" w14:textId="42F763A7" w:rsidR="00045964" w:rsidRDefault="00045964" w:rsidP="00045964">
      <w:r w:rsidRPr="00045964">
        <w:t>The 202</w:t>
      </w:r>
      <w:r>
        <w:t>4</w:t>
      </w:r>
      <w:r w:rsidRPr="00045964">
        <w:t xml:space="preserve"> Business Program achieved </w:t>
      </w:r>
      <w:r w:rsidR="00424F0A">
        <w:t>175,3</w:t>
      </w:r>
      <w:r w:rsidR="00AD2CD7">
        <w:t>38</w:t>
      </w:r>
      <w:r w:rsidRPr="00045964">
        <w:t xml:space="preserve"> MWh, </w:t>
      </w:r>
      <w:r w:rsidR="00424F0A">
        <w:t>26.</w:t>
      </w:r>
      <w:r w:rsidR="00AD2CD7">
        <w:t>88</w:t>
      </w:r>
      <w:r w:rsidR="00AD2CD7" w:rsidRPr="00045964">
        <w:t xml:space="preserve"> </w:t>
      </w:r>
      <w:r w:rsidRPr="00045964">
        <w:t xml:space="preserve">MW, and </w:t>
      </w:r>
      <w:r w:rsidR="00424F0A">
        <w:t>2,</w:t>
      </w:r>
      <w:r w:rsidR="00AD2CD7">
        <w:t>888</w:t>
      </w:r>
      <w:r w:rsidR="00424F0A">
        <w:t>,6</w:t>
      </w:r>
      <w:r w:rsidR="00AD2CD7">
        <w:t>19</w:t>
      </w:r>
      <w:r w:rsidRPr="00045964">
        <w:t xml:space="preserve"> therms in verified net savings. </w:t>
      </w:r>
      <w:r w:rsidR="00760C8A">
        <w:fldChar w:fldCharType="begin"/>
      </w:r>
      <w:r w:rsidR="00760C8A">
        <w:instrText xml:space="preserve"> REF _Ref187074809 \h </w:instrText>
      </w:r>
      <w:r w:rsidR="00760C8A">
        <w:fldChar w:fldCharType="separate"/>
      </w:r>
      <w:r w:rsidR="00AA10F4">
        <w:t xml:space="preserve">Table </w:t>
      </w:r>
      <w:r w:rsidR="00AA10F4">
        <w:rPr>
          <w:noProof/>
        </w:rPr>
        <w:t>1</w:t>
      </w:r>
      <w:r w:rsidR="00760C8A">
        <w:fldChar w:fldCharType="end"/>
      </w:r>
      <w:r w:rsidR="00760C8A">
        <w:t xml:space="preserve">, </w:t>
      </w:r>
      <w:r w:rsidR="00760C8A">
        <w:fldChar w:fldCharType="begin"/>
      </w:r>
      <w:r w:rsidR="00760C8A">
        <w:instrText xml:space="preserve"> REF _Ref187075312 \h </w:instrText>
      </w:r>
      <w:r w:rsidR="00760C8A">
        <w:fldChar w:fldCharType="separate"/>
      </w:r>
      <w:r w:rsidR="00AA10F4">
        <w:t xml:space="preserve">Table </w:t>
      </w:r>
      <w:r w:rsidR="00AA10F4">
        <w:rPr>
          <w:noProof/>
        </w:rPr>
        <w:t>2</w:t>
      </w:r>
      <w:r w:rsidR="00760C8A">
        <w:fldChar w:fldCharType="end"/>
      </w:r>
      <w:r w:rsidR="00760C8A">
        <w:t xml:space="preserve">, </w:t>
      </w:r>
      <w:r w:rsidR="00260EB8">
        <w:t xml:space="preserve">and </w:t>
      </w:r>
      <w:r w:rsidR="00260EB8">
        <w:fldChar w:fldCharType="begin"/>
      </w:r>
      <w:r w:rsidR="00260EB8">
        <w:instrText xml:space="preserve"> REF _Ref188256637 \h </w:instrText>
      </w:r>
      <w:r w:rsidR="00260EB8">
        <w:fldChar w:fldCharType="separate"/>
      </w:r>
      <w:r w:rsidR="00AA10F4">
        <w:t xml:space="preserve">Table </w:t>
      </w:r>
      <w:r w:rsidR="00AA10F4">
        <w:rPr>
          <w:noProof/>
        </w:rPr>
        <w:t>3</w:t>
      </w:r>
      <w:r w:rsidR="00260EB8">
        <w:fldChar w:fldCharType="end"/>
      </w:r>
      <w:r w:rsidR="00260EB8">
        <w:t xml:space="preserve"> </w:t>
      </w:r>
      <w:r w:rsidRPr="00045964">
        <w:t>present ex ante gross, verified gross, and verified net electric energy, electric demand, and gas savings, by initiative and channel, for the 202</w:t>
      </w:r>
      <w:r w:rsidR="003F6F9A">
        <w:t>4</w:t>
      </w:r>
      <w:r w:rsidRPr="00045964">
        <w:t xml:space="preserve"> Business Program.</w:t>
      </w:r>
    </w:p>
    <w:p w14:paraId="2A1851CE" w14:textId="5F37415F" w:rsidR="00760C8A" w:rsidRDefault="00760C8A" w:rsidP="00881B1B">
      <w:pPr>
        <w:pStyle w:val="Caption"/>
      </w:pPr>
      <w:bookmarkStart w:id="9" w:name="_Ref187074809"/>
      <w:bookmarkStart w:id="10" w:name="_Toc191992522"/>
      <w:bookmarkStart w:id="11" w:name="_Toc192766935"/>
      <w:r>
        <w:t xml:space="preserve">Table </w:t>
      </w:r>
      <w:r w:rsidR="009B4C9A">
        <w:fldChar w:fldCharType="begin"/>
      </w:r>
      <w:r w:rsidR="009B4C9A">
        <w:instrText xml:space="preserve"> SEQ Table \* ARABIC </w:instrText>
      </w:r>
      <w:r w:rsidR="009B4C9A">
        <w:fldChar w:fldCharType="separate"/>
      </w:r>
      <w:r w:rsidR="00AA10F4">
        <w:rPr>
          <w:noProof/>
        </w:rPr>
        <w:t>1</w:t>
      </w:r>
      <w:r w:rsidR="009B4C9A">
        <w:rPr>
          <w:noProof/>
        </w:rPr>
        <w:fldChar w:fldCharType="end"/>
      </w:r>
      <w:bookmarkEnd w:id="9"/>
      <w:r>
        <w:t>. 2024 Business Program Electric Energy Annual Savings Summary</w:t>
      </w:r>
      <w:bookmarkEnd w:id="10"/>
      <w:bookmarkEnd w:id="1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495"/>
        <w:gridCol w:w="1170"/>
        <w:gridCol w:w="1620"/>
        <w:gridCol w:w="1170"/>
        <w:gridCol w:w="1530"/>
        <w:gridCol w:w="1111"/>
      </w:tblGrid>
      <w:tr w:rsidR="0017742C" w14:paraId="3EC43D00" w14:textId="77777777" w:rsidTr="00612B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4938D4E5" w14:textId="2084B8F3" w:rsidR="0017742C" w:rsidRPr="00760C8A" w:rsidRDefault="0017742C" w:rsidP="00CD45F2">
            <w:pPr>
              <w:pStyle w:val="TableHeadingLeft"/>
            </w:pPr>
            <w:r w:rsidRPr="00760C8A">
              <w:t>Initiative/Channel</w:t>
            </w:r>
          </w:p>
        </w:tc>
        <w:tc>
          <w:tcPr>
            <w:tcW w:w="1170" w:type="dxa"/>
            <w:tcBorders>
              <w:bottom w:val="none" w:sz="0" w:space="0" w:color="auto"/>
            </w:tcBorders>
          </w:tcPr>
          <w:p w14:paraId="244C20F2" w14:textId="1EB801D2" w:rsidR="0017742C" w:rsidRDefault="0017742C" w:rsidP="008732BD">
            <w:pPr>
              <w:pStyle w:val="TableHeadingCentered"/>
              <w:cnfStyle w:val="100000000000" w:firstRow="1" w:lastRow="0" w:firstColumn="0" w:lastColumn="0" w:oddVBand="0" w:evenVBand="0" w:oddHBand="0" w:evenHBand="0" w:firstRowFirstColumn="0" w:firstRowLastColumn="0" w:lastRowFirstColumn="0" w:lastRowLastColumn="0"/>
            </w:pPr>
            <w:r w:rsidRPr="00800262">
              <w:t>Ex Ante Gross MWh</w:t>
            </w:r>
          </w:p>
        </w:tc>
        <w:tc>
          <w:tcPr>
            <w:tcW w:w="1620" w:type="dxa"/>
            <w:tcBorders>
              <w:bottom w:val="none" w:sz="0" w:space="0" w:color="auto"/>
            </w:tcBorders>
          </w:tcPr>
          <w:p w14:paraId="1798AFE5" w14:textId="142A89F7" w:rsidR="0017742C" w:rsidRDefault="0017742C" w:rsidP="008732BD">
            <w:pPr>
              <w:pStyle w:val="TableHeadingCentered"/>
              <w:cnfStyle w:val="100000000000" w:firstRow="1" w:lastRow="0" w:firstColumn="0" w:lastColumn="0" w:oddVBand="0" w:evenVBand="0" w:oddHBand="0" w:evenHBand="0" w:firstRowFirstColumn="0" w:firstRowLastColumn="0" w:lastRowFirstColumn="0" w:lastRowLastColumn="0"/>
            </w:pPr>
            <w:r w:rsidRPr="00800262">
              <w:t>Gross Realization Rate</w:t>
            </w:r>
          </w:p>
        </w:tc>
        <w:tc>
          <w:tcPr>
            <w:tcW w:w="1170" w:type="dxa"/>
            <w:tcBorders>
              <w:bottom w:val="none" w:sz="0" w:space="0" w:color="auto"/>
            </w:tcBorders>
          </w:tcPr>
          <w:p w14:paraId="57A09EB6" w14:textId="3EFB96CE" w:rsidR="0017742C" w:rsidRDefault="0017742C" w:rsidP="008732BD">
            <w:pPr>
              <w:pStyle w:val="TableHeadingCentered"/>
              <w:cnfStyle w:val="100000000000" w:firstRow="1" w:lastRow="0" w:firstColumn="0" w:lastColumn="0" w:oddVBand="0" w:evenVBand="0" w:oddHBand="0" w:evenHBand="0" w:firstRowFirstColumn="0" w:firstRowLastColumn="0" w:lastRowFirstColumn="0" w:lastRowLastColumn="0"/>
            </w:pPr>
            <w:r w:rsidRPr="00800262">
              <w:t>Verified Gross MWh</w:t>
            </w:r>
          </w:p>
        </w:tc>
        <w:tc>
          <w:tcPr>
            <w:tcW w:w="1530" w:type="dxa"/>
            <w:tcBorders>
              <w:bottom w:val="none" w:sz="0" w:space="0" w:color="auto"/>
            </w:tcBorders>
          </w:tcPr>
          <w:p w14:paraId="47F580A3" w14:textId="54D54104" w:rsidR="0017742C" w:rsidRDefault="0017742C" w:rsidP="008732BD">
            <w:pPr>
              <w:pStyle w:val="TableHeadingCentered"/>
              <w:cnfStyle w:val="100000000000" w:firstRow="1" w:lastRow="0" w:firstColumn="0" w:lastColumn="0" w:oddVBand="0" w:evenVBand="0" w:oddHBand="0" w:evenHBand="0" w:firstRowFirstColumn="0" w:firstRowLastColumn="0" w:lastRowFirstColumn="0" w:lastRowLastColumn="0"/>
            </w:pPr>
            <w:r w:rsidRPr="00800262">
              <w:t>Net-to-Gross Ratio (NTGR)</w:t>
            </w:r>
          </w:p>
        </w:tc>
        <w:tc>
          <w:tcPr>
            <w:tcW w:w="1111" w:type="dxa"/>
            <w:tcBorders>
              <w:bottom w:val="none" w:sz="0" w:space="0" w:color="auto"/>
            </w:tcBorders>
          </w:tcPr>
          <w:p w14:paraId="3054C2DC" w14:textId="142C0AAD" w:rsidR="0017742C" w:rsidRDefault="0017742C" w:rsidP="008732BD">
            <w:pPr>
              <w:pStyle w:val="TableHeadingCentered"/>
              <w:cnfStyle w:val="100000000000" w:firstRow="1" w:lastRow="0" w:firstColumn="0" w:lastColumn="0" w:oddVBand="0" w:evenVBand="0" w:oddHBand="0" w:evenHBand="0" w:firstRowFirstColumn="0" w:firstRowLastColumn="0" w:lastRowFirstColumn="0" w:lastRowLastColumn="0"/>
            </w:pPr>
            <w:r w:rsidRPr="00800262">
              <w:t>Verified Net MWh</w:t>
            </w:r>
          </w:p>
        </w:tc>
      </w:tr>
      <w:tr w:rsidR="00FE015A" w14:paraId="1992E5E1"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096502FE" w14:textId="78A2489D" w:rsidR="00FE015A" w:rsidRDefault="00FE015A" w:rsidP="003527BD">
            <w:pPr>
              <w:pStyle w:val="TableLeftText"/>
            </w:pPr>
            <w:r w:rsidRPr="00800262">
              <w:t>Standard - Core</w:t>
            </w:r>
          </w:p>
        </w:tc>
        <w:tc>
          <w:tcPr>
            <w:tcW w:w="1170" w:type="dxa"/>
            <w:tcBorders>
              <w:top w:val="none" w:sz="0" w:space="0" w:color="auto"/>
              <w:left w:val="none" w:sz="0" w:space="0" w:color="auto"/>
              <w:bottom w:val="none" w:sz="0" w:space="0" w:color="auto"/>
              <w:right w:val="none" w:sz="0" w:space="0" w:color="auto"/>
            </w:tcBorders>
          </w:tcPr>
          <w:p w14:paraId="03308386" w14:textId="32A2807C"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64,643</w:t>
            </w:r>
          </w:p>
        </w:tc>
        <w:tc>
          <w:tcPr>
            <w:tcW w:w="1620" w:type="dxa"/>
            <w:tcBorders>
              <w:top w:val="none" w:sz="0" w:space="0" w:color="auto"/>
              <w:left w:val="none" w:sz="0" w:space="0" w:color="auto"/>
              <w:bottom w:val="none" w:sz="0" w:space="0" w:color="auto"/>
              <w:right w:val="none" w:sz="0" w:space="0" w:color="auto"/>
            </w:tcBorders>
          </w:tcPr>
          <w:p w14:paraId="77325676" w14:textId="55C2DD26"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97%</w:t>
            </w:r>
          </w:p>
        </w:tc>
        <w:tc>
          <w:tcPr>
            <w:tcW w:w="1170" w:type="dxa"/>
            <w:tcBorders>
              <w:top w:val="none" w:sz="0" w:space="0" w:color="auto"/>
              <w:left w:val="none" w:sz="0" w:space="0" w:color="auto"/>
              <w:bottom w:val="none" w:sz="0" w:space="0" w:color="auto"/>
              <w:right w:val="none" w:sz="0" w:space="0" w:color="auto"/>
            </w:tcBorders>
          </w:tcPr>
          <w:p w14:paraId="612BE235" w14:textId="4BB4812F"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62,825</w:t>
            </w:r>
          </w:p>
        </w:tc>
        <w:tc>
          <w:tcPr>
            <w:tcW w:w="1530" w:type="dxa"/>
            <w:tcBorders>
              <w:top w:val="none" w:sz="0" w:space="0" w:color="auto"/>
              <w:left w:val="none" w:sz="0" w:space="0" w:color="auto"/>
              <w:bottom w:val="none" w:sz="0" w:space="0" w:color="auto"/>
              <w:right w:val="none" w:sz="0" w:space="0" w:color="auto"/>
            </w:tcBorders>
          </w:tcPr>
          <w:p w14:paraId="6B91E70A" w14:textId="5AA7C39D"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0.906</w:t>
            </w:r>
          </w:p>
        </w:tc>
        <w:tc>
          <w:tcPr>
            <w:tcW w:w="1111" w:type="dxa"/>
            <w:tcBorders>
              <w:top w:val="none" w:sz="0" w:space="0" w:color="auto"/>
              <w:left w:val="none" w:sz="0" w:space="0" w:color="auto"/>
              <w:bottom w:val="none" w:sz="0" w:space="0" w:color="auto"/>
              <w:right w:val="none" w:sz="0" w:space="0" w:color="auto"/>
            </w:tcBorders>
          </w:tcPr>
          <w:p w14:paraId="57595807" w14:textId="6739D12B"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56,903</w:t>
            </w:r>
          </w:p>
        </w:tc>
      </w:tr>
      <w:tr w:rsidR="00FE015A" w14:paraId="7ABC35C1"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3899A58" w14:textId="52BEAE10" w:rsidR="00FE015A" w:rsidRDefault="00FE015A" w:rsidP="003527BD">
            <w:pPr>
              <w:pStyle w:val="TableLeftText"/>
            </w:pPr>
            <w:r w:rsidRPr="00800262">
              <w:t>Standard - OS</w:t>
            </w:r>
          </w:p>
        </w:tc>
        <w:tc>
          <w:tcPr>
            <w:tcW w:w="1170" w:type="dxa"/>
            <w:tcBorders>
              <w:top w:val="none" w:sz="0" w:space="0" w:color="auto"/>
              <w:left w:val="none" w:sz="0" w:space="0" w:color="auto"/>
              <w:bottom w:val="none" w:sz="0" w:space="0" w:color="auto"/>
              <w:right w:val="none" w:sz="0" w:space="0" w:color="auto"/>
            </w:tcBorders>
          </w:tcPr>
          <w:p w14:paraId="40F2DEE3" w14:textId="7D10E934"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2,465</w:t>
            </w:r>
          </w:p>
        </w:tc>
        <w:tc>
          <w:tcPr>
            <w:tcW w:w="1620" w:type="dxa"/>
            <w:tcBorders>
              <w:top w:val="none" w:sz="0" w:space="0" w:color="auto"/>
              <w:left w:val="none" w:sz="0" w:space="0" w:color="auto"/>
              <w:bottom w:val="none" w:sz="0" w:space="0" w:color="auto"/>
              <w:right w:val="none" w:sz="0" w:space="0" w:color="auto"/>
            </w:tcBorders>
          </w:tcPr>
          <w:p w14:paraId="405D77CB" w14:textId="0B293032"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99%</w:t>
            </w:r>
          </w:p>
        </w:tc>
        <w:tc>
          <w:tcPr>
            <w:tcW w:w="1170" w:type="dxa"/>
            <w:tcBorders>
              <w:top w:val="none" w:sz="0" w:space="0" w:color="auto"/>
              <w:left w:val="none" w:sz="0" w:space="0" w:color="auto"/>
              <w:bottom w:val="none" w:sz="0" w:space="0" w:color="auto"/>
              <w:right w:val="none" w:sz="0" w:space="0" w:color="auto"/>
            </w:tcBorders>
          </w:tcPr>
          <w:p w14:paraId="5CC96B9B" w14:textId="6DC6F3E4"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2,439</w:t>
            </w:r>
          </w:p>
        </w:tc>
        <w:tc>
          <w:tcPr>
            <w:tcW w:w="1530" w:type="dxa"/>
            <w:tcBorders>
              <w:top w:val="none" w:sz="0" w:space="0" w:color="auto"/>
              <w:left w:val="none" w:sz="0" w:space="0" w:color="auto"/>
              <w:bottom w:val="none" w:sz="0" w:space="0" w:color="auto"/>
              <w:right w:val="none" w:sz="0" w:space="0" w:color="auto"/>
            </w:tcBorders>
          </w:tcPr>
          <w:p w14:paraId="3631F060" w14:textId="5B8D4A4F"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0.963</w:t>
            </w:r>
          </w:p>
        </w:tc>
        <w:tc>
          <w:tcPr>
            <w:tcW w:w="1111" w:type="dxa"/>
            <w:tcBorders>
              <w:top w:val="none" w:sz="0" w:space="0" w:color="auto"/>
              <w:left w:val="none" w:sz="0" w:space="0" w:color="auto"/>
              <w:bottom w:val="none" w:sz="0" w:space="0" w:color="auto"/>
              <w:right w:val="none" w:sz="0" w:space="0" w:color="auto"/>
            </w:tcBorders>
          </w:tcPr>
          <w:p w14:paraId="34DF6F43" w14:textId="0E6A8E57"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2,34</w:t>
            </w:r>
            <w:r w:rsidR="00BD2E07">
              <w:t>9</w:t>
            </w:r>
          </w:p>
        </w:tc>
      </w:tr>
      <w:tr w:rsidR="00FE015A" w14:paraId="2BA4538C"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16713D8" w14:textId="5A8EEEAE" w:rsidR="00FE015A" w:rsidRDefault="00FE015A" w:rsidP="003527BD">
            <w:pPr>
              <w:pStyle w:val="TableLeftText"/>
            </w:pPr>
            <w:r w:rsidRPr="00800262">
              <w:t>Standard - BOC</w:t>
            </w:r>
          </w:p>
        </w:tc>
        <w:tc>
          <w:tcPr>
            <w:tcW w:w="1170" w:type="dxa"/>
            <w:tcBorders>
              <w:top w:val="none" w:sz="0" w:space="0" w:color="auto"/>
              <w:left w:val="none" w:sz="0" w:space="0" w:color="auto"/>
              <w:bottom w:val="none" w:sz="0" w:space="0" w:color="auto"/>
              <w:right w:val="none" w:sz="0" w:space="0" w:color="auto"/>
            </w:tcBorders>
          </w:tcPr>
          <w:p w14:paraId="0A70FA26" w14:textId="651D0652"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1,137</w:t>
            </w:r>
          </w:p>
        </w:tc>
        <w:tc>
          <w:tcPr>
            <w:tcW w:w="1620" w:type="dxa"/>
            <w:tcBorders>
              <w:top w:val="none" w:sz="0" w:space="0" w:color="auto"/>
              <w:left w:val="none" w:sz="0" w:space="0" w:color="auto"/>
              <w:bottom w:val="none" w:sz="0" w:space="0" w:color="auto"/>
              <w:right w:val="none" w:sz="0" w:space="0" w:color="auto"/>
            </w:tcBorders>
          </w:tcPr>
          <w:p w14:paraId="2B392B85" w14:textId="7E424A85"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88%</w:t>
            </w:r>
          </w:p>
        </w:tc>
        <w:tc>
          <w:tcPr>
            <w:tcW w:w="1170" w:type="dxa"/>
            <w:tcBorders>
              <w:top w:val="none" w:sz="0" w:space="0" w:color="auto"/>
              <w:left w:val="none" w:sz="0" w:space="0" w:color="auto"/>
              <w:bottom w:val="none" w:sz="0" w:space="0" w:color="auto"/>
              <w:right w:val="none" w:sz="0" w:space="0" w:color="auto"/>
            </w:tcBorders>
          </w:tcPr>
          <w:p w14:paraId="4B474B22" w14:textId="23A31E46"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1,003</w:t>
            </w:r>
          </w:p>
        </w:tc>
        <w:tc>
          <w:tcPr>
            <w:tcW w:w="1530" w:type="dxa"/>
            <w:tcBorders>
              <w:top w:val="none" w:sz="0" w:space="0" w:color="auto"/>
              <w:left w:val="none" w:sz="0" w:space="0" w:color="auto"/>
              <w:bottom w:val="none" w:sz="0" w:space="0" w:color="auto"/>
              <w:right w:val="none" w:sz="0" w:space="0" w:color="auto"/>
            </w:tcBorders>
          </w:tcPr>
          <w:p w14:paraId="091A2B93" w14:textId="2F8421FA"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N/A</w:t>
            </w:r>
          </w:p>
        </w:tc>
        <w:tc>
          <w:tcPr>
            <w:tcW w:w="1111" w:type="dxa"/>
            <w:tcBorders>
              <w:top w:val="none" w:sz="0" w:space="0" w:color="auto"/>
              <w:left w:val="none" w:sz="0" w:space="0" w:color="auto"/>
              <w:bottom w:val="none" w:sz="0" w:space="0" w:color="auto"/>
              <w:right w:val="none" w:sz="0" w:space="0" w:color="auto"/>
            </w:tcBorders>
          </w:tcPr>
          <w:p w14:paraId="4C06602C" w14:textId="6EBB7A50"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1,003</w:t>
            </w:r>
          </w:p>
        </w:tc>
      </w:tr>
      <w:tr w:rsidR="0017742C" w14:paraId="19DFDA27"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5A25FA59" w14:textId="6BF38C9B" w:rsidR="0017742C" w:rsidRDefault="0017742C" w:rsidP="003527BD">
            <w:pPr>
              <w:pStyle w:val="TableLeftText"/>
            </w:pPr>
            <w:r w:rsidRPr="00800262">
              <w:t>Custom - Custom Incentives</w:t>
            </w:r>
          </w:p>
        </w:tc>
        <w:tc>
          <w:tcPr>
            <w:tcW w:w="1170" w:type="dxa"/>
            <w:tcBorders>
              <w:top w:val="none" w:sz="0" w:space="0" w:color="auto"/>
              <w:left w:val="none" w:sz="0" w:space="0" w:color="auto"/>
              <w:bottom w:val="none" w:sz="0" w:space="0" w:color="auto"/>
              <w:right w:val="none" w:sz="0" w:space="0" w:color="auto"/>
            </w:tcBorders>
          </w:tcPr>
          <w:p w14:paraId="7E021606" w14:textId="477EFDE6" w:rsidR="0017742C"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424F0A">
              <w:t>39,928</w:t>
            </w:r>
          </w:p>
        </w:tc>
        <w:tc>
          <w:tcPr>
            <w:tcW w:w="1620" w:type="dxa"/>
            <w:tcBorders>
              <w:top w:val="none" w:sz="0" w:space="0" w:color="auto"/>
              <w:left w:val="none" w:sz="0" w:space="0" w:color="auto"/>
              <w:bottom w:val="none" w:sz="0" w:space="0" w:color="auto"/>
              <w:right w:val="none" w:sz="0" w:space="0" w:color="auto"/>
            </w:tcBorders>
          </w:tcPr>
          <w:p w14:paraId="3113E163" w14:textId="3D57ABCF" w:rsidR="0017742C"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424F0A">
              <w:t>89%</w:t>
            </w:r>
          </w:p>
        </w:tc>
        <w:tc>
          <w:tcPr>
            <w:tcW w:w="1170" w:type="dxa"/>
            <w:tcBorders>
              <w:top w:val="none" w:sz="0" w:space="0" w:color="auto"/>
              <w:left w:val="none" w:sz="0" w:space="0" w:color="auto"/>
              <w:bottom w:val="none" w:sz="0" w:space="0" w:color="auto"/>
              <w:right w:val="none" w:sz="0" w:space="0" w:color="auto"/>
            </w:tcBorders>
          </w:tcPr>
          <w:p w14:paraId="62BA5A85" w14:textId="7169CE93" w:rsidR="0017742C"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424F0A">
              <w:t>35,64</w:t>
            </w:r>
            <w:r w:rsidR="00AD2CD7">
              <w:t>6</w:t>
            </w:r>
          </w:p>
        </w:tc>
        <w:tc>
          <w:tcPr>
            <w:tcW w:w="1530" w:type="dxa"/>
            <w:tcBorders>
              <w:top w:val="none" w:sz="0" w:space="0" w:color="auto"/>
              <w:left w:val="none" w:sz="0" w:space="0" w:color="auto"/>
              <w:bottom w:val="none" w:sz="0" w:space="0" w:color="auto"/>
              <w:right w:val="none" w:sz="0" w:space="0" w:color="auto"/>
            </w:tcBorders>
          </w:tcPr>
          <w:p w14:paraId="222F8C11" w14:textId="64AA6CCF" w:rsidR="0017742C"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424F0A">
              <w:t>0.814</w:t>
            </w:r>
          </w:p>
        </w:tc>
        <w:tc>
          <w:tcPr>
            <w:tcW w:w="1111" w:type="dxa"/>
            <w:tcBorders>
              <w:top w:val="none" w:sz="0" w:space="0" w:color="auto"/>
              <w:left w:val="none" w:sz="0" w:space="0" w:color="auto"/>
              <w:bottom w:val="none" w:sz="0" w:space="0" w:color="auto"/>
              <w:right w:val="none" w:sz="0" w:space="0" w:color="auto"/>
            </w:tcBorders>
          </w:tcPr>
          <w:p w14:paraId="151D234C" w14:textId="1BBC8AC1" w:rsidR="0017742C"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424F0A">
              <w:t>29,02</w:t>
            </w:r>
            <w:r w:rsidR="00AD2CD7">
              <w:t>1</w:t>
            </w:r>
          </w:p>
        </w:tc>
      </w:tr>
      <w:tr w:rsidR="0017742C" w14:paraId="530CF008"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BC0BED8" w14:textId="62021F5D" w:rsidR="0017742C" w:rsidRDefault="0017742C" w:rsidP="003527BD">
            <w:pPr>
              <w:pStyle w:val="TableLeftText"/>
            </w:pPr>
            <w:r w:rsidRPr="00800262">
              <w:t>Custom - New Construction Lighting</w:t>
            </w:r>
          </w:p>
        </w:tc>
        <w:tc>
          <w:tcPr>
            <w:tcW w:w="1170" w:type="dxa"/>
            <w:tcBorders>
              <w:top w:val="none" w:sz="0" w:space="0" w:color="auto"/>
              <w:left w:val="none" w:sz="0" w:space="0" w:color="auto"/>
              <w:bottom w:val="none" w:sz="0" w:space="0" w:color="auto"/>
              <w:right w:val="none" w:sz="0" w:space="0" w:color="auto"/>
            </w:tcBorders>
          </w:tcPr>
          <w:p w14:paraId="6C66328B" w14:textId="416EFBCC" w:rsidR="0017742C" w:rsidRDefault="00934062" w:rsidP="008732BD">
            <w:pPr>
              <w:pStyle w:val="TableLeftText"/>
              <w:jc w:val="right"/>
              <w:cnfStyle w:val="000000100000" w:firstRow="0" w:lastRow="0" w:firstColumn="0" w:lastColumn="0" w:oddVBand="0" w:evenVBand="0" w:oddHBand="1" w:evenHBand="0" w:firstRowFirstColumn="0" w:firstRowLastColumn="0" w:lastRowFirstColumn="0" w:lastRowLastColumn="0"/>
            </w:pPr>
            <w:r>
              <w:t>1,474</w:t>
            </w:r>
          </w:p>
        </w:tc>
        <w:tc>
          <w:tcPr>
            <w:tcW w:w="1620" w:type="dxa"/>
            <w:tcBorders>
              <w:top w:val="none" w:sz="0" w:space="0" w:color="auto"/>
              <w:left w:val="none" w:sz="0" w:space="0" w:color="auto"/>
              <w:bottom w:val="none" w:sz="0" w:space="0" w:color="auto"/>
              <w:right w:val="none" w:sz="0" w:space="0" w:color="auto"/>
            </w:tcBorders>
          </w:tcPr>
          <w:p w14:paraId="27ADE2AD" w14:textId="23569A63" w:rsidR="0017742C" w:rsidRDefault="00934062" w:rsidP="008732BD">
            <w:pPr>
              <w:pStyle w:val="TableLeftText"/>
              <w:jc w:val="right"/>
              <w:cnfStyle w:val="000000100000" w:firstRow="0" w:lastRow="0" w:firstColumn="0" w:lastColumn="0" w:oddVBand="0" w:evenVBand="0" w:oddHBand="1" w:evenHBand="0" w:firstRowFirstColumn="0" w:firstRowLastColumn="0" w:lastRowFirstColumn="0" w:lastRowLastColumn="0"/>
            </w:pPr>
            <w:r>
              <w:t>94%</w:t>
            </w:r>
          </w:p>
        </w:tc>
        <w:tc>
          <w:tcPr>
            <w:tcW w:w="1170" w:type="dxa"/>
            <w:tcBorders>
              <w:top w:val="none" w:sz="0" w:space="0" w:color="auto"/>
              <w:left w:val="none" w:sz="0" w:space="0" w:color="auto"/>
              <w:bottom w:val="none" w:sz="0" w:space="0" w:color="auto"/>
              <w:right w:val="none" w:sz="0" w:space="0" w:color="auto"/>
            </w:tcBorders>
          </w:tcPr>
          <w:p w14:paraId="54DDDB24" w14:textId="6291F7A0" w:rsidR="0017742C" w:rsidRDefault="00934062" w:rsidP="008732BD">
            <w:pPr>
              <w:pStyle w:val="TableLeftText"/>
              <w:jc w:val="right"/>
              <w:cnfStyle w:val="000000100000" w:firstRow="0" w:lastRow="0" w:firstColumn="0" w:lastColumn="0" w:oddVBand="0" w:evenVBand="0" w:oddHBand="1" w:evenHBand="0" w:firstRowFirstColumn="0" w:firstRowLastColumn="0" w:lastRowFirstColumn="0" w:lastRowLastColumn="0"/>
            </w:pPr>
            <w:r>
              <w:t>1,388</w:t>
            </w:r>
          </w:p>
        </w:tc>
        <w:tc>
          <w:tcPr>
            <w:tcW w:w="1530" w:type="dxa"/>
            <w:tcBorders>
              <w:top w:val="none" w:sz="0" w:space="0" w:color="auto"/>
              <w:left w:val="none" w:sz="0" w:space="0" w:color="auto"/>
              <w:bottom w:val="none" w:sz="0" w:space="0" w:color="auto"/>
              <w:right w:val="none" w:sz="0" w:space="0" w:color="auto"/>
            </w:tcBorders>
          </w:tcPr>
          <w:p w14:paraId="5E2CDB2E" w14:textId="5A044A6A" w:rsidR="0017742C" w:rsidRDefault="00934062" w:rsidP="008732BD">
            <w:pPr>
              <w:pStyle w:val="TableLeftText"/>
              <w:jc w:val="right"/>
              <w:cnfStyle w:val="000000100000" w:firstRow="0" w:lastRow="0" w:firstColumn="0" w:lastColumn="0" w:oddVBand="0" w:evenVBand="0" w:oddHBand="1" w:evenHBand="0" w:firstRowFirstColumn="0" w:firstRowLastColumn="0" w:lastRowFirstColumn="0" w:lastRowLastColumn="0"/>
            </w:pPr>
            <w:r>
              <w:t>0.791</w:t>
            </w:r>
          </w:p>
        </w:tc>
        <w:tc>
          <w:tcPr>
            <w:tcW w:w="1111" w:type="dxa"/>
            <w:tcBorders>
              <w:top w:val="none" w:sz="0" w:space="0" w:color="auto"/>
              <w:left w:val="none" w:sz="0" w:space="0" w:color="auto"/>
              <w:bottom w:val="none" w:sz="0" w:space="0" w:color="auto"/>
              <w:right w:val="none" w:sz="0" w:space="0" w:color="auto"/>
            </w:tcBorders>
          </w:tcPr>
          <w:p w14:paraId="79E14B26" w14:textId="543231AB" w:rsidR="0017742C" w:rsidRDefault="00934062" w:rsidP="008732BD">
            <w:pPr>
              <w:pStyle w:val="TableLeftText"/>
              <w:jc w:val="right"/>
              <w:cnfStyle w:val="000000100000" w:firstRow="0" w:lastRow="0" w:firstColumn="0" w:lastColumn="0" w:oddVBand="0" w:evenVBand="0" w:oddHBand="1" w:evenHBand="0" w:firstRowFirstColumn="0" w:firstRowLastColumn="0" w:lastRowFirstColumn="0" w:lastRowLastColumn="0"/>
            </w:pPr>
            <w:r>
              <w:t>1,098</w:t>
            </w:r>
          </w:p>
        </w:tc>
      </w:tr>
      <w:tr w:rsidR="00387017" w14:paraId="23C87158"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2614D3B" w14:textId="28865278" w:rsidR="00387017" w:rsidRDefault="00387017" w:rsidP="003527BD">
            <w:pPr>
              <w:pStyle w:val="TableLeftText"/>
            </w:pPr>
            <w:r w:rsidRPr="00800262">
              <w:t>RCx - Core</w:t>
            </w:r>
          </w:p>
        </w:tc>
        <w:tc>
          <w:tcPr>
            <w:tcW w:w="1170" w:type="dxa"/>
            <w:tcBorders>
              <w:top w:val="none" w:sz="0" w:space="0" w:color="auto"/>
              <w:left w:val="none" w:sz="0" w:space="0" w:color="auto"/>
              <w:bottom w:val="none" w:sz="0" w:space="0" w:color="auto"/>
              <w:right w:val="none" w:sz="0" w:space="0" w:color="auto"/>
            </w:tcBorders>
          </w:tcPr>
          <w:p w14:paraId="59DCA09B" w14:textId="63562962"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t>1,841</w:t>
            </w:r>
          </w:p>
        </w:tc>
        <w:tc>
          <w:tcPr>
            <w:tcW w:w="1620" w:type="dxa"/>
            <w:tcBorders>
              <w:top w:val="none" w:sz="0" w:space="0" w:color="auto"/>
              <w:left w:val="none" w:sz="0" w:space="0" w:color="auto"/>
              <w:bottom w:val="none" w:sz="0" w:space="0" w:color="auto"/>
              <w:right w:val="none" w:sz="0" w:space="0" w:color="auto"/>
            </w:tcBorders>
          </w:tcPr>
          <w:p w14:paraId="000A41CA" w14:textId="609040BB" w:rsidR="00387017" w:rsidRDefault="003A71F0" w:rsidP="008732BD">
            <w:pPr>
              <w:pStyle w:val="TableLeftText"/>
              <w:jc w:val="right"/>
              <w:cnfStyle w:val="000000010000" w:firstRow="0" w:lastRow="0" w:firstColumn="0" w:lastColumn="0" w:oddVBand="0" w:evenVBand="0" w:oddHBand="0" w:evenHBand="1" w:firstRowFirstColumn="0" w:firstRowLastColumn="0" w:lastRowFirstColumn="0" w:lastRowLastColumn="0"/>
            </w:pPr>
            <w:r>
              <w:t>100</w:t>
            </w:r>
            <w:r w:rsidR="00387017">
              <w:t>%</w:t>
            </w:r>
          </w:p>
        </w:tc>
        <w:tc>
          <w:tcPr>
            <w:tcW w:w="1170" w:type="dxa"/>
            <w:tcBorders>
              <w:top w:val="none" w:sz="0" w:space="0" w:color="auto"/>
              <w:left w:val="none" w:sz="0" w:space="0" w:color="auto"/>
              <w:bottom w:val="none" w:sz="0" w:space="0" w:color="auto"/>
              <w:right w:val="none" w:sz="0" w:space="0" w:color="auto"/>
            </w:tcBorders>
          </w:tcPr>
          <w:p w14:paraId="248A8FF1" w14:textId="33A35DA1"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t>1,8</w:t>
            </w:r>
            <w:r w:rsidR="003A71F0">
              <w:t>32</w:t>
            </w:r>
          </w:p>
        </w:tc>
        <w:tc>
          <w:tcPr>
            <w:tcW w:w="1530" w:type="dxa"/>
            <w:tcBorders>
              <w:top w:val="none" w:sz="0" w:space="0" w:color="auto"/>
              <w:left w:val="none" w:sz="0" w:space="0" w:color="auto"/>
              <w:bottom w:val="none" w:sz="0" w:space="0" w:color="auto"/>
              <w:right w:val="none" w:sz="0" w:space="0" w:color="auto"/>
            </w:tcBorders>
          </w:tcPr>
          <w:p w14:paraId="72C0D4CF" w14:textId="64A02C34"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t>0.94</w:t>
            </w:r>
            <w:r w:rsidR="00BD2E07">
              <w:t>5</w:t>
            </w:r>
          </w:p>
        </w:tc>
        <w:tc>
          <w:tcPr>
            <w:tcW w:w="1111" w:type="dxa"/>
            <w:tcBorders>
              <w:top w:val="none" w:sz="0" w:space="0" w:color="auto"/>
              <w:left w:val="none" w:sz="0" w:space="0" w:color="auto"/>
              <w:bottom w:val="none" w:sz="0" w:space="0" w:color="auto"/>
              <w:right w:val="none" w:sz="0" w:space="0" w:color="auto"/>
            </w:tcBorders>
          </w:tcPr>
          <w:p w14:paraId="6AB102E1" w14:textId="66255FDB"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t>1,7</w:t>
            </w:r>
            <w:r w:rsidR="003A71F0">
              <w:t>30</w:t>
            </w:r>
          </w:p>
        </w:tc>
      </w:tr>
      <w:tr w:rsidR="00387017" w14:paraId="5D8D7DCA"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5BB0FD42" w14:textId="4F2F5F26" w:rsidR="00387017" w:rsidRDefault="00387017" w:rsidP="003527BD">
            <w:pPr>
              <w:pStyle w:val="TableLeftText"/>
            </w:pPr>
            <w:r w:rsidRPr="00800262">
              <w:t>RCx - VCx</w:t>
            </w:r>
          </w:p>
        </w:tc>
        <w:tc>
          <w:tcPr>
            <w:tcW w:w="1170" w:type="dxa"/>
            <w:tcBorders>
              <w:top w:val="none" w:sz="0" w:space="0" w:color="auto"/>
              <w:left w:val="none" w:sz="0" w:space="0" w:color="auto"/>
              <w:bottom w:val="none" w:sz="0" w:space="0" w:color="auto"/>
              <w:right w:val="none" w:sz="0" w:space="0" w:color="auto"/>
            </w:tcBorders>
          </w:tcPr>
          <w:p w14:paraId="2FF0A0F9" w14:textId="6E495852" w:rsidR="00387017" w:rsidRDefault="00387017"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075737">
              <w:t>4,571</w:t>
            </w:r>
          </w:p>
        </w:tc>
        <w:tc>
          <w:tcPr>
            <w:tcW w:w="1620" w:type="dxa"/>
            <w:tcBorders>
              <w:top w:val="none" w:sz="0" w:space="0" w:color="auto"/>
              <w:left w:val="none" w:sz="0" w:space="0" w:color="auto"/>
              <w:bottom w:val="none" w:sz="0" w:space="0" w:color="auto"/>
              <w:right w:val="none" w:sz="0" w:space="0" w:color="auto"/>
            </w:tcBorders>
          </w:tcPr>
          <w:p w14:paraId="3D5C3BAF" w14:textId="19DA9E31" w:rsidR="00387017" w:rsidRDefault="00387017"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075737">
              <w:t>108%</w:t>
            </w:r>
          </w:p>
        </w:tc>
        <w:tc>
          <w:tcPr>
            <w:tcW w:w="1170" w:type="dxa"/>
            <w:tcBorders>
              <w:top w:val="none" w:sz="0" w:space="0" w:color="auto"/>
              <w:left w:val="none" w:sz="0" w:space="0" w:color="auto"/>
              <w:bottom w:val="none" w:sz="0" w:space="0" w:color="auto"/>
              <w:right w:val="none" w:sz="0" w:space="0" w:color="auto"/>
            </w:tcBorders>
          </w:tcPr>
          <w:p w14:paraId="166A9081" w14:textId="03BFFAC4" w:rsidR="00387017" w:rsidRDefault="00387017"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075737">
              <w:t>4,956</w:t>
            </w:r>
          </w:p>
        </w:tc>
        <w:tc>
          <w:tcPr>
            <w:tcW w:w="1530" w:type="dxa"/>
            <w:tcBorders>
              <w:top w:val="none" w:sz="0" w:space="0" w:color="auto"/>
              <w:left w:val="none" w:sz="0" w:space="0" w:color="auto"/>
              <w:bottom w:val="none" w:sz="0" w:space="0" w:color="auto"/>
              <w:right w:val="none" w:sz="0" w:space="0" w:color="auto"/>
            </w:tcBorders>
          </w:tcPr>
          <w:p w14:paraId="113655DF" w14:textId="6B79F81B" w:rsidR="00387017" w:rsidRDefault="00387017"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075737">
              <w:t>0.937</w:t>
            </w:r>
          </w:p>
        </w:tc>
        <w:tc>
          <w:tcPr>
            <w:tcW w:w="1111" w:type="dxa"/>
            <w:tcBorders>
              <w:top w:val="none" w:sz="0" w:space="0" w:color="auto"/>
              <w:left w:val="none" w:sz="0" w:space="0" w:color="auto"/>
              <w:bottom w:val="none" w:sz="0" w:space="0" w:color="auto"/>
              <w:right w:val="none" w:sz="0" w:space="0" w:color="auto"/>
            </w:tcBorders>
          </w:tcPr>
          <w:p w14:paraId="6C88F78B" w14:textId="6B1C844A" w:rsidR="00387017" w:rsidRDefault="00387017"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075737">
              <w:t>4,642</w:t>
            </w:r>
          </w:p>
        </w:tc>
      </w:tr>
      <w:tr w:rsidR="00387017" w14:paraId="40E714EE"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114C4C36" w14:textId="02C48CAB" w:rsidR="00387017" w:rsidRDefault="00387017" w:rsidP="003527BD">
            <w:pPr>
              <w:pStyle w:val="TableLeftText"/>
            </w:pPr>
            <w:r w:rsidRPr="00800262">
              <w:t xml:space="preserve">RCx - </w:t>
            </w:r>
            <w:r>
              <w:t>Virtual SEM</w:t>
            </w:r>
          </w:p>
        </w:tc>
        <w:tc>
          <w:tcPr>
            <w:tcW w:w="1170" w:type="dxa"/>
            <w:tcBorders>
              <w:top w:val="none" w:sz="0" w:space="0" w:color="auto"/>
              <w:left w:val="none" w:sz="0" w:space="0" w:color="auto"/>
              <w:bottom w:val="none" w:sz="0" w:space="0" w:color="auto"/>
              <w:right w:val="none" w:sz="0" w:space="0" w:color="auto"/>
            </w:tcBorders>
          </w:tcPr>
          <w:p w14:paraId="37146286" w14:textId="24D66D92"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075737">
              <w:t>803</w:t>
            </w:r>
          </w:p>
        </w:tc>
        <w:tc>
          <w:tcPr>
            <w:tcW w:w="1620" w:type="dxa"/>
            <w:tcBorders>
              <w:top w:val="none" w:sz="0" w:space="0" w:color="auto"/>
              <w:left w:val="none" w:sz="0" w:space="0" w:color="auto"/>
              <w:bottom w:val="none" w:sz="0" w:space="0" w:color="auto"/>
              <w:right w:val="none" w:sz="0" w:space="0" w:color="auto"/>
            </w:tcBorders>
          </w:tcPr>
          <w:p w14:paraId="24147D48" w14:textId="2B5F5A5F"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075737">
              <w:t>103%</w:t>
            </w:r>
          </w:p>
        </w:tc>
        <w:tc>
          <w:tcPr>
            <w:tcW w:w="1170" w:type="dxa"/>
            <w:tcBorders>
              <w:top w:val="none" w:sz="0" w:space="0" w:color="auto"/>
              <w:left w:val="none" w:sz="0" w:space="0" w:color="auto"/>
              <w:bottom w:val="none" w:sz="0" w:space="0" w:color="auto"/>
              <w:right w:val="none" w:sz="0" w:space="0" w:color="auto"/>
            </w:tcBorders>
          </w:tcPr>
          <w:p w14:paraId="4116FB63" w14:textId="0E438763"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075737">
              <w:t>831</w:t>
            </w:r>
          </w:p>
        </w:tc>
        <w:tc>
          <w:tcPr>
            <w:tcW w:w="1530" w:type="dxa"/>
            <w:tcBorders>
              <w:top w:val="none" w:sz="0" w:space="0" w:color="auto"/>
              <w:left w:val="none" w:sz="0" w:space="0" w:color="auto"/>
              <w:bottom w:val="none" w:sz="0" w:space="0" w:color="auto"/>
              <w:right w:val="none" w:sz="0" w:space="0" w:color="auto"/>
            </w:tcBorders>
          </w:tcPr>
          <w:p w14:paraId="29B6E2B4" w14:textId="4F6CB882"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075737">
              <w:t>1.000</w:t>
            </w:r>
          </w:p>
        </w:tc>
        <w:tc>
          <w:tcPr>
            <w:tcW w:w="1111" w:type="dxa"/>
            <w:tcBorders>
              <w:top w:val="none" w:sz="0" w:space="0" w:color="auto"/>
              <w:left w:val="none" w:sz="0" w:space="0" w:color="auto"/>
              <w:bottom w:val="none" w:sz="0" w:space="0" w:color="auto"/>
              <w:right w:val="none" w:sz="0" w:space="0" w:color="auto"/>
            </w:tcBorders>
          </w:tcPr>
          <w:p w14:paraId="6823CFC8" w14:textId="2D107AC9" w:rsidR="00387017" w:rsidRDefault="00387017"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075737">
              <w:t>831</w:t>
            </w:r>
          </w:p>
        </w:tc>
      </w:tr>
      <w:tr w:rsidR="00FE015A" w14:paraId="7B53CF59"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7C1AD02A" w14:textId="57B391A7" w:rsidR="00FE015A" w:rsidRDefault="00FE015A" w:rsidP="003527BD">
            <w:pPr>
              <w:pStyle w:val="TableLeftText"/>
            </w:pPr>
            <w:r w:rsidRPr="00800262">
              <w:t>Streetlighting - MOSL</w:t>
            </w:r>
          </w:p>
        </w:tc>
        <w:tc>
          <w:tcPr>
            <w:tcW w:w="1170" w:type="dxa"/>
            <w:tcBorders>
              <w:top w:val="none" w:sz="0" w:space="0" w:color="auto"/>
              <w:left w:val="none" w:sz="0" w:space="0" w:color="auto"/>
              <w:bottom w:val="none" w:sz="0" w:space="0" w:color="auto"/>
              <w:right w:val="none" w:sz="0" w:space="0" w:color="auto"/>
            </w:tcBorders>
          </w:tcPr>
          <w:p w14:paraId="2BB0D611" w14:textId="681A1809"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50</w:t>
            </w:r>
          </w:p>
        </w:tc>
        <w:tc>
          <w:tcPr>
            <w:tcW w:w="1620" w:type="dxa"/>
            <w:tcBorders>
              <w:top w:val="none" w:sz="0" w:space="0" w:color="auto"/>
              <w:left w:val="none" w:sz="0" w:space="0" w:color="auto"/>
              <w:bottom w:val="none" w:sz="0" w:space="0" w:color="auto"/>
              <w:right w:val="none" w:sz="0" w:space="0" w:color="auto"/>
            </w:tcBorders>
          </w:tcPr>
          <w:p w14:paraId="3A1118ED" w14:textId="767B7AC0"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100%</w:t>
            </w:r>
          </w:p>
        </w:tc>
        <w:tc>
          <w:tcPr>
            <w:tcW w:w="1170" w:type="dxa"/>
            <w:tcBorders>
              <w:top w:val="none" w:sz="0" w:space="0" w:color="auto"/>
              <w:left w:val="none" w:sz="0" w:space="0" w:color="auto"/>
              <w:bottom w:val="none" w:sz="0" w:space="0" w:color="auto"/>
              <w:right w:val="none" w:sz="0" w:space="0" w:color="auto"/>
            </w:tcBorders>
          </w:tcPr>
          <w:p w14:paraId="3CF61244" w14:textId="60D4D214"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50</w:t>
            </w:r>
          </w:p>
        </w:tc>
        <w:tc>
          <w:tcPr>
            <w:tcW w:w="1530" w:type="dxa"/>
            <w:tcBorders>
              <w:top w:val="none" w:sz="0" w:space="0" w:color="auto"/>
              <w:left w:val="none" w:sz="0" w:space="0" w:color="auto"/>
              <w:bottom w:val="none" w:sz="0" w:space="0" w:color="auto"/>
              <w:right w:val="none" w:sz="0" w:space="0" w:color="auto"/>
            </w:tcBorders>
          </w:tcPr>
          <w:p w14:paraId="47279032" w14:textId="203C7CB0"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0.690</w:t>
            </w:r>
          </w:p>
        </w:tc>
        <w:tc>
          <w:tcPr>
            <w:tcW w:w="1111" w:type="dxa"/>
            <w:tcBorders>
              <w:top w:val="none" w:sz="0" w:space="0" w:color="auto"/>
              <w:left w:val="none" w:sz="0" w:space="0" w:color="auto"/>
              <w:bottom w:val="none" w:sz="0" w:space="0" w:color="auto"/>
              <w:right w:val="none" w:sz="0" w:space="0" w:color="auto"/>
            </w:tcBorders>
          </w:tcPr>
          <w:p w14:paraId="53D3B1AB" w14:textId="4171A870" w:rsidR="00FE015A" w:rsidRDefault="00FE015A"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B3E50">
              <w:t>35</w:t>
            </w:r>
          </w:p>
        </w:tc>
      </w:tr>
      <w:tr w:rsidR="00FE015A" w14:paraId="594E935E"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59468E8E" w14:textId="11943CC6" w:rsidR="00FE015A" w:rsidRDefault="00FE015A" w:rsidP="003527BD">
            <w:pPr>
              <w:pStyle w:val="TableLeftText"/>
            </w:pPr>
            <w:r w:rsidRPr="00800262">
              <w:t>Streetlighting - UOSL</w:t>
            </w:r>
          </w:p>
        </w:tc>
        <w:tc>
          <w:tcPr>
            <w:tcW w:w="1170" w:type="dxa"/>
            <w:tcBorders>
              <w:top w:val="none" w:sz="0" w:space="0" w:color="auto"/>
              <w:left w:val="none" w:sz="0" w:space="0" w:color="auto"/>
              <w:bottom w:val="none" w:sz="0" w:space="0" w:color="auto"/>
              <w:right w:val="none" w:sz="0" w:space="0" w:color="auto"/>
            </w:tcBorders>
          </w:tcPr>
          <w:p w14:paraId="02D7B5EE" w14:textId="7CBA5FC8"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12,516</w:t>
            </w:r>
          </w:p>
        </w:tc>
        <w:tc>
          <w:tcPr>
            <w:tcW w:w="1620" w:type="dxa"/>
            <w:tcBorders>
              <w:top w:val="none" w:sz="0" w:space="0" w:color="auto"/>
              <w:left w:val="none" w:sz="0" w:space="0" w:color="auto"/>
              <w:bottom w:val="none" w:sz="0" w:space="0" w:color="auto"/>
              <w:right w:val="none" w:sz="0" w:space="0" w:color="auto"/>
            </w:tcBorders>
          </w:tcPr>
          <w:p w14:paraId="286B24DC" w14:textId="4308AD8C"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100%</w:t>
            </w:r>
          </w:p>
        </w:tc>
        <w:tc>
          <w:tcPr>
            <w:tcW w:w="1170" w:type="dxa"/>
            <w:tcBorders>
              <w:top w:val="none" w:sz="0" w:space="0" w:color="auto"/>
              <w:left w:val="none" w:sz="0" w:space="0" w:color="auto"/>
              <w:bottom w:val="none" w:sz="0" w:space="0" w:color="auto"/>
              <w:right w:val="none" w:sz="0" w:space="0" w:color="auto"/>
            </w:tcBorders>
          </w:tcPr>
          <w:p w14:paraId="3171C4A5" w14:textId="180DE23A"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12,516</w:t>
            </w:r>
          </w:p>
        </w:tc>
        <w:tc>
          <w:tcPr>
            <w:tcW w:w="1530" w:type="dxa"/>
            <w:tcBorders>
              <w:top w:val="none" w:sz="0" w:space="0" w:color="auto"/>
              <w:left w:val="none" w:sz="0" w:space="0" w:color="auto"/>
              <w:bottom w:val="none" w:sz="0" w:space="0" w:color="auto"/>
              <w:right w:val="none" w:sz="0" w:space="0" w:color="auto"/>
            </w:tcBorders>
          </w:tcPr>
          <w:p w14:paraId="7491CBAC" w14:textId="63CC80FF"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1.000</w:t>
            </w:r>
          </w:p>
        </w:tc>
        <w:tc>
          <w:tcPr>
            <w:tcW w:w="1111" w:type="dxa"/>
            <w:tcBorders>
              <w:top w:val="none" w:sz="0" w:space="0" w:color="auto"/>
              <w:left w:val="none" w:sz="0" w:space="0" w:color="auto"/>
              <w:bottom w:val="none" w:sz="0" w:space="0" w:color="auto"/>
              <w:right w:val="none" w:sz="0" w:space="0" w:color="auto"/>
            </w:tcBorders>
          </w:tcPr>
          <w:p w14:paraId="183F8E9B" w14:textId="6BF911FE" w:rsidR="00FE015A" w:rsidRDefault="00FE015A"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B3E50">
              <w:t>12,516</w:t>
            </w:r>
          </w:p>
        </w:tc>
      </w:tr>
      <w:tr w:rsidR="00E93A13" w14:paraId="08E4C690"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587311C" w14:textId="212FCD3C" w:rsidR="00E93A13" w:rsidRPr="00800262" w:rsidRDefault="00E93A13" w:rsidP="003527BD">
            <w:pPr>
              <w:pStyle w:val="TableLeftText"/>
            </w:pPr>
            <w:r w:rsidRPr="005F28B0">
              <w:t>Small Business - SBDI</w:t>
            </w:r>
          </w:p>
        </w:tc>
        <w:tc>
          <w:tcPr>
            <w:tcW w:w="1170" w:type="dxa"/>
            <w:tcBorders>
              <w:top w:val="none" w:sz="0" w:space="0" w:color="auto"/>
              <w:left w:val="none" w:sz="0" w:space="0" w:color="auto"/>
              <w:bottom w:val="none" w:sz="0" w:space="0" w:color="auto"/>
              <w:right w:val="none" w:sz="0" w:space="0" w:color="auto"/>
            </w:tcBorders>
          </w:tcPr>
          <w:p w14:paraId="4E73BE30" w14:textId="09CF63A2"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35,027</w:t>
            </w:r>
          </w:p>
        </w:tc>
        <w:tc>
          <w:tcPr>
            <w:tcW w:w="1620" w:type="dxa"/>
            <w:tcBorders>
              <w:top w:val="none" w:sz="0" w:space="0" w:color="auto"/>
              <w:left w:val="none" w:sz="0" w:space="0" w:color="auto"/>
              <w:bottom w:val="none" w:sz="0" w:space="0" w:color="auto"/>
              <w:right w:val="none" w:sz="0" w:space="0" w:color="auto"/>
            </w:tcBorders>
          </w:tcPr>
          <w:p w14:paraId="49541F10" w14:textId="246FD415"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100%</w:t>
            </w:r>
          </w:p>
        </w:tc>
        <w:tc>
          <w:tcPr>
            <w:tcW w:w="1170" w:type="dxa"/>
            <w:tcBorders>
              <w:top w:val="none" w:sz="0" w:space="0" w:color="auto"/>
              <w:left w:val="none" w:sz="0" w:space="0" w:color="auto"/>
              <w:bottom w:val="none" w:sz="0" w:space="0" w:color="auto"/>
              <w:right w:val="none" w:sz="0" w:space="0" w:color="auto"/>
            </w:tcBorders>
          </w:tcPr>
          <w:p w14:paraId="3B388AAB" w14:textId="242E85E4"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35,017</w:t>
            </w:r>
          </w:p>
        </w:tc>
        <w:tc>
          <w:tcPr>
            <w:tcW w:w="1530" w:type="dxa"/>
            <w:tcBorders>
              <w:top w:val="none" w:sz="0" w:space="0" w:color="auto"/>
              <w:left w:val="none" w:sz="0" w:space="0" w:color="auto"/>
              <w:bottom w:val="none" w:sz="0" w:space="0" w:color="auto"/>
              <w:right w:val="none" w:sz="0" w:space="0" w:color="auto"/>
            </w:tcBorders>
          </w:tcPr>
          <w:p w14:paraId="032CA482" w14:textId="711757F7"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0.917</w:t>
            </w:r>
          </w:p>
        </w:tc>
        <w:tc>
          <w:tcPr>
            <w:tcW w:w="1111" w:type="dxa"/>
            <w:tcBorders>
              <w:top w:val="none" w:sz="0" w:space="0" w:color="auto"/>
              <w:left w:val="none" w:sz="0" w:space="0" w:color="auto"/>
              <w:bottom w:val="none" w:sz="0" w:space="0" w:color="auto"/>
              <w:right w:val="none" w:sz="0" w:space="0" w:color="auto"/>
            </w:tcBorders>
          </w:tcPr>
          <w:p w14:paraId="62AFAF4B" w14:textId="543FF7E7"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32,099</w:t>
            </w:r>
          </w:p>
        </w:tc>
      </w:tr>
      <w:tr w:rsidR="00E93A13" w14:paraId="3B560969"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4BA24586" w14:textId="2A8F6994" w:rsidR="00E93A13" w:rsidRPr="00800262" w:rsidRDefault="00E93A13" w:rsidP="003527BD">
            <w:pPr>
              <w:pStyle w:val="TableLeftText"/>
            </w:pPr>
            <w:r w:rsidRPr="005F28B0">
              <w:lastRenderedPageBreak/>
              <w:t>Small Business - SBEP</w:t>
            </w:r>
          </w:p>
        </w:tc>
        <w:tc>
          <w:tcPr>
            <w:tcW w:w="1170" w:type="dxa"/>
            <w:tcBorders>
              <w:top w:val="none" w:sz="0" w:space="0" w:color="auto"/>
              <w:left w:val="none" w:sz="0" w:space="0" w:color="auto"/>
              <w:bottom w:val="none" w:sz="0" w:space="0" w:color="auto"/>
              <w:right w:val="none" w:sz="0" w:space="0" w:color="auto"/>
            </w:tcBorders>
          </w:tcPr>
          <w:p w14:paraId="2B51FCE6" w14:textId="3271CDF3"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332</w:t>
            </w:r>
          </w:p>
        </w:tc>
        <w:tc>
          <w:tcPr>
            <w:tcW w:w="1620" w:type="dxa"/>
            <w:tcBorders>
              <w:top w:val="none" w:sz="0" w:space="0" w:color="auto"/>
              <w:left w:val="none" w:sz="0" w:space="0" w:color="auto"/>
              <w:bottom w:val="none" w:sz="0" w:space="0" w:color="auto"/>
              <w:right w:val="none" w:sz="0" w:space="0" w:color="auto"/>
            </w:tcBorders>
          </w:tcPr>
          <w:p w14:paraId="035FC785" w14:textId="5A63CBE0"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67%</w:t>
            </w:r>
          </w:p>
        </w:tc>
        <w:tc>
          <w:tcPr>
            <w:tcW w:w="1170" w:type="dxa"/>
            <w:tcBorders>
              <w:top w:val="none" w:sz="0" w:space="0" w:color="auto"/>
              <w:left w:val="none" w:sz="0" w:space="0" w:color="auto"/>
              <w:bottom w:val="none" w:sz="0" w:space="0" w:color="auto"/>
              <w:right w:val="none" w:sz="0" w:space="0" w:color="auto"/>
            </w:tcBorders>
          </w:tcPr>
          <w:p w14:paraId="0C75E321" w14:textId="7D827E4E"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223</w:t>
            </w:r>
          </w:p>
        </w:tc>
        <w:tc>
          <w:tcPr>
            <w:tcW w:w="1530" w:type="dxa"/>
            <w:tcBorders>
              <w:top w:val="none" w:sz="0" w:space="0" w:color="auto"/>
              <w:left w:val="none" w:sz="0" w:space="0" w:color="auto"/>
              <w:bottom w:val="none" w:sz="0" w:space="0" w:color="auto"/>
              <w:right w:val="none" w:sz="0" w:space="0" w:color="auto"/>
            </w:tcBorders>
          </w:tcPr>
          <w:p w14:paraId="21972A1A" w14:textId="03AB6754"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1.000</w:t>
            </w:r>
          </w:p>
        </w:tc>
        <w:tc>
          <w:tcPr>
            <w:tcW w:w="1111" w:type="dxa"/>
            <w:tcBorders>
              <w:top w:val="none" w:sz="0" w:space="0" w:color="auto"/>
              <w:left w:val="none" w:sz="0" w:space="0" w:color="auto"/>
              <w:bottom w:val="none" w:sz="0" w:space="0" w:color="auto"/>
              <w:right w:val="none" w:sz="0" w:space="0" w:color="auto"/>
            </w:tcBorders>
          </w:tcPr>
          <w:p w14:paraId="3F36FB5E" w14:textId="7745038F"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223</w:t>
            </w:r>
          </w:p>
        </w:tc>
      </w:tr>
      <w:tr w:rsidR="00E93A13" w14:paraId="10C67F01"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6EB3C6D3" w14:textId="733349A1" w:rsidR="00E93A13" w:rsidRPr="00800262" w:rsidRDefault="00E93A13" w:rsidP="003527BD">
            <w:pPr>
              <w:pStyle w:val="TableLeftText"/>
            </w:pPr>
            <w:r w:rsidRPr="005F28B0">
              <w:t>Midstream - Lighting</w:t>
            </w:r>
          </w:p>
        </w:tc>
        <w:tc>
          <w:tcPr>
            <w:tcW w:w="1170" w:type="dxa"/>
            <w:tcBorders>
              <w:top w:val="none" w:sz="0" w:space="0" w:color="auto"/>
              <w:left w:val="none" w:sz="0" w:space="0" w:color="auto"/>
              <w:bottom w:val="none" w:sz="0" w:space="0" w:color="auto"/>
              <w:right w:val="none" w:sz="0" w:space="0" w:color="auto"/>
            </w:tcBorders>
          </w:tcPr>
          <w:p w14:paraId="01DF8A03" w14:textId="65F07620"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28,461</w:t>
            </w:r>
          </w:p>
        </w:tc>
        <w:tc>
          <w:tcPr>
            <w:tcW w:w="1620" w:type="dxa"/>
            <w:tcBorders>
              <w:top w:val="none" w:sz="0" w:space="0" w:color="auto"/>
              <w:left w:val="none" w:sz="0" w:space="0" w:color="auto"/>
              <w:bottom w:val="none" w:sz="0" w:space="0" w:color="auto"/>
              <w:right w:val="none" w:sz="0" w:space="0" w:color="auto"/>
            </w:tcBorders>
          </w:tcPr>
          <w:p w14:paraId="77BE4437" w14:textId="2DB33294"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104%</w:t>
            </w:r>
          </w:p>
        </w:tc>
        <w:tc>
          <w:tcPr>
            <w:tcW w:w="1170" w:type="dxa"/>
            <w:tcBorders>
              <w:top w:val="none" w:sz="0" w:space="0" w:color="auto"/>
              <w:left w:val="none" w:sz="0" w:space="0" w:color="auto"/>
              <w:bottom w:val="none" w:sz="0" w:space="0" w:color="auto"/>
              <w:right w:val="none" w:sz="0" w:space="0" w:color="auto"/>
            </w:tcBorders>
          </w:tcPr>
          <w:p w14:paraId="594BFBDA" w14:textId="2586B8DA"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29,561</w:t>
            </w:r>
          </w:p>
        </w:tc>
        <w:tc>
          <w:tcPr>
            <w:tcW w:w="1530" w:type="dxa"/>
            <w:tcBorders>
              <w:top w:val="none" w:sz="0" w:space="0" w:color="auto"/>
              <w:left w:val="none" w:sz="0" w:space="0" w:color="auto"/>
              <w:bottom w:val="none" w:sz="0" w:space="0" w:color="auto"/>
              <w:right w:val="none" w:sz="0" w:space="0" w:color="auto"/>
            </w:tcBorders>
          </w:tcPr>
          <w:p w14:paraId="5309AD24" w14:textId="70449BD4"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0.979</w:t>
            </w:r>
          </w:p>
        </w:tc>
        <w:tc>
          <w:tcPr>
            <w:tcW w:w="1111" w:type="dxa"/>
            <w:tcBorders>
              <w:top w:val="none" w:sz="0" w:space="0" w:color="auto"/>
              <w:left w:val="none" w:sz="0" w:space="0" w:color="auto"/>
              <w:bottom w:val="none" w:sz="0" w:space="0" w:color="auto"/>
              <w:right w:val="none" w:sz="0" w:space="0" w:color="auto"/>
            </w:tcBorders>
          </w:tcPr>
          <w:p w14:paraId="35441AD7" w14:textId="0E3FF869"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28,949</w:t>
            </w:r>
          </w:p>
        </w:tc>
      </w:tr>
      <w:tr w:rsidR="00E93A13" w14:paraId="4C2C8339"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A02F520" w14:textId="2FC9501E" w:rsidR="00E93A13" w:rsidRPr="00800262" w:rsidRDefault="00E93A13" w:rsidP="003527BD">
            <w:pPr>
              <w:pStyle w:val="TableLeftText"/>
            </w:pPr>
            <w:r w:rsidRPr="005F28B0">
              <w:t>Midstream - HVAC</w:t>
            </w:r>
          </w:p>
        </w:tc>
        <w:tc>
          <w:tcPr>
            <w:tcW w:w="1170" w:type="dxa"/>
            <w:tcBorders>
              <w:top w:val="none" w:sz="0" w:space="0" w:color="auto"/>
              <w:left w:val="none" w:sz="0" w:space="0" w:color="auto"/>
              <w:bottom w:val="none" w:sz="0" w:space="0" w:color="auto"/>
              <w:right w:val="none" w:sz="0" w:space="0" w:color="auto"/>
            </w:tcBorders>
          </w:tcPr>
          <w:p w14:paraId="4E828319" w14:textId="209AC10C"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405</w:t>
            </w:r>
          </w:p>
        </w:tc>
        <w:tc>
          <w:tcPr>
            <w:tcW w:w="1620" w:type="dxa"/>
            <w:tcBorders>
              <w:top w:val="none" w:sz="0" w:space="0" w:color="auto"/>
              <w:left w:val="none" w:sz="0" w:space="0" w:color="auto"/>
              <w:bottom w:val="none" w:sz="0" w:space="0" w:color="auto"/>
              <w:right w:val="none" w:sz="0" w:space="0" w:color="auto"/>
            </w:tcBorders>
          </w:tcPr>
          <w:p w14:paraId="7FEC31F1" w14:textId="707761D5"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97%</w:t>
            </w:r>
          </w:p>
        </w:tc>
        <w:tc>
          <w:tcPr>
            <w:tcW w:w="1170" w:type="dxa"/>
            <w:tcBorders>
              <w:top w:val="none" w:sz="0" w:space="0" w:color="auto"/>
              <w:left w:val="none" w:sz="0" w:space="0" w:color="auto"/>
              <w:bottom w:val="none" w:sz="0" w:space="0" w:color="auto"/>
              <w:right w:val="none" w:sz="0" w:space="0" w:color="auto"/>
            </w:tcBorders>
          </w:tcPr>
          <w:p w14:paraId="2344DEEB" w14:textId="73054103"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394</w:t>
            </w:r>
          </w:p>
        </w:tc>
        <w:tc>
          <w:tcPr>
            <w:tcW w:w="1530" w:type="dxa"/>
            <w:tcBorders>
              <w:top w:val="none" w:sz="0" w:space="0" w:color="auto"/>
              <w:left w:val="none" w:sz="0" w:space="0" w:color="auto"/>
              <w:bottom w:val="none" w:sz="0" w:space="0" w:color="auto"/>
              <w:right w:val="none" w:sz="0" w:space="0" w:color="auto"/>
            </w:tcBorders>
          </w:tcPr>
          <w:p w14:paraId="2428944C" w14:textId="1D8E7A8B"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0.701</w:t>
            </w:r>
          </w:p>
        </w:tc>
        <w:tc>
          <w:tcPr>
            <w:tcW w:w="1111" w:type="dxa"/>
            <w:tcBorders>
              <w:top w:val="none" w:sz="0" w:space="0" w:color="auto"/>
              <w:left w:val="none" w:sz="0" w:space="0" w:color="auto"/>
              <w:bottom w:val="none" w:sz="0" w:space="0" w:color="auto"/>
              <w:right w:val="none" w:sz="0" w:space="0" w:color="auto"/>
            </w:tcBorders>
          </w:tcPr>
          <w:p w14:paraId="43CDE08E" w14:textId="5EC0EFF1" w:rsidR="00E93A13" w:rsidRPr="00800262" w:rsidRDefault="00E93A13" w:rsidP="008732BD">
            <w:pPr>
              <w:pStyle w:val="TableLeftText"/>
              <w:jc w:val="right"/>
              <w:cnfStyle w:val="000000010000" w:firstRow="0" w:lastRow="0" w:firstColumn="0" w:lastColumn="0" w:oddVBand="0" w:evenVBand="0" w:oddHBand="0" w:evenHBand="1" w:firstRowFirstColumn="0" w:firstRowLastColumn="0" w:lastRowFirstColumn="0" w:lastRowLastColumn="0"/>
            </w:pPr>
            <w:r w:rsidRPr="00724399">
              <w:t>276</w:t>
            </w:r>
          </w:p>
        </w:tc>
      </w:tr>
      <w:tr w:rsidR="00E93A13" w14:paraId="0A856440"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62B3012A" w14:textId="52CAB66B" w:rsidR="00E93A13" w:rsidRPr="00800262" w:rsidRDefault="00E93A13" w:rsidP="003527BD">
            <w:pPr>
              <w:pStyle w:val="TableLeftText"/>
            </w:pPr>
            <w:r w:rsidRPr="005F28B0">
              <w:t>Midstream - Food Service</w:t>
            </w:r>
          </w:p>
        </w:tc>
        <w:tc>
          <w:tcPr>
            <w:tcW w:w="1170" w:type="dxa"/>
            <w:tcBorders>
              <w:top w:val="none" w:sz="0" w:space="0" w:color="auto"/>
              <w:left w:val="none" w:sz="0" w:space="0" w:color="auto"/>
              <w:bottom w:val="none" w:sz="0" w:space="0" w:color="auto"/>
              <w:right w:val="none" w:sz="0" w:space="0" w:color="auto"/>
            </w:tcBorders>
          </w:tcPr>
          <w:p w14:paraId="084091D6" w14:textId="6A07D2C5"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575</w:t>
            </w:r>
          </w:p>
        </w:tc>
        <w:tc>
          <w:tcPr>
            <w:tcW w:w="1620" w:type="dxa"/>
            <w:tcBorders>
              <w:top w:val="none" w:sz="0" w:space="0" w:color="auto"/>
              <w:left w:val="none" w:sz="0" w:space="0" w:color="auto"/>
              <w:bottom w:val="none" w:sz="0" w:space="0" w:color="auto"/>
              <w:right w:val="none" w:sz="0" w:space="0" w:color="auto"/>
            </w:tcBorders>
          </w:tcPr>
          <w:p w14:paraId="30276F99" w14:textId="7BDF1D60"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86%</w:t>
            </w:r>
          </w:p>
        </w:tc>
        <w:tc>
          <w:tcPr>
            <w:tcW w:w="1170" w:type="dxa"/>
            <w:tcBorders>
              <w:top w:val="none" w:sz="0" w:space="0" w:color="auto"/>
              <w:left w:val="none" w:sz="0" w:space="0" w:color="auto"/>
              <w:bottom w:val="none" w:sz="0" w:space="0" w:color="auto"/>
              <w:right w:val="none" w:sz="0" w:space="0" w:color="auto"/>
            </w:tcBorders>
          </w:tcPr>
          <w:p w14:paraId="73F1048A" w14:textId="5964D056"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49</w:t>
            </w:r>
            <w:r w:rsidR="00BD2E07">
              <w:t>6</w:t>
            </w:r>
          </w:p>
        </w:tc>
        <w:tc>
          <w:tcPr>
            <w:tcW w:w="1530" w:type="dxa"/>
            <w:tcBorders>
              <w:top w:val="none" w:sz="0" w:space="0" w:color="auto"/>
              <w:left w:val="none" w:sz="0" w:space="0" w:color="auto"/>
              <w:bottom w:val="none" w:sz="0" w:space="0" w:color="auto"/>
              <w:right w:val="none" w:sz="0" w:space="0" w:color="auto"/>
            </w:tcBorders>
          </w:tcPr>
          <w:p w14:paraId="004818AC" w14:textId="1167B620"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0.863</w:t>
            </w:r>
          </w:p>
        </w:tc>
        <w:tc>
          <w:tcPr>
            <w:tcW w:w="1111" w:type="dxa"/>
            <w:tcBorders>
              <w:top w:val="none" w:sz="0" w:space="0" w:color="auto"/>
              <w:left w:val="none" w:sz="0" w:space="0" w:color="auto"/>
              <w:bottom w:val="none" w:sz="0" w:space="0" w:color="auto"/>
              <w:right w:val="none" w:sz="0" w:space="0" w:color="auto"/>
            </w:tcBorders>
          </w:tcPr>
          <w:p w14:paraId="68E73FBF" w14:textId="35A92AC6" w:rsidR="00E93A13" w:rsidRPr="00800262" w:rsidRDefault="00E93A13" w:rsidP="008732BD">
            <w:pPr>
              <w:pStyle w:val="TableLeftText"/>
              <w:jc w:val="right"/>
              <w:cnfStyle w:val="000000100000" w:firstRow="0" w:lastRow="0" w:firstColumn="0" w:lastColumn="0" w:oddVBand="0" w:evenVBand="0" w:oddHBand="1" w:evenHBand="0" w:firstRowFirstColumn="0" w:firstRowLastColumn="0" w:lastRowFirstColumn="0" w:lastRowLastColumn="0"/>
            </w:pPr>
            <w:r w:rsidRPr="00724399">
              <w:t>42</w:t>
            </w:r>
            <w:r w:rsidR="00BD2E07">
              <w:t>8</w:t>
            </w:r>
          </w:p>
        </w:tc>
      </w:tr>
      <w:tr w:rsidR="00760C8A" w14:paraId="74740897"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A638F4B" w14:textId="28B51AE0" w:rsidR="00760C8A" w:rsidRPr="00800262" w:rsidRDefault="00760C8A" w:rsidP="003527BD">
            <w:pPr>
              <w:pStyle w:val="TableLeftText"/>
            </w:pPr>
            <w:r w:rsidRPr="005F28B0">
              <w:t>Midstream - Lighting Carryover</w:t>
            </w:r>
            <w:r w:rsidRPr="00760C8A">
              <w:rPr>
                <w:vertAlign w:val="superscript"/>
              </w:rPr>
              <w:t>a</w:t>
            </w:r>
          </w:p>
        </w:tc>
        <w:tc>
          <w:tcPr>
            <w:tcW w:w="1170" w:type="dxa"/>
            <w:tcBorders>
              <w:top w:val="none" w:sz="0" w:space="0" w:color="auto"/>
              <w:left w:val="none" w:sz="0" w:space="0" w:color="auto"/>
              <w:bottom w:val="none" w:sz="0" w:space="0" w:color="auto"/>
              <w:right w:val="none" w:sz="0" w:space="0" w:color="auto"/>
            </w:tcBorders>
          </w:tcPr>
          <w:p w14:paraId="187CF1E3" w14:textId="2CF79E17" w:rsidR="00760C8A" w:rsidRPr="00800262" w:rsidRDefault="00BD2E07" w:rsidP="008732BD">
            <w:pPr>
              <w:pStyle w:val="TableLeftText"/>
              <w:jc w:val="right"/>
              <w:cnfStyle w:val="000000010000" w:firstRow="0" w:lastRow="0" w:firstColumn="0" w:lastColumn="0" w:oddVBand="0" w:evenVBand="0" w:oddHBand="0" w:evenHBand="1" w:firstRowFirstColumn="0" w:firstRowLastColumn="0" w:lastRowFirstColumn="0" w:lastRowLastColumn="0"/>
            </w:pPr>
            <w:r>
              <w:t>N/A</w:t>
            </w:r>
          </w:p>
        </w:tc>
        <w:tc>
          <w:tcPr>
            <w:tcW w:w="1620" w:type="dxa"/>
            <w:tcBorders>
              <w:top w:val="none" w:sz="0" w:space="0" w:color="auto"/>
              <w:left w:val="none" w:sz="0" w:space="0" w:color="auto"/>
              <w:bottom w:val="none" w:sz="0" w:space="0" w:color="auto"/>
              <w:right w:val="none" w:sz="0" w:space="0" w:color="auto"/>
            </w:tcBorders>
          </w:tcPr>
          <w:p w14:paraId="0C584971" w14:textId="13126863" w:rsidR="00760C8A" w:rsidRPr="00800262" w:rsidRDefault="00BD2E07" w:rsidP="008732BD">
            <w:pPr>
              <w:pStyle w:val="TableLeftText"/>
              <w:jc w:val="right"/>
              <w:cnfStyle w:val="000000010000" w:firstRow="0" w:lastRow="0" w:firstColumn="0" w:lastColumn="0" w:oddVBand="0" w:evenVBand="0" w:oddHBand="0" w:evenHBand="1" w:firstRowFirstColumn="0" w:firstRowLastColumn="0" w:lastRowFirstColumn="0" w:lastRowLastColumn="0"/>
            </w:pPr>
            <w:r>
              <w:t>N/A</w:t>
            </w:r>
          </w:p>
        </w:tc>
        <w:tc>
          <w:tcPr>
            <w:tcW w:w="1170" w:type="dxa"/>
            <w:tcBorders>
              <w:top w:val="none" w:sz="0" w:space="0" w:color="auto"/>
              <w:left w:val="none" w:sz="0" w:space="0" w:color="auto"/>
              <w:bottom w:val="none" w:sz="0" w:space="0" w:color="auto"/>
              <w:right w:val="none" w:sz="0" w:space="0" w:color="auto"/>
            </w:tcBorders>
          </w:tcPr>
          <w:p w14:paraId="32061B77" w14:textId="532CB0E3" w:rsidR="00760C8A" w:rsidRPr="00800262" w:rsidRDefault="00BD2E07" w:rsidP="008732BD">
            <w:pPr>
              <w:pStyle w:val="TableLeftText"/>
              <w:jc w:val="right"/>
              <w:cnfStyle w:val="000000010000" w:firstRow="0" w:lastRow="0" w:firstColumn="0" w:lastColumn="0" w:oddVBand="0" w:evenVBand="0" w:oddHBand="0" w:evenHBand="1" w:firstRowFirstColumn="0" w:firstRowLastColumn="0" w:lastRowFirstColumn="0" w:lastRowLastColumn="0"/>
            </w:pPr>
            <w:r>
              <w:t>3,543</w:t>
            </w:r>
          </w:p>
        </w:tc>
        <w:tc>
          <w:tcPr>
            <w:tcW w:w="1530" w:type="dxa"/>
            <w:tcBorders>
              <w:top w:val="none" w:sz="0" w:space="0" w:color="auto"/>
              <w:left w:val="none" w:sz="0" w:space="0" w:color="auto"/>
              <w:bottom w:val="none" w:sz="0" w:space="0" w:color="auto"/>
              <w:right w:val="none" w:sz="0" w:space="0" w:color="auto"/>
            </w:tcBorders>
          </w:tcPr>
          <w:p w14:paraId="2F586C8A" w14:textId="6C109F2B" w:rsidR="00760C8A" w:rsidRPr="00800262" w:rsidRDefault="00BD2E07" w:rsidP="008732BD">
            <w:pPr>
              <w:pStyle w:val="TableLeftText"/>
              <w:jc w:val="right"/>
              <w:cnfStyle w:val="000000010000" w:firstRow="0" w:lastRow="0" w:firstColumn="0" w:lastColumn="0" w:oddVBand="0" w:evenVBand="0" w:oddHBand="0" w:evenHBand="1" w:firstRowFirstColumn="0" w:firstRowLastColumn="0" w:lastRowFirstColumn="0" w:lastRowLastColumn="0"/>
            </w:pPr>
            <w:r>
              <w:t>0.913</w:t>
            </w:r>
          </w:p>
        </w:tc>
        <w:tc>
          <w:tcPr>
            <w:tcW w:w="1111" w:type="dxa"/>
            <w:tcBorders>
              <w:top w:val="none" w:sz="0" w:space="0" w:color="auto"/>
              <w:left w:val="none" w:sz="0" w:space="0" w:color="auto"/>
              <w:bottom w:val="none" w:sz="0" w:space="0" w:color="auto"/>
              <w:right w:val="none" w:sz="0" w:space="0" w:color="auto"/>
            </w:tcBorders>
          </w:tcPr>
          <w:p w14:paraId="6E48A878" w14:textId="08F87885" w:rsidR="00760C8A" w:rsidRPr="00800262" w:rsidRDefault="00BD2E07" w:rsidP="008732BD">
            <w:pPr>
              <w:pStyle w:val="TableLeftText"/>
              <w:jc w:val="right"/>
              <w:cnfStyle w:val="000000010000" w:firstRow="0" w:lastRow="0" w:firstColumn="0" w:lastColumn="0" w:oddVBand="0" w:evenVBand="0" w:oddHBand="0" w:evenHBand="1" w:firstRowFirstColumn="0" w:firstRowLastColumn="0" w:lastRowFirstColumn="0" w:lastRowLastColumn="0"/>
            </w:pPr>
            <w:r>
              <w:t>3,235</w:t>
            </w:r>
          </w:p>
        </w:tc>
      </w:tr>
      <w:tr w:rsidR="005E1260" w14:paraId="4938C3EE" w14:textId="77777777" w:rsidTr="008732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17249F2" w14:textId="37BE664B" w:rsidR="005E1260" w:rsidRPr="005F28B0" w:rsidRDefault="005E1260" w:rsidP="003527BD">
            <w:pPr>
              <w:pStyle w:val="TableLeftText"/>
            </w:pPr>
            <w:r>
              <w:t>LLLC Pilot</w:t>
            </w:r>
          </w:p>
        </w:tc>
        <w:tc>
          <w:tcPr>
            <w:tcW w:w="1170" w:type="dxa"/>
            <w:tcBorders>
              <w:top w:val="none" w:sz="0" w:space="0" w:color="auto"/>
              <w:left w:val="none" w:sz="0" w:space="0" w:color="auto"/>
              <w:bottom w:val="none" w:sz="0" w:space="0" w:color="auto"/>
              <w:right w:val="none" w:sz="0" w:space="0" w:color="auto"/>
            </w:tcBorders>
          </w:tcPr>
          <w:p w14:paraId="388B968A" w14:textId="042FC5D6" w:rsidR="005E1260" w:rsidRPr="005F28B0" w:rsidRDefault="00BD2E07" w:rsidP="008732BD">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620" w:type="dxa"/>
            <w:tcBorders>
              <w:top w:val="none" w:sz="0" w:space="0" w:color="auto"/>
              <w:left w:val="none" w:sz="0" w:space="0" w:color="auto"/>
              <w:bottom w:val="none" w:sz="0" w:space="0" w:color="auto"/>
              <w:right w:val="none" w:sz="0" w:space="0" w:color="auto"/>
            </w:tcBorders>
          </w:tcPr>
          <w:p w14:paraId="5E1B0CDD" w14:textId="2A5BE3A1" w:rsidR="005E1260" w:rsidRPr="005F28B0" w:rsidRDefault="00BD2E07" w:rsidP="008732BD">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170" w:type="dxa"/>
            <w:tcBorders>
              <w:top w:val="none" w:sz="0" w:space="0" w:color="auto"/>
              <w:left w:val="none" w:sz="0" w:space="0" w:color="auto"/>
              <w:bottom w:val="none" w:sz="0" w:space="0" w:color="auto"/>
              <w:right w:val="none" w:sz="0" w:space="0" w:color="auto"/>
            </w:tcBorders>
          </w:tcPr>
          <w:p w14:paraId="4EC9673B" w14:textId="22385814" w:rsidR="005E1260" w:rsidRPr="005F28B0" w:rsidRDefault="00BD2E07" w:rsidP="008732BD">
            <w:pPr>
              <w:pStyle w:val="TableLeftText"/>
              <w:jc w:val="right"/>
              <w:cnfStyle w:val="000000100000" w:firstRow="0" w:lastRow="0" w:firstColumn="0" w:lastColumn="0" w:oddVBand="0" w:evenVBand="0" w:oddHBand="1" w:evenHBand="0" w:firstRowFirstColumn="0" w:firstRowLastColumn="0" w:lastRowFirstColumn="0" w:lastRowLastColumn="0"/>
            </w:pPr>
            <w:r>
              <w:t>0</w:t>
            </w:r>
          </w:p>
        </w:tc>
        <w:tc>
          <w:tcPr>
            <w:tcW w:w="1530" w:type="dxa"/>
            <w:tcBorders>
              <w:top w:val="none" w:sz="0" w:space="0" w:color="auto"/>
              <w:left w:val="none" w:sz="0" w:space="0" w:color="auto"/>
              <w:bottom w:val="none" w:sz="0" w:space="0" w:color="auto"/>
              <w:right w:val="none" w:sz="0" w:space="0" w:color="auto"/>
            </w:tcBorders>
          </w:tcPr>
          <w:p w14:paraId="1F8A2052" w14:textId="1A977DE9" w:rsidR="005E1260" w:rsidRPr="005F28B0" w:rsidRDefault="00BD2E07" w:rsidP="008732BD">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111" w:type="dxa"/>
            <w:tcBorders>
              <w:top w:val="none" w:sz="0" w:space="0" w:color="auto"/>
              <w:left w:val="none" w:sz="0" w:space="0" w:color="auto"/>
              <w:bottom w:val="none" w:sz="0" w:space="0" w:color="auto"/>
              <w:right w:val="none" w:sz="0" w:space="0" w:color="auto"/>
            </w:tcBorders>
          </w:tcPr>
          <w:p w14:paraId="1106B41F" w14:textId="40C61CED" w:rsidR="005E1260" w:rsidRPr="005F28B0" w:rsidRDefault="00BD2E07" w:rsidP="008732BD">
            <w:pPr>
              <w:pStyle w:val="TableLeftText"/>
              <w:jc w:val="right"/>
              <w:cnfStyle w:val="000000100000" w:firstRow="0" w:lastRow="0" w:firstColumn="0" w:lastColumn="0" w:oddVBand="0" w:evenVBand="0" w:oddHBand="1" w:evenHBand="0" w:firstRowFirstColumn="0" w:firstRowLastColumn="0" w:lastRowFirstColumn="0" w:lastRowLastColumn="0"/>
            </w:pPr>
            <w:r>
              <w:t>0</w:t>
            </w:r>
          </w:p>
        </w:tc>
      </w:tr>
      <w:tr w:rsidR="00760C8A" w14:paraId="58BBC190" w14:textId="77777777" w:rsidTr="008732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E65CE98" w14:textId="0D6DE7A6" w:rsidR="00760C8A" w:rsidRPr="003527BD" w:rsidRDefault="00760C8A" w:rsidP="003527BD">
            <w:pPr>
              <w:pStyle w:val="TableLeftText"/>
              <w:rPr>
                <w:rFonts w:ascii="Franklin Gothic Medium" w:hAnsi="Franklin Gothic Medium"/>
              </w:rPr>
            </w:pPr>
            <w:r w:rsidRPr="003527BD">
              <w:rPr>
                <w:rFonts w:ascii="Franklin Gothic Medium" w:hAnsi="Franklin Gothic Medium"/>
              </w:rPr>
              <w:t>Business Program Total</w:t>
            </w:r>
          </w:p>
        </w:tc>
        <w:tc>
          <w:tcPr>
            <w:tcW w:w="1170" w:type="dxa"/>
            <w:tcBorders>
              <w:top w:val="none" w:sz="0" w:space="0" w:color="auto"/>
              <w:left w:val="none" w:sz="0" w:space="0" w:color="auto"/>
              <w:bottom w:val="none" w:sz="0" w:space="0" w:color="auto"/>
              <w:right w:val="none" w:sz="0" w:space="0" w:color="auto"/>
            </w:tcBorders>
          </w:tcPr>
          <w:p w14:paraId="12B35B6A" w14:textId="39959A15" w:rsidR="00760C8A" w:rsidRPr="003527BD"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197,769</w:t>
            </w:r>
          </w:p>
        </w:tc>
        <w:tc>
          <w:tcPr>
            <w:tcW w:w="1620" w:type="dxa"/>
            <w:tcBorders>
              <w:top w:val="none" w:sz="0" w:space="0" w:color="auto"/>
              <w:left w:val="none" w:sz="0" w:space="0" w:color="auto"/>
              <w:bottom w:val="none" w:sz="0" w:space="0" w:color="auto"/>
              <w:right w:val="none" w:sz="0" w:space="0" w:color="auto"/>
            </w:tcBorders>
          </w:tcPr>
          <w:p w14:paraId="05C69BD9" w14:textId="6A16A12F" w:rsidR="00760C8A" w:rsidRPr="003527BD"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97%</w:t>
            </w:r>
          </w:p>
        </w:tc>
        <w:tc>
          <w:tcPr>
            <w:tcW w:w="1170" w:type="dxa"/>
            <w:tcBorders>
              <w:top w:val="none" w:sz="0" w:space="0" w:color="auto"/>
              <w:left w:val="none" w:sz="0" w:space="0" w:color="auto"/>
              <w:bottom w:val="none" w:sz="0" w:space="0" w:color="auto"/>
              <w:right w:val="none" w:sz="0" w:space="0" w:color="auto"/>
            </w:tcBorders>
          </w:tcPr>
          <w:p w14:paraId="2F5578FF" w14:textId="1E1BA2A8" w:rsidR="00760C8A" w:rsidRPr="003527BD"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192,722</w:t>
            </w:r>
          </w:p>
        </w:tc>
        <w:tc>
          <w:tcPr>
            <w:tcW w:w="1530" w:type="dxa"/>
            <w:tcBorders>
              <w:top w:val="none" w:sz="0" w:space="0" w:color="auto"/>
              <w:left w:val="none" w:sz="0" w:space="0" w:color="auto"/>
              <w:bottom w:val="none" w:sz="0" w:space="0" w:color="auto"/>
              <w:right w:val="none" w:sz="0" w:space="0" w:color="auto"/>
            </w:tcBorders>
          </w:tcPr>
          <w:p w14:paraId="7D0FAC12" w14:textId="09364247" w:rsidR="00760C8A" w:rsidRPr="003527BD"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0.910</w:t>
            </w:r>
          </w:p>
        </w:tc>
        <w:tc>
          <w:tcPr>
            <w:tcW w:w="1111" w:type="dxa"/>
            <w:tcBorders>
              <w:top w:val="none" w:sz="0" w:space="0" w:color="auto"/>
              <w:left w:val="none" w:sz="0" w:space="0" w:color="auto"/>
              <w:bottom w:val="none" w:sz="0" w:space="0" w:color="auto"/>
              <w:right w:val="none" w:sz="0" w:space="0" w:color="auto"/>
            </w:tcBorders>
          </w:tcPr>
          <w:p w14:paraId="5D491BC8" w14:textId="129AF978" w:rsidR="00760C8A" w:rsidRPr="003527BD" w:rsidRDefault="00424F0A" w:rsidP="008732BD">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175,3</w:t>
            </w:r>
            <w:r w:rsidR="00AD2CD7">
              <w:rPr>
                <w:rFonts w:ascii="Franklin Gothic Medium" w:hAnsi="Franklin Gothic Medium"/>
              </w:rPr>
              <w:t>38</w:t>
            </w:r>
          </w:p>
        </w:tc>
      </w:tr>
    </w:tbl>
    <w:p w14:paraId="66F99EBA" w14:textId="3E4BBE82" w:rsidR="00760C8A" w:rsidRDefault="00760C8A" w:rsidP="00881B1B">
      <w:pPr>
        <w:pStyle w:val="Source"/>
      </w:pPr>
      <w:r w:rsidRPr="00760C8A">
        <w:rPr>
          <w:vertAlign w:val="superscript"/>
        </w:rPr>
        <w:t>a</w:t>
      </w:r>
      <w:r w:rsidR="00260EB8">
        <w:rPr>
          <w:vertAlign w:val="superscript"/>
        </w:rPr>
        <w:t xml:space="preserve"> </w:t>
      </w:r>
      <w:r>
        <w:t xml:space="preserve">Carryover savings are those achieved through installation of measures during 2024 that were distributed or rebated in prior program years. For clarity, we break out carryover savings separately throughout this report. </w:t>
      </w:r>
    </w:p>
    <w:p w14:paraId="5604DC88" w14:textId="2DC07CC5" w:rsidR="00760C8A" w:rsidRDefault="00760C8A" w:rsidP="00881B1B">
      <w:pPr>
        <w:pStyle w:val="Caption"/>
      </w:pPr>
      <w:bookmarkStart w:id="12" w:name="_Ref187075312"/>
      <w:bookmarkStart w:id="13" w:name="_Toc191992523"/>
      <w:bookmarkStart w:id="14" w:name="_Toc192766936"/>
      <w:r>
        <w:t xml:space="preserve">Table </w:t>
      </w:r>
      <w:r w:rsidR="009B4C9A">
        <w:fldChar w:fldCharType="begin"/>
      </w:r>
      <w:r w:rsidR="009B4C9A">
        <w:instrText xml:space="preserve"> SEQ Table \* ARABIC </w:instrText>
      </w:r>
      <w:r w:rsidR="009B4C9A">
        <w:fldChar w:fldCharType="separate"/>
      </w:r>
      <w:r w:rsidR="00AA10F4">
        <w:rPr>
          <w:noProof/>
        </w:rPr>
        <w:t>2</w:t>
      </w:r>
      <w:r w:rsidR="009B4C9A">
        <w:rPr>
          <w:noProof/>
        </w:rPr>
        <w:fldChar w:fldCharType="end"/>
      </w:r>
      <w:bookmarkEnd w:id="12"/>
      <w:r>
        <w:t>. 2024 Business Program Electric Demand Annual Savings Summary</w:t>
      </w:r>
      <w:bookmarkEnd w:id="13"/>
      <w:bookmarkEnd w:id="14"/>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495"/>
        <w:gridCol w:w="1170"/>
        <w:gridCol w:w="1620"/>
        <w:gridCol w:w="1170"/>
        <w:gridCol w:w="1530"/>
        <w:gridCol w:w="1111"/>
      </w:tblGrid>
      <w:tr w:rsidR="00760C8A" w14:paraId="44EF6FA8" w14:textId="77777777" w:rsidTr="00612B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53DDC331" w14:textId="5E80D609" w:rsidR="00760C8A" w:rsidRDefault="00760C8A" w:rsidP="00CD45F2">
            <w:pPr>
              <w:pStyle w:val="TableHeadingLeft"/>
            </w:pPr>
            <w:bookmarkStart w:id="15" w:name="_Hlk187075577"/>
            <w:r w:rsidRPr="007501F3">
              <w:t>Initiative/Channel</w:t>
            </w:r>
          </w:p>
        </w:tc>
        <w:tc>
          <w:tcPr>
            <w:tcW w:w="1170" w:type="dxa"/>
            <w:tcBorders>
              <w:bottom w:val="none" w:sz="0" w:space="0" w:color="auto"/>
            </w:tcBorders>
          </w:tcPr>
          <w:p w14:paraId="7D96106E" w14:textId="0F9FF66F" w:rsidR="00760C8A" w:rsidRDefault="00760C8A" w:rsidP="007F2D66">
            <w:pPr>
              <w:pStyle w:val="TableHeadingCentered"/>
              <w:cnfStyle w:val="100000000000" w:firstRow="1" w:lastRow="0" w:firstColumn="0" w:lastColumn="0" w:oddVBand="0" w:evenVBand="0" w:oddHBand="0" w:evenHBand="0" w:firstRowFirstColumn="0" w:firstRowLastColumn="0" w:lastRowFirstColumn="0" w:lastRowLastColumn="0"/>
            </w:pPr>
            <w:r w:rsidRPr="007501F3">
              <w:t>Ex Ante Gross MW</w:t>
            </w:r>
          </w:p>
        </w:tc>
        <w:tc>
          <w:tcPr>
            <w:tcW w:w="1620" w:type="dxa"/>
            <w:tcBorders>
              <w:bottom w:val="none" w:sz="0" w:space="0" w:color="auto"/>
            </w:tcBorders>
          </w:tcPr>
          <w:p w14:paraId="01013FCE" w14:textId="06BDA7AA" w:rsidR="00760C8A" w:rsidRDefault="00760C8A" w:rsidP="007F2D66">
            <w:pPr>
              <w:pStyle w:val="TableHeadingCentered"/>
              <w:cnfStyle w:val="100000000000" w:firstRow="1" w:lastRow="0" w:firstColumn="0" w:lastColumn="0" w:oddVBand="0" w:evenVBand="0" w:oddHBand="0" w:evenHBand="0" w:firstRowFirstColumn="0" w:firstRowLastColumn="0" w:lastRowFirstColumn="0" w:lastRowLastColumn="0"/>
            </w:pPr>
            <w:r w:rsidRPr="007501F3">
              <w:t>Gross Realization Rate</w:t>
            </w:r>
          </w:p>
        </w:tc>
        <w:tc>
          <w:tcPr>
            <w:tcW w:w="1170" w:type="dxa"/>
            <w:tcBorders>
              <w:bottom w:val="none" w:sz="0" w:space="0" w:color="auto"/>
            </w:tcBorders>
          </w:tcPr>
          <w:p w14:paraId="27F96E6C" w14:textId="34D5E619" w:rsidR="00760C8A" w:rsidRDefault="00760C8A" w:rsidP="007F2D66">
            <w:pPr>
              <w:pStyle w:val="TableHeadingCentered"/>
              <w:cnfStyle w:val="100000000000" w:firstRow="1" w:lastRow="0" w:firstColumn="0" w:lastColumn="0" w:oddVBand="0" w:evenVBand="0" w:oddHBand="0" w:evenHBand="0" w:firstRowFirstColumn="0" w:firstRowLastColumn="0" w:lastRowFirstColumn="0" w:lastRowLastColumn="0"/>
            </w:pPr>
            <w:r w:rsidRPr="007501F3">
              <w:t>Verified Gross MW</w:t>
            </w:r>
          </w:p>
        </w:tc>
        <w:tc>
          <w:tcPr>
            <w:tcW w:w="1530" w:type="dxa"/>
            <w:tcBorders>
              <w:bottom w:val="none" w:sz="0" w:space="0" w:color="auto"/>
            </w:tcBorders>
          </w:tcPr>
          <w:p w14:paraId="270DDBA3" w14:textId="6D4DBE43" w:rsidR="00760C8A" w:rsidRPr="00760C8A" w:rsidRDefault="00760C8A" w:rsidP="007F2D66">
            <w:pPr>
              <w:pStyle w:val="TableHeadingCentered"/>
              <w:cnfStyle w:val="100000000000" w:firstRow="1" w:lastRow="0" w:firstColumn="0" w:lastColumn="0" w:oddVBand="0" w:evenVBand="0" w:oddHBand="0" w:evenHBand="0" w:firstRowFirstColumn="0" w:firstRowLastColumn="0" w:lastRowFirstColumn="0" w:lastRowLastColumn="0"/>
            </w:pPr>
            <w:r w:rsidRPr="00760C8A">
              <w:t>NTGR</w:t>
            </w:r>
          </w:p>
        </w:tc>
        <w:tc>
          <w:tcPr>
            <w:tcW w:w="1111" w:type="dxa"/>
            <w:tcBorders>
              <w:bottom w:val="none" w:sz="0" w:space="0" w:color="auto"/>
            </w:tcBorders>
          </w:tcPr>
          <w:p w14:paraId="59AFB63F" w14:textId="640625C1" w:rsidR="00760C8A" w:rsidRDefault="00760C8A" w:rsidP="007F2D66">
            <w:pPr>
              <w:pStyle w:val="TableHeadingCentered"/>
              <w:cnfStyle w:val="100000000000" w:firstRow="1" w:lastRow="0" w:firstColumn="0" w:lastColumn="0" w:oddVBand="0" w:evenVBand="0" w:oddHBand="0" w:evenHBand="0" w:firstRowFirstColumn="0" w:firstRowLastColumn="0" w:lastRowFirstColumn="0" w:lastRowLastColumn="0"/>
            </w:pPr>
            <w:r w:rsidRPr="007501F3">
              <w:t>Verified Net MW</w:t>
            </w:r>
          </w:p>
        </w:tc>
      </w:tr>
      <w:tr w:rsidR="001507DA" w14:paraId="19CB2FDE"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309B5D3E" w14:textId="5AE34A48" w:rsidR="001507DA" w:rsidRDefault="001507DA" w:rsidP="001507DA">
            <w:pPr>
              <w:pStyle w:val="TableLeftText"/>
            </w:pPr>
            <w:r w:rsidRPr="007501F3">
              <w:t>Standard - Core</w:t>
            </w:r>
          </w:p>
        </w:tc>
        <w:tc>
          <w:tcPr>
            <w:tcW w:w="1170" w:type="dxa"/>
            <w:tcBorders>
              <w:top w:val="none" w:sz="0" w:space="0" w:color="auto"/>
              <w:left w:val="none" w:sz="0" w:space="0" w:color="auto"/>
              <w:bottom w:val="none" w:sz="0" w:space="0" w:color="auto"/>
              <w:right w:val="none" w:sz="0" w:space="0" w:color="auto"/>
            </w:tcBorders>
          </w:tcPr>
          <w:p w14:paraId="5354EBDD" w14:textId="72C4E8C5"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11.82</w:t>
            </w:r>
          </w:p>
        </w:tc>
        <w:tc>
          <w:tcPr>
            <w:tcW w:w="1620" w:type="dxa"/>
            <w:tcBorders>
              <w:top w:val="none" w:sz="0" w:space="0" w:color="auto"/>
              <w:left w:val="none" w:sz="0" w:space="0" w:color="auto"/>
              <w:bottom w:val="none" w:sz="0" w:space="0" w:color="auto"/>
              <w:right w:val="none" w:sz="0" w:space="0" w:color="auto"/>
            </w:tcBorders>
          </w:tcPr>
          <w:p w14:paraId="7BE95D0A" w14:textId="5AE40B6A"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99%</w:t>
            </w:r>
          </w:p>
        </w:tc>
        <w:tc>
          <w:tcPr>
            <w:tcW w:w="1170" w:type="dxa"/>
            <w:tcBorders>
              <w:top w:val="none" w:sz="0" w:space="0" w:color="auto"/>
              <w:left w:val="none" w:sz="0" w:space="0" w:color="auto"/>
              <w:bottom w:val="none" w:sz="0" w:space="0" w:color="auto"/>
              <w:right w:val="none" w:sz="0" w:space="0" w:color="auto"/>
            </w:tcBorders>
          </w:tcPr>
          <w:p w14:paraId="42A34E15" w14:textId="2B3B81DA"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11.64</w:t>
            </w:r>
          </w:p>
        </w:tc>
        <w:tc>
          <w:tcPr>
            <w:tcW w:w="1530" w:type="dxa"/>
            <w:tcBorders>
              <w:top w:val="none" w:sz="0" w:space="0" w:color="auto"/>
              <w:left w:val="none" w:sz="0" w:space="0" w:color="auto"/>
              <w:bottom w:val="none" w:sz="0" w:space="0" w:color="auto"/>
              <w:right w:val="none" w:sz="0" w:space="0" w:color="auto"/>
            </w:tcBorders>
          </w:tcPr>
          <w:p w14:paraId="0DF74271" w14:textId="5A5F0F8B"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0.908</w:t>
            </w:r>
          </w:p>
        </w:tc>
        <w:tc>
          <w:tcPr>
            <w:tcW w:w="1111" w:type="dxa"/>
            <w:tcBorders>
              <w:top w:val="none" w:sz="0" w:space="0" w:color="auto"/>
              <w:left w:val="none" w:sz="0" w:space="0" w:color="auto"/>
              <w:bottom w:val="none" w:sz="0" w:space="0" w:color="auto"/>
              <w:right w:val="none" w:sz="0" w:space="0" w:color="auto"/>
            </w:tcBorders>
          </w:tcPr>
          <w:p w14:paraId="61BC8F1D" w14:textId="4E747D26"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10.57</w:t>
            </w:r>
          </w:p>
        </w:tc>
      </w:tr>
      <w:tr w:rsidR="001507DA" w14:paraId="44B56F84"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22F81371" w14:textId="30574DED" w:rsidR="001507DA" w:rsidRDefault="001507DA" w:rsidP="001507DA">
            <w:pPr>
              <w:pStyle w:val="TableLeftText"/>
            </w:pPr>
            <w:r w:rsidRPr="007501F3">
              <w:t>Standard - OS</w:t>
            </w:r>
          </w:p>
        </w:tc>
        <w:tc>
          <w:tcPr>
            <w:tcW w:w="1170" w:type="dxa"/>
            <w:tcBorders>
              <w:top w:val="none" w:sz="0" w:space="0" w:color="auto"/>
              <w:left w:val="none" w:sz="0" w:space="0" w:color="auto"/>
              <w:bottom w:val="none" w:sz="0" w:space="0" w:color="auto"/>
              <w:right w:val="none" w:sz="0" w:space="0" w:color="auto"/>
            </w:tcBorders>
          </w:tcPr>
          <w:p w14:paraId="220EADF2" w14:textId="0F2EE503" w:rsidR="001507DA" w:rsidRDefault="001507D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BD2E07">
              <w:t>0.52</w:t>
            </w:r>
          </w:p>
        </w:tc>
        <w:tc>
          <w:tcPr>
            <w:tcW w:w="1620" w:type="dxa"/>
            <w:tcBorders>
              <w:top w:val="none" w:sz="0" w:space="0" w:color="auto"/>
              <w:left w:val="none" w:sz="0" w:space="0" w:color="auto"/>
              <w:bottom w:val="none" w:sz="0" w:space="0" w:color="auto"/>
              <w:right w:val="none" w:sz="0" w:space="0" w:color="auto"/>
            </w:tcBorders>
          </w:tcPr>
          <w:p w14:paraId="2833D2DD" w14:textId="49789B73" w:rsidR="001507DA" w:rsidRDefault="001507D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BD2E07">
              <w:t>100%</w:t>
            </w:r>
          </w:p>
        </w:tc>
        <w:tc>
          <w:tcPr>
            <w:tcW w:w="1170" w:type="dxa"/>
            <w:tcBorders>
              <w:top w:val="none" w:sz="0" w:space="0" w:color="auto"/>
              <w:left w:val="none" w:sz="0" w:space="0" w:color="auto"/>
              <w:bottom w:val="none" w:sz="0" w:space="0" w:color="auto"/>
              <w:right w:val="none" w:sz="0" w:space="0" w:color="auto"/>
            </w:tcBorders>
          </w:tcPr>
          <w:p w14:paraId="672D39BB" w14:textId="4BEC0C16" w:rsidR="001507DA" w:rsidRDefault="001507D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BD2E07">
              <w:t>0.52</w:t>
            </w:r>
          </w:p>
        </w:tc>
        <w:tc>
          <w:tcPr>
            <w:tcW w:w="1530" w:type="dxa"/>
            <w:tcBorders>
              <w:top w:val="none" w:sz="0" w:space="0" w:color="auto"/>
              <w:left w:val="none" w:sz="0" w:space="0" w:color="auto"/>
              <w:bottom w:val="none" w:sz="0" w:space="0" w:color="auto"/>
              <w:right w:val="none" w:sz="0" w:space="0" w:color="auto"/>
            </w:tcBorders>
          </w:tcPr>
          <w:p w14:paraId="4D0CA5C8" w14:textId="2BCD8DA3" w:rsidR="001507DA" w:rsidRDefault="001507D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BD2E07">
              <w:t>0.918</w:t>
            </w:r>
          </w:p>
        </w:tc>
        <w:tc>
          <w:tcPr>
            <w:tcW w:w="1111" w:type="dxa"/>
            <w:tcBorders>
              <w:top w:val="none" w:sz="0" w:space="0" w:color="auto"/>
              <w:left w:val="none" w:sz="0" w:space="0" w:color="auto"/>
              <w:bottom w:val="none" w:sz="0" w:space="0" w:color="auto"/>
              <w:right w:val="none" w:sz="0" w:space="0" w:color="auto"/>
            </w:tcBorders>
          </w:tcPr>
          <w:p w14:paraId="7940C43E" w14:textId="56C3403A" w:rsidR="001507DA" w:rsidRDefault="001507D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BD2E07">
              <w:t>0.48</w:t>
            </w:r>
          </w:p>
        </w:tc>
      </w:tr>
      <w:tr w:rsidR="001507DA" w14:paraId="2DC28803"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7F83F17E" w14:textId="68EF7F25" w:rsidR="001507DA" w:rsidRDefault="001507DA" w:rsidP="001507DA">
            <w:pPr>
              <w:pStyle w:val="TableLeftText"/>
            </w:pPr>
            <w:r w:rsidRPr="007501F3">
              <w:t>Standard - BOC</w:t>
            </w:r>
          </w:p>
        </w:tc>
        <w:tc>
          <w:tcPr>
            <w:tcW w:w="1170" w:type="dxa"/>
            <w:tcBorders>
              <w:top w:val="none" w:sz="0" w:space="0" w:color="auto"/>
              <w:left w:val="none" w:sz="0" w:space="0" w:color="auto"/>
              <w:bottom w:val="none" w:sz="0" w:space="0" w:color="auto"/>
              <w:right w:val="none" w:sz="0" w:space="0" w:color="auto"/>
            </w:tcBorders>
          </w:tcPr>
          <w:p w14:paraId="03D4671D" w14:textId="2903AA37"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0.12</w:t>
            </w:r>
          </w:p>
        </w:tc>
        <w:tc>
          <w:tcPr>
            <w:tcW w:w="1620" w:type="dxa"/>
            <w:tcBorders>
              <w:top w:val="none" w:sz="0" w:space="0" w:color="auto"/>
              <w:left w:val="none" w:sz="0" w:space="0" w:color="auto"/>
              <w:bottom w:val="none" w:sz="0" w:space="0" w:color="auto"/>
              <w:right w:val="none" w:sz="0" w:space="0" w:color="auto"/>
            </w:tcBorders>
          </w:tcPr>
          <w:p w14:paraId="06846C3A" w14:textId="50E4677F"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88%</w:t>
            </w:r>
          </w:p>
        </w:tc>
        <w:tc>
          <w:tcPr>
            <w:tcW w:w="1170" w:type="dxa"/>
            <w:tcBorders>
              <w:top w:val="none" w:sz="0" w:space="0" w:color="auto"/>
              <w:left w:val="none" w:sz="0" w:space="0" w:color="auto"/>
              <w:bottom w:val="none" w:sz="0" w:space="0" w:color="auto"/>
              <w:right w:val="none" w:sz="0" w:space="0" w:color="auto"/>
            </w:tcBorders>
          </w:tcPr>
          <w:p w14:paraId="21389263" w14:textId="2DFFDF52"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0.11</w:t>
            </w:r>
          </w:p>
        </w:tc>
        <w:tc>
          <w:tcPr>
            <w:tcW w:w="1530" w:type="dxa"/>
            <w:tcBorders>
              <w:top w:val="none" w:sz="0" w:space="0" w:color="auto"/>
              <w:left w:val="none" w:sz="0" w:space="0" w:color="auto"/>
              <w:bottom w:val="none" w:sz="0" w:space="0" w:color="auto"/>
              <w:right w:val="none" w:sz="0" w:space="0" w:color="auto"/>
            </w:tcBorders>
          </w:tcPr>
          <w:p w14:paraId="1254A4FA" w14:textId="133B9499"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N/A</w:t>
            </w:r>
          </w:p>
        </w:tc>
        <w:tc>
          <w:tcPr>
            <w:tcW w:w="1111" w:type="dxa"/>
            <w:tcBorders>
              <w:top w:val="none" w:sz="0" w:space="0" w:color="auto"/>
              <w:left w:val="none" w:sz="0" w:space="0" w:color="auto"/>
              <w:bottom w:val="none" w:sz="0" w:space="0" w:color="auto"/>
              <w:right w:val="none" w:sz="0" w:space="0" w:color="auto"/>
            </w:tcBorders>
          </w:tcPr>
          <w:p w14:paraId="5449C976" w14:textId="42B844B5" w:rsidR="001507DA" w:rsidRDefault="001507DA"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BD2E07">
              <w:t>0.11</w:t>
            </w:r>
          </w:p>
        </w:tc>
      </w:tr>
      <w:tr w:rsidR="00760C8A" w14:paraId="33795219"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1AE8B442" w14:textId="2C17ACEA" w:rsidR="00760C8A" w:rsidRDefault="00760C8A" w:rsidP="00760C8A">
            <w:pPr>
              <w:pStyle w:val="TableLeftText"/>
            </w:pPr>
            <w:r w:rsidRPr="007501F3">
              <w:t>Custom - Custom Incentives</w:t>
            </w:r>
          </w:p>
        </w:tc>
        <w:tc>
          <w:tcPr>
            <w:tcW w:w="1170" w:type="dxa"/>
            <w:tcBorders>
              <w:top w:val="none" w:sz="0" w:space="0" w:color="auto"/>
              <w:left w:val="none" w:sz="0" w:space="0" w:color="auto"/>
              <w:bottom w:val="none" w:sz="0" w:space="0" w:color="auto"/>
              <w:right w:val="none" w:sz="0" w:space="0" w:color="auto"/>
            </w:tcBorders>
          </w:tcPr>
          <w:p w14:paraId="6C58014B" w14:textId="10B3FD4C" w:rsidR="00760C8A" w:rsidRDefault="00424F0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424F0A">
              <w:t>4.04</w:t>
            </w:r>
          </w:p>
        </w:tc>
        <w:tc>
          <w:tcPr>
            <w:tcW w:w="1620" w:type="dxa"/>
            <w:tcBorders>
              <w:top w:val="none" w:sz="0" w:space="0" w:color="auto"/>
              <w:left w:val="none" w:sz="0" w:space="0" w:color="auto"/>
              <w:bottom w:val="none" w:sz="0" w:space="0" w:color="auto"/>
              <w:right w:val="none" w:sz="0" w:space="0" w:color="auto"/>
            </w:tcBorders>
          </w:tcPr>
          <w:p w14:paraId="073698BB" w14:textId="2E7CF518" w:rsidR="00760C8A" w:rsidRDefault="00227724" w:rsidP="007F2D66">
            <w:pPr>
              <w:pStyle w:val="TableLeftText"/>
              <w:jc w:val="right"/>
              <w:cnfStyle w:val="000000010000" w:firstRow="0" w:lastRow="0" w:firstColumn="0" w:lastColumn="0" w:oddVBand="0" w:evenVBand="0" w:oddHBand="0" w:evenHBand="1" w:firstRowFirstColumn="0" w:firstRowLastColumn="0" w:lastRowFirstColumn="0" w:lastRowLastColumn="0"/>
            </w:pPr>
            <w:r>
              <w:t>90</w:t>
            </w:r>
            <w:r w:rsidR="00424F0A" w:rsidRPr="00424F0A">
              <w:t>%</w:t>
            </w:r>
          </w:p>
        </w:tc>
        <w:tc>
          <w:tcPr>
            <w:tcW w:w="1170" w:type="dxa"/>
            <w:tcBorders>
              <w:top w:val="none" w:sz="0" w:space="0" w:color="auto"/>
              <w:left w:val="none" w:sz="0" w:space="0" w:color="auto"/>
              <w:bottom w:val="none" w:sz="0" w:space="0" w:color="auto"/>
              <w:right w:val="none" w:sz="0" w:space="0" w:color="auto"/>
            </w:tcBorders>
          </w:tcPr>
          <w:p w14:paraId="548DE26C" w14:textId="66F6561C" w:rsidR="00760C8A" w:rsidRDefault="00227724" w:rsidP="007F2D66">
            <w:pPr>
              <w:pStyle w:val="TableLeftText"/>
              <w:jc w:val="right"/>
              <w:cnfStyle w:val="000000010000" w:firstRow="0" w:lastRow="0" w:firstColumn="0" w:lastColumn="0" w:oddVBand="0" w:evenVBand="0" w:oddHBand="0" w:evenHBand="1" w:firstRowFirstColumn="0" w:firstRowLastColumn="0" w:lastRowFirstColumn="0" w:lastRowLastColumn="0"/>
            </w:pPr>
            <w:r>
              <w:t>3.63</w:t>
            </w:r>
          </w:p>
        </w:tc>
        <w:tc>
          <w:tcPr>
            <w:tcW w:w="1530" w:type="dxa"/>
            <w:tcBorders>
              <w:top w:val="none" w:sz="0" w:space="0" w:color="auto"/>
              <w:left w:val="none" w:sz="0" w:space="0" w:color="auto"/>
              <w:bottom w:val="none" w:sz="0" w:space="0" w:color="auto"/>
              <w:right w:val="none" w:sz="0" w:space="0" w:color="auto"/>
            </w:tcBorders>
          </w:tcPr>
          <w:p w14:paraId="623434AE" w14:textId="7DF40893" w:rsidR="00760C8A" w:rsidRDefault="00424F0A"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424F0A">
              <w:t>0.830</w:t>
            </w:r>
          </w:p>
        </w:tc>
        <w:tc>
          <w:tcPr>
            <w:tcW w:w="1111" w:type="dxa"/>
            <w:tcBorders>
              <w:top w:val="none" w:sz="0" w:space="0" w:color="auto"/>
              <w:left w:val="none" w:sz="0" w:space="0" w:color="auto"/>
              <w:bottom w:val="none" w:sz="0" w:space="0" w:color="auto"/>
              <w:right w:val="none" w:sz="0" w:space="0" w:color="auto"/>
            </w:tcBorders>
          </w:tcPr>
          <w:p w14:paraId="07D5E330" w14:textId="713C2E81" w:rsidR="00760C8A" w:rsidRDefault="00227724" w:rsidP="007F2D66">
            <w:pPr>
              <w:pStyle w:val="TableLeftText"/>
              <w:jc w:val="right"/>
              <w:cnfStyle w:val="000000010000" w:firstRow="0" w:lastRow="0" w:firstColumn="0" w:lastColumn="0" w:oddVBand="0" w:evenVBand="0" w:oddHBand="0" w:evenHBand="1" w:firstRowFirstColumn="0" w:firstRowLastColumn="0" w:lastRowFirstColumn="0" w:lastRowLastColumn="0"/>
            </w:pPr>
            <w:r>
              <w:t>3.00</w:t>
            </w:r>
          </w:p>
        </w:tc>
      </w:tr>
      <w:tr w:rsidR="00760C8A" w14:paraId="0C3F50A0"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504F629F" w14:textId="0A231957" w:rsidR="00760C8A" w:rsidRDefault="00760C8A" w:rsidP="00760C8A">
            <w:pPr>
              <w:pStyle w:val="TableLeftText"/>
            </w:pPr>
            <w:r w:rsidRPr="007501F3">
              <w:t>Custom - New Construction Lighting</w:t>
            </w:r>
          </w:p>
        </w:tc>
        <w:tc>
          <w:tcPr>
            <w:tcW w:w="1170" w:type="dxa"/>
            <w:tcBorders>
              <w:top w:val="none" w:sz="0" w:space="0" w:color="auto"/>
              <w:left w:val="none" w:sz="0" w:space="0" w:color="auto"/>
              <w:bottom w:val="none" w:sz="0" w:space="0" w:color="auto"/>
              <w:right w:val="none" w:sz="0" w:space="0" w:color="auto"/>
            </w:tcBorders>
          </w:tcPr>
          <w:p w14:paraId="108749ED" w14:textId="5C2C48B9" w:rsidR="00760C8A" w:rsidRDefault="00934062" w:rsidP="007F2D66">
            <w:pPr>
              <w:pStyle w:val="TableLeftText"/>
              <w:jc w:val="right"/>
              <w:cnfStyle w:val="000000100000" w:firstRow="0" w:lastRow="0" w:firstColumn="0" w:lastColumn="0" w:oddVBand="0" w:evenVBand="0" w:oddHBand="1" w:evenHBand="0" w:firstRowFirstColumn="0" w:firstRowLastColumn="0" w:lastRowFirstColumn="0" w:lastRowLastColumn="0"/>
            </w:pPr>
            <w:r>
              <w:t>0.28</w:t>
            </w:r>
          </w:p>
        </w:tc>
        <w:tc>
          <w:tcPr>
            <w:tcW w:w="1620" w:type="dxa"/>
            <w:tcBorders>
              <w:top w:val="none" w:sz="0" w:space="0" w:color="auto"/>
              <w:left w:val="none" w:sz="0" w:space="0" w:color="auto"/>
              <w:bottom w:val="none" w:sz="0" w:space="0" w:color="auto"/>
              <w:right w:val="none" w:sz="0" w:space="0" w:color="auto"/>
            </w:tcBorders>
          </w:tcPr>
          <w:p w14:paraId="312BCC9C" w14:textId="2BFF7ED1" w:rsidR="00760C8A" w:rsidRDefault="00934062" w:rsidP="007F2D66">
            <w:pPr>
              <w:pStyle w:val="TableLeftText"/>
              <w:jc w:val="right"/>
              <w:cnfStyle w:val="000000100000" w:firstRow="0" w:lastRow="0" w:firstColumn="0" w:lastColumn="0" w:oddVBand="0" w:evenVBand="0" w:oddHBand="1" w:evenHBand="0" w:firstRowFirstColumn="0" w:firstRowLastColumn="0" w:lastRowFirstColumn="0" w:lastRowLastColumn="0"/>
            </w:pPr>
            <w:r>
              <w:t>99%</w:t>
            </w:r>
          </w:p>
        </w:tc>
        <w:tc>
          <w:tcPr>
            <w:tcW w:w="1170" w:type="dxa"/>
            <w:tcBorders>
              <w:top w:val="none" w:sz="0" w:space="0" w:color="auto"/>
              <w:left w:val="none" w:sz="0" w:space="0" w:color="auto"/>
              <w:bottom w:val="none" w:sz="0" w:space="0" w:color="auto"/>
              <w:right w:val="none" w:sz="0" w:space="0" w:color="auto"/>
            </w:tcBorders>
          </w:tcPr>
          <w:p w14:paraId="78554965" w14:textId="58406712" w:rsidR="00760C8A" w:rsidRDefault="00934062" w:rsidP="007F2D66">
            <w:pPr>
              <w:pStyle w:val="TableLeftText"/>
              <w:jc w:val="right"/>
              <w:cnfStyle w:val="000000100000" w:firstRow="0" w:lastRow="0" w:firstColumn="0" w:lastColumn="0" w:oddVBand="0" w:evenVBand="0" w:oddHBand="1" w:evenHBand="0" w:firstRowFirstColumn="0" w:firstRowLastColumn="0" w:lastRowFirstColumn="0" w:lastRowLastColumn="0"/>
            </w:pPr>
            <w:r>
              <w:t>0.28</w:t>
            </w:r>
          </w:p>
        </w:tc>
        <w:tc>
          <w:tcPr>
            <w:tcW w:w="1530" w:type="dxa"/>
            <w:tcBorders>
              <w:top w:val="none" w:sz="0" w:space="0" w:color="auto"/>
              <w:left w:val="none" w:sz="0" w:space="0" w:color="auto"/>
              <w:bottom w:val="none" w:sz="0" w:space="0" w:color="auto"/>
              <w:right w:val="none" w:sz="0" w:space="0" w:color="auto"/>
            </w:tcBorders>
          </w:tcPr>
          <w:p w14:paraId="7AEDA7E4" w14:textId="233325C3" w:rsidR="00760C8A" w:rsidRDefault="00934062" w:rsidP="007F2D66">
            <w:pPr>
              <w:pStyle w:val="TableLeftText"/>
              <w:jc w:val="right"/>
              <w:cnfStyle w:val="000000100000" w:firstRow="0" w:lastRow="0" w:firstColumn="0" w:lastColumn="0" w:oddVBand="0" w:evenVBand="0" w:oddHBand="1" w:evenHBand="0" w:firstRowFirstColumn="0" w:firstRowLastColumn="0" w:lastRowFirstColumn="0" w:lastRowLastColumn="0"/>
            </w:pPr>
            <w:r>
              <w:t>0.792</w:t>
            </w:r>
          </w:p>
        </w:tc>
        <w:tc>
          <w:tcPr>
            <w:tcW w:w="1111" w:type="dxa"/>
            <w:tcBorders>
              <w:top w:val="none" w:sz="0" w:space="0" w:color="auto"/>
              <w:left w:val="none" w:sz="0" w:space="0" w:color="auto"/>
              <w:bottom w:val="none" w:sz="0" w:space="0" w:color="auto"/>
              <w:right w:val="none" w:sz="0" w:space="0" w:color="auto"/>
            </w:tcBorders>
          </w:tcPr>
          <w:p w14:paraId="0A4ECDF1" w14:textId="29FCC46F" w:rsidR="00760C8A" w:rsidRDefault="00934062" w:rsidP="007F2D66">
            <w:pPr>
              <w:pStyle w:val="TableLeftText"/>
              <w:jc w:val="right"/>
              <w:cnfStyle w:val="000000100000" w:firstRow="0" w:lastRow="0" w:firstColumn="0" w:lastColumn="0" w:oddVBand="0" w:evenVBand="0" w:oddHBand="1" w:evenHBand="0" w:firstRowFirstColumn="0" w:firstRowLastColumn="0" w:lastRowFirstColumn="0" w:lastRowLastColumn="0"/>
            </w:pPr>
            <w:r>
              <w:t>0.22</w:t>
            </w:r>
          </w:p>
        </w:tc>
      </w:tr>
      <w:tr w:rsidR="00387017" w14:paraId="4B106BAD"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7404B4D5" w14:textId="3B2503D7" w:rsidR="00387017" w:rsidRDefault="00387017" w:rsidP="00387017">
            <w:pPr>
              <w:pStyle w:val="TableLeftText"/>
            </w:pPr>
            <w:r w:rsidRPr="007501F3">
              <w:t>RCx - Core</w:t>
            </w:r>
          </w:p>
        </w:tc>
        <w:tc>
          <w:tcPr>
            <w:tcW w:w="1170" w:type="dxa"/>
            <w:tcBorders>
              <w:top w:val="none" w:sz="0" w:space="0" w:color="auto"/>
              <w:left w:val="none" w:sz="0" w:space="0" w:color="auto"/>
              <w:bottom w:val="none" w:sz="0" w:space="0" w:color="auto"/>
              <w:right w:val="none" w:sz="0" w:space="0" w:color="auto"/>
            </w:tcBorders>
          </w:tcPr>
          <w:p w14:paraId="739A3DBF" w14:textId="285D51EA"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w:t>
            </w:r>
            <w:r w:rsidR="007D7F06">
              <w:t>5</w:t>
            </w:r>
          </w:p>
        </w:tc>
        <w:tc>
          <w:tcPr>
            <w:tcW w:w="1620" w:type="dxa"/>
            <w:tcBorders>
              <w:top w:val="none" w:sz="0" w:space="0" w:color="auto"/>
              <w:left w:val="none" w:sz="0" w:space="0" w:color="auto"/>
              <w:bottom w:val="none" w:sz="0" w:space="0" w:color="auto"/>
              <w:right w:val="none" w:sz="0" w:space="0" w:color="auto"/>
            </w:tcBorders>
          </w:tcPr>
          <w:p w14:paraId="7F3FB7A7" w14:textId="773B4FED" w:rsidR="00387017" w:rsidRDefault="008C0411" w:rsidP="007F2D66">
            <w:pPr>
              <w:pStyle w:val="TableLeftText"/>
              <w:jc w:val="right"/>
              <w:cnfStyle w:val="000000010000" w:firstRow="0" w:lastRow="0" w:firstColumn="0" w:lastColumn="0" w:oddVBand="0" w:evenVBand="0" w:oddHBand="0" w:evenHBand="1" w:firstRowFirstColumn="0" w:firstRowLastColumn="0" w:lastRowFirstColumn="0" w:lastRowLastColumn="0"/>
            </w:pPr>
            <w:r>
              <w:t>79</w:t>
            </w:r>
            <w:r w:rsidR="007D7F06">
              <w:t>%</w:t>
            </w:r>
          </w:p>
        </w:tc>
        <w:tc>
          <w:tcPr>
            <w:tcW w:w="1170" w:type="dxa"/>
            <w:tcBorders>
              <w:top w:val="none" w:sz="0" w:space="0" w:color="auto"/>
              <w:left w:val="none" w:sz="0" w:space="0" w:color="auto"/>
              <w:bottom w:val="none" w:sz="0" w:space="0" w:color="auto"/>
              <w:right w:val="none" w:sz="0" w:space="0" w:color="auto"/>
            </w:tcBorders>
          </w:tcPr>
          <w:p w14:paraId="4A7577D4" w14:textId="10639063"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w:t>
            </w:r>
            <w:r w:rsidR="008C0411">
              <w:t>4</w:t>
            </w:r>
          </w:p>
        </w:tc>
        <w:tc>
          <w:tcPr>
            <w:tcW w:w="1530" w:type="dxa"/>
            <w:tcBorders>
              <w:top w:val="none" w:sz="0" w:space="0" w:color="auto"/>
              <w:left w:val="none" w:sz="0" w:space="0" w:color="auto"/>
              <w:bottom w:val="none" w:sz="0" w:space="0" w:color="auto"/>
              <w:right w:val="none" w:sz="0" w:space="0" w:color="auto"/>
            </w:tcBorders>
          </w:tcPr>
          <w:p w14:paraId="1782EB17" w14:textId="221472D2" w:rsidR="00387017" w:rsidRDefault="008C0411" w:rsidP="007F2D66">
            <w:pPr>
              <w:pStyle w:val="TableLeftText"/>
              <w:jc w:val="right"/>
              <w:cnfStyle w:val="000000010000" w:firstRow="0" w:lastRow="0" w:firstColumn="0" w:lastColumn="0" w:oddVBand="0" w:evenVBand="0" w:oddHBand="0" w:evenHBand="1" w:firstRowFirstColumn="0" w:firstRowLastColumn="0" w:lastRowFirstColumn="0" w:lastRowLastColumn="0"/>
            </w:pPr>
            <w:r>
              <w:t>0.945</w:t>
            </w:r>
          </w:p>
        </w:tc>
        <w:tc>
          <w:tcPr>
            <w:tcW w:w="1111" w:type="dxa"/>
            <w:tcBorders>
              <w:top w:val="none" w:sz="0" w:space="0" w:color="auto"/>
              <w:left w:val="none" w:sz="0" w:space="0" w:color="auto"/>
              <w:bottom w:val="none" w:sz="0" w:space="0" w:color="auto"/>
              <w:right w:val="none" w:sz="0" w:space="0" w:color="auto"/>
            </w:tcBorders>
          </w:tcPr>
          <w:p w14:paraId="14819A7D" w14:textId="7205C3E8"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w:t>
            </w:r>
            <w:r w:rsidR="008C0411">
              <w:t>4</w:t>
            </w:r>
          </w:p>
        </w:tc>
      </w:tr>
      <w:tr w:rsidR="00387017" w14:paraId="03C5DBD9"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4FFFA383" w14:textId="6B6EA3E6" w:rsidR="00387017" w:rsidRDefault="00387017" w:rsidP="00387017">
            <w:pPr>
              <w:pStyle w:val="TableLeftText"/>
            </w:pPr>
            <w:r w:rsidRPr="007501F3">
              <w:t>RCx - VCx</w:t>
            </w:r>
          </w:p>
        </w:tc>
        <w:tc>
          <w:tcPr>
            <w:tcW w:w="1170" w:type="dxa"/>
            <w:tcBorders>
              <w:top w:val="none" w:sz="0" w:space="0" w:color="auto"/>
              <w:left w:val="none" w:sz="0" w:space="0" w:color="auto"/>
              <w:bottom w:val="none" w:sz="0" w:space="0" w:color="auto"/>
              <w:right w:val="none" w:sz="0" w:space="0" w:color="auto"/>
            </w:tcBorders>
          </w:tcPr>
          <w:p w14:paraId="1D30C65D" w14:textId="085CB43A" w:rsidR="00387017" w:rsidRDefault="00387017"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5A6DD1">
              <w:t>0.00</w:t>
            </w:r>
          </w:p>
        </w:tc>
        <w:tc>
          <w:tcPr>
            <w:tcW w:w="1620" w:type="dxa"/>
            <w:tcBorders>
              <w:top w:val="none" w:sz="0" w:space="0" w:color="auto"/>
              <w:left w:val="none" w:sz="0" w:space="0" w:color="auto"/>
              <w:bottom w:val="none" w:sz="0" w:space="0" w:color="auto"/>
              <w:right w:val="none" w:sz="0" w:space="0" w:color="auto"/>
            </w:tcBorders>
          </w:tcPr>
          <w:p w14:paraId="7336953B" w14:textId="69F1311C" w:rsidR="00387017" w:rsidRDefault="00387017"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5A6DD1">
              <w:t>N/A</w:t>
            </w:r>
          </w:p>
        </w:tc>
        <w:tc>
          <w:tcPr>
            <w:tcW w:w="1170" w:type="dxa"/>
            <w:tcBorders>
              <w:top w:val="none" w:sz="0" w:space="0" w:color="auto"/>
              <w:left w:val="none" w:sz="0" w:space="0" w:color="auto"/>
              <w:bottom w:val="none" w:sz="0" w:space="0" w:color="auto"/>
              <w:right w:val="none" w:sz="0" w:space="0" w:color="auto"/>
            </w:tcBorders>
          </w:tcPr>
          <w:p w14:paraId="1007E229" w14:textId="4AC34986" w:rsidR="00387017" w:rsidRDefault="00387017"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5A6DD1">
              <w:t>0.00</w:t>
            </w:r>
          </w:p>
        </w:tc>
        <w:tc>
          <w:tcPr>
            <w:tcW w:w="1530" w:type="dxa"/>
            <w:tcBorders>
              <w:top w:val="none" w:sz="0" w:space="0" w:color="auto"/>
              <w:left w:val="none" w:sz="0" w:space="0" w:color="auto"/>
              <w:bottom w:val="none" w:sz="0" w:space="0" w:color="auto"/>
              <w:right w:val="none" w:sz="0" w:space="0" w:color="auto"/>
            </w:tcBorders>
          </w:tcPr>
          <w:p w14:paraId="197BFDC3" w14:textId="302EAC4B" w:rsidR="00387017" w:rsidRDefault="00387017"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5A6DD1">
              <w:t>N/A</w:t>
            </w:r>
          </w:p>
        </w:tc>
        <w:tc>
          <w:tcPr>
            <w:tcW w:w="1111" w:type="dxa"/>
            <w:tcBorders>
              <w:top w:val="none" w:sz="0" w:space="0" w:color="auto"/>
              <w:left w:val="none" w:sz="0" w:space="0" w:color="auto"/>
              <w:bottom w:val="none" w:sz="0" w:space="0" w:color="auto"/>
              <w:right w:val="none" w:sz="0" w:space="0" w:color="auto"/>
            </w:tcBorders>
          </w:tcPr>
          <w:p w14:paraId="44C2E487" w14:textId="205D8CE3" w:rsidR="00387017" w:rsidRDefault="00387017"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5A6DD1">
              <w:t>0.00</w:t>
            </w:r>
          </w:p>
        </w:tc>
      </w:tr>
      <w:tr w:rsidR="00387017" w14:paraId="7C3ED483"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22788732" w14:textId="1B892938" w:rsidR="00387017" w:rsidRDefault="00387017" w:rsidP="00387017">
            <w:pPr>
              <w:pStyle w:val="TableLeftText"/>
            </w:pPr>
            <w:r w:rsidRPr="007501F3">
              <w:t xml:space="preserve">RCx - </w:t>
            </w:r>
            <w:r>
              <w:t>Virtual SEM</w:t>
            </w:r>
          </w:p>
        </w:tc>
        <w:tc>
          <w:tcPr>
            <w:tcW w:w="1170" w:type="dxa"/>
            <w:tcBorders>
              <w:top w:val="none" w:sz="0" w:space="0" w:color="auto"/>
              <w:left w:val="none" w:sz="0" w:space="0" w:color="auto"/>
              <w:bottom w:val="none" w:sz="0" w:space="0" w:color="auto"/>
              <w:right w:val="none" w:sz="0" w:space="0" w:color="auto"/>
            </w:tcBorders>
          </w:tcPr>
          <w:p w14:paraId="04E73B4C" w14:textId="5A69DBF8"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0.00</w:t>
            </w:r>
          </w:p>
        </w:tc>
        <w:tc>
          <w:tcPr>
            <w:tcW w:w="1620" w:type="dxa"/>
            <w:tcBorders>
              <w:top w:val="none" w:sz="0" w:space="0" w:color="auto"/>
              <w:left w:val="none" w:sz="0" w:space="0" w:color="auto"/>
              <w:bottom w:val="none" w:sz="0" w:space="0" w:color="auto"/>
              <w:right w:val="none" w:sz="0" w:space="0" w:color="auto"/>
            </w:tcBorders>
          </w:tcPr>
          <w:p w14:paraId="35DA7394" w14:textId="72A50077"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N/A</w:t>
            </w:r>
          </w:p>
        </w:tc>
        <w:tc>
          <w:tcPr>
            <w:tcW w:w="1170" w:type="dxa"/>
            <w:tcBorders>
              <w:top w:val="none" w:sz="0" w:space="0" w:color="auto"/>
              <w:left w:val="none" w:sz="0" w:space="0" w:color="auto"/>
              <w:bottom w:val="none" w:sz="0" w:space="0" w:color="auto"/>
              <w:right w:val="none" w:sz="0" w:space="0" w:color="auto"/>
            </w:tcBorders>
          </w:tcPr>
          <w:p w14:paraId="1890CB9C" w14:textId="5D78F546"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0.00</w:t>
            </w:r>
          </w:p>
        </w:tc>
        <w:tc>
          <w:tcPr>
            <w:tcW w:w="1530" w:type="dxa"/>
            <w:tcBorders>
              <w:top w:val="none" w:sz="0" w:space="0" w:color="auto"/>
              <w:left w:val="none" w:sz="0" w:space="0" w:color="auto"/>
              <w:bottom w:val="none" w:sz="0" w:space="0" w:color="auto"/>
              <w:right w:val="none" w:sz="0" w:space="0" w:color="auto"/>
            </w:tcBorders>
          </w:tcPr>
          <w:p w14:paraId="05DFE728" w14:textId="67F8A258"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N/A</w:t>
            </w:r>
          </w:p>
        </w:tc>
        <w:tc>
          <w:tcPr>
            <w:tcW w:w="1111" w:type="dxa"/>
            <w:tcBorders>
              <w:top w:val="none" w:sz="0" w:space="0" w:color="auto"/>
              <w:left w:val="none" w:sz="0" w:space="0" w:color="auto"/>
              <w:bottom w:val="none" w:sz="0" w:space="0" w:color="auto"/>
              <w:right w:val="none" w:sz="0" w:space="0" w:color="auto"/>
            </w:tcBorders>
          </w:tcPr>
          <w:p w14:paraId="79B3A7F1" w14:textId="650F7C99" w:rsidR="00387017" w:rsidRDefault="00387017"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5A6DD1">
              <w:t>0.00</w:t>
            </w:r>
          </w:p>
        </w:tc>
      </w:tr>
      <w:tr w:rsidR="00E93A13" w14:paraId="0C26247B"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116BB17C" w14:textId="36515461" w:rsidR="00E93A13" w:rsidRDefault="00E93A13" w:rsidP="00E93A13">
            <w:pPr>
              <w:pStyle w:val="TableLeftText"/>
            </w:pPr>
            <w:r w:rsidRPr="007501F3">
              <w:t>Streetlighting - MOSL</w:t>
            </w:r>
          </w:p>
        </w:tc>
        <w:tc>
          <w:tcPr>
            <w:tcW w:w="1170" w:type="dxa"/>
            <w:tcBorders>
              <w:top w:val="none" w:sz="0" w:space="0" w:color="auto"/>
              <w:left w:val="none" w:sz="0" w:space="0" w:color="auto"/>
              <w:bottom w:val="none" w:sz="0" w:space="0" w:color="auto"/>
              <w:right w:val="none" w:sz="0" w:space="0" w:color="auto"/>
            </w:tcBorders>
          </w:tcPr>
          <w:p w14:paraId="6B849A51" w14:textId="108E76F4"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A71CB7">
              <w:t>0.00</w:t>
            </w:r>
          </w:p>
        </w:tc>
        <w:tc>
          <w:tcPr>
            <w:tcW w:w="1620" w:type="dxa"/>
            <w:tcBorders>
              <w:top w:val="none" w:sz="0" w:space="0" w:color="auto"/>
              <w:left w:val="none" w:sz="0" w:space="0" w:color="auto"/>
              <w:bottom w:val="none" w:sz="0" w:space="0" w:color="auto"/>
              <w:right w:val="none" w:sz="0" w:space="0" w:color="auto"/>
            </w:tcBorders>
          </w:tcPr>
          <w:p w14:paraId="5920FF13" w14:textId="03B142F2"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A71CB7">
              <w:t>N/A</w:t>
            </w:r>
          </w:p>
        </w:tc>
        <w:tc>
          <w:tcPr>
            <w:tcW w:w="1170" w:type="dxa"/>
            <w:tcBorders>
              <w:top w:val="none" w:sz="0" w:space="0" w:color="auto"/>
              <w:left w:val="none" w:sz="0" w:space="0" w:color="auto"/>
              <w:bottom w:val="none" w:sz="0" w:space="0" w:color="auto"/>
              <w:right w:val="none" w:sz="0" w:space="0" w:color="auto"/>
            </w:tcBorders>
          </w:tcPr>
          <w:p w14:paraId="61E65A3C" w14:textId="4073D226"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A71CB7">
              <w:t>0.00</w:t>
            </w:r>
          </w:p>
        </w:tc>
        <w:tc>
          <w:tcPr>
            <w:tcW w:w="1530" w:type="dxa"/>
            <w:tcBorders>
              <w:top w:val="none" w:sz="0" w:space="0" w:color="auto"/>
              <w:left w:val="none" w:sz="0" w:space="0" w:color="auto"/>
              <w:bottom w:val="none" w:sz="0" w:space="0" w:color="auto"/>
              <w:right w:val="none" w:sz="0" w:space="0" w:color="auto"/>
            </w:tcBorders>
          </w:tcPr>
          <w:p w14:paraId="5D20A3EF" w14:textId="7DBCFE41"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A71CB7">
              <w:t>N/A</w:t>
            </w:r>
          </w:p>
        </w:tc>
        <w:tc>
          <w:tcPr>
            <w:tcW w:w="1111" w:type="dxa"/>
            <w:tcBorders>
              <w:top w:val="none" w:sz="0" w:space="0" w:color="auto"/>
              <w:left w:val="none" w:sz="0" w:space="0" w:color="auto"/>
              <w:bottom w:val="none" w:sz="0" w:space="0" w:color="auto"/>
              <w:right w:val="none" w:sz="0" w:space="0" w:color="auto"/>
            </w:tcBorders>
          </w:tcPr>
          <w:p w14:paraId="483DF67E" w14:textId="15C51655"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A71CB7">
              <w:t>0.00</w:t>
            </w:r>
          </w:p>
        </w:tc>
      </w:tr>
      <w:tr w:rsidR="00E93A13" w14:paraId="1258AC23"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2E523AF5" w14:textId="48A4AC9F" w:rsidR="00E93A13" w:rsidRDefault="00E93A13" w:rsidP="00E93A13">
            <w:pPr>
              <w:pStyle w:val="TableLeftText"/>
            </w:pPr>
            <w:r w:rsidRPr="007501F3">
              <w:t>Streetlighting - UOSL</w:t>
            </w:r>
          </w:p>
        </w:tc>
        <w:tc>
          <w:tcPr>
            <w:tcW w:w="1170" w:type="dxa"/>
            <w:tcBorders>
              <w:top w:val="none" w:sz="0" w:space="0" w:color="auto"/>
              <w:left w:val="none" w:sz="0" w:space="0" w:color="auto"/>
              <w:bottom w:val="none" w:sz="0" w:space="0" w:color="auto"/>
              <w:right w:val="none" w:sz="0" w:space="0" w:color="auto"/>
            </w:tcBorders>
          </w:tcPr>
          <w:p w14:paraId="23AC8C4B" w14:textId="3F80ED60"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A71CB7">
              <w:t>0.00</w:t>
            </w:r>
          </w:p>
        </w:tc>
        <w:tc>
          <w:tcPr>
            <w:tcW w:w="1620" w:type="dxa"/>
            <w:tcBorders>
              <w:top w:val="none" w:sz="0" w:space="0" w:color="auto"/>
              <w:left w:val="none" w:sz="0" w:space="0" w:color="auto"/>
              <w:bottom w:val="none" w:sz="0" w:space="0" w:color="auto"/>
              <w:right w:val="none" w:sz="0" w:space="0" w:color="auto"/>
            </w:tcBorders>
          </w:tcPr>
          <w:p w14:paraId="2D8ED112" w14:textId="5AE09967"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A71CB7">
              <w:t>N/A</w:t>
            </w:r>
          </w:p>
        </w:tc>
        <w:tc>
          <w:tcPr>
            <w:tcW w:w="1170" w:type="dxa"/>
            <w:tcBorders>
              <w:top w:val="none" w:sz="0" w:space="0" w:color="auto"/>
              <w:left w:val="none" w:sz="0" w:space="0" w:color="auto"/>
              <w:bottom w:val="none" w:sz="0" w:space="0" w:color="auto"/>
              <w:right w:val="none" w:sz="0" w:space="0" w:color="auto"/>
            </w:tcBorders>
          </w:tcPr>
          <w:p w14:paraId="5AF75F60" w14:textId="7E124702"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A71CB7">
              <w:t>0.00</w:t>
            </w:r>
          </w:p>
        </w:tc>
        <w:tc>
          <w:tcPr>
            <w:tcW w:w="1530" w:type="dxa"/>
            <w:tcBorders>
              <w:top w:val="none" w:sz="0" w:space="0" w:color="auto"/>
              <w:left w:val="none" w:sz="0" w:space="0" w:color="auto"/>
              <w:bottom w:val="none" w:sz="0" w:space="0" w:color="auto"/>
              <w:right w:val="none" w:sz="0" w:space="0" w:color="auto"/>
            </w:tcBorders>
          </w:tcPr>
          <w:p w14:paraId="5F12DCC9" w14:textId="5D9E855C"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A71CB7">
              <w:t>N/A</w:t>
            </w:r>
          </w:p>
        </w:tc>
        <w:tc>
          <w:tcPr>
            <w:tcW w:w="1111" w:type="dxa"/>
            <w:tcBorders>
              <w:top w:val="none" w:sz="0" w:space="0" w:color="auto"/>
              <w:left w:val="none" w:sz="0" w:space="0" w:color="auto"/>
              <w:bottom w:val="none" w:sz="0" w:space="0" w:color="auto"/>
              <w:right w:val="none" w:sz="0" w:space="0" w:color="auto"/>
            </w:tcBorders>
          </w:tcPr>
          <w:p w14:paraId="71ACEEF9" w14:textId="2E9A491F"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A71CB7">
              <w:t>0.00</w:t>
            </w:r>
          </w:p>
        </w:tc>
      </w:tr>
      <w:tr w:rsidR="00E93A13" w14:paraId="556E41A5"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6ED080EC" w14:textId="38CA50FC" w:rsidR="00E93A13" w:rsidRDefault="00E93A13" w:rsidP="00E93A13">
            <w:pPr>
              <w:pStyle w:val="TableLeftText"/>
            </w:pPr>
            <w:r w:rsidRPr="007501F3">
              <w:t>Small Business - SBDI</w:t>
            </w:r>
          </w:p>
        </w:tc>
        <w:tc>
          <w:tcPr>
            <w:tcW w:w="1170" w:type="dxa"/>
            <w:tcBorders>
              <w:top w:val="none" w:sz="0" w:space="0" w:color="auto"/>
              <w:left w:val="none" w:sz="0" w:space="0" w:color="auto"/>
              <w:bottom w:val="none" w:sz="0" w:space="0" w:color="auto"/>
              <w:right w:val="none" w:sz="0" w:space="0" w:color="auto"/>
            </w:tcBorders>
          </w:tcPr>
          <w:p w14:paraId="4FEEBF24" w14:textId="201FEE99"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5.75</w:t>
            </w:r>
          </w:p>
        </w:tc>
        <w:tc>
          <w:tcPr>
            <w:tcW w:w="1620" w:type="dxa"/>
            <w:tcBorders>
              <w:top w:val="none" w:sz="0" w:space="0" w:color="auto"/>
              <w:left w:val="none" w:sz="0" w:space="0" w:color="auto"/>
              <w:bottom w:val="none" w:sz="0" w:space="0" w:color="auto"/>
              <w:right w:val="none" w:sz="0" w:space="0" w:color="auto"/>
            </w:tcBorders>
          </w:tcPr>
          <w:p w14:paraId="1527A704" w14:textId="61B806CD" w:rsidR="00E93A1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99</w:t>
            </w:r>
            <w:r w:rsidR="00E93A13" w:rsidRPr="00636501">
              <w:t>%</w:t>
            </w:r>
          </w:p>
        </w:tc>
        <w:tc>
          <w:tcPr>
            <w:tcW w:w="1170" w:type="dxa"/>
            <w:tcBorders>
              <w:top w:val="none" w:sz="0" w:space="0" w:color="auto"/>
              <w:left w:val="none" w:sz="0" w:space="0" w:color="auto"/>
              <w:bottom w:val="none" w:sz="0" w:space="0" w:color="auto"/>
              <w:right w:val="none" w:sz="0" w:space="0" w:color="auto"/>
            </w:tcBorders>
          </w:tcPr>
          <w:p w14:paraId="2D3EFD40" w14:textId="1B6C52C5"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5.7</w:t>
            </w:r>
            <w:r w:rsidR="007D7F06">
              <w:t>1</w:t>
            </w:r>
          </w:p>
        </w:tc>
        <w:tc>
          <w:tcPr>
            <w:tcW w:w="1530" w:type="dxa"/>
            <w:tcBorders>
              <w:top w:val="none" w:sz="0" w:space="0" w:color="auto"/>
              <w:left w:val="none" w:sz="0" w:space="0" w:color="auto"/>
              <w:bottom w:val="none" w:sz="0" w:space="0" w:color="auto"/>
              <w:right w:val="none" w:sz="0" w:space="0" w:color="auto"/>
            </w:tcBorders>
          </w:tcPr>
          <w:p w14:paraId="64864DF3" w14:textId="6B030876"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0.91</w:t>
            </w:r>
            <w:r w:rsidR="00A157AE">
              <w:t>8</w:t>
            </w:r>
          </w:p>
        </w:tc>
        <w:tc>
          <w:tcPr>
            <w:tcW w:w="1111" w:type="dxa"/>
            <w:tcBorders>
              <w:top w:val="none" w:sz="0" w:space="0" w:color="auto"/>
              <w:left w:val="none" w:sz="0" w:space="0" w:color="auto"/>
              <w:bottom w:val="none" w:sz="0" w:space="0" w:color="auto"/>
              <w:right w:val="none" w:sz="0" w:space="0" w:color="auto"/>
            </w:tcBorders>
          </w:tcPr>
          <w:p w14:paraId="0F694AFB" w14:textId="4F628668"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5.25</w:t>
            </w:r>
          </w:p>
        </w:tc>
      </w:tr>
      <w:tr w:rsidR="00E93A13" w14:paraId="621BD167"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01D93535" w14:textId="2B2339C0" w:rsidR="00E93A13" w:rsidRDefault="00E93A13" w:rsidP="00E93A13">
            <w:pPr>
              <w:pStyle w:val="TableLeftText"/>
            </w:pPr>
            <w:r w:rsidRPr="007501F3">
              <w:t>Small Business - SBEP</w:t>
            </w:r>
          </w:p>
        </w:tc>
        <w:tc>
          <w:tcPr>
            <w:tcW w:w="1170" w:type="dxa"/>
            <w:tcBorders>
              <w:top w:val="none" w:sz="0" w:space="0" w:color="auto"/>
              <w:left w:val="none" w:sz="0" w:space="0" w:color="auto"/>
              <w:bottom w:val="none" w:sz="0" w:space="0" w:color="auto"/>
              <w:right w:val="none" w:sz="0" w:space="0" w:color="auto"/>
            </w:tcBorders>
          </w:tcPr>
          <w:p w14:paraId="04DAD2B4" w14:textId="3667A384"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0.11</w:t>
            </w:r>
          </w:p>
        </w:tc>
        <w:tc>
          <w:tcPr>
            <w:tcW w:w="1620" w:type="dxa"/>
            <w:tcBorders>
              <w:top w:val="none" w:sz="0" w:space="0" w:color="auto"/>
              <w:left w:val="none" w:sz="0" w:space="0" w:color="auto"/>
              <w:bottom w:val="none" w:sz="0" w:space="0" w:color="auto"/>
              <w:right w:val="none" w:sz="0" w:space="0" w:color="auto"/>
            </w:tcBorders>
          </w:tcPr>
          <w:p w14:paraId="59D1E975" w14:textId="22BEF6A8"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92%</w:t>
            </w:r>
          </w:p>
        </w:tc>
        <w:tc>
          <w:tcPr>
            <w:tcW w:w="1170" w:type="dxa"/>
            <w:tcBorders>
              <w:top w:val="none" w:sz="0" w:space="0" w:color="auto"/>
              <w:left w:val="none" w:sz="0" w:space="0" w:color="auto"/>
              <w:bottom w:val="none" w:sz="0" w:space="0" w:color="auto"/>
              <w:right w:val="none" w:sz="0" w:space="0" w:color="auto"/>
            </w:tcBorders>
          </w:tcPr>
          <w:p w14:paraId="64F60276" w14:textId="681C8B74"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0.11</w:t>
            </w:r>
          </w:p>
        </w:tc>
        <w:tc>
          <w:tcPr>
            <w:tcW w:w="1530" w:type="dxa"/>
            <w:tcBorders>
              <w:top w:val="none" w:sz="0" w:space="0" w:color="auto"/>
              <w:left w:val="none" w:sz="0" w:space="0" w:color="auto"/>
              <w:bottom w:val="none" w:sz="0" w:space="0" w:color="auto"/>
              <w:right w:val="none" w:sz="0" w:space="0" w:color="auto"/>
            </w:tcBorders>
          </w:tcPr>
          <w:p w14:paraId="4CC95909" w14:textId="794291FB"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1.000</w:t>
            </w:r>
          </w:p>
        </w:tc>
        <w:tc>
          <w:tcPr>
            <w:tcW w:w="1111" w:type="dxa"/>
            <w:tcBorders>
              <w:top w:val="none" w:sz="0" w:space="0" w:color="auto"/>
              <w:left w:val="none" w:sz="0" w:space="0" w:color="auto"/>
              <w:bottom w:val="none" w:sz="0" w:space="0" w:color="auto"/>
              <w:right w:val="none" w:sz="0" w:space="0" w:color="auto"/>
            </w:tcBorders>
          </w:tcPr>
          <w:p w14:paraId="636984E3" w14:textId="070401D3"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0.11</w:t>
            </w:r>
          </w:p>
        </w:tc>
      </w:tr>
      <w:tr w:rsidR="00E93A13" w14:paraId="1C6264CE"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603D4D8F" w14:textId="58C0775F" w:rsidR="00E93A13" w:rsidRDefault="00E93A13" w:rsidP="00E93A13">
            <w:pPr>
              <w:pStyle w:val="TableLeftText"/>
            </w:pPr>
            <w:r w:rsidRPr="007501F3">
              <w:t>Midstream - Lighting</w:t>
            </w:r>
          </w:p>
        </w:tc>
        <w:tc>
          <w:tcPr>
            <w:tcW w:w="1170" w:type="dxa"/>
            <w:tcBorders>
              <w:top w:val="none" w:sz="0" w:space="0" w:color="auto"/>
              <w:left w:val="none" w:sz="0" w:space="0" w:color="auto"/>
              <w:bottom w:val="none" w:sz="0" w:space="0" w:color="auto"/>
              <w:right w:val="none" w:sz="0" w:space="0" w:color="auto"/>
            </w:tcBorders>
          </w:tcPr>
          <w:p w14:paraId="2AD54B6E" w14:textId="44A9719E"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6.74</w:t>
            </w:r>
          </w:p>
        </w:tc>
        <w:tc>
          <w:tcPr>
            <w:tcW w:w="1620" w:type="dxa"/>
            <w:tcBorders>
              <w:top w:val="none" w:sz="0" w:space="0" w:color="auto"/>
              <w:left w:val="none" w:sz="0" w:space="0" w:color="auto"/>
              <w:bottom w:val="none" w:sz="0" w:space="0" w:color="auto"/>
              <w:right w:val="none" w:sz="0" w:space="0" w:color="auto"/>
            </w:tcBorders>
          </w:tcPr>
          <w:p w14:paraId="53BB84B1" w14:textId="32B3A727"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95%</w:t>
            </w:r>
          </w:p>
        </w:tc>
        <w:tc>
          <w:tcPr>
            <w:tcW w:w="1170" w:type="dxa"/>
            <w:tcBorders>
              <w:top w:val="none" w:sz="0" w:space="0" w:color="auto"/>
              <w:left w:val="none" w:sz="0" w:space="0" w:color="auto"/>
              <w:bottom w:val="none" w:sz="0" w:space="0" w:color="auto"/>
              <w:right w:val="none" w:sz="0" w:space="0" w:color="auto"/>
            </w:tcBorders>
          </w:tcPr>
          <w:p w14:paraId="5BDE49F3" w14:textId="41EA83E8"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6.37</w:t>
            </w:r>
          </w:p>
        </w:tc>
        <w:tc>
          <w:tcPr>
            <w:tcW w:w="1530" w:type="dxa"/>
            <w:tcBorders>
              <w:top w:val="none" w:sz="0" w:space="0" w:color="auto"/>
              <w:left w:val="none" w:sz="0" w:space="0" w:color="auto"/>
              <w:bottom w:val="none" w:sz="0" w:space="0" w:color="auto"/>
              <w:right w:val="none" w:sz="0" w:space="0" w:color="auto"/>
            </w:tcBorders>
          </w:tcPr>
          <w:p w14:paraId="79C7CC56" w14:textId="2E2B121E"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0.979</w:t>
            </w:r>
          </w:p>
        </w:tc>
        <w:tc>
          <w:tcPr>
            <w:tcW w:w="1111" w:type="dxa"/>
            <w:tcBorders>
              <w:top w:val="none" w:sz="0" w:space="0" w:color="auto"/>
              <w:left w:val="none" w:sz="0" w:space="0" w:color="auto"/>
              <w:bottom w:val="none" w:sz="0" w:space="0" w:color="auto"/>
              <w:right w:val="none" w:sz="0" w:space="0" w:color="auto"/>
            </w:tcBorders>
          </w:tcPr>
          <w:p w14:paraId="00F6F003" w14:textId="78C49654"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636501">
              <w:t>6.24</w:t>
            </w:r>
          </w:p>
        </w:tc>
      </w:tr>
      <w:tr w:rsidR="00E93A13" w14:paraId="68D1A401"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05C1F1C8" w14:textId="3FF16048" w:rsidR="00E93A13" w:rsidRDefault="00E93A13" w:rsidP="00E93A13">
            <w:pPr>
              <w:pStyle w:val="TableLeftText"/>
            </w:pPr>
            <w:r w:rsidRPr="007501F3">
              <w:t>Midstream - HVAC</w:t>
            </w:r>
          </w:p>
        </w:tc>
        <w:tc>
          <w:tcPr>
            <w:tcW w:w="1170" w:type="dxa"/>
            <w:tcBorders>
              <w:top w:val="none" w:sz="0" w:space="0" w:color="auto"/>
              <w:left w:val="none" w:sz="0" w:space="0" w:color="auto"/>
              <w:bottom w:val="none" w:sz="0" w:space="0" w:color="auto"/>
              <w:right w:val="none" w:sz="0" w:space="0" w:color="auto"/>
            </w:tcBorders>
          </w:tcPr>
          <w:p w14:paraId="7C653472" w14:textId="1BF2A97F"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0.10</w:t>
            </w:r>
          </w:p>
        </w:tc>
        <w:tc>
          <w:tcPr>
            <w:tcW w:w="1620" w:type="dxa"/>
            <w:tcBorders>
              <w:top w:val="none" w:sz="0" w:space="0" w:color="auto"/>
              <w:left w:val="none" w:sz="0" w:space="0" w:color="auto"/>
              <w:bottom w:val="none" w:sz="0" w:space="0" w:color="auto"/>
              <w:right w:val="none" w:sz="0" w:space="0" w:color="auto"/>
            </w:tcBorders>
          </w:tcPr>
          <w:p w14:paraId="5199F71B" w14:textId="5CE97F7D"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105%</w:t>
            </w:r>
          </w:p>
        </w:tc>
        <w:tc>
          <w:tcPr>
            <w:tcW w:w="1170" w:type="dxa"/>
            <w:tcBorders>
              <w:top w:val="none" w:sz="0" w:space="0" w:color="auto"/>
              <w:left w:val="none" w:sz="0" w:space="0" w:color="auto"/>
              <w:bottom w:val="none" w:sz="0" w:space="0" w:color="auto"/>
              <w:right w:val="none" w:sz="0" w:space="0" w:color="auto"/>
            </w:tcBorders>
          </w:tcPr>
          <w:p w14:paraId="1AA9A871" w14:textId="3D019E35"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0.10</w:t>
            </w:r>
          </w:p>
        </w:tc>
        <w:tc>
          <w:tcPr>
            <w:tcW w:w="1530" w:type="dxa"/>
            <w:tcBorders>
              <w:top w:val="none" w:sz="0" w:space="0" w:color="auto"/>
              <w:left w:val="none" w:sz="0" w:space="0" w:color="auto"/>
              <w:bottom w:val="none" w:sz="0" w:space="0" w:color="auto"/>
              <w:right w:val="none" w:sz="0" w:space="0" w:color="auto"/>
            </w:tcBorders>
          </w:tcPr>
          <w:p w14:paraId="79AFC486" w14:textId="0021691D"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0.696</w:t>
            </w:r>
          </w:p>
        </w:tc>
        <w:tc>
          <w:tcPr>
            <w:tcW w:w="1111" w:type="dxa"/>
            <w:tcBorders>
              <w:top w:val="none" w:sz="0" w:space="0" w:color="auto"/>
              <w:left w:val="none" w:sz="0" w:space="0" w:color="auto"/>
              <w:bottom w:val="none" w:sz="0" w:space="0" w:color="auto"/>
              <w:right w:val="none" w:sz="0" w:space="0" w:color="auto"/>
            </w:tcBorders>
          </w:tcPr>
          <w:p w14:paraId="671341D6" w14:textId="12151C4A" w:rsidR="00E93A13" w:rsidRDefault="00E93A13" w:rsidP="007F2D66">
            <w:pPr>
              <w:pStyle w:val="TableLeftText"/>
              <w:jc w:val="right"/>
              <w:cnfStyle w:val="000000010000" w:firstRow="0" w:lastRow="0" w:firstColumn="0" w:lastColumn="0" w:oddVBand="0" w:evenVBand="0" w:oddHBand="0" w:evenHBand="1" w:firstRowFirstColumn="0" w:firstRowLastColumn="0" w:lastRowFirstColumn="0" w:lastRowLastColumn="0"/>
            </w:pPr>
            <w:r w:rsidRPr="00636501">
              <w:t>0.07</w:t>
            </w:r>
          </w:p>
        </w:tc>
      </w:tr>
      <w:tr w:rsidR="00E93A13" w14:paraId="1E25CD69"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142F9690" w14:textId="18ADAE63" w:rsidR="00E93A13" w:rsidRDefault="00E93A13" w:rsidP="00E93A13">
            <w:pPr>
              <w:pStyle w:val="TableLeftText"/>
            </w:pPr>
            <w:r w:rsidRPr="007501F3">
              <w:t>Midstream - Food Service</w:t>
            </w:r>
          </w:p>
        </w:tc>
        <w:tc>
          <w:tcPr>
            <w:tcW w:w="1170" w:type="dxa"/>
            <w:tcBorders>
              <w:top w:val="none" w:sz="0" w:space="0" w:color="auto"/>
              <w:left w:val="none" w:sz="0" w:space="0" w:color="auto"/>
              <w:bottom w:val="none" w:sz="0" w:space="0" w:color="auto"/>
              <w:right w:val="none" w:sz="0" w:space="0" w:color="auto"/>
            </w:tcBorders>
          </w:tcPr>
          <w:p w14:paraId="00AFCC03" w14:textId="0E382FFC"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2377DF">
              <w:t>0.0</w:t>
            </w:r>
            <w:r w:rsidR="007D7F06">
              <w:t>8</w:t>
            </w:r>
          </w:p>
        </w:tc>
        <w:tc>
          <w:tcPr>
            <w:tcW w:w="1620" w:type="dxa"/>
            <w:tcBorders>
              <w:top w:val="none" w:sz="0" w:space="0" w:color="auto"/>
              <w:left w:val="none" w:sz="0" w:space="0" w:color="auto"/>
              <w:bottom w:val="none" w:sz="0" w:space="0" w:color="auto"/>
              <w:right w:val="none" w:sz="0" w:space="0" w:color="auto"/>
            </w:tcBorders>
          </w:tcPr>
          <w:p w14:paraId="73323D51" w14:textId="4EE9F38A" w:rsidR="00E93A1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55%</w:t>
            </w:r>
          </w:p>
        </w:tc>
        <w:tc>
          <w:tcPr>
            <w:tcW w:w="1170" w:type="dxa"/>
            <w:tcBorders>
              <w:top w:val="none" w:sz="0" w:space="0" w:color="auto"/>
              <w:left w:val="none" w:sz="0" w:space="0" w:color="auto"/>
              <w:bottom w:val="none" w:sz="0" w:space="0" w:color="auto"/>
              <w:right w:val="none" w:sz="0" w:space="0" w:color="auto"/>
            </w:tcBorders>
          </w:tcPr>
          <w:p w14:paraId="69674F66" w14:textId="6DD03EE3"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2377DF">
              <w:t>0.0</w:t>
            </w:r>
            <w:r w:rsidR="007D7F06">
              <w:t>5</w:t>
            </w:r>
          </w:p>
        </w:tc>
        <w:tc>
          <w:tcPr>
            <w:tcW w:w="1530" w:type="dxa"/>
            <w:tcBorders>
              <w:top w:val="none" w:sz="0" w:space="0" w:color="auto"/>
              <w:left w:val="none" w:sz="0" w:space="0" w:color="auto"/>
              <w:bottom w:val="none" w:sz="0" w:space="0" w:color="auto"/>
              <w:right w:val="none" w:sz="0" w:space="0" w:color="auto"/>
            </w:tcBorders>
          </w:tcPr>
          <w:p w14:paraId="3B5DF4EA" w14:textId="066C2438" w:rsidR="00E93A13" w:rsidRDefault="00A157AE" w:rsidP="007F2D66">
            <w:pPr>
              <w:pStyle w:val="TableLeftText"/>
              <w:jc w:val="right"/>
              <w:cnfStyle w:val="000000100000" w:firstRow="0" w:lastRow="0" w:firstColumn="0" w:lastColumn="0" w:oddVBand="0" w:evenVBand="0" w:oddHBand="1" w:evenHBand="0" w:firstRowFirstColumn="0" w:firstRowLastColumn="0" w:lastRowFirstColumn="0" w:lastRowLastColumn="0"/>
            </w:pPr>
            <w:r>
              <w:t>0.853</w:t>
            </w:r>
          </w:p>
        </w:tc>
        <w:tc>
          <w:tcPr>
            <w:tcW w:w="1111" w:type="dxa"/>
            <w:tcBorders>
              <w:top w:val="none" w:sz="0" w:space="0" w:color="auto"/>
              <w:left w:val="none" w:sz="0" w:space="0" w:color="auto"/>
              <w:bottom w:val="none" w:sz="0" w:space="0" w:color="auto"/>
              <w:right w:val="none" w:sz="0" w:space="0" w:color="auto"/>
            </w:tcBorders>
          </w:tcPr>
          <w:p w14:paraId="1E898E53" w14:textId="297450CD" w:rsidR="00E93A13" w:rsidRDefault="00E93A13"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2377DF">
              <w:t>0.0</w:t>
            </w:r>
            <w:r w:rsidR="00A157AE">
              <w:t>4</w:t>
            </w:r>
          </w:p>
        </w:tc>
      </w:tr>
      <w:tr w:rsidR="00760C8A" w14:paraId="78FB6A4F"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2B460505" w14:textId="20B95D8A" w:rsidR="00760C8A" w:rsidRDefault="00760C8A" w:rsidP="00760C8A">
            <w:pPr>
              <w:pStyle w:val="TableLeftText"/>
            </w:pPr>
            <w:r w:rsidRPr="007501F3">
              <w:t>Midstream - Lighting Carryover</w:t>
            </w:r>
            <w:r w:rsidRPr="00760C8A">
              <w:rPr>
                <w:vertAlign w:val="superscript"/>
              </w:rPr>
              <w:t>a</w:t>
            </w:r>
          </w:p>
        </w:tc>
        <w:tc>
          <w:tcPr>
            <w:tcW w:w="1170" w:type="dxa"/>
            <w:tcBorders>
              <w:top w:val="none" w:sz="0" w:space="0" w:color="auto"/>
              <w:left w:val="none" w:sz="0" w:space="0" w:color="auto"/>
              <w:bottom w:val="none" w:sz="0" w:space="0" w:color="auto"/>
              <w:right w:val="none" w:sz="0" w:space="0" w:color="auto"/>
            </w:tcBorders>
          </w:tcPr>
          <w:p w14:paraId="383B5C6B" w14:textId="368B73AC" w:rsidR="00760C8A" w:rsidRDefault="007D7F06" w:rsidP="007F2D66">
            <w:pPr>
              <w:pStyle w:val="TableLeftText"/>
              <w:jc w:val="right"/>
              <w:cnfStyle w:val="000000010000" w:firstRow="0" w:lastRow="0" w:firstColumn="0" w:lastColumn="0" w:oddVBand="0" w:evenVBand="0" w:oddHBand="0" w:evenHBand="1" w:firstRowFirstColumn="0" w:firstRowLastColumn="0" w:lastRowFirstColumn="0" w:lastRowLastColumn="0"/>
            </w:pPr>
            <w:r>
              <w:t>N/A</w:t>
            </w:r>
          </w:p>
        </w:tc>
        <w:tc>
          <w:tcPr>
            <w:tcW w:w="1620" w:type="dxa"/>
            <w:tcBorders>
              <w:top w:val="none" w:sz="0" w:space="0" w:color="auto"/>
              <w:left w:val="none" w:sz="0" w:space="0" w:color="auto"/>
              <w:bottom w:val="none" w:sz="0" w:space="0" w:color="auto"/>
              <w:right w:val="none" w:sz="0" w:space="0" w:color="auto"/>
            </w:tcBorders>
          </w:tcPr>
          <w:p w14:paraId="58555946" w14:textId="645CFEE9" w:rsidR="00760C8A" w:rsidRDefault="007D7F06" w:rsidP="007F2D66">
            <w:pPr>
              <w:pStyle w:val="TableLeftText"/>
              <w:jc w:val="right"/>
              <w:cnfStyle w:val="000000010000" w:firstRow="0" w:lastRow="0" w:firstColumn="0" w:lastColumn="0" w:oddVBand="0" w:evenVBand="0" w:oddHBand="0" w:evenHBand="1" w:firstRowFirstColumn="0" w:firstRowLastColumn="0" w:lastRowFirstColumn="0" w:lastRowLastColumn="0"/>
            </w:pPr>
            <w:r>
              <w:t>N/A</w:t>
            </w:r>
          </w:p>
        </w:tc>
        <w:tc>
          <w:tcPr>
            <w:tcW w:w="1170" w:type="dxa"/>
            <w:tcBorders>
              <w:top w:val="none" w:sz="0" w:space="0" w:color="auto"/>
              <w:left w:val="none" w:sz="0" w:space="0" w:color="auto"/>
              <w:bottom w:val="none" w:sz="0" w:space="0" w:color="auto"/>
              <w:right w:val="none" w:sz="0" w:space="0" w:color="auto"/>
            </w:tcBorders>
          </w:tcPr>
          <w:p w14:paraId="5D4EBB8D" w14:textId="74CED5F8" w:rsidR="00760C8A" w:rsidRDefault="007D7F06" w:rsidP="007F2D66">
            <w:pPr>
              <w:pStyle w:val="TableLeftText"/>
              <w:jc w:val="right"/>
              <w:cnfStyle w:val="000000010000" w:firstRow="0" w:lastRow="0" w:firstColumn="0" w:lastColumn="0" w:oddVBand="0" w:evenVBand="0" w:oddHBand="0" w:evenHBand="1" w:firstRowFirstColumn="0" w:firstRowLastColumn="0" w:lastRowFirstColumn="0" w:lastRowLastColumn="0"/>
            </w:pPr>
            <w:r>
              <w:t>0.84</w:t>
            </w:r>
          </w:p>
        </w:tc>
        <w:tc>
          <w:tcPr>
            <w:tcW w:w="1530" w:type="dxa"/>
            <w:tcBorders>
              <w:top w:val="none" w:sz="0" w:space="0" w:color="auto"/>
              <w:left w:val="none" w:sz="0" w:space="0" w:color="auto"/>
              <w:bottom w:val="none" w:sz="0" w:space="0" w:color="auto"/>
              <w:right w:val="none" w:sz="0" w:space="0" w:color="auto"/>
            </w:tcBorders>
          </w:tcPr>
          <w:p w14:paraId="307E0A5B" w14:textId="217B020B" w:rsidR="00760C8A" w:rsidRDefault="00A157AE" w:rsidP="007F2D66">
            <w:pPr>
              <w:pStyle w:val="TableLeftText"/>
              <w:jc w:val="right"/>
              <w:cnfStyle w:val="000000010000" w:firstRow="0" w:lastRow="0" w:firstColumn="0" w:lastColumn="0" w:oddVBand="0" w:evenVBand="0" w:oddHBand="0" w:evenHBand="1" w:firstRowFirstColumn="0" w:firstRowLastColumn="0" w:lastRowFirstColumn="0" w:lastRowLastColumn="0"/>
            </w:pPr>
            <w:r>
              <w:t>0.913</w:t>
            </w:r>
          </w:p>
        </w:tc>
        <w:tc>
          <w:tcPr>
            <w:tcW w:w="1111" w:type="dxa"/>
            <w:tcBorders>
              <w:top w:val="none" w:sz="0" w:space="0" w:color="auto"/>
              <w:left w:val="none" w:sz="0" w:space="0" w:color="auto"/>
              <w:bottom w:val="none" w:sz="0" w:space="0" w:color="auto"/>
              <w:right w:val="none" w:sz="0" w:space="0" w:color="auto"/>
            </w:tcBorders>
          </w:tcPr>
          <w:p w14:paraId="6E6021BE" w14:textId="22E2D34E" w:rsidR="00760C8A" w:rsidRDefault="00A157AE" w:rsidP="007F2D66">
            <w:pPr>
              <w:pStyle w:val="TableLeftText"/>
              <w:jc w:val="right"/>
              <w:cnfStyle w:val="000000010000" w:firstRow="0" w:lastRow="0" w:firstColumn="0" w:lastColumn="0" w:oddVBand="0" w:evenVBand="0" w:oddHBand="0" w:evenHBand="1" w:firstRowFirstColumn="0" w:firstRowLastColumn="0" w:lastRowFirstColumn="0" w:lastRowLastColumn="0"/>
            </w:pPr>
            <w:r>
              <w:t>0.77</w:t>
            </w:r>
          </w:p>
        </w:tc>
      </w:tr>
      <w:tr w:rsidR="005E1260" w14:paraId="05CCE8DF"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vAlign w:val="top"/>
          </w:tcPr>
          <w:p w14:paraId="438E1EBC" w14:textId="5DB9994F" w:rsidR="005E1260" w:rsidRPr="007501F3" w:rsidRDefault="005E1260" w:rsidP="005E1260">
            <w:pPr>
              <w:pStyle w:val="TableLeftText"/>
            </w:pPr>
            <w:r>
              <w:t>LLLC Pilot</w:t>
            </w:r>
          </w:p>
        </w:tc>
        <w:tc>
          <w:tcPr>
            <w:tcW w:w="1170" w:type="dxa"/>
            <w:tcBorders>
              <w:top w:val="none" w:sz="0" w:space="0" w:color="auto"/>
              <w:left w:val="none" w:sz="0" w:space="0" w:color="auto"/>
              <w:bottom w:val="none" w:sz="0" w:space="0" w:color="auto"/>
              <w:right w:val="none" w:sz="0" w:space="0" w:color="auto"/>
            </w:tcBorders>
          </w:tcPr>
          <w:p w14:paraId="3E3DDC8D" w14:textId="33698A83" w:rsidR="005E1260" w:rsidRPr="007501F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620" w:type="dxa"/>
            <w:tcBorders>
              <w:top w:val="none" w:sz="0" w:space="0" w:color="auto"/>
              <w:left w:val="none" w:sz="0" w:space="0" w:color="auto"/>
              <w:bottom w:val="none" w:sz="0" w:space="0" w:color="auto"/>
              <w:right w:val="none" w:sz="0" w:space="0" w:color="auto"/>
            </w:tcBorders>
          </w:tcPr>
          <w:p w14:paraId="6642E749" w14:textId="410391CC" w:rsidR="005E1260" w:rsidRPr="007501F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170" w:type="dxa"/>
            <w:tcBorders>
              <w:top w:val="none" w:sz="0" w:space="0" w:color="auto"/>
              <w:left w:val="none" w:sz="0" w:space="0" w:color="auto"/>
              <w:bottom w:val="none" w:sz="0" w:space="0" w:color="auto"/>
              <w:right w:val="none" w:sz="0" w:space="0" w:color="auto"/>
            </w:tcBorders>
          </w:tcPr>
          <w:p w14:paraId="2FAFC219" w14:textId="721BA6FF" w:rsidR="005E1260" w:rsidRPr="007501F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0.00</w:t>
            </w:r>
          </w:p>
        </w:tc>
        <w:tc>
          <w:tcPr>
            <w:tcW w:w="1530" w:type="dxa"/>
            <w:tcBorders>
              <w:top w:val="none" w:sz="0" w:space="0" w:color="auto"/>
              <w:left w:val="none" w:sz="0" w:space="0" w:color="auto"/>
              <w:bottom w:val="none" w:sz="0" w:space="0" w:color="auto"/>
              <w:right w:val="none" w:sz="0" w:space="0" w:color="auto"/>
            </w:tcBorders>
          </w:tcPr>
          <w:p w14:paraId="04B6061D" w14:textId="62D9FFE2" w:rsidR="005E1260" w:rsidRPr="007501F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N/A</w:t>
            </w:r>
          </w:p>
        </w:tc>
        <w:tc>
          <w:tcPr>
            <w:tcW w:w="1111" w:type="dxa"/>
            <w:tcBorders>
              <w:top w:val="none" w:sz="0" w:space="0" w:color="auto"/>
              <w:left w:val="none" w:sz="0" w:space="0" w:color="auto"/>
              <w:bottom w:val="none" w:sz="0" w:space="0" w:color="auto"/>
              <w:right w:val="none" w:sz="0" w:space="0" w:color="auto"/>
            </w:tcBorders>
          </w:tcPr>
          <w:p w14:paraId="56152F85" w14:textId="67549E62" w:rsidR="005E1260" w:rsidRPr="007501F3" w:rsidRDefault="007D7F06" w:rsidP="007F2D66">
            <w:pPr>
              <w:pStyle w:val="TableLeftText"/>
              <w:jc w:val="right"/>
              <w:cnfStyle w:val="000000100000" w:firstRow="0" w:lastRow="0" w:firstColumn="0" w:lastColumn="0" w:oddVBand="0" w:evenVBand="0" w:oddHBand="1" w:evenHBand="0" w:firstRowFirstColumn="0" w:firstRowLastColumn="0" w:lastRowFirstColumn="0" w:lastRowLastColumn="0"/>
            </w:pPr>
            <w:r>
              <w:t>0</w:t>
            </w:r>
            <w:r w:rsidR="001D5D92">
              <w:t>.00</w:t>
            </w:r>
          </w:p>
        </w:tc>
      </w:tr>
      <w:tr w:rsidR="005E1260" w14:paraId="1A9B9191" w14:textId="77777777" w:rsidTr="00612B6A">
        <w:trPr>
          <w:cnfStyle w:val="000000010000" w:firstRow="0" w:lastRow="0" w:firstColumn="0" w:lastColumn="0" w:oddVBand="0" w:evenVBand="0" w:oddHBand="0" w:evenHBand="1" w:firstRowFirstColumn="0" w:firstRowLastColumn="0" w:lastRowFirstColumn="0" w:lastRowLastColumn="0"/>
          <w:trHeight w:val="132"/>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4C4EAC33" w14:textId="0FD2AA99" w:rsidR="005E1260" w:rsidRPr="003527BD" w:rsidRDefault="005E1260" w:rsidP="005E1260">
            <w:pPr>
              <w:pStyle w:val="TableLeftText"/>
              <w:rPr>
                <w:rFonts w:ascii="Franklin Gothic Medium" w:hAnsi="Franklin Gothic Medium"/>
              </w:rPr>
            </w:pPr>
            <w:r w:rsidRPr="003527BD">
              <w:rPr>
                <w:rFonts w:ascii="Franklin Gothic Medium" w:hAnsi="Franklin Gothic Medium"/>
              </w:rPr>
              <w:t>Business Program Total</w:t>
            </w:r>
          </w:p>
        </w:tc>
        <w:tc>
          <w:tcPr>
            <w:tcW w:w="1170" w:type="dxa"/>
            <w:tcBorders>
              <w:top w:val="none" w:sz="0" w:space="0" w:color="auto"/>
              <w:left w:val="none" w:sz="0" w:space="0" w:color="auto"/>
              <w:bottom w:val="none" w:sz="0" w:space="0" w:color="auto"/>
              <w:right w:val="none" w:sz="0" w:space="0" w:color="auto"/>
            </w:tcBorders>
          </w:tcPr>
          <w:p w14:paraId="01310C94" w14:textId="638862D6" w:rsidR="005E1260" w:rsidRPr="003527BD" w:rsidRDefault="00424F0A"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30.46</w:t>
            </w:r>
          </w:p>
        </w:tc>
        <w:tc>
          <w:tcPr>
            <w:tcW w:w="1620" w:type="dxa"/>
            <w:tcBorders>
              <w:top w:val="none" w:sz="0" w:space="0" w:color="auto"/>
              <w:left w:val="none" w:sz="0" w:space="0" w:color="auto"/>
              <w:bottom w:val="none" w:sz="0" w:space="0" w:color="auto"/>
              <w:right w:val="none" w:sz="0" w:space="0" w:color="auto"/>
            </w:tcBorders>
          </w:tcPr>
          <w:p w14:paraId="51BC3A65" w14:textId="751C06AE" w:rsidR="005E1260" w:rsidRPr="003527BD" w:rsidRDefault="00424F0A"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93%</w:t>
            </w:r>
          </w:p>
        </w:tc>
        <w:tc>
          <w:tcPr>
            <w:tcW w:w="1170" w:type="dxa"/>
            <w:tcBorders>
              <w:top w:val="none" w:sz="0" w:space="0" w:color="auto"/>
              <w:left w:val="none" w:sz="0" w:space="0" w:color="auto"/>
              <w:bottom w:val="none" w:sz="0" w:space="0" w:color="auto"/>
              <w:right w:val="none" w:sz="0" w:space="0" w:color="auto"/>
            </w:tcBorders>
          </w:tcPr>
          <w:p w14:paraId="3D190A1D" w14:textId="3C1DAE77" w:rsidR="005E1260" w:rsidRPr="003527BD" w:rsidRDefault="00424F0A"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28.47</w:t>
            </w:r>
          </w:p>
        </w:tc>
        <w:tc>
          <w:tcPr>
            <w:tcW w:w="1530" w:type="dxa"/>
            <w:tcBorders>
              <w:top w:val="none" w:sz="0" w:space="0" w:color="auto"/>
              <w:left w:val="none" w:sz="0" w:space="0" w:color="auto"/>
              <w:bottom w:val="none" w:sz="0" w:space="0" w:color="auto"/>
              <w:right w:val="none" w:sz="0" w:space="0" w:color="auto"/>
            </w:tcBorders>
          </w:tcPr>
          <w:p w14:paraId="04A5BC2D" w14:textId="2DE1565E" w:rsidR="005E1260" w:rsidRPr="003527BD" w:rsidRDefault="00424F0A"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0.918</w:t>
            </w:r>
          </w:p>
        </w:tc>
        <w:tc>
          <w:tcPr>
            <w:tcW w:w="1111" w:type="dxa"/>
            <w:tcBorders>
              <w:top w:val="none" w:sz="0" w:space="0" w:color="auto"/>
              <w:left w:val="none" w:sz="0" w:space="0" w:color="auto"/>
              <w:bottom w:val="none" w:sz="0" w:space="0" w:color="auto"/>
              <w:right w:val="none" w:sz="0" w:space="0" w:color="auto"/>
            </w:tcBorders>
          </w:tcPr>
          <w:p w14:paraId="6530C251" w14:textId="6BF75834" w:rsidR="005E1260" w:rsidRPr="003527BD" w:rsidRDefault="00424F0A"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527BD">
              <w:rPr>
                <w:rFonts w:ascii="Franklin Gothic Medium" w:hAnsi="Franklin Gothic Medium"/>
              </w:rPr>
              <w:t>26</w:t>
            </w:r>
            <w:r w:rsidR="00227724">
              <w:rPr>
                <w:rFonts w:ascii="Franklin Gothic Medium" w:hAnsi="Franklin Gothic Medium"/>
              </w:rPr>
              <w:t>.90</w:t>
            </w:r>
          </w:p>
        </w:tc>
      </w:tr>
    </w:tbl>
    <w:p w14:paraId="530EFED7" w14:textId="7AD8445C" w:rsidR="001846FF" w:rsidRDefault="001846FF" w:rsidP="00AA10F4">
      <w:pPr>
        <w:pStyle w:val="Source"/>
        <w:keepNext w:val="0"/>
        <w:keepLines w:val="0"/>
      </w:pPr>
      <w:r w:rsidRPr="00760C8A">
        <w:rPr>
          <w:vertAlign w:val="superscript"/>
        </w:rPr>
        <w:t>a</w:t>
      </w:r>
      <w:r w:rsidR="00260EB8">
        <w:rPr>
          <w:vertAlign w:val="superscript"/>
        </w:rPr>
        <w:t xml:space="preserve"> </w:t>
      </w:r>
      <w:r>
        <w:t xml:space="preserve">Carryover savings are those achieved through installation of measures during 2024 that were distributed or rebated in prior program years. For clarity, we break out carryover savings separately throughout this report. </w:t>
      </w:r>
    </w:p>
    <w:p w14:paraId="46460649" w14:textId="60FD6392" w:rsidR="001846FF" w:rsidRDefault="001846FF" w:rsidP="00E463A0">
      <w:pPr>
        <w:pStyle w:val="Caption"/>
      </w:pPr>
      <w:bookmarkStart w:id="16" w:name="_Ref188256637"/>
      <w:bookmarkStart w:id="17" w:name="_Toc191992524"/>
      <w:bookmarkStart w:id="18" w:name="_Toc192766937"/>
      <w:bookmarkEnd w:id="15"/>
      <w:r>
        <w:lastRenderedPageBreak/>
        <w:t xml:space="preserve">Table </w:t>
      </w:r>
      <w:r w:rsidR="009B4C9A">
        <w:fldChar w:fldCharType="begin"/>
      </w:r>
      <w:r w:rsidR="009B4C9A">
        <w:instrText xml:space="preserve"> SEQ Table \* ARABIC </w:instrText>
      </w:r>
      <w:r w:rsidR="009B4C9A">
        <w:fldChar w:fldCharType="separate"/>
      </w:r>
      <w:r w:rsidR="00AA10F4">
        <w:rPr>
          <w:noProof/>
        </w:rPr>
        <w:t>3</w:t>
      </w:r>
      <w:r w:rsidR="009B4C9A">
        <w:rPr>
          <w:noProof/>
        </w:rPr>
        <w:fldChar w:fldCharType="end"/>
      </w:r>
      <w:bookmarkEnd w:id="16"/>
      <w:r>
        <w:t>. 2024 Business Program Gas Annual Savings Summary</w:t>
      </w:r>
      <w:bookmarkEnd w:id="17"/>
      <w:bookmarkEnd w:id="1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045"/>
        <w:gridCol w:w="1800"/>
        <w:gridCol w:w="1710"/>
        <w:gridCol w:w="1350"/>
        <w:gridCol w:w="820"/>
        <w:gridCol w:w="1371"/>
      </w:tblGrid>
      <w:tr w:rsidR="001846FF" w:rsidRPr="001846FF" w14:paraId="2E2D8D84"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1E97820" w14:textId="77777777" w:rsidR="001846FF" w:rsidRPr="001846FF" w:rsidRDefault="001846FF" w:rsidP="00E463A0">
            <w:pPr>
              <w:keepNext/>
              <w:keepLines/>
              <w:spacing w:before="10"/>
              <w:jc w:val="left"/>
              <w:rPr>
                <w:rFonts w:ascii="Franklin Gothic Medium" w:hAnsi="Franklin Gothic Medium"/>
                <w:color w:val="FFFFFF" w:themeColor="background1"/>
              </w:rPr>
            </w:pPr>
            <w:r w:rsidRPr="001846FF">
              <w:rPr>
                <w:rFonts w:ascii="Franklin Gothic Medium" w:hAnsi="Franklin Gothic Medium"/>
                <w:color w:val="FFFFFF" w:themeColor="background1"/>
              </w:rPr>
              <w:t>Initiative/Channel</w:t>
            </w:r>
          </w:p>
        </w:tc>
        <w:tc>
          <w:tcPr>
            <w:tcW w:w="1800" w:type="dxa"/>
            <w:tcBorders>
              <w:bottom w:val="none" w:sz="0" w:space="0" w:color="auto"/>
            </w:tcBorders>
          </w:tcPr>
          <w:p w14:paraId="44B22A35" w14:textId="779FC777" w:rsidR="001846FF" w:rsidRPr="001846FF" w:rsidRDefault="001846FF" w:rsidP="00E463A0">
            <w:pPr>
              <w:keepNext/>
              <w:keepLines/>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1846FF">
              <w:rPr>
                <w:rFonts w:ascii="Franklin Gothic Medium" w:hAnsi="Franklin Gothic Medium"/>
                <w:color w:val="FFFFFF" w:themeColor="background1"/>
              </w:rPr>
              <w:t xml:space="preserve">Ex Ante Gross </w:t>
            </w:r>
            <w:r>
              <w:rPr>
                <w:rFonts w:ascii="Franklin Gothic Medium" w:hAnsi="Franklin Gothic Medium"/>
                <w:color w:val="FFFFFF" w:themeColor="background1"/>
              </w:rPr>
              <w:t>Therms</w:t>
            </w:r>
          </w:p>
        </w:tc>
        <w:tc>
          <w:tcPr>
            <w:tcW w:w="1710" w:type="dxa"/>
            <w:tcBorders>
              <w:bottom w:val="none" w:sz="0" w:space="0" w:color="auto"/>
            </w:tcBorders>
          </w:tcPr>
          <w:p w14:paraId="020A1125" w14:textId="77777777" w:rsidR="001846FF" w:rsidRPr="001846FF" w:rsidRDefault="001846FF" w:rsidP="00E463A0">
            <w:pPr>
              <w:keepNext/>
              <w:keepLines/>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1846FF">
              <w:rPr>
                <w:rFonts w:ascii="Franklin Gothic Medium" w:hAnsi="Franklin Gothic Medium"/>
                <w:color w:val="FFFFFF" w:themeColor="background1"/>
              </w:rPr>
              <w:t>Gross Realization Rate</w:t>
            </w:r>
          </w:p>
        </w:tc>
        <w:tc>
          <w:tcPr>
            <w:tcW w:w="1350" w:type="dxa"/>
            <w:tcBorders>
              <w:bottom w:val="none" w:sz="0" w:space="0" w:color="auto"/>
            </w:tcBorders>
          </w:tcPr>
          <w:p w14:paraId="57405C68" w14:textId="522E9249" w:rsidR="001846FF" w:rsidRPr="001846FF" w:rsidRDefault="001846FF" w:rsidP="00E463A0">
            <w:pPr>
              <w:keepNext/>
              <w:keepLines/>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1846FF">
              <w:rPr>
                <w:rFonts w:ascii="Franklin Gothic Medium" w:hAnsi="Franklin Gothic Medium"/>
                <w:color w:val="FFFFFF" w:themeColor="background1"/>
              </w:rPr>
              <w:t xml:space="preserve">Verified Gross </w:t>
            </w:r>
            <w:r>
              <w:rPr>
                <w:rFonts w:ascii="Franklin Gothic Medium" w:hAnsi="Franklin Gothic Medium"/>
                <w:color w:val="FFFFFF" w:themeColor="background1"/>
              </w:rPr>
              <w:t>Therms</w:t>
            </w:r>
          </w:p>
        </w:tc>
        <w:tc>
          <w:tcPr>
            <w:tcW w:w="820" w:type="dxa"/>
            <w:tcBorders>
              <w:bottom w:val="none" w:sz="0" w:space="0" w:color="auto"/>
            </w:tcBorders>
          </w:tcPr>
          <w:p w14:paraId="5B25E2D0" w14:textId="77777777" w:rsidR="001846FF" w:rsidRPr="001846FF" w:rsidRDefault="001846FF" w:rsidP="00E463A0">
            <w:pPr>
              <w:keepNext/>
              <w:keepLines/>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1846FF">
              <w:rPr>
                <w:rFonts w:ascii="Franklin Gothic Medium" w:hAnsi="Franklin Gothic Medium"/>
                <w:color w:val="FFFFFF" w:themeColor="background1"/>
              </w:rPr>
              <w:t>NTGR</w:t>
            </w:r>
          </w:p>
        </w:tc>
        <w:tc>
          <w:tcPr>
            <w:tcW w:w="1371" w:type="dxa"/>
            <w:tcBorders>
              <w:bottom w:val="none" w:sz="0" w:space="0" w:color="auto"/>
            </w:tcBorders>
          </w:tcPr>
          <w:p w14:paraId="577B3F05" w14:textId="17F46ECD" w:rsidR="001846FF" w:rsidRPr="001846FF" w:rsidRDefault="001846FF" w:rsidP="00E463A0">
            <w:pPr>
              <w:keepNext/>
              <w:keepLines/>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1846FF">
              <w:rPr>
                <w:rFonts w:ascii="Franklin Gothic Medium" w:hAnsi="Franklin Gothic Medium"/>
                <w:color w:val="FFFFFF" w:themeColor="background1"/>
              </w:rPr>
              <w:t xml:space="preserve">Verified Net </w:t>
            </w:r>
            <w:r>
              <w:rPr>
                <w:rFonts w:ascii="Franklin Gothic Medium" w:hAnsi="Franklin Gothic Medium"/>
                <w:color w:val="FFFFFF" w:themeColor="background1"/>
              </w:rPr>
              <w:t>Therms</w:t>
            </w:r>
          </w:p>
        </w:tc>
      </w:tr>
      <w:tr w:rsidR="001507DA" w:rsidRPr="001846FF" w14:paraId="61EA3AE2"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49ACD9B" w14:textId="77777777" w:rsidR="001507DA" w:rsidRPr="001846FF" w:rsidRDefault="001507DA" w:rsidP="00E463A0">
            <w:pPr>
              <w:pStyle w:val="TableLeftText"/>
              <w:keepNext/>
              <w:keepLines/>
            </w:pPr>
            <w:r w:rsidRPr="001846FF">
              <w:t>Standard - Core</w:t>
            </w:r>
          </w:p>
        </w:tc>
        <w:tc>
          <w:tcPr>
            <w:tcW w:w="1800" w:type="dxa"/>
            <w:tcBorders>
              <w:top w:val="none" w:sz="0" w:space="0" w:color="auto"/>
              <w:left w:val="none" w:sz="0" w:space="0" w:color="auto"/>
              <w:bottom w:val="none" w:sz="0" w:space="0" w:color="auto"/>
              <w:right w:val="none" w:sz="0" w:space="0" w:color="auto"/>
            </w:tcBorders>
          </w:tcPr>
          <w:p w14:paraId="61CE862D" w14:textId="54106F18"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1,555,181</w:t>
            </w:r>
          </w:p>
        </w:tc>
        <w:tc>
          <w:tcPr>
            <w:tcW w:w="1710" w:type="dxa"/>
            <w:tcBorders>
              <w:top w:val="none" w:sz="0" w:space="0" w:color="auto"/>
              <w:left w:val="none" w:sz="0" w:space="0" w:color="auto"/>
              <w:bottom w:val="none" w:sz="0" w:space="0" w:color="auto"/>
              <w:right w:val="none" w:sz="0" w:space="0" w:color="auto"/>
            </w:tcBorders>
          </w:tcPr>
          <w:p w14:paraId="4AFE6881" w14:textId="583A6A15"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100%</w:t>
            </w:r>
          </w:p>
        </w:tc>
        <w:tc>
          <w:tcPr>
            <w:tcW w:w="1350" w:type="dxa"/>
            <w:tcBorders>
              <w:top w:val="none" w:sz="0" w:space="0" w:color="auto"/>
              <w:left w:val="none" w:sz="0" w:space="0" w:color="auto"/>
              <w:bottom w:val="none" w:sz="0" w:space="0" w:color="auto"/>
              <w:right w:val="none" w:sz="0" w:space="0" w:color="auto"/>
            </w:tcBorders>
          </w:tcPr>
          <w:p w14:paraId="1CFBF5E1" w14:textId="4BC52BD1"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1,560,052</w:t>
            </w:r>
          </w:p>
        </w:tc>
        <w:tc>
          <w:tcPr>
            <w:tcW w:w="820" w:type="dxa"/>
            <w:tcBorders>
              <w:top w:val="none" w:sz="0" w:space="0" w:color="auto"/>
              <w:left w:val="none" w:sz="0" w:space="0" w:color="auto"/>
              <w:bottom w:val="none" w:sz="0" w:space="0" w:color="auto"/>
              <w:right w:val="none" w:sz="0" w:space="0" w:color="auto"/>
            </w:tcBorders>
          </w:tcPr>
          <w:p w14:paraId="09148A7D" w14:textId="2DBDC083"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0.717</w:t>
            </w:r>
          </w:p>
        </w:tc>
        <w:tc>
          <w:tcPr>
            <w:tcW w:w="1371" w:type="dxa"/>
            <w:tcBorders>
              <w:top w:val="none" w:sz="0" w:space="0" w:color="auto"/>
              <w:left w:val="none" w:sz="0" w:space="0" w:color="auto"/>
              <w:bottom w:val="none" w:sz="0" w:space="0" w:color="auto"/>
              <w:right w:val="none" w:sz="0" w:space="0" w:color="auto"/>
            </w:tcBorders>
          </w:tcPr>
          <w:p w14:paraId="74119767" w14:textId="0760CE3A"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1,119,276</w:t>
            </w:r>
          </w:p>
        </w:tc>
      </w:tr>
      <w:tr w:rsidR="001507DA" w:rsidRPr="001846FF" w14:paraId="0AA289F3"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1E1E2AA" w14:textId="77777777" w:rsidR="001507DA" w:rsidRPr="001846FF" w:rsidRDefault="001507DA" w:rsidP="00E463A0">
            <w:pPr>
              <w:pStyle w:val="TableLeftText"/>
              <w:keepNext/>
              <w:keepLines/>
            </w:pPr>
            <w:r w:rsidRPr="001846FF">
              <w:t>Standard - OS</w:t>
            </w:r>
          </w:p>
        </w:tc>
        <w:tc>
          <w:tcPr>
            <w:tcW w:w="1800" w:type="dxa"/>
            <w:tcBorders>
              <w:top w:val="none" w:sz="0" w:space="0" w:color="auto"/>
              <w:left w:val="none" w:sz="0" w:space="0" w:color="auto"/>
              <w:bottom w:val="none" w:sz="0" w:space="0" w:color="auto"/>
              <w:right w:val="none" w:sz="0" w:space="0" w:color="auto"/>
            </w:tcBorders>
          </w:tcPr>
          <w:p w14:paraId="01C1898D" w14:textId="1186B92D" w:rsidR="001507DA" w:rsidRPr="001846FF" w:rsidRDefault="001507D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157AE">
              <w:t>107,812</w:t>
            </w:r>
          </w:p>
        </w:tc>
        <w:tc>
          <w:tcPr>
            <w:tcW w:w="1710" w:type="dxa"/>
            <w:tcBorders>
              <w:top w:val="none" w:sz="0" w:space="0" w:color="auto"/>
              <w:left w:val="none" w:sz="0" w:space="0" w:color="auto"/>
              <w:bottom w:val="none" w:sz="0" w:space="0" w:color="auto"/>
              <w:right w:val="none" w:sz="0" w:space="0" w:color="auto"/>
            </w:tcBorders>
          </w:tcPr>
          <w:p w14:paraId="78C68803" w14:textId="150B3691" w:rsidR="001507DA" w:rsidRPr="001846FF" w:rsidRDefault="001507D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157AE">
              <w:t>100%</w:t>
            </w:r>
          </w:p>
        </w:tc>
        <w:tc>
          <w:tcPr>
            <w:tcW w:w="1350" w:type="dxa"/>
            <w:tcBorders>
              <w:top w:val="none" w:sz="0" w:space="0" w:color="auto"/>
              <w:left w:val="none" w:sz="0" w:space="0" w:color="auto"/>
              <w:bottom w:val="none" w:sz="0" w:space="0" w:color="auto"/>
              <w:right w:val="none" w:sz="0" w:space="0" w:color="auto"/>
            </w:tcBorders>
          </w:tcPr>
          <w:p w14:paraId="735CD838" w14:textId="2CB8E1A1" w:rsidR="001507DA" w:rsidRPr="001846FF" w:rsidRDefault="001507D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157AE">
              <w:t>107,812</w:t>
            </w:r>
          </w:p>
        </w:tc>
        <w:tc>
          <w:tcPr>
            <w:tcW w:w="820" w:type="dxa"/>
            <w:tcBorders>
              <w:top w:val="none" w:sz="0" w:space="0" w:color="auto"/>
              <w:left w:val="none" w:sz="0" w:space="0" w:color="auto"/>
              <w:bottom w:val="none" w:sz="0" w:space="0" w:color="auto"/>
              <w:right w:val="none" w:sz="0" w:space="0" w:color="auto"/>
            </w:tcBorders>
          </w:tcPr>
          <w:p w14:paraId="4BDFDA4C" w14:textId="6E65A922" w:rsidR="001507DA" w:rsidRPr="001846FF" w:rsidRDefault="001507D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157AE">
              <w:t>0.910</w:t>
            </w:r>
          </w:p>
        </w:tc>
        <w:tc>
          <w:tcPr>
            <w:tcW w:w="1371" w:type="dxa"/>
            <w:tcBorders>
              <w:top w:val="none" w:sz="0" w:space="0" w:color="auto"/>
              <w:left w:val="none" w:sz="0" w:space="0" w:color="auto"/>
              <w:bottom w:val="none" w:sz="0" w:space="0" w:color="auto"/>
              <w:right w:val="none" w:sz="0" w:space="0" w:color="auto"/>
            </w:tcBorders>
          </w:tcPr>
          <w:p w14:paraId="65C67C7C" w14:textId="727406FC" w:rsidR="001507DA" w:rsidRPr="001846FF" w:rsidRDefault="001507D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157AE">
              <w:t>98,062</w:t>
            </w:r>
          </w:p>
        </w:tc>
      </w:tr>
      <w:tr w:rsidR="001507DA" w:rsidRPr="001846FF" w14:paraId="1901F472"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892EE25" w14:textId="77777777" w:rsidR="001507DA" w:rsidRPr="001846FF" w:rsidRDefault="001507DA" w:rsidP="00E463A0">
            <w:pPr>
              <w:pStyle w:val="TableLeftText"/>
              <w:keepNext/>
              <w:keepLines/>
            </w:pPr>
            <w:r w:rsidRPr="001846FF">
              <w:t>Standard - BOC</w:t>
            </w:r>
          </w:p>
        </w:tc>
        <w:tc>
          <w:tcPr>
            <w:tcW w:w="1800" w:type="dxa"/>
            <w:tcBorders>
              <w:top w:val="none" w:sz="0" w:space="0" w:color="auto"/>
              <w:left w:val="none" w:sz="0" w:space="0" w:color="auto"/>
              <w:bottom w:val="none" w:sz="0" w:space="0" w:color="auto"/>
              <w:right w:val="none" w:sz="0" w:space="0" w:color="auto"/>
            </w:tcBorders>
          </w:tcPr>
          <w:p w14:paraId="57C6C420" w14:textId="0549C21E"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16,100</w:t>
            </w:r>
          </w:p>
        </w:tc>
        <w:tc>
          <w:tcPr>
            <w:tcW w:w="1710" w:type="dxa"/>
            <w:tcBorders>
              <w:top w:val="none" w:sz="0" w:space="0" w:color="auto"/>
              <w:left w:val="none" w:sz="0" w:space="0" w:color="auto"/>
              <w:bottom w:val="none" w:sz="0" w:space="0" w:color="auto"/>
              <w:right w:val="none" w:sz="0" w:space="0" w:color="auto"/>
            </w:tcBorders>
          </w:tcPr>
          <w:p w14:paraId="7F5EF2C9" w14:textId="58B2BBFC"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86%</w:t>
            </w:r>
          </w:p>
        </w:tc>
        <w:tc>
          <w:tcPr>
            <w:tcW w:w="1350" w:type="dxa"/>
            <w:tcBorders>
              <w:top w:val="none" w:sz="0" w:space="0" w:color="auto"/>
              <w:left w:val="none" w:sz="0" w:space="0" w:color="auto"/>
              <w:bottom w:val="none" w:sz="0" w:space="0" w:color="auto"/>
              <w:right w:val="none" w:sz="0" w:space="0" w:color="auto"/>
            </w:tcBorders>
          </w:tcPr>
          <w:p w14:paraId="78951030" w14:textId="1CAC4997"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13,800</w:t>
            </w:r>
          </w:p>
        </w:tc>
        <w:tc>
          <w:tcPr>
            <w:tcW w:w="820" w:type="dxa"/>
            <w:tcBorders>
              <w:top w:val="none" w:sz="0" w:space="0" w:color="auto"/>
              <w:left w:val="none" w:sz="0" w:space="0" w:color="auto"/>
              <w:bottom w:val="none" w:sz="0" w:space="0" w:color="auto"/>
              <w:right w:val="none" w:sz="0" w:space="0" w:color="auto"/>
            </w:tcBorders>
          </w:tcPr>
          <w:p w14:paraId="099AF55B" w14:textId="6129E834"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N/A</w:t>
            </w:r>
          </w:p>
        </w:tc>
        <w:tc>
          <w:tcPr>
            <w:tcW w:w="1371" w:type="dxa"/>
            <w:tcBorders>
              <w:top w:val="none" w:sz="0" w:space="0" w:color="auto"/>
              <w:left w:val="none" w:sz="0" w:space="0" w:color="auto"/>
              <w:bottom w:val="none" w:sz="0" w:space="0" w:color="auto"/>
              <w:right w:val="none" w:sz="0" w:space="0" w:color="auto"/>
            </w:tcBorders>
          </w:tcPr>
          <w:p w14:paraId="18C35789" w14:textId="591A9AF6" w:rsidR="001507DA" w:rsidRPr="001846FF" w:rsidRDefault="001507D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157AE">
              <w:t>13,800</w:t>
            </w:r>
          </w:p>
        </w:tc>
      </w:tr>
      <w:tr w:rsidR="001846FF" w:rsidRPr="001846FF" w14:paraId="0D30D498"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B0B6C70" w14:textId="77777777" w:rsidR="001846FF" w:rsidRPr="001846FF" w:rsidRDefault="001846FF" w:rsidP="00E463A0">
            <w:pPr>
              <w:pStyle w:val="TableLeftText"/>
              <w:keepNext/>
              <w:keepLines/>
            </w:pPr>
            <w:r w:rsidRPr="001846FF">
              <w:t>Custom - Custom Incentives</w:t>
            </w:r>
          </w:p>
        </w:tc>
        <w:tc>
          <w:tcPr>
            <w:tcW w:w="1800" w:type="dxa"/>
            <w:tcBorders>
              <w:top w:val="none" w:sz="0" w:space="0" w:color="auto"/>
              <w:left w:val="none" w:sz="0" w:space="0" w:color="auto"/>
              <w:bottom w:val="none" w:sz="0" w:space="0" w:color="auto"/>
              <w:right w:val="none" w:sz="0" w:space="0" w:color="auto"/>
            </w:tcBorders>
          </w:tcPr>
          <w:p w14:paraId="004BF948" w14:textId="76620510" w:rsidR="001846FF"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424F0A">
              <w:t>1,454,451</w:t>
            </w:r>
          </w:p>
        </w:tc>
        <w:tc>
          <w:tcPr>
            <w:tcW w:w="1710" w:type="dxa"/>
            <w:tcBorders>
              <w:top w:val="none" w:sz="0" w:space="0" w:color="auto"/>
              <w:left w:val="none" w:sz="0" w:space="0" w:color="auto"/>
              <w:bottom w:val="none" w:sz="0" w:space="0" w:color="auto"/>
              <w:right w:val="none" w:sz="0" w:space="0" w:color="auto"/>
            </w:tcBorders>
          </w:tcPr>
          <w:p w14:paraId="7DA6E48B" w14:textId="10B49D02" w:rsidR="001846FF"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424F0A">
              <w:t>132%</w:t>
            </w:r>
          </w:p>
        </w:tc>
        <w:tc>
          <w:tcPr>
            <w:tcW w:w="1350" w:type="dxa"/>
            <w:tcBorders>
              <w:top w:val="none" w:sz="0" w:space="0" w:color="auto"/>
              <w:left w:val="none" w:sz="0" w:space="0" w:color="auto"/>
              <w:bottom w:val="none" w:sz="0" w:space="0" w:color="auto"/>
              <w:right w:val="none" w:sz="0" w:space="0" w:color="auto"/>
            </w:tcBorders>
          </w:tcPr>
          <w:p w14:paraId="069A9AD8" w14:textId="6D6CB934" w:rsidR="001846FF"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424F0A">
              <w:t>1,921,823</w:t>
            </w:r>
          </w:p>
        </w:tc>
        <w:tc>
          <w:tcPr>
            <w:tcW w:w="820" w:type="dxa"/>
            <w:tcBorders>
              <w:top w:val="none" w:sz="0" w:space="0" w:color="auto"/>
              <w:left w:val="none" w:sz="0" w:space="0" w:color="auto"/>
              <w:bottom w:val="none" w:sz="0" w:space="0" w:color="auto"/>
              <w:right w:val="none" w:sz="0" w:space="0" w:color="auto"/>
            </w:tcBorders>
          </w:tcPr>
          <w:p w14:paraId="7432F302" w14:textId="250FE192" w:rsidR="001846FF"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424F0A">
              <w:t>0.834</w:t>
            </w:r>
          </w:p>
        </w:tc>
        <w:tc>
          <w:tcPr>
            <w:tcW w:w="1371" w:type="dxa"/>
            <w:tcBorders>
              <w:top w:val="none" w:sz="0" w:space="0" w:color="auto"/>
              <w:left w:val="none" w:sz="0" w:space="0" w:color="auto"/>
              <w:bottom w:val="none" w:sz="0" w:space="0" w:color="auto"/>
              <w:right w:val="none" w:sz="0" w:space="0" w:color="auto"/>
            </w:tcBorders>
          </w:tcPr>
          <w:p w14:paraId="61A189D0" w14:textId="6533574B" w:rsidR="001846FF"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424F0A">
              <w:t>1,</w:t>
            </w:r>
            <w:r w:rsidR="00AD2CD7">
              <w:t>577</w:t>
            </w:r>
            <w:r w:rsidRPr="00424F0A">
              <w:t>,</w:t>
            </w:r>
            <w:r w:rsidR="00AD2CD7">
              <w:t>836</w:t>
            </w:r>
          </w:p>
        </w:tc>
      </w:tr>
      <w:tr w:rsidR="00424F0A" w:rsidRPr="001846FF" w14:paraId="103A6E66"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5589181" w14:textId="77777777" w:rsidR="00424F0A" w:rsidRPr="001846FF" w:rsidRDefault="00424F0A" w:rsidP="00E463A0">
            <w:pPr>
              <w:pStyle w:val="TableLeftText"/>
              <w:keepNext/>
              <w:keepLines/>
            </w:pPr>
            <w:r w:rsidRPr="001846FF">
              <w:t>Custom - New Construction Lighting</w:t>
            </w:r>
          </w:p>
        </w:tc>
        <w:tc>
          <w:tcPr>
            <w:tcW w:w="1800" w:type="dxa"/>
            <w:tcBorders>
              <w:top w:val="none" w:sz="0" w:space="0" w:color="auto"/>
              <w:left w:val="none" w:sz="0" w:space="0" w:color="auto"/>
              <w:bottom w:val="none" w:sz="0" w:space="0" w:color="auto"/>
              <w:right w:val="none" w:sz="0" w:space="0" w:color="auto"/>
            </w:tcBorders>
          </w:tcPr>
          <w:p w14:paraId="51D2C3E0" w14:textId="6F8E3FEA"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c>
          <w:tcPr>
            <w:tcW w:w="1710" w:type="dxa"/>
            <w:tcBorders>
              <w:top w:val="none" w:sz="0" w:space="0" w:color="auto"/>
              <w:left w:val="none" w:sz="0" w:space="0" w:color="auto"/>
              <w:bottom w:val="none" w:sz="0" w:space="0" w:color="auto"/>
              <w:right w:val="none" w:sz="0" w:space="0" w:color="auto"/>
            </w:tcBorders>
          </w:tcPr>
          <w:p w14:paraId="1DB14331" w14:textId="38EA9CE2"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N/A</w:t>
            </w:r>
          </w:p>
        </w:tc>
        <w:tc>
          <w:tcPr>
            <w:tcW w:w="1350" w:type="dxa"/>
            <w:tcBorders>
              <w:top w:val="none" w:sz="0" w:space="0" w:color="auto"/>
              <w:left w:val="none" w:sz="0" w:space="0" w:color="auto"/>
              <w:bottom w:val="none" w:sz="0" w:space="0" w:color="auto"/>
              <w:right w:val="none" w:sz="0" w:space="0" w:color="auto"/>
            </w:tcBorders>
          </w:tcPr>
          <w:p w14:paraId="346B67F9" w14:textId="340D0237"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c>
          <w:tcPr>
            <w:tcW w:w="820" w:type="dxa"/>
            <w:tcBorders>
              <w:top w:val="none" w:sz="0" w:space="0" w:color="auto"/>
              <w:left w:val="none" w:sz="0" w:space="0" w:color="auto"/>
              <w:bottom w:val="none" w:sz="0" w:space="0" w:color="auto"/>
              <w:right w:val="none" w:sz="0" w:space="0" w:color="auto"/>
            </w:tcBorders>
          </w:tcPr>
          <w:p w14:paraId="178085A4" w14:textId="07F92D99"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N/A</w:t>
            </w:r>
          </w:p>
        </w:tc>
        <w:tc>
          <w:tcPr>
            <w:tcW w:w="1371" w:type="dxa"/>
            <w:tcBorders>
              <w:top w:val="none" w:sz="0" w:space="0" w:color="auto"/>
              <w:left w:val="none" w:sz="0" w:space="0" w:color="auto"/>
              <w:bottom w:val="none" w:sz="0" w:space="0" w:color="auto"/>
              <w:right w:val="none" w:sz="0" w:space="0" w:color="auto"/>
            </w:tcBorders>
          </w:tcPr>
          <w:p w14:paraId="38939150" w14:textId="0B8D7117"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r>
      <w:tr w:rsidR="00424F0A" w:rsidRPr="001846FF" w14:paraId="095E6B94"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CAA0BB5" w14:textId="77777777" w:rsidR="00424F0A" w:rsidRPr="001846FF" w:rsidRDefault="00424F0A" w:rsidP="00E463A0">
            <w:pPr>
              <w:pStyle w:val="TableLeftText"/>
              <w:keepNext/>
              <w:keepLines/>
            </w:pPr>
            <w:r w:rsidRPr="001846FF">
              <w:t>RCx - Core</w:t>
            </w:r>
          </w:p>
        </w:tc>
        <w:tc>
          <w:tcPr>
            <w:tcW w:w="1800" w:type="dxa"/>
            <w:tcBorders>
              <w:top w:val="none" w:sz="0" w:space="0" w:color="auto"/>
              <w:left w:val="none" w:sz="0" w:space="0" w:color="auto"/>
              <w:bottom w:val="none" w:sz="0" w:space="0" w:color="auto"/>
              <w:right w:val="none" w:sz="0" w:space="0" w:color="auto"/>
            </w:tcBorders>
          </w:tcPr>
          <w:p w14:paraId="128FF1A1" w14:textId="062FA88E"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c>
          <w:tcPr>
            <w:tcW w:w="1710" w:type="dxa"/>
            <w:tcBorders>
              <w:top w:val="none" w:sz="0" w:space="0" w:color="auto"/>
              <w:left w:val="none" w:sz="0" w:space="0" w:color="auto"/>
              <w:bottom w:val="none" w:sz="0" w:space="0" w:color="auto"/>
              <w:right w:val="none" w:sz="0" w:space="0" w:color="auto"/>
            </w:tcBorders>
          </w:tcPr>
          <w:p w14:paraId="37355CEB" w14:textId="6638B62B"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N/A</w:t>
            </w:r>
          </w:p>
        </w:tc>
        <w:tc>
          <w:tcPr>
            <w:tcW w:w="1350" w:type="dxa"/>
            <w:tcBorders>
              <w:top w:val="none" w:sz="0" w:space="0" w:color="auto"/>
              <w:left w:val="none" w:sz="0" w:space="0" w:color="auto"/>
              <w:bottom w:val="none" w:sz="0" w:space="0" w:color="auto"/>
              <w:right w:val="none" w:sz="0" w:space="0" w:color="auto"/>
            </w:tcBorders>
          </w:tcPr>
          <w:p w14:paraId="153A7C64" w14:textId="3DBC70C6"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c>
          <w:tcPr>
            <w:tcW w:w="820" w:type="dxa"/>
            <w:tcBorders>
              <w:top w:val="none" w:sz="0" w:space="0" w:color="auto"/>
              <w:left w:val="none" w:sz="0" w:space="0" w:color="auto"/>
              <w:bottom w:val="none" w:sz="0" w:space="0" w:color="auto"/>
              <w:right w:val="none" w:sz="0" w:space="0" w:color="auto"/>
            </w:tcBorders>
          </w:tcPr>
          <w:p w14:paraId="7FC2B3B5" w14:textId="71EA4DA1"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N/A</w:t>
            </w:r>
          </w:p>
        </w:tc>
        <w:tc>
          <w:tcPr>
            <w:tcW w:w="1371" w:type="dxa"/>
            <w:tcBorders>
              <w:top w:val="none" w:sz="0" w:space="0" w:color="auto"/>
              <w:left w:val="none" w:sz="0" w:space="0" w:color="auto"/>
              <w:bottom w:val="none" w:sz="0" w:space="0" w:color="auto"/>
              <w:right w:val="none" w:sz="0" w:space="0" w:color="auto"/>
            </w:tcBorders>
          </w:tcPr>
          <w:p w14:paraId="6B752D79" w14:textId="5A3BECB0"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r>
      <w:tr w:rsidR="00424F0A" w:rsidRPr="001846FF" w14:paraId="6A8A2EEA"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651C08C" w14:textId="77777777" w:rsidR="00424F0A" w:rsidRPr="001846FF" w:rsidRDefault="00424F0A" w:rsidP="00E463A0">
            <w:pPr>
              <w:pStyle w:val="TableLeftText"/>
              <w:keepNext/>
              <w:keepLines/>
            </w:pPr>
            <w:r w:rsidRPr="001846FF">
              <w:t>RCx - VCx</w:t>
            </w:r>
          </w:p>
        </w:tc>
        <w:tc>
          <w:tcPr>
            <w:tcW w:w="1800" w:type="dxa"/>
            <w:tcBorders>
              <w:top w:val="none" w:sz="0" w:space="0" w:color="auto"/>
              <w:left w:val="none" w:sz="0" w:space="0" w:color="auto"/>
              <w:bottom w:val="none" w:sz="0" w:space="0" w:color="auto"/>
              <w:right w:val="none" w:sz="0" w:space="0" w:color="auto"/>
            </w:tcBorders>
          </w:tcPr>
          <w:p w14:paraId="09545BAE" w14:textId="76A6F3C3"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c>
          <w:tcPr>
            <w:tcW w:w="1710" w:type="dxa"/>
            <w:tcBorders>
              <w:top w:val="none" w:sz="0" w:space="0" w:color="auto"/>
              <w:left w:val="none" w:sz="0" w:space="0" w:color="auto"/>
              <w:bottom w:val="none" w:sz="0" w:space="0" w:color="auto"/>
              <w:right w:val="none" w:sz="0" w:space="0" w:color="auto"/>
            </w:tcBorders>
          </w:tcPr>
          <w:p w14:paraId="044DEB1F" w14:textId="739F2B9A"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N/A</w:t>
            </w:r>
          </w:p>
        </w:tc>
        <w:tc>
          <w:tcPr>
            <w:tcW w:w="1350" w:type="dxa"/>
            <w:tcBorders>
              <w:top w:val="none" w:sz="0" w:space="0" w:color="auto"/>
              <w:left w:val="none" w:sz="0" w:space="0" w:color="auto"/>
              <w:bottom w:val="none" w:sz="0" w:space="0" w:color="auto"/>
              <w:right w:val="none" w:sz="0" w:space="0" w:color="auto"/>
            </w:tcBorders>
          </w:tcPr>
          <w:p w14:paraId="3C41AD9F" w14:textId="30A71885"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c>
          <w:tcPr>
            <w:tcW w:w="820" w:type="dxa"/>
            <w:tcBorders>
              <w:top w:val="none" w:sz="0" w:space="0" w:color="auto"/>
              <w:left w:val="none" w:sz="0" w:space="0" w:color="auto"/>
              <w:bottom w:val="none" w:sz="0" w:space="0" w:color="auto"/>
              <w:right w:val="none" w:sz="0" w:space="0" w:color="auto"/>
            </w:tcBorders>
          </w:tcPr>
          <w:p w14:paraId="3EAE90CB" w14:textId="4A44FF55"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N/A</w:t>
            </w:r>
          </w:p>
        </w:tc>
        <w:tc>
          <w:tcPr>
            <w:tcW w:w="1371" w:type="dxa"/>
            <w:tcBorders>
              <w:top w:val="none" w:sz="0" w:space="0" w:color="auto"/>
              <w:left w:val="none" w:sz="0" w:space="0" w:color="auto"/>
              <w:bottom w:val="none" w:sz="0" w:space="0" w:color="auto"/>
              <w:right w:val="none" w:sz="0" w:space="0" w:color="auto"/>
            </w:tcBorders>
          </w:tcPr>
          <w:p w14:paraId="49F58207" w14:textId="445A54A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987277">
              <w:t>0</w:t>
            </w:r>
          </w:p>
        </w:tc>
      </w:tr>
      <w:tr w:rsidR="00424F0A" w:rsidRPr="001846FF" w14:paraId="7C241E86"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5236C82F" w14:textId="002C23A6" w:rsidR="00424F0A" w:rsidRPr="001846FF" w:rsidRDefault="00424F0A" w:rsidP="00E463A0">
            <w:pPr>
              <w:pStyle w:val="TableLeftText"/>
              <w:keepNext/>
              <w:keepLines/>
            </w:pPr>
            <w:r w:rsidRPr="001846FF">
              <w:t xml:space="preserve">RCx - </w:t>
            </w:r>
            <w:r>
              <w:t>Virtual SEM</w:t>
            </w:r>
          </w:p>
        </w:tc>
        <w:tc>
          <w:tcPr>
            <w:tcW w:w="1800" w:type="dxa"/>
            <w:tcBorders>
              <w:top w:val="none" w:sz="0" w:space="0" w:color="auto"/>
              <w:left w:val="none" w:sz="0" w:space="0" w:color="auto"/>
              <w:bottom w:val="none" w:sz="0" w:space="0" w:color="auto"/>
              <w:right w:val="none" w:sz="0" w:space="0" w:color="auto"/>
            </w:tcBorders>
          </w:tcPr>
          <w:p w14:paraId="1AAA929C" w14:textId="25F765FC"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c>
          <w:tcPr>
            <w:tcW w:w="1710" w:type="dxa"/>
            <w:tcBorders>
              <w:top w:val="none" w:sz="0" w:space="0" w:color="auto"/>
              <w:left w:val="none" w:sz="0" w:space="0" w:color="auto"/>
              <w:bottom w:val="none" w:sz="0" w:space="0" w:color="auto"/>
              <w:right w:val="none" w:sz="0" w:space="0" w:color="auto"/>
            </w:tcBorders>
          </w:tcPr>
          <w:p w14:paraId="1CC734DA" w14:textId="4C9100AF"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N/A</w:t>
            </w:r>
          </w:p>
        </w:tc>
        <w:tc>
          <w:tcPr>
            <w:tcW w:w="1350" w:type="dxa"/>
            <w:tcBorders>
              <w:top w:val="none" w:sz="0" w:space="0" w:color="auto"/>
              <w:left w:val="none" w:sz="0" w:space="0" w:color="auto"/>
              <w:bottom w:val="none" w:sz="0" w:space="0" w:color="auto"/>
              <w:right w:val="none" w:sz="0" w:space="0" w:color="auto"/>
            </w:tcBorders>
          </w:tcPr>
          <w:p w14:paraId="2143624B" w14:textId="708C3495"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c>
          <w:tcPr>
            <w:tcW w:w="820" w:type="dxa"/>
            <w:tcBorders>
              <w:top w:val="none" w:sz="0" w:space="0" w:color="auto"/>
              <w:left w:val="none" w:sz="0" w:space="0" w:color="auto"/>
              <w:bottom w:val="none" w:sz="0" w:space="0" w:color="auto"/>
              <w:right w:val="none" w:sz="0" w:space="0" w:color="auto"/>
            </w:tcBorders>
          </w:tcPr>
          <w:p w14:paraId="311E9B95" w14:textId="5F1146F5"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N/A</w:t>
            </w:r>
          </w:p>
        </w:tc>
        <w:tc>
          <w:tcPr>
            <w:tcW w:w="1371" w:type="dxa"/>
            <w:tcBorders>
              <w:top w:val="none" w:sz="0" w:space="0" w:color="auto"/>
              <w:left w:val="none" w:sz="0" w:space="0" w:color="auto"/>
              <w:bottom w:val="none" w:sz="0" w:space="0" w:color="auto"/>
              <w:right w:val="none" w:sz="0" w:space="0" w:color="auto"/>
            </w:tcBorders>
          </w:tcPr>
          <w:p w14:paraId="7E436FC7" w14:textId="76F1D475"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987277">
              <w:t>0</w:t>
            </w:r>
          </w:p>
        </w:tc>
      </w:tr>
      <w:tr w:rsidR="00424F0A" w:rsidRPr="001846FF" w14:paraId="40D76331"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10B3F6FD" w14:textId="77777777" w:rsidR="00424F0A" w:rsidRPr="001846FF" w:rsidRDefault="00424F0A" w:rsidP="00E463A0">
            <w:pPr>
              <w:pStyle w:val="TableLeftText"/>
              <w:keepNext/>
              <w:keepLines/>
            </w:pPr>
            <w:r w:rsidRPr="001846FF">
              <w:t>Streetlighting - MOSL</w:t>
            </w:r>
          </w:p>
        </w:tc>
        <w:tc>
          <w:tcPr>
            <w:tcW w:w="1800" w:type="dxa"/>
            <w:tcBorders>
              <w:top w:val="none" w:sz="0" w:space="0" w:color="auto"/>
              <w:left w:val="none" w:sz="0" w:space="0" w:color="auto"/>
              <w:bottom w:val="none" w:sz="0" w:space="0" w:color="auto"/>
              <w:right w:val="none" w:sz="0" w:space="0" w:color="auto"/>
            </w:tcBorders>
          </w:tcPr>
          <w:p w14:paraId="63170892" w14:textId="64B38182"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c>
          <w:tcPr>
            <w:tcW w:w="1710" w:type="dxa"/>
            <w:tcBorders>
              <w:top w:val="none" w:sz="0" w:space="0" w:color="auto"/>
              <w:left w:val="none" w:sz="0" w:space="0" w:color="auto"/>
              <w:bottom w:val="none" w:sz="0" w:space="0" w:color="auto"/>
              <w:right w:val="none" w:sz="0" w:space="0" w:color="auto"/>
            </w:tcBorders>
          </w:tcPr>
          <w:p w14:paraId="05B0BFE1" w14:textId="1CE67651"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N/A</w:t>
            </w:r>
          </w:p>
        </w:tc>
        <w:tc>
          <w:tcPr>
            <w:tcW w:w="1350" w:type="dxa"/>
            <w:tcBorders>
              <w:top w:val="none" w:sz="0" w:space="0" w:color="auto"/>
              <w:left w:val="none" w:sz="0" w:space="0" w:color="auto"/>
              <w:bottom w:val="none" w:sz="0" w:space="0" w:color="auto"/>
              <w:right w:val="none" w:sz="0" w:space="0" w:color="auto"/>
            </w:tcBorders>
          </w:tcPr>
          <w:p w14:paraId="68BDD15C" w14:textId="07E67B9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c>
          <w:tcPr>
            <w:tcW w:w="820" w:type="dxa"/>
            <w:tcBorders>
              <w:top w:val="none" w:sz="0" w:space="0" w:color="auto"/>
              <w:left w:val="none" w:sz="0" w:space="0" w:color="auto"/>
              <w:bottom w:val="none" w:sz="0" w:space="0" w:color="auto"/>
              <w:right w:val="none" w:sz="0" w:space="0" w:color="auto"/>
            </w:tcBorders>
          </w:tcPr>
          <w:p w14:paraId="5515A038" w14:textId="5FA6E3E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N/A</w:t>
            </w:r>
          </w:p>
        </w:tc>
        <w:tc>
          <w:tcPr>
            <w:tcW w:w="1371" w:type="dxa"/>
            <w:tcBorders>
              <w:top w:val="none" w:sz="0" w:space="0" w:color="auto"/>
              <w:left w:val="none" w:sz="0" w:space="0" w:color="auto"/>
              <w:bottom w:val="none" w:sz="0" w:space="0" w:color="auto"/>
              <w:right w:val="none" w:sz="0" w:space="0" w:color="auto"/>
            </w:tcBorders>
          </w:tcPr>
          <w:p w14:paraId="39B07077" w14:textId="3E873D59"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r>
      <w:tr w:rsidR="00424F0A" w:rsidRPr="001846FF" w14:paraId="2D4FAEA8"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2205201A" w14:textId="77777777" w:rsidR="00424F0A" w:rsidRPr="001846FF" w:rsidRDefault="00424F0A" w:rsidP="00E463A0">
            <w:pPr>
              <w:pStyle w:val="TableLeftText"/>
              <w:keepNext/>
              <w:keepLines/>
            </w:pPr>
            <w:r w:rsidRPr="001846FF">
              <w:t>Streetlighting - UOSL</w:t>
            </w:r>
          </w:p>
        </w:tc>
        <w:tc>
          <w:tcPr>
            <w:tcW w:w="1800" w:type="dxa"/>
            <w:tcBorders>
              <w:top w:val="none" w:sz="0" w:space="0" w:color="auto"/>
              <w:left w:val="none" w:sz="0" w:space="0" w:color="auto"/>
              <w:bottom w:val="none" w:sz="0" w:space="0" w:color="auto"/>
              <w:right w:val="none" w:sz="0" w:space="0" w:color="auto"/>
            </w:tcBorders>
          </w:tcPr>
          <w:p w14:paraId="39AD3BFE" w14:textId="4BCEC90F"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22793">
              <w:t>0</w:t>
            </w:r>
          </w:p>
        </w:tc>
        <w:tc>
          <w:tcPr>
            <w:tcW w:w="1710" w:type="dxa"/>
            <w:tcBorders>
              <w:top w:val="none" w:sz="0" w:space="0" w:color="auto"/>
              <w:left w:val="none" w:sz="0" w:space="0" w:color="auto"/>
              <w:bottom w:val="none" w:sz="0" w:space="0" w:color="auto"/>
              <w:right w:val="none" w:sz="0" w:space="0" w:color="auto"/>
            </w:tcBorders>
          </w:tcPr>
          <w:p w14:paraId="45E3621B" w14:textId="5452AB52"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22793">
              <w:t>N/A</w:t>
            </w:r>
          </w:p>
        </w:tc>
        <w:tc>
          <w:tcPr>
            <w:tcW w:w="1350" w:type="dxa"/>
            <w:tcBorders>
              <w:top w:val="none" w:sz="0" w:space="0" w:color="auto"/>
              <w:left w:val="none" w:sz="0" w:space="0" w:color="auto"/>
              <w:bottom w:val="none" w:sz="0" w:space="0" w:color="auto"/>
              <w:right w:val="none" w:sz="0" w:space="0" w:color="auto"/>
            </w:tcBorders>
          </w:tcPr>
          <w:p w14:paraId="3F376FB0" w14:textId="025D781E"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22793">
              <w:t>0</w:t>
            </w:r>
          </w:p>
        </w:tc>
        <w:tc>
          <w:tcPr>
            <w:tcW w:w="820" w:type="dxa"/>
            <w:tcBorders>
              <w:top w:val="none" w:sz="0" w:space="0" w:color="auto"/>
              <w:left w:val="none" w:sz="0" w:space="0" w:color="auto"/>
              <w:bottom w:val="none" w:sz="0" w:space="0" w:color="auto"/>
              <w:right w:val="none" w:sz="0" w:space="0" w:color="auto"/>
            </w:tcBorders>
          </w:tcPr>
          <w:p w14:paraId="4CC49086" w14:textId="64B2F72B"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22793">
              <w:t>N/A</w:t>
            </w:r>
          </w:p>
        </w:tc>
        <w:tc>
          <w:tcPr>
            <w:tcW w:w="1371" w:type="dxa"/>
            <w:tcBorders>
              <w:top w:val="none" w:sz="0" w:space="0" w:color="auto"/>
              <w:left w:val="none" w:sz="0" w:space="0" w:color="auto"/>
              <w:bottom w:val="none" w:sz="0" w:space="0" w:color="auto"/>
              <w:right w:val="none" w:sz="0" w:space="0" w:color="auto"/>
            </w:tcBorders>
          </w:tcPr>
          <w:p w14:paraId="2BE93980" w14:textId="4DB36E65"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A22793">
              <w:t>0</w:t>
            </w:r>
          </w:p>
        </w:tc>
      </w:tr>
      <w:tr w:rsidR="00424F0A" w:rsidRPr="001846FF" w14:paraId="4F68299D"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64EC1DA0" w14:textId="77777777" w:rsidR="00424F0A" w:rsidRPr="001846FF" w:rsidRDefault="00424F0A" w:rsidP="00E463A0">
            <w:pPr>
              <w:pStyle w:val="TableLeftText"/>
              <w:keepNext/>
              <w:keepLines/>
            </w:pPr>
            <w:r w:rsidRPr="001846FF">
              <w:t>Small Business - SBDI</w:t>
            </w:r>
          </w:p>
        </w:tc>
        <w:tc>
          <w:tcPr>
            <w:tcW w:w="1800" w:type="dxa"/>
            <w:tcBorders>
              <w:top w:val="none" w:sz="0" w:space="0" w:color="auto"/>
              <w:left w:val="none" w:sz="0" w:space="0" w:color="auto"/>
              <w:bottom w:val="none" w:sz="0" w:space="0" w:color="auto"/>
              <w:right w:val="none" w:sz="0" w:space="0" w:color="auto"/>
            </w:tcBorders>
          </w:tcPr>
          <w:p w14:paraId="51395E9D" w14:textId="261BF07B"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c>
          <w:tcPr>
            <w:tcW w:w="1710" w:type="dxa"/>
            <w:tcBorders>
              <w:top w:val="none" w:sz="0" w:space="0" w:color="auto"/>
              <w:left w:val="none" w:sz="0" w:space="0" w:color="auto"/>
              <w:bottom w:val="none" w:sz="0" w:space="0" w:color="auto"/>
              <w:right w:val="none" w:sz="0" w:space="0" w:color="auto"/>
            </w:tcBorders>
          </w:tcPr>
          <w:p w14:paraId="20EF7E8F" w14:textId="312339D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N/A</w:t>
            </w:r>
          </w:p>
        </w:tc>
        <w:tc>
          <w:tcPr>
            <w:tcW w:w="1350" w:type="dxa"/>
            <w:tcBorders>
              <w:top w:val="none" w:sz="0" w:space="0" w:color="auto"/>
              <w:left w:val="none" w:sz="0" w:space="0" w:color="auto"/>
              <w:bottom w:val="none" w:sz="0" w:space="0" w:color="auto"/>
              <w:right w:val="none" w:sz="0" w:space="0" w:color="auto"/>
            </w:tcBorders>
          </w:tcPr>
          <w:p w14:paraId="1ED6FF68" w14:textId="4A2328F2"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c>
          <w:tcPr>
            <w:tcW w:w="820" w:type="dxa"/>
            <w:tcBorders>
              <w:top w:val="none" w:sz="0" w:space="0" w:color="auto"/>
              <w:left w:val="none" w:sz="0" w:space="0" w:color="auto"/>
              <w:bottom w:val="none" w:sz="0" w:space="0" w:color="auto"/>
              <w:right w:val="none" w:sz="0" w:space="0" w:color="auto"/>
            </w:tcBorders>
          </w:tcPr>
          <w:p w14:paraId="3910E8E3" w14:textId="47A2B819"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N/A</w:t>
            </w:r>
          </w:p>
        </w:tc>
        <w:tc>
          <w:tcPr>
            <w:tcW w:w="1371" w:type="dxa"/>
            <w:tcBorders>
              <w:top w:val="none" w:sz="0" w:space="0" w:color="auto"/>
              <w:left w:val="none" w:sz="0" w:space="0" w:color="auto"/>
              <w:bottom w:val="none" w:sz="0" w:space="0" w:color="auto"/>
              <w:right w:val="none" w:sz="0" w:space="0" w:color="auto"/>
            </w:tcBorders>
          </w:tcPr>
          <w:p w14:paraId="58C31778" w14:textId="0DC9B1C6"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A22793">
              <w:t>0</w:t>
            </w:r>
          </w:p>
        </w:tc>
      </w:tr>
      <w:tr w:rsidR="00424F0A" w:rsidRPr="001846FF" w14:paraId="545BEF82"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6A114FC3" w14:textId="77777777" w:rsidR="00424F0A" w:rsidRPr="001846FF" w:rsidRDefault="00424F0A" w:rsidP="00E463A0">
            <w:pPr>
              <w:pStyle w:val="TableLeftText"/>
              <w:keepNext/>
              <w:keepLines/>
            </w:pPr>
            <w:r w:rsidRPr="001846FF">
              <w:t>Small Business - SBEP</w:t>
            </w:r>
          </w:p>
        </w:tc>
        <w:tc>
          <w:tcPr>
            <w:tcW w:w="1800" w:type="dxa"/>
            <w:tcBorders>
              <w:top w:val="none" w:sz="0" w:space="0" w:color="auto"/>
              <w:left w:val="none" w:sz="0" w:space="0" w:color="auto"/>
              <w:bottom w:val="none" w:sz="0" w:space="0" w:color="auto"/>
              <w:right w:val="none" w:sz="0" w:space="0" w:color="auto"/>
            </w:tcBorders>
          </w:tcPr>
          <w:p w14:paraId="352DE2FA" w14:textId="55C6FB24"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28007B">
              <w:t>18,280</w:t>
            </w:r>
          </w:p>
        </w:tc>
        <w:tc>
          <w:tcPr>
            <w:tcW w:w="1710" w:type="dxa"/>
            <w:tcBorders>
              <w:top w:val="none" w:sz="0" w:space="0" w:color="auto"/>
              <w:left w:val="none" w:sz="0" w:space="0" w:color="auto"/>
              <w:bottom w:val="none" w:sz="0" w:space="0" w:color="auto"/>
              <w:right w:val="none" w:sz="0" w:space="0" w:color="auto"/>
            </w:tcBorders>
          </w:tcPr>
          <w:p w14:paraId="3C696351" w14:textId="2F48F71C"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28007B">
              <w:t>106%</w:t>
            </w:r>
          </w:p>
        </w:tc>
        <w:tc>
          <w:tcPr>
            <w:tcW w:w="1350" w:type="dxa"/>
            <w:tcBorders>
              <w:top w:val="none" w:sz="0" w:space="0" w:color="auto"/>
              <w:left w:val="none" w:sz="0" w:space="0" w:color="auto"/>
              <w:bottom w:val="none" w:sz="0" w:space="0" w:color="auto"/>
              <w:right w:val="none" w:sz="0" w:space="0" w:color="auto"/>
            </w:tcBorders>
          </w:tcPr>
          <w:p w14:paraId="3213F3BE" w14:textId="3BC8FC82"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28007B">
              <w:t>19,319</w:t>
            </w:r>
          </w:p>
        </w:tc>
        <w:tc>
          <w:tcPr>
            <w:tcW w:w="820" w:type="dxa"/>
            <w:tcBorders>
              <w:top w:val="none" w:sz="0" w:space="0" w:color="auto"/>
              <w:left w:val="none" w:sz="0" w:space="0" w:color="auto"/>
              <w:bottom w:val="none" w:sz="0" w:space="0" w:color="auto"/>
              <w:right w:val="none" w:sz="0" w:space="0" w:color="auto"/>
            </w:tcBorders>
          </w:tcPr>
          <w:p w14:paraId="427A8748" w14:textId="1A2C1081"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28007B">
              <w:t>1.000</w:t>
            </w:r>
          </w:p>
        </w:tc>
        <w:tc>
          <w:tcPr>
            <w:tcW w:w="1371" w:type="dxa"/>
            <w:tcBorders>
              <w:top w:val="none" w:sz="0" w:space="0" w:color="auto"/>
              <w:left w:val="none" w:sz="0" w:space="0" w:color="auto"/>
              <w:bottom w:val="none" w:sz="0" w:space="0" w:color="auto"/>
              <w:right w:val="none" w:sz="0" w:space="0" w:color="auto"/>
            </w:tcBorders>
          </w:tcPr>
          <w:p w14:paraId="71A4A507" w14:textId="3D99F927"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28007B">
              <w:t>19,319</w:t>
            </w:r>
          </w:p>
        </w:tc>
      </w:tr>
      <w:tr w:rsidR="00424F0A" w:rsidRPr="001846FF" w14:paraId="41492B9F"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660032B4" w14:textId="77777777" w:rsidR="00424F0A" w:rsidRPr="001846FF" w:rsidRDefault="00424F0A" w:rsidP="00E463A0">
            <w:pPr>
              <w:pStyle w:val="TableLeftText"/>
              <w:keepNext/>
              <w:keepLines/>
            </w:pPr>
            <w:r w:rsidRPr="001846FF">
              <w:t>Midstream - Lighting</w:t>
            </w:r>
          </w:p>
        </w:tc>
        <w:tc>
          <w:tcPr>
            <w:tcW w:w="1800" w:type="dxa"/>
            <w:tcBorders>
              <w:top w:val="none" w:sz="0" w:space="0" w:color="auto"/>
              <w:left w:val="none" w:sz="0" w:space="0" w:color="auto"/>
              <w:bottom w:val="none" w:sz="0" w:space="0" w:color="auto"/>
              <w:right w:val="none" w:sz="0" w:space="0" w:color="auto"/>
            </w:tcBorders>
          </w:tcPr>
          <w:p w14:paraId="30A6137C" w14:textId="6413B47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B27CEE">
              <w:t>0</w:t>
            </w:r>
          </w:p>
        </w:tc>
        <w:tc>
          <w:tcPr>
            <w:tcW w:w="1710" w:type="dxa"/>
            <w:tcBorders>
              <w:top w:val="none" w:sz="0" w:space="0" w:color="auto"/>
              <w:left w:val="none" w:sz="0" w:space="0" w:color="auto"/>
              <w:bottom w:val="none" w:sz="0" w:space="0" w:color="auto"/>
              <w:right w:val="none" w:sz="0" w:space="0" w:color="auto"/>
            </w:tcBorders>
          </w:tcPr>
          <w:p w14:paraId="6E464BB1" w14:textId="78199D27"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B27CEE">
              <w:t>N/A</w:t>
            </w:r>
          </w:p>
        </w:tc>
        <w:tc>
          <w:tcPr>
            <w:tcW w:w="1350" w:type="dxa"/>
            <w:tcBorders>
              <w:top w:val="none" w:sz="0" w:space="0" w:color="auto"/>
              <w:left w:val="none" w:sz="0" w:space="0" w:color="auto"/>
              <w:bottom w:val="none" w:sz="0" w:space="0" w:color="auto"/>
              <w:right w:val="none" w:sz="0" w:space="0" w:color="auto"/>
            </w:tcBorders>
          </w:tcPr>
          <w:p w14:paraId="19D2C8BA" w14:textId="12934782"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B27CEE">
              <w:t>0</w:t>
            </w:r>
          </w:p>
        </w:tc>
        <w:tc>
          <w:tcPr>
            <w:tcW w:w="820" w:type="dxa"/>
            <w:tcBorders>
              <w:top w:val="none" w:sz="0" w:space="0" w:color="auto"/>
              <w:left w:val="none" w:sz="0" w:space="0" w:color="auto"/>
              <w:bottom w:val="none" w:sz="0" w:space="0" w:color="auto"/>
              <w:right w:val="none" w:sz="0" w:space="0" w:color="auto"/>
            </w:tcBorders>
          </w:tcPr>
          <w:p w14:paraId="466B5220" w14:textId="09AE3E0E"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B27CEE">
              <w:t>N/A</w:t>
            </w:r>
          </w:p>
        </w:tc>
        <w:tc>
          <w:tcPr>
            <w:tcW w:w="1371" w:type="dxa"/>
            <w:tcBorders>
              <w:top w:val="none" w:sz="0" w:space="0" w:color="auto"/>
              <w:left w:val="none" w:sz="0" w:space="0" w:color="auto"/>
              <w:bottom w:val="none" w:sz="0" w:space="0" w:color="auto"/>
              <w:right w:val="none" w:sz="0" w:space="0" w:color="auto"/>
            </w:tcBorders>
          </w:tcPr>
          <w:p w14:paraId="1E3A6534" w14:textId="1FDB2172"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B27CEE">
              <w:t>0</w:t>
            </w:r>
          </w:p>
        </w:tc>
      </w:tr>
      <w:tr w:rsidR="00424F0A" w:rsidRPr="001846FF" w14:paraId="5E7F4C09"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2F1B414A" w14:textId="77777777" w:rsidR="00424F0A" w:rsidRPr="001846FF" w:rsidRDefault="00424F0A" w:rsidP="00E463A0">
            <w:pPr>
              <w:pStyle w:val="TableLeftText"/>
              <w:keepNext/>
              <w:keepLines/>
            </w:pPr>
            <w:r w:rsidRPr="001846FF">
              <w:t>Midstream - HVAC</w:t>
            </w:r>
          </w:p>
        </w:tc>
        <w:tc>
          <w:tcPr>
            <w:tcW w:w="1800" w:type="dxa"/>
            <w:tcBorders>
              <w:top w:val="none" w:sz="0" w:space="0" w:color="auto"/>
              <w:left w:val="none" w:sz="0" w:space="0" w:color="auto"/>
              <w:bottom w:val="none" w:sz="0" w:space="0" w:color="auto"/>
              <w:right w:val="none" w:sz="0" w:space="0" w:color="auto"/>
            </w:tcBorders>
          </w:tcPr>
          <w:p w14:paraId="43A47525" w14:textId="0584DF57"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F5333A">
              <w:t>7,469</w:t>
            </w:r>
          </w:p>
        </w:tc>
        <w:tc>
          <w:tcPr>
            <w:tcW w:w="1710" w:type="dxa"/>
            <w:tcBorders>
              <w:top w:val="none" w:sz="0" w:space="0" w:color="auto"/>
              <w:left w:val="none" w:sz="0" w:space="0" w:color="auto"/>
              <w:bottom w:val="none" w:sz="0" w:space="0" w:color="auto"/>
              <w:right w:val="none" w:sz="0" w:space="0" w:color="auto"/>
            </w:tcBorders>
          </w:tcPr>
          <w:p w14:paraId="172EEE4D" w14:textId="1356E3D9"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F5333A">
              <w:t>95%</w:t>
            </w:r>
          </w:p>
        </w:tc>
        <w:tc>
          <w:tcPr>
            <w:tcW w:w="1350" w:type="dxa"/>
            <w:tcBorders>
              <w:top w:val="none" w:sz="0" w:space="0" w:color="auto"/>
              <w:left w:val="none" w:sz="0" w:space="0" w:color="auto"/>
              <w:bottom w:val="none" w:sz="0" w:space="0" w:color="auto"/>
              <w:right w:val="none" w:sz="0" w:space="0" w:color="auto"/>
            </w:tcBorders>
          </w:tcPr>
          <w:p w14:paraId="7E78BBFD" w14:textId="64FE0057"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F5333A">
              <w:t>7,129</w:t>
            </w:r>
          </w:p>
        </w:tc>
        <w:tc>
          <w:tcPr>
            <w:tcW w:w="820" w:type="dxa"/>
            <w:tcBorders>
              <w:top w:val="none" w:sz="0" w:space="0" w:color="auto"/>
              <w:left w:val="none" w:sz="0" w:space="0" w:color="auto"/>
              <w:bottom w:val="none" w:sz="0" w:space="0" w:color="auto"/>
              <w:right w:val="none" w:sz="0" w:space="0" w:color="auto"/>
            </w:tcBorders>
          </w:tcPr>
          <w:p w14:paraId="78D0C5B4" w14:textId="1FBBDA86"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F5333A">
              <w:t>0.864</w:t>
            </w:r>
          </w:p>
        </w:tc>
        <w:tc>
          <w:tcPr>
            <w:tcW w:w="1371" w:type="dxa"/>
            <w:tcBorders>
              <w:top w:val="none" w:sz="0" w:space="0" w:color="auto"/>
              <w:left w:val="none" w:sz="0" w:space="0" w:color="auto"/>
              <w:bottom w:val="none" w:sz="0" w:space="0" w:color="auto"/>
              <w:right w:val="none" w:sz="0" w:space="0" w:color="auto"/>
            </w:tcBorders>
          </w:tcPr>
          <w:p w14:paraId="7C3D80B3" w14:textId="16B0C476"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F5333A">
              <w:t>6,156</w:t>
            </w:r>
          </w:p>
        </w:tc>
      </w:tr>
      <w:tr w:rsidR="00424F0A" w:rsidRPr="001846FF" w14:paraId="4E116DFC"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5494DC98" w14:textId="77777777" w:rsidR="00424F0A" w:rsidRPr="001846FF" w:rsidRDefault="00424F0A" w:rsidP="00E463A0">
            <w:pPr>
              <w:pStyle w:val="TableLeftText"/>
              <w:keepNext/>
              <w:keepLines/>
            </w:pPr>
            <w:r w:rsidRPr="001846FF">
              <w:t>Midstream - Food Service</w:t>
            </w:r>
          </w:p>
        </w:tc>
        <w:tc>
          <w:tcPr>
            <w:tcW w:w="1800" w:type="dxa"/>
            <w:tcBorders>
              <w:top w:val="none" w:sz="0" w:space="0" w:color="auto"/>
              <w:left w:val="none" w:sz="0" w:space="0" w:color="auto"/>
              <w:bottom w:val="none" w:sz="0" w:space="0" w:color="auto"/>
              <w:right w:val="none" w:sz="0" w:space="0" w:color="auto"/>
            </w:tcBorders>
          </w:tcPr>
          <w:p w14:paraId="6DDF9F90" w14:textId="06CB6D05"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5333A">
              <w:t>54,799</w:t>
            </w:r>
          </w:p>
        </w:tc>
        <w:tc>
          <w:tcPr>
            <w:tcW w:w="1710" w:type="dxa"/>
            <w:tcBorders>
              <w:top w:val="none" w:sz="0" w:space="0" w:color="auto"/>
              <w:left w:val="none" w:sz="0" w:space="0" w:color="auto"/>
              <w:bottom w:val="none" w:sz="0" w:space="0" w:color="auto"/>
              <w:right w:val="none" w:sz="0" w:space="0" w:color="auto"/>
            </w:tcBorders>
          </w:tcPr>
          <w:p w14:paraId="36F94A2E" w14:textId="493B0884"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5333A">
              <w:t>114%</w:t>
            </w:r>
          </w:p>
        </w:tc>
        <w:tc>
          <w:tcPr>
            <w:tcW w:w="1350" w:type="dxa"/>
            <w:tcBorders>
              <w:top w:val="none" w:sz="0" w:space="0" w:color="auto"/>
              <w:left w:val="none" w:sz="0" w:space="0" w:color="auto"/>
              <w:bottom w:val="none" w:sz="0" w:space="0" w:color="auto"/>
              <w:right w:val="none" w:sz="0" w:space="0" w:color="auto"/>
            </w:tcBorders>
          </w:tcPr>
          <w:p w14:paraId="149F8BB9" w14:textId="5C8E6700"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5333A">
              <w:t>62,568</w:t>
            </w:r>
          </w:p>
        </w:tc>
        <w:tc>
          <w:tcPr>
            <w:tcW w:w="820" w:type="dxa"/>
            <w:tcBorders>
              <w:top w:val="none" w:sz="0" w:space="0" w:color="auto"/>
              <w:left w:val="none" w:sz="0" w:space="0" w:color="auto"/>
              <w:bottom w:val="none" w:sz="0" w:space="0" w:color="auto"/>
              <w:right w:val="none" w:sz="0" w:space="0" w:color="auto"/>
            </w:tcBorders>
          </w:tcPr>
          <w:p w14:paraId="47BFF6D9" w14:textId="7F29AF4A"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5333A">
              <w:t>0.866</w:t>
            </w:r>
          </w:p>
        </w:tc>
        <w:tc>
          <w:tcPr>
            <w:tcW w:w="1371" w:type="dxa"/>
            <w:tcBorders>
              <w:top w:val="none" w:sz="0" w:space="0" w:color="auto"/>
              <w:left w:val="none" w:sz="0" w:space="0" w:color="auto"/>
              <w:bottom w:val="none" w:sz="0" w:space="0" w:color="auto"/>
              <w:right w:val="none" w:sz="0" w:space="0" w:color="auto"/>
            </w:tcBorders>
          </w:tcPr>
          <w:p w14:paraId="2A6DB6FA" w14:textId="34E8A296"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F5333A">
              <w:t>54,170</w:t>
            </w:r>
          </w:p>
        </w:tc>
      </w:tr>
      <w:tr w:rsidR="00424F0A" w:rsidRPr="001846FF" w14:paraId="560A0E0E"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0DB53C3C" w14:textId="77777777" w:rsidR="00424F0A" w:rsidRPr="001846FF" w:rsidRDefault="00424F0A" w:rsidP="00E463A0">
            <w:pPr>
              <w:pStyle w:val="TableLeftText"/>
              <w:keepNext/>
              <w:keepLines/>
            </w:pPr>
            <w:r w:rsidRPr="001846FF">
              <w:t>Midstream - Lighting Carryover</w:t>
            </w:r>
            <w:r w:rsidRPr="001846FF">
              <w:rPr>
                <w:vertAlign w:val="superscript"/>
              </w:rPr>
              <w:t>a</w:t>
            </w:r>
          </w:p>
        </w:tc>
        <w:tc>
          <w:tcPr>
            <w:tcW w:w="1800" w:type="dxa"/>
            <w:tcBorders>
              <w:top w:val="none" w:sz="0" w:space="0" w:color="auto"/>
              <w:left w:val="none" w:sz="0" w:space="0" w:color="auto"/>
              <w:bottom w:val="none" w:sz="0" w:space="0" w:color="auto"/>
              <w:right w:val="none" w:sz="0" w:space="0" w:color="auto"/>
            </w:tcBorders>
          </w:tcPr>
          <w:p w14:paraId="7CD47B8C" w14:textId="6151C4CB"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t>0</w:t>
            </w:r>
          </w:p>
        </w:tc>
        <w:tc>
          <w:tcPr>
            <w:tcW w:w="1710" w:type="dxa"/>
            <w:tcBorders>
              <w:top w:val="none" w:sz="0" w:space="0" w:color="auto"/>
              <w:left w:val="none" w:sz="0" w:space="0" w:color="auto"/>
              <w:bottom w:val="none" w:sz="0" w:space="0" w:color="auto"/>
              <w:right w:val="none" w:sz="0" w:space="0" w:color="auto"/>
            </w:tcBorders>
          </w:tcPr>
          <w:p w14:paraId="7E949B13" w14:textId="0FC8BC3F"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t>N/A</w:t>
            </w:r>
          </w:p>
        </w:tc>
        <w:tc>
          <w:tcPr>
            <w:tcW w:w="1350" w:type="dxa"/>
            <w:tcBorders>
              <w:top w:val="none" w:sz="0" w:space="0" w:color="auto"/>
              <w:left w:val="none" w:sz="0" w:space="0" w:color="auto"/>
              <w:bottom w:val="none" w:sz="0" w:space="0" w:color="auto"/>
              <w:right w:val="none" w:sz="0" w:space="0" w:color="auto"/>
            </w:tcBorders>
          </w:tcPr>
          <w:p w14:paraId="260E136D" w14:textId="164FF82F"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t>0</w:t>
            </w:r>
          </w:p>
        </w:tc>
        <w:tc>
          <w:tcPr>
            <w:tcW w:w="820" w:type="dxa"/>
            <w:tcBorders>
              <w:top w:val="none" w:sz="0" w:space="0" w:color="auto"/>
              <w:left w:val="none" w:sz="0" w:space="0" w:color="auto"/>
              <w:bottom w:val="none" w:sz="0" w:space="0" w:color="auto"/>
              <w:right w:val="none" w:sz="0" w:space="0" w:color="auto"/>
            </w:tcBorders>
          </w:tcPr>
          <w:p w14:paraId="050C0941" w14:textId="160C89A2"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t>N/A</w:t>
            </w:r>
          </w:p>
        </w:tc>
        <w:tc>
          <w:tcPr>
            <w:tcW w:w="1371" w:type="dxa"/>
            <w:tcBorders>
              <w:top w:val="none" w:sz="0" w:space="0" w:color="auto"/>
              <w:left w:val="none" w:sz="0" w:space="0" w:color="auto"/>
              <w:bottom w:val="none" w:sz="0" w:space="0" w:color="auto"/>
              <w:right w:val="none" w:sz="0" w:space="0" w:color="auto"/>
            </w:tcBorders>
          </w:tcPr>
          <w:p w14:paraId="39CBAF1F" w14:textId="79B0CADF" w:rsidR="00424F0A" w:rsidRPr="001846FF"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t>0</w:t>
            </w:r>
          </w:p>
        </w:tc>
      </w:tr>
      <w:tr w:rsidR="00424F0A" w:rsidRPr="001846FF" w14:paraId="2078903E"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vAlign w:val="top"/>
          </w:tcPr>
          <w:p w14:paraId="17BBA809" w14:textId="6E5DF637" w:rsidR="00424F0A" w:rsidRPr="001846FF" w:rsidRDefault="00424F0A" w:rsidP="00E463A0">
            <w:pPr>
              <w:pStyle w:val="TableLeftText"/>
              <w:keepNext/>
              <w:keepLines/>
            </w:pPr>
            <w:r>
              <w:t>LLLC Pilot</w:t>
            </w:r>
          </w:p>
        </w:tc>
        <w:tc>
          <w:tcPr>
            <w:tcW w:w="1800" w:type="dxa"/>
            <w:tcBorders>
              <w:top w:val="none" w:sz="0" w:space="0" w:color="auto"/>
              <w:left w:val="none" w:sz="0" w:space="0" w:color="auto"/>
              <w:bottom w:val="none" w:sz="0" w:space="0" w:color="auto"/>
              <w:right w:val="none" w:sz="0" w:space="0" w:color="auto"/>
            </w:tcBorders>
          </w:tcPr>
          <w:p w14:paraId="152A22D6" w14:textId="74C06103"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t>N/A</w:t>
            </w:r>
          </w:p>
        </w:tc>
        <w:tc>
          <w:tcPr>
            <w:tcW w:w="1710" w:type="dxa"/>
            <w:tcBorders>
              <w:top w:val="none" w:sz="0" w:space="0" w:color="auto"/>
              <w:left w:val="none" w:sz="0" w:space="0" w:color="auto"/>
              <w:bottom w:val="none" w:sz="0" w:space="0" w:color="auto"/>
              <w:right w:val="none" w:sz="0" w:space="0" w:color="auto"/>
            </w:tcBorders>
          </w:tcPr>
          <w:p w14:paraId="0C871CC0" w14:textId="7C68A65F"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t>N/A</w:t>
            </w:r>
          </w:p>
        </w:tc>
        <w:tc>
          <w:tcPr>
            <w:tcW w:w="1350" w:type="dxa"/>
            <w:tcBorders>
              <w:top w:val="none" w:sz="0" w:space="0" w:color="auto"/>
              <w:left w:val="none" w:sz="0" w:space="0" w:color="auto"/>
              <w:bottom w:val="none" w:sz="0" w:space="0" w:color="auto"/>
              <w:right w:val="none" w:sz="0" w:space="0" w:color="auto"/>
            </w:tcBorders>
          </w:tcPr>
          <w:p w14:paraId="36669D49" w14:textId="55C391E8"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t>0</w:t>
            </w:r>
          </w:p>
        </w:tc>
        <w:tc>
          <w:tcPr>
            <w:tcW w:w="820" w:type="dxa"/>
            <w:tcBorders>
              <w:top w:val="none" w:sz="0" w:space="0" w:color="auto"/>
              <w:left w:val="none" w:sz="0" w:space="0" w:color="auto"/>
              <w:bottom w:val="none" w:sz="0" w:space="0" w:color="auto"/>
              <w:right w:val="none" w:sz="0" w:space="0" w:color="auto"/>
            </w:tcBorders>
          </w:tcPr>
          <w:p w14:paraId="19ACC174" w14:textId="5B176687"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t>N/A</w:t>
            </w:r>
          </w:p>
        </w:tc>
        <w:tc>
          <w:tcPr>
            <w:tcW w:w="1371" w:type="dxa"/>
            <w:tcBorders>
              <w:top w:val="none" w:sz="0" w:space="0" w:color="auto"/>
              <w:left w:val="none" w:sz="0" w:space="0" w:color="auto"/>
              <w:bottom w:val="none" w:sz="0" w:space="0" w:color="auto"/>
              <w:right w:val="none" w:sz="0" w:space="0" w:color="auto"/>
            </w:tcBorders>
          </w:tcPr>
          <w:p w14:paraId="13864101" w14:textId="2BC542CE" w:rsidR="00424F0A" w:rsidRPr="001846FF" w:rsidRDefault="00424F0A" w:rsidP="00E463A0">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t>0</w:t>
            </w:r>
          </w:p>
        </w:tc>
      </w:tr>
      <w:tr w:rsidR="00424F0A" w:rsidRPr="001846FF" w14:paraId="2A087DA8"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57179DB1" w14:textId="77777777" w:rsidR="00424F0A" w:rsidRPr="00307925" w:rsidRDefault="00424F0A" w:rsidP="00E463A0">
            <w:pPr>
              <w:pStyle w:val="TableLeftText"/>
              <w:keepNext/>
              <w:keepLines/>
              <w:rPr>
                <w:rFonts w:ascii="Franklin Gothic Medium" w:hAnsi="Franklin Gothic Medium"/>
              </w:rPr>
            </w:pPr>
            <w:r w:rsidRPr="00307925">
              <w:rPr>
                <w:rFonts w:ascii="Franklin Gothic Medium" w:hAnsi="Franklin Gothic Medium"/>
              </w:rPr>
              <w:t>Business Program Total</w:t>
            </w:r>
          </w:p>
        </w:tc>
        <w:tc>
          <w:tcPr>
            <w:tcW w:w="1800" w:type="dxa"/>
            <w:tcBorders>
              <w:top w:val="none" w:sz="0" w:space="0" w:color="auto"/>
              <w:left w:val="none" w:sz="0" w:space="0" w:color="auto"/>
              <w:bottom w:val="none" w:sz="0" w:space="0" w:color="auto"/>
              <w:right w:val="none" w:sz="0" w:space="0" w:color="auto"/>
            </w:tcBorders>
          </w:tcPr>
          <w:p w14:paraId="400979B3" w14:textId="220FCA3C" w:rsidR="00424F0A" w:rsidRPr="00307925"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3,214,092</w:t>
            </w:r>
          </w:p>
        </w:tc>
        <w:tc>
          <w:tcPr>
            <w:tcW w:w="1710" w:type="dxa"/>
            <w:tcBorders>
              <w:top w:val="none" w:sz="0" w:space="0" w:color="auto"/>
              <w:left w:val="none" w:sz="0" w:space="0" w:color="auto"/>
              <w:bottom w:val="none" w:sz="0" w:space="0" w:color="auto"/>
              <w:right w:val="none" w:sz="0" w:space="0" w:color="auto"/>
            </w:tcBorders>
          </w:tcPr>
          <w:p w14:paraId="468E9F2B" w14:textId="16693312" w:rsidR="00424F0A" w:rsidRPr="00307925"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115%</w:t>
            </w:r>
          </w:p>
        </w:tc>
        <w:tc>
          <w:tcPr>
            <w:tcW w:w="1350" w:type="dxa"/>
            <w:tcBorders>
              <w:top w:val="none" w:sz="0" w:space="0" w:color="auto"/>
              <w:left w:val="none" w:sz="0" w:space="0" w:color="auto"/>
              <w:bottom w:val="none" w:sz="0" w:space="0" w:color="auto"/>
              <w:right w:val="none" w:sz="0" w:space="0" w:color="auto"/>
            </w:tcBorders>
          </w:tcPr>
          <w:p w14:paraId="687D17F9" w14:textId="2E7F72C5" w:rsidR="00424F0A" w:rsidRPr="00307925"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3,692,502</w:t>
            </w:r>
          </w:p>
        </w:tc>
        <w:tc>
          <w:tcPr>
            <w:tcW w:w="820" w:type="dxa"/>
            <w:tcBorders>
              <w:top w:val="none" w:sz="0" w:space="0" w:color="auto"/>
              <w:left w:val="none" w:sz="0" w:space="0" w:color="auto"/>
              <w:bottom w:val="none" w:sz="0" w:space="0" w:color="auto"/>
              <w:right w:val="none" w:sz="0" w:space="0" w:color="auto"/>
            </w:tcBorders>
          </w:tcPr>
          <w:p w14:paraId="220DA61E" w14:textId="11538BC8" w:rsidR="00424F0A" w:rsidRPr="00307925"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0.789</w:t>
            </w:r>
          </w:p>
        </w:tc>
        <w:tc>
          <w:tcPr>
            <w:tcW w:w="1371" w:type="dxa"/>
            <w:tcBorders>
              <w:top w:val="none" w:sz="0" w:space="0" w:color="auto"/>
              <w:left w:val="none" w:sz="0" w:space="0" w:color="auto"/>
              <w:bottom w:val="none" w:sz="0" w:space="0" w:color="auto"/>
              <w:right w:val="none" w:sz="0" w:space="0" w:color="auto"/>
            </w:tcBorders>
          </w:tcPr>
          <w:p w14:paraId="00AA8DA4" w14:textId="61BF2274" w:rsidR="00424F0A" w:rsidRPr="00307925" w:rsidRDefault="00424F0A" w:rsidP="00E463A0">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2,</w:t>
            </w:r>
            <w:r w:rsidR="00AD2CD7">
              <w:rPr>
                <w:rFonts w:ascii="Franklin Gothic Medium" w:hAnsi="Franklin Gothic Medium"/>
              </w:rPr>
              <w:t>888</w:t>
            </w:r>
            <w:r w:rsidRPr="00307925">
              <w:rPr>
                <w:rFonts w:ascii="Franklin Gothic Medium" w:hAnsi="Franklin Gothic Medium"/>
              </w:rPr>
              <w:t>,6</w:t>
            </w:r>
            <w:r w:rsidR="00AD2CD7">
              <w:rPr>
                <w:rFonts w:ascii="Franklin Gothic Medium" w:hAnsi="Franklin Gothic Medium"/>
              </w:rPr>
              <w:t>19</w:t>
            </w:r>
          </w:p>
        </w:tc>
      </w:tr>
    </w:tbl>
    <w:p w14:paraId="22C96EE6" w14:textId="55C37408" w:rsidR="001846FF" w:rsidRDefault="001846FF" w:rsidP="00E463A0">
      <w:pPr>
        <w:keepNext/>
        <w:keepLines/>
        <w:spacing w:before="40" w:after="60" w:line="240" w:lineRule="auto"/>
        <w:rPr>
          <w:bCs/>
          <w:sz w:val="18"/>
          <w:szCs w:val="20"/>
        </w:rPr>
      </w:pPr>
      <w:r w:rsidRPr="001846FF">
        <w:rPr>
          <w:bCs/>
          <w:sz w:val="18"/>
          <w:szCs w:val="20"/>
          <w:vertAlign w:val="superscript"/>
        </w:rPr>
        <w:t>a</w:t>
      </w:r>
      <w:r w:rsidR="00260EB8">
        <w:rPr>
          <w:bCs/>
          <w:sz w:val="18"/>
          <w:szCs w:val="20"/>
          <w:vertAlign w:val="superscript"/>
        </w:rPr>
        <w:t xml:space="preserve"> </w:t>
      </w:r>
      <w:r w:rsidRPr="001846FF">
        <w:rPr>
          <w:bCs/>
          <w:sz w:val="18"/>
          <w:szCs w:val="20"/>
        </w:rPr>
        <w:t xml:space="preserve">Carryover savings are those achieved through installation of measures during 2024 that were distributed or rebated in prior program years. For clarity, we break out carryover savings separately throughout this report. </w:t>
      </w:r>
    </w:p>
    <w:p w14:paraId="715CB153" w14:textId="7A08B8BB" w:rsidR="00144C50" w:rsidRPr="00965A05" w:rsidRDefault="00144C50" w:rsidP="00E463A0">
      <w:pPr>
        <w:keepNext/>
        <w:keepLines/>
        <w:spacing w:before="40" w:after="60" w:line="240" w:lineRule="auto"/>
        <w:rPr>
          <w:bCs/>
          <w:sz w:val="18"/>
          <w:szCs w:val="20"/>
        </w:rPr>
        <w:sectPr w:rsidR="00144C50" w:rsidRPr="00965A05" w:rsidSect="00B45EFD">
          <w:headerReference w:type="default" r:id="rId20"/>
          <w:footerReference w:type="default" r:id="rId21"/>
          <w:pgSz w:w="12240" w:h="15840" w:code="1"/>
          <w:pgMar w:top="567" w:right="567" w:bottom="567" w:left="567" w:header="567" w:footer="340" w:gutter="0"/>
          <w:cols w:space="708"/>
          <w:docGrid w:linePitch="360"/>
        </w:sectPr>
      </w:pPr>
      <w:r>
        <w:br w:type="page"/>
      </w:r>
    </w:p>
    <w:p w14:paraId="35FF3A0B" w14:textId="1D1252AC" w:rsidR="002E7602" w:rsidRDefault="002E7602" w:rsidP="00F618AD">
      <w:pPr>
        <w:pStyle w:val="Heading3"/>
        <w:tabs>
          <w:tab w:val="clear" w:pos="2160"/>
          <w:tab w:val="num" w:pos="1080"/>
        </w:tabs>
        <w:ind w:left="0"/>
      </w:pPr>
      <w:bookmarkStart w:id="19" w:name="_Toc191992399"/>
      <w:r>
        <w:lastRenderedPageBreak/>
        <w:t>Cumulative Persisting Annual Savings</w:t>
      </w:r>
      <w:bookmarkEnd w:id="19"/>
    </w:p>
    <w:p w14:paraId="1296982D" w14:textId="6489E24A" w:rsidR="00144C50" w:rsidRDefault="00B4386A" w:rsidP="00144C50">
      <w:r>
        <w:fldChar w:fldCharType="begin"/>
      </w:r>
      <w:r>
        <w:instrText xml:space="preserve"> REF _Ref187077104 \h </w:instrText>
      </w:r>
      <w:r>
        <w:fldChar w:fldCharType="separate"/>
      </w:r>
      <w:r w:rsidR="00AA10F4">
        <w:t xml:space="preserve">Table </w:t>
      </w:r>
      <w:r w:rsidR="00AA10F4">
        <w:rPr>
          <w:noProof/>
        </w:rPr>
        <w:t>4</w:t>
      </w:r>
      <w:r>
        <w:fldChar w:fldCharType="end"/>
      </w:r>
      <w:r>
        <w:t xml:space="preserve"> </w:t>
      </w:r>
      <w:r w:rsidR="00144C50">
        <w:t>summarizes CPAS and WA</w:t>
      </w:r>
      <w:r w:rsidR="003527BD">
        <w:t>M</w:t>
      </w:r>
      <w:r w:rsidR="00144C50">
        <w:t>L for the 2024 Business Program at the initiative level. For additional detail related to CPAS and measure life, please see the individual initiative subsections in</w:t>
      </w:r>
      <w:r>
        <w:t xml:space="preserve"> Section</w:t>
      </w:r>
      <w:r w:rsidR="00144C50">
        <w:t xml:space="preserve"> </w:t>
      </w:r>
      <w:r>
        <w:fldChar w:fldCharType="begin"/>
      </w:r>
      <w:r>
        <w:instrText xml:space="preserve"> REF _Ref187077120 \n \h </w:instrText>
      </w:r>
      <w:r>
        <w:fldChar w:fldCharType="separate"/>
      </w:r>
      <w:r w:rsidR="00AA10F4">
        <w:t>3</w:t>
      </w:r>
      <w:r>
        <w:fldChar w:fldCharType="end"/>
      </w:r>
      <w:r>
        <w:t xml:space="preserve"> </w:t>
      </w:r>
      <w:r w:rsidR="00144C50">
        <w:t xml:space="preserve">and </w:t>
      </w:r>
      <w:r w:rsidR="00A35628">
        <w:fldChar w:fldCharType="begin"/>
      </w:r>
      <w:r w:rsidR="00A35628">
        <w:instrText xml:space="preserve"> REF _Ref188004720 \n \h </w:instrText>
      </w:r>
      <w:r w:rsidR="00A35628">
        <w:fldChar w:fldCharType="separate"/>
      </w:r>
      <w:r w:rsidR="00AA10F4">
        <w:t>Appendix C</w:t>
      </w:r>
      <w:r w:rsidR="00A35628">
        <w:fldChar w:fldCharType="end"/>
      </w:r>
      <w:r w:rsidR="00260EB8">
        <w:t xml:space="preserve"> of this report</w:t>
      </w:r>
      <w:r w:rsidR="00144C50">
        <w:t xml:space="preserve">, which present CPAS achieved in each future year. The overall WAML for the 2024 Business Program is </w:t>
      </w:r>
      <w:r w:rsidR="003527BD">
        <w:t>14.6</w:t>
      </w:r>
      <w:r w:rsidR="00144C50">
        <w:t xml:space="preserve"> years. </w:t>
      </w:r>
    </w:p>
    <w:p w14:paraId="1941E538" w14:textId="5A2EF429" w:rsidR="00B4386A" w:rsidRDefault="00B4386A" w:rsidP="00881B1B">
      <w:pPr>
        <w:pStyle w:val="Caption"/>
      </w:pPr>
      <w:bookmarkStart w:id="20" w:name="_Ref187077104"/>
      <w:bookmarkStart w:id="21" w:name="_Toc191992525"/>
      <w:bookmarkStart w:id="22" w:name="_Toc192766938"/>
      <w:r>
        <w:t xml:space="preserve">Table </w:t>
      </w:r>
      <w:r w:rsidR="009B4C9A">
        <w:fldChar w:fldCharType="begin"/>
      </w:r>
      <w:r w:rsidR="009B4C9A">
        <w:instrText xml:space="preserve"> SEQ Table \* ARABIC </w:instrText>
      </w:r>
      <w:r w:rsidR="009B4C9A">
        <w:fldChar w:fldCharType="separate"/>
      </w:r>
      <w:r w:rsidR="00AA10F4">
        <w:rPr>
          <w:noProof/>
        </w:rPr>
        <w:t>4</w:t>
      </w:r>
      <w:r w:rsidR="009B4C9A">
        <w:rPr>
          <w:noProof/>
        </w:rPr>
        <w:fldChar w:fldCharType="end"/>
      </w:r>
      <w:bookmarkEnd w:id="20"/>
      <w:r>
        <w:t>. 2024 Business Program CPAS and W</w:t>
      </w:r>
      <w:r w:rsidR="003527BD">
        <w:t>A</w:t>
      </w:r>
      <w:r>
        <w:t>ML</w:t>
      </w:r>
      <w:bookmarkEnd w:id="21"/>
      <w:bookmarkEnd w:id="22"/>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tblCellMar>
        <w:tblLook w:val="04A0" w:firstRow="1" w:lastRow="0" w:firstColumn="1" w:lastColumn="0" w:noHBand="0" w:noVBand="1"/>
      </w:tblPr>
      <w:tblGrid>
        <w:gridCol w:w="4045"/>
        <w:gridCol w:w="720"/>
        <w:gridCol w:w="1980"/>
        <w:gridCol w:w="720"/>
        <w:gridCol w:w="900"/>
        <w:gridCol w:w="90"/>
        <w:gridCol w:w="990"/>
        <w:gridCol w:w="990"/>
        <w:gridCol w:w="90"/>
        <w:gridCol w:w="900"/>
        <w:gridCol w:w="360"/>
        <w:gridCol w:w="990"/>
        <w:gridCol w:w="362"/>
        <w:gridCol w:w="1559"/>
      </w:tblGrid>
      <w:tr w:rsidR="003527BD" w14:paraId="32F68884" w14:textId="77777777" w:rsidTr="00612B6A">
        <w:trPr>
          <w:cnfStyle w:val="100000000000" w:firstRow="1" w:lastRow="0" w:firstColumn="0" w:lastColumn="0" w:oddVBand="0" w:evenVBand="0" w:oddHBand="0" w:evenHBand="0" w:firstRowFirstColumn="0" w:firstRowLastColumn="0" w:lastRowFirstColumn="0" w:lastRowLastColumn="0"/>
          <w:trHeight w:val="230"/>
          <w:tblHeader/>
        </w:trPr>
        <w:tc>
          <w:tcPr>
            <w:cnfStyle w:val="001000000000" w:firstRow="0" w:lastRow="0" w:firstColumn="1" w:lastColumn="0" w:oddVBand="0" w:evenVBand="0" w:oddHBand="0" w:evenHBand="0" w:firstRowFirstColumn="0" w:firstRowLastColumn="0" w:lastRowFirstColumn="0" w:lastRowLastColumn="0"/>
            <w:tcW w:w="4045" w:type="dxa"/>
            <w:vMerge w:val="restart"/>
            <w:tcBorders>
              <w:top w:val="none" w:sz="0" w:space="0" w:color="auto"/>
              <w:left w:val="none" w:sz="0" w:space="0" w:color="auto"/>
              <w:bottom w:val="none" w:sz="0" w:space="0" w:color="auto"/>
              <w:right w:val="none" w:sz="0" w:space="0" w:color="auto"/>
            </w:tcBorders>
          </w:tcPr>
          <w:p w14:paraId="751CFCA7" w14:textId="77777777" w:rsidR="003527BD" w:rsidRPr="001D5D92" w:rsidRDefault="003527BD" w:rsidP="007F2D66">
            <w:pPr>
              <w:pStyle w:val="TableHeadingLeft"/>
            </w:pPr>
            <w:r w:rsidRPr="001D5D92">
              <w:t>Initiative/Channel</w:t>
            </w:r>
          </w:p>
        </w:tc>
        <w:tc>
          <w:tcPr>
            <w:tcW w:w="720" w:type="dxa"/>
            <w:vMerge w:val="restart"/>
            <w:tcBorders>
              <w:bottom w:val="none" w:sz="0" w:space="0" w:color="auto"/>
            </w:tcBorders>
          </w:tcPr>
          <w:p w14:paraId="74159830" w14:textId="77777777" w:rsidR="003527BD" w:rsidRPr="001D5D92" w:rsidRDefault="003527BD" w:rsidP="009A0939">
            <w:pPr>
              <w:pStyle w:val="TableHeadingCentered"/>
              <w:cnfStyle w:val="100000000000" w:firstRow="1" w:lastRow="0" w:firstColumn="0" w:lastColumn="0" w:oddVBand="0" w:evenVBand="0" w:oddHBand="0" w:evenHBand="0" w:firstRowFirstColumn="0" w:firstRowLastColumn="0" w:lastRowFirstColumn="0" w:lastRowLastColumn="0"/>
            </w:pPr>
            <w:r w:rsidRPr="001D5D92">
              <w:t>WAML</w:t>
            </w:r>
          </w:p>
        </w:tc>
        <w:tc>
          <w:tcPr>
            <w:tcW w:w="1980" w:type="dxa"/>
            <w:vMerge w:val="restart"/>
            <w:tcBorders>
              <w:bottom w:val="none" w:sz="0" w:space="0" w:color="auto"/>
            </w:tcBorders>
          </w:tcPr>
          <w:p w14:paraId="7B7C5DA6" w14:textId="77777777" w:rsidR="003527BD" w:rsidRPr="001D5D92" w:rsidRDefault="003527BD" w:rsidP="009A0939">
            <w:pPr>
              <w:pStyle w:val="TableHeadingCentered"/>
              <w:cnfStyle w:val="100000000000" w:firstRow="1" w:lastRow="0" w:firstColumn="0" w:lastColumn="0" w:oddVBand="0" w:evenVBand="0" w:oddHBand="0" w:evenHBand="0" w:firstRowFirstColumn="0" w:firstRowLastColumn="0" w:lastRowFirstColumn="0" w:lastRowLastColumn="0"/>
            </w:pPr>
            <w:r w:rsidRPr="001D5D92">
              <w:t>Annual Verified Gross Savings (MWh)</w:t>
            </w:r>
          </w:p>
        </w:tc>
        <w:tc>
          <w:tcPr>
            <w:tcW w:w="720" w:type="dxa"/>
            <w:vMerge w:val="restart"/>
            <w:tcBorders>
              <w:bottom w:val="none" w:sz="0" w:space="0" w:color="auto"/>
            </w:tcBorders>
          </w:tcPr>
          <w:p w14:paraId="6D219F04" w14:textId="77777777" w:rsidR="003527BD" w:rsidRPr="001D5D92" w:rsidRDefault="003527BD" w:rsidP="009A0939">
            <w:pPr>
              <w:pStyle w:val="TableHeadingCentered"/>
              <w:cnfStyle w:val="100000000000" w:firstRow="1" w:lastRow="0" w:firstColumn="0" w:lastColumn="0" w:oddVBand="0" w:evenVBand="0" w:oddHBand="0" w:evenHBand="0" w:firstRowFirstColumn="0" w:firstRowLastColumn="0" w:lastRowFirstColumn="0" w:lastRowLastColumn="0"/>
            </w:pPr>
            <w:r w:rsidRPr="001D5D92">
              <w:t>NTGR</w:t>
            </w:r>
          </w:p>
        </w:tc>
        <w:tc>
          <w:tcPr>
            <w:tcW w:w="5672" w:type="dxa"/>
            <w:gridSpan w:val="9"/>
            <w:tcBorders>
              <w:bottom w:val="none" w:sz="0" w:space="0" w:color="auto"/>
            </w:tcBorders>
          </w:tcPr>
          <w:p w14:paraId="3DDE4414" w14:textId="77777777" w:rsidR="003527BD" w:rsidRPr="001D5D92" w:rsidRDefault="003527BD" w:rsidP="009A0939">
            <w:pPr>
              <w:pStyle w:val="TableHeadingCentered"/>
              <w:cnfStyle w:val="100000000000" w:firstRow="1" w:lastRow="0" w:firstColumn="0" w:lastColumn="0" w:oddVBand="0" w:evenVBand="0" w:oddHBand="0" w:evenHBand="0" w:firstRowFirstColumn="0" w:firstRowLastColumn="0" w:lastRowFirstColumn="0" w:lastRowLastColumn="0"/>
            </w:pPr>
            <w:r w:rsidRPr="001D5D92">
              <w:t>CPAS – Verified Net Savings (MWh)</w:t>
            </w:r>
          </w:p>
        </w:tc>
        <w:tc>
          <w:tcPr>
            <w:tcW w:w="1559" w:type="dxa"/>
            <w:vMerge w:val="restart"/>
            <w:tcBorders>
              <w:bottom w:val="none" w:sz="0" w:space="0" w:color="auto"/>
            </w:tcBorders>
          </w:tcPr>
          <w:p w14:paraId="12E69533" w14:textId="77777777" w:rsidR="003527BD" w:rsidRPr="001D5D92" w:rsidRDefault="003527BD" w:rsidP="009A0939">
            <w:pPr>
              <w:pStyle w:val="TableHeadingCentered"/>
              <w:cnfStyle w:val="100000000000" w:firstRow="1" w:lastRow="0" w:firstColumn="0" w:lastColumn="0" w:oddVBand="0" w:evenVBand="0" w:oddHBand="0" w:evenHBand="0" w:firstRowFirstColumn="0" w:firstRowLastColumn="0" w:lastRowFirstColumn="0" w:lastRowLastColumn="0"/>
            </w:pPr>
            <w:r w:rsidRPr="001D5D92">
              <w:t>Lifetime Savings (MWh)</w:t>
            </w:r>
          </w:p>
        </w:tc>
      </w:tr>
      <w:tr w:rsidR="00612B6A" w14:paraId="395844F1" w14:textId="77777777" w:rsidTr="00612B6A">
        <w:trPr>
          <w:cnfStyle w:val="000000100000" w:firstRow="0" w:lastRow="0" w:firstColumn="0" w:lastColumn="0" w:oddVBand="0" w:evenVBand="0" w:oddHBand="1" w:evenHBand="0" w:firstRowFirstColumn="0" w:firstRowLastColumn="0" w:lastRowFirstColumn="0" w:lastRowLastColumn="0"/>
          <w:cantSplit/>
          <w:trHeight w:val="230"/>
        </w:trPr>
        <w:tc>
          <w:tcPr>
            <w:cnfStyle w:val="001000000000" w:firstRow="0" w:lastRow="0" w:firstColumn="1" w:lastColumn="0" w:oddVBand="0" w:evenVBand="0" w:oddHBand="0" w:evenHBand="0" w:firstRowFirstColumn="0" w:firstRowLastColumn="0" w:lastRowFirstColumn="0" w:lastRowLastColumn="0"/>
            <w:tcW w:w="4045" w:type="dxa"/>
            <w:vMerge/>
          </w:tcPr>
          <w:p w14:paraId="36DFF244" w14:textId="77777777" w:rsidR="003527BD" w:rsidRPr="001D5D92" w:rsidRDefault="003527BD" w:rsidP="007F2D66">
            <w:pPr>
              <w:pStyle w:val="ODTable"/>
              <w:suppressAutoHyphens/>
              <w:ind w:left="72"/>
            </w:pPr>
          </w:p>
        </w:tc>
        <w:tc>
          <w:tcPr>
            <w:tcW w:w="720" w:type="dxa"/>
            <w:vMerge/>
            <w:shd w:val="clear" w:color="auto" w:fill="053572" w:themeFill="text2"/>
          </w:tcPr>
          <w:p w14:paraId="485DEB07"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rPr>
                <w:rFonts w:cs="Calibri"/>
              </w:rPr>
            </w:pPr>
          </w:p>
        </w:tc>
        <w:tc>
          <w:tcPr>
            <w:tcW w:w="1980" w:type="dxa"/>
            <w:vMerge/>
            <w:shd w:val="clear" w:color="auto" w:fill="053572" w:themeFill="text2"/>
          </w:tcPr>
          <w:p w14:paraId="560E3A97"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p>
        </w:tc>
        <w:tc>
          <w:tcPr>
            <w:tcW w:w="720" w:type="dxa"/>
            <w:vMerge/>
            <w:shd w:val="clear" w:color="auto" w:fill="053572" w:themeFill="text2"/>
          </w:tcPr>
          <w:p w14:paraId="7AEAA4E5"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p>
        </w:tc>
        <w:tc>
          <w:tcPr>
            <w:tcW w:w="990" w:type="dxa"/>
            <w:gridSpan w:val="2"/>
            <w:shd w:val="clear" w:color="auto" w:fill="053572" w:themeFill="text2"/>
          </w:tcPr>
          <w:p w14:paraId="16C4D091"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r w:rsidRPr="001D5D92">
              <w:t>2024</w:t>
            </w:r>
          </w:p>
        </w:tc>
        <w:tc>
          <w:tcPr>
            <w:tcW w:w="990" w:type="dxa"/>
            <w:shd w:val="clear" w:color="auto" w:fill="053572" w:themeFill="text2"/>
          </w:tcPr>
          <w:p w14:paraId="17820965"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r w:rsidRPr="001D5D92">
              <w:t>2025</w:t>
            </w:r>
          </w:p>
        </w:tc>
        <w:tc>
          <w:tcPr>
            <w:tcW w:w="990" w:type="dxa"/>
            <w:shd w:val="clear" w:color="auto" w:fill="053572" w:themeFill="text2"/>
          </w:tcPr>
          <w:p w14:paraId="72AF1C70"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r w:rsidRPr="001D5D92">
              <w:t>2026</w:t>
            </w:r>
          </w:p>
        </w:tc>
        <w:tc>
          <w:tcPr>
            <w:tcW w:w="990" w:type="dxa"/>
            <w:gridSpan w:val="2"/>
            <w:shd w:val="clear" w:color="auto" w:fill="053572" w:themeFill="text2"/>
          </w:tcPr>
          <w:p w14:paraId="42E2F018"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r w:rsidRPr="001D5D92">
              <w:t>2027</w:t>
            </w:r>
          </w:p>
        </w:tc>
        <w:tc>
          <w:tcPr>
            <w:tcW w:w="360" w:type="dxa"/>
            <w:shd w:val="clear" w:color="auto" w:fill="053572" w:themeFill="text2"/>
          </w:tcPr>
          <w:p w14:paraId="1721A8DB" w14:textId="77777777" w:rsidR="003527BD" w:rsidRPr="001D5D92" w:rsidRDefault="003527BD" w:rsidP="001D5D92">
            <w:pPr>
              <w:pStyle w:val="TableHeadingCentered"/>
              <w:cnfStyle w:val="000000100000" w:firstRow="0" w:lastRow="0" w:firstColumn="0" w:lastColumn="0" w:oddVBand="0" w:evenVBand="0" w:oddHBand="1" w:evenHBand="0" w:firstRowFirstColumn="0" w:firstRowLastColumn="0" w:lastRowFirstColumn="0" w:lastRowLastColumn="0"/>
            </w:pPr>
            <w:r w:rsidRPr="001D5D92">
              <w:t>…</w:t>
            </w:r>
          </w:p>
        </w:tc>
        <w:tc>
          <w:tcPr>
            <w:tcW w:w="990" w:type="dxa"/>
            <w:shd w:val="clear" w:color="auto" w:fill="053572" w:themeFill="text2"/>
          </w:tcPr>
          <w:p w14:paraId="01578EC3"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r w:rsidRPr="001D5D92">
              <w:t>2030</w:t>
            </w:r>
          </w:p>
        </w:tc>
        <w:tc>
          <w:tcPr>
            <w:tcW w:w="362" w:type="dxa"/>
            <w:shd w:val="clear" w:color="auto" w:fill="053572" w:themeFill="text2"/>
          </w:tcPr>
          <w:p w14:paraId="170C80F8" w14:textId="77777777" w:rsidR="003527BD" w:rsidRPr="001D5D92" w:rsidRDefault="003527BD" w:rsidP="001D5D92">
            <w:pPr>
              <w:pStyle w:val="TableHeadingCentered"/>
              <w:cnfStyle w:val="000000100000" w:firstRow="0" w:lastRow="0" w:firstColumn="0" w:lastColumn="0" w:oddVBand="0" w:evenVBand="0" w:oddHBand="1" w:evenHBand="0" w:firstRowFirstColumn="0" w:firstRowLastColumn="0" w:lastRowFirstColumn="0" w:lastRowLastColumn="0"/>
            </w:pPr>
            <w:r w:rsidRPr="001D5D92">
              <w:t>…</w:t>
            </w:r>
          </w:p>
        </w:tc>
        <w:tc>
          <w:tcPr>
            <w:tcW w:w="1559" w:type="dxa"/>
            <w:vMerge/>
            <w:shd w:val="clear" w:color="auto" w:fill="053572" w:themeFill="text2"/>
          </w:tcPr>
          <w:p w14:paraId="55BC716D" w14:textId="77777777" w:rsidR="003527BD" w:rsidRPr="001D5D92" w:rsidRDefault="003527BD" w:rsidP="009A0939">
            <w:pPr>
              <w:pStyle w:val="TableHeadingCentered"/>
              <w:cnfStyle w:val="000000100000" w:firstRow="0" w:lastRow="0" w:firstColumn="0" w:lastColumn="0" w:oddVBand="0" w:evenVBand="0" w:oddHBand="1" w:evenHBand="0" w:firstRowFirstColumn="0" w:firstRowLastColumn="0" w:lastRowFirstColumn="0" w:lastRowLastColumn="0"/>
            </w:pPr>
          </w:p>
        </w:tc>
      </w:tr>
      <w:tr w:rsidR="003527BD" w14:paraId="22546052"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A59A7B9" w14:textId="545A4E4F" w:rsidR="003527BD" w:rsidRPr="001D5D92" w:rsidRDefault="003527BD" w:rsidP="007F2D66">
            <w:pPr>
              <w:pStyle w:val="TableLeftText"/>
            </w:pPr>
            <w:r w:rsidRPr="001D5D92">
              <w:rPr>
                <w:color w:val="4A4D56"/>
              </w:rPr>
              <w:t xml:space="preserve">Standard - Core </w:t>
            </w:r>
          </w:p>
        </w:tc>
        <w:tc>
          <w:tcPr>
            <w:tcW w:w="720" w:type="dxa"/>
            <w:tcBorders>
              <w:top w:val="none" w:sz="0" w:space="0" w:color="auto"/>
              <w:left w:val="none" w:sz="0" w:space="0" w:color="auto"/>
              <w:bottom w:val="none" w:sz="0" w:space="0" w:color="auto"/>
              <w:right w:val="none" w:sz="0" w:space="0" w:color="auto"/>
            </w:tcBorders>
          </w:tcPr>
          <w:p w14:paraId="2C841357" w14:textId="385A2F6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12.9</w:t>
            </w:r>
          </w:p>
        </w:tc>
        <w:tc>
          <w:tcPr>
            <w:tcW w:w="1980" w:type="dxa"/>
            <w:tcBorders>
              <w:top w:val="none" w:sz="0" w:space="0" w:color="auto"/>
              <w:left w:val="none" w:sz="0" w:space="0" w:color="auto"/>
              <w:bottom w:val="none" w:sz="0" w:space="0" w:color="auto"/>
              <w:right w:val="none" w:sz="0" w:space="0" w:color="auto"/>
            </w:tcBorders>
          </w:tcPr>
          <w:p w14:paraId="61E6ADBF" w14:textId="1B7BCBF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62,825</w:t>
            </w:r>
          </w:p>
        </w:tc>
        <w:tc>
          <w:tcPr>
            <w:tcW w:w="720" w:type="dxa"/>
            <w:tcBorders>
              <w:top w:val="none" w:sz="0" w:space="0" w:color="auto"/>
              <w:left w:val="none" w:sz="0" w:space="0" w:color="auto"/>
              <w:bottom w:val="none" w:sz="0" w:space="0" w:color="auto"/>
              <w:right w:val="none" w:sz="0" w:space="0" w:color="auto"/>
            </w:tcBorders>
          </w:tcPr>
          <w:p w14:paraId="69A45A9E" w14:textId="34BCA5A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0.906</w:t>
            </w:r>
          </w:p>
        </w:tc>
        <w:tc>
          <w:tcPr>
            <w:tcW w:w="990" w:type="dxa"/>
            <w:gridSpan w:val="2"/>
            <w:tcBorders>
              <w:top w:val="none" w:sz="0" w:space="0" w:color="auto"/>
              <w:left w:val="none" w:sz="0" w:space="0" w:color="auto"/>
              <w:bottom w:val="none" w:sz="0" w:space="0" w:color="auto"/>
              <w:right w:val="none" w:sz="0" w:space="0" w:color="auto"/>
            </w:tcBorders>
          </w:tcPr>
          <w:p w14:paraId="61353E42" w14:textId="57C2199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56,903</w:t>
            </w:r>
          </w:p>
        </w:tc>
        <w:tc>
          <w:tcPr>
            <w:tcW w:w="990" w:type="dxa"/>
            <w:tcBorders>
              <w:top w:val="none" w:sz="0" w:space="0" w:color="auto"/>
              <w:left w:val="none" w:sz="0" w:space="0" w:color="auto"/>
              <w:bottom w:val="none" w:sz="0" w:space="0" w:color="auto"/>
              <w:right w:val="none" w:sz="0" w:space="0" w:color="auto"/>
            </w:tcBorders>
          </w:tcPr>
          <w:p w14:paraId="52A2422B" w14:textId="24440D18"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56,903</w:t>
            </w:r>
          </w:p>
        </w:tc>
        <w:tc>
          <w:tcPr>
            <w:tcW w:w="990" w:type="dxa"/>
            <w:tcBorders>
              <w:top w:val="none" w:sz="0" w:space="0" w:color="auto"/>
              <w:left w:val="none" w:sz="0" w:space="0" w:color="auto"/>
              <w:bottom w:val="none" w:sz="0" w:space="0" w:color="auto"/>
              <w:right w:val="none" w:sz="0" w:space="0" w:color="auto"/>
            </w:tcBorders>
          </w:tcPr>
          <w:p w14:paraId="35D13D72" w14:textId="488AFB97"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56,885</w:t>
            </w:r>
          </w:p>
        </w:tc>
        <w:tc>
          <w:tcPr>
            <w:tcW w:w="990" w:type="dxa"/>
            <w:gridSpan w:val="2"/>
            <w:tcBorders>
              <w:top w:val="none" w:sz="0" w:space="0" w:color="auto"/>
              <w:left w:val="none" w:sz="0" w:space="0" w:color="auto"/>
              <w:bottom w:val="none" w:sz="0" w:space="0" w:color="auto"/>
              <w:right w:val="none" w:sz="0" w:space="0" w:color="auto"/>
            </w:tcBorders>
          </w:tcPr>
          <w:p w14:paraId="372EFF61" w14:textId="10DF9FF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56,715</w:t>
            </w:r>
          </w:p>
        </w:tc>
        <w:tc>
          <w:tcPr>
            <w:tcW w:w="360" w:type="dxa"/>
            <w:tcBorders>
              <w:top w:val="none" w:sz="0" w:space="0" w:color="auto"/>
              <w:left w:val="none" w:sz="0" w:space="0" w:color="auto"/>
              <w:bottom w:val="none" w:sz="0" w:space="0" w:color="auto"/>
              <w:right w:val="none" w:sz="0" w:space="0" w:color="auto"/>
            </w:tcBorders>
          </w:tcPr>
          <w:p w14:paraId="2107F239" w14:textId="68A3C159"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48E44135" w14:textId="6536521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55,813</w:t>
            </w:r>
          </w:p>
        </w:tc>
        <w:tc>
          <w:tcPr>
            <w:tcW w:w="362" w:type="dxa"/>
            <w:tcBorders>
              <w:top w:val="none" w:sz="0" w:space="0" w:color="auto"/>
              <w:left w:val="none" w:sz="0" w:space="0" w:color="auto"/>
              <w:bottom w:val="none" w:sz="0" w:space="0" w:color="auto"/>
              <w:right w:val="none" w:sz="0" w:space="0" w:color="auto"/>
            </w:tcBorders>
          </w:tcPr>
          <w:p w14:paraId="77A6798C" w14:textId="2E1BF728"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891F442" w14:textId="5D708AE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728,923</w:t>
            </w:r>
          </w:p>
        </w:tc>
      </w:tr>
      <w:tr w:rsidR="003527BD" w14:paraId="508ED2CE"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9FFE330" w14:textId="7C03C964" w:rsidR="003527BD" w:rsidRPr="001D5D92" w:rsidRDefault="003527BD" w:rsidP="007F2D66">
            <w:pPr>
              <w:pStyle w:val="TableLeftText"/>
            </w:pPr>
            <w:r w:rsidRPr="001D5D92">
              <w:rPr>
                <w:color w:val="4A4D56"/>
              </w:rPr>
              <w:t>Standard - Online Store</w:t>
            </w:r>
          </w:p>
        </w:tc>
        <w:tc>
          <w:tcPr>
            <w:tcW w:w="720" w:type="dxa"/>
            <w:tcBorders>
              <w:top w:val="none" w:sz="0" w:space="0" w:color="auto"/>
              <w:left w:val="none" w:sz="0" w:space="0" w:color="auto"/>
              <w:bottom w:val="none" w:sz="0" w:space="0" w:color="auto"/>
              <w:right w:val="none" w:sz="0" w:space="0" w:color="auto"/>
            </w:tcBorders>
          </w:tcPr>
          <w:p w14:paraId="08BB6129" w14:textId="3C063C4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10.5</w:t>
            </w:r>
          </w:p>
        </w:tc>
        <w:tc>
          <w:tcPr>
            <w:tcW w:w="1980" w:type="dxa"/>
            <w:tcBorders>
              <w:top w:val="none" w:sz="0" w:space="0" w:color="auto"/>
              <w:left w:val="none" w:sz="0" w:space="0" w:color="auto"/>
              <w:bottom w:val="none" w:sz="0" w:space="0" w:color="auto"/>
              <w:right w:val="none" w:sz="0" w:space="0" w:color="auto"/>
            </w:tcBorders>
          </w:tcPr>
          <w:p w14:paraId="178B28A1" w14:textId="4DE5342E"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2,439</w:t>
            </w:r>
          </w:p>
        </w:tc>
        <w:tc>
          <w:tcPr>
            <w:tcW w:w="720" w:type="dxa"/>
            <w:tcBorders>
              <w:top w:val="none" w:sz="0" w:space="0" w:color="auto"/>
              <w:left w:val="none" w:sz="0" w:space="0" w:color="auto"/>
              <w:bottom w:val="none" w:sz="0" w:space="0" w:color="auto"/>
              <w:right w:val="none" w:sz="0" w:space="0" w:color="auto"/>
            </w:tcBorders>
          </w:tcPr>
          <w:p w14:paraId="50A26DF2" w14:textId="0CF2A05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0.963</w:t>
            </w:r>
          </w:p>
        </w:tc>
        <w:tc>
          <w:tcPr>
            <w:tcW w:w="990" w:type="dxa"/>
            <w:gridSpan w:val="2"/>
            <w:tcBorders>
              <w:top w:val="none" w:sz="0" w:space="0" w:color="auto"/>
              <w:left w:val="none" w:sz="0" w:space="0" w:color="auto"/>
              <w:bottom w:val="none" w:sz="0" w:space="0" w:color="auto"/>
              <w:right w:val="none" w:sz="0" w:space="0" w:color="auto"/>
            </w:tcBorders>
          </w:tcPr>
          <w:p w14:paraId="0260C55E" w14:textId="049DD3E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2,349</w:t>
            </w:r>
          </w:p>
        </w:tc>
        <w:tc>
          <w:tcPr>
            <w:tcW w:w="990" w:type="dxa"/>
            <w:tcBorders>
              <w:top w:val="none" w:sz="0" w:space="0" w:color="auto"/>
              <w:left w:val="none" w:sz="0" w:space="0" w:color="auto"/>
              <w:bottom w:val="none" w:sz="0" w:space="0" w:color="auto"/>
              <w:right w:val="none" w:sz="0" w:space="0" w:color="auto"/>
            </w:tcBorders>
          </w:tcPr>
          <w:p w14:paraId="55806291" w14:textId="0B16A7AC"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2,349</w:t>
            </w:r>
          </w:p>
        </w:tc>
        <w:tc>
          <w:tcPr>
            <w:tcW w:w="990" w:type="dxa"/>
            <w:tcBorders>
              <w:top w:val="none" w:sz="0" w:space="0" w:color="auto"/>
              <w:left w:val="none" w:sz="0" w:space="0" w:color="auto"/>
              <w:bottom w:val="none" w:sz="0" w:space="0" w:color="auto"/>
              <w:right w:val="none" w:sz="0" w:space="0" w:color="auto"/>
            </w:tcBorders>
          </w:tcPr>
          <w:p w14:paraId="39523017" w14:textId="3438CE6C"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2,349</w:t>
            </w:r>
          </w:p>
        </w:tc>
        <w:tc>
          <w:tcPr>
            <w:tcW w:w="990" w:type="dxa"/>
            <w:gridSpan w:val="2"/>
            <w:tcBorders>
              <w:top w:val="none" w:sz="0" w:space="0" w:color="auto"/>
              <w:left w:val="none" w:sz="0" w:space="0" w:color="auto"/>
              <w:bottom w:val="none" w:sz="0" w:space="0" w:color="auto"/>
              <w:right w:val="none" w:sz="0" w:space="0" w:color="auto"/>
            </w:tcBorders>
          </w:tcPr>
          <w:p w14:paraId="210BC3EA" w14:textId="6371524D"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2,349</w:t>
            </w:r>
          </w:p>
        </w:tc>
        <w:tc>
          <w:tcPr>
            <w:tcW w:w="360" w:type="dxa"/>
            <w:tcBorders>
              <w:top w:val="none" w:sz="0" w:space="0" w:color="auto"/>
              <w:left w:val="none" w:sz="0" w:space="0" w:color="auto"/>
              <w:bottom w:val="none" w:sz="0" w:space="0" w:color="auto"/>
              <w:right w:val="none" w:sz="0" w:space="0" w:color="auto"/>
            </w:tcBorders>
          </w:tcPr>
          <w:p w14:paraId="5B67AE84" w14:textId="00178C65"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339ED4DF" w14:textId="7BBC309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2,349</w:t>
            </w:r>
          </w:p>
        </w:tc>
        <w:tc>
          <w:tcPr>
            <w:tcW w:w="362" w:type="dxa"/>
            <w:tcBorders>
              <w:top w:val="none" w:sz="0" w:space="0" w:color="auto"/>
              <w:left w:val="none" w:sz="0" w:space="0" w:color="auto"/>
              <w:bottom w:val="none" w:sz="0" w:space="0" w:color="auto"/>
              <w:right w:val="none" w:sz="0" w:space="0" w:color="auto"/>
            </w:tcBorders>
          </w:tcPr>
          <w:p w14:paraId="6F593D76" w14:textId="30B1EFB3"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D97B886" w14:textId="4372D9E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24,390</w:t>
            </w:r>
          </w:p>
        </w:tc>
      </w:tr>
      <w:tr w:rsidR="003527BD" w14:paraId="2BF17258"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23A18C8" w14:textId="394937D7" w:rsidR="003527BD" w:rsidRPr="001D5D92" w:rsidRDefault="003527BD" w:rsidP="007F2D66">
            <w:pPr>
              <w:pStyle w:val="TableLeftText"/>
            </w:pPr>
            <w:r w:rsidRPr="001D5D92">
              <w:rPr>
                <w:color w:val="4A4D56"/>
              </w:rPr>
              <w:t>Standard - BOC</w:t>
            </w:r>
          </w:p>
        </w:tc>
        <w:tc>
          <w:tcPr>
            <w:tcW w:w="720" w:type="dxa"/>
            <w:tcBorders>
              <w:top w:val="none" w:sz="0" w:space="0" w:color="auto"/>
              <w:left w:val="none" w:sz="0" w:space="0" w:color="auto"/>
              <w:bottom w:val="none" w:sz="0" w:space="0" w:color="auto"/>
              <w:right w:val="none" w:sz="0" w:space="0" w:color="auto"/>
            </w:tcBorders>
          </w:tcPr>
          <w:p w14:paraId="59D5725E" w14:textId="3AD4811B"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13.0</w:t>
            </w:r>
          </w:p>
        </w:tc>
        <w:tc>
          <w:tcPr>
            <w:tcW w:w="1980" w:type="dxa"/>
            <w:tcBorders>
              <w:top w:val="none" w:sz="0" w:space="0" w:color="auto"/>
              <w:left w:val="none" w:sz="0" w:space="0" w:color="auto"/>
              <w:bottom w:val="none" w:sz="0" w:space="0" w:color="auto"/>
              <w:right w:val="none" w:sz="0" w:space="0" w:color="auto"/>
            </w:tcBorders>
          </w:tcPr>
          <w:p w14:paraId="6C916573" w14:textId="44AAF3FF"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1,003</w:t>
            </w:r>
          </w:p>
        </w:tc>
        <w:tc>
          <w:tcPr>
            <w:tcW w:w="720" w:type="dxa"/>
            <w:tcBorders>
              <w:top w:val="none" w:sz="0" w:space="0" w:color="auto"/>
              <w:left w:val="none" w:sz="0" w:space="0" w:color="auto"/>
              <w:bottom w:val="none" w:sz="0" w:space="0" w:color="auto"/>
              <w:right w:val="none" w:sz="0" w:space="0" w:color="auto"/>
            </w:tcBorders>
          </w:tcPr>
          <w:p w14:paraId="20EDDCCC" w14:textId="7BA64C4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1.000</w:t>
            </w:r>
          </w:p>
        </w:tc>
        <w:tc>
          <w:tcPr>
            <w:tcW w:w="990" w:type="dxa"/>
            <w:gridSpan w:val="2"/>
            <w:tcBorders>
              <w:top w:val="none" w:sz="0" w:space="0" w:color="auto"/>
              <w:left w:val="none" w:sz="0" w:space="0" w:color="auto"/>
              <w:bottom w:val="none" w:sz="0" w:space="0" w:color="auto"/>
              <w:right w:val="none" w:sz="0" w:space="0" w:color="auto"/>
            </w:tcBorders>
          </w:tcPr>
          <w:p w14:paraId="603C46DD" w14:textId="754C9C4C"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1,003</w:t>
            </w:r>
          </w:p>
        </w:tc>
        <w:tc>
          <w:tcPr>
            <w:tcW w:w="990" w:type="dxa"/>
            <w:tcBorders>
              <w:top w:val="none" w:sz="0" w:space="0" w:color="auto"/>
              <w:left w:val="none" w:sz="0" w:space="0" w:color="auto"/>
              <w:bottom w:val="none" w:sz="0" w:space="0" w:color="auto"/>
              <w:right w:val="none" w:sz="0" w:space="0" w:color="auto"/>
            </w:tcBorders>
          </w:tcPr>
          <w:p w14:paraId="03777471" w14:textId="1EC1883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1,003</w:t>
            </w:r>
          </w:p>
        </w:tc>
        <w:tc>
          <w:tcPr>
            <w:tcW w:w="990" w:type="dxa"/>
            <w:tcBorders>
              <w:top w:val="none" w:sz="0" w:space="0" w:color="auto"/>
              <w:left w:val="none" w:sz="0" w:space="0" w:color="auto"/>
              <w:bottom w:val="none" w:sz="0" w:space="0" w:color="auto"/>
              <w:right w:val="none" w:sz="0" w:space="0" w:color="auto"/>
            </w:tcBorders>
          </w:tcPr>
          <w:p w14:paraId="18BAB299" w14:textId="32B59B38"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1,003</w:t>
            </w:r>
          </w:p>
        </w:tc>
        <w:tc>
          <w:tcPr>
            <w:tcW w:w="990" w:type="dxa"/>
            <w:gridSpan w:val="2"/>
            <w:tcBorders>
              <w:top w:val="none" w:sz="0" w:space="0" w:color="auto"/>
              <w:left w:val="none" w:sz="0" w:space="0" w:color="auto"/>
              <w:bottom w:val="none" w:sz="0" w:space="0" w:color="auto"/>
              <w:right w:val="none" w:sz="0" w:space="0" w:color="auto"/>
            </w:tcBorders>
          </w:tcPr>
          <w:p w14:paraId="4D625D1D" w14:textId="214489E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1,003</w:t>
            </w:r>
          </w:p>
        </w:tc>
        <w:tc>
          <w:tcPr>
            <w:tcW w:w="360" w:type="dxa"/>
            <w:tcBorders>
              <w:top w:val="none" w:sz="0" w:space="0" w:color="auto"/>
              <w:left w:val="none" w:sz="0" w:space="0" w:color="auto"/>
              <w:bottom w:val="none" w:sz="0" w:space="0" w:color="auto"/>
              <w:right w:val="none" w:sz="0" w:space="0" w:color="auto"/>
            </w:tcBorders>
          </w:tcPr>
          <w:p w14:paraId="519B10F4" w14:textId="04CD85F6"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44E63E4D" w14:textId="10EF463C"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582</w:t>
            </w:r>
          </w:p>
        </w:tc>
        <w:tc>
          <w:tcPr>
            <w:tcW w:w="362" w:type="dxa"/>
            <w:tcBorders>
              <w:top w:val="none" w:sz="0" w:space="0" w:color="auto"/>
              <w:left w:val="none" w:sz="0" w:space="0" w:color="auto"/>
              <w:bottom w:val="none" w:sz="0" w:space="0" w:color="auto"/>
              <w:right w:val="none" w:sz="0" w:space="0" w:color="auto"/>
            </w:tcBorders>
          </w:tcPr>
          <w:p w14:paraId="4FF0EBC2" w14:textId="55CD9D7B"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68915EDF" w14:textId="6B10F61F"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9,248</w:t>
            </w:r>
          </w:p>
        </w:tc>
      </w:tr>
      <w:tr w:rsidR="003527BD" w14:paraId="3E60C28E"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8BC71EF" w14:textId="2D4B511E" w:rsidR="003527BD" w:rsidRPr="001D5D92" w:rsidRDefault="003527BD" w:rsidP="007F2D66">
            <w:pPr>
              <w:pStyle w:val="TableLeftText"/>
            </w:pPr>
            <w:r w:rsidRPr="001D5D92">
              <w:rPr>
                <w:color w:val="4A4D56"/>
              </w:rPr>
              <w:t>Custom - Custom Incentives</w:t>
            </w:r>
          </w:p>
        </w:tc>
        <w:tc>
          <w:tcPr>
            <w:tcW w:w="720" w:type="dxa"/>
            <w:tcBorders>
              <w:top w:val="none" w:sz="0" w:space="0" w:color="auto"/>
              <w:left w:val="none" w:sz="0" w:space="0" w:color="auto"/>
              <w:bottom w:val="none" w:sz="0" w:space="0" w:color="auto"/>
              <w:right w:val="none" w:sz="0" w:space="0" w:color="auto"/>
            </w:tcBorders>
          </w:tcPr>
          <w:p w14:paraId="206BC11B" w14:textId="1DDA50C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18.6</w:t>
            </w:r>
          </w:p>
        </w:tc>
        <w:tc>
          <w:tcPr>
            <w:tcW w:w="1980" w:type="dxa"/>
            <w:tcBorders>
              <w:top w:val="none" w:sz="0" w:space="0" w:color="auto"/>
              <w:left w:val="none" w:sz="0" w:space="0" w:color="auto"/>
              <w:bottom w:val="none" w:sz="0" w:space="0" w:color="auto"/>
              <w:right w:val="none" w:sz="0" w:space="0" w:color="auto"/>
            </w:tcBorders>
          </w:tcPr>
          <w:p w14:paraId="60DBF622" w14:textId="4BD767B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35,</w:t>
            </w:r>
            <w:r w:rsidR="00AD2CD7" w:rsidRPr="001D5D92">
              <w:rPr>
                <w:color w:val="4A4D56"/>
              </w:rPr>
              <w:t>646</w:t>
            </w:r>
          </w:p>
        </w:tc>
        <w:tc>
          <w:tcPr>
            <w:tcW w:w="720" w:type="dxa"/>
            <w:tcBorders>
              <w:top w:val="none" w:sz="0" w:space="0" w:color="auto"/>
              <w:left w:val="none" w:sz="0" w:space="0" w:color="auto"/>
              <w:bottom w:val="none" w:sz="0" w:space="0" w:color="auto"/>
              <w:right w:val="none" w:sz="0" w:space="0" w:color="auto"/>
            </w:tcBorders>
          </w:tcPr>
          <w:p w14:paraId="717E6192" w14:textId="1031F6B5"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0.814</w:t>
            </w:r>
          </w:p>
        </w:tc>
        <w:tc>
          <w:tcPr>
            <w:tcW w:w="990" w:type="dxa"/>
            <w:gridSpan w:val="2"/>
            <w:tcBorders>
              <w:top w:val="none" w:sz="0" w:space="0" w:color="auto"/>
              <w:left w:val="none" w:sz="0" w:space="0" w:color="auto"/>
              <w:bottom w:val="none" w:sz="0" w:space="0" w:color="auto"/>
              <w:right w:val="none" w:sz="0" w:space="0" w:color="auto"/>
            </w:tcBorders>
          </w:tcPr>
          <w:p w14:paraId="18721B79" w14:textId="6967C4ED"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29,</w:t>
            </w:r>
            <w:r w:rsidR="00AD2CD7" w:rsidRPr="001D5D92">
              <w:rPr>
                <w:color w:val="4A4D56"/>
              </w:rPr>
              <w:t>021</w:t>
            </w:r>
          </w:p>
        </w:tc>
        <w:tc>
          <w:tcPr>
            <w:tcW w:w="990" w:type="dxa"/>
            <w:tcBorders>
              <w:top w:val="none" w:sz="0" w:space="0" w:color="auto"/>
              <w:left w:val="none" w:sz="0" w:space="0" w:color="auto"/>
              <w:bottom w:val="none" w:sz="0" w:space="0" w:color="auto"/>
              <w:right w:val="none" w:sz="0" w:space="0" w:color="auto"/>
            </w:tcBorders>
          </w:tcPr>
          <w:p w14:paraId="6C94A721" w14:textId="192916B8"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29,</w:t>
            </w:r>
            <w:r w:rsidR="00AD2CD7" w:rsidRPr="001D5D92">
              <w:rPr>
                <w:color w:val="4A4D56"/>
              </w:rPr>
              <w:t>021</w:t>
            </w:r>
          </w:p>
        </w:tc>
        <w:tc>
          <w:tcPr>
            <w:tcW w:w="990" w:type="dxa"/>
            <w:tcBorders>
              <w:top w:val="none" w:sz="0" w:space="0" w:color="auto"/>
              <w:left w:val="none" w:sz="0" w:space="0" w:color="auto"/>
              <w:bottom w:val="none" w:sz="0" w:space="0" w:color="auto"/>
              <w:right w:val="none" w:sz="0" w:space="0" w:color="auto"/>
            </w:tcBorders>
          </w:tcPr>
          <w:p w14:paraId="1DDC8358" w14:textId="61267C30"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29,</w:t>
            </w:r>
            <w:r w:rsidR="00AD2CD7" w:rsidRPr="001D5D92">
              <w:rPr>
                <w:color w:val="4A4D56"/>
              </w:rPr>
              <w:t>021</w:t>
            </w:r>
          </w:p>
        </w:tc>
        <w:tc>
          <w:tcPr>
            <w:tcW w:w="990" w:type="dxa"/>
            <w:gridSpan w:val="2"/>
            <w:tcBorders>
              <w:top w:val="none" w:sz="0" w:space="0" w:color="auto"/>
              <w:left w:val="none" w:sz="0" w:space="0" w:color="auto"/>
              <w:bottom w:val="none" w:sz="0" w:space="0" w:color="auto"/>
              <w:right w:val="none" w:sz="0" w:space="0" w:color="auto"/>
            </w:tcBorders>
          </w:tcPr>
          <w:p w14:paraId="2FA77F3E" w14:textId="33D7C83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29,</w:t>
            </w:r>
            <w:r w:rsidR="00AD2CD7" w:rsidRPr="001D5D92">
              <w:rPr>
                <w:color w:val="4A4D56"/>
              </w:rPr>
              <w:t>021</w:t>
            </w:r>
          </w:p>
        </w:tc>
        <w:tc>
          <w:tcPr>
            <w:tcW w:w="360" w:type="dxa"/>
            <w:tcBorders>
              <w:top w:val="none" w:sz="0" w:space="0" w:color="auto"/>
              <w:left w:val="none" w:sz="0" w:space="0" w:color="auto"/>
              <w:bottom w:val="none" w:sz="0" w:space="0" w:color="auto"/>
              <w:right w:val="none" w:sz="0" w:space="0" w:color="auto"/>
            </w:tcBorders>
          </w:tcPr>
          <w:p w14:paraId="47C930CF" w14:textId="258B7857"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0C625363" w14:textId="58E552E2"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28,</w:t>
            </w:r>
            <w:r w:rsidR="00AD2CD7" w:rsidRPr="001D5D92">
              <w:rPr>
                <w:color w:val="4A4D56"/>
              </w:rPr>
              <w:t>460</w:t>
            </w:r>
          </w:p>
        </w:tc>
        <w:tc>
          <w:tcPr>
            <w:tcW w:w="362" w:type="dxa"/>
            <w:tcBorders>
              <w:top w:val="none" w:sz="0" w:space="0" w:color="auto"/>
              <w:left w:val="none" w:sz="0" w:space="0" w:color="auto"/>
              <w:bottom w:val="none" w:sz="0" w:space="0" w:color="auto"/>
              <w:right w:val="none" w:sz="0" w:space="0" w:color="auto"/>
            </w:tcBorders>
          </w:tcPr>
          <w:p w14:paraId="3325BCCE" w14:textId="0D253434"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9C8FB62" w14:textId="4DEB0E8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537,</w:t>
            </w:r>
            <w:r w:rsidR="00AD2CD7" w:rsidRPr="001D5D92">
              <w:rPr>
                <w:color w:val="4A4D56"/>
              </w:rPr>
              <w:t>478</w:t>
            </w:r>
          </w:p>
        </w:tc>
      </w:tr>
      <w:tr w:rsidR="003527BD" w14:paraId="5B0CB733"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114A744" w14:textId="6E4D9430" w:rsidR="003527BD" w:rsidRPr="001D5D92" w:rsidRDefault="003527BD" w:rsidP="007F2D66">
            <w:pPr>
              <w:pStyle w:val="TableLeftText"/>
            </w:pPr>
            <w:r w:rsidRPr="001D5D92">
              <w:rPr>
                <w:color w:val="4A4D56"/>
              </w:rPr>
              <w:t>Custom - New Construction Lighting</w:t>
            </w:r>
          </w:p>
        </w:tc>
        <w:tc>
          <w:tcPr>
            <w:tcW w:w="720" w:type="dxa"/>
            <w:tcBorders>
              <w:top w:val="none" w:sz="0" w:space="0" w:color="auto"/>
              <w:left w:val="none" w:sz="0" w:space="0" w:color="auto"/>
              <w:bottom w:val="none" w:sz="0" w:space="0" w:color="auto"/>
              <w:right w:val="none" w:sz="0" w:space="0" w:color="auto"/>
            </w:tcBorders>
          </w:tcPr>
          <w:p w14:paraId="3061A1D6" w14:textId="3E83DF9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12.8</w:t>
            </w:r>
          </w:p>
        </w:tc>
        <w:tc>
          <w:tcPr>
            <w:tcW w:w="1980" w:type="dxa"/>
            <w:tcBorders>
              <w:top w:val="none" w:sz="0" w:space="0" w:color="auto"/>
              <w:left w:val="none" w:sz="0" w:space="0" w:color="auto"/>
              <w:bottom w:val="none" w:sz="0" w:space="0" w:color="auto"/>
              <w:right w:val="none" w:sz="0" w:space="0" w:color="auto"/>
            </w:tcBorders>
          </w:tcPr>
          <w:p w14:paraId="2C8A692F" w14:textId="1C2EDC3E"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1,388</w:t>
            </w:r>
          </w:p>
        </w:tc>
        <w:tc>
          <w:tcPr>
            <w:tcW w:w="720" w:type="dxa"/>
            <w:tcBorders>
              <w:top w:val="none" w:sz="0" w:space="0" w:color="auto"/>
              <w:left w:val="none" w:sz="0" w:space="0" w:color="auto"/>
              <w:bottom w:val="none" w:sz="0" w:space="0" w:color="auto"/>
              <w:right w:val="none" w:sz="0" w:space="0" w:color="auto"/>
            </w:tcBorders>
          </w:tcPr>
          <w:p w14:paraId="54F1ECC4" w14:textId="12343C57"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0.791</w:t>
            </w:r>
          </w:p>
        </w:tc>
        <w:tc>
          <w:tcPr>
            <w:tcW w:w="990" w:type="dxa"/>
            <w:gridSpan w:val="2"/>
            <w:tcBorders>
              <w:top w:val="none" w:sz="0" w:space="0" w:color="auto"/>
              <w:left w:val="none" w:sz="0" w:space="0" w:color="auto"/>
              <w:bottom w:val="none" w:sz="0" w:space="0" w:color="auto"/>
              <w:right w:val="none" w:sz="0" w:space="0" w:color="auto"/>
            </w:tcBorders>
          </w:tcPr>
          <w:p w14:paraId="6014F9FC" w14:textId="65D7D00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1,098</w:t>
            </w:r>
          </w:p>
        </w:tc>
        <w:tc>
          <w:tcPr>
            <w:tcW w:w="990" w:type="dxa"/>
            <w:tcBorders>
              <w:top w:val="none" w:sz="0" w:space="0" w:color="auto"/>
              <w:left w:val="none" w:sz="0" w:space="0" w:color="auto"/>
              <w:bottom w:val="none" w:sz="0" w:space="0" w:color="auto"/>
              <w:right w:val="none" w:sz="0" w:space="0" w:color="auto"/>
            </w:tcBorders>
          </w:tcPr>
          <w:p w14:paraId="1FC73022" w14:textId="67D2F42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1,098</w:t>
            </w:r>
          </w:p>
        </w:tc>
        <w:tc>
          <w:tcPr>
            <w:tcW w:w="990" w:type="dxa"/>
            <w:tcBorders>
              <w:top w:val="none" w:sz="0" w:space="0" w:color="auto"/>
              <w:left w:val="none" w:sz="0" w:space="0" w:color="auto"/>
              <w:bottom w:val="none" w:sz="0" w:space="0" w:color="auto"/>
              <w:right w:val="none" w:sz="0" w:space="0" w:color="auto"/>
            </w:tcBorders>
          </w:tcPr>
          <w:p w14:paraId="378E5E4C" w14:textId="796A6DC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1,098</w:t>
            </w:r>
          </w:p>
        </w:tc>
        <w:tc>
          <w:tcPr>
            <w:tcW w:w="990" w:type="dxa"/>
            <w:gridSpan w:val="2"/>
            <w:tcBorders>
              <w:top w:val="none" w:sz="0" w:space="0" w:color="auto"/>
              <w:left w:val="none" w:sz="0" w:space="0" w:color="auto"/>
              <w:bottom w:val="none" w:sz="0" w:space="0" w:color="auto"/>
              <w:right w:val="none" w:sz="0" w:space="0" w:color="auto"/>
            </w:tcBorders>
          </w:tcPr>
          <w:p w14:paraId="6BC44A32" w14:textId="709755C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1,098</w:t>
            </w:r>
          </w:p>
        </w:tc>
        <w:tc>
          <w:tcPr>
            <w:tcW w:w="360" w:type="dxa"/>
            <w:tcBorders>
              <w:top w:val="none" w:sz="0" w:space="0" w:color="auto"/>
              <w:left w:val="none" w:sz="0" w:space="0" w:color="auto"/>
              <w:bottom w:val="none" w:sz="0" w:space="0" w:color="auto"/>
              <w:right w:val="none" w:sz="0" w:space="0" w:color="auto"/>
            </w:tcBorders>
          </w:tcPr>
          <w:p w14:paraId="645F5008" w14:textId="02E2CAFD"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378E2417" w14:textId="6A7AB991"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1,098</w:t>
            </w:r>
          </w:p>
        </w:tc>
        <w:tc>
          <w:tcPr>
            <w:tcW w:w="362" w:type="dxa"/>
            <w:tcBorders>
              <w:top w:val="none" w:sz="0" w:space="0" w:color="auto"/>
              <w:left w:val="none" w:sz="0" w:space="0" w:color="auto"/>
              <w:bottom w:val="none" w:sz="0" w:space="0" w:color="auto"/>
              <w:right w:val="none" w:sz="0" w:space="0" w:color="auto"/>
            </w:tcBorders>
          </w:tcPr>
          <w:p w14:paraId="630B5062" w14:textId="56F16398"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417AB20" w14:textId="1A9AD10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14,003</w:t>
            </w:r>
          </w:p>
        </w:tc>
      </w:tr>
      <w:tr w:rsidR="003527BD" w14:paraId="461C6345"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1DD11CC" w14:textId="14065CEE" w:rsidR="003527BD" w:rsidRPr="001D5D92" w:rsidRDefault="003527BD" w:rsidP="007F2D66">
            <w:pPr>
              <w:pStyle w:val="TableLeftText"/>
            </w:pPr>
            <w:r w:rsidRPr="001D5D92">
              <w:rPr>
                <w:color w:val="4A4D56"/>
              </w:rPr>
              <w:t>Retro-Commissioning - Core</w:t>
            </w:r>
          </w:p>
        </w:tc>
        <w:tc>
          <w:tcPr>
            <w:tcW w:w="720" w:type="dxa"/>
            <w:tcBorders>
              <w:top w:val="none" w:sz="0" w:space="0" w:color="auto"/>
              <w:left w:val="none" w:sz="0" w:space="0" w:color="auto"/>
              <w:bottom w:val="none" w:sz="0" w:space="0" w:color="auto"/>
              <w:right w:val="none" w:sz="0" w:space="0" w:color="auto"/>
            </w:tcBorders>
          </w:tcPr>
          <w:p w14:paraId="690072A8" w14:textId="37CE559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8.6</w:t>
            </w:r>
          </w:p>
        </w:tc>
        <w:tc>
          <w:tcPr>
            <w:tcW w:w="1980" w:type="dxa"/>
            <w:tcBorders>
              <w:top w:val="none" w:sz="0" w:space="0" w:color="auto"/>
              <w:left w:val="none" w:sz="0" w:space="0" w:color="auto"/>
              <w:bottom w:val="none" w:sz="0" w:space="0" w:color="auto"/>
              <w:right w:val="none" w:sz="0" w:space="0" w:color="auto"/>
            </w:tcBorders>
          </w:tcPr>
          <w:p w14:paraId="513B9609" w14:textId="76A4E11E"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1,832</w:t>
            </w:r>
          </w:p>
        </w:tc>
        <w:tc>
          <w:tcPr>
            <w:tcW w:w="720" w:type="dxa"/>
            <w:tcBorders>
              <w:top w:val="none" w:sz="0" w:space="0" w:color="auto"/>
              <w:left w:val="none" w:sz="0" w:space="0" w:color="auto"/>
              <w:bottom w:val="none" w:sz="0" w:space="0" w:color="auto"/>
              <w:right w:val="none" w:sz="0" w:space="0" w:color="auto"/>
            </w:tcBorders>
          </w:tcPr>
          <w:p w14:paraId="75F7AC89" w14:textId="4AA690C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0.945</w:t>
            </w:r>
          </w:p>
        </w:tc>
        <w:tc>
          <w:tcPr>
            <w:tcW w:w="990" w:type="dxa"/>
            <w:gridSpan w:val="2"/>
            <w:tcBorders>
              <w:top w:val="none" w:sz="0" w:space="0" w:color="auto"/>
              <w:left w:val="none" w:sz="0" w:space="0" w:color="auto"/>
              <w:bottom w:val="none" w:sz="0" w:space="0" w:color="auto"/>
              <w:right w:val="none" w:sz="0" w:space="0" w:color="auto"/>
            </w:tcBorders>
          </w:tcPr>
          <w:p w14:paraId="39A2F8BC" w14:textId="02494325"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1,730</w:t>
            </w:r>
          </w:p>
        </w:tc>
        <w:tc>
          <w:tcPr>
            <w:tcW w:w="990" w:type="dxa"/>
            <w:tcBorders>
              <w:top w:val="none" w:sz="0" w:space="0" w:color="auto"/>
              <w:left w:val="none" w:sz="0" w:space="0" w:color="auto"/>
              <w:bottom w:val="none" w:sz="0" w:space="0" w:color="auto"/>
              <w:right w:val="none" w:sz="0" w:space="0" w:color="auto"/>
            </w:tcBorders>
          </w:tcPr>
          <w:p w14:paraId="3C2D0C9A" w14:textId="0523A87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1,730</w:t>
            </w:r>
          </w:p>
        </w:tc>
        <w:tc>
          <w:tcPr>
            <w:tcW w:w="990" w:type="dxa"/>
            <w:tcBorders>
              <w:top w:val="none" w:sz="0" w:space="0" w:color="auto"/>
              <w:left w:val="none" w:sz="0" w:space="0" w:color="auto"/>
              <w:bottom w:val="none" w:sz="0" w:space="0" w:color="auto"/>
              <w:right w:val="none" w:sz="0" w:space="0" w:color="auto"/>
            </w:tcBorders>
          </w:tcPr>
          <w:p w14:paraId="274954A7" w14:textId="612BFBEB"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1,730</w:t>
            </w:r>
          </w:p>
        </w:tc>
        <w:tc>
          <w:tcPr>
            <w:tcW w:w="990" w:type="dxa"/>
            <w:gridSpan w:val="2"/>
            <w:tcBorders>
              <w:top w:val="none" w:sz="0" w:space="0" w:color="auto"/>
              <w:left w:val="none" w:sz="0" w:space="0" w:color="auto"/>
              <w:bottom w:val="none" w:sz="0" w:space="0" w:color="auto"/>
              <w:right w:val="none" w:sz="0" w:space="0" w:color="auto"/>
            </w:tcBorders>
          </w:tcPr>
          <w:p w14:paraId="434142F0" w14:textId="2A15A4B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1,730</w:t>
            </w:r>
          </w:p>
        </w:tc>
        <w:tc>
          <w:tcPr>
            <w:tcW w:w="360" w:type="dxa"/>
            <w:tcBorders>
              <w:top w:val="none" w:sz="0" w:space="0" w:color="auto"/>
              <w:left w:val="none" w:sz="0" w:space="0" w:color="auto"/>
              <w:bottom w:val="none" w:sz="0" w:space="0" w:color="auto"/>
              <w:right w:val="none" w:sz="0" w:space="0" w:color="auto"/>
            </w:tcBorders>
          </w:tcPr>
          <w:p w14:paraId="39B1DAD6" w14:textId="2F5635E9"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772521ED" w14:textId="6AC755B8"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1,730</w:t>
            </w:r>
          </w:p>
        </w:tc>
        <w:tc>
          <w:tcPr>
            <w:tcW w:w="362" w:type="dxa"/>
            <w:tcBorders>
              <w:top w:val="none" w:sz="0" w:space="0" w:color="auto"/>
              <w:left w:val="none" w:sz="0" w:space="0" w:color="auto"/>
              <w:bottom w:val="none" w:sz="0" w:space="0" w:color="auto"/>
              <w:right w:val="none" w:sz="0" w:space="0" w:color="auto"/>
            </w:tcBorders>
          </w:tcPr>
          <w:p w14:paraId="6693674C" w14:textId="695C880E"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3FEEC585" w14:textId="2A3FC045"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14,880</w:t>
            </w:r>
          </w:p>
        </w:tc>
      </w:tr>
      <w:tr w:rsidR="003527BD" w14:paraId="05B80AE4"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4A1933BE" w14:textId="5F2555FD" w:rsidR="003527BD" w:rsidRPr="001D5D92" w:rsidRDefault="003527BD" w:rsidP="007F2D66">
            <w:pPr>
              <w:pStyle w:val="TableLeftText"/>
            </w:pPr>
            <w:r w:rsidRPr="001D5D92">
              <w:rPr>
                <w:color w:val="4A4D56"/>
              </w:rPr>
              <w:t>Retro-Commissioning - Virtual Commissioning</w:t>
            </w:r>
          </w:p>
        </w:tc>
        <w:tc>
          <w:tcPr>
            <w:tcW w:w="720" w:type="dxa"/>
            <w:tcBorders>
              <w:top w:val="none" w:sz="0" w:space="0" w:color="auto"/>
              <w:left w:val="none" w:sz="0" w:space="0" w:color="auto"/>
              <w:bottom w:val="none" w:sz="0" w:space="0" w:color="auto"/>
              <w:right w:val="none" w:sz="0" w:space="0" w:color="auto"/>
            </w:tcBorders>
          </w:tcPr>
          <w:p w14:paraId="43E2EC85" w14:textId="366356F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7.3</w:t>
            </w:r>
          </w:p>
        </w:tc>
        <w:tc>
          <w:tcPr>
            <w:tcW w:w="1980" w:type="dxa"/>
            <w:tcBorders>
              <w:top w:val="none" w:sz="0" w:space="0" w:color="auto"/>
              <w:left w:val="none" w:sz="0" w:space="0" w:color="auto"/>
              <w:bottom w:val="none" w:sz="0" w:space="0" w:color="auto"/>
              <w:right w:val="none" w:sz="0" w:space="0" w:color="auto"/>
            </w:tcBorders>
          </w:tcPr>
          <w:p w14:paraId="739884C1" w14:textId="3A1FF36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4,956</w:t>
            </w:r>
          </w:p>
        </w:tc>
        <w:tc>
          <w:tcPr>
            <w:tcW w:w="720" w:type="dxa"/>
            <w:tcBorders>
              <w:top w:val="none" w:sz="0" w:space="0" w:color="auto"/>
              <w:left w:val="none" w:sz="0" w:space="0" w:color="auto"/>
              <w:bottom w:val="none" w:sz="0" w:space="0" w:color="auto"/>
              <w:right w:val="none" w:sz="0" w:space="0" w:color="auto"/>
            </w:tcBorders>
          </w:tcPr>
          <w:p w14:paraId="3D29C32B" w14:textId="176EC5F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0.937</w:t>
            </w:r>
          </w:p>
        </w:tc>
        <w:tc>
          <w:tcPr>
            <w:tcW w:w="990" w:type="dxa"/>
            <w:gridSpan w:val="2"/>
            <w:tcBorders>
              <w:top w:val="none" w:sz="0" w:space="0" w:color="auto"/>
              <w:left w:val="none" w:sz="0" w:space="0" w:color="auto"/>
              <w:bottom w:val="none" w:sz="0" w:space="0" w:color="auto"/>
              <w:right w:val="none" w:sz="0" w:space="0" w:color="auto"/>
            </w:tcBorders>
          </w:tcPr>
          <w:p w14:paraId="0631278F" w14:textId="1661AB0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4,642</w:t>
            </w:r>
          </w:p>
        </w:tc>
        <w:tc>
          <w:tcPr>
            <w:tcW w:w="990" w:type="dxa"/>
            <w:tcBorders>
              <w:top w:val="none" w:sz="0" w:space="0" w:color="auto"/>
              <w:left w:val="none" w:sz="0" w:space="0" w:color="auto"/>
              <w:bottom w:val="none" w:sz="0" w:space="0" w:color="auto"/>
              <w:right w:val="none" w:sz="0" w:space="0" w:color="auto"/>
            </w:tcBorders>
          </w:tcPr>
          <w:p w14:paraId="26C751BF" w14:textId="2308F98B"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4,642</w:t>
            </w:r>
          </w:p>
        </w:tc>
        <w:tc>
          <w:tcPr>
            <w:tcW w:w="990" w:type="dxa"/>
            <w:tcBorders>
              <w:top w:val="none" w:sz="0" w:space="0" w:color="auto"/>
              <w:left w:val="none" w:sz="0" w:space="0" w:color="auto"/>
              <w:bottom w:val="none" w:sz="0" w:space="0" w:color="auto"/>
              <w:right w:val="none" w:sz="0" w:space="0" w:color="auto"/>
            </w:tcBorders>
          </w:tcPr>
          <w:p w14:paraId="4797DA16" w14:textId="5BA0933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4,642</w:t>
            </w:r>
          </w:p>
        </w:tc>
        <w:tc>
          <w:tcPr>
            <w:tcW w:w="990" w:type="dxa"/>
            <w:gridSpan w:val="2"/>
            <w:tcBorders>
              <w:top w:val="none" w:sz="0" w:space="0" w:color="auto"/>
              <w:left w:val="none" w:sz="0" w:space="0" w:color="auto"/>
              <w:bottom w:val="none" w:sz="0" w:space="0" w:color="auto"/>
              <w:right w:val="none" w:sz="0" w:space="0" w:color="auto"/>
            </w:tcBorders>
          </w:tcPr>
          <w:p w14:paraId="279665B2" w14:textId="52CDDEA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4,642</w:t>
            </w:r>
          </w:p>
        </w:tc>
        <w:tc>
          <w:tcPr>
            <w:tcW w:w="360" w:type="dxa"/>
            <w:tcBorders>
              <w:top w:val="none" w:sz="0" w:space="0" w:color="auto"/>
              <w:left w:val="none" w:sz="0" w:space="0" w:color="auto"/>
              <w:bottom w:val="none" w:sz="0" w:space="0" w:color="auto"/>
              <w:right w:val="none" w:sz="0" w:space="0" w:color="auto"/>
            </w:tcBorders>
          </w:tcPr>
          <w:p w14:paraId="4FC82020" w14:textId="25C66011"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4B8549E2" w14:textId="729F44D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4,642</w:t>
            </w:r>
          </w:p>
        </w:tc>
        <w:tc>
          <w:tcPr>
            <w:tcW w:w="362" w:type="dxa"/>
            <w:tcBorders>
              <w:top w:val="none" w:sz="0" w:space="0" w:color="auto"/>
              <w:left w:val="none" w:sz="0" w:space="0" w:color="auto"/>
              <w:bottom w:val="none" w:sz="0" w:space="0" w:color="auto"/>
              <w:right w:val="none" w:sz="0" w:space="0" w:color="auto"/>
            </w:tcBorders>
          </w:tcPr>
          <w:p w14:paraId="53705045" w14:textId="774BD537"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16C459DC" w14:textId="29E1CA5F"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33,887</w:t>
            </w:r>
          </w:p>
        </w:tc>
      </w:tr>
      <w:tr w:rsidR="003527BD" w14:paraId="209F35BF"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08688A0" w14:textId="43EC82E0" w:rsidR="003527BD" w:rsidRPr="001D5D92" w:rsidRDefault="003527BD" w:rsidP="007F2D66">
            <w:pPr>
              <w:pStyle w:val="TableLeftText"/>
            </w:pPr>
            <w:r w:rsidRPr="001D5D92">
              <w:rPr>
                <w:color w:val="4A4D56"/>
              </w:rPr>
              <w:t>Retro-Commissioning - Virtual SEM</w:t>
            </w:r>
          </w:p>
        </w:tc>
        <w:tc>
          <w:tcPr>
            <w:tcW w:w="720" w:type="dxa"/>
            <w:tcBorders>
              <w:top w:val="none" w:sz="0" w:space="0" w:color="auto"/>
              <w:left w:val="none" w:sz="0" w:space="0" w:color="auto"/>
              <w:bottom w:val="none" w:sz="0" w:space="0" w:color="auto"/>
              <w:right w:val="none" w:sz="0" w:space="0" w:color="auto"/>
            </w:tcBorders>
          </w:tcPr>
          <w:p w14:paraId="443413A7" w14:textId="4E015AD5"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7.0</w:t>
            </w:r>
          </w:p>
        </w:tc>
        <w:tc>
          <w:tcPr>
            <w:tcW w:w="1980" w:type="dxa"/>
            <w:tcBorders>
              <w:top w:val="none" w:sz="0" w:space="0" w:color="auto"/>
              <w:left w:val="none" w:sz="0" w:space="0" w:color="auto"/>
              <w:bottom w:val="none" w:sz="0" w:space="0" w:color="auto"/>
              <w:right w:val="none" w:sz="0" w:space="0" w:color="auto"/>
            </w:tcBorders>
          </w:tcPr>
          <w:p w14:paraId="1CE2C9FC" w14:textId="04FB86CE"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720" w:type="dxa"/>
            <w:tcBorders>
              <w:top w:val="none" w:sz="0" w:space="0" w:color="auto"/>
              <w:left w:val="none" w:sz="0" w:space="0" w:color="auto"/>
              <w:bottom w:val="none" w:sz="0" w:space="0" w:color="auto"/>
              <w:right w:val="none" w:sz="0" w:space="0" w:color="auto"/>
            </w:tcBorders>
          </w:tcPr>
          <w:p w14:paraId="436B7F18" w14:textId="04260FB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1.000</w:t>
            </w:r>
          </w:p>
        </w:tc>
        <w:tc>
          <w:tcPr>
            <w:tcW w:w="990" w:type="dxa"/>
            <w:gridSpan w:val="2"/>
            <w:tcBorders>
              <w:top w:val="none" w:sz="0" w:space="0" w:color="auto"/>
              <w:left w:val="none" w:sz="0" w:space="0" w:color="auto"/>
              <w:bottom w:val="none" w:sz="0" w:space="0" w:color="auto"/>
              <w:right w:val="none" w:sz="0" w:space="0" w:color="auto"/>
            </w:tcBorders>
          </w:tcPr>
          <w:p w14:paraId="0DF79E8D" w14:textId="7B84197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990" w:type="dxa"/>
            <w:tcBorders>
              <w:top w:val="none" w:sz="0" w:space="0" w:color="auto"/>
              <w:left w:val="none" w:sz="0" w:space="0" w:color="auto"/>
              <w:bottom w:val="none" w:sz="0" w:space="0" w:color="auto"/>
              <w:right w:val="none" w:sz="0" w:space="0" w:color="auto"/>
            </w:tcBorders>
          </w:tcPr>
          <w:p w14:paraId="6F8A5119" w14:textId="201899ED"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990" w:type="dxa"/>
            <w:tcBorders>
              <w:top w:val="none" w:sz="0" w:space="0" w:color="auto"/>
              <w:left w:val="none" w:sz="0" w:space="0" w:color="auto"/>
              <w:bottom w:val="none" w:sz="0" w:space="0" w:color="auto"/>
              <w:right w:val="none" w:sz="0" w:space="0" w:color="auto"/>
            </w:tcBorders>
          </w:tcPr>
          <w:p w14:paraId="28563008" w14:textId="2B4BE49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990" w:type="dxa"/>
            <w:gridSpan w:val="2"/>
            <w:tcBorders>
              <w:top w:val="none" w:sz="0" w:space="0" w:color="auto"/>
              <w:left w:val="none" w:sz="0" w:space="0" w:color="auto"/>
              <w:bottom w:val="none" w:sz="0" w:space="0" w:color="auto"/>
              <w:right w:val="none" w:sz="0" w:space="0" w:color="auto"/>
            </w:tcBorders>
          </w:tcPr>
          <w:p w14:paraId="0D7D77CE" w14:textId="4A226E6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360" w:type="dxa"/>
            <w:tcBorders>
              <w:top w:val="none" w:sz="0" w:space="0" w:color="auto"/>
              <w:left w:val="none" w:sz="0" w:space="0" w:color="auto"/>
              <w:bottom w:val="none" w:sz="0" w:space="0" w:color="auto"/>
              <w:right w:val="none" w:sz="0" w:space="0" w:color="auto"/>
            </w:tcBorders>
          </w:tcPr>
          <w:p w14:paraId="2169C599" w14:textId="37889F37"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71CE350D" w14:textId="2877E38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831</w:t>
            </w:r>
          </w:p>
        </w:tc>
        <w:tc>
          <w:tcPr>
            <w:tcW w:w="362" w:type="dxa"/>
            <w:tcBorders>
              <w:top w:val="none" w:sz="0" w:space="0" w:color="auto"/>
              <w:left w:val="none" w:sz="0" w:space="0" w:color="auto"/>
              <w:bottom w:val="none" w:sz="0" w:space="0" w:color="auto"/>
              <w:right w:val="none" w:sz="0" w:space="0" w:color="auto"/>
            </w:tcBorders>
          </w:tcPr>
          <w:p w14:paraId="0ED635F4" w14:textId="0F93B3A9"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AE0796D" w14:textId="6E68C80C"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5,814</w:t>
            </w:r>
          </w:p>
        </w:tc>
      </w:tr>
      <w:tr w:rsidR="003527BD" w14:paraId="62B70899"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6DDB07D" w14:textId="615C3C3C" w:rsidR="003527BD" w:rsidRPr="001D5D92" w:rsidRDefault="003527BD" w:rsidP="007F2D66">
            <w:pPr>
              <w:pStyle w:val="TableLeftText"/>
            </w:pPr>
            <w:r w:rsidRPr="001D5D92">
              <w:rPr>
                <w:color w:val="4A4D56"/>
              </w:rPr>
              <w:t>Streetlighting - MOSL</w:t>
            </w:r>
          </w:p>
        </w:tc>
        <w:tc>
          <w:tcPr>
            <w:tcW w:w="720" w:type="dxa"/>
            <w:tcBorders>
              <w:top w:val="none" w:sz="0" w:space="0" w:color="auto"/>
              <w:left w:val="none" w:sz="0" w:space="0" w:color="auto"/>
              <w:bottom w:val="none" w:sz="0" w:space="0" w:color="auto"/>
              <w:right w:val="none" w:sz="0" w:space="0" w:color="auto"/>
            </w:tcBorders>
          </w:tcPr>
          <w:p w14:paraId="51C8658E" w14:textId="0297DDA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20.0</w:t>
            </w:r>
          </w:p>
        </w:tc>
        <w:tc>
          <w:tcPr>
            <w:tcW w:w="1980" w:type="dxa"/>
            <w:tcBorders>
              <w:top w:val="none" w:sz="0" w:space="0" w:color="auto"/>
              <w:left w:val="none" w:sz="0" w:space="0" w:color="auto"/>
              <w:bottom w:val="none" w:sz="0" w:space="0" w:color="auto"/>
              <w:right w:val="none" w:sz="0" w:space="0" w:color="auto"/>
            </w:tcBorders>
          </w:tcPr>
          <w:p w14:paraId="0FECD0A1" w14:textId="00880DFE"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50</w:t>
            </w:r>
          </w:p>
        </w:tc>
        <w:tc>
          <w:tcPr>
            <w:tcW w:w="720" w:type="dxa"/>
            <w:tcBorders>
              <w:top w:val="none" w:sz="0" w:space="0" w:color="auto"/>
              <w:left w:val="none" w:sz="0" w:space="0" w:color="auto"/>
              <w:bottom w:val="none" w:sz="0" w:space="0" w:color="auto"/>
              <w:right w:val="none" w:sz="0" w:space="0" w:color="auto"/>
            </w:tcBorders>
          </w:tcPr>
          <w:p w14:paraId="0B0C7460" w14:textId="16B24F8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0.690</w:t>
            </w:r>
          </w:p>
        </w:tc>
        <w:tc>
          <w:tcPr>
            <w:tcW w:w="990" w:type="dxa"/>
            <w:gridSpan w:val="2"/>
            <w:tcBorders>
              <w:top w:val="none" w:sz="0" w:space="0" w:color="auto"/>
              <w:left w:val="none" w:sz="0" w:space="0" w:color="auto"/>
              <w:bottom w:val="none" w:sz="0" w:space="0" w:color="auto"/>
              <w:right w:val="none" w:sz="0" w:space="0" w:color="auto"/>
            </w:tcBorders>
          </w:tcPr>
          <w:p w14:paraId="77D95014" w14:textId="284996A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w:t>
            </w:r>
          </w:p>
        </w:tc>
        <w:tc>
          <w:tcPr>
            <w:tcW w:w="990" w:type="dxa"/>
            <w:tcBorders>
              <w:top w:val="none" w:sz="0" w:space="0" w:color="auto"/>
              <w:left w:val="none" w:sz="0" w:space="0" w:color="auto"/>
              <w:bottom w:val="none" w:sz="0" w:space="0" w:color="auto"/>
              <w:right w:val="none" w:sz="0" w:space="0" w:color="auto"/>
            </w:tcBorders>
          </w:tcPr>
          <w:p w14:paraId="66E1FADC" w14:textId="01E1F19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w:t>
            </w:r>
          </w:p>
        </w:tc>
        <w:tc>
          <w:tcPr>
            <w:tcW w:w="990" w:type="dxa"/>
            <w:tcBorders>
              <w:top w:val="none" w:sz="0" w:space="0" w:color="auto"/>
              <w:left w:val="none" w:sz="0" w:space="0" w:color="auto"/>
              <w:bottom w:val="none" w:sz="0" w:space="0" w:color="auto"/>
              <w:right w:val="none" w:sz="0" w:space="0" w:color="auto"/>
            </w:tcBorders>
          </w:tcPr>
          <w:p w14:paraId="0661C3D6" w14:textId="39FCEEE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w:t>
            </w:r>
          </w:p>
        </w:tc>
        <w:tc>
          <w:tcPr>
            <w:tcW w:w="990" w:type="dxa"/>
            <w:gridSpan w:val="2"/>
            <w:tcBorders>
              <w:top w:val="none" w:sz="0" w:space="0" w:color="auto"/>
              <w:left w:val="none" w:sz="0" w:space="0" w:color="auto"/>
              <w:bottom w:val="none" w:sz="0" w:space="0" w:color="auto"/>
              <w:right w:val="none" w:sz="0" w:space="0" w:color="auto"/>
            </w:tcBorders>
          </w:tcPr>
          <w:p w14:paraId="6FA28A28" w14:textId="649FBE18"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w:t>
            </w:r>
          </w:p>
        </w:tc>
        <w:tc>
          <w:tcPr>
            <w:tcW w:w="360" w:type="dxa"/>
            <w:tcBorders>
              <w:top w:val="none" w:sz="0" w:space="0" w:color="auto"/>
              <w:left w:val="none" w:sz="0" w:space="0" w:color="auto"/>
              <w:bottom w:val="none" w:sz="0" w:space="0" w:color="auto"/>
              <w:right w:val="none" w:sz="0" w:space="0" w:color="auto"/>
            </w:tcBorders>
          </w:tcPr>
          <w:p w14:paraId="499B212F" w14:textId="13EAB56D"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5F54DD44" w14:textId="3AC9A1D7"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w:t>
            </w:r>
          </w:p>
        </w:tc>
        <w:tc>
          <w:tcPr>
            <w:tcW w:w="362" w:type="dxa"/>
            <w:tcBorders>
              <w:top w:val="none" w:sz="0" w:space="0" w:color="auto"/>
              <w:left w:val="none" w:sz="0" w:space="0" w:color="auto"/>
              <w:bottom w:val="none" w:sz="0" w:space="0" w:color="auto"/>
              <w:right w:val="none" w:sz="0" w:space="0" w:color="auto"/>
            </w:tcBorders>
          </w:tcPr>
          <w:p w14:paraId="55B967B2" w14:textId="4EAD06CD"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44CC0A61" w14:textId="6EF4ADD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696</w:t>
            </w:r>
          </w:p>
        </w:tc>
      </w:tr>
      <w:tr w:rsidR="003527BD" w14:paraId="571DABC1"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2D1BBDC" w14:textId="7007AE94" w:rsidR="003527BD" w:rsidRPr="001D5D92" w:rsidRDefault="003527BD" w:rsidP="007F2D66">
            <w:pPr>
              <w:pStyle w:val="TableLeftText"/>
              <w:rPr>
                <w:color w:val="4A4D56"/>
              </w:rPr>
            </w:pPr>
            <w:r w:rsidRPr="001D5D92">
              <w:rPr>
                <w:color w:val="4A4D56"/>
              </w:rPr>
              <w:t>Streetlighting - UOSL</w:t>
            </w:r>
          </w:p>
        </w:tc>
        <w:tc>
          <w:tcPr>
            <w:tcW w:w="720" w:type="dxa"/>
            <w:tcBorders>
              <w:top w:val="none" w:sz="0" w:space="0" w:color="auto"/>
              <w:left w:val="none" w:sz="0" w:space="0" w:color="auto"/>
              <w:bottom w:val="none" w:sz="0" w:space="0" w:color="auto"/>
              <w:right w:val="none" w:sz="0" w:space="0" w:color="auto"/>
            </w:tcBorders>
          </w:tcPr>
          <w:p w14:paraId="6320BE70" w14:textId="23169390"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20.0</w:t>
            </w:r>
          </w:p>
        </w:tc>
        <w:tc>
          <w:tcPr>
            <w:tcW w:w="1980" w:type="dxa"/>
            <w:tcBorders>
              <w:top w:val="none" w:sz="0" w:space="0" w:color="auto"/>
              <w:left w:val="none" w:sz="0" w:space="0" w:color="auto"/>
              <w:bottom w:val="none" w:sz="0" w:space="0" w:color="auto"/>
              <w:right w:val="none" w:sz="0" w:space="0" w:color="auto"/>
            </w:tcBorders>
          </w:tcPr>
          <w:p w14:paraId="7A36AE84" w14:textId="7688121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12,516</w:t>
            </w:r>
          </w:p>
        </w:tc>
        <w:tc>
          <w:tcPr>
            <w:tcW w:w="720" w:type="dxa"/>
            <w:tcBorders>
              <w:top w:val="none" w:sz="0" w:space="0" w:color="auto"/>
              <w:left w:val="none" w:sz="0" w:space="0" w:color="auto"/>
              <w:bottom w:val="none" w:sz="0" w:space="0" w:color="auto"/>
              <w:right w:val="none" w:sz="0" w:space="0" w:color="auto"/>
            </w:tcBorders>
          </w:tcPr>
          <w:p w14:paraId="1ED20A5F" w14:textId="43EE5215"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1.000</w:t>
            </w:r>
          </w:p>
        </w:tc>
        <w:tc>
          <w:tcPr>
            <w:tcW w:w="990" w:type="dxa"/>
            <w:gridSpan w:val="2"/>
            <w:tcBorders>
              <w:top w:val="none" w:sz="0" w:space="0" w:color="auto"/>
              <w:left w:val="none" w:sz="0" w:space="0" w:color="auto"/>
              <w:bottom w:val="none" w:sz="0" w:space="0" w:color="auto"/>
              <w:right w:val="none" w:sz="0" w:space="0" w:color="auto"/>
            </w:tcBorders>
          </w:tcPr>
          <w:p w14:paraId="7AE4A145" w14:textId="462EB53D"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12,516</w:t>
            </w:r>
          </w:p>
        </w:tc>
        <w:tc>
          <w:tcPr>
            <w:tcW w:w="990" w:type="dxa"/>
            <w:tcBorders>
              <w:top w:val="none" w:sz="0" w:space="0" w:color="auto"/>
              <w:left w:val="none" w:sz="0" w:space="0" w:color="auto"/>
              <w:bottom w:val="none" w:sz="0" w:space="0" w:color="auto"/>
              <w:right w:val="none" w:sz="0" w:space="0" w:color="auto"/>
            </w:tcBorders>
          </w:tcPr>
          <w:p w14:paraId="300BCE33" w14:textId="59AEB64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12,516</w:t>
            </w:r>
          </w:p>
        </w:tc>
        <w:tc>
          <w:tcPr>
            <w:tcW w:w="990" w:type="dxa"/>
            <w:tcBorders>
              <w:top w:val="none" w:sz="0" w:space="0" w:color="auto"/>
              <w:left w:val="none" w:sz="0" w:space="0" w:color="auto"/>
              <w:bottom w:val="none" w:sz="0" w:space="0" w:color="auto"/>
              <w:right w:val="none" w:sz="0" w:space="0" w:color="auto"/>
            </w:tcBorders>
          </w:tcPr>
          <w:p w14:paraId="4FF2575D" w14:textId="240D964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12,516</w:t>
            </w:r>
          </w:p>
        </w:tc>
        <w:tc>
          <w:tcPr>
            <w:tcW w:w="990" w:type="dxa"/>
            <w:gridSpan w:val="2"/>
            <w:tcBorders>
              <w:top w:val="none" w:sz="0" w:space="0" w:color="auto"/>
              <w:left w:val="none" w:sz="0" w:space="0" w:color="auto"/>
              <w:bottom w:val="none" w:sz="0" w:space="0" w:color="auto"/>
              <w:right w:val="none" w:sz="0" w:space="0" w:color="auto"/>
            </w:tcBorders>
          </w:tcPr>
          <w:p w14:paraId="1F0E66A6" w14:textId="07BF330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11,816</w:t>
            </w:r>
          </w:p>
        </w:tc>
        <w:tc>
          <w:tcPr>
            <w:tcW w:w="360" w:type="dxa"/>
            <w:tcBorders>
              <w:top w:val="none" w:sz="0" w:space="0" w:color="auto"/>
              <w:left w:val="none" w:sz="0" w:space="0" w:color="auto"/>
              <w:bottom w:val="none" w:sz="0" w:space="0" w:color="auto"/>
              <w:right w:val="none" w:sz="0" w:space="0" w:color="auto"/>
            </w:tcBorders>
          </w:tcPr>
          <w:p w14:paraId="0684BC4F" w14:textId="4D15138B"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2D38D98C" w14:textId="37BCD5E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11,816</w:t>
            </w:r>
          </w:p>
        </w:tc>
        <w:tc>
          <w:tcPr>
            <w:tcW w:w="362" w:type="dxa"/>
            <w:tcBorders>
              <w:top w:val="none" w:sz="0" w:space="0" w:color="auto"/>
              <w:left w:val="none" w:sz="0" w:space="0" w:color="auto"/>
              <w:bottom w:val="none" w:sz="0" w:space="0" w:color="auto"/>
              <w:right w:val="none" w:sz="0" w:space="0" w:color="auto"/>
            </w:tcBorders>
          </w:tcPr>
          <w:p w14:paraId="78FEA832" w14:textId="62674B65"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rPr>
                <w:color w:val="4A4D56"/>
              </w:rPr>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5C878C49" w14:textId="1A2ED3E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238,425</w:t>
            </w:r>
          </w:p>
        </w:tc>
      </w:tr>
      <w:tr w:rsidR="003527BD" w14:paraId="67A6F6F3"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852DFC9" w14:textId="1E087DA5" w:rsidR="003527BD" w:rsidRPr="001D5D92" w:rsidRDefault="003527BD" w:rsidP="007F2D66">
            <w:pPr>
              <w:pStyle w:val="TableLeftText"/>
              <w:rPr>
                <w:color w:val="4A4D56"/>
              </w:rPr>
            </w:pPr>
            <w:r w:rsidRPr="001D5D92">
              <w:rPr>
                <w:color w:val="4A4D56"/>
              </w:rPr>
              <w:t>Small Business - SBDI</w:t>
            </w:r>
          </w:p>
        </w:tc>
        <w:tc>
          <w:tcPr>
            <w:tcW w:w="720" w:type="dxa"/>
            <w:tcBorders>
              <w:top w:val="none" w:sz="0" w:space="0" w:color="auto"/>
              <w:left w:val="none" w:sz="0" w:space="0" w:color="auto"/>
              <w:bottom w:val="none" w:sz="0" w:space="0" w:color="auto"/>
              <w:right w:val="none" w:sz="0" w:space="0" w:color="auto"/>
            </w:tcBorders>
          </w:tcPr>
          <w:p w14:paraId="0E5FDF3D" w14:textId="26CA3F8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13.6</w:t>
            </w:r>
          </w:p>
        </w:tc>
        <w:tc>
          <w:tcPr>
            <w:tcW w:w="1980" w:type="dxa"/>
            <w:tcBorders>
              <w:top w:val="none" w:sz="0" w:space="0" w:color="auto"/>
              <w:left w:val="none" w:sz="0" w:space="0" w:color="auto"/>
              <w:bottom w:val="none" w:sz="0" w:space="0" w:color="auto"/>
              <w:right w:val="none" w:sz="0" w:space="0" w:color="auto"/>
            </w:tcBorders>
          </w:tcPr>
          <w:p w14:paraId="0F03EA00" w14:textId="0C442D1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35,017</w:t>
            </w:r>
          </w:p>
        </w:tc>
        <w:tc>
          <w:tcPr>
            <w:tcW w:w="720" w:type="dxa"/>
            <w:tcBorders>
              <w:top w:val="none" w:sz="0" w:space="0" w:color="auto"/>
              <w:left w:val="none" w:sz="0" w:space="0" w:color="auto"/>
              <w:bottom w:val="none" w:sz="0" w:space="0" w:color="auto"/>
              <w:right w:val="none" w:sz="0" w:space="0" w:color="auto"/>
            </w:tcBorders>
          </w:tcPr>
          <w:p w14:paraId="2434B660" w14:textId="02A44BCF"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0.917</w:t>
            </w:r>
          </w:p>
        </w:tc>
        <w:tc>
          <w:tcPr>
            <w:tcW w:w="990" w:type="dxa"/>
            <w:gridSpan w:val="2"/>
            <w:tcBorders>
              <w:top w:val="none" w:sz="0" w:space="0" w:color="auto"/>
              <w:left w:val="none" w:sz="0" w:space="0" w:color="auto"/>
              <w:bottom w:val="none" w:sz="0" w:space="0" w:color="auto"/>
              <w:right w:val="none" w:sz="0" w:space="0" w:color="auto"/>
            </w:tcBorders>
          </w:tcPr>
          <w:p w14:paraId="15455971" w14:textId="4915AC4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32,099</w:t>
            </w:r>
          </w:p>
        </w:tc>
        <w:tc>
          <w:tcPr>
            <w:tcW w:w="990" w:type="dxa"/>
            <w:tcBorders>
              <w:top w:val="none" w:sz="0" w:space="0" w:color="auto"/>
              <w:left w:val="none" w:sz="0" w:space="0" w:color="auto"/>
              <w:bottom w:val="none" w:sz="0" w:space="0" w:color="auto"/>
              <w:right w:val="none" w:sz="0" w:space="0" w:color="auto"/>
            </w:tcBorders>
          </w:tcPr>
          <w:p w14:paraId="2085125A" w14:textId="206D44E1"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32,099</w:t>
            </w:r>
          </w:p>
        </w:tc>
        <w:tc>
          <w:tcPr>
            <w:tcW w:w="990" w:type="dxa"/>
            <w:tcBorders>
              <w:top w:val="none" w:sz="0" w:space="0" w:color="auto"/>
              <w:left w:val="none" w:sz="0" w:space="0" w:color="auto"/>
              <w:bottom w:val="none" w:sz="0" w:space="0" w:color="auto"/>
              <w:right w:val="none" w:sz="0" w:space="0" w:color="auto"/>
            </w:tcBorders>
          </w:tcPr>
          <w:p w14:paraId="2C1DD96B" w14:textId="3B9E94FB"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32,045</w:t>
            </w:r>
          </w:p>
        </w:tc>
        <w:tc>
          <w:tcPr>
            <w:tcW w:w="990" w:type="dxa"/>
            <w:gridSpan w:val="2"/>
            <w:tcBorders>
              <w:top w:val="none" w:sz="0" w:space="0" w:color="auto"/>
              <w:left w:val="none" w:sz="0" w:space="0" w:color="auto"/>
              <w:bottom w:val="none" w:sz="0" w:space="0" w:color="auto"/>
              <w:right w:val="none" w:sz="0" w:space="0" w:color="auto"/>
            </w:tcBorders>
          </w:tcPr>
          <w:p w14:paraId="102AA5BB" w14:textId="48602C0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31,062</w:t>
            </w:r>
          </w:p>
        </w:tc>
        <w:tc>
          <w:tcPr>
            <w:tcW w:w="360" w:type="dxa"/>
            <w:tcBorders>
              <w:top w:val="none" w:sz="0" w:space="0" w:color="auto"/>
              <w:left w:val="none" w:sz="0" w:space="0" w:color="auto"/>
              <w:bottom w:val="none" w:sz="0" w:space="0" w:color="auto"/>
              <w:right w:val="none" w:sz="0" w:space="0" w:color="auto"/>
            </w:tcBorders>
          </w:tcPr>
          <w:p w14:paraId="4F24B1D4" w14:textId="2C85C6F6"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4DC6E303" w14:textId="4B8841D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29,193</w:t>
            </w:r>
          </w:p>
        </w:tc>
        <w:tc>
          <w:tcPr>
            <w:tcW w:w="362" w:type="dxa"/>
            <w:tcBorders>
              <w:top w:val="none" w:sz="0" w:space="0" w:color="auto"/>
              <w:left w:val="none" w:sz="0" w:space="0" w:color="auto"/>
              <w:bottom w:val="none" w:sz="0" w:space="0" w:color="auto"/>
              <w:right w:val="none" w:sz="0" w:space="0" w:color="auto"/>
            </w:tcBorders>
          </w:tcPr>
          <w:p w14:paraId="61FFD17D" w14:textId="45528D4D"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color w:val="4A4D56"/>
              </w:rPr>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2E149BBA" w14:textId="25F6D9F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418,125</w:t>
            </w:r>
          </w:p>
        </w:tc>
      </w:tr>
      <w:tr w:rsidR="003527BD" w14:paraId="7093F427"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B5CB3F4" w14:textId="645EC396" w:rsidR="003527BD" w:rsidRPr="001D5D92" w:rsidRDefault="003527BD" w:rsidP="007F2D66">
            <w:pPr>
              <w:pStyle w:val="TableLeftText"/>
            </w:pPr>
            <w:r w:rsidRPr="001D5D92">
              <w:rPr>
                <w:color w:val="4A4D56"/>
              </w:rPr>
              <w:t>Small Business - SBEP</w:t>
            </w:r>
          </w:p>
        </w:tc>
        <w:tc>
          <w:tcPr>
            <w:tcW w:w="720" w:type="dxa"/>
            <w:tcBorders>
              <w:top w:val="none" w:sz="0" w:space="0" w:color="auto"/>
              <w:left w:val="none" w:sz="0" w:space="0" w:color="auto"/>
              <w:bottom w:val="none" w:sz="0" w:space="0" w:color="auto"/>
              <w:right w:val="none" w:sz="0" w:space="0" w:color="auto"/>
            </w:tcBorders>
          </w:tcPr>
          <w:p w14:paraId="7E704BCA" w14:textId="7B5FB88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20.1</w:t>
            </w:r>
          </w:p>
        </w:tc>
        <w:tc>
          <w:tcPr>
            <w:tcW w:w="1980" w:type="dxa"/>
            <w:tcBorders>
              <w:top w:val="none" w:sz="0" w:space="0" w:color="auto"/>
              <w:left w:val="none" w:sz="0" w:space="0" w:color="auto"/>
              <w:bottom w:val="none" w:sz="0" w:space="0" w:color="auto"/>
              <w:right w:val="none" w:sz="0" w:space="0" w:color="auto"/>
            </w:tcBorders>
          </w:tcPr>
          <w:p w14:paraId="35186E68" w14:textId="2FD9EF7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720" w:type="dxa"/>
            <w:tcBorders>
              <w:top w:val="none" w:sz="0" w:space="0" w:color="auto"/>
              <w:left w:val="none" w:sz="0" w:space="0" w:color="auto"/>
              <w:bottom w:val="none" w:sz="0" w:space="0" w:color="auto"/>
              <w:right w:val="none" w:sz="0" w:space="0" w:color="auto"/>
            </w:tcBorders>
          </w:tcPr>
          <w:p w14:paraId="05506686" w14:textId="5284103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1.000</w:t>
            </w:r>
          </w:p>
        </w:tc>
        <w:tc>
          <w:tcPr>
            <w:tcW w:w="990" w:type="dxa"/>
            <w:gridSpan w:val="2"/>
            <w:tcBorders>
              <w:top w:val="none" w:sz="0" w:space="0" w:color="auto"/>
              <w:left w:val="none" w:sz="0" w:space="0" w:color="auto"/>
              <w:bottom w:val="none" w:sz="0" w:space="0" w:color="auto"/>
              <w:right w:val="none" w:sz="0" w:space="0" w:color="auto"/>
            </w:tcBorders>
          </w:tcPr>
          <w:p w14:paraId="7879D4E1" w14:textId="5F38C038"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990" w:type="dxa"/>
            <w:tcBorders>
              <w:top w:val="none" w:sz="0" w:space="0" w:color="auto"/>
              <w:left w:val="none" w:sz="0" w:space="0" w:color="auto"/>
              <w:bottom w:val="none" w:sz="0" w:space="0" w:color="auto"/>
              <w:right w:val="none" w:sz="0" w:space="0" w:color="auto"/>
            </w:tcBorders>
          </w:tcPr>
          <w:p w14:paraId="74E8B066" w14:textId="03E93042"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990" w:type="dxa"/>
            <w:tcBorders>
              <w:top w:val="none" w:sz="0" w:space="0" w:color="auto"/>
              <w:left w:val="none" w:sz="0" w:space="0" w:color="auto"/>
              <w:bottom w:val="none" w:sz="0" w:space="0" w:color="auto"/>
              <w:right w:val="none" w:sz="0" w:space="0" w:color="auto"/>
            </w:tcBorders>
          </w:tcPr>
          <w:p w14:paraId="1DC43237" w14:textId="551EB783"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990" w:type="dxa"/>
            <w:gridSpan w:val="2"/>
            <w:tcBorders>
              <w:top w:val="none" w:sz="0" w:space="0" w:color="auto"/>
              <w:left w:val="none" w:sz="0" w:space="0" w:color="auto"/>
              <w:bottom w:val="none" w:sz="0" w:space="0" w:color="auto"/>
              <w:right w:val="none" w:sz="0" w:space="0" w:color="auto"/>
            </w:tcBorders>
          </w:tcPr>
          <w:p w14:paraId="0AC736E2" w14:textId="564D2A23"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360" w:type="dxa"/>
            <w:tcBorders>
              <w:top w:val="none" w:sz="0" w:space="0" w:color="auto"/>
              <w:left w:val="none" w:sz="0" w:space="0" w:color="auto"/>
              <w:bottom w:val="none" w:sz="0" w:space="0" w:color="auto"/>
              <w:right w:val="none" w:sz="0" w:space="0" w:color="auto"/>
            </w:tcBorders>
          </w:tcPr>
          <w:p w14:paraId="179139D8" w14:textId="31D12044"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3964E0B8" w14:textId="3EFC919C"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223</w:t>
            </w:r>
          </w:p>
        </w:tc>
        <w:tc>
          <w:tcPr>
            <w:tcW w:w="362" w:type="dxa"/>
            <w:tcBorders>
              <w:top w:val="none" w:sz="0" w:space="0" w:color="auto"/>
              <w:left w:val="none" w:sz="0" w:space="0" w:color="auto"/>
              <w:bottom w:val="none" w:sz="0" w:space="0" w:color="auto"/>
              <w:right w:val="none" w:sz="0" w:space="0" w:color="auto"/>
            </w:tcBorders>
          </w:tcPr>
          <w:p w14:paraId="6E0DD718" w14:textId="71464983"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2401B546" w14:textId="152EB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4,487</w:t>
            </w:r>
          </w:p>
        </w:tc>
      </w:tr>
      <w:tr w:rsidR="003527BD" w14:paraId="6CFD0CBE"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70A5F12" w14:textId="29347A84" w:rsidR="003527BD" w:rsidRPr="001D5D92" w:rsidRDefault="003527BD" w:rsidP="007F2D66">
            <w:pPr>
              <w:pStyle w:val="TableLeftText"/>
            </w:pPr>
            <w:r w:rsidRPr="001D5D92">
              <w:rPr>
                <w:color w:val="4A4D56"/>
              </w:rPr>
              <w:t>Midstream - Lighting</w:t>
            </w:r>
          </w:p>
        </w:tc>
        <w:tc>
          <w:tcPr>
            <w:tcW w:w="720" w:type="dxa"/>
            <w:tcBorders>
              <w:top w:val="none" w:sz="0" w:space="0" w:color="auto"/>
              <w:left w:val="none" w:sz="0" w:space="0" w:color="auto"/>
              <w:bottom w:val="none" w:sz="0" w:space="0" w:color="auto"/>
              <w:right w:val="none" w:sz="0" w:space="0" w:color="auto"/>
            </w:tcBorders>
          </w:tcPr>
          <w:p w14:paraId="63EE2CC0" w14:textId="6B59EE1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14.9</w:t>
            </w:r>
          </w:p>
        </w:tc>
        <w:tc>
          <w:tcPr>
            <w:tcW w:w="1980" w:type="dxa"/>
            <w:tcBorders>
              <w:top w:val="none" w:sz="0" w:space="0" w:color="auto"/>
              <w:left w:val="none" w:sz="0" w:space="0" w:color="auto"/>
              <w:bottom w:val="none" w:sz="0" w:space="0" w:color="auto"/>
              <w:right w:val="none" w:sz="0" w:space="0" w:color="auto"/>
            </w:tcBorders>
          </w:tcPr>
          <w:p w14:paraId="43379B4A" w14:textId="441A178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29,561</w:t>
            </w:r>
          </w:p>
        </w:tc>
        <w:tc>
          <w:tcPr>
            <w:tcW w:w="720" w:type="dxa"/>
            <w:tcBorders>
              <w:top w:val="none" w:sz="0" w:space="0" w:color="auto"/>
              <w:left w:val="none" w:sz="0" w:space="0" w:color="auto"/>
              <w:bottom w:val="none" w:sz="0" w:space="0" w:color="auto"/>
              <w:right w:val="none" w:sz="0" w:space="0" w:color="auto"/>
            </w:tcBorders>
          </w:tcPr>
          <w:p w14:paraId="474D420B" w14:textId="2636D59C"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0.979</w:t>
            </w:r>
          </w:p>
        </w:tc>
        <w:tc>
          <w:tcPr>
            <w:tcW w:w="990" w:type="dxa"/>
            <w:gridSpan w:val="2"/>
            <w:tcBorders>
              <w:top w:val="none" w:sz="0" w:space="0" w:color="auto"/>
              <w:left w:val="none" w:sz="0" w:space="0" w:color="auto"/>
              <w:bottom w:val="none" w:sz="0" w:space="0" w:color="auto"/>
              <w:right w:val="none" w:sz="0" w:space="0" w:color="auto"/>
            </w:tcBorders>
          </w:tcPr>
          <w:p w14:paraId="79EB89DE" w14:textId="3BF227C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28,949</w:t>
            </w:r>
          </w:p>
        </w:tc>
        <w:tc>
          <w:tcPr>
            <w:tcW w:w="990" w:type="dxa"/>
            <w:tcBorders>
              <w:top w:val="none" w:sz="0" w:space="0" w:color="auto"/>
              <w:left w:val="none" w:sz="0" w:space="0" w:color="auto"/>
              <w:bottom w:val="none" w:sz="0" w:space="0" w:color="auto"/>
              <w:right w:val="none" w:sz="0" w:space="0" w:color="auto"/>
            </w:tcBorders>
          </w:tcPr>
          <w:p w14:paraId="5C14FCBD" w14:textId="2F95C25C"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28,949</w:t>
            </w:r>
          </w:p>
        </w:tc>
        <w:tc>
          <w:tcPr>
            <w:tcW w:w="990" w:type="dxa"/>
            <w:tcBorders>
              <w:top w:val="none" w:sz="0" w:space="0" w:color="auto"/>
              <w:left w:val="none" w:sz="0" w:space="0" w:color="auto"/>
              <w:bottom w:val="none" w:sz="0" w:space="0" w:color="auto"/>
              <w:right w:val="none" w:sz="0" w:space="0" w:color="auto"/>
            </w:tcBorders>
          </w:tcPr>
          <w:p w14:paraId="2C30B880" w14:textId="0E7B566B"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28,949</w:t>
            </w:r>
          </w:p>
        </w:tc>
        <w:tc>
          <w:tcPr>
            <w:tcW w:w="990" w:type="dxa"/>
            <w:gridSpan w:val="2"/>
            <w:tcBorders>
              <w:top w:val="none" w:sz="0" w:space="0" w:color="auto"/>
              <w:left w:val="none" w:sz="0" w:space="0" w:color="auto"/>
              <w:bottom w:val="none" w:sz="0" w:space="0" w:color="auto"/>
              <w:right w:val="none" w:sz="0" w:space="0" w:color="auto"/>
            </w:tcBorders>
          </w:tcPr>
          <w:p w14:paraId="6422D82C" w14:textId="4FE97874"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28,949</w:t>
            </w:r>
          </w:p>
        </w:tc>
        <w:tc>
          <w:tcPr>
            <w:tcW w:w="360" w:type="dxa"/>
            <w:tcBorders>
              <w:top w:val="none" w:sz="0" w:space="0" w:color="auto"/>
              <w:left w:val="none" w:sz="0" w:space="0" w:color="auto"/>
              <w:bottom w:val="none" w:sz="0" w:space="0" w:color="auto"/>
              <w:right w:val="none" w:sz="0" w:space="0" w:color="auto"/>
            </w:tcBorders>
          </w:tcPr>
          <w:p w14:paraId="27CBE960" w14:textId="141C69C6"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54C4D619" w14:textId="617C384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28,941</w:t>
            </w:r>
          </w:p>
        </w:tc>
        <w:tc>
          <w:tcPr>
            <w:tcW w:w="362" w:type="dxa"/>
            <w:tcBorders>
              <w:top w:val="none" w:sz="0" w:space="0" w:color="auto"/>
              <w:left w:val="none" w:sz="0" w:space="0" w:color="auto"/>
              <w:bottom w:val="none" w:sz="0" w:space="0" w:color="auto"/>
              <w:right w:val="none" w:sz="0" w:space="0" w:color="auto"/>
            </w:tcBorders>
          </w:tcPr>
          <w:p w14:paraId="1E566F33" w14:textId="75C848C8"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74F4C380" w14:textId="6813FFE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430,671</w:t>
            </w:r>
          </w:p>
        </w:tc>
      </w:tr>
      <w:tr w:rsidR="003527BD" w14:paraId="113B4047"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42DECFFB" w14:textId="523F46E9" w:rsidR="003527BD" w:rsidRPr="001D5D92" w:rsidRDefault="003527BD" w:rsidP="007F2D66">
            <w:pPr>
              <w:pStyle w:val="TableLeftText"/>
            </w:pPr>
            <w:r w:rsidRPr="001D5D92">
              <w:rPr>
                <w:color w:val="4A4D56"/>
              </w:rPr>
              <w:t>Midstream - HVAC</w:t>
            </w:r>
          </w:p>
        </w:tc>
        <w:tc>
          <w:tcPr>
            <w:tcW w:w="720" w:type="dxa"/>
            <w:tcBorders>
              <w:top w:val="none" w:sz="0" w:space="0" w:color="auto"/>
              <w:left w:val="none" w:sz="0" w:space="0" w:color="auto"/>
              <w:bottom w:val="none" w:sz="0" w:space="0" w:color="auto"/>
              <w:right w:val="none" w:sz="0" w:space="0" w:color="auto"/>
            </w:tcBorders>
          </w:tcPr>
          <w:p w14:paraId="78DDACDE" w14:textId="1968D42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13.1</w:t>
            </w:r>
          </w:p>
        </w:tc>
        <w:tc>
          <w:tcPr>
            <w:tcW w:w="1980" w:type="dxa"/>
            <w:tcBorders>
              <w:top w:val="none" w:sz="0" w:space="0" w:color="auto"/>
              <w:left w:val="none" w:sz="0" w:space="0" w:color="auto"/>
              <w:bottom w:val="none" w:sz="0" w:space="0" w:color="auto"/>
              <w:right w:val="none" w:sz="0" w:space="0" w:color="auto"/>
            </w:tcBorders>
          </w:tcPr>
          <w:p w14:paraId="6B3DB4EF" w14:textId="258454D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394</w:t>
            </w:r>
          </w:p>
        </w:tc>
        <w:tc>
          <w:tcPr>
            <w:tcW w:w="720" w:type="dxa"/>
            <w:tcBorders>
              <w:top w:val="none" w:sz="0" w:space="0" w:color="auto"/>
              <w:left w:val="none" w:sz="0" w:space="0" w:color="auto"/>
              <w:bottom w:val="none" w:sz="0" w:space="0" w:color="auto"/>
              <w:right w:val="none" w:sz="0" w:space="0" w:color="auto"/>
            </w:tcBorders>
          </w:tcPr>
          <w:p w14:paraId="3953316E" w14:textId="747D841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0.701</w:t>
            </w:r>
          </w:p>
        </w:tc>
        <w:tc>
          <w:tcPr>
            <w:tcW w:w="990" w:type="dxa"/>
            <w:gridSpan w:val="2"/>
            <w:tcBorders>
              <w:top w:val="none" w:sz="0" w:space="0" w:color="auto"/>
              <w:left w:val="none" w:sz="0" w:space="0" w:color="auto"/>
              <w:bottom w:val="none" w:sz="0" w:space="0" w:color="auto"/>
              <w:right w:val="none" w:sz="0" w:space="0" w:color="auto"/>
            </w:tcBorders>
          </w:tcPr>
          <w:p w14:paraId="479C257F" w14:textId="2BE0DDBC"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276</w:t>
            </w:r>
          </w:p>
        </w:tc>
        <w:tc>
          <w:tcPr>
            <w:tcW w:w="990" w:type="dxa"/>
            <w:tcBorders>
              <w:top w:val="none" w:sz="0" w:space="0" w:color="auto"/>
              <w:left w:val="none" w:sz="0" w:space="0" w:color="auto"/>
              <w:bottom w:val="none" w:sz="0" w:space="0" w:color="auto"/>
              <w:right w:val="none" w:sz="0" w:space="0" w:color="auto"/>
            </w:tcBorders>
          </w:tcPr>
          <w:p w14:paraId="4C575F7D" w14:textId="6820F41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276</w:t>
            </w:r>
          </w:p>
        </w:tc>
        <w:tc>
          <w:tcPr>
            <w:tcW w:w="990" w:type="dxa"/>
            <w:tcBorders>
              <w:top w:val="none" w:sz="0" w:space="0" w:color="auto"/>
              <w:left w:val="none" w:sz="0" w:space="0" w:color="auto"/>
              <w:bottom w:val="none" w:sz="0" w:space="0" w:color="auto"/>
              <w:right w:val="none" w:sz="0" w:space="0" w:color="auto"/>
            </w:tcBorders>
          </w:tcPr>
          <w:p w14:paraId="4EF71CE5" w14:textId="5FAC94F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276</w:t>
            </w:r>
          </w:p>
        </w:tc>
        <w:tc>
          <w:tcPr>
            <w:tcW w:w="990" w:type="dxa"/>
            <w:gridSpan w:val="2"/>
            <w:tcBorders>
              <w:top w:val="none" w:sz="0" w:space="0" w:color="auto"/>
              <w:left w:val="none" w:sz="0" w:space="0" w:color="auto"/>
              <w:bottom w:val="none" w:sz="0" w:space="0" w:color="auto"/>
              <w:right w:val="none" w:sz="0" w:space="0" w:color="auto"/>
            </w:tcBorders>
          </w:tcPr>
          <w:p w14:paraId="791C58E7" w14:textId="06EC85A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272</w:t>
            </w:r>
          </w:p>
        </w:tc>
        <w:tc>
          <w:tcPr>
            <w:tcW w:w="360" w:type="dxa"/>
            <w:tcBorders>
              <w:top w:val="none" w:sz="0" w:space="0" w:color="auto"/>
              <w:left w:val="none" w:sz="0" w:space="0" w:color="auto"/>
              <w:bottom w:val="none" w:sz="0" w:space="0" w:color="auto"/>
              <w:right w:val="none" w:sz="0" w:space="0" w:color="auto"/>
            </w:tcBorders>
          </w:tcPr>
          <w:p w14:paraId="4F8B7C58" w14:textId="071B57D9"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352E217F" w14:textId="5E7404C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249</w:t>
            </w:r>
          </w:p>
        </w:tc>
        <w:tc>
          <w:tcPr>
            <w:tcW w:w="362" w:type="dxa"/>
            <w:tcBorders>
              <w:top w:val="none" w:sz="0" w:space="0" w:color="auto"/>
              <w:left w:val="none" w:sz="0" w:space="0" w:color="auto"/>
              <w:bottom w:val="none" w:sz="0" w:space="0" w:color="auto"/>
              <w:right w:val="none" w:sz="0" w:space="0" w:color="auto"/>
            </w:tcBorders>
          </w:tcPr>
          <w:p w14:paraId="45C7E3B2" w14:textId="0AEEC4C6"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20770659" w14:textId="5C620778"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3,565</w:t>
            </w:r>
          </w:p>
        </w:tc>
      </w:tr>
      <w:tr w:rsidR="003527BD" w14:paraId="31C1BF9B"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91DA342" w14:textId="2B254795" w:rsidR="003527BD" w:rsidRPr="001D5D92" w:rsidRDefault="003527BD" w:rsidP="007F2D66">
            <w:pPr>
              <w:pStyle w:val="TableLeftText"/>
            </w:pPr>
            <w:r w:rsidRPr="001D5D92">
              <w:rPr>
                <w:color w:val="4A4D56"/>
              </w:rPr>
              <w:t>Midstream - Food Service</w:t>
            </w:r>
          </w:p>
        </w:tc>
        <w:tc>
          <w:tcPr>
            <w:tcW w:w="720" w:type="dxa"/>
            <w:tcBorders>
              <w:top w:val="none" w:sz="0" w:space="0" w:color="auto"/>
              <w:left w:val="none" w:sz="0" w:space="0" w:color="auto"/>
              <w:bottom w:val="none" w:sz="0" w:space="0" w:color="auto"/>
              <w:right w:val="none" w:sz="0" w:space="0" w:color="auto"/>
            </w:tcBorders>
          </w:tcPr>
          <w:p w14:paraId="710CEF0B" w14:textId="0C79E93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12.8</w:t>
            </w:r>
          </w:p>
        </w:tc>
        <w:tc>
          <w:tcPr>
            <w:tcW w:w="1980" w:type="dxa"/>
            <w:tcBorders>
              <w:top w:val="none" w:sz="0" w:space="0" w:color="auto"/>
              <w:left w:val="none" w:sz="0" w:space="0" w:color="auto"/>
              <w:bottom w:val="none" w:sz="0" w:space="0" w:color="auto"/>
              <w:right w:val="none" w:sz="0" w:space="0" w:color="auto"/>
            </w:tcBorders>
          </w:tcPr>
          <w:p w14:paraId="183B718F" w14:textId="52B2D6C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496</w:t>
            </w:r>
          </w:p>
        </w:tc>
        <w:tc>
          <w:tcPr>
            <w:tcW w:w="720" w:type="dxa"/>
            <w:tcBorders>
              <w:top w:val="none" w:sz="0" w:space="0" w:color="auto"/>
              <w:left w:val="none" w:sz="0" w:space="0" w:color="auto"/>
              <w:bottom w:val="none" w:sz="0" w:space="0" w:color="auto"/>
              <w:right w:val="none" w:sz="0" w:space="0" w:color="auto"/>
            </w:tcBorders>
          </w:tcPr>
          <w:p w14:paraId="3B803877" w14:textId="7A443020"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0.863</w:t>
            </w:r>
          </w:p>
        </w:tc>
        <w:tc>
          <w:tcPr>
            <w:tcW w:w="990" w:type="dxa"/>
            <w:gridSpan w:val="2"/>
            <w:tcBorders>
              <w:top w:val="none" w:sz="0" w:space="0" w:color="auto"/>
              <w:left w:val="none" w:sz="0" w:space="0" w:color="auto"/>
              <w:bottom w:val="none" w:sz="0" w:space="0" w:color="auto"/>
              <w:right w:val="none" w:sz="0" w:space="0" w:color="auto"/>
            </w:tcBorders>
          </w:tcPr>
          <w:p w14:paraId="41030BF1" w14:textId="3C320097"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428</w:t>
            </w:r>
          </w:p>
        </w:tc>
        <w:tc>
          <w:tcPr>
            <w:tcW w:w="990" w:type="dxa"/>
            <w:tcBorders>
              <w:top w:val="none" w:sz="0" w:space="0" w:color="auto"/>
              <w:left w:val="none" w:sz="0" w:space="0" w:color="auto"/>
              <w:bottom w:val="none" w:sz="0" w:space="0" w:color="auto"/>
              <w:right w:val="none" w:sz="0" w:space="0" w:color="auto"/>
            </w:tcBorders>
          </w:tcPr>
          <w:p w14:paraId="2CEDE6CE" w14:textId="67ADF8B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428</w:t>
            </w:r>
          </w:p>
        </w:tc>
        <w:tc>
          <w:tcPr>
            <w:tcW w:w="990" w:type="dxa"/>
            <w:tcBorders>
              <w:top w:val="none" w:sz="0" w:space="0" w:color="auto"/>
              <w:left w:val="none" w:sz="0" w:space="0" w:color="auto"/>
              <w:bottom w:val="none" w:sz="0" w:space="0" w:color="auto"/>
              <w:right w:val="none" w:sz="0" w:space="0" w:color="auto"/>
            </w:tcBorders>
          </w:tcPr>
          <w:p w14:paraId="3DBC46E6" w14:textId="7AE153E5"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428</w:t>
            </w:r>
          </w:p>
        </w:tc>
        <w:tc>
          <w:tcPr>
            <w:tcW w:w="990" w:type="dxa"/>
            <w:gridSpan w:val="2"/>
            <w:tcBorders>
              <w:top w:val="none" w:sz="0" w:space="0" w:color="auto"/>
              <w:left w:val="none" w:sz="0" w:space="0" w:color="auto"/>
              <w:bottom w:val="none" w:sz="0" w:space="0" w:color="auto"/>
              <w:right w:val="none" w:sz="0" w:space="0" w:color="auto"/>
            </w:tcBorders>
          </w:tcPr>
          <w:p w14:paraId="7AF8CC21" w14:textId="41364706"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428</w:t>
            </w:r>
          </w:p>
        </w:tc>
        <w:tc>
          <w:tcPr>
            <w:tcW w:w="360" w:type="dxa"/>
            <w:tcBorders>
              <w:top w:val="none" w:sz="0" w:space="0" w:color="auto"/>
              <w:left w:val="none" w:sz="0" w:space="0" w:color="auto"/>
              <w:bottom w:val="none" w:sz="0" w:space="0" w:color="auto"/>
              <w:right w:val="none" w:sz="0" w:space="0" w:color="auto"/>
            </w:tcBorders>
          </w:tcPr>
          <w:p w14:paraId="35BC0161" w14:textId="3ABA17CA"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088DB597" w14:textId="0565B16E"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428</w:t>
            </w:r>
          </w:p>
        </w:tc>
        <w:tc>
          <w:tcPr>
            <w:tcW w:w="362" w:type="dxa"/>
            <w:tcBorders>
              <w:top w:val="none" w:sz="0" w:space="0" w:color="auto"/>
              <w:left w:val="none" w:sz="0" w:space="0" w:color="auto"/>
              <w:bottom w:val="none" w:sz="0" w:space="0" w:color="auto"/>
              <w:right w:val="none" w:sz="0" w:space="0" w:color="auto"/>
            </w:tcBorders>
          </w:tcPr>
          <w:p w14:paraId="3F7C230B" w14:textId="29C93FC4"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185937E3" w14:textId="1E8F242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pPr>
            <w:r w:rsidRPr="001D5D92">
              <w:rPr>
                <w:color w:val="4A4D56"/>
              </w:rPr>
              <w:t>5,497</w:t>
            </w:r>
          </w:p>
        </w:tc>
      </w:tr>
      <w:tr w:rsidR="003527BD" w14:paraId="7FE22F2C"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single" w:sz="4" w:space="0" w:color="4A4D56" w:themeColor="text1"/>
              <w:right w:val="none" w:sz="0" w:space="0" w:color="auto"/>
            </w:tcBorders>
          </w:tcPr>
          <w:p w14:paraId="70E0635D" w14:textId="1C74BCEC" w:rsidR="003527BD" w:rsidRPr="001D5D92" w:rsidRDefault="003527BD" w:rsidP="007F2D66">
            <w:pPr>
              <w:pStyle w:val="TableLeftText"/>
            </w:pPr>
            <w:r w:rsidRPr="001D5D92">
              <w:rPr>
                <w:color w:val="4A4D56"/>
              </w:rPr>
              <w:t>Midstream - Carryover</w:t>
            </w:r>
          </w:p>
        </w:tc>
        <w:tc>
          <w:tcPr>
            <w:tcW w:w="720" w:type="dxa"/>
            <w:tcBorders>
              <w:top w:val="none" w:sz="0" w:space="0" w:color="auto"/>
              <w:left w:val="none" w:sz="0" w:space="0" w:color="auto"/>
              <w:bottom w:val="single" w:sz="4" w:space="0" w:color="4A4D56" w:themeColor="text1"/>
              <w:right w:val="none" w:sz="0" w:space="0" w:color="auto"/>
            </w:tcBorders>
          </w:tcPr>
          <w:p w14:paraId="6B50E09E" w14:textId="6C67458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14.6</w:t>
            </w:r>
          </w:p>
        </w:tc>
        <w:tc>
          <w:tcPr>
            <w:tcW w:w="1980" w:type="dxa"/>
            <w:tcBorders>
              <w:top w:val="none" w:sz="0" w:space="0" w:color="auto"/>
              <w:left w:val="none" w:sz="0" w:space="0" w:color="auto"/>
              <w:bottom w:val="none" w:sz="0" w:space="0" w:color="auto"/>
              <w:right w:val="none" w:sz="0" w:space="0" w:color="auto"/>
            </w:tcBorders>
          </w:tcPr>
          <w:p w14:paraId="18C5F4BA" w14:textId="4B27A3E3"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3,543</w:t>
            </w:r>
          </w:p>
        </w:tc>
        <w:tc>
          <w:tcPr>
            <w:tcW w:w="720" w:type="dxa"/>
            <w:tcBorders>
              <w:top w:val="none" w:sz="0" w:space="0" w:color="auto"/>
              <w:left w:val="none" w:sz="0" w:space="0" w:color="auto"/>
              <w:bottom w:val="none" w:sz="0" w:space="0" w:color="auto"/>
              <w:right w:val="none" w:sz="0" w:space="0" w:color="auto"/>
            </w:tcBorders>
          </w:tcPr>
          <w:p w14:paraId="7D4A49A0" w14:textId="52D6BF8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0.913</w:t>
            </w:r>
          </w:p>
        </w:tc>
        <w:tc>
          <w:tcPr>
            <w:tcW w:w="990" w:type="dxa"/>
            <w:gridSpan w:val="2"/>
            <w:tcBorders>
              <w:top w:val="none" w:sz="0" w:space="0" w:color="auto"/>
              <w:left w:val="none" w:sz="0" w:space="0" w:color="auto"/>
              <w:bottom w:val="none" w:sz="0" w:space="0" w:color="auto"/>
              <w:right w:val="none" w:sz="0" w:space="0" w:color="auto"/>
            </w:tcBorders>
          </w:tcPr>
          <w:p w14:paraId="25F778F6" w14:textId="650C0B9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3,235</w:t>
            </w:r>
          </w:p>
        </w:tc>
        <w:tc>
          <w:tcPr>
            <w:tcW w:w="990" w:type="dxa"/>
            <w:tcBorders>
              <w:top w:val="none" w:sz="0" w:space="0" w:color="auto"/>
              <w:left w:val="none" w:sz="0" w:space="0" w:color="auto"/>
              <w:bottom w:val="none" w:sz="0" w:space="0" w:color="auto"/>
              <w:right w:val="none" w:sz="0" w:space="0" w:color="auto"/>
            </w:tcBorders>
          </w:tcPr>
          <w:p w14:paraId="21E83655" w14:textId="371D04B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3,235</w:t>
            </w:r>
          </w:p>
        </w:tc>
        <w:tc>
          <w:tcPr>
            <w:tcW w:w="990" w:type="dxa"/>
            <w:tcBorders>
              <w:top w:val="none" w:sz="0" w:space="0" w:color="auto"/>
              <w:left w:val="none" w:sz="0" w:space="0" w:color="auto"/>
              <w:bottom w:val="none" w:sz="0" w:space="0" w:color="auto"/>
              <w:right w:val="none" w:sz="0" w:space="0" w:color="auto"/>
            </w:tcBorders>
          </w:tcPr>
          <w:p w14:paraId="647920DC" w14:textId="7B7F3BB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3,235</w:t>
            </w:r>
          </w:p>
        </w:tc>
        <w:tc>
          <w:tcPr>
            <w:tcW w:w="990" w:type="dxa"/>
            <w:gridSpan w:val="2"/>
            <w:tcBorders>
              <w:top w:val="none" w:sz="0" w:space="0" w:color="auto"/>
              <w:left w:val="none" w:sz="0" w:space="0" w:color="auto"/>
              <w:bottom w:val="none" w:sz="0" w:space="0" w:color="auto"/>
              <w:right w:val="none" w:sz="0" w:space="0" w:color="auto"/>
            </w:tcBorders>
          </w:tcPr>
          <w:p w14:paraId="15EE8ACA" w14:textId="71057C8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3,235</w:t>
            </w:r>
          </w:p>
        </w:tc>
        <w:tc>
          <w:tcPr>
            <w:tcW w:w="360" w:type="dxa"/>
            <w:tcBorders>
              <w:top w:val="none" w:sz="0" w:space="0" w:color="auto"/>
              <w:left w:val="none" w:sz="0" w:space="0" w:color="auto"/>
              <w:bottom w:val="none" w:sz="0" w:space="0" w:color="auto"/>
              <w:right w:val="none" w:sz="0" w:space="0" w:color="auto"/>
            </w:tcBorders>
          </w:tcPr>
          <w:p w14:paraId="7B4F2C50" w14:textId="44ADDF6F"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990" w:type="dxa"/>
            <w:tcBorders>
              <w:top w:val="none" w:sz="0" w:space="0" w:color="auto"/>
              <w:left w:val="none" w:sz="0" w:space="0" w:color="auto"/>
              <w:bottom w:val="none" w:sz="0" w:space="0" w:color="auto"/>
              <w:right w:val="none" w:sz="0" w:space="0" w:color="auto"/>
            </w:tcBorders>
          </w:tcPr>
          <w:p w14:paraId="2763FD76" w14:textId="006F3EE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3,190</w:t>
            </w:r>
          </w:p>
        </w:tc>
        <w:tc>
          <w:tcPr>
            <w:tcW w:w="362" w:type="dxa"/>
            <w:tcBorders>
              <w:top w:val="none" w:sz="0" w:space="0" w:color="auto"/>
              <w:left w:val="none" w:sz="0" w:space="0" w:color="auto"/>
              <w:bottom w:val="none" w:sz="0" w:space="0" w:color="auto"/>
              <w:right w:val="none" w:sz="0" w:space="0" w:color="auto"/>
            </w:tcBorders>
          </w:tcPr>
          <w:p w14:paraId="41FF7035" w14:textId="366E090B"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pPr>
            <w:r w:rsidRPr="001D5D92">
              <w:rPr>
                <w:color w:val="4A4D56"/>
              </w:rPr>
              <w:t>…</w:t>
            </w:r>
          </w:p>
        </w:tc>
        <w:tc>
          <w:tcPr>
            <w:tcW w:w="1559" w:type="dxa"/>
            <w:tcBorders>
              <w:top w:val="none" w:sz="0" w:space="0" w:color="auto"/>
              <w:left w:val="none" w:sz="0" w:space="0" w:color="auto"/>
              <w:bottom w:val="none" w:sz="0" w:space="0" w:color="auto"/>
              <w:right w:val="none" w:sz="0" w:space="0" w:color="auto"/>
            </w:tcBorders>
          </w:tcPr>
          <w:p w14:paraId="7F808102" w14:textId="47776A5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pPr>
            <w:r w:rsidRPr="001D5D92">
              <w:rPr>
                <w:color w:val="4A4D56"/>
              </w:rPr>
              <w:t>46,989</w:t>
            </w:r>
          </w:p>
        </w:tc>
      </w:tr>
      <w:tr w:rsidR="001D5D92" w14:paraId="5B06D9A8"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right w:val="nil"/>
            </w:tcBorders>
            <w:shd w:val="clear" w:color="auto" w:fill="D9D9D9"/>
          </w:tcPr>
          <w:p w14:paraId="1BE94D19" w14:textId="371C8576" w:rsidR="003527BD" w:rsidRPr="001D5D92" w:rsidRDefault="003527BD" w:rsidP="007F2D66">
            <w:pPr>
              <w:pStyle w:val="TableLeftText"/>
              <w:rPr>
                <w:rFonts w:ascii="Franklin Gothic Medium" w:hAnsi="Franklin Gothic Medium"/>
              </w:rPr>
            </w:pPr>
            <w:r w:rsidRPr="001D5D92">
              <w:rPr>
                <w:rFonts w:ascii="Franklin Gothic Medium" w:hAnsi="Franklin Gothic Medium"/>
                <w:color w:val="4A4D56"/>
              </w:rPr>
              <w:t>2024 Business Program CPAS</w:t>
            </w:r>
          </w:p>
        </w:tc>
        <w:tc>
          <w:tcPr>
            <w:tcW w:w="720" w:type="dxa"/>
            <w:tcBorders>
              <w:left w:val="nil"/>
              <w:bottom w:val="single" w:sz="4" w:space="0" w:color="4A4D56" w:themeColor="text1"/>
            </w:tcBorders>
            <w:shd w:val="clear" w:color="auto" w:fill="D9D9D9"/>
          </w:tcPr>
          <w:p w14:paraId="603F78BE" w14:textId="3E84BCAC"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1980" w:type="dxa"/>
            <w:tcBorders>
              <w:bottom w:val="single" w:sz="4" w:space="0" w:color="4A4D56" w:themeColor="text1"/>
            </w:tcBorders>
            <w:shd w:val="clear" w:color="auto" w:fill="D9D9D9"/>
          </w:tcPr>
          <w:p w14:paraId="7E0807DB" w14:textId="057EB889"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192,</w:t>
            </w:r>
            <w:r w:rsidR="00FF19C8" w:rsidRPr="001D5D92">
              <w:rPr>
                <w:rFonts w:ascii="Franklin Gothic Medium" w:hAnsi="Franklin Gothic Medium"/>
                <w:color w:val="4A4D56"/>
              </w:rPr>
              <w:t>719</w:t>
            </w:r>
          </w:p>
        </w:tc>
        <w:tc>
          <w:tcPr>
            <w:tcW w:w="720" w:type="dxa"/>
            <w:tcBorders>
              <w:bottom w:val="single" w:sz="4" w:space="0" w:color="4A4D56" w:themeColor="text1"/>
            </w:tcBorders>
            <w:shd w:val="clear" w:color="auto" w:fill="D9D9D9"/>
          </w:tcPr>
          <w:p w14:paraId="15225FE9" w14:textId="4B7C7D63"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0.910</w:t>
            </w:r>
          </w:p>
        </w:tc>
        <w:tc>
          <w:tcPr>
            <w:tcW w:w="990" w:type="dxa"/>
            <w:gridSpan w:val="2"/>
            <w:shd w:val="clear" w:color="auto" w:fill="D9D9D9"/>
          </w:tcPr>
          <w:p w14:paraId="62C63127" w14:textId="31D08760"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175,3</w:t>
            </w:r>
            <w:r w:rsidR="00FF19C8" w:rsidRPr="001D5D92">
              <w:rPr>
                <w:rFonts w:ascii="Franklin Gothic Medium" w:hAnsi="Franklin Gothic Medium"/>
                <w:color w:val="4A4D56"/>
              </w:rPr>
              <w:t>38</w:t>
            </w:r>
          </w:p>
        </w:tc>
        <w:tc>
          <w:tcPr>
            <w:tcW w:w="990" w:type="dxa"/>
            <w:shd w:val="clear" w:color="auto" w:fill="D9D9D9"/>
          </w:tcPr>
          <w:p w14:paraId="68589841" w14:textId="02456EEE"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175,3</w:t>
            </w:r>
            <w:r w:rsidR="00FF19C8" w:rsidRPr="001D5D92">
              <w:rPr>
                <w:rFonts w:ascii="Franklin Gothic Medium" w:hAnsi="Franklin Gothic Medium"/>
                <w:color w:val="4A4D56"/>
              </w:rPr>
              <w:t>38</w:t>
            </w:r>
          </w:p>
        </w:tc>
        <w:tc>
          <w:tcPr>
            <w:tcW w:w="990" w:type="dxa"/>
            <w:shd w:val="clear" w:color="auto" w:fill="D9D9D9"/>
          </w:tcPr>
          <w:p w14:paraId="29D5F5D1" w14:textId="6FAEB7A1"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175,26</w:t>
            </w:r>
            <w:r w:rsidR="00FF19C8" w:rsidRPr="001D5D92">
              <w:rPr>
                <w:rFonts w:ascii="Franklin Gothic Medium" w:hAnsi="Franklin Gothic Medium"/>
                <w:color w:val="4A4D56"/>
              </w:rPr>
              <w:t>6</w:t>
            </w:r>
          </w:p>
        </w:tc>
        <w:tc>
          <w:tcPr>
            <w:tcW w:w="990" w:type="dxa"/>
            <w:gridSpan w:val="2"/>
            <w:shd w:val="clear" w:color="auto" w:fill="D9D9D9"/>
          </w:tcPr>
          <w:p w14:paraId="1044249A" w14:textId="04A7082B"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173,4</w:t>
            </w:r>
            <w:r w:rsidR="00FF19C8" w:rsidRPr="001D5D92">
              <w:rPr>
                <w:rFonts w:ascii="Franklin Gothic Medium" w:hAnsi="Franklin Gothic Medium"/>
                <w:color w:val="4A4D56"/>
              </w:rPr>
              <w:t>09</w:t>
            </w:r>
          </w:p>
        </w:tc>
        <w:tc>
          <w:tcPr>
            <w:tcW w:w="360" w:type="dxa"/>
            <w:shd w:val="clear" w:color="auto" w:fill="D9D9D9"/>
          </w:tcPr>
          <w:p w14:paraId="213CDAF9" w14:textId="10177EFC"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990" w:type="dxa"/>
            <w:shd w:val="clear" w:color="auto" w:fill="D9D9D9"/>
          </w:tcPr>
          <w:p w14:paraId="36A950AF" w14:textId="0DF8501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169,58</w:t>
            </w:r>
            <w:r w:rsidR="00FF19C8" w:rsidRPr="001D5D92">
              <w:rPr>
                <w:rFonts w:ascii="Franklin Gothic Medium" w:hAnsi="Franklin Gothic Medium"/>
                <w:color w:val="4A4D56"/>
              </w:rPr>
              <w:t>0</w:t>
            </w:r>
          </w:p>
        </w:tc>
        <w:tc>
          <w:tcPr>
            <w:tcW w:w="362" w:type="dxa"/>
            <w:shd w:val="clear" w:color="auto" w:fill="D9D9D9"/>
          </w:tcPr>
          <w:p w14:paraId="18891554" w14:textId="79EAD363"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1559" w:type="dxa"/>
            <w:tcBorders>
              <w:bottom w:val="single" w:sz="4" w:space="0" w:color="4A4D56" w:themeColor="text1"/>
            </w:tcBorders>
            <w:shd w:val="clear" w:color="auto" w:fill="D9D9D9"/>
          </w:tcPr>
          <w:p w14:paraId="5E04037E" w14:textId="60C04AE0"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2,51</w:t>
            </w:r>
            <w:r w:rsidR="00FF19C8" w:rsidRPr="001D5D92">
              <w:rPr>
                <w:rFonts w:ascii="Franklin Gothic Medium" w:hAnsi="Franklin Gothic Medium"/>
                <w:color w:val="4A4D56"/>
              </w:rPr>
              <w:t>7</w:t>
            </w:r>
            <w:r w:rsidRPr="001D5D92">
              <w:rPr>
                <w:rFonts w:ascii="Franklin Gothic Medium" w:hAnsi="Franklin Gothic Medium"/>
                <w:color w:val="4A4D56"/>
              </w:rPr>
              <w:t>,</w:t>
            </w:r>
            <w:r w:rsidR="00FF19C8" w:rsidRPr="001D5D92">
              <w:rPr>
                <w:rFonts w:ascii="Franklin Gothic Medium" w:hAnsi="Franklin Gothic Medium"/>
                <w:color w:val="4A4D56"/>
              </w:rPr>
              <w:t>077</w:t>
            </w:r>
          </w:p>
        </w:tc>
      </w:tr>
      <w:tr w:rsidR="001D5D92" w14:paraId="2BC0D044"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right w:val="nil"/>
            </w:tcBorders>
            <w:shd w:val="clear" w:color="auto" w:fill="D9D9D9"/>
          </w:tcPr>
          <w:p w14:paraId="30D8D68D" w14:textId="43C14E27" w:rsidR="003527BD" w:rsidRPr="001D5D92" w:rsidRDefault="003527BD" w:rsidP="007F2D66">
            <w:pPr>
              <w:pStyle w:val="TableLeftText"/>
              <w:rPr>
                <w:rFonts w:ascii="Franklin Gothic Medium" w:hAnsi="Franklin Gothic Medium"/>
              </w:rPr>
            </w:pPr>
            <w:r w:rsidRPr="001D5D92">
              <w:rPr>
                <w:rFonts w:ascii="Franklin Gothic Medium" w:hAnsi="Franklin Gothic Medium"/>
                <w:color w:val="4A4D56"/>
              </w:rPr>
              <w:t>Expiring 2024 Business Program CPAS</w:t>
            </w:r>
          </w:p>
        </w:tc>
        <w:tc>
          <w:tcPr>
            <w:tcW w:w="720" w:type="dxa"/>
            <w:tcBorders>
              <w:left w:val="nil"/>
              <w:right w:val="nil"/>
            </w:tcBorders>
            <w:shd w:val="clear" w:color="auto" w:fill="D9D9D9"/>
          </w:tcPr>
          <w:p w14:paraId="09ABB4DF" w14:textId="615DABA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1980" w:type="dxa"/>
            <w:tcBorders>
              <w:left w:val="nil"/>
              <w:right w:val="nil"/>
            </w:tcBorders>
            <w:shd w:val="clear" w:color="auto" w:fill="D9D9D9"/>
          </w:tcPr>
          <w:p w14:paraId="1B4673BB" w14:textId="397BFF31"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720" w:type="dxa"/>
            <w:tcBorders>
              <w:left w:val="nil"/>
            </w:tcBorders>
            <w:shd w:val="clear" w:color="auto" w:fill="D9D9D9"/>
          </w:tcPr>
          <w:p w14:paraId="78D2808E" w14:textId="5F70A879"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990" w:type="dxa"/>
            <w:gridSpan w:val="2"/>
            <w:shd w:val="clear" w:color="auto" w:fill="D9D9D9"/>
          </w:tcPr>
          <w:p w14:paraId="3E9ACD8F" w14:textId="0424640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0</w:t>
            </w:r>
          </w:p>
        </w:tc>
        <w:tc>
          <w:tcPr>
            <w:tcW w:w="990" w:type="dxa"/>
            <w:shd w:val="clear" w:color="auto" w:fill="D9D9D9"/>
          </w:tcPr>
          <w:p w14:paraId="53CCB818" w14:textId="2EB19204"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0</w:t>
            </w:r>
          </w:p>
        </w:tc>
        <w:tc>
          <w:tcPr>
            <w:tcW w:w="990" w:type="dxa"/>
            <w:shd w:val="clear" w:color="auto" w:fill="D9D9D9"/>
          </w:tcPr>
          <w:p w14:paraId="6FBF660E" w14:textId="1A03FFCF"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72</w:t>
            </w:r>
          </w:p>
        </w:tc>
        <w:tc>
          <w:tcPr>
            <w:tcW w:w="990" w:type="dxa"/>
            <w:gridSpan w:val="2"/>
            <w:shd w:val="clear" w:color="auto" w:fill="D9D9D9"/>
          </w:tcPr>
          <w:p w14:paraId="1CBB1229" w14:textId="1ACFB5BA"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1,857</w:t>
            </w:r>
          </w:p>
        </w:tc>
        <w:tc>
          <w:tcPr>
            <w:tcW w:w="360" w:type="dxa"/>
            <w:shd w:val="clear" w:color="auto" w:fill="D9D9D9"/>
          </w:tcPr>
          <w:p w14:paraId="4FB47819" w14:textId="709BD349"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990" w:type="dxa"/>
            <w:shd w:val="clear" w:color="auto" w:fill="D9D9D9"/>
          </w:tcPr>
          <w:p w14:paraId="597042AE" w14:textId="611EF706"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1,453</w:t>
            </w:r>
          </w:p>
        </w:tc>
        <w:tc>
          <w:tcPr>
            <w:tcW w:w="362" w:type="dxa"/>
            <w:shd w:val="clear" w:color="auto" w:fill="D9D9D9"/>
          </w:tcPr>
          <w:p w14:paraId="42BAE0C2" w14:textId="6239C956" w:rsidR="003527BD" w:rsidRPr="001D5D92" w:rsidRDefault="003527BD" w:rsidP="001D5D92">
            <w:pPr>
              <w:pStyle w:val="TableCenterTex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1559" w:type="dxa"/>
            <w:tcBorders>
              <w:bottom w:val="nil"/>
              <w:right w:val="nil"/>
            </w:tcBorders>
          </w:tcPr>
          <w:p w14:paraId="164D3A43"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1D5D92" w14:paraId="067CC4C1"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right w:val="nil"/>
            </w:tcBorders>
            <w:shd w:val="clear" w:color="auto" w:fill="D9D9D9"/>
          </w:tcPr>
          <w:p w14:paraId="1F0295D3" w14:textId="670D5159" w:rsidR="003527BD" w:rsidRPr="001D5D92" w:rsidRDefault="003527BD" w:rsidP="007F2D66">
            <w:pPr>
              <w:pStyle w:val="TableLeftText"/>
              <w:rPr>
                <w:rFonts w:ascii="Franklin Gothic Medium" w:hAnsi="Franklin Gothic Medium"/>
              </w:rPr>
            </w:pPr>
            <w:r w:rsidRPr="001D5D92">
              <w:rPr>
                <w:rFonts w:ascii="Franklin Gothic Medium" w:hAnsi="Franklin Gothic Medium"/>
                <w:color w:val="4A4D56"/>
              </w:rPr>
              <w:t>Expired 2024 Business Program CPAS</w:t>
            </w:r>
          </w:p>
        </w:tc>
        <w:tc>
          <w:tcPr>
            <w:tcW w:w="720" w:type="dxa"/>
            <w:tcBorders>
              <w:left w:val="nil"/>
              <w:right w:val="nil"/>
            </w:tcBorders>
            <w:shd w:val="clear" w:color="auto" w:fill="D9D9D9"/>
          </w:tcPr>
          <w:p w14:paraId="413A8051" w14:textId="53BBC1B8"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1980" w:type="dxa"/>
            <w:tcBorders>
              <w:left w:val="nil"/>
              <w:bottom w:val="single" w:sz="4" w:space="0" w:color="4A4D56" w:themeColor="text1"/>
              <w:right w:val="nil"/>
            </w:tcBorders>
            <w:shd w:val="clear" w:color="auto" w:fill="D9D9D9"/>
          </w:tcPr>
          <w:p w14:paraId="7C5973E5" w14:textId="56AE4EC0"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720" w:type="dxa"/>
            <w:tcBorders>
              <w:left w:val="nil"/>
              <w:bottom w:val="single" w:sz="4" w:space="0" w:color="4A4D56" w:themeColor="text1"/>
            </w:tcBorders>
            <w:shd w:val="clear" w:color="auto" w:fill="D9D9D9"/>
          </w:tcPr>
          <w:p w14:paraId="0EC01B8B" w14:textId="1841C88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 </w:t>
            </w:r>
          </w:p>
        </w:tc>
        <w:tc>
          <w:tcPr>
            <w:tcW w:w="990" w:type="dxa"/>
            <w:gridSpan w:val="2"/>
            <w:tcBorders>
              <w:bottom w:val="single" w:sz="4" w:space="0" w:color="4A4D56" w:themeColor="text1"/>
            </w:tcBorders>
            <w:shd w:val="clear" w:color="auto" w:fill="D9D9D9"/>
          </w:tcPr>
          <w:p w14:paraId="7AED6701" w14:textId="3E2980A8"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0</w:t>
            </w:r>
          </w:p>
        </w:tc>
        <w:tc>
          <w:tcPr>
            <w:tcW w:w="990" w:type="dxa"/>
            <w:tcBorders>
              <w:bottom w:val="single" w:sz="4" w:space="0" w:color="4A4D56" w:themeColor="text1"/>
            </w:tcBorders>
            <w:shd w:val="clear" w:color="auto" w:fill="D9D9D9"/>
          </w:tcPr>
          <w:p w14:paraId="00958475" w14:textId="0D5FBD0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0</w:t>
            </w:r>
          </w:p>
        </w:tc>
        <w:tc>
          <w:tcPr>
            <w:tcW w:w="990" w:type="dxa"/>
            <w:tcBorders>
              <w:bottom w:val="single" w:sz="4" w:space="0" w:color="4A4D56" w:themeColor="text1"/>
            </w:tcBorders>
            <w:shd w:val="clear" w:color="auto" w:fill="D9D9D9"/>
          </w:tcPr>
          <w:p w14:paraId="03072FFC" w14:textId="4F23992A"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72</w:t>
            </w:r>
          </w:p>
        </w:tc>
        <w:tc>
          <w:tcPr>
            <w:tcW w:w="990" w:type="dxa"/>
            <w:gridSpan w:val="2"/>
            <w:tcBorders>
              <w:bottom w:val="single" w:sz="4" w:space="0" w:color="4A4D56" w:themeColor="text1"/>
            </w:tcBorders>
            <w:shd w:val="clear" w:color="auto" w:fill="D9D9D9"/>
          </w:tcPr>
          <w:p w14:paraId="45C881DB" w14:textId="588278BD"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1,929</w:t>
            </w:r>
          </w:p>
        </w:tc>
        <w:tc>
          <w:tcPr>
            <w:tcW w:w="360" w:type="dxa"/>
            <w:tcBorders>
              <w:bottom w:val="single" w:sz="4" w:space="0" w:color="4A4D56" w:themeColor="text1"/>
            </w:tcBorders>
            <w:shd w:val="clear" w:color="auto" w:fill="D9D9D9"/>
          </w:tcPr>
          <w:p w14:paraId="382A9373" w14:textId="7015239E"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990" w:type="dxa"/>
            <w:tcBorders>
              <w:bottom w:val="single" w:sz="4" w:space="0" w:color="4A4D56" w:themeColor="text1"/>
            </w:tcBorders>
            <w:shd w:val="clear" w:color="auto" w:fill="D9D9D9"/>
          </w:tcPr>
          <w:p w14:paraId="546768AF" w14:textId="1D332C22"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5,758</w:t>
            </w:r>
          </w:p>
        </w:tc>
        <w:tc>
          <w:tcPr>
            <w:tcW w:w="362" w:type="dxa"/>
            <w:tcBorders>
              <w:bottom w:val="single" w:sz="4" w:space="0" w:color="4A4D56" w:themeColor="text1"/>
            </w:tcBorders>
            <w:shd w:val="clear" w:color="auto" w:fill="D9D9D9"/>
          </w:tcPr>
          <w:p w14:paraId="1E27ED79" w14:textId="1DD09D4B" w:rsidR="003527BD" w:rsidRPr="001D5D92" w:rsidRDefault="003527BD" w:rsidP="001D5D92">
            <w:pPr>
              <w:pStyle w:val="TableCenter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w:t>
            </w:r>
          </w:p>
        </w:tc>
        <w:tc>
          <w:tcPr>
            <w:tcW w:w="1559" w:type="dxa"/>
            <w:tcBorders>
              <w:top w:val="nil"/>
              <w:bottom w:val="nil"/>
              <w:right w:val="nil"/>
            </w:tcBorders>
          </w:tcPr>
          <w:p w14:paraId="7CCE0402" w14:textId="77777777" w:rsidR="003527BD" w:rsidRPr="001D5D92" w:rsidRDefault="003527BD" w:rsidP="007F2D66">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3527BD" w14:paraId="2514023E"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shd w:val="clear" w:color="auto" w:fill="D9D9D9"/>
          </w:tcPr>
          <w:p w14:paraId="7B94D5AF" w14:textId="121D69A3" w:rsidR="003527BD" w:rsidRPr="001D5D92" w:rsidRDefault="003527BD" w:rsidP="007F2D66">
            <w:pPr>
              <w:pStyle w:val="TableLeftText"/>
              <w:rPr>
                <w:rFonts w:ascii="Franklin Gothic Medium" w:hAnsi="Franklin Gothic Medium"/>
              </w:rPr>
            </w:pPr>
            <w:r w:rsidRPr="001D5D92">
              <w:rPr>
                <w:rFonts w:ascii="Franklin Gothic Medium" w:hAnsi="Franklin Gothic Medium"/>
                <w:color w:val="4A4D56"/>
              </w:rPr>
              <w:t>WAML</w:t>
            </w:r>
          </w:p>
        </w:tc>
        <w:tc>
          <w:tcPr>
            <w:tcW w:w="720" w:type="dxa"/>
            <w:tcBorders>
              <w:top w:val="none" w:sz="0" w:space="0" w:color="auto"/>
              <w:left w:val="none" w:sz="0" w:space="0" w:color="auto"/>
              <w:bottom w:val="none" w:sz="0" w:space="0" w:color="auto"/>
              <w:right w:val="none" w:sz="0" w:space="0" w:color="auto"/>
            </w:tcBorders>
            <w:shd w:val="clear" w:color="auto" w:fill="D9D9D9"/>
          </w:tcPr>
          <w:p w14:paraId="17D695E9" w14:textId="43F1871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1D5D92">
              <w:rPr>
                <w:rFonts w:ascii="Franklin Gothic Medium" w:hAnsi="Franklin Gothic Medium"/>
                <w:color w:val="4A4D56"/>
              </w:rPr>
              <w:t>14.6</w:t>
            </w:r>
          </w:p>
        </w:tc>
        <w:tc>
          <w:tcPr>
            <w:tcW w:w="1980" w:type="dxa"/>
            <w:tcBorders>
              <w:top w:val="none" w:sz="0" w:space="0" w:color="auto"/>
              <w:left w:val="none" w:sz="0" w:space="0" w:color="auto"/>
              <w:bottom w:val="nil"/>
              <w:right w:val="nil"/>
            </w:tcBorders>
          </w:tcPr>
          <w:p w14:paraId="1E41BE86"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720" w:type="dxa"/>
            <w:tcBorders>
              <w:top w:val="none" w:sz="0" w:space="0" w:color="auto"/>
              <w:left w:val="nil"/>
              <w:bottom w:val="nil"/>
              <w:right w:val="nil"/>
            </w:tcBorders>
          </w:tcPr>
          <w:p w14:paraId="5B36DAF8"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top w:val="none" w:sz="0" w:space="0" w:color="auto"/>
              <w:left w:val="nil"/>
              <w:bottom w:val="nil"/>
              <w:right w:val="nil"/>
            </w:tcBorders>
          </w:tcPr>
          <w:p w14:paraId="627B3016"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2"/>
            <w:tcBorders>
              <w:top w:val="none" w:sz="0" w:space="0" w:color="auto"/>
              <w:left w:val="nil"/>
              <w:bottom w:val="nil"/>
              <w:right w:val="nil"/>
            </w:tcBorders>
          </w:tcPr>
          <w:p w14:paraId="2AF0AD96"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gridSpan w:val="2"/>
            <w:tcBorders>
              <w:top w:val="none" w:sz="0" w:space="0" w:color="auto"/>
              <w:left w:val="nil"/>
              <w:bottom w:val="nil"/>
              <w:right w:val="nil"/>
            </w:tcBorders>
          </w:tcPr>
          <w:p w14:paraId="6E40150D"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00" w:type="dxa"/>
            <w:tcBorders>
              <w:top w:val="none" w:sz="0" w:space="0" w:color="auto"/>
              <w:left w:val="nil"/>
              <w:bottom w:val="nil"/>
              <w:right w:val="nil"/>
            </w:tcBorders>
          </w:tcPr>
          <w:p w14:paraId="2B749174"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0" w:type="dxa"/>
            <w:tcBorders>
              <w:top w:val="none" w:sz="0" w:space="0" w:color="auto"/>
              <w:left w:val="nil"/>
              <w:bottom w:val="nil"/>
              <w:right w:val="nil"/>
            </w:tcBorders>
          </w:tcPr>
          <w:p w14:paraId="31FCE130"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90" w:type="dxa"/>
            <w:tcBorders>
              <w:top w:val="none" w:sz="0" w:space="0" w:color="auto"/>
              <w:left w:val="nil"/>
              <w:bottom w:val="nil"/>
              <w:right w:val="nil"/>
            </w:tcBorders>
          </w:tcPr>
          <w:p w14:paraId="4D57C44E"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62" w:type="dxa"/>
            <w:tcBorders>
              <w:top w:val="none" w:sz="0" w:space="0" w:color="auto"/>
              <w:left w:val="nil"/>
              <w:bottom w:val="nil"/>
              <w:right w:val="nil"/>
            </w:tcBorders>
          </w:tcPr>
          <w:p w14:paraId="3B12C452"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559" w:type="dxa"/>
            <w:tcBorders>
              <w:top w:val="nil"/>
              <w:left w:val="nil"/>
              <w:bottom w:val="nil"/>
              <w:right w:val="nil"/>
            </w:tcBorders>
          </w:tcPr>
          <w:p w14:paraId="5A024B6A" w14:textId="77777777" w:rsidR="003527BD" w:rsidRPr="001D5D92" w:rsidRDefault="003527BD" w:rsidP="007F2D66">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2FE59651" w14:textId="77777777" w:rsidR="00144C50" w:rsidRPr="00144C50" w:rsidRDefault="00144C50" w:rsidP="00144C50"/>
    <w:p w14:paraId="0C0BC334" w14:textId="487EB2C7" w:rsidR="00144C50" w:rsidRDefault="00144C50" w:rsidP="00144C50">
      <w:pPr>
        <w:sectPr w:rsidR="00144C50" w:rsidSect="00144C50">
          <w:pgSz w:w="15840" w:h="12240" w:orient="landscape" w:code="1"/>
          <w:pgMar w:top="562" w:right="562" w:bottom="562" w:left="562" w:header="562" w:footer="346" w:gutter="0"/>
          <w:cols w:space="708"/>
          <w:docGrid w:linePitch="360"/>
        </w:sectPr>
      </w:pPr>
    </w:p>
    <w:p w14:paraId="36A09F72" w14:textId="0CB46F25" w:rsidR="002E7602" w:rsidRDefault="002E7602" w:rsidP="002E7602">
      <w:pPr>
        <w:pStyle w:val="Heading1"/>
      </w:pPr>
      <w:bookmarkStart w:id="23" w:name="_Toc191992400"/>
      <w:bookmarkStart w:id="24" w:name="_Toc192766899"/>
      <w:r>
        <w:lastRenderedPageBreak/>
        <w:t>Evaluation Approach</w:t>
      </w:r>
      <w:bookmarkEnd w:id="23"/>
      <w:bookmarkEnd w:id="24"/>
    </w:p>
    <w:p w14:paraId="0119B964" w14:textId="5FB5F1E8" w:rsidR="00BF2D6B" w:rsidRPr="00BF2D6B" w:rsidRDefault="00BF2D6B" w:rsidP="00BF2D6B">
      <w:r>
        <w:t xml:space="preserve">The following section of the report describes the evaluation approach taken for the 2024 Business Program impact evaluation. As part of the evaluation process, the evaluation team applied versions of the Illinois Energy Efficiency Policy Manual and the Illinois Technical Reference Manual (IL-TRM) applicable to the 2024 program year (Version </w:t>
      </w:r>
      <w:r w:rsidR="00D177E5">
        <w:t>3</w:t>
      </w:r>
      <w:r>
        <w:t>.</w:t>
      </w:r>
      <w:r w:rsidR="00D177E5">
        <w:t>0</w:t>
      </w:r>
      <w:r w:rsidR="006E3975">
        <w:t xml:space="preserve"> [V3.0]</w:t>
      </w:r>
      <w:r w:rsidR="00703617">
        <w:rPr>
          <w:rStyle w:val="FootnoteReference"/>
        </w:rPr>
        <w:footnoteReference w:id="9"/>
      </w:r>
      <w:r>
        <w:t xml:space="preserve"> and Version </w:t>
      </w:r>
      <w:r w:rsidR="00D177E5">
        <w:t>12</w:t>
      </w:r>
      <w:r>
        <w:t>.</w:t>
      </w:r>
      <w:r w:rsidR="00D177E5">
        <w:t>0</w:t>
      </w:r>
      <w:r>
        <w:t xml:space="preserve"> [V</w:t>
      </w:r>
      <w:r w:rsidR="00D177E5">
        <w:t>12</w:t>
      </w:r>
      <w:r>
        <w:t>.</w:t>
      </w:r>
      <w:r w:rsidR="00D177E5">
        <w:t>0</w:t>
      </w:r>
      <w:r>
        <w:t>], respectively) wherever relevant.</w:t>
      </w:r>
      <w:r w:rsidR="00703617">
        <w:rPr>
          <w:rStyle w:val="FootnoteReference"/>
        </w:rPr>
        <w:footnoteReference w:id="10"/>
      </w:r>
      <w:r>
        <w:t xml:space="preserve"> </w:t>
      </w:r>
      <w:r w:rsidR="00703617">
        <w:fldChar w:fldCharType="begin"/>
      </w:r>
      <w:r w:rsidR="00703617">
        <w:instrText xml:space="preserve"> REF _Ref187157397 \n \h </w:instrText>
      </w:r>
      <w:r w:rsidR="00703617">
        <w:fldChar w:fldCharType="separate"/>
      </w:r>
      <w:r w:rsidR="00AA10F4">
        <w:t>Appendix A</w:t>
      </w:r>
      <w:r w:rsidR="00703617">
        <w:fldChar w:fldCharType="end"/>
      </w:r>
      <w:r w:rsidR="00703617">
        <w:t xml:space="preserve"> </w:t>
      </w:r>
      <w:r w:rsidR="00793A6F">
        <w:t>of this report provides more detailed, initiative-specific methodology where appropriate.</w:t>
      </w:r>
    </w:p>
    <w:p w14:paraId="24864E5C" w14:textId="5D200FEC" w:rsidR="002E7602" w:rsidRDefault="002E7602" w:rsidP="002E7602">
      <w:pPr>
        <w:pStyle w:val="Heading2"/>
      </w:pPr>
      <w:bookmarkStart w:id="25" w:name="_Toc191992401"/>
      <w:bookmarkStart w:id="26" w:name="_Toc192766900"/>
      <w:r>
        <w:t>Research Objectives and Evaluation Approach</w:t>
      </w:r>
      <w:bookmarkEnd w:id="25"/>
      <w:bookmarkEnd w:id="26"/>
    </w:p>
    <w:p w14:paraId="168A5923" w14:textId="660FD4BE" w:rsidR="009A5962" w:rsidRDefault="009A5962" w:rsidP="009A5962">
      <w:r>
        <w:t xml:space="preserve">The overarching research </w:t>
      </w:r>
      <w:r w:rsidR="00D92710">
        <w:t>objectives</w:t>
      </w:r>
      <w:r>
        <w:t xml:space="preserve"> for the impact evaluation of AIC’s 2024 Business Program are as follows: </w:t>
      </w:r>
    </w:p>
    <w:p w14:paraId="08849A85" w14:textId="2F0CB648" w:rsidR="009A5962" w:rsidRDefault="009A5962" w:rsidP="009A5962">
      <w:pPr>
        <w:pStyle w:val="ListBullet"/>
      </w:pPr>
      <w:r>
        <w:t>Estimate the gross energy</w:t>
      </w:r>
      <w:r w:rsidR="00D92710">
        <w:t xml:space="preserve">, </w:t>
      </w:r>
      <w:r>
        <w:t>demand</w:t>
      </w:r>
      <w:r w:rsidR="00D92710">
        <w:t>, and gas</w:t>
      </w:r>
      <w:r>
        <w:t xml:space="preserve"> impacts from the Program</w:t>
      </w:r>
    </w:p>
    <w:p w14:paraId="3097F56F" w14:textId="7DFF4246" w:rsidR="009A5962" w:rsidRDefault="009A5962" w:rsidP="009A5962">
      <w:pPr>
        <w:pStyle w:val="ListBullet"/>
      </w:pPr>
      <w:r>
        <w:t>Estimate the net energy</w:t>
      </w:r>
      <w:r w:rsidR="00D92710">
        <w:t>,</w:t>
      </w:r>
      <w:r>
        <w:t xml:space="preserve"> demand</w:t>
      </w:r>
      <w:r w:rsidR="00D92710">
        <w:t>, and gas</w:t>
      </w:r>
      <w:r>
        <w:t xml:space="preserve"> impacts from the Program</w:t>
      </w:r>
    </w:p>
    <w:p w14:paraId="75DC0D85" w14:textId="69BCE993" w:rsidR="00CD45F2" w:rsidRDefault="00260EB8" w:rsidP="00CD45F2">
      <w:r>
        <w:t xml:space="preserve">We met these objectives by conducting the impact evaluation activities </w:t>
      </w:r>
      <w:r w:rsidR="00CD45F2">
        <w:t xml:space="preserve">listed in </w:t>
      </w:r>
      <w:r w:rsidR="00D177E5">
        <w:fldChar w:fldCharType="begin"/>
      </w:r>
      <w:r w:rsidR="00D177E5">
        <w:instrText xml:space="preserve"> REF _Ref187243283 \h </w:instrText>
      </w:r>
      <w:r w:rsidR="00D177E5">
        <w:fldChar w:fldCharType="separate"/>
      </w:r>
      <w:r w:rsidR="00AA10F4">
        <w:t xml:space="preserve">Table </w:t>
      </w:r>
      <w:r w:rsidR="00AA10F4">
        <w:rPr>
          <w:noProof/>
        </w:rPr>
        <w:t>5</w:t>
      </w:r>
      <w:r w:rsidR="00D177E5">
        <w:fldChar w:fldCharType="end"/>
      </w:r>
      <w:r w:rsidR="00CD45F2">
        <w:t xml:space="preserve">. In addition, we reviewed initiative materials and interviewed initiative managers. </w:t>
      </w:r>
    </w:p>
    <w:p w14:paraId="1776A418" w14:textId="5749EB9C" w:rsidR="00CD45F2" w:rsidRDefault="00CD45F2" w:rsidP="00881B1B">
      <w:pPr>
        <w:pStyle w:val="Caption"/>
      </w:pPr>
      <w:bookmarkStart w:id="27" w:name="_Ref187243283"/>
      <w:bookmarkStart w:id="28" w:name="_Toc191992526"/>
      <w:bookmarkStart w:id="29" w:name="_Toc192766939"/>
      <w:r>
        <w:t xml:space="preserve">Table </w:t>
      </w:r>
      <w:r w:rsidR="009B4C9A">
        <w:fldChar w:fldCharType="begin"/>
      </w:r>
      <w:r w:rsidR="009B4C9A">
        <w:instrText xml:space="preserve"> SEQ Table \* ARABIC </w:instrText>
      </w:r>
      <w:r w:rsidR="009B4C9A">
        <w:fldChar w:fldCharType="separate"/>
      </w:r>
      <w:r w:rsidR="00AA10F4">
        <w:rPr>
          <w:noProof/>
        </w:rPr>
        <w:t>5</w:t>
      </w:r>
      <w:r w:rsidR="009B4C9A">
        <w:rPr>
          <w:noProof/>
        </w:rPr>
        <w:fldChar w:fldCharType="end"/>
      </w:r>
      <w:bookmarkEnd w:id="27"/>
      <w:r>
        <w:t>. 2024 Business Program Impact Evaluation Activities</w:t>
      </w:r>
      <w:bookmarkEnd w:id="28"/>
      <w:bookmarkEnd w:id="29"/>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tblCellMar>
        <w:tblLook w:val="04A0" w:firstRow="1" w:lastRow="0" w:firstColumn="1" w:lastColumn="0" w:noHBand="0" w:noVBand="1"/>
      </w:tblPr>
      <w:tblGrid>
        <w:gridCol w:w="1435"/>
        <w:gridCol w:w="1957"/>
        <w:gridCol w:w="1823"/>
        <w:gridCol w:w="2160"/>
        <w:gridCol w:w="1890"/>
        <w:gridCol w:w="1792"/>
      </w:tblGrid>
      <w:tr w:rsidR="003527BD" w14:paraId="16ED2BA9" w14:textId="77777777" w:rsidTr="00612B6A">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1435" w:type="dxa"/>
            <w:vMerge w:val="restart"/>
            <w:tcBorders>
              <w:top w:val="none" w:sz="0" w:space="0" w:color="auto"/>
              <w:left w:val="none" w:sz="0" w:space="0" w:color="auto"/>
              <w:bottom w:val="none" w:sz="0" w:space="0" w:color="auto"/>
              <w:right w:val="none" w:sz="0" w:space="0" w:color="auto"/>
            </w:tcBorders>
          </w:tcPr>
          <w:p w14:paraId="11BA04A0" w14:textId="5FAA8655" w:rsidR="003527BD" w:rsidRPr="00625570" w:rsidRDefault="003527BD" w:rsidP="007F2D66">
            <w:pPr>
              <w:pStyle w:val="TableHeadingLeft"/>
            </w:pPr>
            <w:r>
              <w:t>Initiative</w:t>
            </w:r>
          </w:p>
        </w:tc>
        <w:tc>
          <w:tcPr>
            <w:tcW w:w="7830" w:type="dxa"/>
            <w:gridSpan w:val="4"/>
          </w:tcPr>
          <w:p w14:paraId="4D8BD66D" w14:textId="1B32CD15" w:rsidR="003527BD" w:rsidRPr="00625570" w:rsidRDefault="003527BD" w:rsidP="00276E8D">
            <w:pPr>
              <w:pStyle w:val="TableHeadingCentered"/>
              <w:cnfStyle w:val="100000000000" w:firstRow="1" w:lastRow="0" w:firstColumn="0" w:lastColumn="0" w:oddVBand="0" w:evenVBand="0" w:oddHBand="0" w:evenHBand="0" w:firstRowFirstColumn="0" w:firstRowLastColumn="0" w:lastRowFirstColumn="0" w:lastRowLastColumn="0"/>
            </w:pPr>
            <w:r>
              <w:t>Gross Impacts</w:t>
            </w:r>
          </w:p>
        </w:tc>
        <w:tc>
          <w:tcPr>
            <w:tcW w:w="1792" w:type="dxa"/>
          </w:tcPr>
          <w:p w14:paraId="08AE0472" w14:textId="46F2B98D" w:rsidR="003527BD" w:rsidRPr="00625570" w:rsidRDefault="003527BD" w:rsidP="00276E8D">
            <w:pPr>
              <w:pStyle w:val="TableHeadingCentered"/>
              <w:cnfStyle w:val="100000000000" w:firstRow="1" w:lastRow="0" w:firstColumn="0" w:lastColumn="0" w:oddVBand="0" w:evenVBand="0" w:oddHBand="0" w:evenHBand="0" w:firstRowFirstColumn="0" w:firstRowLastColumn="0" w:lastRowFirstColumn="0" w:lastRowLastColumn="0"/>
            </w:pPr>
            <w:r>
              <w:t>Net Impacts</w:t>
            </w:r>
          </w:p>
        </w:tc>
      </w:tr>
      <w:tr w:rsidR="003527BD" w14:paraId="771B2BCB" w14:textId="77777777" w:rsidTr="00612B6A">
        <w:trPr>
          <w:cnfStyle w:val="100000000000" w:firstRow="1" w:lastRow="0" w:firstColumn="0" w:lastColumn="0" w:oddVBand="0" w:evenVBand="0" w:oddHBand="0" w:evenHBand="0" w:firstRowFirstColumn="0" w:firstRowLastColumn="0" w:lastRowFirstColumn="0" w:lastRowLastColumn="0"/>
          <w:cantSplit/>
          <w:trHeight w:val="340"/>
          <w:tblHeader/>
        </w:trPr>
        <w:tc>
          <w:tcPr>
            <w:cnfStyle w:val="001000000000" w:firstRow="0" w:lastRow="0" w:firstColumn="1" w:lastColumn="0" w:oddVBand="0" w:evenVBand="0" w:oddHBand="0" w:evenHBand="0" w:firstRowFirstColumn="0" w:firstRowLastColumn="0" w:lastRowFirstColumn="0" w:lastRowLastColumn="0"/>
            <w:tcW w:w="1435" w:type="dxa"/>
            <w:vMerge/>
            <w:tcBorders>
              <w:top w:val="none" w:sz="0" w:space="0" w:color="auto"/>
              <w:left w:val="none" w:sz="0" w:space="0" w:color="auto"/>
              <w:bottom w:val="none" w:sz="0" w:space="0" w:color="auto"/>
              <w:right w:val="none" w:sz="0" w:space="0" w:color="auto"/>
            </w:tcBorders>
          </w:tcPr>
          <w:p w14:paraId="23B0A63F" w14:textId="77777777" w:rsidR="003527BD" w:rsidRPr="00625570" w:rsidRDefault="003527BD" w:rsidP="007F2D66">
            <w:pPr>
              <w:pStyle w:val="ODTable"/>
              <w:suppressAutoHyphens/>
              <w:ind w:left="72"/>
              <w:jc w:val="left"/>
              <w:rPr>
                <w:sz w:val="18"/>
                <w:szCs w:val="18"/>
              </w:rPr>
            </w:pPr>
          </w:p>
        </w:tc>
        <w:tc>
          <w:tcPr>
            <w:tcW w:w="1957" w:type="dxa"/>
            <w:tcBorders>
              <w:bottom w:val="none" w:sz="0" w:space="0" w:color="auto"/>
            </w:tcBorders>
          </w:tcPr>
          <w:p w14:paraId="4AE68D09" w14:textId="01B6694B" w:rsidR="003527BD" w:rsidRPr="00625570" w:rsidRDefault="003527BD" w:rsidP="003527BD">
            <w:pPr>
              <w:pStyle w:val="TableHeadingCentered"/>
              <w:cnfStyle w:val="100000000000" w:firstRow="1" w:lastRow="0" w:firstColumn="0" w:lastColumn="0" w:oddVBand="0" w:evenVBand="0" w:oddHBand="0" w:evenHBand="0" w:firstRowFirstColumn="0" w:firstRowLastColumn="0" w:lastRowFirstColumn="0" w:lastRowLastColumn="0"/>
              <w:rPr>
                <w:rFonts w:cs="Calibri"/>
              </w:rPr>
            </w:pPr>
            <w:r w:rsidRPr="0082716D">
              <w:t>IL-TRM Application Review</w:t>
            </w:r>
          </w:p>
        </w:tc>
        <w:tc>
          <w:tcPr>
            <w:tcW w:w="1823" w:type="dxa"/>
            <w:tcBorders>
              <w:bottom w:val="none" w:sz="0" w:space="0" w:color="auto"/>
            </w:tcBorders>
          </w:tcPr>
          <w:p w14:paraId="09BD7D6C" w14:textId="5B3DEB9F" w:rsidR="003527BD" w:rsidRPr="00625570" w:rsidRDefault="003527BD" w:rsidP="003527BD">
            <w:pPr>
              <w:pStyle w:val="TableHeadingCentered"/>
              <w:cnfStyle w:val="100000000000" w:firstRow="1" w:lastRow="0" w:firstColumn="0" w:lastColumn="0" w:oddVBand="0" w:evenVBand="0" w:oddHBand="0" w:evenHBand="0" w:firstRowFirstColumn="0" w:firstRowLastColumn="0" w:lastRowFirstColumn="0" w:lastRowLastColumn="0"/>
            </w:pPr>
            <w:r w:rsidRPr="0082716D">
              <w:t>Engineering Desk Reviews</w:t>
            </w:r>
          </w:p>
        </w:tc>
        <w:tc>
          <w:tcPr>
            <w:tcW w:w="2160" w:type="dxa"/>
            <w:tcBorders>
              <w:bottom w:val="none" w:sz="0" w:space="0" w:color="auto"/>
            </w:tcBorders>
          </w:tcPr>
          <w:p w14:paraId="458141F8" w14:textId="1A6648EB" w:rsidR="003527BD" w:rsidRPr="00625570" w:rsidRDefault="003527BD" w:rsidP="003527BD">
            <w:pPr>
              <w:pStyle w:val="TableHeadingCentered"/>
              <w:cnfStyle w:val="100000000000" w:firstRow="1" w:lastRow="0" w:firstColumn="0" w:lastColumn="0" w:oddVBand="0" w:evenVBand="0" w:oddHBand="0" w:evenHBand="0" w:firstRowFirstColumn="0" w:firstRowLastColumn="0" w:lastRowFirstColumn="0" w:lastRowLastColumn="0"/>
            </w:pPr>
            <w:r w:rsidRPr="0082716D">
              <w:t>On-Site Measurement and Verification (M&amp;V)</w:t>
            </w:r>
          </w:p>
        </w:tc>
        <w:tc>
          <w:tcPr>
            <w:tcW w:w="1890" w:type="dxa"/>
            <w:tcBorders>
              <w:bottom w:val="none" w:sz="0" w:space="0" w:color="auto"/>
            </w:tcBorders>
          </w:tcPr>
          <w:p w14:paraId="0ACCA79B" w14:textId="107F8136" w:rsidR="003527BD" w:rsidRPr="00625570" w:rsidRDefault="003527BD" w:rsidP="003527BD">
            <w:pPr>
              <w:pStyle w:val="TableHeadingCentered"/>
              <w:cnfStyle w:val="100000000000" w:firstRow="1" w:lastRow="0" w:firstColumn="0" w:lastColumn="0" w:oddVBand="0" w:evenVBand="0" w:oddHBand="0" w:evenHBand="0" w:firstRowFirstColumn="0" w:firstRowLastColumn="0" w:lastRowFirstColumn="0" w:lastRowLastColumn="0"/>
            </w:pPr>
            <w:r w:rsidRPr="0082716D">
              <w:t>Consumption Analysis</w:t>
            </w:r>
          </w:p>
        </w:tc>
        <w:tc>
          <w:tcPr>
            <w:tcW w:w="1792" w:type="dxa"/>
            <w:tcBorders>
              <w:bottom w:val="none" w:sz="0" w:space="0" w:color="auto"/>
            </w:tcBorders>
          </w:tcPr>
          <w:p w14:paraId="684696FC" w14:textId="5D0DF2E8" w:rsidR="003527BD" w:rsidRPr="00625570" w:rsidRDefault="003527BD" w:rsidP="003527BD">
            <w:pPr>
              <w:pStyle w:val="TableHeadingCentered"/>
              <w:cnfStyle w:val="100000000000" w:firstRow="1" w:lastRow="0" w:firstColumn="0" w:lastColumn="0" w:oddVBand="0" w:evenVBand="0" w:oddHBand="0" w:evenHBand="0" w:firstRowFirstColumn="0" w:firstRowLastColumn="0" w:lastRowFirstColumn="0" w:lastRowLastColumn="0"/>
            </w:pPr>
            <w:r w:rsidRPr="0082716D">
              <w:t>Application of SAG-Approved NTGRs</w:t>
            </w:r>
          </w:p>
        </w:tc>
      </w:tr>
      <w:tr w:rsidR="003527BD" w14:paraId="07EC2A99"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686BFA50" w14:textId="1C2E87EF" w:rsidR="003527BD" w:rsidRPr="001C50B5" w:rsidRDefault="003527BD" w:rsidP="007F2D66">
            <w:pPr>
              <w:pStyle w:val="TableLeftText"/>
            </w:pPr>
            <w:r w:rsidRPr="0082716D">
              <w:t>Standard</w:t>
            </w:r>
          </w:p>
        </w:tc>
        <w:tc>
          <w:tcPr>
            <w:tcW w:w="1957" w:type="dxa"/>
            <w:tcBorders>
              <w:top w:val="none" w:sz="0" w:space="0" w:color="auto"/>
              <w:left w:val="none" w:sz="0" w:space="0" w:color="auto"/>
              <w:bottom w:val="none" w:sz="0" w:space="0" w:color="auto"/>
              <w:right w:val="none" w:sz="0" w:space="0" w:color="auto"/>
            </w:tcBorders>
          </w:tcPr>
          <w:p w14:paraId="116EBABD" w14:textId="6A649CB4"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1823" w:type="dxa"/>
            <w:tcBorders>
              <w:top w:val="none" w:sz="0" w:space="0" w:color="auto"/>
              <w:left w:val="none" w:sz="0" w:space="0" w:color="auto"/>
              <w:bottom w:val="none" w:sz="0" w:space="0" w:color="auto"/>
              <w:right w:val="none" w:sz="0" w:space="0" w:color="auto"/>
            </w:tcBorders>
          </w:tcPr>
          <w:p w14:paraId="5FFE98CF" w14:textId="30DC86E0"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2160" w:type="dxa"/>
            <w:tcBorders>
              <w:top w:val="none" w:sz="0" w:space="0" w:color="auto"/>
              <w:left w:val="none" w:sz="0" w:space="0" w:color="auto"/>
              <w:bottom w:val="none" w:sz="0" w:space="0" w:color="auto"/>
              <w:right w:val="none" w:sz="0" w:space="0" w:color="auto"/>
            </w:tcBorders>
          </w:tcPr>
          <w:p w14:paraId="45392739"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1890" w:type="dxa"/>
            <w:tcBorders>
              <w:top w:val="none" w:sz="0" w:space="0" w:color="auto"/>
              <w:left w:val="none" w:sz="0" w:space="0" w:color="auto"/>
              <w:bottom w:val="none" w:sz="0" w:space="0" w:color="auto"/>
              <w:right w:val="none" w:sz="0" w:space="0" w:color="auto"/>
            </w:tcBorders>
          </w:tcPr>
          <w:p w14:paraId="3CA2905F"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1792" w:type="dxa"/>
            <w:tcBorders>
              <w:top w:val="none" w:sz="0" w:space="0" w:color="auto"/>
              <w:left w:val="none" w:sz="0" w:space="0" w:color="auto"/>
              <w:bottom w:val="none" w:sz="0" w:space="0" w:color="auto"/>
              <w:right w:val="none" w:sz="0" w:space="0" w:color="auto"/>
            </w:tcBorders>
          </w:tcPr>
          <w:p w14:paraId="43895E1C" w14:textId="172EFEEB"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3527BD" w14:paraId="710543AC"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2E2870BF" w14:textId="40219D50" w:rsidR="003527BD" w:rsidRPr="001C50B5" w:rsidRDefault="003527BD" w:rsidP="007F2D66">
            <w:pPr>
              <w:pStyle w:val="TableLeftText"/>
            </w:pPr>
            <w:r w:rsidRPr="0082716D">
              <w:t>Custom</w:t>
            </w:r>
          </w:p>
        </w:tc>
        <w:tc>
          <w:tcPr>
            <w:tcW w:w="1957" w:type="dxa"/>
            <w:tcBorders>
              <w:top w:val="none" w:sz="0" w:space="0" w:color="auto"/>
              <w:left w:val="none" w:sz="0" w:space="0" w:color="auto"/>
              <w:bottom w:val="none" w:sz="0" w:space="0" w:color="auto"/>
              <w:right w:val="none" w:sz="0" w:space="0" w:color="auto"/>
            </w:tcBorders>
          </w:tcPr>
          <w:p w14:paraId="607A1FA2"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1823" w:type="dxa"/>
            <w:tcBorders>
              <w:top w:val="none" w:sz="0" w:space="0" w:color="auto"/>
              <w:left w:val="none" w:sz="0" w:space="0" w:color="auto"/>
              <w:bottom w:val="none" w:sz="0" w:space="0" w:color="auto"/>
              <w:right w:val="none" w:sz="0" w:space="0" w:color="auto"/>
            </w:tcBorders>
          </w:tcPr>
          <w:p w14:paraId="481C784C" w14:textId="00F6320D"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c>
          <w:tcPr>
            <w:tcW w:w="2160" w:type="dxa"/>
            <w:tcBorders>
              <w:top w:val="none" w:sz="0" w:space="0" w:color="auto"/>
              <w:left w:val="none" w:sz="0" w:space="0" w:color="auto"/>
              <w:bottom w:val="none" w:sz="0" w:space="0" w:color="auto"/>
              <w:right w:val="none" w:sz="0" w:space="0" w:color="auto"/>
            </w:tcBorders>
          </w:tcPr>
          <w:p w14:paraId="073FCB69" w14:textId="7FEAC46E"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c>
          <w:tcPr>
            <w:tcW w:w="1890" w:type="dxa"/>
            <w:tcBorders>
              <w:top w:val="none" w:sz="0" w:space="0" w:color="auto"/>
              <w:left w:val="none" w:sz="0" w:space="0" w:color="auto"/>
              <w:bottom w:val="none" w:sz="0" w:space="0" w:color="auto"/>
              <w:right w:val="none" w:sz="0" w:space="0" w:color="auto"/>
            </w:tcBorders>
          </w:tcPr>
          <w:p w14:paraId="356B3FC8" w14:textId="6C7EBA81"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r w:rsidRPr="001F3663">
              <w:rPr>
                <w:vertAlign w:val="superscript"/>
              </w:rPr>
              <w:t>a</w:t>
            </w:r>
          </w:p>
        </w:tc>
        <w:tc>
          <w:tcPr>
            <w:tcW w:w="1792" w:type="dxa"/>
            <w:tcBorders>
              <w:top w:val="none" w:sz="0" w:space="0" w:color="auto"/>
              <w:left w:val="none" w:sz="0" w:space="0" w:color="auto"/>
              <w:bottom w:val="none" w:sz="0" w:space="0" w:color="auto"/>
              <w:right w:val="none" w:sz="0" w:space="0" w:color="auto"/>
            </w:tcBorders>
          </w:tcPr>
          <w:p w14:paraId="6E7A9DD1" w14:textId="54C5C6B2"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r>
      <w:tr w:rsidR="003527BD" w14:paraId="7113A537"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2B2A61BC" w14:textId="649CD675" w:rsidR="003527BD" w:rsidRPr="001C50B5" w:rsidRDefault="003527BD" w:rsidP="007F2D66">
            <w:pPr>
              <w:pStyle w:val="TableLeftText"/>
            </w:pPr>
            <w:r w:rsidRPr="0082716D">
              <w:t>RCx</w:t>
            </w:r>
          </w:p>
        </w:tc>
        <w:tc>
          <w:tcPr>
            <w:tcW w:w="1957" w:type="dxa"/>
            <w:tcBorders>
              <w:top w:val="none" w:sz="0" w:space="0" w:color="auto"/>
              <w:left w:val="none" w:sz="0" w:space="0" w:color="auto"/>
              <w:bottom w:val="none" w:sz="0" w:space="0" w:color="auto"/>
              <w:right w:val="none" w:sz="0" w:space="0" w:color="auto"/>
            </w:tcBorders>
          </w:tcPr>
          <w:p w14:paraId="13F4367A"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1823" w:type="dxa"/>
            <w:tcBorders>
              <w:top w:val="none" w:sz="0" w:space="0" w:color="auto"/>
              <w:left w:val="none" w:sz="0" w:space="0" w:color="auto"/>
              <w:bottom w:val="none" w:sz="0" w:space="0" w:color="auto"/>
              <w:right w:val="none" w:sz="0" w:space="0" w:color="auto"/>
            </w:tcBorders>
          </w:tcPr>
          <w:p w14:paraId="1ADA9D3F" w14:textId="426480CB"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2160" w:type="dxa"/>
            <w:tcBorders>
              <w:top w:val="none" w:sz="0" w:space="0" w:color="auto"/>
              <w:left w:val="none" w:sz="0" w:space="0" w:color="auto"/>
              <w:bottom w:val="none" w:sz="0" w:space="0" w:color="auto"/>
              <w:right w:val="none" w:sz="0" w:space="0" w:color="auto"/>
            </w:tcBorders>
          </w:tcPr>
          <w:p w14:paraId="4FCF32D5" w14:textId="24ADB554"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1890" w:type="dxa"/>
            <w:tcBorders>
              <w:top w:val="none" w:sz="0" w:space="0" w:color="auto"/>
              <w:left w:val="none" w:sz="0" w:space="0" w:color="auto"/>
              <w:bottom w:val="none" w:sz="0" w:space="0" w:color="auto"/>
              <w:right w:val="none" w:sz="0" w:space="0" w:color="auto"/>
            </w:tcBorders>
          </w:tcPr>
          <w:p w14:paraId="5ADDF104" w14:textId="3712193B"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1792" w:type="dxa"/>
            <w:tcBorders>
              <w:top w:val="none" w:sz="0" w:space="0" w:color="auto"/>
              <w:left w:val="none" w:sz="0" w:space="0" w:color="auto"/>
              <w:bottom w:val="none" w:sz="0" w:space="0" w:color="auto"/>
              <w:right w:val="none" w:sz="0" w:space="0" w:color="auto"/>
            </w:tcBorders>
          </w:tcPr>
          <w:p w14:paraId="0F7405EA" w14:textId="4C5EAB5F"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3527BD" w14:paraId="592F5543"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0A2ADB92" w14:textId="6FFEC605" w:rsidR="003527BD" w:rsidRPr="001C50B5" w:rsidRDefault="003527BD" w:rsidP="007F2D66">
            <w:pPr>
              <w:pStyle w:val="TableLeftText"/>
            </w:pPr>
            <w:r w:rsidRPr="0082716D">
              <w:t>Streetlighting</w:t>
            </w:r>
          </w:p>
        </w:tc>
        <w:tc>
          <w:tcPr>
            <w:tcW w:w="1957" w:type="dxa"/>
            <w:tcBorders>
              <w:top w:val="none" w:sz="0" w:space="0" w:color="auto"/>
              <w:left w:val="none" w:sz="0" w:space="0" w:color="auto"/>
              <w:bottom w:val="none" w:sz="0" w:space="0" w:color="auto"/>
              <w:right w:val="none" w:sz="0" w:space="0" w:color="auto"/>
            </w:tcBorders>
          </w:tcPr>
          <w:p w14:paraId="2936150E" w14:textId="66E14B8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c>
          <w:tcPr>
            <w:tcW w:w="1823" w:type="dxa"/>
            <w:tcBorders>
              <w:top w:val="none" w:sz="0" w:space="0" w:color="auto"/>
              <w:left w:val="none" w:sz="0" w:space="0" w:color="auto"/>
              <w:bottom w:val="none" w:sz="0" w:space="0" w:color="auto"/>
              <w:right w:val="none" w:sz="0" w:space="0" w:color="auto"/>
            </w:tcBorders>
          </w:tcPr>
          <w:p w14:paraId="1AD28996"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2160" w:type="dxa"/>
            <w:tcBorders>
              <w:top w:val="none" w:sz="0" w:space="0" w:color="auto"/>
              <w:left w:val="none" w:sz="0" w:space="0" w:color="auto"/>
              <w:bottom w:val="none" w:sz="0" w:space="0" w:color="auto"/>
              <w:right w:val="none" w:sz="0" w:space="0" w:color="auto"/>
            </w:tcBorders>
          </w:tcPr>
          <w:p w14:paraId="19F50E9E"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1890" w:type="dxa"/>
            <w:tcBorders>
              <w:top w:val="none" w:sz="0" w:space="0" w:color="auto"/>
              <w:left w:val="none" w:sz="0" w:space="0" w:color="auto"/>
              <w:bottom w:val="none" w:sz="0" w:space="0" w:color="auto"/>
              <w:right w:val="none" w:sz="0" w:space="0" w:color="auto"/>
            </w:tcBorders>
          </w:tcPr>
          <w:p w14:paraId="693E960B"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rPr>
                <w:rFonts w:cs="Calibri"/>
              </w:rPr>
            </w:pPr>
          </w:p>
        </w:tc>
        <w:tc>
          <w:tcPr>
            <w:tcW w:w="1792" w:type="dxa"/>
            <w:tcBorders>
              <w:top w:val="none" w:sz="0" w:space="0" w:color="auto"/>
              <w:left w:val="none" w:sz="0" w:space="0" w:color="auto"/>
              <w:bottom w:val="none" w:sz="0" w:space="0" w:color="auto"/>
              <w:right w:val="none" w:sz="0" w:space="0" w:color="auto"/>
            </w:tcBorders>
          </w:tcPr>
          <w:p w14:paraId="210F0B40" w14:textId="6C1B6916"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r>
      <w:tr w:rsidR="003527BD" w14:paraId="7F48EF94" w14:textId="77777777" w:rsidTr="00612B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07E6E254" w14:textId="37B5EABE" w:rsidR="003527BD" w:rsidRPr="001C50B5" w:rsidRDefault="003527BD" w:rsidP="007F2D66">
            <w:pPr>
              <w:pStyle w:val="TableLeftText"/>
            </w:pPr>
            <w:r w:rsidRPr="0082716D">
              <w:t>Small Business</w:t>
            </w:r>
          </w:p>
        </w:tc>
        <w:tc>
          <w:tcPr>
            <w:tcW w:w="1957" w:type="dxa"/>
            <w:tcBorders>
              <w:top w:val="none" w:sz="0" w:space="0" w:color="auto"/>
              <w:left w:val="none" w:sz="0" w:space="0" w:color="auto"/>
              <w:bottom w:val="none" w:sz="0" w:space="0" w:color="auto"/>
              <w:right w:val="none" w:sz="0" w:space="0" w:color="auto"/>
            </w:tcBorders>
          </w:tcPr>
          <w:p w14:paraId="3F857513" w14:textId="729B522C"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c>
          <w:tcPr>
            <w:tcW w:w="1823" w:type="dxa"/>
            <w:tcBorders>
              <w:top w:val="none" w:sz="0" w:space="0" w:color="auto"/>
              <w:left w:val="none" w:sz="0" w:space="0" w:color="auto"/>
              <w:bottom w:val="none" w:sz="0" w:space="0" w:color="auto"/>
              <w:right w:val="none" w:sz="0" w:space="0" w:color="auto"/>
            </w:tcBorders>
          </w:tcPr>
          <w:p w14:paraId="7DE93B75"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2160" w:type="dxa"/>
            <w:tcBorders>
              <w:top w:val="none" w:sz="0" w:space="0" w:color="auto"/>
              <w:left w:val="none" w:sz="0" w:space="0" w:color="auto"/>
              <w:bottom w:val="none" w:sz="0" w:space="0" w:color="auto"/>
              <w:right w:val="none" w:sz="0" w:space="0" w:color="auto"/>
            </w:tcBorders>
          </w:tcPr>
          <w:p w14:paraId="779AE45F"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1890" w:type="dxa"/>
            <w:tcBorders>
              <w:top w:val="none" w:sz="0" w:space="0" w:color="auto"/>
              <w:left w:val="none" w:sz="0" w:space="0" w:color="auto"/>
              <w:bottom w:val="none" w:sz="0" w:space="0" w:color="auto"/>
              <w:right w:val="none" w:sz="0" w:space="0" w:color="auto"/>
            </w:tcBorders>
          </w:tcPr>
          <w:p w14:paraId="0C380DDF" w14:textId="77777777"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p>
        </w:tc>
        <w:tc>
          <w:tcPr>
            <w:tcW w:w="1792" w:type="dxa"/>
            <w:tcBorders>
              <w:top w:val="none" w:sz="0" w:space="0" w:color="auto"/>
              <w:left w:val="none" w:sz="0" w:space="0" w:color="auto"/>
              <w:bottom w:val="none" w:sz="0" w:space="0" w:color="auto"/>
              <w:right w:val="none" w:sz="0" w:space="0" w:color="auto"/>
            </w:tcBorders>
          </w:tcPr>
          <w:p w14:paraId="5D78D324" w14:textId="4BAC5274" w:rsidR="003527BD" w:rsidRPr="00FA3A09" w:rsidRDefault="003527BD" w:rsidP="003527BD">
            <w:pPr>
              <w:pStyle w:val="TableCenterText"/>
              <w:cnfStyle w:val="000000100000" w:firstRow="0" w:lastRow="0" w:firstColumn="0" w:lastColumn="0" w:oddVBand="0" w:evenVBand="0" w:oddHBand="1" w:evenHBand="0" w:firstRowFirstColumn="0" w:firstRowLastColumn="0" w:lastRowFirstColumn="0" w:lastRowLastColumn="0"/>
            </w:pPr>
            <w:r>
              <w:rPr>
                <w:rFonts w:ascii="Wingdings 2" w:hAnsi="Wingdings 2"/>
              </w:rPr>
              <w:t>P</w:t>
            </w:r>
          </w:p>
        </w:tc>
      </w:tr>
      <w:tr w:rsidR="003527BD" w14:paraId="6BF15E8F" w14:textId="77777777" w:rsidTr="00612B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435" w:type="dxa"/>
            <w:tcBorders>
              <w:top w:val="none" w:sz="0" w:space="0" w:color="auto"/>
              <w:left w:val="none" w:sz="0" w:space="0" w:color="auto"/>
              <w:bottom w:val="none" w:sz="0" w:space="0" w:color="auto"/>
              <w:right w:val="none" w:sz="0" w:space="0" w:color="auto"/>
            </w:tcBorders>
          </w:tcPr>
          <w:p w14:paraId="2C1C095D" w14:textId="396FBC70" w:rsidR="003527BD" w:rsidRPr="001C50B5" w:rsidRDefault="003527BD" w:rsidP="007F2D66">
            <w:pPr>
              <w:pStyle w:val="TableLeftText"/>
            </w:pPr>
            <w:r w:rsidRPr="0082716D">
              <w:t>Midstream</w:t>
            </w:r>
          </w:p>
        </w:tc>
        <w:tc>
          <w:tcPr>
            <w:tcW w:w="1957" w:type="dxa"/>
            <w:tcBorders>
              <w:top w:val="none" w:sz="0" w:space="0" w:color="auto"/>
              <w:left w:val="none" w:sz="0" w:space="0" w:color="auto"/>
              <w:bottom w:val="none" w:sz="0" w:space="0" w:color="auto"/>
              <w:right w:val="none" w:sz="0" w:space="0" w:color="auto"/>
            </w:tcBorders>
          </w:tcPr>
          <w:p w14:paraId="4A9FED5B" w14:textId="2CE3F858"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c>
          <w:tcPr>
            <w:tcW w:w="1823" w:type="dxa"/>
            <w:tcBorders>
              <w:top w:val="none" w:sz="0" w:space="0" w:color="auto"/>
              <w:left w:val="none" w:sz="0" w:space="0" w:color="auto"/>
              <w:bottom w:val="none" w:sz="0" w:space="0" w:color="auto"/>
              <w:right w:val="none" w:sz="0" w:space="0" w:color="auto"/>
            </w:tcBorders>
          </w:tcPr>
          <w:p w14:paraId="74619B37"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2160" w:type="dxa"/>
            <w:tcBorders>
              <w:top w:val="none" w:sz="0" w:space="0" w:color="auto"/>
              <w:left w:val="none" w:sz="0" w:space="0" w:color="auto"/>
              <w:bottom w:val="none" w:sz="0" w:space="0" w:color="auto"/>
              <w:right w:val="none" w:sz="0" w:space="0" w:color="auto"/>
            </w:tcBorders>
          </w:tcPr>
          <w:p w14:paraId="5F8C810B"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1890" w:type="dxa"/>
            <w:tcBorders>
              <w:top w:val="none" w:sz="0" w:space="0" w:color="auto"/>
              <w:left w:val="none" w:sz="0" w:space="0" w:color="auto"/>
              <w:bottom w:val="none" w:sz="0" w:space="0" w:color="auto"/>
              <w:right w:val="none" w:sz="0" w:space="0" w:color="auto"/>
            </w:tcBorders>
          </w:tcPr>
          <w:p w14:paraId="2C3F6AC6" w14:textId="77777777"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p>
        </w:tc>
        <w:tc>
          <w:tcPr>
            <w:tcW w:w="1792" w:type="dxa"/>
            <w:tcBorders>
              <w:top w:val="none" w:sz="0" w:space="0" w:color="auto"/>
              <w:left w:val="none" w:sz="0" w:space="0" w:color="auto"/>
              <w:bottom w:val="none" w:sz="0" w:space="0" w:color="auto"/>
              <w:right w:val="none" w:sz="0" w:space="0" w:color="auto"/>
            </w:tcBorders>
          </w:tcPr>
          <w:p w14:paraId="17EFF75D" w14:textId="40BB1765" w:rsidR="003527BD" w:rsidRPr="00FA3A09" w:rsidRDefault="003527BD" w:rsidP="003527BD">
            <w:pPr>
              <w:pStyle w:val="TableCenterText"/>
              <w:cnfStyle w:val="000000010000" w:firstRow="0" w:lastRow="0" w:firstColumn="0" w:lastColumn="0" w:oddVBand="0" w:evenVBand="0" w:oddHBand="0" w:evenHBand="1" w:firstRowFirstColumn="0" w:firstRowLastColumn="0" w:lastRowFirstColumn="0" w:lastRowLastColumn="0"/>
            </w:pPr>
            <w:r>
              <w:rPr>
                <w:rFonts w:ascii="Wingdings 2" w:hAnsi="Wingdings 2"/>
              </w:rPr>
              <w:t>P</w:t>
            </w:r>
          </w:p>
        </w:tc>
      </w:tr>
    </w:tbl>
    <w:p w14:paraId="4713E88F" w14:textId="77777777" w:rsidR="003527BD" w:rsidRPr="009B0103" w:rsidRDefault="003527BD" w:rsidP="003527BD">
      <w:pPr>
        <w:spacing w:after="0"/>
        <w:rPr>
          <w:sz w:val="18"/>
          <w:szCs w:val="18"/>
        </w:rPr>
      </w:pPr>
      <w:r w:rsidRPr="003527BD">
        <w:rPr>
          <w:sz w:val="18"/>
          <w:szCs w:val="18"/>
          <w:vertAlign w:val="superscript"/>
        </w:rPr>
        <w:t>a</w:t>
      </w:r>
      <w:r w:rsidRPr="003527BD">
        <w:rPr>
          <w:sz w:val="18"/>
          <w:szCs w:val="18"/>
        </w:rPr>
        <w:t xml:space="preserve"> The evaluation team used site-specific regression analyses to estimate verified savings for some Custom Initiative projects.</w:t>
      </w:r>
    </w:p>
    <w:p w14:paraId="7174A94A" w14:textId="187BA4EC" w:rsidR="00CD45F2" w:rsidRPr="009A5962" w:rsidRDefault="00CD45F2" w:rsidP="002220FC">
      <w:pPr>
        <w:spacing w:before="240"/>
      </w:pPr>
      <w:r>
        <w:t>The following sections provide further detail on the approaches to estimating verified gross and net savings</w:t>
      </w:r>
      <w:r w:rsidR="00D92710">
        <w:t>.</w:t>
      </w:r>
    </w:p>
    <w:p w14:paraId="1D82C16A" w14:textId="22BC941C" w:rsidR="002E7602" w:rsidRDefault="002E7602" w:rsidP="002E7602">
      <w:pPr>
        <w:pStyle w:val="Heading2"/>
      </w:pPr>
      <w:bookmarkStart w:id="30" w:name="_Toc191992402"/>
      <w:bookmarkStart w:id="31" w:name="_Toc192766901"/>
      <w:r>
        <w:t>Verified Gross Impact Analysis Approach</w:t>
      </w:r>
      <w:bookmarkEnd w:id="30"/>
      <w:bookmarkEnd w:id="31"/>
    </w:p>
    <w:p w14:paraId="6007FB0A" w14:textId="39FD7C5C" w:rsidR="002E7602" w:rsidRDefault="002E7602" w:rsidP="00F618AD">
      <w:pPr>
        <w:pStyle w:val="Heading3"/>
        <w:tabs>
          <w:tab w:val="clear" w:pos="2160"/>
          <w:tab w:val="num" w:pos="1080"/>
        </w:tabs>
        <w:ind w:left="0"/>
      </w:pPr>
      <w:bookmarkStart w:id="32" w:name="_Toc191992403"/>
      <w:r>
        <w:t>Application of IL-TRM V1</w:t>
      </w:r>
      <w:r w:rsidR="00D177E5">
        <w:t>2</w:t>
      </w:r>
      <w:r>
        <w:t>.0</w:t>
      </w:r>
      <w:bookmarkEnd w:id="32"/>
    </w:p>
    <w:p w14:paraId="75569515" w14:textId="1AD86061" w:rsidR="00C7189F" w:rsidRDefault="00AF076C" w:rsidP="00C7189F">
      <w:r w:rsidRPr="00AF076C">
        <w:t>To determine verified gross impacts associated with the Standard, Small Business, Streetlighting, and Midstream Initiatives, we reviewed the content</w:t>
      </w:r>
      <w:r w:rsidR="00D92710">
        <w:t>s</w:t>
      </w:r>
      <w:r w:rsidRPr="00AF076C">
        <w:t xml:space="preserve"> of the tracking database to identify database errors and duplicate records and to ensure that the implementer correctly applied savings algorithms and assumptions stated in the IL-TRM V1</w:t>
      </w:r>
      <w:r w:rsidR="001F3663">
        <w:t>2</w:t>
      </w:r>
      <w:r w:rsidRPr="00AF076C">
        <w:t>.0 and the IL-TRM V1</w:t>
      </w:r>
      <w:r w:rsidR="001F3663">
        <w:t>2</w:t>
      </w:r>
      <w:r w:rsidRPr="00AF076C">
        <w:t xml:space="preserve">.0 errata document. In particular, we applied the algorithms and assumptions </w:t>
      </w:r>
      <w:r w:rsidR="006E3975">
        <w:t>from</w:t>
      </w:r>
      <w:r w:rsidRPr="00AF076C">
        <w:t xml:space="preserve"> the IL-TRM V1</w:t>
      </w:r>
      <w:r w:rsidR="001F3663">
        <w:t>2</w:t>
      </w:r>
      <w:r w:rsidRPr="00AF076C">
        <w:t xml:space="preserve">.0 while </w:t>
      </w:r>
      <w:r w:rsidRPr="00AF076C">
        <w:lastRenderedPageBreak/>
        <w:t xml:space="preserve">using project-specific data from the initiative tracking databases where appropriate. </w:t>
      </w:r>
      <w:r w:rsidR="000A14F4">
        <w:t>We verified measure installations by analyzing initiative tracking databases and reviewing supporting project documentation as part of this process</w:t>
      </w:r>
      <w:r w:rsidRPr="00AF076C">
        <w:t>.</w:t>
      </w:r>
    </w:p>
    <w:p w14:paraId="64A3A750" w14:textId="7B70E84F" w:rsidR="00C7189F" w:rsidRPr="00C7189F" w:rsidRDefault="00AF076C" w:rsidP="00C7189F">
      <w:r w:rsidRPr="00AF076C">
        <w:t>We resolved discrepancies found in the database</w:t>
      </w:r>
      <w:r w:rsidR="00D92710">
        <w:t>s</w:t>
      </w:r>
      <w:r w:rsidRPr="00AF076C">
        <w:t xml:space="preserve"> and documented details related to any gross savings adjustments in the initiative-specific sections of this report. Further, in accordance with Illinois policy, the evaluation team omitted gas penalties from savings </w:t>
      </w:r>
      <w:r w:rsidR="00D92710">
        <w:t>presented</w:t>
      </w:r>
      <w:r w:rsidRPr="00AF076C">
        <w:t xml:space="preserve"> in the body of this report. </w:t>
      </w:r>
      <w:r w:rsidR="00D2545F">
        <w:fldChar w:fldCharType="begin"/>
      </w:r>
      <w:r w:rsidR="00D2545F">
        <w:instrText xml:space="preserve"> REF _Ref187069776 \n \h </w:instrText>
      </w:r>
      <w:r w:rsidR="00D2545F">
        <w:fldChar w:fldCharType="separate"/>
      </w:r>
      <w:r w:rsidR="00AA10F4">
        <w:t>Appendix B</w:t>
      </w:r>
      <w:r w:rsidR="00D2545F">
        <w:fldChar w:fldCharType="end"/>
      </w:r>
      <w:r w:rsidR="00C7189F">
        <w:t xml:space="preserve"> presents details on gas penalties for cost-effectiveness purposes.</w:t>
      </w:r>
    </w:p>
    <w:p w14:paraId="2B1176A0" w14:textId="4019DF40" w:rsidR="002E7602" w:rsidRDefault="002E7602" w:rsidP="005413D4">
      <w:pPr>
        <w:pStyle w:val="Heading3"/>
        <w:tabs>
          <w:tab w:val="left" w:pos="1080"/>
        </w:tabs>
        <w:ind w:left="0"/>
      </w:pPr>
      <w:bookmarkStart w:id="33" w:name="_Toc191992404"/>
      <w:r>
        <w:t>Carryover Savings</w:t>
      </w:r>
      <w:bookmarkEnd w:id="33"/>
    </w:p>
    <w:p w14:paraId="0D21D704" w14:textId="16CEFF7D" w:rsidR="00C7189F" w:rsidRDefault="00C7189F" w:rsidP="00C7189F">
      <w:r>
        <w:t>In addition to savings achieved by AIC’s Business Program through measures delivered during the 202</w:t>
      </w:r>
      <w:r w:rsidR="00AF076C">
        <w:t>4</w:t>
      </w:r>
      <w:r>
        <w:t xml:space="preserve"> program year, AIC claims carryover savings in 2024 from lighting measures distributed by the Business Program in prior </w:t>
      </w:r>
      <w:r w:rsidR="00D92710">
        <w:t>years but</w:t>
      </w:r>
      <w:r>
        <w:t xml:space="preserve"> not installed until 2024. In 2024, AIC claimed Business Program carryover savings from measures incentivized through the Midstream Initiative’s Lighting channel</w:t>
      </w:r>
      <w:r w:rsidR="006E3975">
        <w:t xml:space="preserve"> in 2022 and 2023.</w:t>
      </w:r>
      <w:r>
        <w:t xml:space="preserve"> </w:t>
      </w:r>
    </w:p>
    <w:p w14:paraId="06AF9A19" w14:textId="0D31598F" w:rsidR="0090266A" w:rsidRPr="001859FA" w:rsidRDefault="0090266A" w:rsidP="0090266A">
      <w:bookmarkStart w:id="34" w:name="_Toc191992405"/>
      <w:r>
        <w:t>C</w:t>
      </w:r>
      <w:r w:rsidRPr="00330172">
        <w:t xml:space="preserve">arryover savings are estimated primarily based on assumptions outlined in the IL-TRM V12.0, </w:t>
      </w:r>
      <w:r>
        <w:t xml:space="preserve">which recommends application of assumptions from the </w:t>
      </w:r>
      <w:r w:rsidRPr="00330172">
        <w:t>IL-TRM V10.0 and IL-TRM V10.0 errata measures memo.</w:t>
      </w:r>
      <w:r>
        <w:rPr>
          <w:rStyle w:val="FootnoteReference"/>
        </w:rPr>
        <w:footnoteReference w:id="11"/>
      </w:r>
      <w:r>
        <w:t xml:space="preserve"> </w:t>
      </w:r>
      <w:r w:rsidRPr="001859FA">
        <w:t>We reported previously on AIC’s 202</w:t>
      </w:r>
      <w:r>
        <w:t>4</w:t>
      </w:r>
      <w:r w:rsidRPr="001859FA">
        <w:t xml:space="preserve"> carryover savings as part of an earlier memo.</w:t>
      </w:r>
      <w:r>
        <w:rPr>
          <w:rStyle w:val="FootnoteReference"/>
        </w:rPr>
        <w:footnoteReference w:id="12"/>
      </w:r>
      <w:r>
        <w:t xml:space="preserve"> </w:t>
      </w:r>
      <w:r w:rsidRPr="001859FA">
        <w:t xml:space="preserve">Carryover savings are not reported as part of individual initiative subsections in </w:t>
      </w:r>
      <w:r>
        <w:t xml:space="preserve">Section </w:t>
      </w:r>
      <w:r w:rsidR="00AA10F4">
        <w:fldChar w:fldCharType="begin"/>
      </w:r>
      <w:r w:rsidR="00AA10F4">
        <w:instrText xml:space="preserve"> REF _Ref187077120 \r \h </w:instrText>
      </w:r>
      <w:r w:rsidR="00AA10F4">
        <w:fldChar w:fldCharType="separate"/>
      </w:r>
      <w:r w:rsidR="00AA10F4">
        <w:t>3</w:t>
      </w:r>
      <w:r w:rsidR="00AA10F4">
        <w:fldChar w:fldCharType="end"/>
      </w:r>
      <w:r w:rsidR="00AA10F4">
        <w:t>.</w:t>
      </w:r>
    </w:p>
    <w:p w14:paraId="162CC550" w14:textId="0ABF5453" w:rsidR="002E7602" w:rsidRDefault="002E7602" w:rsidP="005413D4">
      <w:pPr>
        <w:pStyle w:val="Heading3"/>
        <w:tabs>
          <w:tab w:val="clear" w:pos="2160"/>
          <w:tab w:val="num" w:pos="1080"/>
        </w:tabs>
        <w:ind w:left="0"/>
      </w:pPr>
      <w:r>
        <w:t>Application of Custom Impact Methods</w:t>
      </w:r>
      <w:bookmarkEnd w:id="34"/>
    </w:p>
    <w:p w14:paraId="7AB26764" w14:textId="0962887A" w:rsidR="00C7189F" w:rsidRPr="00C7189F" w:rsidRDefault="00AF076C" w:rsidP="00C7189F">
      <w:r w:rsidRPr="00AF076C">
        <w:t>The Custom and RCx Initiative</w:t>
      </w:r>
      <w:r w:rsidR="00491B03">
        <w:t>s</w:t>
      </w:r>
      <w:r w:rsidRPr="00AF076C">
        <w:t xml:space="preserve"> are not suitable for gross impact analysis using the IL-TRM. These initiatives require custom energy savings calculations to determine some or all</w:t>
      </w:r>
      <w:r w:rsidR="00491B03">
        <w:t xml:space="preserve"> of the</w:t>
      </w:r>
      <w:r w:rsidRPr="00AF076C">
        <w:t xml:space="preserve"> gross impacts. Further details on custom impact methods applied for these initiatives are </w:t>
      </w:r>
      <w:r w:rsidR="00C7189F">
        <w:t xml:space="preserve">presented in </w:t>
      </w:r>
      <w:r w:rsidR="00C7189F">
        <w:fldChar w:fldCharType="begin"/>
      </w:r>
      <w:r w:rsidR="00C7189F">
        <w:instrText xml:space="preserve"> REF _Ref187157397 \n \h </w:instrText>
      </w:r>
      <w:r w:rsidR="00C7189F">
        <w:fldChar w:fldCharType="separate"/>
      </w:r>
      <w:r w:rsidR="00AA10F4">
        <w:t>Appendix A</w:t>
      </w:r>
      <w:r w:rsidR="00C7189F">
        <w:fldChar w:fldCharType="end"/>
      </w:r>
      <w:r w:rsidR="00C7189F">
        <w:t>.</w:t>
      </w:r>
    </w:p>
    <w:p w14:paraId="0D0E8DA5" w14:textId="780E466B" w:rsidR="002E7602" w:rsidRDefault="002E7602" w:rsidP="002E7602">
      <w:pPr>
        <w:pStyle w:val="Heading2"/>
      </w:pPr>
      <w:bookmarkStart w:id="36" w:name="_Toc191992406"/>
      <w:bookmarkStart w:id="37" w:name="_Toc192766902"/>
      <w:r>
        <w:t>Verified Net Impact Analysis Approach</w:t>
      </w:r>
      <w:bookmarkEnd w:id="36"/>
      <w:bookmarkEnd w:id="37"/>
    </w:p>
    <w:p w14:paraId="146F409E" w14:textId="22DB01A3" w:rsidR="00C7189F" w:rsidRDefault="00C7189F" w:rsidP="00C7189F">
      <w:r>
        <w:t xml:space="preserve">To determine verified net savings for the 2024 Business Program, we applied SAG-approved NTGRs to verified gross savings. The </w:t>
      </w:r>
      <w:r w:rsidR="00491B03">
        <w:t>two</w:t>
      </w:r>
      <w:r>
        <w:t xml:space="preserve"> exception</w:t>
      </w:r>
      <w:r w:rsidR="00491B03">
        <w:t>s</w:t>
      </w:r>
      <w:r>
        <w:t xml:space="preserve"> </w:t>
      </w:r>
      <w:r w:rsidR="00491B03">
        <w:t>are: (1)</w:t>
      </w:r>
      <w:r>
        <w:t xml:space="preserve"> the BOC </w:t>
      </w:r>
      <w:r w:rsidR="00AF076C">
        <w:t>T</w:t>
      </w:r>
      <w:r>
        <w:t xml:space="preserve">raining </w:t>
      </w:r>
      <w:r w:rsidR="00AF076C">
        <w:t xml:space="preserve">channel </w:t>
      </w:r>
      <w:r>
        <w:t xml:space="preserve">within the Standard Initiative, for which </w:t>
      </w:r>
      <w:r w:rsidR="00AF076C">
        <w:t xml:space="preserve">the </w:t>
      </w:r>
      <w:r>
        <w:t>savings algorithms in IL-TRM V</w:t>
      </w:r>
      <w:r w:rsidR="00D177E5">
        <w:t>12</w:t>
      </w:r>
      <w:r>
        <w:t>.</w:t>
      </w:r>
      <w:r w:rsidR="00D177E5">
        <w:t>0</w:t>
      </w:r>
      <w:r>
        <w:t xml:space="preserve"> directly estimate net savings</w:t>
      </w:r>
      <w:r w:rsidR="002B7F92">
        <w:t xml:space="preserve">, </w:t>
      </w:r>
      <w:r w:rsidR="00491B03">
        <w:t xml:space="preserve">and (2) projects eligible under the </w:t>
      </w:r>
      <w:r w:rsidR="00491B03" w:rsidRPr="00491B03">
        <w:t>Disadvantaged Areas Net-to-Gross Policy</w:t>
      </w:r>
      <w:r w:rsidR="00491B03">
        <w:t xml:space="preserve"> described in the following section</w:t>
      </w:r>
      <w:r>
        <w:t xml:space="preserve">. </w:t>
      </w:r>
      <w:r w:rsidR="002B7F92">
        <w:t xml:space="preserve">Details on all other SAG-approved NTGRs are presented in </w:t>
      </w:r>
      <w:r w:rsidR="002B7F92">
        <w:fldChar w:fldCharType="begin"/>
      </w:r>
      <w:r w:rsidR="002B7F92">
        <w:instrText xml:space="preserve"> REF _Ref187157397 \n \h </w:instrText>
      </w:r>
      <w:r w:rsidR="002B7F92">
        <w:fldChar w:fldCharType="separate"/>
      </w:r>
      <w:r w:rsidR="00AA10F4">
        <w:t>Appendix A</w:t>
      </w:r>
      <w:r w:rsidR="002B7F92">
        <w:fldChar w:fldCharType="end"/>
      </w:r>
      <w:r w:rsidR="002B7F92">
        <w:t xml:space="preserve">. </w:t>
      </w:r>
    </w:p>
    <w:p w14:paraId="49435B2B" w14:textId="69202FEC" w:rsidR="00BD2DAA" w:rsidRDefault="00BD2DAA" w:rsidP="00BD2DAA">
      <w:pPr>
        <w:pStyle w:val="Heading3"/>
        <w:tabs>
          <w:tab w:val="clear" w:pos="2160"/>
          <w:tab w:val="num" w:pos="1080"/>
        </w:tabs>
        <w:ind w:left="0"/>
      </w:pPr>
      <w:bookmarkStart w:id="38" w:name="_Toc191992407"/>
      <w:r>
        <w:t>Disadvantaged Areas Net-to-Gross Policy</w:t>
      </w:r>
      <w:bookmarkEnd w:id="38"/>
    </w:p>
    <w:p w14:paraId="4993CD77" w14:textId="77777777" w:rsidR="0090266A" w:rsidRDefault="0090266A" w:rsidP="0090266A">
      <w:bookmarkStart w:id="39" w:name="_Hlk192071011"/>
      <w:r>
        <w:t>Section 7.4 of the Illinois Policy Manual Version 3.0 outlines the NTGR for Disadvantaged Areas policy.</w:t>
      </w:r>
      <w:r>
        <w:rPr>
          <w:rStyle w:val="FootnoteReference"/>
        </w:rPr>
        <w:footnoteReference w:id="13"/>
      </w:r>
      <w:r>
        <w:t xml:space="preserve"> The policy recognizes that free ridership among certain types of customers in economically disadvantaged areas is likely very low; therefore, it directs the application of a NTGR of 1.000 for eligible customers, superseding the SAG-approved NTGRs that would otherwise be applied.</w:t>
      </w:r>
    </w:p>
    <w:p w14:paraId="762B6583" w14:textId="77777777" w:rsidR="00612763" w:rsidRDefault="00612763" w:rsidP="00612763">
      <w:r>
        <w:lastRenderedPageBreak/>
        <w:t>For AIC’s Business Program, the policy applies to all program activity involving the following customer segments:</w:t>
      </w:r>
    </w:p>
    <w:p w14:paraId="79E253FD" w14:textId="2E38AEF4" w:rsidR="00612763" w:rsidRDefault="00612763" w:rsidP="00612763">
      <w:pPr>
        <w:pStyle w:val="ListBullet"/>
      </w:pPr>
      <w:r>
        <w:t>Business customers in disadvantaged neighborhoods</w:t>
      </w:r>
      <w:r w:rsidR="0090266A">
        <w:rPr>
          <w:rStyle w:val="FootnoteReference"/>
        </w:rPr>
        <w:footnoteReference w:id="14"/>
      </w:r>
      <w:r w:rsidR="002B7F92">
        <w:t xml:space="preserve"> with DS-2 and/or GDS-2 rate classes;</w:t>
      </w:r>
      <w:r>
        <w:t xml:space="preserve"> and</w:t>
      </w:r>
    </w:p>
    <w:p w14:paraId="7ABD056C" w14:textId="4142F983" w:rsidR="00612763" w:rsidRDefault="00612763" w:rsidP="00612763">
      <w:pPr>
        <w:pStyle w:val="ListBullet"/>
      </w:pPr>
      <w:r>
        <w:t>Any general delivery service municipal, public school</w:t>
      </w:r>
      <w:r w:rsidR="002B7F92">
        <w:t>,</w:t>
      </w:r>
      <w:r>
        <w:t xml:space="preserve"> and local government customers in a disadvantaged municipality.</w:t>
      </w:r>
      <w:r>
        <w:rPr>
          <w:rStyle w:val="FootnoteReference"/>
        </w:rPr>
        <w:footnoteReference w:id="15"/>
      </w:r>
    </w:p>
    <w:p w14:paraId="19A92DEE" w14:textId="79AAE602" w:rsidR="00612763" w:rsidRDefault="00612763" w:rsidP="00612763">
      <w:r>
        <w:t xml:space="preserve">Further details on our approach to </w:t>
      </w:r>
      <w:r w:rsidR="002B7F92">
        <w:t>applying the policy and a list of disadvantaged neighborhoods are available in Opinion Dynamics’ July 17, 2024,</w:t>
      </w:r>
      <w:r>
        <w:t xml:space="preserve"> presentation to the Illinois SAG.</w:t>
      </w:r>
      <w:r>
        <w:rPr>
          <w:rStyle w:val="FootnoteReference"/>
        </w:rPr>
        <w:footnoteReference w:id="16"/>
      </w:r>
    </w:p>
    <w:p w14:paraId="47BE6923" w14:textId="39F5F309" w:rsidR="002E7602" w:rsidRDefault="002E7602" w:rsidP="002E7602">
      <w:pPr>
        <w:pStyle w:val="Heading2"/>
      </w:pPr>
      <w:bookmarkStart w:id="40" w:name="_Toc191992408"/>
      <w:bookmarkStart w:id="41" w:name="_Toc192766903"/>
      <w:bookmarkEnd w:id="39"/>
      <w:r>
        <w:t>Sources and Mitigation of Error</w:t>
      </w:r>
      <w:bookmarkEnd w:id="40"/>
      <w:bookmarkEnd w:id="41"/>
    </w:p>
    <w:p w14:paraId="2BFF9608" w14:textId="18FF493F" w:rsidR="00C7189F" w:rsidRDefault="00C7189F" w:rsidP="00C7189F">
      <w:r>
        <w:t>The evaluation team took steps to mitigate potential sources of error throughout the planning and implementation of the 2024 evaluation. In particular, we took the following actions to address potential sources of error:</w:t>
      </w:r>
    </w:p>
    <w:p w14:paraId="1394621C" w14:textId="75605151" w:rsidR="00AF076C" w:rsidRDefault="00AF076C" w:rsidP="00AF076C">
      <w:pPr>
        <w:pStyle w:val="ListBullet"/>
      </w:pPr>
      <w:r w:rsidRPr="00AF076C">
        <w:rPr>
          <w:b/>
          <w:bCs/>
        </w:rPr>
        <w:t>Analysis Error</w:t>
      </w:r>
    </w:p>
    <w:p w14:paraId="3E848DA9" w14:textId="4828A177" w:rsidR="00AF076C" w:rsidRDefault="00AF076C" w:rsidP="00AF076C">
      <w:pPr>
        <w:pStyle w:val="ListBullet2"/>
      </w:pPr>
      <w:r w:rsidRPr="00AF076C">
        <w:rPr>
          <w:b/>
          <w:bCs/>
        </w:rPr>
        <w:t>Prescriptive Gross Impact Calculations</w:t>
      </w:r>
      <w:r>
        <w:t xml:space="preserve">: We calculated gross impacts by applying IL-TRM V12.0 calculations to the participant data in the tracking database. </w:t>
      </w:r>
      <w:r w:rsidR="002B7F92">
        <w:t>A separate team member reviewed all calculations to verify their accuracy and minimize data analysis errors</w:t>
      </w:r>
      <w:r>
        <w:t xml:space="preserve">. </w:t>
      </w:r>
    </w:p>
    <w:p w14:paraId="7E3B5CCA" w14:textId="122505D5" w:rsidR="00AF076C" w:rsidRDefault="00AF076C" w:rsidP="00AF076C">
      <w:pPr>
        <w:pStyle w:val="ListBullet2"/>
      </w:pPr>
      <w:r w:rsidRPr="00AF076C">
        <w:rPr>
          <w:b/>
          <w:bCs/>
        </w:rPr>
        <w:t>Custom Gross Impact Calculations</w:t>
      </w:r>
      <w:r>
        <w:t xml:space="preserve">: We determined custom gross impacts using desk reviews and data collected during on-site M&amp;V. To minimize data analysis errors, we had </w:t>
      </w:r>
      <w:r w:rsidR="002B7F92">
        <w:t xml:space="preserve">a separate team member review </w:t>
      </w:r>
      <w:r>
        <w:t>all calculations to verify that calculations were performed accurately.</w:t>
      </w:r>
    </w:p>
    <w:p w14:paraId="4663ADC4" w14:textId="5EF15704" w:rsidR="00AF076C" w:rsidRDefault="00AF076C" w:rsidP="00AF076C">
      <w:pPr>
        <w:pStyle w:val="ListBullet2"/>
      </w:pPr>
      <w:r w:rsidRPr="00AF076C">
        <w:rPr>
          <w:b/>
          <w:bCs/>
        </w:rPr>
        <w:t>Net Impact Calculations</w:t>
      </w:r>
      <w:r>
        <w:t xml:space="preserve">: We derived net impacts by applying SAG-approved NTGRs to estimated gross impacts. </w:t>
      </w:r>
      <w:r w:rsidR="000A14F4">
        <w:t>A separate team member reviewed all calculations to verify their accuracy and minimize analytical errors</w:t>
      </w:r>
      <w:r>
        <w:t>.</w:t>
      </w:r>
    </w:p>
    <w:p w14:paraId="790DFFC2" w14:textId="21946238" w:rsidR="00AF076C" w:rsidRDefault="00AF076C" w:rsidP="00AF076C">
      <w:pPr>
        <w:pStyle w:val="ListBullet"/>
      </w:pPr>
      <w:r w:rsidRPr="00AF076C">
        <w:rPr>
          <w:b/>
          <w:bCs/>
        </w:rPr>
        <w:t>Sampling Error</w:t>
      </w:r>
    </w:p>
    <w:p w14:paraId="2919A13A" w14:textId="4AFFF3D6" w:rsidR="00AF076C" w:rsidRDefault="00AF076C" w:rsidP="00AF076C">
      <w:pPr>
        <w:pStyle w:val="ListBullet2"/>
      </w:pPr>
      <w:r w:rsidRPr="00AF076C">
        <w:rPr>
          <w:b/>
          <w:bCs/>
        </w:rPr>
        <w:t>Custom Initiative Impact Sample</w:t>
      </w:r>
      <w:r>
        <w:t xml:space="preserve">: The evaluation team completed an impact review for </w:t>
      </w:r>
      <w:r w:rsidR="006D0604">
        <w:t>44</w:t>
      </w:r>
      <w:r>
        <w:t xml:space="preserve"> of </w:t>
      </w:r>
      <w:r w:rsidR="006D0604">
        <w:t>134</w:t>
      </w:r>
      <w:r>
        <w:t xml:space="preserve"> Custom </w:t>
      </w:r>
      <w:r w:rsidR="006D0604">
        <w:t>Initiative</w:t>
      </w:r>
      <w:r>
        <w:t xml:space="preserve"> projects achieving savings in 2024, drawing three waves of stratified samples separately for </w:t>
      </w:r>
      <w:r w:rsidR="006D0604">
        <w:t xml:space="preserve">Custom Incentives projects claiming electric and gas savings and a fourth for New Construction Lighting </w:t>
      </w:r>
      <w:r>
        <w:t xml:space="preserve">projects. For gross impact results, at the 90% confidence level, we achieved a relative precision of </w:t>
      </w:r>
      <w:r w:rsidR="006D0604">
        <w:t>13.7</w:t>
      </w:r>
      <w:r>
        <w:t xml:space="preserve">% for electric energy savings, </w:t>
      </w:r>
      <w:r w:rsidR="009D3A5A">
        <w:t>41</w:t>
      </w:r>
      <w:r w:rsidR="006D0604">
        <w:t>.</w:t>
      </w:r>
      <w:r w:rsidR="00227724">
        <w:t>4</w:t>
      </w:r>
      <w:r>
        <w:t xml:space="preserve">% for electric demand savings, and </w:t>
      </w:r>
      <w:r w:rsidR="006D0604">
        <w:t>13.</w:t>
      </w:r>
      <w:r w:rsidR="009D3A5A">
        <w:t>0</w:t>
      </w:r>
      <w:r>
        <w:t xml:space="preserve">% for gas savings. Further detail on our methodology for Custom Initiative sampling is provided in </w:t>
      </w:r>
      <w:r w:rsidR="00634424">
        <w:fldChar w:fldCharType="begin"/>
      </w:r>
      <w:r w:rsidR="00634424">
        <w:instrText xml:space="preserve"> REF _Ref187157397 \n \h </w:instrText>
      </w:r>
      <w:r w:rsidR="00634424">
        <w:fldChar w:fldCharType="separate"/>
      </w:r>
      <w:r w:rsidR="00AA10F4">
        <w:t>Appendix A</w:t>
      </w:r>
      <w:r w:rsidR="00634424">
        <w:fldChar w:fldCharType="end"/>
      </w:r>
      <w:r>
        <w:t>.</w:t>
      </w:r>
    </w:p>
    <w:p w14:paraId="574AE956" w14:textId="650C8499" w:rsidR="00AF076C" w:rsidRDefault="00AF076C" w:rsidP="00AF076C">
      <w:pPr>
        <w:pStyle w:val="ListBullet"/>
      </w:pPr>
      <w:r w:rsidRPr="00AF076C">
        <w:rPr>
          <w:b/>
          <w:bCs/>
        </w:rPr>
        <w:t>Non-Sampling Error</w:t>
      </w:r>
    </w:p>
    <w:p w14:paraId="6FE67C14" w14:textId="7D4EE0C7" w:rsidR="00AF076C" w:rsidRDefault="00AF076C" w:rsidP="00AF076C">
      <w:pPr>
        <w:pStyle w:val="ListBullet2"/>
      </w:pPr>
      <w:r w:rsidRPr="00AF076C">
        <w:rPr>
          <w:b/>
          <w:bCs/>
        </w:rPr>
        <w:t>Measurement Error</w:t>
      </w:r>
      <w:r>
        <w:t>: To minimize data collection error during on-site M&amp;V, the evaluation team used trained engineers and technicians familiar with the equipment covered by the Custom Initiative and the methods used to calculate the gross impacts.</w:t>
      </w:r>
    </w:p>
    <w:p w14:paraId="7833046C" w14:textId="1F95BDB3" w:rsidR="00AF076C" w:rsidRDefault="00AF076C" w:rsidP="00AF076C">
      <w:r>
        <w:t xml:space="preserve">For the VCx and Virtual SEM </w:t>
      </w:r>
      <w:r w:rsidR="00D41E5C">
        <w:t>channel</w:t>
      </w:r>
      <w:r w:rsidR="00EF1852">
        <w:t>s</w:t>
      </w:r>
      <w:r>
        <w:t xml:space="preserve">, we also addressed the following types of </w:t>
      </w:r>
      <w:r w:rsidR="002B7F92">
        <w:t>errors</w:t>
      </w:r>
      <w:r>
        <w:t>:</w:t>
      </w:r>
    </w:p>
    <w:p w14:paraId="583D987F" w14:textId="7B64696F" w:rsidR="00AF076C" w:rsidRDefault="00AF076C" w:rsidP="00AF076C">
      <w:pPr>
        <w:pStyle w:val="ListBullet"/>
      </w:pPr>
      <w:r w:rsidRPr="00AF076C">
        <w:rPr>
          <w:b/>
          <w:bCs/>
        </w:rPr>
        <w:t>Errors Due to Presence of Non-Routine Events</w:t>
      </w:r>
      <w:r>
        <w:t xml:space="preserve">: Non-routine events (NREs) refer to changes in facility energy consumption resulting from facility-related changes </w:t>
      </w:r>
      <w:r w:rsidR="002B7F92">
        <w:t>unrelated</w:t>
      </w:r>
      <w:r>
        <w:t xml:space="preserve"> to the interventions recommended through the channel. NREs can make it difficult to accurately measure savings using meter-based approaches, including </w:t>
      </w:r>
      <w:r w:rsidR="002B7F92">
        <w:t>those</w:t>
      </w:r>
      <w:r>
        <w:t xml:space="preserve"> </w:t>
      </w:r>
      <w:r w:rsidR="002B7F92">
        <w:t xml:space="preserve">we </w:t>
      </w:r>
      <w:r>
        <w:t xml:space="preserve">used for VCx and Virtual SEM. The evaluation team accounted for NREs in our modeling approach by removing data for the affected period and/or extending the baseline back in time accordingly, consistent with International </w:t>
      </w:r>
      <w:r>
        <w:lastRenderedPageBreak/>
        <w:t>Performance Measurement and Verification Protocol (IPMVP) Non-Routine Adjustment Options 1 and 3, respectively.</w:t>
      </w:r>
      <w:r>
        <w:rPr>
          <w:rStyle w:val="FootnoteReference"/>
        </w:rPr>
        <w:footnoteReference w:id="17"/>
      </w:r>
      <w:r>
        <w:t xml:space="preserve">   </w:t>
      </w:r>
    </w:p>
    <w:p w14:paraId="4E102451" w14:textId="529226FC" w:rsidR="00AF076C" w:rsidRDefault="00AF076C" w:rsidP="00AF076C">
      <w:pPr>
        <w:pStyle w:val="ListBullet"/>
      </w:pPr>
      <w:r w:rsidRPr="00AF076C">
        <w:rPr>
          <w:b/>
          <w:bCs/>
        </w:rPr>
        <w:t>Model Specification Error</w:t>
      </w:r>
      <w:r>
        <w:t>: In this type of error, variables that predict model outcomes are left out when they should be included, which can produce biased estimates. The models used to estimate ex ante impacts in 202</w:t>
      </w:r>
      <w:r w:rsidR="00410311">
        <w:t>4</w:t>
      </w:r>
      <w:r>
        <w:t xml:space="preserve"> excluded weather interaction terms despite the weather-sensitive nature of the interventions, such as HVAC scheduling adjustments. The evaluation team addressed this type of error by modifying the facility-level models in cases where the inclusion of weather interactions improved model fit before producing verified savings.  </w:t>
      </w:r>
    </w:p>
    <w:p w14:paraId="5C4E0BA5" w14:textId="672FE2FD" w:rsidR="00AF076C" w:rsidRDefault="00AF076C" w:rsidP="00AF076C">
      <w:pPr>
        <w:pStyle w:val="ListBullet"/>
      </w:pPr>
      <w:r w:rsidRPr="00AF076C">
        <w:rPr>
          <w:b/>
          <w:bCs/>
        </w:rPr>
        <w:t>Measurement Error</w:t>
      </w:r>
      <w:r>
        <w:t xml:space="preserve">: In the context of the VCx and Virtual SEM </w:t>
      </w:r>
      <w:r w:rsidR="00410311">
        <w:t>channels</w:t>
      </w:r>
      <w:r>
        <w:t xml:space="preserve">, measurement error </w:t>
      </w:r>
      <w:r w:rsidR="00FB40FA">
        <w:t>can occur in two ways: (1)</w:t>
      </w:r>
      <w:r>
        <w:t xml:space="preserve"> when utility electric meters do not accurately record the true energy consumption of a facility</w:t>
      </w:r>
      <w:r w:rsidR="002B7F92">
        <w:t>,</w:t>
      </w:r>
      <w:r w:rsidR="00FB40FA">
        <w:t xml:space="preserve"> and (2) when the defined post-period coincides with ongoing program implementation</w:t>
      </w:r>
      <w:r>
        <w:t xml:space="preserve">. In practice, little can be done in an evaluation context to mitigate </w:t>
      </w:r>
      <w:r w:rsidR="00FB40FA">
        <w:t>errors from utility meters</w:t>
      </w:r>
      <w:r>
        <w:t xml:space="preserve">. </w:t>
      </w:r>
      <w:r w:rsidR="00CD0C24">
        <w:t>However, w</w:t>
      </w:r>
      <w:r>
        <w:t xml:space="preserve">e know from experience that this type of error is expected to be small and not </w:t>
      </w:r>
      <w:r w:rsidR="002B7F92">
        <w:t>significantly affect</w:t>
      </w:r>
      <w:r>
        <w:t xml:space="preserve"> </w:t>
      </w:r>
      <w:r w:rsidR="00FB40FA">
        <w:t>savings estimates</w:t>
      </w:r>
      <w:r>
        <w:t xml:space="preserve">. </w:t>
      </w:r>
      <w:r w:rsidR="00FB40FA" w:rsidRPr="00FB40FA">
        <w:t xml:space="preserve">When appropriate and data permitting, </w:t>
      </w:r>
      <w:r w:rsidR="00FB40FA">
        <w:t>the evaluation team</w:t>
      </w:r>
      <w:r w:rsidR="00FB40FA" w:rsidRPr="00FB40FA">
        <w:t xml:space="preserve"> re</w:t>
      </w:r>
      <w:r w:rsidR="00FB40FA">
        <w:t>-</w:t>
      </w:r>
      <w:r w:rsidR="00FB40FA" w:rsidRPr="00FB40FA">
        <w:t>defined</w:t>
      </w:r>
      <w:r w:rsidR="00FB40FA">
        <w:t xml:space="preserve"> </w:t>
      </w:r>
      <w:r w:rsidR="00CD0C24">
        <w:t>model</w:t>
      </w:r>
      <w:r w:rsidR="00FB40FA">
        <w:t xml:space="preserve"> </w:t>
      </w:r>
      <w:r w:rsidR="00FB40FA" w:rsidRPr="00FB40FA">
        <w:t>post</w:t>
      </w:r>
      <w:r w:rsidR="00FB40FA">
        <w:t>-</w:t>
      </w:r>
      <w:r w:rsidR="00FB40FA" w:rsidRPr="00FB40FA">
        <w:t>period</w:t>
      </w:r>
      <w:r w:rsidR="00FB40FA">
        <w:t>s</w:t>
      </w:r>
      <w:r w:rsidR="00FB40FA" w:rsidRPr="00FB40FA">
        <w:t xml:space="preserve"> to </w:t>
      </w:r>
      <w:r w:rsidR="008024FC">
        <w:t xml:space="preserve">exclude any periods of ongoing program implementation and only considered post-period data after all measures had been implemented. </w:t>
      </w:r>
    </w:p>
    <w:p w14:paraId="39219913" w14:textId="0C1CAAAD" w:rsidR="00AF076C" w:rsidRDefault="00AF076C" w:rsidP="00AF076C">
      <w:pPr>
        <w:pStyle w:val="ListBullet"/>
      </w:pPr>
      <w:r w:rsidRPr="00AF076C">
        <w:rPr>
          <w:b/>
          <w:bCs/>
        </w:rPr>
        <w:t>Prediction Error</w:t>
      </w:r>
      <w:r>
        <w:t xml:space="preserve">: Prediction error occurs when the model does not perfectly predict </w:t>
      </w:r>
      <w:r w:rsidR="002B7F92">
        <w:t>future energy consumption</w:t>
      </w:r>
      <w:r>
        <w:t>. We did not receive a full year of post-period data for all VCx and Virtual SEM projects in 2024</w:t>
      </w:r>
      <w:r w:rsidR="002B7F92">
        <w:t>. This</w:t>
      </w:r>
      <w:r>
        <w:t xml:space="preserve"> introduces uncertainty because the models </w:t>
      </w:r>
      <w:r w:rsidR="002B7F92">
        <w:t>could not</w:t>
      </w:r>
      <w:r>
        <w:t xml:space="preserve"> train on a full range of temperature data after the intervention was initiated. This could increase the prediction error for temperatures that are outside the range of the training data. We addressed this by carefully examining model fit diagnostics.</w:t>
      </w:r>
    </w:p>
    <w:p w14:paraId="58FA4977" w14:textId="27DEBBBA" w:rsidR="00AF076C" w:rsidRDefault="00AF076C" w:rsidP="00AF076C">
      <w:pPr>
        <w:pStyle w:val="ListBullet"/>
      </w:pPr>
      <w:r w:rsidRPr="00AF076C">
        <w:rPr>
          <w:b/>
          <w:bCs/>
        </w:rPr>
        <w:t>Multicollinearity</w:t>
      </w:r>
      <w:r>
        <w:t xml:space="preserve">: This type of modeling error can </w:t>
      </w:r>
      <w:r w:rsidR="002B7F92">
        <w:t xml:space="preserve">bias the model results and produce very large </w:t>
      </w:r>
      <w:r w:rsidR="000A14F4">
        <w:t>variances</w:t>
      </w:r>
      <w:r>
        <w:t xml:space="preserve">. We addressed this issue by carefully considering model specifications and data to ensure that there were no multicollinearity issues. </w:t>
      </w:r>
    </w:p>
    <w:p w14:paraId="66B97C86" w14:textId="17F4D37C" w:rsidR="00C7189F" w:rsidRPr="00C7189F" w:rsidRDefault="00C7189F" w:rsidP="00C7189F">
      <w:r>
        <w:t>Finally, note that the calculations in some of the tables in this report cannot be exactly reproduced due to rounding.</w:t>
      </w:r>
    </w:p>
    <w:p w14:paraId="6E3756E0" w14:textId="6990E0EF" w:rsidR="002E7602" w:rsidRDefault="002E7602" w:rsidP="002E7602">
      <w:pPr>
        <w:pStyle w:val="Heading1"/>
      </w:pPr>
      <w:bookmarkStart w:id="42" w:name="_Ref187077120"/>
      <w:bookmarkStart w:id="43" w:name="_Toc191992409"/>
      <w:bookmarkStart w:id="44" w:name="_Toc192766904"/>
      <w:r>
        <w:lastRenderedPageBreak/>
        <w:t>Initiative-Level Results</w:t>
      </w:r>
      <w:bookmarkEnd w:id="42"/>
      <w:bookmarkEnd w:id="43"/>
      <w:bookmarkEnd w:id="44"/>
    </w:p>
    <w:p w14:paraId="32BECD6A" w14:textId="2F2A1E74" w:rsidR="002E7602" w:rsidRDefault="002E7602" w:rsidP="002E7602">
      <w:pPr>
        <w:pStyle w:val="Heading2"/>
      </w:pPr>
      <w:bookmarkStart w:id="45" w:name="_Toc191992410"/>
      <w:bookmarkStart w:id="46" w:name="_Toc192766905"/>
      <w:r>
        <w:t>Standard Initiative</w:t>
      </w:r>
      <w:bookmarkEnd w:id="45"/>
      <w:bookmarkEnd w:id="46"/>
    </w:p>
    <w:p w14:paraId="72642028" w14:textId="630BF795" w:rsidR="002E7602" w:rsidRDefault="002E7602" w:rsidP="000071FF">
      <w:pPr>
        <w:pStyle w:val="Heading3"/>
        <w:tabs>
          <w:tab w:val="clear" w:pos="2160"/>
          <w:tab w:val="num" w:pos="1080"/>
        </w:tabs>
        <w:ind w:left="0"/>
      </w:pPr>
      <w:bookmarkStart w:id="47" w:name="_Toc191992411"/>
      <w:r>
        <w:t>Initiative Description</w:t>
      </w:r>
      <w:bookmarkEnd w:id="47"/>
    </w:p>
    <w:p w14:paraId="15F39AE7" w14:textId="2B5B8764" w:rsidR="002E7602" w:rsidRDefault="005C46B0" w:rsidP="002E7602">
      <w:r>
        <w:t xml:space="preserve">The Standard Initiative offers </w:t>
      </w:r>
      <w:r w:rsidR="000A14F4">
        <w:t xml:space="preserve">fixed incentives to AIC private and public sector business customers </w:t>
      </w:r>
      <w:r>
        <w:t xml:space="preserve">for </w:t>
      </w:r>
      <w:r w:rsidR="002B7F92">
        <w:t>installing</w:t>
      </w:r>
      <w:r>
        <w:t xml:space="preserve"> prescriptive energy efficiency measures. The Initiative primarily focuses on lighting retrofits, lighting controls, motors, HVAC equipment, steam traps, and specialty applications such as agricultural and </w:t>
      </w:r>
      <w:r w:rsidR="00484B58">
        <w:t>refrigeration</w:t>
      </w:r>
      <w:r>
        <w:t xml:space="preserve"> measures. AIC also </w:t>
      </w:r>
      <w:r w:rsidR="002B7F92">
        <w:t>incentivizes</w:t>
      </w:r>
      <w:r>
        <w:t xml:space="preserve"> building operators in their service territory to attend BOC </w:t>
      </w:r>
      <w:r w:rsidR="003F3F47">
        <w:t>T</w:t>
      </w:r>
      <w:r>
        <w:t xml:space="preserve">raining through the Standard Initiative. </w:t>
      </w:r>
    </w:p>
    <w:p w14:paraId="5BE1E299" w14:textId="3C4CEFDD" w:rsidR="005C46B0" w:rsidRDefault="005C46B0" w:rsidP="002E7602">
      <w:r>
        <w:t>For the purposes of this report, the Initiative offerings are grouped into three channels:</w:t>
      </w:r>
    </w:p>
    <w:p w14:paraId="43DC9762" w14:textId="11354097" w:rsidR="005C46B0" w:rsidRDefault="005C46B0" w:rsidP="005C46B0">
      <w:pPr>
        <w:pStyle w:val="ListBullet"/>
      </w:pPr>
      <w:r>
        <w:rPr>
          <w:b/>
          <w:bCs/>
        </w:rPr>
        <w:t xml:space="preserve">Standard Core channel: </w:t>
      </w:r>
      <w:r>
        <w:t xml:space="preserve">The Standard Core channel consists of a collection of downstream incentives targeted at </w:t>
      </w:r>
      <w:r w:rsidR="003F3F47">
        <w:t>various</w:t>
      </w:r>
      <w:r>
        <w:t xml:space="preserve"> energy-intensive end uses. Incentive requests exceeding $10,000 require pre-approval by AIC staff. For projects that do not exceed this cap, customers can apply for incentives </w:t>
      </w:r>
      <w:r w:rsidR="003F3F47">
        <w:t>after purchasing and installing</w:t>
      </w:r>
      <w:r>
        <w:t xml:space="preserve"> qualifying equipment. </w:t>
      </w:r>
    </w:p>
    <w:p w14:paraId="49A22636" w14:textId="159F0AA0" w:rsidR="005C46B0" w:rsidRDefault="005C46B0" w:rsidP="005C46B0">
      <w:pPr>
        <w:pStyle w:val="ListBullet"/>
      </w:pPr>
      <w:r>
        <w:rPr>
          <w:b/>
          <w:bCs/>
        </w:rPr>
        <w:t>Online Store channel:</w:t>
      </w:r>
      <w:r>
        <w:t xml:space="preserve"> The Online Store channel is an e-commerce marketplace where AIC business customers can purchase energy-efficient equipment at a reduced price. </w:t>
      </w:r>
    </w:p>
    <w:p w14:paraId="44E6C74A" w14:textId="5D3BF253" w:rsidR="005C46B0" w:rsidRDefault="005C46B0" w:rsidP="005C46B0">
      <w:pPr>
        <w:pStyle w:val="ListBullet"/>
      </w:pPr>
      <w:r>
        <w:rPr>
          <w:b/>
          <w:bCs/>
        </w:rPr>
        <w:t>Building Operator Certification (BOC) Training:</w:t>
      </w:r>
      <w:r>
        <w:t xml:space="preserve"> BOC Training is a nationally</w:t>
      </w:r>
      <w:r w:rsidR="003F3F47">
        <w:t xml:space="preserve"> </w:t>
      </w:r>
      <w:r>
        <w:t xml:space="preserve">recognized certification </w:t>
      </w:r>
      <w:r w:rsidR="003F3F47">
        <w:t xml:space="preserve">program </w:t>
      </w:r>
      <w:r>
        <w:t xml:space="preserve">that educates building operators on equipment operations, common low-cost operational improvements, performance benchmarking, and building commissioning. </w:t>
      </w:r>
    </w:p>
    <w:p w14:paraId="27B7DDEA" w14:textId="4C70BB30" w:rsidR="005C46B0" w:rsidRDefault="005C46B0" w:rsidP="005C46B0">
      <w:r>
        <w:t xml:space="preserve">Overall, the implementation team set a goal of achieving </w:t>
      </w:r>
      <w:r w:rsidR="00BE6CD3">
        <w:t>4</w:t>
      </w:r>
      <w:r w:rsidR="007C7583">
        <w:t>9</w:t>
      </w:r>
      <w:r w:rsidR="00BE6CD3">
        <w:t>,7</w:t>
      </w:r>
      <w:r w:rsidR="007C7583">
        <w:t>12</w:t>
      </w:r>
      <w:r w:rsidR="00973B1B">
        <w:t xml:space="preserve"> </w:t>
      </w:r>
      <w:r>
        <w:t xml:space="preserve">MWh and </w:t>
      </w:r>
      <w:r w:rsidR="007C7583">
        <w:t>1,050</w:t>
      </w:r>
      <w:r w:rsidR="00BE6CD3">
        <w:t>,</w:t>
      </w:r>
      <w:r w:rsidR="007C7583">
        <w:t>123</w:t>
      </w:r>
      <w:r>
        <w:t xml:space="preserve"> therms of savings through the Standard Initiative in 2024. </w:t>
      </w:r>
    </w:p>
    <w:p w14:paraId="688671A7" w14:textId="76A90D23" w:rsidR="002E7602" w:rsidRDefault="002E7602" w:rsidP="000071FF">
      <w:pPr>
        <w:pStyle w:val="Heading3"/>
        <w:tabs>
          <w:tab w:val="clear" w:pos="2160"/>
          <w:tab w:val="num" w:pos="1080"/>
        </w:tabs>
        <w:ind w:left="0"/>
      </w:pPr>
      <w:bookmarkStart w:id="48" w:name="_Toc191992412"/>
      <w:r>
        <w:t>Initiative Annual Savings Summary</w:t>
      </w:r>
      <w:bookmarkEnd w:id="48"/>
      <w:r>
        <w:t xml:space="preserve"> </w:t>
      </w:r>
    </w:p>
    <w:p w14:paraId="35273B84" w14:textId="6EF601F7" w:rsidR="00EE3D49" w:rsidRDefault="00EE3D49" w:rsidP="00EE3D49">
      <w:r>
        <w:fldChar w:fldCharType="begin"/>
      </w:r>
      <w:r>
        <w:instrText xml:space="preserve"> REF _Ref187234431 \h </w:instrText>
      </w:r>
      <w:r>
        <w:fldChar w:fldCharType="separate"/>
      </w:r>
      <w:r w:rsidR="00AA10F4">
        <w:t xml:space="preserve">Table </w:t>
      </w:r>
      <w:r w:rsidR="00AA10F4">
        <w:rPr>
          <w:noProof/>
        </w:rPr>
        <w:t>6</w:t>
      </w:r>
      <w:r>
        <w:fldChar w:fldCharType="end"/>
      </w:r>
      <w:r>
        <w:t xml:space="preserve"> presents the Standard Initiative savings achieved in 2024. The 2024 Standard Initiative achieved </w:t>
      </w:r>
      <w:r w:rsidR="009E0BDD">
        <w:t>60,25</w:t>
      </w:r>
      <w:r w:rsidR="0031132E">
        <w:t xml:space="preserve">5 </w:t>
      </w:r>
      <w:r>
        <w:t xml:space="preserve">MWh, </w:t>
      </w:r>
      <w:r w:rsidR="009E0BDD">
        <w:t>11.16</w:t>
      </w:r>
      <w:r>
        <w:t xml:space="preserve"> MW, and </w:t>
      </w:r>
      <w:r w:rsidR="009E0BDD">
        <w:t>1,</w:t>
      </w:r>
      <w:r w:rsidR="0040439C">
        <w:t>231</w:t>
      </w:r>
      <w:r w:rsidR="009E0BDD">
        <w:t>,</w:t>
      </w:r>
      <w:r w:rsidR="0040439C">
        <w:t>137</w:t>
      </w:r>
      <w:r>
        <w:t xml:space="preserve"> therms in verified net savings. The Initiative also produced </w:t>
      </w:r>
      <w:r w:rsidR="009E0BDD">
        <w:t>2,650</w:t>
      </w:r>
      <w:r>
        <w:t xml:space="preserve"> therms in verified net gas savings in 2024 that are not </w:t>
      </w:r>
      <w:r w:rsidR="00D615CF">
        <w:t xml:space="preserve">directly </w:t>
      </w:r>
      <w:r>
        <w:t xml:space="preserve">claimable by AIC because the customers do not receive gas service from AIC; these savings are detailed further in </w:t>
      </w:r>
      <w:r>
        <w:fldChar w:fldCharType="begin"/>
      </w:r>
      <w:r>
        <w:instrText xml:space="preserve"> REF _Ref187069776 \n \h </w:instrText>
      </w:r>
      <w:r>
        <w:fldChar w:fldCharType="separate"/>
      </w:r>
      <w:r w:rsidR="00AA10F4">
        <w:t>Appendix B</w:t>
      </w:r>
      <w:r>
        <w:fldChar w:fldCharType="end"/>
      </w:r>
      <w:r>
        <w:t>.</w:t>
      </w:r>
    </w:p>
    <w:p w14:paraId="2A690FEF" w14:textId="7CA78436" w:rsidR="00EE3D49" w:rsidRDefault="00EE3D49" w:rsidP="00881B1B">
      <w:pPr>
        <w:pStyle w:val="Caption"/>
      </w:pPr>
      <w:bookmarkStart w:id="49" w:name="_Ref187234431"/>
      <w:bookmarkStart w:id="50" w:name="_Toc191992527"/>
      <w:bookmarkStart w:id="51" w:name="_Toc192766940"/>
      <w:r>
        <w:t xml:space="preserve">Table </w:t>
      </w:r>
      <w:r w:rsidR="009B4C9A">
        <w:fldChar w:fldCharType="begin"/>
      </w:r>
      <w:r w:rsidR="009B4C9A">
        <w:instrText xml:space="preserve"> SEQ Table \* ARABIC </w:instrText>
      </w:r>
      <w:r w:rsidR="009B4C9A">
        <w:fldChar w:fldCharType="separate"/>
      </w:r>
      <w:r w:rsidR="00AA10F4">
        <w:rPr>
          <w:noProof/>
        </w:rPr>
        <w:t>6</w:t>
      </w:r>
      <w:r w:rsidR="009B4C9A">
        <w:rPr>
          <w:noProof/>
        </w:rPr>
        <w:fldChar w:fldCharType="end"/>
      </w:r>
      <w:bookmarkEnd w:id="49"/>
      <w:r>
        <w:t>. 2024 Standard Initiative Annual Savings</w:t>
      </w:r>
      <w:bookmarkEnd w:id="50"/>
      <w:bookmarkEnd w:id="51"/>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612B6A" w14:paraId="5526B683"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3AB3263B" w14:textId="77777777" w:rsidR="00612B6A" w:rsidRPr="00625570" w:rsidRDefault="00612B6A" w:rsidP="0070599E">
            <w:pPr>
              <w:pStyle w:val="TableHeadingLeft"/>
            </w:pPr>
            <w:bookmarkStart w:id="52" w:name="_Toc191992413"/>
          </w:p>
        </w:tc>
        <w:tc>
          <w:tcPr>
            <w:tcW w:w="0" w:type="auto"/>
            <w:tcBorders>
              <w:left w:val="single" w:sz="4" w:space="0" w:color="4A4D56" w:themeColor="text1"/>
              <w:bottom w:val="single" w:sz="4" w:space="0" w:color="4A4D56" w:themeColor="text1"/>
              <w:right w:val="single" w:sz="4" w:space="0" w:color="4A4D56" w:themeColor="text1"/>
            </w:tcBorders>
          </w:tcPr>
          <w:p w14:paraId="05CE72EA" w14:textId="77777777" w:rsidR="00612B6A" w:rsidRPr="00625570" w:rsidRDefault="00612B6A"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5C1B2770" w14:textId="77777777" w:rsidR="00612B6A" w:rsidRPr="00625570" w:rsidRDefault="00612B6A"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18C4E8E1" w14:textId="77777777" w:rsidR="00612B6A" w:rsidRPr="00625570" w:rsidRDefault="00612B6A"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612B6A" w14:paraId="55C1CE4E"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93490F6" w14:textId="77777777" w:rsidR="00612B6A" w:rsidRPr="00625570" w:rsidRDefault="00612B6A" w:rsidP="0070599E">
            <w:pPr>
              <w:pStyle w:val="TableLeftText"/>
            </w:pPr>
            <w:r w:rsidRPr="00AA0CA7">
              <w:t>Ex Ante Gross Savings</w:t>
            </w:r>
          </w:p>
        </w:tc>
        <w:tc>
          <w:tcPr>
            <w:tcW w:w="0" w:type="auto"/>
            <w:tcBorders>
              <w:top w:val="single" w:sz="4" w:space="0" w:color="4A4D56" w:themeColor="text1"/>
            </w:tcBorders>
          </w:tcPr>
          <w:p w14:paraId="00AA1140"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68,244</w:t>
            </w:r>
          </w:p>
        </w:tc>
        <w:tc>
          <w:tcPr>
            <w:tcW w:w="0" w:type="auto"/>
            <w:tcBorders>
              <w:top w:val="single" w:sz="4" w:space="0" w:color="4A4D56" w:themeColor="text1"/>
            </w:tcBorders>
          </w:tcPr>
          <w:p w14:paraId="17647C99"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12.47</w:t>
            </w:r>
          </w:p>
        </w:tc>
        <w:tc>
          <w:tcPr>
            <w:tcW w:w="0" w:type="auto"/>
            <w:tcBorders>
              <w:top w:val="single" w:sz="4" w:space="0" w:color="4A4D56" w:themeColor="text1"/>
            </w:tcBorders>
          </w:tcPr>
          <w:p w14:paraId="050CC3D7"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1,679,093</w:t>
            </w:r>
          </w:p>
        </w:tc>
      </w:tr>
      <w:tr w:rsidR="00612B6A" w14:paraId="271293E8"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7147B91" w14:textId="77777777" w:rsidR="00612B6A" w:rsidRPr="00625570" w:rsidRDefault="00612B6A" w:rsidP="0070599E">
            <w:pPr>
              <w:pStyle w:val="TableLeftText"/>
            </w:pPr>
            <w:r w:rsidRPr="00AA0CA7">
              <w:t>Gross Realization Rate</w:t>
            </w:r>
          </w:p>
        </w:tc>
        <w:tc>
          <w:tcPr>
            <w:tcW w:w="0" w:type="auto"/>
          </w:tcPr>
          <w:p w14:paraId="37D510CA"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97%</w:t>
            </w:r>
          </w:p>
        </w:tc>
        <w:tc>
          <w:tcPr>
            <w:tcW w:w="0" w:type="auto"/>
          </w:tcPr>
          <w:p w14:paraId="03F1E82F"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98%</w:t>
            </w:r>
          </w:p>
        </w:tc>
        <w:tc>
          <w:tcPr>
            <w:tcW w:w="0" w:type="auto"/>
          </w:tcPr>
          <w:p w14:paraId="7264FB88"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100%</w:t>
            </w:r>
          </w:p>
        </w:tc>
      </w:tr>
      <w:tr w:rsidR="00612B6A" w14:paraId="09FABCAF"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EC0FCBB" w14:textId="77777777" w:rsidR="00612B6A" w:rsidRPr="00625570" w:rsidRDefault="00612B6A" w:rsidP="0070599E">
            <w:pPr>
              <w:pStyle w:val="TableLeftText"/>
            </w:pPr>
            <w:r w:rsidRPr="00AA0CA7">
              <w:t>Verified Gross Savings</w:t>
            </w:r>
          </w:p>
        </w:tc>
        <w:tc>
          <w:tcPr>
            <w:tcW w:w="0" w:type="auto"/>
          </w:tcPr>
          <w:p w14:paraId="1CAC566C"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66,267</w:t>
            </w:r>
          </w:p>
        </w:tc>
        <w:tc>
          <w:tcPr>
            <w:tcW w:w="0" w:type="auto"/>
          </w:tcPr>
          <w:p w14:paraId="1A7C2176"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12.28</w:t>
            </w:r>
          </w:p>
        </w:tc>
        <w:tc>
          <w:tcPr>
            <w:tcW w:w="0" w:type="auto"/>
          </w:tcPr>
          <w:p w14:paraId="271C767F"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1,681,663</w:t>
            </w:r>
          </w:p>
        </w:tc>
      </w:tr>
      <w:tr w:rsidR="00612B6A" w14:paraId="321D1154"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325312E" w14:textId="77777777" w:rsidR="00612B6A" w:rsidRPr="00625570" w:rsidRDefault="00612B6A" w:rsidP="0070599E">
            <w:pPr>
              <w:pStyle w:val="TableLeftText"/>
            </w:pPr>
            <w:r w:rsidRPr="00AA0CA7">
              <w:t>NTGR</w:t>
            </w:r>
          </w:p>
        </w:tc>
        <w:tc>
          <w:tcPr>
            <w:tcW w:w="0" w:type="auto"/>
          </w:tcPr>
          <w:p w14:paraId="74DCA6F9"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0.909</w:t>
            </w:r>
          </w:p>
        </w:tc>
        <w:tc>
          <w:tcPr>
            <w:tcW w:w="0" w:type="auto"/>
          </w:tcPr>
          <w:p w14:paraId="4FFE82A3"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0.909</w:t>
            </w:r>
          </w:p>
        </w:tc>
        <w:tc>
          <w:tcPr>
            <w:tcW w:w="0" w:type="auto"/>
          </w:tcPr>
          <w:p w14:paraId="71E67B82" w14:textId="77777777" w:rsidR="00612B6A" w:rsidRPr="000B7901" w:rsidRDefault="00612B6A" w:rsidP="0070599E">
            <w:pPr>
              <w:pStyle w:val="TableCenterText"/>
              <w:cnfStyle w:val="000000010000" w:firstRow="0" w:lastRow="0" w:firstColumn="0" w:lastColumn="0" w:oddVBand="0" w:evenVBand="0" w:oddHBand="0" w:evenHBand="1" w:firstRowFirstColumn="0" w:firstRowLastColumn="0" w:lastRowFirstColumn="0" w:lastRowLastColumn="0"/>
            </w:pPr>
            <w:r w:rsidRPr="007A39A8">
              <w:t>0.732</w:t>
            </w:r>
          </w:p>
        </w:tc>
      </w:tr>
      <w:tr w:rsidR="00612B6A" w14:paraId="3477772F"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02E9AF6" w14:textId="77777777" w:rsidR="00612B6A" w:rsidRPr="00625570" w:rsidRDefault="00612B6A" w:rsidP="0070599E">
            <w:pPr>
              <w:pStyle w:val="TableLeftText"/>
            </w:pPr>
            <w:r w:rsidRPr="00AA0CA7">
              <w:t>Verified Net Savings</w:t>
            </w:r>
          </w:p>
        </w:tc>
        <w:tc>
          <w:tcPr>
            <w:tcW w:w="0" w:type="auto"/>
          </w:tcPr>
          <w:p w14:paraId="36FB81DF"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60,25</w:t>
            </w:r>
            <w:r>
              <w:t>5</w:t>
            </w:r>
          </w:p>
        </w:tc>
        <w:tc>
          <w:tcPr>
            <w:tcW w:w="0" w:type="auto"/>
          </w:tcPr>
          <w:p w14:paraId="69B20BD2"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11.16</w:t>
            </w:r>
          </w:p>
        </w:tc>
        <w:tc>
          <w:tcPr>
            <w:tcW w:w="0" w:type="auto"/>
          </w:tcPr>
          <w:p w14:paraId="6E7C5FE3" w14:textId="77777777" w:rsidR="00612B6A" w:rsidRPr="000B7901" w:rsidRDefault="00612B6A" w:rsidP="0070599E">
            <w:pPr>
              <w:pStyle w:val="TableCenterText"/>
              <w:cnfStyle w:val="000000100000" w:firstRow="0" w:lastRow="0" w:firstColumn="0" w:lastColumn="0" w:oddVBand="0" w:evenVBand="0" w:oddHBand="1" w:evenHBand="0" w:firstRowFirstColumn="0" w:firstRowLastColumn="0" w:lastRowFirstColumn="0" w:lastRowLastColumn="0"/>
            </w:pPr>
            <w:r w:rsidRPr="007A39A8">
              <w:t>1,231,137</w:t>
            </w:r>
          </w:p>
        </w:tc>
      </w:tr>
    </w:tbl>
    <w:p w14:paraId="502DFD27" w14:textId="54FD5EF9" w:rsidR="002E7602" w:rsidRDefault="002E7602" w:rsidP="000071FF">
      <w:pPr>
        <w:pStyle w:val="Heading3"/>
        <w:tabs>
          <w:tab w:val="clear" w:pos="2160"/>
          <w:tab w:val="num" w:pos="1080"/>
        </w:tabs>
        <w:ind w:left="0"/>
      </w:pPr>
      <w:r>
        <w:lastRenderedPageBreak/>
        <w:t>Standard Core Channel</w:t>
      </w:r>
      <w:bookmarkEnd w:id="52"/>
    </w:p>
    <w:p w14:paraId="43C6753B" w14:textId="65DF8080" w:rsidR="00EE3D49" w:rsidRPr="00EE3D49" w:rsidRDefault="00EE3D49" w:rsidP="00EE3D49">
      <w:r>
        <w:t xml:space="preserve">The following sections present the impact evaluation results for the 2024 Standard Core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72C93C7A" w14:textId="31E048FD" w:rsidR="002E7602" w:rsidRDefault="002E7602" w:rsidP="002E7602">
      <w:pPr>
        <w:pStyle w:val="Heading4"/>
      </w:pPr>
      <w:r>
        <w:t>Channel Description</w:t>
      </w:r>
    </w:p>
    <w:p w14:paraId="48E1FD6E" w14:textId="0652F790" w:rsidR="00FC42B3" w:rsidRDefault="00FC42B3" w:rsidP="002E7602">
      <w:r>
        <w:t>The Standard Core channel offers traditional downstream incentives for lighting</w:t>
      </w:r>
      <w:r w:rsidR="003F3F47">
        <w:t xml:space="preserve">, variable frequency drives, HVAC equipment, refrigeration/grocery store equipment, commercial kitchen equipment, steam trap repair/replacements, green nozzles, and other measures. The channel separates these </w:t>
      </w:r>
      <w:r>
        <w:t>into a series of distinct offerings, detailed below.</w:t>
      </w:r>
    </w:p>
    <w:p w14:paraId="205C1EEE" w14:textId="68E73B7E" w:rsidR="00FC42B3" w:rsidRDefault="00FC42B3" w:rsidP="00FC42B3">
      <w:pPr>
        <w:pStyle w:val="ListBullet"/>
      </w:pPr>
      <w:r>
        <w:t>Standard Lighting for Business (SLB)</w:t>
      </w:r>
    </w:p>
    <w:p w14:paraId="499CE040" w14:textId="424B376E" w:rsidR="00FC42B3" w:rsidRDefault="00FC42B3" w:rsidP="00FC42B3">
      <w:pPr>
        <w:pStyle w:val="ListBullet"/>
      </w:pPr>
      <w:r>
        <w:t>Variable Frequency Drives (VFDs)</w:t>
      </w:r>
    </w:p>
    <w:p w14:paraId="6B62CDEE" w14:textId="6245ABF0" w:rsidR="00FC42B3" w:rsidRDefault="00FC42B3" w:rsidP="00FC42B3">
      <w:pPr>
        <w:pStyle w:val="ListBullet"/>
      </w:pPr>
      <w:r>
        <w:t>Specialty Equipment (SE)</w:t>
      </w:r>
    </w:p>
    <w:p w14:paraId="6B6B240D" w14:textId="2841DD8D" w:rsidR="00FC42B3" w:rsidRDefault="00FC42B3" w:rsidP="00FC42B3">
      <w:pPr>
        <w:pStyle w:val="ListBullet"/>
      </w:pPr>
      <w:r>
        <w:t>Heating, Ventilating, and Air Conditioning (HVAC)</w:t>
      </w:r>
    </w:p>
    <w:p w14:paraId="1ED9BEE3" w14:textId="114EA891" w:rsidR="00FC42B3" w:rsidRDefault="00FC42B3" w:rsidP="00FC42B3">
      <w:pPr>
        <w:pStyle w:val="ListBullet"/>
      </w:pPr>
      <w:r>
        <w:t>Green Nozzles (GNs)</w:t>
      </w:r>
    </w:p>
    <w:p w14:paraId="15D78F24" w14:textId="43E4E61C" w:rsidR="00FC42B3" w:rsidRDefault="00FC42B3" w:rsidP="00FC42B3">
      <w:pPr>
        <w:pStyle w:val="ListBullet"/>
      </w:pPr>
      <w:r>
        <w:t>Steam Trap Repair/Replacement (STRR)</w:t>
      </w:r>
    </w:p>
    <w:p w14:paraId="70DF443A" w14:textId="08349C84" w:rsidR="002E7602" w:rsidRDefault="002E7602" w:rsidP="000071FF">
      <w:pPr>
        <w:pStyle w:val="Heading5"/>
      </w:pPr>
      <w:r>
        <w:t>Summary of Key Implementation Changes</w:t>
      </w:r>
    </w:p>
    <w:p w14:paraId="01093678" w14:textId="049A8ECB" w:rsidR="00241CE4" w:rsidRDefault="00241CE4" w:rsidP="00241CE4">
      <w:r>
        <w:t>Initiative staff instituted the following design and implementation changes to the Standard Core channel in 2024:</w:t>
      </w:r>
    </w:p>
    <w:p w14:paraId="608B2F01" w14:textId="2EF4133D" w:rsidR="00A55E72" w:rsidRDefault="00A55E72" w:rsidP="00241CE4">
      <w:pPr>
        <w:pStyle w:val="ListBullet"/>
      </w:pPr>
      <w:r>
        <w:t xml:space="preserve">Several measures were removed from the list of eligible measures: </w:t>
      </w:r>
    </w:p>
    <w:p w14:paraId="4B30FADF" w14:textId="4BDA01E8" w:rsidR="00AF4022" w:rsidRDefault="00AF4022" w:rsidP="00A55E72">
      <w:pPr>
        <w:pStyle w:val="ListBullet2"/>
      </w:pPr>
      <w:r>
        <w:t xml:space="preserve">Steam boilers were removed </w:t>
      </w:r>
      <w:r w:rsidR="005D1D01">
        <w:t>from the HVAC offering.</w:t>
      </w:r>
    </w:p>
    <w:p w14:paraId="74069BC5" w14:textId="07C33564" w:rsidR="00AF4022" w:rsidRDefault="00AF4022" w:rsidP="00A55E72">
      <w:pPr>
        <w:pStyle w:val="ListBullet2"/>
      </w:pPr>
      <w:r>
        <w:t>Packaged Terminal Air Conditioners (PTAC) and Packaged Terminal Heat Pumps (PTHP)</w:t>
      </w:r>
      <w:r w:rsidR="00A55E72">
        <w:t xml:space="preserve"> were moved</w:t>
      </w:r>
      <w:r>
        <w:t xml:space="preserve"> </w:t>
      </w:r>
      <w:r w:rsidR="005D1D01">
        <w:t xml:space="preserve">from the Standard HVAC offering </w:t>
      </w:r>
      <w:r>
        <w:t xml:space="preserve">to the Midstream HVAC </w:t>
      </w:r>
      <w:r w:rsidR="00A55E72">
        <w:t>channel</w:t>
      </w:r>
      <w:r>
        <w:t>.</w:t>
      </w:r>
    </w:p>
    <w:p w14:paraId="44904F94" w14:textId="4F0F1617" w:rsidR="00A55E72" w:rsidRDefault="00A55E72" w:rsidP="00A55E72">
      <w:pPr>
        <w:pStyle w:val="ListBullet2"/>
      </w:pPr>
      <w:r>
        <w:t xml:space="preserve">Interior and exterior downlights were removed from the SLB </w:t>
      </w:r>
      <w:r w:rsidR="00A12B73">
        <w:t>offering</w:t>
      </w:r>
      <w:r>
        <w:t>.</w:t>
      </w:r>
    </w:p>
    <w:p w14:paraId="3860204F" w14:textId="78968DF9" w:rsidR="00A55E72" w:rsidRDefault="00A55E72" w:rsidP="00A55E72">
      <w:pPr>
        <w:pStyle w:val="ListBullet"/>
      </w:pPr>
      <w:r>
        <w:t xml:space="preserve">The implementation team added a </w:t>
      </w:r>
      <w:r w:rsidR="005D1D01">
        <w:t>w</w:t>
      </w:r>
      <w:r>
        <w:t>eatherization application, including incentives for air sealing, above-ground wall insulation, duct sealing, duct insulation, and covers and gap sealers for room air conditioners (RACs).</w:t>
      </w:r>
    </w:p>
    <w:p w14:paraId="26A9F4A1" w14:textId="629CF46A" w:rsidR="00A12B73" w:rsidRDefault="00A12B73" w:rsidP="00A55E72">
      <w:pPr>
        <w:pStyle w:val="ListBullet"/>
      </w:pPr>
      <w:r>
        <w:t>Exterior networked lighting controls, including LLLCs, were added to the list of eligible SLB measures</w:t>
      </w:r>
      <w:r w:rsidR="005D1D01">
        <w:t>, and the</w:t>
      </w:r>
      <w:r>
        <w:t xml:space="preserve"> per-fixture </w:t>
      </w:r>
      <w:r w:rsidR="005D1D01">
        <w:t xml:space="preserve">incentive </w:t>
      </w:r>
      <w:r>
        <w:t>cap for interior and exterior networked lighting controls was reduced.</w:t>
      </w:r>
    </w:p>
    <w:p w14:paraId="379DD653" w14:textId="5EBBAD91" w:rsidR="00A55E72" w:rsidRDefault="00A55E72" w:rsidP="00A55E72">
      <w:pPr>
        <w:pStyle w:val="ListBullet"/>
      </w:pPr>
      <w:r>
        <w:t xml:space="preserve">The implementation team increased the incentives for several measures, including VFDs, anti-sweat heater controls, ECMs for coolers and freezers, </w:t>
      </w:r>
      <w:r w:rsidRPr="00A55E72">
        <w:t xml:space="preserve">advanced rooftop controls, </w:t>
      </w:r>
      <w:r>
        <w:t>demand-controlled</w:t>
      </w:r>
      <w:r w:rsidRPr="00A55E72">
        <w:t xml:space="preserve"> ventilation, unitary condensing furnaces, ozone laundry, </w:t>
      </w:r>
      <w:r w:rsidR="005D1D01">
        <w:t xml:space="preserve">and </w:t>
      </w:r>
      <w:r w:rsidRPr="00A55E72">
        <w:t>guest room energy management</w:t>
      </w:r>
    </w:p>
    <w:p w14:paraId="4BFCE4B9" w14:textId="2E651D62" w:rsidR="00662108" w:rsidRDefault="00253579" w:rsidP="00241CE4">
      <w:pPr>
        <w:pStyle w:val="ListBullet"/>
      </w:pPr>
      <w:r>
        <w:t>A n</w:t>
      </w:r>
      <w:r w:rsidR="00662108">
        <w:t xml:space="preserve">ew </w:t>
      </w:r>
      <w:r>
        <w:t xml:space="preserve">end-of-year incentive bonus was </w:t>
      </w:r>
      <w:r w:rsidR="00C4147D">
        <w:t>implemented</w:t>
      </w:r>
      <w:r>
        <w:t xml:space="preserve"> </w:t>
      </w:r>
      <w:r w:rsidRPr="00662108">
        <w:t xml:space="preserve">for </w:t>
      </w:r>
      <w:r w:rsidR="00781DD0">
        <w:t>electric</w:t>
      </w:r>
      <w:r w:rsidR="00ED4937">
        <w:t xml:space="preserve"> projects</w:t>
      </w:r>
      <w:r w:rsidR="00C4147D">
        <w:t>. This bonus provided an additional 20%</w:t>
      </w:r>
      <w:r w:rsidR="00781DD0">
        <w:t xml:space="preserve"> </w:t>
      </w:r>
      <w:r w:rsidR="005D1D01">
        <w:t xml:space="preserve">incentive </w:t>
      </w:r>
      <w:r w:rsidR="00781DD0">
        <w:t xml:space="preserve">for new and existing </w:t>
      </w:r>
      <w:r w:rsidR="00C4147D">
        <w:t xml:space="preserve">projects </w:t>
      </w:r>
      <w:r w:rsidR="005D1D01">
        <w:t>forecasted</w:t>
      </w:r>
      <w:r w:rsidR="00C4147D">
        <w:t xml:space="preserve"> to close near the end of the year, incentivizing</w:t>
      </w:r>
      <w:r w:rsidR="00ED4937">
        <w:t xml:space="preserve"> the</w:t>
      </w:r>
      <w:r w:rsidR="005D1D01">
        <w:t xml:space="preserve"> customers to complete the projects sooner</w:t>
      </w:r>
      <w:r w:rsidR="00662108" w:rsidRPr="00662108">
        <w:t xml:space="preserve"> </w:t>
      </w:r>
      <w:r w:rsidR="005D1D01">
        <w:t>to ensure</w:t>
      </w:r>
      <w:r w:rsidR="00662108" w:rsidRPr="00662108">
        <w:t xml:space="preserve"> the savings </w:t>
      </w:r>
      <w:r>
        <w:t>could be claimed in 2024</w:t>
      </w:r>
      <w:r w:rsidR="00662108" w:rsidRPr="00662108">
        <w:t xml:space="preserve">. </w:t>
      </w:r>
    </w:p>
    <w:p w14:paraId="287194E2" w14:textId="580CFED8" w:rsidR="00662108" w:rsidRDefault="00662108" w:rsidP="00241CE4">
      <w:pPr>
        <w:pStyle w:val="ListBullet"/>
      </w:pPr>
      <w:r w:rsidRPr="00662108">
        <w:t xml:space="preserve">Marketing efforts </w:t>
      </w:r>
      <w:r w:rsidR="00A12B73">
        <w:t>transitioned to a</w:t>
      </w:r>
      <w:r w:rsidRPr="00662108">
        <w:t xml:space="preserve"> more segmented</w:t>
      </w:r>
      <w:r w:rsidR="00A12B73">
        <w:t xml:space="preserve"> approach, targeting </w:t>
      </w:r>
      <w:r w:rsidR="005D1D01">
        <w:t>specific</w:t>
      </w:r>
      <w:r w:rsidR="00A12B73">
        <w:t xml:space="preserve"> customer segments with customized communication and newsletters</w:t>
      </w:r>
      <w:r w:rsidR="003F3F47">
        <w:t>, including</w:t>
      </w:r>
      <w:r w:rsidRPr="00662108">
        <w:t xml:space="preserve"> public</w:t>
      </w:r>
      <w:r w:rsidR="005D1D01">
        <w:t xml:space="preserve"> sector customers</w:t>
      </w:r>
      <w:r w:rsidR="002042DB">
        <w:t xml:space="preserve">, small commercial facilities, </w:t>
      </w:r>
      <w:r w:rsidRPr="00662108">
        <w:t>and industrial/manufacturing</w:t>
      </w:r>
      <w:r w:rsidR="00A12B73">
        <w:t xml:space="preserve"> facilities.</w:t>
      </w:r>
    </w:p>
    <w:p w14:paraId="7652C55C" w14:textId="2A9A3F9A" w:rsidR="002E7602" w:rsidRDefault="002E7602" w:rsidP="005D1D01">
      <w:pPr>
        <w:pStyle w:val="Heading4"/>
        <w:keepNext/>
      </w:pPr>
      <w:r>
        <w:lastRenderedPageBreak/>
        <w:t>Participation Summary</w:t>
      </w:r>
    </w:p>
    <w:p w14:paraId="7F5B8819" w14:textId="65FD0505" w:rsidR="00FE0CDF" w:rsidRDefault="004E14E5" w:rsidP="00FE0CDF">
      <w:r>
        <w:fldChar w:fldCharType="begin"/>
      </w:r>
      <w:r>
        <w:instrText xml:space="preserve"> REF _Ref188866731 \h </w:instrText>
      </w:r>
      <w:r>
        <w:fldChar w:fldCharType="separate"/>
      </w:r>
      <w:r w:rsidR="00AA10F4">
        <w:t xml:space="preserve">Table </w:t>
      </w:r>
      <w:r w:rsidR="00AA10F4">
        <w:rPr>
          <w:noProof/>
        </w:rPr>
        <w:t>7</w:t>
      </w:r>
      <w:r>
        <w:fldChar w:fldCharType="end"/>
      </w:r>
      <w:r>
        <w:t xml:space="preserve"> </w:t>
      </w:r>
      <w:r w:rsidR="00FE0CDF">
        <w:t xml:space="preserve">presents a summary of participation in the </w:t>
      </w:r>
      <w:r w:rsidR="003F3F47">
        <w:t xml:space="preserve">2024 </w:t>
      </w:r>
      <w:r w:rsidR="00FE0CDF">
        <w:t xml:space="preserve">Standard Core channel by </w:t>
      </w:r>
      <w:r w:rsidR="00095BE3">
        <w:t>offering</w:t>
      </w:r>
      <w:r w:rsidR="00FE0CDF">
        <w:t xml:space="preserve">. We present these data separated by public and private sector projects to provide context as to the primary drivers of participation. AIC customers completed </w:t>
      </w:r>
      <w:r w:rsidR="006D370F">
        <w:t>745</w:t>
      </w:r>
      <w:r w:rsidR="00FE0CDF">
        <w:t xml:space="preserve"> unique projects through the channel, encompassing </w:t>
      </w:r>
      <w:r w:rsidR="004541E1">
        <w:t>67,488</w:t>
      </w:r>
      <w:r w:rsidR="00FE0CDF">
        <w:t xml:space="preserve"> incentivized measures. The </w:t>
      </w:r>
      <w:r w:rsidR="00FE0CDF" w:rsidRPr="004541E1">
        <w:t>SLB</w:t>
      </w:r>
      <w:r w:rsidR="00FE0CDF">
        <w:t xml:space="preserve"> offering continued to dominate channel activity, accounting for </w:t>
      </w:r>
      <w:r w:rsidR="001C0A10">
        <w:t>55</w:t>
      </w:r>
      <w:r w:rsidR="00FE0CDF">
        <w:t xml:space="preserve">% of total projects completed in 2024. The </w:t>
      </w:r>
      <w:r w:rsidR="00FE0CDF" w:rsidRPr="001C0A10">
        <w:t>HVAC</w:t>
      </w:r>
      <w:r w:rsidR="00FE0CDF">
        <w:t xml:space="preserve"> and </w:t>
      </w:r>
      <w:r w:rsidR="00FE0CDF" w:rsidRPr="001C0A10">
        <w:t>SE</w:t>
      </w:r>
      <w:r w:rsidR="00FE0CDF">
        <w:t xml:space="preserve"> offerings accounted for the next largest </w:t>
      </w:r>
      <w:r w:rsidR="00ED4937">
        <w:t>share</w:t>
      </w:r>
      <w:r w:rsidR="00FE0CDF">
        <w:t xml:space="preserve"> of completed projects at </w:t>
      </w:r>
      <w:r w:rsidR="001C0A10">
        <w:t>17</w:t>
      </w:r>
      <w:r w:rsidR="00FE0CDF">
        <w:t xml:space="preserve">% and </w:t>
      </w:r>
      <w:r w:rsidR="001C0A10">
        <w:t>14</w:t>
      </w:r>
      <w:r w:rsidR="00FE0CDF">
        <w:t>%, respectively.</w:t>
      </w:r>
    </w:p>
    <w:p w14:paraId="436D415E" w14:textId="6D268C57" w:rsidR="004E14E5" w:rsidRDefault="004E14E5" w:rsidP="00881B1B">
      <w:pPr>
        <w:pStyle w:val="Caption"/>
      </w:pPr>
      <w:bookmarkStart w:id="53" w:name="_Ref188866731"/>
      <w:bookmarkStart w:id="54" w:name="_Toc191992528"/>
      <w:bookmarkStart w:id="55" w:name="_Toc192766941"/>
      <w:r>
        <w:t xml:space="preserve">Table </w:t>
      </w:r>
      <w:r w:rsidR="009B4C9A">
        <w:fldChar w:fldCharType="begin"/>
      </w:r>
      <w:r w:rsidR="009B4C9A">
        <w:instrText xml:space="preserve"> SEQ Table \* ARABIC </w:instrText>
      </w:r>
      <w:r w:rsidR="009B4C9A">
        <w:fldChar w:fldCharType="separate"/>
      </w:r>
      <w:r w:rsidR="00AA10F4">
        <w:rPr>
          <w:noProof/>
        </w:rPr>
        <w:t>7</w:t>
      </w:r>
      <w:r w:rsidR="009B4C9A">
        <w:rPr>
          <w:noProof/>
        </w:rPr>
        <w:fldChar w:fldCharType="end"/>
      </w:r>
      <w:bookmarkEnd w:id="53"/>
      <w:r>
        <w:t>. 2024 Standard Core Channel Participation Summary by Measure Category</w:t>
      </w:r>
      <w:bookmarkEnd w:id="54"/>
      <w:bookmarkEnd w:id="5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Look w:val="04A0" w:firstRow="1" w:lastRow="0" w:firstColumn="1" w:lastColumn="0" w:noHBand="0" w:noVBand="1"/>
      </w:tblPr>
      <w:tblGrid>
        <w:gridCol w:w="3955"/>
        <w:gridCol w:w="1140"/>
        <w:gridCol w:w="1500"/>
        <w:gridCol w:w="1500"/>
        <w:gridCol w:w="1620"/>
        <w:gridCol w:w="1381"/>
      </w:tblGrid>
      <w:tr w:rsidR="00FE0CDF" w14:paraId="0F57DDA1"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721F505" w14:textId="2734E2CB" w:rsidR="00FE0CDF" w:rsidRDefault="00095BE3" w:rsidP="00FE0CDF">
            <w:pPr>
              <w:pStyle w:val="TableHeadingLeft"/>
            </w:pPr>
            <w:bookmarkStart w:id="56" w:name="_Hlk188878284"/>
            <w:r>
              <w:t>Offering</w:t>
            </w:r>
          </w:p>
        </w:tc>
        <w:tc>
          <w:tcPr>
            <w:tcW w:w="1140" w:type="dxa"/>
            <w:tcBorders>
              <w:bottom w:val="none" w:sz="0" w:space="0" w:color="auto"/>
            </w:tcBorders>
          </w:tcPr>
          <w:p w14:paraId="3CC180F5" w14:textId="72EE5316" w:rsidR="00FE0CDF" w:rsidRDefault="00FE0CDF" w:rsidP="00FE0CDF">
            <w:pPr>
              <w:pStyle w:val="TableHeadingCentered"/>
              <w:cnfStyle w:val="100000000000" w:firstRow="1" w:lastRow="0" w:firstColumn="0" w:lastColumn="0" w:oddVBand="0" w:evenVBand="0" w:oddHBand="0" w:evenHBand="0" w:firstRowFirstColumn="0" w:firstRowLastColumn="0" w:lastRowFirstColumn="0" w:lastRowLastColumn="0"/>
            </w:pPr>
            <w:r>
              <w:t>Total Projects</w:t>
            </w:r>
          </w:p>
        </w:tc>
        <w:tc>
          <w:tcPr>
            <w:tcW w:w="1500" w:type="dxa"/>
            <w:tcBorders>
              <w:bottom w:val="none" w:sz="0" w:space="0" w:color="auto"/>
            </w:tcBorders>
          </w:tcPr>
          <w:p w14:paraId="667CFD0F" w14:textId="11FDF27B" w:rsidR="00FE0CDF" w:rsidRDefault="00FE0CDF" w:rsidP="00FE0CDF">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1500" w:type="dxa"/>
            <w:tcBorders>
              <w:bottom w:val="none" w:sz="0" w:space="0" w:color="auto"/>
            </w:tcBorders>
          </w:tcPr>
          <w:p w14:paraId="64052248" w14:textId="29350DB6" w:rsidR="00FE0CDF" w:rsidRDefault="00FE0CDF" w:rsidP="00FE0CDF">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1620" w:type="dxa"/>
            <w:tcBorders>
              <w:bottom w:val="none" w:sz="0" w:space="0" w:color="auto"/>
            </w:tcBorders>
          </w:tcPr>
          <w:p w14:paraId="34010B55" w14:textId="276D6643" w:rsidR="00FE0CDF" w:rsidRDefault="00FE0CDF" w:rsidP="00FE0CDF">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1381" w:type="dxa"/>
            <w:tcBorders>
              <w:bottom w:val="none" w:sz="0" w:space="0" w:color="auto"/>
            </w:tcBorders>
          </w:tcPr>
          <w:p w14:paraId="271C9A4A" w14:textId="13B11553" w:rsidR="00FE0CDF" w:rsidRDefault="00FE0CDF" w:rsidP="00FE0CDF">
            <w:pPr>
              <w:pStyle w:val="TableHeadingCentered"/>
              <w:cnfStyle w:val="100000000000" w:firstRow="1" w:lastRow="0" w:firstColumn="0" w:lastColumn="0" w:oddVBand="0" w:evenVBand="0" w:oddHBand="0" w:evenHBand="0" w:firstRowFirstColumn="0" w:firstRowLastColumn="0" w:lastRowFirstColumn="0" w:lastRowLastColumn="0"/>
            </w:pPr>
            <w:r>
              <w:t>Ex Ante Therms</w:t>
            </w:r>
          </w:p>
        </w:tc>
      </w:tr>
      <w:tr w:rsidR="00FE0CDF" w14:paraId="36B958DA"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6" w:type="dxa"/>
            <w:gridSpan w:val="6"/>
            <w:tcBorders>
              <w:top w:val="none" w:sz="0" w:space="0" w:color="auto"/>
              <w:left w:val="none" w:sz="0" w:space="0" w:color="auto"/>
              <w:bottom w:val="none" w:sz="0" w:space="0" w:color="auto"/>
              <w:right w:val="none" w:sz="0" w:space="0" w:color="auto"/>
            </w:tcBorders>
            <w:shd w:val="clear" w:color="auto" w:fill="00B0F0"/>
          </w:tcPr>
          <w:p w14:paraId="183B51AF" w14:textId="58504842" w:rsidR="00FE0CDF" w:rsidRDefault="00FE0CDF" w:rsidP="00FE0CDF">
            <w:pPr>
              <w:pStyle w:val="TableHeadingCentered"/>
              <w:jc w:val="left"/>
            </w:pPr>
            <w:r w:rsidRPr="00FE0CDF">
              <w:t>Private Sector</w:t>
            </w:r>
            <w:r w:rsidR="00875F07">
              <w:rPr>
                <w:vertAlign w:val="superscript"/>
              </w:rPr>
              <w:t>a</w:t>
            </w:r>
          </w:p>
        </w:tc>
      </w:tr>
      <w:tr w:rsidR="00FE0CDF" w14:paraId="7B177BF0"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7F927876" w14:textId="2353C074" w:rsidR="00FE0CDF" w:rsidRDefault="00FE0CDF" w:rsidP="00FE0CDF">
            <w:r>
              <w:t>SLB</w:t>
            </w:r>
          </w:p>
        </w:tc>
        <w:tc>
          <w:tcPr>
            <w:tcW w:w="1140" w:type="dxa"/>
            <w:tcBorders>
              <w:top w:val="none" w:sz="0" w:space="0" w:color="auto"/>
              <w:left w:val="none" w:sz="0" w:space="0" w:color="auto"/>
              <w:bottom w:val="none" w:sz="0" w:space="0" w:color="auto"/>
              <w:right w:val="none" w:sz="0" w:space="0" w:color="auto"/>
            </w:tcBorders>
          </w:tcPr>
          <w:p w14:paraId="31243BD5" w14:textId="79822223" w:rsidR="006D370F" w:rsidRDefault="006D370F" w:rsidP="007F2D66">
            <w:pPr>
              <w:jc w:val="right"/>
              <w:cnfStyle w:val="000000010000" w:firstRow="0" w:lastRow="0" w:firstColumn="0" w:lastColumn="0" w:oddVBand="0" w:evenVBand="0" w:oddHBand="0" w:evenHBand="1" w:firstRowFirstColumn="0" w:firstRowLastColumn="0" w:lastRowFirstColumn="0" w:lastRowLastColumn="0"/>
            </w:pPr>
            <w:r>
              <w:t>343</w:t>
            </w:r>
          </w:p>
        </w:tc>
        <w:tc>
          <w:tcPr>
            <w:tcW w:w="1500" w:type="dxa"/>
            <w:tcBorders>
              <w:top w:val="none" w:sz="0" w:space="0" w:color="auto"/>
              <w:left w:val="none" w:sz="0" w:space="0" w:color="auto"/>
              <w:bottom w:val="none" w:sz="0" w:space="0" w:color="auto"/>
              <w:right w:val="none" w:sz="0" w:space="0" w:color="auto"/>
            </w:tcBorders>
          </w:tcPr>
          <w:p w14:paraId="561822AF" w14:textId="152AA461" w:rsidR="00FE0CDF" w:rsidRDefault="006D370F" w:rsidP="007F2D66">
            <w:pPr>
              <w:jc w:val="right"/>
              <w:cnfStyle w:val="000000010000" w:firstRow="0" w:lastRow="0" w:firstColumn="0" w:lastColumn="0" w:oddVBand="0" w:evenVBand="0" w:oddHBand="0" w:evenHBand="1" w:firstRowFirstColumn="0" w:firstRowLastColumn="0" w:lastRowFirstColumn="0" w:lastRowLastColumn="0"/>
            </w:pPr>
            <w:r>
              <w:t>53,</w:t>
            </w:r>
            <w:r w:rsidR="001730B3">
              <w:t>404</w:t>
            </w:r>
          </w:p>
        </w:tc>
        <w:tc>
          <w:tcPr>
            <w:tcW w:w="1500" w:type="dxa"/>
            <w:tcBorders>
              <w:top w:val="none" w:sz="0" w:space="0" w:color="auto"/>
              <w:left w:val="none" w:sz="0" w:space="0" w:color="auto"/>
              <w:bottom w:val="none" w:sz="0" w:space="0" w:color="auto"/>
              <w:right w:val="none" w:sz="0" w:space="0" w:color="auto"/>
            </w:tcBorders>
          </w:tcPr>
          <w:p w14:paraId="76F77846" w14:textId="43709EFD" w:rsidR="00FE0CDF" w:rsidRDefault="001C0A10" w:rsidP="007F2D66">
            <w:pPr>
              <w:jc w:val="right"/>
              <w:cnfStyle w:val="000000010000" w:firstRow="0" w:lastRow="0" w:firstColumn="0" w:lastColumn="0" w:oddVBand="0" w:evenVBand="0" w:oddHBand="0" w:evenHBand="1" w:firstRowFirstColumn="0" w:firstRowLastColumn="0" w:lastRowFirstColumn="0" w:lastRowLastColumn="0"/>
            </w:pPr>
            <w:r>
              <w:t>42,166</w:t>
            </w:r>
          </w:p>
        </w:tc>
        <w:tc>
          <w:tcPr>
            <w:tcW w:w="1620" w:type="dxa"/>
            <w:tcBorders>
              <w:top w:val="none" w:sz="0" w:space="0" w:color="auto"/>
              <w:left w:val="none" w:sz="0" w:space="0" w:color="auto"/>
              <w:bottom w:val="none" w:sz="0" w:space="0" w:color="auto"/>
              <w:right w:val="none" w:sz="0" w:space="0" w:color="auto"/>
            </w:tcBorders>
          </w:tcPr>
          <w:p w14:paraId="0ECE1A6E" w14:textId="474B71D7" w:rsidR="00FE0CDF" w:rsidRDefault="005C2BB2" w:rsidP="007F2D66">
            <w:pPr>
              <w:jc w:val="right"/>
              <w:cnfStyle w:val="000000010000" w:firstRow="0" w:lastRow="0" w:firstColumn="0" w:lastColumn="0" w:oddVBand="0" w:evenVBand="0" w:oddHBand="0" w:evenHBand="1" w:firstRowFirstColumn="0" w:firstRowLastColumn="0" w:lastRowFirstColumn="0" w:lastRowLastColumn="0"/>
            </w:pPr>
            <w:r>
              <w:t>8.66</w:t>
            </w:r>
          </w:p>
        </w:tc>
        <w:tc>
          <w:tcPr>
            <w:tcW w:w="1381" w:type="dxa"/>
            <w:tcBorders>
              <w:top w:val="none" w:sz="0" w:space="0" w:color="auto"/>
              <w:left w:val="none" w:sz="0" w:space="0" w:color="auto"/>
              <w:bottom w:val="none" w:sz="0" w:space="0" w:color="auto"/>
              <w:right w:val="none" w:sz="0" w:space="0" w:color="auto"/>
            </w:tcBorders>
          </w:tcPr>
          <w:p w14:paraId="13D8B153" w14:textId="1AE7B4E9" w:rsidR="00FE0CDF" w:rsidRDefault="00E167DF" w:rsidP="007F2D66">
            <w:pPr>
              <w:jc w:val="right"/>
              <w:cnfStyle w:val="000000010000" w:firstRow="0" w:lastRow="0" w:firstColumn="0" w:lastColumn="0" w:oddVBand="0" w:evenVBand="0" w:oddHBand="0" w:evenHBand="1" w:firstRowFirstColumn="0" w:firstRowLastColumn="0" w:lastRowFirstColumn="0" w:lastRowLastColumn="0"/>
            </w:pPr>
            <w:r>
              <w:t>0</w:t>
            </w:r>
          </w:p>
        </w:tc>
      </w:tr>
      <w:tr w:rsidR="00FE0CDF" w14:paraId="15345858"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4EFAAEA2" w14:textId="42384BF4" w:rsidR="00FE0CDF" w:rsidRDefault="00FE0CDF" w:rsidP="00FE0CDF">
            <w:r>
              <w:t>VFDs</w:t>
            </w:r>
          </w:p>
        </w:tc>
        <w:tc>
          <w:tcPr>
            <w:tcW w:w="1140" w:type="dxa"/>
            <w:tcBorders>
              <w:top w:val="none" w:sz="0" w:space="0" w:color="auto"/>
              <w:left w:val="none" w:sz="0" w:space="0" w:color="auto"/>
              <w:bottom w:val="none" w:sz="0" w:space="0" w:color="auto"/>
              <w:right w:val="none" w:sz="0" w:space="0" w:color="auto"/>
            </w:tcBorders>
          </w:tcPr>
          <w:p w14:paraId="020A4DDA" w14:textId="7ADBA8B0" w:rsidR="00FE0CDF" w:rsidRDefault="006D370F" w:rsidP="007F2D66">
            <w:pPr>
              <w:jc w:val="right"/>
              <w:cnfStyle w:val="000000100000" w:firstRow="0" w:lastRow="0" w:firstColumn="0" w:lastColumn="0" w:oddVBand="0" w:evenVBand="0" w:oddHBand="1" w:evenHBand="0" w:firstRowFirstColumn="0" w:firstRowLastColumn="0" w:lastRowFirstColumn="0" w:lastRowLastColumn="0"/>
            </w:pPr>
            <w:r>
              <w:t>32</w:t>
            </w:r>
          </w:p>
        </w:tc>
        <w:tc>
          <w:tcPr>
            <w:tcW w:w="1500" w:type="dxa"/>
            <w:tcBorders>
              <w:top w:val="none" w:sz="0" w:space="0" w:color="auto"/>
              <w:left w:val="none" w:sz="0" w:space="0" w:color="auto"/>
              <w:bottom w:val="none" w:sz="0" w:space="0" w:color="auto"/>
              <w:right w:val="none" w:sz="0" w:space="0" w:color="auto"/>
            </w:tcBorders>
          </w:tcPr>
          <w:p w14:paraId="6059653B" w14:textId="41F9D1CA" w:rsidR="00FE0CDF" w:rsidRDefault="006D370F" w:rsidP="007F2D66">
            <w:pPr>
              <w:jc w:val="right"/>
              <w:cnfStyle w:val="000000100000" w:firstRow="0" w:lastRow="0" w:firstColumn="0" w:lastColumn="0" w:oddVBand="0" w:evenVBand="0" w:oddHBand="1" w:evenHBand="0" w:firstRowFirstColumn="0" w:firstRowLastColumn="0" w:lastRowFirstColumn="0" w:lastRowLastColumn="0"/>
            </w:pPr>
            <w:r>
              <w:t>165</w:t>
            </w:r>
          </w:p>
        </w:tc>
        <w:tc>
          <w:tcPr>
            <w:tcW w:w="1500" w:type="dxa"/>
            <w:tcBorders>
              <w:top w:val="none" w:sz="0" w:space="0" w:color="auto"/>
              <w:left w:val="none" w:sz="0" w:space="0" w:color="auto"/>
              <w:bottom w:val="none" w:sz="0" w:space="0" w:color="auto"/>
              <w:right w:val="none" w:sz="0" w:space="0" w:color="auto"/>
            </w:tcBorders>
          </w:tcPr>
          <w:p w14:paraId="608D7BC0" w14:textId="5ADC69FE" w:rsidR="00FE0CDF" w:rsidRDefault="001C0A10" w:rsidP="007F2D66">
            <w:pPr>
              <w:jc w:val="right"/>
              <w:cnfStyle w:val="000000100000" w:firstRow="0" w:lastRow="0" w:firstColumn="0" w:lastColumn="0" w:oddVBand="0" w:evenVBand="0" w:oddHBand="1" w:evenHBand="0" w:firstRowFirstColumn="0" w:firstRowLastColumn="0" w:lastRowFirstColumn="0" w:lastRowLastColumn="0"/>
            </w:pPr>
            <w:r w:rsidRPr="001C0A10">
              <w:t>12</w:t>
            </w:r>
            <w:r>
              <w:t>,</w:t>
            </w:r>
            <w:r w:rsidRPr="001C0A10">
              <w:t>760</w:t>
            </w:r>
          </w:p>
        </w:tc>
        <w:tc>
          <w:tcPr>
            <w:tcW w:w="1620" w:type="dxa"/>
            <w:tcBorders>
              <w:top w:val="none" w:sz="0" w:space="0" w:color="auto"/>
              <w:left w:val="none" w:sz="0" w:space="0" w:color="auto"/>
              <w:bottom w:val="none" w:sz="0" w:space="0" w:color="auto"/>
              <w:right w:val="none" w:sz="0" w:space="0" w:color="auto"/>
            </w:tcBorders>
          </w:tcPr>
          <w:p w14:paraId="2ED15423" w14:textId="60414ABB" w:rsidR="00FE0CDF" w:rsidRDefault="005C2BB2" w:rsidP="007F2D66">
            <w:pPr>
              <w:jc w:val="right"/>
              <w:cnfStyle w:val="000000100000" w:firstRow="0" w:lastRow="0" w:firstColumn="0" w:lastColumn="0" w:oddVBand="0" w:evenVBand="0" w:oddHBand="1" w:evenHBand="0" w:firstRowFirstColumn="0" w:firstRowLastColumn="0" w:lastRowFirstColumn="0" w:lastRowLastColumn="0"/>
            </w:pPr>
            <w:r>
              <w:t>1.90</w:t>
            </w:r>
          </w:p>
        </w:tc>
        <w:tc>
          <w:tcPr>
            <w:tcW w:w="1381" w:type="dxa"/>
            <w:tcBorders>
              <w:top w:val="none" w:sz="0" w:space="0" w:color="auto"/>
              <w:left w:val="none" w:sz="0" w:space="0" w:color="auto"/>
              <w:bottom w:val="none" w:sz="0" w:space="0" w:color="auto"/>
              <w:right w:val="none" w:sz="0" w:space="0" w:color="auto"/>
            </w:tcBorders>
          </w:tcPr>
          <w:p w14:paraId="2F957EF5" w14:textId="461401E5" w:rsidR="00FE0CDF" w:rsidRDefault="00E167DF" w:rsidP="007F2D66">
            <w:pPr>
              <w:jc w:val="right"/>
              <w:cnfStyle w:val="000000100000" w:firstRow="0" w:lastRow="0" w:firstColumn="0" w:lastColumn="0" w:oddVBand="0" w:evenVBand="0" w:oddHBand="1" w:evenHBand="0" w:firstRowFirstColumn="0" w:firstRowLastColumn="0" w:lastRowFirstColumn="0" w:lastRowLastColumn="0"/>
            </w:pPr>
            <w:r>
              <w:t>0</w:t>
            </w:r>
          </w:p>
        </w:tc>
      </w:tr>
      <w:tr w:rsidR="00FE0CDF" w14:paraId="1F4177AA"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142DEB8F" w14:textId="52A31966" w:rsidR="00FE0CDF" w:rsidRDefault="00FE0CDF" w:rsidP="00FE0CDF">
            <w:r>
              <w:t>SE</w:t>
            </w:r>
          </w:p>
        </w:tc>
        <w:tc>
          <w:tcPr>
            <w:tcW w:w="1140" w:type="dxa"/>
            <w:tcBorders>
              <w:top w:val="none" w:sz="0" w:space="0" w:color="auto"/>
              <w:left w:val="none" w:sz="0" w:space="0" w:color="auto"/>
              <w:bottom w:val="none" w:sz="0" w:space="0" w:color="auto"/>
              <w:right w:val="none" w:sz="0" w:space="0" w:color="auto"/>
            </w:tcBorders>
          </w:tcPr>
          <w:p w14:paraId="40B27A48" w14:textId="2DE694D8" w:rsidR="00FE0CDF" w:rsidRDefault="006D370F" w:rsidP="007F2D66">
            <w:pPr>
              <w:jc w:val="right"/>
              <w:cnfStyle w:val="000000010000" w:firstRow="0" w:lastRow="0" w:firstColumn="0" w:lastColumn="0" w:oddVBand="0" w:evenVBand="0" w:oddHBand="0" w:evenHBand="1" w:firstRowFirstColumn="0" w:firstRowLastColumn="0" w:lastRowFirstColumn="0" w:lastRowLastColumn="0"/>
            </w:pPr>
            <w:r>
              <w:t>101</w:t>
            </w:r>
          </w:p>
        </w:tc>
        <w:tc>
          <w:tcPr>
            <w:tcW w:w="1500" w:type="dxa"/>
            <w:tcBorders>
              <w:top w:val="none" w:sz="0" w:space="0" w:color="auto"/>
              <w:left w:val="none" w:sz="0" w:space="0" w:color="auto"/>
              <w:bottom w:val="none" w:sz="0" w:space="0" w:color="auto"/>
              <w:right w:val="none" w:sz="0" w:space="0" w:color="auto"/>
            </w:tcBorders>
          </w:tcPr>
          <w:p w14:paraId="1A09F1E0" w14:textId="0613593D" w:rsidR="00FE0CDF" w:rsidRDefault="006F49FB" w:rsidP="007F2D66">
            <w:pPr>
              <w:jc w:val="right"/>
              <w:cnfStyle w:val="000000010000" w:firstRow="0" w:lastRow="0" w:firstColumn="0" w:lastColumn="0" w:oddVBand="0" w:evenVBand="0" w:oddHBand="0" w:evenHBand="1" w:firstRowFirstColumn="0" w:firstRowLastColumn="0" w:lastRowFirstColumn="0" w:lastRowLastColumn="0"/>
            </w:pPr>
            <w:r>
              <w:t>1,381</w:t>
            </w:r>
          </w:p>
        </w:tc>
        <w:tc>
          <w:tcPr>
            <w:tcW w:w="1500" w:type="dxa"/>
            <w:tcBorders>
              <w:top w:val="none" w:sz="0" w:space="0" w:color="auto"/>
              <w:left w:val="none" w:sz="0" w:space="0" w:color="auto"/>
              <w:bottom w:val="none" w:sz="0" w:space="0" w:color="auto"/>
              <w:right w:val="none" w:sz="0" w:space="0" w:color="auto"/>
            </w:tcBorders>
          </w:tcPr>
          <w:p w14:paraId="0A90F06D" w14:textId="265A7E64" w:rsidR="00FE0CDF" w:rsidRDefault="001C0A10" w:rsidP="007F2D66">
            <w:pPr>
              <w:jc w:val="right"/>
              <w:cnfStyle w:val="000000010000" w:firstRow="0" w:lastRow="0" w:firstColumn="0" w:lastColumn="0" w:oddVBand="0" w:evenVBand="0" w:oddHBand="0" w:evenHBand="1" w:firstRowFirstColumn="0" w:firstRowLastColumn="0" w:lastRowFirstColumn="0" w:lastRowLastColumn="0"/>
            </w:pPr>
            <w:r>
              <w:t>2,925</w:t>
            </w:r>
          </w:p>
        </w:tc>
        <w:tc>
          <w:tcPr>
            <w:tcW w:w="1620" w:type="dxa"/>
            <w:tcBorders>
              <w:top w:val="none" w:sz="0" w:space="0" w:color="auto"/>
              <w:left w:val="none" w:sz="0" w:space="0" w:color="auto"/>
              <w:bottom w:val="none" w:sz="0" w:space="0" w:color="auto"/>
              <w:right w:val="none" w:sz="0" w:space="0" w:color="auto"/>
            </w:tcBorders>
          </w:tcPr>
          <w:p w14:paraId="75643519" w14:textId="6024E38B" w:rsidR="00FE0CDF" w:rsidRDefault="005C2BB2" w:rsidP="007F2D66">
            <w:pPr>
              <w:jc w:val="right"/>
              <w:cnfStyle w:val="000000010000" w:firstRow="0" w:lastRow="0" w:firstColumn="0" w:lastColumn="0" w:oddVBand="0" w:evenVBand="0" w:oddHBand="0" w:evenHBand="1" w:firstRowFirstColumn="0" w:firstRowLastColumn="0" w:lastRowFirstColumn="0" w:lastRowLastColumn="0"/>
            </w:pPr>
            <w:r>
              <w:t>0.26</w:t>
            </w:r>
          </w:p>
        </w:tc>
        <w:tc>
          <w:tcPr>
            <w:tcW w:w="1381" w:type="dxa"/>
            <w:tcBorders>
              <w:top w:val="none" w:sz="0" w:space="0" w:color="auto"/>
              <w:left w:val="none" w:sz="0" w:space="0" w:color="auto"/>
              <w:bottom w:val="none" w:sz="0" w:space="0" w:color="auto"/>
              <w:right w:val="none" w:sz="0" w:space="0" w:color="auto"/>
            </w:tcBorders>
          </w:tcPr>
          <w:p w14:paraId="2056066E" w14:textId="141A46D9" w:rsidR="00FE0CDF" w:rsidRDefault="00E167DF" w:rsidP="007F2D66">
            <w:pPr>
              <w:jc w:val="right"/>
              <w:cnfStyle w:val="000000010000" w:firstRow="0" w:lastRow="0" w:firstColumn="0" w:lastColumn="0" w:oddVBand="0" w:evenVBand="0" w:oddHBand="0" w:evenHBand="1" w:firstRowFirstColumn="0" w:firstRowLastColumn="0" w:lastRowFirstColumn="0" w:lastRowLastColumn="0"/>
            </w:pPr>
            <w:r>
              <w:t>29</w:t>
            </w:r>
            <w:r w:rsidR="00AD218D">
              <w:t>6,075</w:t>
            </w:r>
          </w:p>
        </w:tc>
      </w:tr>
      <w:tr w:rsidR="00FE0CDF" w14:paraId="5D90D2AE"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D987619" w14:textId="17A31394" w:rsidR="00FE0CDF" w:rsidRDefault="004E14E5" w:rsidP="00FE0CDF">
            <w:r>
              <w:t>HVAC</w:t>
            </w:r>
          </w:p>
        </w:tc>
        <w:tc>
          <w:tcPr>
            <w:tcW w:w="1140" w:type="dxa"/>
            <w:tcBorders>
              <w:top w:val="none" w:sz="0" w:space="0" w:color="auto"/>
              <w:left w:val="none" w:sz="0" w:space="0" w:color="auto"/>
              <w:bottom w:val="none" w:sz="0" w:space="0" w:color="auto"/>
              <w:right w:val="none" w:sz="0" w:space="0" w:color="auto"/>
            </w:tcBorders>
          </w:tcPr>
          <w:p w14:paraId="4CF75F8B" w14:textId="61947AD6" w:rsidR="00FE0CDF" w:rsidRDefault="006D370F" w:rsidP="007F2D66">
            <w:pPr>
              <w:jc w:val="right"/>
              <w:cnfStyle w:val="000000100000" w:firstRow="0" w:lastRow="0" w:firstColumn="0" w:lastColumn="0" w:oddVBand="0" w:evenVBand="0" w:oddHBand="1" w:evenHBand="0" w:firstRowFirstColumn="0" w:firstRowLastColumn="0" w:lastRowFirstColumn="0" w:lastRowLastColumn="0"/>
            </w:pPr>
            <w:r>
              <w:t>63</w:t>
            </w:r>
          </w:p>
        </w:tc>
        <w:tc>
          <w:tcPr>
            <w:tcW w:w="1500" w:type="dxa"/>
            <w:tcBorders>
              <w:top w:val="none" w:sz="0" w:space="0" w:color="auto"/>
              <w:left w:val="none" w:sz="0" w:space="0" w:color="auto"/>
              <w:bottom w:val="none" w:sz="0" w:space="0" w:color="auto"/>
              <w:right w:val="none" w:sz="0" w:space="0" w:color="auto"/>
            </w:tcBorders>
          </w:tcPr>
          <w:p w14:paraId="491935C1" w14:textId="78EC9806" w:rsidR="00FE0CDF" w:rsidRDefault="006F49FB" w:rsidP="007F2D66">
            <w:pPr>
              <w:jc w:val="right"/>
              <w:cnfStyle w:val="000000100000" w:firstRow="0" w:lastRow="0" w:firstColumn="0" w:lastColumn="0" w:oddVBand="0" w:evenVBand="0" w:oddHBand="1" w:evenHBand="0" w:firstRowFirstColumn="0" w:firstRowLastColumn="0" w:lastRowFirstColumn="0" w:lastRowLastColumn="0"/>
            </w:pPr>
            <w:r>
              <w:t>114</w:t>
            </w:r>
          </w:p>
        </w:tc>
        <w:tc>
          <w:tcPr>
            <w:tcW w:w="1500" w:type="dxa"/>
            <w:tcBorders>
              <w:top w:val="none" w:sz="0" w:space="0" w:color="auto"/>
              <w:left w:val="none" w:sz="0" w:space="0" w:color="auto"/>
              <w:bottom w:val="none" w:sz="0" w:space="0" w:color="auto"/>
              <w:right w:val="none" w:sz="0" w:space="0" w:color="auto"/>
            </w:tcBorders>
          </w:tcPr>
          <w:p w14:paraId="67301A48" w14:textId="2B5D8696" w:rsidR="00FE0CDF" w:rsidRDefault="001C0A10" w:rsidP="007F2D66">
            <w:pPr>
              <w:jc w:val="right"/>
              <w:cnfStyle w:val="000000100000" w:firstRow="0" w:lastRow="0" w:firstColumn="0" w:lastColumn="0" w:oddVBand="0" w:evenVBand="0" w:oddHBand="1" w:evenHBand="0" w:firstRowFirstColumn="0" w:firstRowLastColumn="0" w:lastRowFirstColumn="0" w:lastRowLastColumn="0"/>
            </w:pPr>
            <w:r>
              <w:t>997</w:t>
            </w:r>
          </w:p>
        </w:tc>
        <w:tc>
          <w:tcPr>
            <w:tcW w:w="1620" w:type="dxa"/>
            <w:tcBorders>
              <w:top w:val="none" w:sz="0" w:space="0" w:color="auto"/>
              <w:left w:val="none" w:sz="0" w:space="0" w:color="auto"/>
              <w:bottom w:val="none" w:sz="0" w:space="0" w:color="auto"/>
              <w:right w:val="none" w:sz="0" w:space="0" w:color="auto"/>
            </w:tcBorders>
          </w:tcPr>
          <w:p w14:paraId="3B6D2EF2" w14:textId="0D0DC962" w:rsidR="00FE0CDF" w:rsidRDefault="005C2BB2" w:rsidP="007F2D66">
            <w:pPr>
              <w:jc w:val="right"/>
              <w:cnfStyle w:val="000000100000" w:firstRow="0" w:lastRow="0" w:firstColumn="0" w:lastColumn="0" w:oddVBand="0" w:evenVBand="0" w:oddHBand="1" w:evenHBand="0" w:firstRowFirstColumn="0" w:firstRowLastColumn="0" w:lastRowFirstColumn="0" w:lastRowLastColumn="0"/>
            </w:pPr>
            <w:r>
              <w:t>0.08</w:t>
            </w:r>
          </w:p>
        </w:tc>
        <w:tc>
          <w:tcPr>
            <w:tcW w:w="1381" w:type="dxa"/>
            <w:tcBorders>
              <w:top w:val="none" w:sz="0" w:space="0" w:color="auto"/>
              <w:left w:val="none" w:sz="0" w:space="0" w:color="auto"/>
              <w:bottom w:val="none" w:sz="0" w:space="0" w:color="auto"/>
              <w:right w:val="none" w:sz="0" w:space="0" w:color="auto"/>
            </w:tcBorders>
          </w:tcPr>
          <w:p w14:paraId="66AEDE3E" w14:textId="0F274441" w:rsidR="00FE0CDF" w:rsidRDefault="00E167DF" w:rsidP="007F2D66">
            <w:pPr>
              <w:jc w:val="right"/>
              <w:cnfStyle w:val="000000100000" w:firstRow="0" w:lastRow="0" w:firstColumn="0" w:lastColumn="0" w:oddVBand="0" w:evenVBand="0" w:oddHBand="1" w:evenHBand="0" w:firstRowFirstColumn="0" w:firstRowLastColumn="0" w:lastRowFirstColumn="0" w:lastRowLastColumn="0"/>
            </w:pPr>
            <w:r>
              <w:t>276,270</w:t>
            </w:r>
          </w:p>
        </w:tc>
      </w:tr>
      <w:tr w:rsidR="004E14E5" w14:paraId="4C494184"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007C996" w14:textId="6632C2EB" w:rsidR="004E14E5" w:rsidRDefault="004E14E5" w:rsidP="00FE0CDF">
            <w:r>
              <w:t xml:space="preserve">STRR </w:t>
            </w:r>
          </w:p>
        </w:tc>
        <w:tc>
          <w:tcPr>
            <w:tcW w:w="1140" w:type="dxa"/>
            <w:tcBorders>
              <w:top w:val="none" w:sz="0" w:space="0" w:color="auto"/>
              <w:left w:val="none" w:sz="0" w:space="0" w:color="auto"/>
              <w:bottom w:val="none" w:sz="0" w:space="0" w:color="auto"/>
              <w:right w:val="none" w:sz="0" w:space="0" w:color="auto"/>
            </w:tcBorders>
          </w:tcPr>
          <w:p w14:paraId="65CD37D6" w14:textId="003BC104" w:rsidR="004E14E5" w:rsidRDefault="006D370F" w:rsidP="007F2D66">
            <w:pPr>
              <w:jc w:val="right"/>
              <w:cnfStyle w:val="000000010000" w:firstRow="0" w:lastRow="0" w:firstColumn="0" w:lastColumn="0" w:oddVBand="0" w:evenVBand="0" w:oddHBand="0" w:evenHBand="1" w:firstRowFirstColumn="0" w:firstRowLastColumn="0" w:lastRowFirstColumn="0" w:lastRowLastColumn="0"/>
            </w:pPr>
            <w:r>
              <w:t>39</w:t>
            </w:r>
          </w:p>
        </w:tc>
        <w:tc>
          <w:tcPr>
            <w:tcW w:w="1500" w:type="dxa"/>
            <w:tcBorders>
              <w:top w:val="none" w:sz="0" w:space="0" w:color="auto"/>
              <w:left w:val="none" w:sz="0" w:space="0" w:color="auto"/>
              <w:bottom w:val="none" w:sz="0" w:space="0" w:color="auto"/>
              <w:right w:val="none" w:sz="0" w:space="0" w:color="auto"/>
            </w:tcBorders>
          </w:tcPr>
          <w:p w14:paraId="0CE3FD5D" w14:textId="244E8A36" w:rsidR="004E14E5" w:rsidRDefault="006F49FB" w:rsidP="007F2D66">
            <w:pPr>
              <w:jc w:val="right"/>
              <w:cnfStyle w:val="000000010000" w:firstRow="0" w:lastRow="0" w:firstColumn="0" w:lastColumn="0" w:oddVBand="0" w:evenVBand="0" w:oddHBand="0" w:evenHBand="1" w:firstRowFirstColumn="0" w:firstRowLastColumn="0" w:lastRowFirstColumn="0" w:lastRowLastColumn="0"/>
            </w:pPr>
            <w:r>
              <w:t>3,351</w:t>
            </w:r>
          </w:p>
        </w:tc>
        <w:tc>
          <w:tcPr>
            <w:tcW w:w="1500" w:type="dxa"/>
            <w:tcBorders>
              <w:top w:val="none" w:sz="0" w:space="0" w:color="auto"/>
              <w:left w:val="none" w:sz="0" w:space="0" w:color="auto"/>
              <w:bottom w:val="none" w:sz="0" w:space="0" w:color="auto"/>
              <w:right w:val="none" w:sz="0" w:space="0" w:color="auto"/>
            </w:tcBorders>
          </w:tcPr>
          <w:p w14:paraId="217B8C7D" w14:textId="3E00E7F5" w:rsidR="004E14E5" w:rsidRDefault="001C0A10" w:rsidP="007F2D66">
            <w:pPr>
              <w:jc w:val="right"/>
              <w:cnfStyle w:val="000000010000" w:firstRow="0" w:lastRow="0" w:firstColumn="0" w:lastColumn="0" w:oddVBand="0" w:evenVBand="0" w:oddHBand="0" w:evenHBand="1" w:firstRowFirstColumn="0" w:firstRowLastColumn="0" w:lastRowFirstColumn="0" w:lastRowLastColumn="0"/>
            </w:pPr>
            <w:r>
              <w:t>6</w:t>
            </w:r>
          </w:p>
        </w:tc>
        <w:tc>
          <w:tcPr>
            <w:tcW w:w="1620" w:type="dxa"/>
            <w:tcBorders>
              <w:top w:val="none" w:sz="0" w:space="0" w:color="auto"/>
              <w:left w:val="none" w:sz="0" w:space="0" w:color="auto"/>
              <w:bottom w:val="none" w:sz="0" w:space="0" w:color="auto"/>
              <w:right w:val="none" w:sz="0" w:space="0" w:color="auto"/>
            </w:tcBorders>
          </w:tcPr>
          <w:p w14:paraId="1BC957A0" w14:textId="7725B87D" w:rsidR="004E14E5" w:rsidRDefault="005C2BB2" w:rsidP="007F2D66">
            <w:pPr>
              <w:jc w:val="right"/>
              <w:cnfStyle w:val="000000010000" w:firstRow="0" w:lastRow="0" w:firstColumn="0" w:lastColumn="0" w:oddVBand="0" w:evenVBand="0" w:oddHBand="0" w:evenHBand="1" w:firstRowFirstColumn="0" w:firstRowLastColumn="0" w:lastRowFirstColumn="0" w:lastRowLastColumn="0"/>
            </w:pPr>
            <w:r>
              <w:t>0</w:t>
            </w:r>
            <w:r w:rsidR="008D174C">
              <w:t>.00</w:t>
            </w:r>
          </w:p>
        </w:tc>
        <w:tc>
          <w:tcPr>
            <w:tcW w:w="1381" w:type="dxa"/>
            <w:tcBorders>
              <w:top w:val="none" w:sz="0" w:space="0" w:color="auto"/>
              <w:left w:val="none" w:sz="0" w:space="0" w:color="auto"/>
              <w:bottom w:val="none" w:sz="0" w:space="0" w:color="auto"/>
              <w:right w:val="none" w:sz="0" w:space="0" w:color="auto"/>
            </w:tcBorders>
          </w:tcPr>
          <w:p w14:paraId="16336227" w14:textId="5A3B0BCA" w:rsidR="004E14E5" w:rsidRDefault="00E167DF" w:rsidP="007F2D66">
            <w:pPr>
              <w:jc w:val="right"/>
              <w:cnfStyle w:val="000000010000" w:firstRow="0" w:lastRow="0" w:firstColumn="0" w:lastColumn="0" w:oddVBand="0" w:evenVBand="0" w:oddHBand="0" w:evenHBand="1" w:firstRowFirstColumn="0" w:firstRowLastColumn="0" w:lastRowFirstColumn="0" w:lastRowLastColumn="0"/>
            </w:pPr>
            <w:r>
              <w:t>274,606</w:t>
            </w:r>
          </w:p>
        </w:tc>
      </w:tr>
      <w:tr w:rsidR="004E14E5" w14:paraId="00DB3615"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31634C81" w14:textId="4B4294E3" w:rsidR="004E14E5" w:rsidRPr="004E14E5" w:rsidRDefault="004E14E5" w:rsidP="00FE0CDF">
            <w:r>
              <w:rPr>
                <w:i/>
                <w:iCs/>
              </w:rPr>
              <w:t xml:space="preserve">Private </w:t>
            </w:r>
            <w:r w:rsidR="00E16AD5">
              <w:rPr>
                <w:i/>
                <w:iCs/>
              </w:rPr>
              <w:t>S</w:t>
            </w:r>
            <w:r>
              <w:rPr>
                <w:i/>
                <w:iCs/>
              </w:rPr>
              <w:t>ector Subtotal</w:t>
            </w:r>
          </w:p>
        </w:tc>
        <w:tc>
          <w:tcPr>
            <w:tcW w:w="1140" w:type="dxa"/>
            <w:tcBorders>
              <w:top w:val="none" w:sz="0" w:space="0" w:color="auto"/>
              <w:left w:val="none" w:sz="0" w:space="0" w:color="auto"/>
              <w:bottom w:val="none" w:sz="0" w:space="0" w:color="auto"/>
              <w:right w:val="none" w:sz="0" w:space="0" w:color="auto"/>
            </w:tcBorders>
          </w:tcPr>
          <w:p w14:paraId="497ACBC0" w14:textId="19726943" w:rsidR="004E14E5" w:rsidRPr="004E14E5" w:rsidRDefault="006D370F"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578</w:t>
            </w:r>
          </w:p>
        </w:tc>
        <w:tc>
          <w:tcPr>
            <w:tcW w:w="1500" w:type="dxa"/>
            <w:tcBorders>
              <w:top w:val="none" w:sz="0" w:space="0" w:color="auto"/>
              <w:left w:val="none" w:sz="0" w:space="0" w:color="auto"/>
              <w:bottom w:val="none" w:sz="0" w:space="0" w:color="auto"/>
              <w:right w:val="none" w:sz="0" w:space="0" w:color="auto"/>
            </w:tcBorders>
          </w:tcPr>
          <w:p w14:paraId="06E76B41" w14:textId="48BE25B2" w:rsidR="004E14E5" w:rsidRPr="004E14E5" w:rsidRDefault="006F49FB"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58,415</w:t>
            </w:r>
          </w:p>
        </w:tc>
        <w:tc>
          <w:tcPr>
            <w:tcW w:w="1500" w:type="dxa"/>
            <w:tcBorders>
              <w:top w:val="none" w:sz="0" w:space="0" w:color="auto"/>
              <w:left w:val="none" w:sz="0" w:space="0" w:color="auto"/>
              <w:bottom w:val="none" w:sz="0" w:space="0" w:color="auto"/>
              <w:right w:val="none" w:sz="0" w:space="0" w:color="auto"/>
            </w:tcBorders>
          </w:tcPr>
          <w:p w14:paraId="770A62AB" w14:textId="41721C54" w:rsidR="004E14E5" w:rsidRPr="004E14E5" w:rsidRDefault="001C0A10"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58,854</w:t>
            </w:r>
          </w:p>
        </w:tc>
        <w:tc>
          <w:tcPr>
            <w:tcW w:w="1620" w:type="dxa"/>
            <w:tcBorders>
              <w:top w:val="none" w:sz="0" w:space="0" w:color="auto"/>
              <w:left w:val="none" w:sz="0" w:space="0" w:color="auto"/>
              <w:bottom w:val="none" w:sz="0" w:space="0" w:color="auto"/>
              <w:right w:val="none" w:sz="0" w:space="0" w:color="auto"/>
            </w:tcBorders>
          </w:tcPr>
          <w:p w14:paraId="647833F4" w14:textId="206C4860" w:rsidR="004E14E5" w:rsidRPr="004E14E5" w:rsidRDefault="005C2BB2"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10.9</w:t>
            </w:r>
            <w:r w:rsidR="008D174C">
              <w:rPr>
                <w:i/>
                <w:iCs/>
              </w:rPr>
              <w:t>0</w:t>
            </w:r>
          </w:p>
        </w:tc>
        <w:tc>
          <w:tcPr>
            <w:tcW w:w="1381" w:type="dxa"/>
            <w:tcBorders>
              <w:top w:val="none" w:sz="0" w:space="0" w:color="auto"/>
              <w:left w:val="none" w:sz="0" w:space="0" w:color="auto"/>
              <w:bottom w:val="none" w:sz="0" w:space="0" w:color="auto"/>
              <w:right w:val="none" w:sz="0" w:space="0" w:color="auto"/>
            </w:tcBorders>
          </w:tcPr>
          <w:p w14:paraId="726DFEF7" w14:textId="1228AD79" w:rsidR="004E14E5" w:rsidRPr="004E14E5" w:rsidRDefault="00E167DF"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84</w:t>
            </w:r>
            <w:r w:rsidR="00AD218D">
              <w:rPr>
                <w:i/>
                <w:iCs/>
              </w:rPr>
              <w:t>6</w:t>
            </w:r>
            <w:r>
              <w:rPr>
                <w:i/>
                <w:iCs/>
              </w:rPr>
              <w:t>,</w:t>
            </w:r>
            <w:r w:rsidR="00AD218D">
              <w:rPr>
                <w:i/>
                <w:iCs/>
              </w:rPr>
              <w:t>950</w:t>
            </w:r>
          </w:p>
        </w:tc>
      </w:tr>
      <w:tr w:rsidR="004E14E5" w14:paraId="15EF0D87"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96" w:type="dxa"/>
            <w:gridSpan w:val="6"/>
            <w:tcBorders>
              <w:top w:val="none" w:sz="0" w:space="0" w:color="auto"/>
              <w:left w:val="none" w:sz="0" w:space="0" w:color="auto"/>
              <w:bottom w:val="none" w:sz="0" w:space="0" w:color="auto"/>
              <w:right w:val="none" w:sz="0" w:space="0" w:color="auto"/>
            </w:tcBorders>
            <w:shd w:val="clear" w:color="auto" w:fill="00B0F0"/>
          </w:tcPr>
          <w:p w14:paraId="6EB44CB1" w14:textId="1CBCD4D8" w:rsidR="004E14E5" w:rsidRPr="004E14E5" w:rsidRDefault="004E14E5" w:rsidP="004E14E5">
            <w:pPr>
              <w:pStyle w:val="TableHeadingCentered"/>
              <w:jc w:val="left"/>
              <w:rPr>
                <w:vertAlign w:val="superscript"/>
              </w:rPr>
            </w:pPr>
            <w:r>
              <w:t xml:space="preserve">Public Sector </w:t>
            </w:r>
          </w:p>
        </w:tc>
      </w:tr>
      <w:tr w:rsidR="004E14E5" w14:paraId="759D2903"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EC6AA6D" w14:textId="606D3C63" w:rsidR="004E14E5" w:rsidRDefault="004E14E5" w:rsidP="00FE0CDF">
            <w:r>
              <w:t>SLB</w:t>
            </w:r>
          </w:p>
        </w:tc>
        <w:tc>
          <w:tcPr>
            <w:tcW w:w="1140" w:type="dxa"/>
            <w:tcBorders>
              <w:top w:val="none" w:sz="0" w:space="0" w:color="auto"/>
              <w:left w:val="none" w:sz="0" w:space="0" w:color="auto"/>
              <w:bottom w:val="none" w:sz="0" w:space="0" w:color="auto"/>
              <w:right w:val="none" w:sz="0" w:space="0" w:color="auto"/>
            </w:tcBorders>
          </w:tcPr>
          <w:p w14:paraId="1684E89A" w14:textId="3549EEE6" w:rsidR="004E14E5" w:rsidRDefault="006D370F" w:rsidP="007F2D66">
            <w:pPr>
              <w:jc w:val="right"/>
              <w:cnfStyle w:val="000000100000" w:firstRow="0" w:lastRow="0" w:firstColumn="0" w:lastColumn="0" w:oddVBand="0" w:evenVBand="0" w:oddHBand="1" w:evenHBand="0" w:firstRowFirstColumn="0" w:firstRowLastColumn="0" w:lastRowFirstColumn="0" w:lastRowLastColumn="0"/>
            </w:pPr>
            <w:r>
              <w:t>66</w:t>
            </w:r>
          </w:p>
        </w:tc>
        <w:tc>
          <w:tcPr>
            <w:tcW w:w="1500" w:type="dxa"/>
            <w:tcBorders>
              <w:top w:val="none" w:sz="0" w:space="0" w:color="auto"/>
              <w:left w:val="none" w:sz="0" w:space="0" w:color="auto"/>
              <w:bottom w:val="none" w:sz="0" w:space="0" w:color="auto"/>
              <w:right w:val="none" w:sz="0" w:space="0" w:color="auto"/>
            </w:tcBorders>
          </w:tcPr>
          <w:p w14:paraId="03DC0DA0" w14:textId="791BFAF1" w:rsidR="004E14E5" w:rsidRDefault="001730B3" w:rsidP="007F2D66">
            <w:pPr>
              <w:jc w:val="right"/>
              <w:cnfStyle w:val="000000100000" w:firstRow="0" w:lastRow="0" w:firstColumn="0" w:lastColumn="0" w:oddVBand="0" w:evenVBand="0" w:oddHBand="1" w:evenHBand="0" w:firstRowFirstColumn="0" w:firstRowLastColumn="0" w:lastRowFirstColumn="0" w:lastRowLastColumn="0"/>
            </w:pPr>
            <w:r>
              <w:t>7,280</w:t>
            </w:r>
          </w:p>
        </w:tc>
        <w:tc>
          <w:tcPr>
            <w:tcW w:w="1500" w:type="dxa"/>
            <w:tcBorders>
              <w:top w:val="none" w:sz="0" w:space="0" w:color="auto"/>
              <w:left w:val="none" w:sz="0" w:space="0" w:color="auto"/>
              <w:bottom w:val="none" w:sz="0" w:space="0" w:color="auto"/>
              <w:right w:val="none" w:sz="0" w:space="0" w:color="auto"/>
            </w:tcBorders>
          </w:tcPr>
          <w:p w14:paraId="2C037703" w14:textId="55E5DEC5" w:rsidR="004E14E5" w:rsidRDefault="001C0A10" w:rsidP="007F2D66">
            <w:pPr>
              <w:jc w:val="right"/>
              <w:cnfStyle w:val="000000100000" w:firstRow="0" w:lastRow="0" w:firstColumn="0" w:lastColumn="0" w:oddVBand="0" w:evenVBand="0" w:oddHBand="1" w:evenHBand="0" w:firstRowFirstColumn="0" w:firstRowLastColumn="0" w:lastRowFirstColumn="0" w:lastRowLastColumn="0"/>
            </w:pPr>
            <w:r>
              <w:t>3,081</w:t>
            </w:r>
          </w:p>
        </w:tc>
        <w:tc>
          <w:tcPr>
            <w:tcW w:w="1620" w:type="dxa"/>
            <w:tcBorders>
              <w:top w:val="none" w:sz="0" w:space="0" w:color="auto"/>
              <w:left w:val="none" w:sz="0" w:space="0" w:color="auto"/>
              <w:bottom w:val="none" w:sz="0" w:space="0" w:color="auto"/>
              <w:right w:val="none" w:sz="0" w:space="0" w:color="auto"/>
            </w:tcBorders>
          </w:tcPr>
          <w:p w14:paraId="1BF9774C" w14:textId="23DCD2B3" w:rsidR="004E14E5" w:rsidRDefault="005C2BB2" w:rsidP="007F2D66">
            <w:pPr>
              <w:jc w:val="right"/>
              <w:cnfStyle w:val="000000100000" w:firstRow="0" w:lastRow="0" w:firstColumn="0" w:lastColumn="0" w:oddVBand="0" w:evenVBand="0" w:oddHBand="1" w:evenHBand="0" w:firstRowFirstColumn="0" w:firstRowLastColumn="0" w:lastRowFirstColumn="0" w:lastRowLastColumn="0"/>
            </w:pPr>
            <w:r>
              <w:t>0.51</w:t>
            </w:r>
          </w:p>
        </w:tc>
        <w:tc>
          <w:tcPr>
            <w:tcW w:w="1381" w:type="dxa"/>
            <w:tcBorders>
              <w:top w:val="none" w:sz="0" w:space="0" w:color="auto"/>
              <w:left w:val="none" w:sz="0" w:space="0" w:color="auto"/>
              <w:bottom w:val="none" w:sz="0" w:space="0" w:color="auto"/>
              <w:right w:val="none" w:sz="0" w:space="0" w:color="auto"/>
            </w:tcBorders>
          </w:tcPr>
          <w:p w14:paraId="4C6263D8" w14:textId="75D7437B" w:rsidR="004E14E5" w:rsidRDefault="00E167DF" w:rsidP="007F2D66">
            <w:pPr>
              <w:jc w:val="right"/>
              <w:cnfStyle w:val="000000100000" w:firstRow="0" w:lastRow="0" w:firstColumn="0" w:lastColumn="0" w:oddVBand="0" w:evenVBand="0" w:oddHBand="1" w:evenHBand="0" w:firstRowFirstColumn="0" w:firstRowLastColumn="0" w:lastRowFirstColumn="0" w:lastRowLastColumn="0"/>
            </w:pPr>
            <w:r>
              <w:t>0</w:t>
            </w:r>
          </w:p>
        </w:tc>
      </w:tr>
      <w:tr w:rsidR="004E14E5" w14:paraId="3F963829"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93B463C" w14:textId="27253CB8" w:rsidR="004E14E5" w:rsidRDefault="004E14E5" w:rsidP="00FE0CDF">
            <w:r>
              <w:t>VFDs</w:t>
            </w:r>
          </w:p>
        </w:tc>
        <w:tc>
          <w:tcPr>
            <w:tcW w:w="1140" w:type="dxa"/>
            <w:tcBorders>
              <w:top w:val="none" w:sz="0" w:space="0" w:color="auto"/>
              <w:left w:val="none" w:sz="0" w:space="0" w:color="auto"/>
              <w:bottom w:val="none" w:sz="0" w:space="0" w:color="auto"/>
              <w:right w:val="none" w:sz="0" w:space="0" w:color="auto"/>
            </w:tcBorders>
          </w:tcPr>
          <w:p w14:paraId="6202463C" w14:textId="3920200D" w:rsidR="004E14E5" w:rsidRDefault="006D370F" w:rsidP="007F2D66">
            <w:pPr>
              <w:jc w:val="right"/>
              <w:cnfStyle w:val="000000010000" w:firstRow="0" w:lastRow="0" w:firstColumn="0" w:lastColumn="0" w:oddVBand="0" w:evenVBand="0" w:oddHBand="0" w:evenHBand="1" w:firstRowFirstColumn="0" w:firstRowLastColumn="0" w:lastRowFirstColumn="0" w:lastRowLastColumn="0"/>
            </w:pPr>
            <w:r>
              <w:t>16</w:t>
            </w:r>
          </w:p>
        </w:tc>
        <w:tc>
          <w:tcPr>
            <w:tcW w:w="1500" w:type="dxa"/>
            <w:tcBorders>
              <w:top w:val="none" w:sz="0" w:space="0" w:color="auto"/>
              <w:left w:val="none" w:sz="0" w:space="0" w:color="auto"/>
              <w:bottom w:val="none" w:sz="0" w:space="0" w:color="auto"/>
              <w:right w:val="none" w:sz="0" w:space="0" w:color="auto"/>
            </w:tcBorders>
          </w:tcPr>
          <w:p w14:paraId="0C4D4EDB" w14:textId="0DE26054" w:rsidR="004E14E5" w:rsidRDefault="006D370F" w:rsidP="007F2D66">
            <w:pPr>
              <w:jc w:val="right"/>
              <w:cnfStyle w:val="000000010000" w:firstRow="0" w:lastRow="0" w:firstColumn="0" w:lastColumn="0" w:oddVBand="0" w:evenVBand="0" w:oddHBand="0" w:evenHBand="1" w:firstRowFirstColumn="0" w:firstRowLastColumn="0" w:lastRowFirstColumn="0" w:lastRowLastColumn="0"/>
            </w:pPr>
            <w:r>
              <w:t>29</w:t>
            </w:r>
          </w:p>
        </w:tc>
        <w:tc>
          <w:tcPr>
            <w:tcW w:w="1500" w:type="dxa"/>
            <w:tcBorders>
              <w:top w:val="none" w:sz="0" w:space="0" w:color="auto"/>
              <w:left w:val="none" w:sz="0" w:space="0" w:color="auto"/>
              <w:bottom w:val="none" w:sz="0" w:space="0" w:color="auto"/>
              <w:right w:val="none" w:sz="0" w:space="0" w:color="auto"/>
            </w:tcBorders>
          </w:tcPr>
          <w:p w14:paraId="0CD6DFFC" w14:textId="3F4809B5" w:rsidR="004E14E5" w:rsidRDefault="00661E84" w:rsidP="007F2D66">
            <w:pPr>
              <w:jc w:val="right"/>
              <w:cnfStyle w:val="000000010000" w:firstRow="0" w:lastRow="0" w:firstColumn="0" w:lastColumn="0" w:oddVBand="0" w:evenVBand="0" w:oddHBand="0" w:evenHBand="1" w:firstRowFirstColumn="0" w:firstRowLastColumn="0" w:lastRowFirstColumn="0" w:lastRowLastColumn="0"/>
            </w:pPr>
            <w:r>
              <w:t>1,412</w:t>
            </w:r>
          </w:p>
        </w:tc>
        <w:tc>
          <w:tcPr>
            <w:tcW w:w="1620" w:type="dxa"/>
            <w:tcBorders>
              <w:top w:val="none" w:sz="0" w:space="0" w:color="auto"/>
              <w:left w:val="none" w:sz="0" w:space="0" w:color="auto"/>
              <w:bottom w:val="none" w:sz="0" w:space="0" w:color="auto"/>
              <w:right w:val="none" w:sz="0" w:space="0" w:color="auto"/>
            </w:tcBorders>
          </w:tcPr>
          <w:p w14:paraId="2A5B7168" w14:textId="73195113" w:rsidR="004E14E5" w:rsidRDefault="005C2BB2" w:rsidP="007F2D66">
            <w:pPr>
              <w:jc w:val="right"/>
              <w:cnfStyle w:val="000000010000" w:firstRow="0" w:lastRow="0" w:firstColumn="0" w:lastColumn="0" w:oddVBand="0" w:evenVBand="0" w:oddHBand="0" w:evenHBand="1" w:firstRowFirstColumn="0" w:firstRowLastColumn="0" w:lastRowFirstColumn="0" w:lastRowLastColumn="0"/>
            </w:pPr>
            <w:r>
              <w:t>0.31</w:t>
            </w:r>
          </w:p>
        </w:tc>
        <w:tc>
          <w:tcPr>
            <w:tcW w:w="1381" w:type="dxa"/>
            <w:tcBorders>
              <w:top w:val="none" w:sz="0" w:space="0" w:color="auto"/>
              <w:left w:val="none" w:sz="0" w:space="0" w:color="auto"/>
              <w:bottom w:val="none" w:sz="0" w:space="0" w:color="auto"/>
              <w:right w:val="none" w:sz="0" w:space="0" w:color="auto"/>
            </w:tcBorders>
          </w:tcPr>
          <w:p w14:paraId="111A78BA" w14:textId="5E44AD62" w:rsidR="004E14E5" w:rsidRDefault="00E167DF" w:rsidP="007F2D66">
            <w:pPr>
              <w:jc w:val="right"/>
              <w:cnfStyle w:val="000000010000" w:firstRow="0" w:lastRow="0" w:firstColumn="0" w:lastColumn="0" w:oddVBand="0" w:evenVBand="0" w:oddHBand="0" w:evenHBand="1" w:firstRowFirstColumn="0" w:firstRowLastColumn="0" w:lastRowFirstColumn="0" w:lastRowLastColumn="0"/>
            </w:pPr>
            <w:r>
              <w:t>0</w:t>
            </w:r>
          </w:p>
        </w:tc>
      </w:tr>
      <w:tr w:rsidR="004E14E5" w14:paraId="22DD8DF5"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0F54667" w14:textId="65C442ED" w:rsidR="004E14E5" w:rsidRDefault="004E14E5" w:rsidP="00FE0CDF">
            <w:r>
              <w:t>HVAC</w:t>
            </w:r>
          </w:p>
        </w:tc>
        <w:tc>
          <w:tcPr>
            <w:tcW w:w="1140" w:type="dxa"/>
            <w:tcBorders>
              <w:top w:val="none" w:sz="0" w:space="0" w:color="auto"/>
              <w:left w:val="none" w:sz="0" w:space="0" w:color="auto"/>
              <w:bottom w:val="none" w:sz="0" w:space="0" w:color="auto"/>
              <w:right w:val="none" w:sz="0" w:space="0" w:color="auto"/>
            </w:tcBorders>
          </w:tcPr>
          <w:p w14:paraId="5C9A9829" w14:textId="6C7BF389" w:rsidR="004E14E5" w:rsidRDefault="006D370F" w:rsidP="007F2D66">
            <w:pPr>
              <w:jc w:val="right"/>
              <w:cnfStyle w:val="000000100000" w:firstRow="0" w:lastRow="0" w:firstColumn="0" w:lastColumn="0" w:oddVBand="0" w:evenVBand="0" w:oddHBand="1" w:evenHBand="0" w:firstRowFirstColumn="0" w:firstRowLastColumn="0" w:lastRowFirstColumn="0" w:lastRowLastColumn="0"/>
            </w:pPr>
            <w:r>
              <w:t>66</w:t>
            </w:r>
          </w:p>
        </w:tc>
        <w:tc>
          <w:tcPr>
            <w:tcW w:w="1500" w:type="dxa"/>
            <w:tcBorders>
              <w:top w:val="none" w:sz="0" w:space="0" w:color="auto"/>
              <w:left w:val="none" w:sz="0" w:space="0" w:color="auto"/>
              <w:bottom w:val="none" w:sz="0" w:space="0" w:color="auto"/>
              <w:right w:val="none" w:sz="0" w:space="0" w:color="auto"/>
            </w:tcBorders>
          </w:tcPr>
          <w:p w14:paraId="31CC4652" w14:textId="5CF6C005" w:rsidR="004E14E5" w:rsidRDefault="006F49FB" w:rsidP="007F2D66">
            <w:pPr>
              <w:jc w:val="right"/>
              <w:cnfStyle w:val="000000100000" w:firstRow="0" w:lastRow="0" w:firstColumn="0" w:lastColumn="0" w:oddVBand="0" w:evenVBand="0" w:oddHBand="1" w:evenHBand="0" w:firstRowFirstColumn="0" w:firstRowLastColumn="0" w:lastRowFirstColumn="0" w:lastRowLastColumn="0"/>
            </w:pPr>
            <w:r>
              <w:t>888</w:t>
            </w:r>
          </w:p>
        </w:tc>
        <w:tc>
          <w:tcPr>
            <w:tcW w:w="1500" w:type="dxa"/>
            <w:tcBorders>
              <w:top w:val="none" w:sz="0" w:space="0" w:color="auto"/>
              <w:left w:val="none" w:sz="0" w:space="0" w:color="auto"/>
              <w:bottom w:val="none" w:sz="0" w:space="0" w:color="auto"/>
              <w:right w:val="none" w:sz="0" w:space="0" w:color="auto"/>
            </w:tcBorders>
          </w:tcPr>
          <w:p w14:paraId="04B28C89" w14:textId="5CBB1C2E" w:rsidR="004E14E5" w:rsidRDefault="00661E84" w:rsidP="007F2D66">
            <w:pPr>
              <w:jc w:val="right"/>
              <w:cnfStyle w:val="000000100000" w:firstRow="0" w:lastRow="0" w:firstColumn="0" w:lastColumn="0" w:oddVBand="0" w:evenVBand="0" w:oddHBand="1" w:evenHBand="0" w:firstRowFirstColumn="0" w:firstRowLastColumn="0" w:lastRowFirstColumn="0" w:lastRowLastColumn="0"/>
            </w:pPr>
            <w:r>
              <w:t>1,286</w:t>
            </w:r>
          </w:p>
        </w:tc>
        <w:tc>
          <w:tcPr>
            <w:tcW w:w="1620" w:type="dxa"/>
            <w:tcBorders>
              <w:top w:val="none" w:sz="0" w:space="0" w:color="auto"/>
              <w:left w:val="none" w:sz="0" w:space="0" w:color="auto"/>
              <w:bottom w:val="none" w:sz="0" w:space="0" w:color="auto"/>
              <w:right w:val="none" w:sz="0" w:space="0" w:color="auto"/>
            </w:tcBorders>
          </w:tcPr>
          <w:p w14:paraId="50C627F4" w14:textId="6F1DC393" w:rsidR="004E14E5" w:rsidRDefault="005C2BB2" w:rsidP="007F2D66">
            <w:pPr>
              <w:jc w:val="right"/>
              <w:cnfStyle w:val="000000100000" w:firstRow="0" w:lastRow="0" w:firstColumn="0" w:lastColumn="0" w:oddVBand="0" w:evenVBand="0" w:oddHBand="1" w:evenHBand="0" w:firstRowFirstColumn="0" w:firstRowLastColumn="0" w:lastRowFirstColumn="0" w:lastRowLastColumn="0"/>
            </w:pPr>
            <w:r>
              <w:t>0.10</w:t>
            </w:r>
          </w:p>
        </w:tc>
        <w:tc>
          <w:tcPr>
            <w:tcW w:w="1381" w:type="dxa"/>
            <w:tcBorders>
              <w:top w:val="none" w:sz="0" w:space="0" w:color="auto"/>
              <w:left w:val="none" w:sz="0" w:space="0" w:color="auto"/>
              <w:bottom w:val="none" w:sz="0" w:space="0" w:color="auto"/>
              <w:right w:val="none" w:sz="0" w:space="0" w:color="auto"/>
            </w:tcBorders>
          </w:tcPr>
          <w:p w14:paraId="5CF7A0B8" w14:textId="3A1F942C" w:rsidR="004E14E5" w:rsidRDefault="00E167DF" w:rsidP="007F2D66">
            <w:pPr>
              <w:jc w:val="right"/>
              <w:cnfStyle w:val="000000100000" w:firstRow="0" w:lastRow="0" w:firstColumn="0" w:lastColumn="0" w:oddVBand="0" w:evenVBand="0" w:oddHBand="1" w:evenHBand="0" w:firstRowFirstColumn="0" w:firstRowLastColumn="0" w:lastRowFirstColumn="0" w:lastRowLastColumn="0"/>
            </w:pPr>
            <w:r>
              <w:t>257,458</w:t>
            </w:r>
          </w:p>
        </w:tc>
      </w:tr>
      <w:tr w:rsidR="004E14E5" w14:paraId="72AD9FB3"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0DBC8CCF" w14:textId="17E03380" w:rsidR="004E14E5" w:rsidRDefault="004E14E5" w:rsidP="00FE0CDF">
            <w:r>
              <w:t>STRR</w:t>
            </w:r>
          </w:p>
        </w:tc>
        <w:tc>
          <w:tcPr>
            <w:tcW w:w="1140" w:type="dxa"/>
            <w:tcBorders>
              <w:top w:val="none" w:sz="0" w:space="0" w:color="auto"/>
              <w:left w:val="none" w:sz="0" w:space="0" w:color="auto"/>
              <w:bottom w:val="none" w:sz="0" w:space="0" w:color="auto"/>
              <w:right w:val="none" w:sz="0" w:space="0" w:color="auto"/>
            </w:tcBorders>
          </w:tcPr>
          <w:p w14:paraId="15728AA3" w14:textId="07D4E8D1" w:rsidR="004E14E5" w:rsidRDefault="006D370F" w:rsidP="007F2D66">
            <w:pPr>
              <w:jc w:val="right"/>
              <w:cnfStyle w:val="000000010000" w:firstRow="0" w:lastRow="0" w:firstColumn="0" w:lastColumn="0" w:oddVBand="0" w:evenVBand="0" w:oddHBand="0" w:evenHBand="1" w:firstRowFirstColumn="0" w:firstRowLastColumn="0" w:lastRowFirstColumn="0" w:lastRowLastColumn="0"/>
            </w:pPr>
            <w:r>
              <w:t>19</w:t>
            </w:r>
          </w:p>
        </w:tc>
        <w:tc>
          <w:tcPr>
            <w:tcW w:w="1500" w:type="dxa"/>
            <w:tcBorders>
              <w:top w:val="none" w:sz="0" w:space="0" w:color="auto"/>
              <w:left w:val="none" w:sz="0" w:space="0" w:color="auto"/>
              <w:bottom w:val="none" w:sz="0" w:space="0" w:color="auto"/>
              <w:right w:val="none" w:sz="0" w:space="0" w:color="auto"/>
            </w:tcBorders>
          </w:tcPr>
          <w:p w14:paraId="663D53D9" w14:textId="0E138E88" w:rsidR="004E14E5" w:rsidRDefault="006F49FB" w:rsidP="007F2D66">
            <w:pPr>
              <w:jc w:val="right"/>
              <w:cnfStyle w:val="000000010000" w:firstRow="0" w:lastRow="0" w:firstColumn="0" w:lastColumn="0" w:oddVBand="0" w:evenVBand="0" w:oddHBand="0" w:evenHBand="1" w:firstRowFirstColumn="0" w:firstRowLastColumn="0" w:lastRowFirstColumn="0" w:lastRowLastColumn="0"/>
            </w:pPr>
            <w:r>
              <w:t>876</w:t>
            </w:r>
          </w:p>
        </w:tc>
        <w:tc>
          <w:tcPr>
            <w:tcW w:w="1500" w:type="dxa"/>
            <w:tcBorders>
              <w:top w:val="none" w:sz="0" w:space="0" w:color="auto"/>
              <w:left w:val="none" w:sz="0" w:space="0" w:color="auto"/>
              <w:bottom w:val="none" w:sz="0" w:space="0" w:color="auto"/>
              <w:right w:val="none" w:sz="0" w:space="0" w:color="auto"/>
            </w:tcBorders>
          </w:tcPr>
          <w:p w14:paraId="59C6945B" w14:textId="3895182F" w:rsidR="004E14E5" w:rsidRDefault="00661E84" w:rsidP="007F2D66">
            <w:pPr>
              <w:jc w:val="right"/>
              <w:cnfStyle w:val="000000010000" w:firstRow="0" w:lastRow="0" w:firstColumn="0" w:lastColumn="0" w:oddVBand="0" w:evenVBand="0" w:oddHBand="0" w:evenHBand="1" w:firstRowFirstColumn="0" w:firstRowLastColumn="0" w:lastRowFirstColumn="0" w:lastRowLastColumn="0"/>
            </w:pPr>
            <w:r>
              <w:t>10</w:t>
            </w:r>
          </w:p>
        </w:tc>
        <w:tc>
          <w:tcPr>
            <w:tcW w:w="1620" w:type="dxa"/>
            <w:tcBorders>
              <w:top w:val="none" w:sz="0" w:space="0" w:color="auto"/>
              <w:left w:val="none" w:sz="0" w:space="0" w:color="auto"/>
              <w:bottom w:val="none" w:sz="0" w:space="0" w:color="auto"/>
              <w:right w:val="none" w:sz="0" w:space="0" w:color="auto"/>
            </w:tcBorders>
          </w:tcPr>
          <w:p w14:paraId="32364FCF" w14:textId="0671B508" w:rsidR="004E14E5" w:rsidRDefault="005C2BB2" w:rsidP="007F2D66">
            <w:pPr>
              <w:jc w:val="right"/>
              <w:cnfStyle w:val="000000010000" w:firstRow="0" w:lastRow="0" w:firstColumn="0" w:lastColumn="0" w:oddVBand="0" w:evenVBand="0" w:oddHBand="0" w:evenHBand="1" w:firstRowFirstColumn="0" w:firstRowLastColumn="0" w:lastRowFirstColumn="0" w:lastRowLastColumn="0"/>
            </w:pPr>
            <w:r>
              <w:t>0</w:t>
            </w:r>
            <w:r w:rsidR="008D174C">
              <w:t>.00</w:t>
            </w:r>
          </w:p>
        </w:tc>
        <w:tc>
          <w:tcPr>
            <w:tcW w:w="1381" w:type="dxa"/>
            <w:tcBorders>
              <w:top w:val="none" w:sz="0" w:space="0" w:color="auto"/>
              <w:left w:val="none" w:sz="0" w:space="0" w:color="auto"/>
              <w:bottom w:val="none" w:sz="0" w:space="0" w:color="auto"/>
              <w:right w:val="none" w:sz="0" w:space="0" w:color="auto"/>
            </w:tcBorders>
          </w:tcPr>
          <w:p w14:paraId="68A08F7D" w14:textId="3309E8D7" w:rsidR="004E14E5" w:rsidRDefault="00E167DF" w:rsidP="007F2D66">
            <w:pPr>
              <w:jc w:val="right"/>
              <w:cnfStyle w:val="000000010000" w:firstRow="0" w:lastRow="0" w:firstColumn="0" w:lastColumn="0" w:oddVBand="0" w:evenVBand="0" w:oddHBand="0" w:evenHBand="1" w:firstRowFirstColumn="0" w:firstRowLastColumn="0" w:lastRowFirstColumn="0" w:lastRowLastColumn="0"/>
            </w:pPr>
            <w:r>
              <w:t>450,773</w:t>
            </w:r>
          </w:p>
        </w:tc>
      </w:tr>
      <w:tr w:rsidR="004E14E5" w14:paraId="0A8EFB6E"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6472529C" w14:textId="5BA0D454" w:rsidR="004E14E5" w:rsidRPr="004E14E5" w:rsidRDefault="004E14E5" w:rsidP="00FE0CDF">
            <w:pPr>
              <w:rPr>
                <w:i/>
                <w:iCs/>
              </w:rPr>
            </w:pPr>
            <w:r>
              <w:rPr>
                <w:i/>
                <w:iCs/>
              </w:rPr>
              <w:t>Public Sector Subtotal</w:t>
            </w:r>
          </w:p>
        </w:tc>
        <w:tc>
          <w:tcPr>
            <w:tcW w:w="1140" w:type="dxa"/>
            <w:tcBorders>
              <w:top w:val="none" w:sz="0" w:space="0" w:color="auto"/>
              <w:left w:val="none" w:sz="0" w:space="0" w:color="auto"/>
              <w:bottom w:val="none" w:sz="0" w:space="0" w:color="auto"/>
              <w:right w:val="none" w:sz="0" w:space="0" w:color="auto"/>
            </w:tcBorders>
          </w:tcPr>
          <w:p w14:paraId="10D8179F" w14:textId="2E2DC862" w:rsidR="004E14E5" w:rsidRPr="004E14E5" w:rsidRDefault="006D370F"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167</w:t>
            </w:r>
          </w:p>
        </w:tc>
        <w:tc>
          <w:tcPr>
            <w:tcW w:w="1500" w:type="dxa"/>
            <w:tcBorders>
              <w:top w:val="none" w:sz="0" w:space="0" w:color="auto"/>
              <w:left w:val="none" w:sz="0" w:space="0" w:color="auto"/>
              <w:bottom w:val="none" w:sz="0" w:space="0" w:color="auto"/>
              <w:right w:val="none" w:sz="0" w:space="0" w:color="auto"/>
            </w:tcBorders>
          </w:tcPr>
          <w:p w14:paraId="4D0EE648" w14:textId="1CD80FA7" w:rsidR="004E14E5" w:rsidRPr="004E14E5" w:rsidRDefault="004541E1"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9,073</w:t>
            </w:r>
          </w:p>
        </w:tc>
        <w:tc>
          <w:tcPr>
            <w:tcW w:w="1500" w:type="dxa"/>
            <w:tcBorders>
              <w:top w:val="none" w:sz="0" w:space="0" w:color="auto"/>
              <w:left w:val="none" w:sz="0" w:space="0" w:color="auto"/>
              <w:bottom w:val="none" w:sz="0" w:space="0" w:color="auto"/>
              <w:right w:val="none" w:sz="0" w:space="0" w:color="auto"/>
            </w:tcBorders>
          </w:tcPr>
          <w:p w14:paraId="4FA548D9" w14:textId="4BD0224E" w:rsidR="004E14E5" w:rsidRPr="004E14E5" w:rsidRDefault="00661E84"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5,789</w:t>
            </w:r>
          </w:p>
        </w:tc>
        <w:tc>
          <w:tcPr>
            <w:tcW w:w="1620" w:type="dxa"/>
            <w:tcBorders>
              <w:top w:val="none" w:sz="0" w:space="0" w:color="auto"/>
              <w:left w:val="none" w:sz="0" w:space="0" w:color="auto"/>
              <w:bottom w:val="none" w:sz="0" w:space="0" w:color="auto"/>
              <w:right w:val="none" w:sz="0" w:space="0" w:color="auto"/>
            </w:tcBorders>
          </w:tcPr>
          <w:p w14:paraId="12E88DDE" w14:textId="5A9407FC" w:rsidR="004E14E5" w:rsidRPr="004E14E5" w:rsidRDefault="005C2BB2"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0.92</w:t>
            </w:r>
          </w:p>
        </w:tc>
        <w:tc>
          <w:tcPr>
            <w:tcW w:w="1381" w:type="dxa"/>
            <w:tcBorders>
              <w:top w:val="none" w:sz="0" w:space="0" w:color="auto"/>
              <w:left w:val="none" w:sz="0" w:space="0" w:color="auto"/>
              <w:bottom w:val="none" w:sz="0" w:space="0" w:color="auto"/>
              <w:right w:val="none" w:sz="0" w:space="0" w:color="auto"/>
            </w:tcBorders>
          </w:tcPr>
          <w:p w14:paraId="7E9739BD" w14:textId="10829B1A" w:rsidR="004E14E5" w:rsidRPr="004E14E5" w:rsidRDefault="00E167DF" w:rsidP="007F2D66">
            <w:pPr>
              <w:jc w:val="right"/>
              <w:cnfStyle w:val="000000100000" w:firstRow="0" w:lastRow="0" w:firstColumn="0" w:lastColumn="0" w:oddVBand="0" w:evenVBand="0" w:oddHBand="1" w:evenHBand="0" w:firstRowFirstColumn="0" w:firstRowLastColumn="0" w:lastRowFirstColumn="0" w:lastRowLastColumn="0"/>
              <w:rPr>
                <w:i/>
                <w:iCs/>
              </w:rPr>
            </w:pPr>
            <w:r>
              <w:rPr>
                <w:i/>
                <w:iCs/>
              </w:rPr>
              <w:t>708,231</w:t>
            </w:r>
          </w:p>
        </w:tc>
      </w:tr>
      <w:tr w:rsidR="004E14E5" w14:paraId="5A10783C"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55" w:type="dxa"/>
            <w:tcBorders>
              <w:top w:val="none" w:sz="0" w:space="0" w:color="auto"/>
              <w:left w:val="none" w:sz="0" w:space="0" w:color="auto"/>
              <w:bottom w:val="none" w:sz="0" w:space="0" w:color="auto"/>
              <w:right w:val="none" w:sz="0" w:space="0" w:color="auto"/>
            </w:tcBorders>
          </w:tcPr>
          <w:p w14:paraId="2A505080" w14:textId="043CADE9" w:rsidR="004E14E5" w:rsidRPr="00307925" w:rsidRDefault="004E14E5" w:rsidP="00FE0CDF">
            <w:pPr>
              <w:rPr>
                <w:rFonts w:ascii="Franklin Gothic Medium" w:hAnsi="Franklin Gothic Medium"/>
              </w:rPr>
            </w:pPr>
            <w:r w:rsidRPr="00307925">
              <w:rPr>
                <w:rFonts w:ascii="Franklin Gothic Medium" w:hAnsi="Franklin Gothic Medium"/>
              </w:rPr>
              <w:t>Total</w:t>
            </w:r>
          </w:p>
        </w:tc>
        <w:tc>
          <w:tcPr>
            <w:tcW w:w="1140" w:type="dxa"/>
            <w:tcBorders>
              <w:top w:val="none" w:sz="0" w:space="0" w:color="auto"/>
              <w:left w:val="none" w:sz="0" w:space="0" w:color="auto"/>
              <w:bottom w:val="none" w:sz="0" w:space="0" w:color="auto"/>
              <w:right w:val="none" w:sz="0" w:space="0" w:color="auto"/>
            </w:tcBorders>
          </w:tcPr>
          <w:p w14:paraId="662D1869" w14:textId="17EAE167" w:rsidR="004E14E5" w:rsidRPr="00307925" w:rsidRDefault="006D370F"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745</w:t>
            </w:r>
          </w:p>
        </w:tc>
        <w:tc>
          <w:tcPr>
            <w:tcW w:w="1500" w:type="dxa"/>
            <w:tcBorders>
              <w:top w:val="none" w:sz="0" w:space="0" w:color="auto"/>
              <w:left w:val="none" w:sz="0" w:space="0" w:color="auto"/>
              <w:bottom w:val="none" w:sz="0" w:space="0" w:color="auto"/>
              <w:right w:val="none" w:sz="0" w:space="0" w:color="auto"/>
            </w:tcBorders>
          </w:tcPr>
          <w:p w14:paraId="6B0E7325" w14:textId="3DEF7A62" w:rsidR="004E14E5" w:rsidRPr="00307925" w:rsidRDefault="004541E1"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67,488</w:t>
            </w:r>
          </w:p>
        </w:tc>
        <w:tc>
          <w:tcPr>
            <w:tcW w:w="1500" w:type="dxa"/>
            <w:tcBorders>
              <w:top w:val="none" w:sz="0" w:space="0" w:color="auto"/>
              <w:left w:val="none" w:sz="0" w:space="0" w:color="auto"/>
              <w:bottom w:val="none" w:sz="0" w:space="0" w:color="auto"/>
              <w:right w:val="none" w:sz="0" w:space="0" w:color="auto"/>
            </w:tcBorders>
          </w:tcPr>
          <w:p w14:paraId="24644E13" w14:textId="2E4EAD21" w:rsidR="004E14E5" w:rsidRPr="00307925" w:rsidRDefault="00661E84"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64,643</w:t>
            </w:r>
          </w:p>
        </w:tc>
        <w:tc>
          <w:tcPr>
            <w:tcW w:w="1620" w:type="dxa"/>
            <w:tcBorders>
              <w:top w:val="none" w:sz="0" w:space="0" w:color="auto"/>
              <w:left w:val="none" w:sz="0" w:space="0" w:color="auto"/>
              <w:bottom w:val="none" w:sz="0" w:space="0" w:color="auto"/>
              <w:right w:val="none" w:sz="0" w:space="0" w:color="auto"/>
            </w:tcBorders>
          </w:tcPr>
          <w:p w14:paraId="3713FDA7" w14:textId="6CC8B81D" w:rsidR="004E14E5" w:rsidRPr="00307925" w:rsidRDefault="005C2BB2"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11.82</w:t>
            </w:r>
          </w:p>
        </w:tc>
        <w:tc>
          <w:tcPr>
            <w:tcW w:w="1381" w:type="dxa"/>
            <w:tcBorders>
              <w:top w:val="none" w:sz="0" w:space="0" w:color="auto"/>
              <w:left w:val="none" w:sz="0" w:space="0" w:color="auto"/>
              <w:bottom w:val="none" w:sz="0" w:space="0" w:color="auto"/>
              <w:right w:val="none" w:sz="0" w:space="0" w:color="auto"/>
            </w:tcBorders>
          </w:tcPr>
          <w:p w14:paraId="14F6C5D7" w14:textId="18784489" w:rsidR="004E14E5" w:rsidRPr="00307925" w:rsidRDefault="00E167DF" w:rsidP="007F2D66">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rPr>
              <w:t>1,55</w:t>
            </w:r>
            <w:r w:rsidR="00AD218D" w:rsidRPr="00307925">
              <w:rPr>
                <w:rFonts w:ascii="Franklin Gothic Medium" w:hAnsi="Franklin Gothic Medium"/>
              </w:rPr>
              <w:t>5</w:t>
            </w:r>
            <w:r w:rsidRPr="00307925">
              <w:rPr>
                <w:rFonts w:ascii="Franklin Gothic Medium" w:hAnsi="Franklin Gothic Medium"/>
              </w:rPr>
              <w:t>,</w:t>
            </w:r>
            <w:r w:rsidR="00AD218D" w:rsidRPr="00307925">
              <w:rPr>
                <w:rFonts w:ascii="Franklin Gothic Medium" w:hAnsi="Franklin Gothic Medium"/>
              </w:rPr>
              <w:t>181</w:t>
            </w:r>
          </w:p>
        </w:tc>
      </w:tr>
    </w:tbl>
    <w:bookmarkEnd w:id="56"/>
    <w:p w14:paraId="6D945011" w14:textId="14A14198" w:rsidR="00FE0CDF" w:rsidRDefault="004E14E5" w:rsidP="00881B1B">
      <w:pPr>
        <w:pStyle w:val="Source"/>
      </w:pPr>
      <w:r>
        <w:t>Note: The ex ante gas savings in this table reflect only AIC claimable gas savings</w:t>
      </w:r>
      <w:r w:rsidRPr="008D174C">
        <w:t xml:space="preserve">. </w:t>
      </w:r>
      <w:r w:rsidR="008D174C" w:rsidRPr="00642406">
        <w:t>One</w:t>
      </w:r>
      <w:r>
        <w:t xml:space="preserve"> project completed through the Standard Core channel produced non-AIC gas savings</w:t>
      </w:r>
      <w:r w:rsidR="003F3F47">
        <w:t xml:space="preserve"> and, as such,</w:t>
      </w:r>
      <w:r>
        <w:t xml:space="preserve"> </w:t>
      </w:r>
      <w:r w:rsidR="003F3F47">
        <w:t xml:space="preserve">was </w:t>
      </w:r>
      <w:r>
        <w:t xml:space="preserve">not included. More information on the savings from </w:t>
      </w:r>
      <w:r w:rsidR="00110FA1">
        <w:t xml:space="preserve">this </w:t>
      </w:r>
      <w:r>
        <w:t xml:space="preserve">project is presented in </w:t>
      </w:r>
      <w:r>
        <w:fldChar w:fldCharType="begin"/>
      </w:r>
      <w:r>
        <w:instrText xml:space="preserve"> REF _Ref187069776 \w \h </w:instrText>
      </w:r>
      <w:r>
        <w:fldChar w:fldCharType="separate"/>
      </w:r>
      <w:r w:rsidR="00AA10F4">
        <w:t>Appendix B</w:t>
      </w:r>
      <w:r>
        <w:fldChar w:fldCharType="end"/>
      </w:r>
      <w:r>
        <w:t>.</w:t>
      </w:r>
    </w:p>
    <w:p w14:paraId="2C7E0314" w14:textId="358AE4E5" w:rsidR="004E14E5" w:rsidRDefault="004E14E5" w:rsidP="00881B1B">
      <w:pPr>
        <w:pStyle w:val="Source"/>
      </w:pPr>
      <w:r>
        <w:rPr>
          <w:vertAlign w:val="superscript"/>
        </w:rPr>
        <w:t>a</w:t>
      </w:r>
      <w:r w:rsidR="00095BE3">
        <w:rPr>
          <w:vertAlign w:val="superscript"/>
        </w:rPr>
        <w:t xml:space="preserve"> </w:t>
      </w:r>
      <w:r>
        <w:t xml:space="preserve">The project counts, measure counts, and ex ante savings values presented in the </w:t>
      </w:r>
      <w:r w:rsidR="00875F07">
        <w:t>Private</w:t>
      </w:r>
      <w:r>
        <w:t xml:space="preserve"> Sector subsection of this table include State and Federal facilitie</w:t>
      </w:r>
      <w:r w:rsidR="00875F07">
        <w:t>s</w:t>
      </w:r>
      <w:r w:rsidR="003F3F47">
        <w:t>,</w:t>
      </w:r>
      <w:r w:rsidR="00875F07">
        <w:t xml:space="preserve"> as these facility types</w:t>
      </w:r>
      <w:r>
        <w:t xml:space="preserve"> are not included in the list of customer types covered in the public sector minimum funding requirements in subsection (c) of 220 ILCS 5/8-103B and subsection (e) of 220 ILCS 5/8-104.</w:t>
      </w:r>
    </w:p>
    <w:p w14:paraId="1A26BF22" w14:textId="77777777" w:rsidR="007F2D66" w:rsidRDefault="007F2D66" w:rsidP="004E14E5">
      <w:pPr>
        <w:spacing w:before="240"/>
      </w:pPr>
      <w:r>
        <w:br w:type="page"/>
      </w:r>
    </w:p>
    <w:p w14:paraId="4CE9ADA1" w14:textId="2559F89E" w:rsidR="004E14E5" w:rsidRDefault="00890376" w:rsidP="004E14E5">
      <w:pPr>
        <w:spacing w:before="240"/>
      </w:pPr>
      <w:r>
        <w:lastRenderedPageBreak/>
        <w:fldChar w:fldCharType="begin"/>
      </w:r>
      <w:r>
        <w:instrText xml:space="preserve"> REF _Ref190255641 \h </w:instrText>
      </w:r>
      <w:r>
        <w:fldChar w:fldCharType="separate"/>
      </w:r>
      <w:r w:rsidR="00AA10F4">
        <w:t xml:space="preserve">Figure </w:t>
      </w:r>
      <w:r w:rsidR="00AA10F4">
        <w:rPr>
          <w:noProof/>
        </w:rPr>
        <w:t>1</w:t>
      </w:r>
      <w:r>
        <w:fldChar w:fldCharType="end"/>
      </w:r>
      <w:r w:rsidR="004E14E5">
        <w:t xml:space="preserve"> </w:t>
      </w:r>
      <w:r w:rsidR="002C7686">
        <w:t>shows the</w:t>
      </w:r>
      <w:r w:rsidR="004E14E5">
        <w:t xml:space="preserve"> distribution of Standard Core projects by facility type. As shown, </w:t>
      </w:r>
      <w:r>
        <w:t>manufacturing/industrial</w:t>
      </w:r>
      <w:r w:rsidR="004E14E5">
        <w:t xml:space="preserve">, </w:t>
      </w:r>
      <w:r>
        <w:t>education</w:t>
      </w:r>
      <w:r w:rsidR="004E14E5">
        <w:t xml:space="preserve">, and </w:t>
      </w:r>
      <w:r>
        <w:t>retail</w:t>
      </w:r>
      <w:r w:rsidR="004E14E5">
        <w:t xml:space="preserve"> were the most common facilit</w:t>
      </w:r>
      <w:r w:rsidR="003F3F47">
        <w:t>y types</w:t>
      </w:r>
      <w:r w:rsidR="004E14E5">
        <w:t xml:space="preserve"> treated through the </w:t>
      </w:r>
      <w:r w:rsidR="002C7686">
        <w:t>Standard</w:t>
      </w:r>
      <w:r w:rsidR="004E14E5">
        <w:t xml:space="preserve"> Core channel in 2024. </w:t>
      </w:r>
    </w:p>
    <w:p w14:paraId="18FE7218" w14:textId="23AF9CF5" w:rsidR="00890376" w:rsidRDefault="00890376" w:rsidP="00881B1B">
      <w:pPr>
        <w:pStyle w:val="Caption"/>
      </w:pPr>
      <w:bookmarkStart w:id="57" w:name="_Ref190255641"/>
      <w:bookmarkStart w:id="58" w:name="_Toc191992647"/>
      <w:bookmarkStart w:id="59" w:name="_Toc192767063"/>
      <w:r>
        <w:t xml:space="preserve">Figure </w:t>
      </w:r>
      <w:r>
        <w:fldChar w:fldCharType="begin"/>
      </w:r>
      <w:r>
        <w:instrText xml:space="preserve"> SEQ Figure \* ARABIC </w:instrText>
      </w:r>
      <w:r>
        <w:fldChar w:fldCharType="separate"/>
      </w:r>
      <w:r w:rsidR="00AA10F4">
        <w:rPr>
          <w:noProof/>
        </w:rPr>
        <w:t>1</w:t>
      </w:r>
      <w:r>
        <w:fldChar w:fldCharType="end"/>
      </w:r>
      <w:bookmarkEnd w:id="57"/>
      <w:r>
        <w:t>. 2024 Standard Core Channel Participation by Facility Type</w:t>
      </w:r>
      <w:bookmarkEnd w:id="58"/>
      <w:bookmarkEnd w:id="59"/>
    </w:p>
    <w:p w14:paraId="048878E6" w14:textId="7EF52CC0" w:rsidR="00890376" w:rsidRDefault="00F12CF9" w:rsidP="007640C5">
      <w:pPr>
        <w:pStyle w:val="Caption"/>
      </w:pPr>
      <w:r>
        <w:rPr>
          <w:bCs w:val="0"/>
          <w:noProof/>
        </w:rPr>
        <w:drawing>
          <wp:inline distT="0" distB="0" distL="0" distR="0" wp14:anchorId="49551664" wp14:editId="0709C60B">
            <wp:extent cx="6934200" cy="3466756"/>
            <wp:effectExtent l="0" t="0" r="0" b="635"/>
            <wp:docPr id="17801397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98436" cy="3498871"/>
                    </a:xfrm>
                    <a:prstGeom prst="rect">
                      <a:avLst/>
                    </a:prstGeom>
                    <a:noFill/>
                  </pic:spPr>
                </pic:pic>
              </a:graphicData>
            </a:graphic>
          </wp:inline>
        </w:drawing>
      </w:r>
    </w:p>
    <w:p w14:paraId="10AFA78F" w14:textId="7F7BF9D3" w:rsidR="002C7686" w:rsidRDefault="00C05932" w:rsidP="004E14E5">
      <w:pPr>
        <w:spacing w:before="240"/>
      </w:pPr>
      <w:r>
        <w:fldChar w:fldCharType="begin"/>
      </w:r>
      <w:r>
        <w:instrText xml:space="preserve"> REF _Ref188869426 \h </w:instrText>
      </w:r>
      <w:r>
        <w:fldChar w:fldCharType="separate"/>
      </w:r>
      <w:r w:rsidR="00AA10F4">
        <w:t xml:space="preserve">Table </w:t>
      </w:r>
      <w:r w:rsidR="00AA10F4">
        <w:rPr>
          <w:noProof/>
        </w:rPr>
        <w:t>8</w:t>
      </w:r>
      <w:r>
        <w:fldChar w:fldCharType="end"/>
      </w:r>
      <w:r>
        <w:t xml:space="preserve"> </w:t>
      </w:r>
      <w:r w:rsidR="002C7686">
        <w:t xml:space="preserve">presents information on </w:t>
      </w:r>
      <w:r w:rsidR="003F3F47">
        <w:t>Program Ally</w:t>
      </w:r>
      <w:r w:rsidR="00286D4F">
        <w:t xml:space="preserve"> </w:t>
      </w:r>
      <w:r w:rsidR="003F3F47">
        <w:t>participation in the channel.</w:t>
      </w:r>
      <w:r w:rsidR="006A384C">
        <w:rPr>
          <w:rStyle w:val="FootnoteReference"/>
        </w:rPr>
        <w:footnoteReference w:id="18"/>
      </w:r>
      <w:r w:rsidR="002C7686">
        <w:t xml:space="preserve"> In total,</w:t>
      </w:r>
      <w:r w:rsidR="00556B80">
        <w:t xml:space="preserve"> 16</w:t>
      </w:r>
      <w:r w:rsidR="006143A7">
        <w:t>5</w:t>
      </w:r>
      <w:r w:rsidR="002C7686">
        <w:t xml:space="preserve"> program allies participated in 2024, a </w:t>
      </w:r>
      <w:r w:rsidR="007F6F3E" w:rsidRPr="007F6F3E">
        <w:t>1</w:t>
      </w:r>
      <w:r w:rsidR="006143A7">
        <w:t>3</w:t>
      </w:r>
      <w:r w:rsidR="002C7686" w:rsidRPr="007F6F3E">
        <w:t xml:space="preserve">% </w:t>
      </w:r>
      <w:r w:rsidR="00556B80">
        <w:t>increase</w:t>
      </w:r>
      <w:r w:rsidR="002C7686">
        <w:t xml:space="preserve"> compared to the</w:t>
      </w:r>
      <w:r w:rsidR="00110FA1">
        <w:t xml:space="preserve"> </w:t>
      </w:r>
      <w:r w:rsidR="002C7686">
        <w:t xml:space="preserve">146 </w:t>
      </w:r>
      <w:r w:rsidR="003F3F47">
        <w:t xml:space="preserve">Program Allies </w:t>
      </w:r>
      <w:r w:rsidR="002C7686">
        <w:t xml:space="preserve">in 2023. Notably, </w:t>
      </w:r>
      <w:r w:rsidR="00390BFA">
        <w:t>2</w:t>
      </w:r>
      <w:r w:rsidR="006143A7">
        <w:t>1</w:t>
      </w:r>
      <w:r w:rsidR="002C7686">
        <w:t xml:space="preserve">% of Standard Core projects were completed by customers without the assistance of a </w:t>
      </w:r>
      <w:r w:rsidR="003F3F47">
        <w:t>Program Ally</w:t>
      </w:r>
      <w:r w:rsidR="002C7686">
        <w:t xml:space="preserve">. The majority of these projects were </w:t>
      </w:r>
      <w:r w:rsidR="00174312">
        <w:t>SE</w:t>
      </w:r>
      <w:r w:rsidR="002C7686">
        <w:t xml:space="preserve"> projects</w:t>
      </w:r>
      <w:r w:rsidR="00174312">
        <w:t xml:space="preserve"> (42%) or SLB projects (38%)</w:t>
      </w:r>
      <w:r w:rsidR="002C7686">
        <w:t xml:space="preserve">. </w:t>
      </w:r>
      <w:r>
        <w:fldChar w:fldCharType="begin"/>
      </w:r>
      <w:r>
        <w:instrText xml:space="preserve"> REF _Ref188869426 \h </w:instrText>
      </w:r>
      <w:r>
        <w:fldChar w:fldCharType="separate"/>
      </w:r>
      <w:r w:rsidR="00AA10F4">
        <w:t xml:space="preserve">Table </w:t>
      </w:r>
      <w:r w:rsidR="00AA10F4">
        <w:rPr>
          <w:noProof/>
        </w:rPr>
        <w:t>8</w:t>
      </w:r>
      <w:r>
        <w:fldChar w:fldCharType="end"/>
      </w:r>
      <w:r>
        <w:t xml:space="preserve"> </w:t>
      </w:r>
      <w:r w:rsidR="002C7686">
        <w:t xml:space="preserve">presents participation information on the </w:t>
      </w:r>
      <w:r w:rsidR="00286D4F">
        <w:t xml:space="preserve">Program Allies </w:t>
      </w:r>
      <w:r w:rsidR="002C7686">
        <w:t xml:space="preserve">that were most active in each </w:t>
      </w:r>
      <w:r w:rsidR="00286D4F">
        <w:t>channel offering</w:t>
      </w:r>
      <w:r w:rsidR="002C7686">
        <w:t xml:space="preserve"> in 2024. </w:t>
      </w:r>
    </w:p>
    <w:p w14:paraId="57C96F27" w14:textId="711C69CC" w:rsidR="00C05932" w:rsidRDefault="00C05932" w:rsidP="00881B1B">
      <w:pPr>
        <w:pStyle w:val="Caption"/>
      </w:pPr>
      <w:bookmarkStart w:id="60" w:name="_Ref188869426"/>
      <w:bookmarkStart w:id="61" w:name="_Toc191992529"/>
      <w:bookmarkStart w:id="62" w:name="_Toc192766942"/>
      <w:r>
        <w:t xml:space="preserve">Table </w:t>
      </w:r>
      <w:r w:rsidR="009B4C9A">
        <w:fldChar w:fldCharType="begin"/>
      </w:r>
      <w:r w:rsidR="009B4C9A">
        <w:instrText xml:space="preserve"> SEQ Table \* ARABIC </w:instrText>
      </w:r>
      <w:r w:rsidR="009B4C9A">
        <w:fldChar w:fldCharType="separate"/>
      </w:r>
      <w:r w:rsidR="00AA10F4">
        <w:rPr>
          <w:noProof/>
        </w:rPr>
        <w:t>8</w:t>
      </w:r>
      <w:r w:rsidR="009B4C9A">
        <w:rPr>
          <w:noProof/>
        </w:rPr>
        <w:fldChar w:fldCharType="end"/>
      </w:r>
      <w:bookmarkEnd w:id="60"/>
      <w:r>
        <w:t>. 2024 Standard Core Channel Program Ally Participation Summary</w:t>
      </w:r>
      <w:bookmarkEnd w:id="61"/>
      <w:bookmarkEnd w:id="6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3698"/>
        <w:gridCol w:w="3699"/>
        <w:gridCol w:w="3699"/>
      </w:tblGrid>
      <w:tr w:rsidR="002C7686" w14:paraId="51358EBB" w14:textId="77777777" w:rsidTr="00612B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47C3BD34" w14:textId="5217E6B5" w:rsidR="002C7686" w:rsidRDefault="0085004E" w:rsidP="007F2D66">
            <w:pPr>
              <w:pStyle w:val="TableHeadingLeft"/>
            </w:pPr>
            <w:r>
              <w:t>Program Ally</w:t>
            </w:r>
          </w:p>
        </w:tc>
        <w:tc>
          <w:tcPr>
            <w:tcW w:w="3699" w:type="dxa"/>
            <w:tcBorders>
              <w:bottom w:val="none" w:sz="0" w:space="0" w:color="auto"/>
            </w:tcBorders>
          </w:tcPr>
          <w:p w14:paraId="3B3E53E0" w14:textId="27B70A67" w:rsidR="002C7686" w:rsidRDefault="0085004E" w:rsidP="0085004E">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3699" w:type="dxa"/>
            <w:tcBorders>
              <w:bottom w:val="none" w:sz="0" w:space="0" w:color="auto"/>
            </w:tcBorders>
          </w:tcPr>
          <w:p w14:paraId="61248600" w14:textId="3E797284" w:rsidR="002C7686" w:rsidRDefault="0085004E" w:rsidP="0085004E">
            <w:pPr>
              <w:pStyle w:val="TableHeadingCentered"/>
              <w:cnfStyle w:val="100000000000" w:firstRow="1" w:lastRow="0" w:firstColumn="0" w:lastColumn="0" w:oddVBand="0" w:evenVBand="0" w:oddHBand="0" w:evenHBand="0" w:firstRowFirstColumn="0" w:firstRowLastColumn="0" w:lastRowFirstColumn="0" w:lastRowLastColumn="0"/>
            </w:pPr>
            <w:r>
              <w:t>Share of Total</w:t>
            </w:r>
          </w:p>
        </w:tc>
      </w:tr>
      <w:tr w:rsidR="0085004E" w14:paraId="66DD1C2C" w14:textId="77777777" w:rsidTr="007F2D66">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11096" w:type="dxa"/>
            <w:gridSpan w:val="3"/>
            <w:tcBorders>
              <w:top w:val="none" w:sz="0" w:space="0" w:color="auto"/>
              <w:left w:val="none" w:sz="0" w:space="0" w:color="auto"/>
              <w:bottom w:val="none" w:sz="0" w:space="0" w:color="auto"/>
              <w:right w:val="none" w:sz="0" w:space="0" w:color="auto"/>
            </w:tcBorders>
            <w:shd w:val="clear" w:color="auto" w:fill="00B0F0"/>
          </w:tcPr>
          <w:p w14:paraId="77FAAD73" w14:textId="030961A8" w:rsidR="0085004E" w:rsidRPr="0085004E" w:rsidRDefault="0085004E" w:rsidP="007F2D66">
            <w:pPr>
              <w:rPr>
                <w:rFonts w:asciiTheme="majorHAnsi" w:hAnsiTheme="majorHAnsi"/>
                <w:color w:val="FFFFFF" w:themeColor="background1"/>
              </w:rPr>
            </w:pPr>
            <w:r w:rsidRPr="0085004E">
              <w:rPr>
                <w:rFonts w:asciiTheme="majorHAnsi" w:hAnsiTheme="majorHAnsi"/>
                <w:color w:val="FFFFFF" w:themeColor="background1"/>
              </w:rPr>
              <w:t>SLB (n=</w:t>
            </w:r>
            <w:r w:rsidR="00D25430">
              <w:rPr>
                <w:rFonts w:asciiTheme="majorHAnsi" w:hAnsiTheme="majorHAnsi"/>
                <w:color w:val="FFFFFF" w:themeColor="background1"/>
              </w:rPr>
              <w:t>409</w:t>
            </w:r>
            <w:r w:rsidRPr="0085004E">
              <w:rPr>
                <w:rFonts w:asciiTheme="majorHAnsi" w:hAnsiTheme="majorHAnsi"/>
                <w:color w:val="FFFFFF" w:themeColor="background1"/>
              </w:rPr>
              <w:t>)</w:t>
            </w:r>
          </w:p>
        </w:tc>
      </w:tr>
      <w:tr w:rsidR="002C7686" w14:paraId="32C0803E"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4B8EA684" w14:textId="0901F5EE" w:rsidR="002C7686" w:rsidRDefault="00D25430" w:rsidP="007F2D66">
            <w:r>
              <w:t>Ally 1</w:t>
            </w:r>
          </w:p>
        </w:tc>
        <w:tc>
          <w:tcPr>
            <w:tcW w:w="3699" w:type="dxa"/>
            <w:tcBorders>
              <w:top w:val="none" w:sz="0" w:space="0" w:color="auto"/>
              <w:left w:val="none" w:sz="0" w:space="0" w:color="auto"/>
              <w:bottom w:val="none" w:sz="0" w:space="0" w:color="auto"/>
              <w:right w:val="none" w:sz="0" w:space="0" w:color="auto"/>
            </w:tcBorders>
          </w:tcPr>
          <w:p w14:paraId="3A96EA53" w14:textId="7709A53B" w:rsidR="002C7686" w:rsidRDefault="00D25430" w:rsidP="00E5619B">
            <w:pPr>
              <w:jc w:val="center"/>
              <w:cnfStyle w:val="000000010000" w:firstRow="0" w:lastRow="0" w:firstColumn="0" w:lastColumn="0" w:oddVBand="0" w:evenVBand="0" w:oddHBand="0" w:evenHBand="1" w:firstRowFirstColumn="0" w:firstRowLastColumn="0" w:lastRowFirstColumn="0" w:lastRowLastColumn="0"/>
            </w:pPr>
            <w:r>
              <w:t>52</w:t>
            </w:r>
          </w:p>
        </w:tc>
        <w:tc>
          <w:tcPr>
            <w:tcW w:w="3699" w:type="dxa"/>
            <w:tcBorders>
              <w:top w:val="none" w:sz="0" w:space="0" w:color="auto"/>
              <w:left w:val="none" w:sz="0" w:space="0" w:color="auto"/>
              <w:bottom w:val="none" w:sz="0" w:space="0" w:color="auto"/>
              <w:right w:val="none" w:sz="0" w:space="0" w:color="auto"/>
            </w:tcBorders>
          </w:tcPr>
          <w:p w14:paraId="4AA839DC" w14:textId="11B4F045" w:rsidR="00D25430" w:rsidRDefault="00D25430" w:rsidP="00E5619B">
            <w:pPr>
              <w:jc w:val="center"/>
              <w:cnfStyle w:val="000000010000" w:firstRow="0" w:lastRow="0" w:firstColumn="0" w:lastColumn="0" w:oddVBand="0" w:evenVBand="0" w:oddHBand="0" w:evenHBand="1" w:firstRowFirstColumn="0" w:firstRowLastColumn="0" w:lastRowFirstColumn="0" w:lastRowLastColumn="0"/>
            </w:pPr>
            <w:r>
              <w:t>13%</w:t>
            </w:r>
          </w:p>
        </w:tc>
      </w:tr>
      <w:tr w:rsidR="002C7686" w14:paraId="46F197CB"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1E04A3C4" w14:textId="2E402B66" w:rsidR="002C7686" w:rsidRDefault="00D25430" w:rsidP="007F2D66">
            <w:r>
              <w:t>Ally 2</w:t>
            </w:r>
          </w:p>
        </w:tc>
        <w:tc>
          <w:tcPr>
            <w:tcW w:w="3699" w:type="dxa"/>
            <w:tcBorders>
              <w:top w:val="none" w:sz="0" w:space="0" w:color="auto"/>
              <w:left w:val="none" w:sz="0" w:space="0" w:color="auto"/>
              <w:bottom w:val="none" w:sz="0" w:space="0" w:color="auto"/>
              <w:right w:val="none" w:sz="0" w:space="0" w:color="auto"/>
            </w:tcBorders>
          </w:tcPr>
          <w:p w14:paraId="330B567E" w14:textId="63A6019E" w:rsidR="002C7686" w:rsidRDefault="00D25430" w:rsidP="00E5619B">
            <w:pPr>
              <w:jc w:val="center"/>
              <w:cnfStyle w:val="000000100000" w:firstRow="0" w:lastRow="0" w:firstColumn="0" w:lastColumn="0" w:oddVBand="0" w:evenVBand="0" w:oddHBand="1" w:evenHBand="0" w:firstRowFirstColumn="0" w:firstRowLastColumn="0" w:lastRowFirstColumn="0" w:lastRowLastColumn="0"/>
            </w:pPr>
            <w:r>
              <w:t>35</w:t>
            </w:r>
          </w:p>
        </w:tc>
        <w:tc>
          <w:tcPr>
            <w:tcW w:w="3699" w:type="dxa"/>
            <w:tcBorders>
              <w:top w:val="none" w:sz="0" w:space="0" w:color="auto"/>
              <w:left w:val="none" w:sz="0" w:space="0" w:color="auto"/>
              <w:bottom w:val="none" w:sz="0" w:space="0" w:color="auto"/>
              <w:right w:val="none" w:sz="0" w:space="0" w:color="auto"/>
            </w:tcBorders>
          </w:tcPr>
          <w:p w14:paraId="5501F3C4" w14:textId="45A0142A" w:rsidR="00D25430" w:rsidRDefault="00D25430" w:rsidP="00E5619B">
            <w:pPr>
              <w:jc w:val="center"/>
              <w:cnfStyle w:val="000000100000" w:firstRow="0" w:lastRow="0" w:firstColumn="0" w:lastColumn="0" w:oddVBand="0" w:evenVBand="0" w:oddHBand="1" w:evenHBand="0" w:firstRowFirstColumn="0" w:firstRowLastColumn="0" w:lastRowFirstColumn="0" w:lastRowLastColumn="0"/>
            </w:pPr>
            <w:r>
              <w:t>9%</w:t>
            </w:r>
          </w:p>
        </w:tc>
      </w:tr>
      <w:tr w:rsidR="002C7686" w14:paraId="7A0CF4A6"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3D592EAC" w14:textId="0452B4A6" w:rsidR="002C7686" w:rsidRDefault="00D25430" w:rsidP="007F2D66">
            <w:r>
              <w:t xml:space="preserve">Ally 3 </w:t>
            </w:r>
          </w:p>
        </w:tc>
        <w:tc>
          <w:tcPr>
            <w:tcW w:w="3699" w:type="dxa"/>
            <w:tcBorders>
              <w:top w:val="none" w:sz="0" w:space="0" w:color="auto"/>
              <w:left w:val="none" w:sz="0" w:space="0" w:color="auto"/>
              <w:bottom w:val="none" w:sz="0" w:space="0" w:color="auto"/>
              <w:right w:val="none" w:sz="0" w:space="0" w:color="auto"/>
            </w:tcBorders>
          </w:tcPr>
          <w:p w14:paraId="216053DA" w14:textId="48BC04C1" w:rsidR="002C7686" w:rsidRDefault="00D25430" w:rsidP="00E5619B">
            <w:pPr>
              <w:jc w:val="center"/>
              <w:cnfStyle w:val="000000010000" w:firstRow="0" w:lastRow="0" w:firstColumn="0" w:lastColumn="0" w:oddVBand="0" w:evenVBand="0" w:oddHBand="0" w:evenHBand="1" w:firstRowFirstColumn="0" w:firstRowLastColumn="0" w:lastRowFirstColumn="0" w:lastRowLastColumn="0"/>
            </w:pPr>
            <w:r>
              <w:t>18</w:t>
            </w:r>
          </w:p>
        </w:tc>
        <w:tc>
          <w:tcPr>
            <w:tcW w:w="3699" w:type="dxa"/>
            <w:tcBorders>
              <w:top w:val="none" w:sz="0" w:space="0" w:color="auto"/>
              <w:left w:val="none" w:sz="0" w:space="0" w:color="auto"/>
              <w:bottom w:val="none" w:sz="0" w:space="0" w:color="auto"/>
              <w:right w:val="none" w:sz="0" w:space="0" w:color="auto"/>
            </w:tcBorders>
          </w:tcPr>
          <w:p w14:paraId="077DA419" w14:textId="131CFFF1" w:rsidR="00E5619B" w:rsidRDefault="00E5619B" w:rsidP="00E5619B">
            <w:pPr>
              <w:jc w:val="center"/>
              <w:cnfStyle w:val="000000010000" w:firstRow="0" w:lastRow="0" w:firstColumn="0" w:lastColumn="0" w:oddVBand="0" w:evenVBand="0" w:oddHBand="0" w:evenHBand="1" w:firstRowFirstColumn="0" w:firstRowLastColumn="0" w:lastRowFirstColumn="0" w:lastRowLastColumn="0"/>
            </w:pPr>
            <w:r>
              <w:t>4%</w:t>
            </w:r>
          </w:p>
        </w:tc>
      </w:tr>
      <w:tr w:rsidR="002C7686" w14:paraId="42178B25"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E126C87" w14:textId="3BA0F7CF" w:rsidR="002C7686" w:rsidRDefault="00D25430" w:rsidP="007F2D66">
            <w:r>
              <w:t>Ally 4</w:t>
            </w:r>
          </w:p>
        </w:tc>
        <w:tc>
          <w:tcPr>
            <w:tcW w:w="3699" w:type="dxa"/>
            <w:tcBorders>
              <w:top w:val="none" w:sz="0" w:space="0" w:color="auto"/>
              <w:left w:val="none" w:sz="0" w:space="0" w:color="auto"/>
              <w:bottom w:val="none" w:sz="0" w:space="0" w:color="auto"/>
              <w:right w:val="none" w:sz="0" w:space="0" w:color="auto"/>
            </w:tcBorders>
          </w:tcPr>
          <w:p w14:paraId="03DA6A5D" w14:textId="6FCF2C8A" w:rsidR="002C7686" w:rsidRDefault="00D25430" w:rsidP="00E5619B">
            <w:pPr>
              <w:jc w:val="center"/>
              <w:cnfStyle w:val="000000100000" w:firstRow="0" w:lastRow="0" w:firstColumn="0" w:lastColumn="0" w:oddVBand="0" w:evenVBand="0" w:oddHBand="1" w:evenHBand="0" w:firstRowFirstColumn="0" w:firstRowLastColumn="0" w:lastRowFirstColumn="0" w:lastRowLastColumn="0"/>
            </w:pPr>
            <w:r>
              <w:t>12</w:t>
            </w:r>
          </w:p>
        </w:tc>
        <w:tc>
          <w:tcPr>
            <w:tcW w:w="3699" w:type="dxa"/>
            <w:tcBorders>
              <w:top w:val="none" w:sz="0" w:space="0" w:color="auto"/>
              <w:left w:val="none" w:sz="0" w:space="0" w:color="auto"/>
              <w:bottom w:val="none" w:sz="0" w:space="0" w:color="auto"/>
              <w:right w:val="none" w:sz="0" w:space="0" w:color="auto"/>
            </w:tcBorders>
          </w:tcPr>
          <w:p w14:paraId="6D2F13CD" w14:textId="647E11BB" w:rsidR="002C7686" w:rsidRDefault="00E5619B" w:rsidP="00E5619B">
            <w:pPr>
              <w:jc w:val="center"/>
              <w:cnfStyle w:val="000000100000" w:firstRow="0" w:lastRow="0" w:firstColumn="0" w:lastColumn="0" w:oddVBand="0" w:evenVBand="0" w:oddHBand="1" w:evenHBand="0" w:firstRowFirstColumn="0" w:firstRowLastColumn="0" w:lastRowFirstColumn="0" w:lastRowLastColumn="0"/>
            </w:pPr>
            <w:r>
              <w:t>3%</w:t>
            </w:r>
          </w:p>
        </w:tc>
      </w:tr>
      <w:tr w:rsidR="006143A7" w14:paraId="13672346"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6C676B7B" w14:textId="46FA4140" w:rsidR="006143A7" w:rsidRDefault="006143A7" w:rsidP="007F2D66">
            <w:r>
              <w:t>Ally 5</w:t>
            </w:r>
          </w:p>
        </w:tc>
        <w:tc>
          <w:tcPr>
            <w:tcW w:w="3699" w:type="dxa"/>
            <w:tcBorders>
              <w:top w:val="none" w:sz="0" w:space="0" w:color="auto"/>
              <w:left w:val="none" w:sz="0" w:space="0" w:color="auto"/>
              <w:bottom w:val="none" w:sz="0" w:space="0" w:color="auto"/>
              <w:right w:val="none" w:sz="0" w:space="0" w:color="auto"/>
            </w:tcBorders>
          </w:tcPr>
          <w:p w14:paraId="569351B5" w14:textId="43578FF1" w:rsidR="006143A7" w:rsidRDefault="006143A7" w:rsidP="00E5619B">
            <w:pPr>
              <w:jc w:val="center"/>
              <w:cnfStyle w:val="000000010000" w:firstRow="0" w:lastRow="0" w:firstColumn="0" w:lastColumn="0" w:oddVBand="0" w:evenVBand="0" w:oddHBand="0" w:evenHBand="1" w:firstRowFirstColumn="0" w:firstRowLastColumn="0" w:lastRowFirstColumn="0" w:lastRowLastColumn="0"/>
            </w:pPr>
            <w:r>
              <w:t>12</w:t>
            </w:r>
          </w:p>
        </w:tc>
        <w:tc>
          <w:tcPr>
            <w:tcW w:w="3699" w:type="dxa"/>
            <w:tcBorders>
              <w:top w:val="none" w:sz="0" w:space="0" w:color="auto"/>
              <w:left w:val="none" w:sz="0" w:space="0" w:color="auto"/>
              <w:bottom w:val="none" w:sz="0" w:space="0" w:color="auto"/>
              <w:right w:val="none" w:sz="0" w:space="0" w:color="auto"/>
            </w:tcBorders>
          </w:tcPr>
          <w:p w14:paraId="6CB268B0" w14:textId="73A2E9DD" w:rsidR="006143A7" w:rsidRDefault="006143A7" w:rsidP="00E5619B">
            <w:pPr>
              <w:jc w:val="center"/>
              <w:cnfStyle w:val="000000010000" w:firstRow="0" w:lastRow="0" w:firstColumn="0" w:lastColumn="0" w:oddVBand="0" w:evenVBand="0" w:oddHBand="0" w:evenHBand="1" w:firstRowFirstColumn="0" w:firstRowLastColumn="0" w:lastRowFirstColumn="0" w:lastRowLastColumn="0"/>
            </w:pPr>
            <w:r>
              <w:t>3%</w:t>
            </w:r>
          </w:p>
        </w:tc>
      </w:tr>
      <w:tr w:rsidR="0085004E" w14:paraId="64077758"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3"/>
            <w:tcBorders>
              <w:top w:val="none" w:sz="0" w:space="0" w:color="auto"/>
              <w:left w:val="none" w:sz="0" w:space="0" w:color="auto"/>
              <w:bottom w:val="none" w:sz="0" w:space="0" w:color="auto"/>
              <w:right w:val="none" w:sz="0" w:space="0" w:color="auto"/>
            </w:tcBorders>
            <w:shd w:val="clear" w:color="auto" w:fill="00B0F0"/>
          </w:tcPr>
          <w:p w14:paraId="145D8D6E" w14:textId="77B5832C" w:rsidR="0085004E" w:rsidRPr="00C05932" w:rsidRDefault="0085004E" w:rsidP="007F2D66">
            <w:pPr>
              <w:rPr>
                <w:rFonts w:asciiTheme="majorHAnsi" w:hAnsiTheme="majorHAnsi"/>
                <w:color w:val="FFFFFF" w:themeColor="background1"/>
              </w:rPr>
            </w:pPr>
            <w:r w:rsidRPr="0085004E">
              <w:rPr>
                <w:rFonts w:asciiTheme="majorHAnsi" w:hAnsiTheme="majorHAnsi"/>
                <w:color w:val="FFFFFF" w:themeColor="background1"/>
              </w:rPr>
              <w:t>HVAC (n=</w:t>
            </w:r>
            <w:r w:rsidR="00BC0F97">
              <w:rPr>
                <w:rFonts w:asciiTheme="majorHAnsi" w:hAnsiTheme="majorHAnsi"/>
                <w:color w:val="FFFFFF" w:themeColor="background1"/>
              </w:rPr>
              <w:t>129</w:t>
            </w:r>
            <w:r w:rsidRPr="0085004E">
              <w:rPr>
                <w:rFonts w:asciiTheme="majorHAnsi" w:hAnsiTheme="majorHAnsi"/>
                <w:color w:val="FFFFFF" w:themeColor="background1"/>
              </w:rPr>
              <w:t>)</w:t>
            </w:r>
          </w:p>
        </w:tc>
      </w:tr>
      <w:tr w:rsidR="0085004E" w14:paraId="326D0C91"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0D7A68A0" w14:textId="383A4713" w:rsidR="0085004E" w:rsidRPr="00BC0F97" w:rsidRDefault="00BC0F97" w:rsidP="007F2D66">
            <w:pPr>
              <w:pStyle w:val="TableLeftText"/>
            </w:pPr>
            <w:r w:rsidRPr="00BC0F97">
              <w:t xml:space="preserve">Ally </w:t>
            </w:r>
            <w:r w:rsidR="006143A7">
              <w:t>6</w:t>
            </w:r>
          </w:p>
        </w:tc>
        <w:tc>
          <w:tcPr>
            <w:tcW w:w="3699" w:type="dxa"/>
            <w:tcBorders>
              <w:top w:val="none" w:sz="0" w:space="0" w:color="auto"/>
              <w:left w:val="none" w:sz="0" w:space="0" w:color="auto"/>
              <w:bottom w:val="none" w:sz="0" w:space="0" w:color="auto"/>
              <w:right w:val="none" w:sz="0" w:space="0" w:color="auto"/>
            </w:tcBorders>
          </w:tcPr>
          <w:p w14:paraId="2C0C8D0E" w14:textId="087356BC"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19</w:t>
            </w:r>
          </w:p>
        </w:tc>
        <w:tc>
          <w:tcPr>
            <w:tcW w:w="3699" w:type="dxa"/>
            <w:tcBorders>
              <w:top w:val="none" w:sz="0" w:space="0" w:color="auto"/>
              <w:left w:val="none" w:sz="0" w:space="0" w:color="auto"/>
              <w:bottom w:val="none" w:sz="0" w:space="0" w:color="auto"/>
              <w:right w:val="none" w:sz="0" w:space="0" w:color="auto"/>
            </w:tcBorders>
          </w:tcPr>
          <w:p w14:paraId="788C1E23" w14:textId="74797E6C"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15%</w:t>
            </w:r>
          </w:p>
        </w:tc>
      </w:tr>
      <w:tr w:rsidR="0085004E" w14:paraId="6C913508"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1C87E73A" w14:textId="6A75882F" w:rsidR="0085004E" w:rsidRPr="00BC0F97" w:rsidRDefault="00BC0F97" w:rsidP="007F2D66">
            <w:pPr>
              <w:pStyle w:val="TableLeftText"/>
            </w:pPr>
            <w:r>
              <w:t xml:space="preserve">Ally </w:t>
            </w:r>
            <w:r w:rsidR="006143A7">
              <w:t>7</w:t>
            </w:r>
          </w:p>
        </w:tc>
        <w:tc>
          <w:tcPr>
            <w:tcW w:w="3699" w:type="dxa"/>
            <w:tcBorders>
              <w:top w:val="none" w:sz="0" w:space="0" w:color="auto"/>
              <w:left w:val="none" w:sz="0" w:space="0" w:color="auto"/>
              <w:bottom w:val="none" w:sz="0" w:space="0" w:color="auto"/>
              <w:right w:val="none" w:sz="0" w:space="0" w:color="auto"/>
            </w:tcBorders>
          </w:tcPr>
          <w:p w14:paraId="24BE59AA" w14:textId="4FDEA0D7" w:rsidR="0085004E"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14</w:t>
            </w:r>
          </w:p>
        </w:tc>
        <w:tc>
          <w:tcPr>
            <w:tcW w:w="3699" w:type="dxa"/>
            <w:tcBorders>
              <w:top w:val="none" w:sz="0" w:space="0" w:color="auto"/>
              <w:left w:val="none" w:sz="0" w:space="0" w:color="auto"/>
              <w:bottom w:val="none" w:sz="0" w:space="0" w:color="auto"/>
              <w:right w:val="none" w:sz="0" w:space="0" w:color="auto"/>
            </w:tcBorders>
          </w:tcPr>
          <w:p w14:paraId="35828E13" w14:textId="4E75D6D0" w:rsidR="00BC0F97"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11%</w:t>
            </w:r>
          </w:p>
        </w:tc>
      </w:tr>
      <w:tr w:rsidR="0085004E" w14:paraId="1CFE4BAA"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19AC74B6" w14:textId="3B67025C" w:rsidR="0085004E" w:rsidRPr="00BC0F97" w:rsidRDefault="00BC0F97" w:rsidP="007F2D66">
            <w:pPr>
              <w:pStyle w:val="TableLeftText"/>
            </w:pPr>
            <w:r>
              <w:t xml:space="preserve">Ally </w:t>
            </w:r>
            <w:r w:rsidR="006143A7">
              <w:t>8</w:t>
            </w:r>
          </w:p>
        </w:tc>
        <w:tc>
          <w:tcPr>
            <w:tcW w:w="3699" w:type="dxa"/>
            <w:tcBorders>
              <w:top w:val="none" w:sz="0" w:space="0" w:color="auto"/>
              <w:left w:val="none" w:sz="0" w:space="0" w:color="auto"/>
              <w:bottom w:val="none" w:sz="0" w:space="0" w:color="auto"/>
              <w:right w:val="none" w:sz="0" w:space="0" w:color="auto"/>
            </w:tcBorders>
          </w:tcPr>
          <w:p w14:paraId="080626E3" w14:textId="5339852C"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6</w:t>
            </w:r>
          </w:p>
        </w:tc>
        <w:tc>
          <w:tcPr>
            <w:tcW w:w="3699" w:type="dxa"/>
            <w:tcBorders>
              <w:top w:val="none" w:sz="0" w:space="0" w:color="auto"/>
              <w:left w:val="none" w:sz="0" w:space="0" w:color="auto"/>
              <w:bottom w:val="none" w:sz="0" w:space="0" w:color="auto"/>
              <w:right w:val="none" w:sz="0" w:space="0" w:color="auto"/>
            </w:tcBorders>
          </w:tcPr>
          <w:p w14:paraId="6F0E91DA" w14:textId="48DC3241"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5%</w:t>
            </w:r>
          </w:p>
        </w:tc>
      </w:tr>
      <w:tr w:rsidR="0085004E" w14:paraId="0B2D4B1F"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7BDB5D21" w14:textId="133A2894" w:rsidR="0085004E" w:rsidRPr="00BC0F97" w:rsidRDefault="00BC0F97" w:rsidP="007F2D66">
            <w:pPr>
              <w:pStyle w:val="TableLeftText"/>
            </w:pPr>
            <w:r>
              <w:t xml:space="preserve">Ally </w:t>
            </w:r>
            <w:r w:rsidR="006143A7">
              <w:t>9</w:t>
            </w:r>
          </w:p>
        </w:tc>
        <w:tc>
          <w:tcPr>
            <w:tcW w:w="3699" w:type="dxa"/>
            <w:tcBorders>
              <w:top w:val="none" w:sz="0" w:space="0" w:color="auto"/>
              <w:left w:val="none" w:sz="0" w:space="0" w:color="auto"/>
              <w:bottom w:val="none" w:sz="0" w:space="0" w:color="auto"/>
              <w:right w:val="none" w:sz="0" w:space="0" w:color="auto"/>
            </w:tcBorders>
          </w:tcPr>
          <w:p w14:paraId="2990AD8E" w14:textId="3EDBC5DC" w:rsidR="0085004E"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5</w:t>
            </w:r>
          </w:p>
        </w:tc>
        <w:tc>
          <w:tcPr>
            <w:tcW w:w="3699" w:type="dxa"/>
            <w:tcBorders>
              <w:top w:val="none" w:sz="0" w:space="0" w:color="auto"/>
              <w:left w:val="none" w:sz="0" w:space="0" w:color="auto"/>
              <w:bottom w:val="none" w:sz="0" w:space="0" w:color="auto"/>
              <w:right w:val="none" w:sz="0" w:space="0" w:color="auto"/>
            </w:tcBorders>
          </w:tcPr>
          <w:p w14:paraId="2E5EF016" w14:textId="5F5F5E43" w:rsidR="0085004E"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4%</w:t>
            </w:r>
          </w:p>
        </w:tc>
      </w:tr>
      <w:tr w:rsidR="0085004E" w14:paraId="3C27DA09"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3"/>
            <w:tcBorders>
              <w:top w:val="none" w:sz="0" w:space="0" w:color="auto"/>
              <w:left w:val="none" w:sz="0" w:space="0" w:color="auto"/>
              <w:bottom w:val="none" w:sz="0" w:space="0" w:color="auto"/>
              <w:right w:val="none" w:sz="0" w:space="0" w:color="auto"/>
            </w:tcBorders>
            <w:shd w:val="clear" w:color="auto" w:fill="00B0F0"/>
          </w:tcPr>
          <w:p w14:paraId="5BE35B06" w14:textId="07A2C64C" w:rsidR="0085004E" w:rsidRPr="0085004E" w:rsidRDefault="0085004E" w:rsidP="007F2D66">
            <w:pPr>
              <w:rPr>
                <w:rFonts w:asciiTheme="majorHAnsi" w:hAnsiTheme="majorHAnsi"/>
                <w:color w:val="FFFFFF" w:themeColor="background1"/>
              </w:rPr>
            </w:pPr>
            <w:r w:rsidRPr="0085004E">
              <w:rPr>
                <w:rFonts w:asciiTheme="majorHAnsi" w:hAnsiTheme="majorHAnsi"/>
                <w:color w:val="FFFFFF" w:themeColor="background1"/>
              </w:rPr>
              <w:lastRenderedPageBreak/>
              <w:t>SE (n=</w:t>
            </w:r>
            <w:r w:rsidR="00BC0F97">
              <w:rPr>
                <w:rFonts w:asciiTheme="majorHAnsi" w:hAnsiTheme="majorHAnsi"/>
                <w:color w:val="FFFFFF" w:themeColor="background1"/>
              </w:rPr>
              <w:t>101</w:t>
            </w:r>
            <w:r w:rsidRPr="0085004E">
              <w:rPr>
                <w:rFonts w:asciiTheme="majorHAnsi" w:hAnsiTheme="majorHAnsi"/>
                <w:color w:val="FFFFFF" w:themeColor="background1"/>
              </w:rPr>
              <w:t>)</w:t>
            </w:r>
          </w:p>
        </w:tc>
      </w:tr>
      <w:tr w:rsidR="0085004E" w14:paraId="2B98D154"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3EFD8190" w14:textId="436E6D6D" w:rsidR="0085004E" w:rsidRPr="00BC0F97" w:rsidRDefault="00BC0F97" w:rsidP="007F2D66">
            <w:pPr>
              <w:pStyle w:val="TableLeftText"/>
            </w:pPr>
            <w:r w:rsidRPr="00BC0F97">
              <w:t>Ally</w:t>
            </w:r>
            <w:r w:rsidR="006143A7">
              <w:t xml:space="preserve"> 10</w:t>
            </w:r>
          </w:p>
        </w:tc>
        <w:tc>
          <w:tcPr>
            <w:tcW w:w="3699" w:type="dxa"/>
            <w:tcBorders>
              <w:top w:val="none" w:sz="0" w:space="0" w:color="auto"/>
              <w:left w:val="none" w:sz="0" w:space="0" w:color="auto"/>
              <w:bottom w:val="none" w:sz="0" w:space="0" w:color="auto"/>
              <w:right w:val="none" w:sz="0" w:space="0" w:color="auto"/>
            </w:tcBorders>
          </w:tcPr>
          <w:p w14:paraId="1E60521F" w14:textId="6D04B9D7" w:rsidR="0085004E"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12</w:t>
            </w:r>
          </w:p>
        </w:tc>
        <w:tc>
          <w:tcPr>
            <w:tcW w:w="3699" w:type="dxa"/>
            <w:tcBorders>
              <w:top w:val="none" w:sz="0" w:space="0" w:color="auto"/>
              <w:left w:val="none" w:sz="0" w:space="0" w:color="auto"/>
              <w:bottom w:val="none" w:sz="0" w:space="0" w:color="auto"/>
              <w:right w:val="none" w:sz="0" w:space="0" w:color="auto"/>
            </w:tcBorders>
          </w:tcPr>
          <w:p w14:paraId="703B3CCF" w14:textId="4F95D191" w:rsidR="0085004E" w:rsidRPr="00BC0F97" w:rsidRDefault="00BC0F97" w:rsidP="00BC0F97">
            <w:pPr>
              <w:pStyle w:val="TableLeftText"/>
              <w:jc w:val="center"/>
              <w:cnfStyle w:val="000000100000" w:firstRow="0" w:lastRow="0" w:firstColumn="0" w:lastColumn="0" w:oddVBand="0" w:evenVBand="0" w:oddHBand="1" w:evenHBand="0" w:firstRowFirstColumn="0" w:firstRowLastColumn="0" w:lastRowFirstColumn="0" w:lastRowLastColumn="0"/>
            </w:pPr>
            <w:r>
              <w:t>12%</w:t>
            </w:r>
          </w:p>
        </w:tc>
      </w:tr>
      <w:tr w:rsidR="0085004E" w14:paraId="3CAF7DD3"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0A34E5F" w14:textId="14FDE0F1" w:rsidR="0085004E" w:rsidRPr="00BC0F97" w:rsidRDefault="00BC0F97" w:rsidP="007F2D66">
            <w:pPr>
              <w:pStyle w:val="TableLeftText"/>
            </w:pPr>
            <w:r w:rsidRPr="00BC0F97">
              <w:t>Ally 1</w:t>
            </w:r>
            <w:r w:rsidR="006143A7">
              <w:t>1</w:t>
            </w:r>
          </w:p>
        </w:tc>
        <w:tc>
          <w:tcPr>
            <w:tcW w:w="3699" w:type="dxa"/>
            <w:tcBorders>
              <w:top w:val="none" w:sz="0" w:space="0" w:color="auto"/>
              <w:left w:val="none" w:sz="0" w:space="0" w:color="auto"/>
              <w:bottom w:val="none" w:sz="0" w:space="0" w:color="auto"/>
              <w:right w:val="none" w:sz="0" w:space="0" w:color="auto"/>
            </w:tcBorders>
          </w:tcPr>
          <w:p w14:paraId="34025799" w14:textId="484F81CF"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5</w:t>
            </w:r>
          </w:p>
        </w:tc>
        <w:tc>
          <w:tcPr>
            <w:tcW w:w="3699" w:type="dxa"/>
            <w:tcBorders>
              <w:top w:val="none" w:sz="0" w:space="0" w:color="auto"/>
              <w:left w:val="none" w:sz="0" w:space="0" w:color="auto"/>
              <w:bottom w:val="none" w:sz="0" w:space="0" w:color="auto"/>
              <w:right w:val="none" w:sz="0" w:space="0" w:color="auto"/>
            </w:tcBorders>
          </w:tcPr>
          <w:p w14:paraId="58E74E30" w14:textId="2222F945" w:rsidR="0085004E" w:rsidRPr="00BC0F97" w:rsidRDefault="00BC0F97" w:rsidP="00BC0F97">
            <w:pPr>
              <w:pStyle w:val="TableLeftText"/>
              <w:jc w:val="center"/>
              <w:cnfStyle w:val="000000010000" w:firstRow="0" w:lastRow="0" w:firstColumn="0" w:lastColumn="0" w:oddVBand="0" w:evenVBand="0" w:oddHBand="0" w:evenHBand="1" w:firstRowFirstColumn="0" w:firstRowLastColumn="0" w:lastRowFirstColumn="0" w:lastRowLastColumn="0"/>
            </w:pPr>
            <w:r>
              <w:t>5%</w:t>
            </w:r>
          </w:p>
        </w:tc>
      </w:tr>
      <w:tr w:rsidR="006143A7" w14:paraId="6DF108F7"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B7F83FD" w14:textId="0F5EC893" w:rsidR="006143A7" w:rsidRPr="00BC0F97" w:rsidRDefault="006143A7" w:rsidP="007F2D66">
            <w:pPr>
              <w:pStyle w:val="TableLeftText"/>
            </w:pPr>
            <w:r w:rsidRPr="00BC0F97">
              <w:t>Ally 1</w:t>
            </w:r>
            <w:r>
              <w:t>2</w:t>
            </w:r>
          </w:p>
        </w:tc>
        <w:tc>
          <w:tcPr>
            <w:tcW w:w="3699" w:type="dxa"/>
            <w:tcBorders>
              <w:top w:val="none" w:sz="0" w:space="0" w:color="auto"/>
              <w:left w:val="none" w:sz="0" w:space="0" w:color="auto"/>
              <w:bottom w:val="none" w:sz="0" w:space="0" w:color="auto"/>
              <w:right w:val="none" w:sz="0" w:space="0" w:color="auto"/>
            </w:tcBorders>
          </w:tcPr>
          <w:p w14:paraId="45F75B33" w14:textId="307A57F4" w:rsidR="006143A7" w:rsidRDefault="006143A7" w:rsidP="00BC0F97">
            <w:pPr>
              <w:pStyle w:val="TableLeftText"/>
              <w:jc w:val="center"/>
              <w:cnfStyle w:val="000000100000" w:firstRow="0" w:lastRow="0" w:firstColumn="0" w:lastColumn="0" w:oddVBand="0" w:evenVBand="0" w:oddHBand="1" w:evenHBand="0" w:firstRowFirstColumn="0" w:firstRowLastColumn="0" w:lastRowFirstColumn="0" w:lastRowLastColumn="0"/>
            </w:pPr>
            <w:r>
              <w:t>3</w:t>
            </w:r>
          </w:p>
        </w:tc>
        <w:tc>
          <w:tcPr>
            <w:tcW w:w="3699" w:type="dxa"/>
            <w:tcBorders>
              <w:top w:val="none" w:sz="0" w:space="0" w:color="auto"/>
              <w:left w:val="none" w:sz="0" w:space="0" w:color="auto"/>
              <w:bottom w:val="none" w:sz="0" w:space="0" w:color="auto"/>
              <w:right w:val="none" w:sz="0" w:space="0" w:color="auto"/>
            </w:tcBorders>
          </w:tcPr>
          <w:p w14:paraId="3D7288A5" w14:textId="69011BFD" w:rsidR="006143A7" w:rsidRDefault="006143A7" w:rsidP="00BC0F97">
            <w:pPr>
              <w:pStyle w:val="TableLeftText"/>
              <w:jc w:val="center"/>
              <w:cnfStyle w:val="000000100000" w:firstRow="0" w:lastRow="0" w:firstColumn="0" w:lastColumn="0" w:oddVBand="0" w:evenVBand="0" w:oddHBand="1" w:evenHBand="0" w:firstRowFirstColumn="0" w:firstRowLastColumn="0" w:lastRowFirstColumn="0" w:lastRowLastColumn="0"/>
            </w:pPr>
            <w:r>
              <w:t>3%</w:t>
            </w:r>
          </w:p>
        </w:tc>
      </w:tr>
      <w:tr w:rsidR="006143A7" w14:paraId="5CE059F3"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5F7B71E" w14:textId="60E5AA22" w:rsidR="006143A7" w:rsidRPr="00BC0F97" w:rsidRDefault="006143A7" w:rsidP="007F2D66">
            <w:pPr>
              <w:pStyle w:val="TableLeftText"/>
            </w:pPr>
            <w:r w:rsidRPr="00BC0F97">
              <w:t>Ally 1</w:t>
            </w:r>
            <w:r>
              <w:t>3</w:t>
            </w:r>
          </w:p>
        </w:tc>
        <w:tc>
          <w:tcPr>
            <w:tcW w:w="3699" w:type="dxa"/>
            <w:tcBorders>
              <w:top w:val="none" w:sz="0" w:space="0" w:color="auto"/>
              <w:left w:val="none" w:sz="0" w:space="0" w:color="auto"/>
              <w:bottom w:val="none" w:sz="0" w:space="0" w:color="auto"/>
              <w:right w:val="none" w:sz="0" w:space="0" w:color="auto"/>
            </w:tcBorders>
          </w:tcPr>
          <w:p w14:paraId="1B38CB0C" w14:textId="608CFC1D" w:rsidR="006143A7" w:rsidRDefault="006143A7" w:rsidP="00BC0F97">
            <w:pPr>
              <w:pStyle w:val="TableLeftText"/>
              <w:jc w:val="center"/>
              <w:cnfStyle w:val="000000010000" w:firstRow="0" w:lastRow="0" w:firstColumn="0" w:lastColumn="0" w:oddVBand="0" w:evenVBand="0" w:oddHBand="0" w:evenHBand="1" w:firstRowFirstColumn="0" w:firstRowLastColumn="0" w:lastRowFirstColumn="0" w:lastRowLastColumn="0"/>
            </w:pPr>
            <w:r>
              <w:t>3</w:t>
            </w:r>
          </w:p>
        </w:tc>
        <w:tc>
          <w:tcPr>
            <w:tcW w:w="3699" w:type="dxa"/>
            <w:tcBorders>
              <w:top w:val="none" w:sz="0" w:space="0" w:color="auto"/>
              <w:left w:val="none" w:sz="0" w:space="0" w:color="auto"/>
              <w:bottom w:val="none" w:sz="0" w:space="0" w:color="auto"/>
              <w:right w:val="none" w:sz="0" w:space="0" w:color="auto"/>
            </w:tcBorders>
          </w:tcPr>
          <w:p w14:paraId="6CD25A55" w14:textId="66FCF51D" w:rsidR="006143A7" w:rsidRDefault="006143A7" w:rsidP="00BC0F97">
            <w:pPr>
              <w:pStyle w:val="TableLeftText"/>
              <w:jc w:val="center"/>
              <w:cnfStyle w:val="000000010000" w:firstRow="0" w:lastRow="0" w:firstColumn="0" w:lastColumn="0" w:oddVBand="0" w:evenVBand="0" w:oddHBand="0" w:evenHBand="1" w:firstRowFirstColumn="0" w:firstRowLastColumn="0" w:lastRowFirstColumn="0" w:lastRowLastColumn="0"/>
            </w:pPr>
            <w:r>
              <w:t>3%</w:t>
            </w:r>
          </w:p>
        </w:tc>
      </w:tr>
      <w:tr w:rsidR="00DD206A" w14:paraId="0D111645"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3"/>
            <w:tcBorders>
              <w:top w:val="none" w:sz="0" w:space="0" w:color="auto"/>
              <w:left w:val="none" w:sz="0" w:space="0" w:color="auto"/>
              <w:bottom w:val="none" w:sz="0" w:space="0" w:color="auto"/>
              <w:right w:val="none" w:sz="0" w:space="0" w:color="auto"/>
            </w:tcBorders>
            <w:shd w:val="clear" w:color="auto" w:fill="00B0F0"/>
          </w:tcPr>
          <w:p w14:paraId="4451B171" w14:textId="0B9C208C" w:rsidR="00DD206A" w:rsidRPr="00DD206A" w:rsidRDefault="00DD206A" w:rsidP="007F2D66">
            <w:pPr>
              <w:rPr>
                <w:rFonts w:asciiTheme="majorHAnsi" w:hAnsiTheme="majorHAnsi"/>
                <w:color w:val="FFFFFF" w:themeColor="background1"/>
              </w:rPr>
            </w:pPr>
            <w:r w:rsidRPr="00DD206A">
              <w:rPr>
                <w:rFonts w:asciiTheme="majorHAnsi" w:hAnsiTheme="majorHAnsi"/>
                <w:color w:val="FFFFFF" w:themeColor="background1"/>
              </w:rPr>
              <w:t>STRR (n=</w:t>
            </w:r>
            <w:r w:rsidR="00FD7493">
              <w:rPr>
                <w:rFonts w:asciiTheme="majorHAnsi" w:hAnsiTheme="majorHAnsi"/>
                <w:color w:val="FFFFFF" w:themeColor="background1"/>
              </w:rPr>
              <w:t>58</w:t>
            </w:r>
            <w:r w:rsidRPr="00DD206A">
              <w:rPr>
                <w:rFonts w:asciiTheme="majorHAnsi" w:hAnsiTheme="majorHAnsi"/>
                <w:color w:val="FFFFFF" w:themeColor="background1"/>
              </w:rPr>
              <w:t>)</w:t>
            </w:r>
          </w:p>
        </w:tc>
      </w:tr>
      <w:tr w:rsidR="00DD206A" w14:paraId="5E62347C"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54CBA2A" w14:textId="4595F0F7" w:rsidR="00DD206A" w:rsidRPr="00DD206A" w:rsidRDefault="00FD7493" w:rsidP="007F2D66">
            <w:pPr>
              <w:pStyle w:val="TableLeftText"/>
            </w:pPr>
            <w:r>
              <w:t xml:space="preserve">Ally </w:t>
            </w:r>
            <w:r w:rsidR="006143A7">
              <w:t>6</w:t>
            </w:r>
          </w:p>
        </w:tc>
        <w:tc>
          <w:tcPr>
            <w:tcW w:w="3699" w:type="dxa"/>
            <w:tcBorders>
              <w:top w:val="none" w:sz="0" w:space="0" w:color="auto"/>
              <w:left w:val="none" w:sz="0" w:space="0" w:color="auto"/>
              <w:bottom w:val="none" w:sz="0" w:space="0" w:color="auto"/>
              <w:right w:val="none" w:sz="0" w:space="0" w:color="auto"/>
            </w:tcBorders>
          </w:tcPr>
          <w:p w14:paraId="0B8EABC9" w14:textId="0FAC8259" w:rsidR="00DD206A" w:rsidRPr="00DD206A" w:rsidRDefault="00FD7493" w:rsidP="00FD7493">
            <w:pPr>
              <w:pStyle w:val="TableLeftText"/>
              <w:jc w:val="center"/>
              <w:cnfStyle w:val="000000010000" w:firstRow="0" w:lastRow="0" w:firstColumn="0" w:lastColumn="0" w:oddVBand="0" w:evenVBand="0" w:oddHBand="0" w:evenHBand="1" w:firstRowFirstColumn="0" w:firstRowLastColumn="0" w:lastRowFirstColumn="0" w:lastRowLastColumn="0"/>
            </w:pPr>
            <w:r>
              <w:t>45</w:t>
            </w:r>
          </w:p>
        </w:tc>
        <w:tc>
          <w:tcPr>
            <w:tcW w:w="3699" w:type="dxa"/>
            <w:tcBorders>
              <w:top w:val="none" w:sz="0" w:space="0" w:color="auto"/>
              <w:left w:val="none" w:sz="0" w:space="0" w:color="auto"/>
              <w:bottom w:val="none" w:sz="0" w:space="0" w:color="auto"/>
              <w:right w:val="none" w:sz="0" w:space="0" w:color="auto"/>
            </w:tcBorders>
          </w:tcPr>
          <w:p w14:paraId="1B4FC5C1" w14:textId="02CF6E7D" w:rsidR="00DD206A" w:rsidRPr="00DD206A" w:rsidRDefault="00FD7493" w:rsidP="00FD7493">
            <w:pPr>
              <w:pStyle w:val="TableLeftText"/>
              <w:jc w:val="center"/>
              <w:cnfStyle w:val="000000010000" w:firstRow="0" w:lastRow="0" w:firstColumn="0" w:lastColumn="0" w:oddVBand="0" w:evenVBand="0" w:oddHBand="0" w:evenHBand="1" w:firstRowFirstColumn="0" w:firstRowLastColumn="0" w:lastRowFirstColumn="0" w:lastRowLastColumn="0"/>
            </w:pPr>
            <w:r>
              <w:t>78%</w:t>
            </w:r>
          </w:p>
        </w:tc>
      </w:tr>
      <w:tr w:rsidR="00DD206A" w:rsidRPr="00DD206A" w14:paraId="0C6189F1"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C347E14" w14:textId="16A6A774" w:rsidR="00DD206A" w:rsidRPr="00DD206A" w:rsidRDefault="00FD7493" w:rsidP="007F2D66">
            <w:pPr>
              <w:pStyle w:val="TableLeftText"/>
            </w:pPr>
            <w:r>
              <w:t>Ally 1</w:t>
            </w:r>
            <w:r w:rsidR="006143A7">
              <w:t>4</w:t>
            </w:r>
          </w:p>
        </w:tc>
        <w:tc>
          <w:tcPr>
            <w:tcW w:w="3699" w:type="dxa"/>
            <w:tcBorders>
              <w:top w:val="none" w:sz="0" w:space="0" w:color="auto"/>
              <w:left w:val="none" w:sz="0" w:space="0" w:color="auto"/>
              <w:bottom w:val="none" w:sz="0" w:space="0" w:color="auto"/>
              <w:right w:val="none" w:sz="0" w:space="0" w:color="auto"/>
            </w:tcBorders>
          </w:tcPr>
          <w:p w14:paraId="74D5918A" w14:textId="4AF28772" w:rsidR="00DD206A" w:rsidRPr="00DD206A" w:rsidRDefault="00FD7493" w:rsidP="00FD7493">
            <w:pPr>
              <w:pStyle w:val="TableLeftText"/>
              <w:jc w:val="center"/>
              <w:cnfStyle w:val="000000100000" w:firstRow="0" w:lastRow="0" w:firstColumn="0" w:lastColumn="0" w:oddVBand="0" w:evenVBand="0" w:oddHBand="1" w:evenHBand="0" w:firstRowFirstColumn="0" w:firstRowLastColumn="0" w:lastRowFirstColumn="0" w:lastRowLastColumn="0"/>
            </w:pPr>
            <w:r>
              <w:t>3</w:t>
            </w:r>
          </w:p>
        </w:tc>
        <w:tc>
          <w:tcPr>
            <w:tcW w:w="3699" w:type="dxa"/>
            <w:tcBorders>
              <w:top w:val="none" w:sz="0" w:space="0" w:color="auto"/>
              <w:left w:val="none" w:sz="0" w:space="0" w:color="auto"/>
              <w:bottom w:val="none" w:sz="0" w:space="0" w:color="auto"/>
              <w:right w:val="none" w:sz="0" w:space="0" w:color="auto"/>
            </w:tcBorders>
          </w:tcPr>
          <w:p w14:paraId="403D57E4" w14:textId="08C523E1" w:rsidR="00DD206A" w:rsidRPr="00DD206A" w:rsidRDefault="00FD7493" w:rsidP="00FD7493">
            <w:pPr>
              <w:pStyle w:val="TableLeftText"/>
              <w:jc w:val="center"/>
              <w:cnfStyle w:val="000000100000" w:firstRow="0" w:lastRow="0" w:firstColumn="0" w:lastColumn="0" w:oddVBand="0" w:evenVBand="0" w:oddHBand="1" w:evenHBand="0" w:firstRowFirstColumn="0" w:firstRowLastColumn="0" w:lastRowFirstColumn="0" w:lastRowLastColumn="0"/>
            </w:pPr>
            <w:r>
              <w:t>5%</w:t>
            </w:r>
          </w:p>
        </w:tc>
      </w:tr>
      <w:tr w:rsidR="00DD206A" w:rsidRPr="00DD206A" w14:paraId="7EF60CB8"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F7B7B11" w14:textId="59AA242B" w:rsidR="00DD206A" w:rsidRPr="00DD206A" w:rsidRDefault="00FD7493" w:rsidP="007F2D66">
            <w:pPr>
              <w:pStyle w:val="TableLeftText"/>
            </w:pPr>
            <w:r>
              <w:t>Ally 1</w:t>
            </w:r>
            <w:r w:rsidR="006143A7">
              <w:t>5</w:t>
            </w:r>
          </w:p>
        </w:tc>
        <w:tc>
          <w:tcPr>
            <w:tcW w:w="3699" w:type="dxa"/>
            <w:tcBorders>
              <w:top w:val="none" w:sz="0" w:space="0" w:color="auto"/>
              <w:left w:val="none" w:sz="0" w:space="0" w:color="auto"/>
              <w:bottom w:val="none" w:sz="0" w:space="0" w:color="auto"/>
              <w:right w:val="none" w:sz="0" w:space="0" w:color="auto"/>
            </w:tcBorders>
          </w:tcPr>
          <w:p w14:paraId="2F2CFF49" w14:textId="1CCF5D2C" w:rsidR="00DD206A" w:rsidRPr="00DD206A" w:rsidRDefault="00FD7493" w:rsidP="00FD7493">
            <w:pPr>
              <w:pStyle w:val="TableLeftText"/>
              <w:jc w:val="center"/>
              <w:cnfStyle w:val="000000010000" w:firstRow="0" w:lastRow="0" w:firstColumn="0" w:lastColumn="0" w:oddVBand="0" w:evenVBand="0" w:oddHBand="0" w:evenHBand="1" w:firstRowFirstColumn="0" w:firstRowLastColumn="0" w:lastRowFirstColumn="0" w:lastRowLastColumn="0"/>
            </w:pPr>
            <w:r>
              <w:t>2</w:t>
            </w:r>
          </w:p>
        </w:tc>
        <w:tc>
          <w:tcPr>
            <w:tcW w:w="3699" w:type="dxa"/>
            <w:tcBorders>
              <w:top w:val="none" w:sz="0" w:space="0" w:color="auto"/>
              <w:left w:val="none" w:sz="0" w:space="0" w:color="auto"/>
              <w:bottom w:val="none" w:sz="0" w:space="0" w:color="auto"/>
              <w:right w:val="none" w:sz="0" w:space="0" w:color="auto"/>
            </w:tcBorders>
          </w:tcPr>
          <w:p w14:paraId="6C4A71A1" w14:textId="693FABFA" w:rsidR="00DD206A" w:rsidRPr="00DD206A" w:rsidRDefault="00FD7493" w:rsidP="00FD7493">
            <w:pPr>
              <w:pStyle w:val="TableLeftText"/>
              <w:jc w:val="center"/>
              <w:cnfStyle w:val="000000010000" w:firstRow="0" w:lastRow="0" w:firstColumn="0" w:lastColumn="0" w:oddVBand="0" w:evenVBand="0" w:oddHBand="0" w:evenHBand="1" w:firstRowFirstColumn="0" w:firstRowLastColumn="0" w:lastRowFirstColumn="0" w:lastRowLastColumn="0"/>
            </w:pPr>
            <w:r>
              <w:t>3%</w:t>
            </w:r>
          </w:p>
        </w:tc>
      </w:tr>
      <w:tr w:rsidR="00DD206A" w:rsidRPr="00DD206A" w14:paraId="34E7E2D1"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356D4EC6" w14:textId="07671E06" w:rsidR="00DD206A" w:rsidRPr="00DD206A" w:rsidRDefault="00FD7493" w:rsidP="007F2D66">
            <w:pPr>
              <w:pStyle w:val="TableLeftText"/>
            </w:pPr>
            <w:r>
              <w:t xml:space="preserve">Ally </w:t>
            </w:r>
            <w:r w:rsidR="006143A7">
              <w:t>9</w:t>
            </w:r>
          </w:p>
        </w:tc>
        <w:tc>
          <w:tcPr>
            <w:tcW w:w="3699" w:type="dxa"/>
            <w:tcBorders>
              <w:top w:val="none" w:sz="0" w:space="0" w:color="auto"/>
              <w:left w:val="none" w:sz="0" w:space="0" w:color="auto"/>
              <w:bottom w:val="none" w:sz="0" w:space="0" w:color="auto"/>
              <w:right w:val="none" w:sz="0" w:space="0" w:color="auto"/>
            </w:tcBorders>
          </w:tcPr>
          <w:p w14:paraId="3D73DDA4" w14:textId="3D07FEA1" w:rsidR="00DD206A" w:rsidRPr="00DD206A" w:rsidRDefault="00FD7493" w:rsidP="00FD7493">
            <w:pPr>
              <w:pStyle w:val="TableLeftText"/>
              <w:jc w:val="center"/>
              <w:cnfStyle w:val="000000100000" w:firstRow="0" w:lastRow="0" w:firstColumn="0" w:lastColumn="0" w:oddVBand="0" w:evenVBand="0" w:oddHBand="1" w:evenHBand="0" w:firstRowFirstColumn="0" w:firstRowLastColumn="0" w:lastRowFirstColumn="0" w:lastRowLastColumn="0"/>
            </w:pPr>
            <w:r>
              <w:t>2</w:t>
            </w:r>
          </w:p>
        </w:tc>
        <w:tc>
          <w:tcPr>
            <w:tcW w:w="3699" w:type="dxa"/>
            <w:tcBorders>
              <w:top w:val="none" w:sz="0" w:space="0" w:color="auto"/>
              <w:left w:val="none" w:sz="0" w:space="0" w:color="auto"/>
              <w:bottom w:val="none" w:sz="0" w:space="0" w:color="auto"/>
              <w:right w:val="none" w:sz="0" w:space="0" w:color="auto"/>
            </w:tcBorders>
          </w:tcPr>
          <w:p w14:paraId="210AC302" w14:textId="32D63B07" w:rsidR="00DD206A" w:rsidRPr="00DD206A" w:rsidRDefault="00FD7493" w:rsidP="00FD7493">
            <w:pPr>
              <w:pStyle w:val="TableLeftText"/>
              <w:jc w:val="center"/>
              <w:cnfStyle w:val="000000100000" w:firstRow="0" w:lastRow="0" w:firstColumn="0" w:lastColumn="0" w:oddVBand="0" w:evenVBand="0" w:oddHBand="1" w:evenHBand="0" w:firstRowFirstColumn="0" w:firstRowLastColumn="0" w:lastRowFirstColumn="0" w:lastRowLastColumn="0"/>
            </w:pPr>
            <w:r>
              <w:t>3%</w:t>
            </w:r>
          </w:p>
        </w:tc>
      </w:tr>
      <w:tr w:rsidR="00DD206A" w:rsidRPr="00DD206A" w14:paraId="1CDE73A0"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096" w:type="dxa"/>
            <w:gridSpan w:val="3"/>
            <w:tcBorders>
              <w:top w:val="none" w:sz="0" w:space="0" w:color="auto"/>
              <w:left w:val="none" w:sz="0" w:space="0" w:color="auto"/>
              <w:bottom w:val="none" w:sz="0" w:space="0" w:color="auto"/>
              <w:right w:val="none" w:sz="0" w:space="0" w:color="auto"/>
            </w:tcBorders>
            <w:shd w:val="clear" w:color="auto" w:fill="00B0F0"/>
          </w:tcPr>
          <w:p w14:paraId="78E5A456" w14:textId="2E4E95A2" w:rsidR="00DD206A" w:rsidRPr="00DD206A" w:rsidRDefault="00DD206A" w:rsidP="007F2D66">
            <w:pPr>
              <w:rPr>
                <w:rFonts w:asciiTheme="majorHAnsi" w:hAnsiTheme="majorHAnsi"/>
                <w:color w:val="FFFFFF" w:themeColor="background1"/>
              </w:rPr>
            </w:pPr>
            <w:r>
              <w:rPr>
                <w:rFonts w:asciiTheme="majorHAnsi" w:hAnsiTheme="majorHAnsi"/>
                <w:color w:val="FFFFFF" w:themeColor="background1"/>
              </w:rPr>
              <w:t>VFDs (n=</w:t>
            </w:r>
            <w:r w:rsidR="00FD7493">
              <w:rPr>
                <w:rFonts w:asciiTheme="majorHAnsi" w:hAnsiTheme="majorHAnsi"/>
                <w:color w:val="FFFFFF" w:themeColor="background1"/>
              </w:rPr>
              <w:t>48</w:t>
            </w:r>
            <w:r>
              <w:rPr>
                <w:rFonts w:asciiTheme="majorHAnsi" w:hAnsiTheme="majorHAnsi"/>
                <w:color w:val="FFFFFF" w:themeColor="background1"/>
              </w:rPr>
              <w:t>)</w:t>
            </w:r>
          </w:p>
        </w:tc>
      </w:tr>
      <w:tr w:rsidR="00FD7493" w:rsidRPr="00DD206A" w14:paraId="34EB26CA" w14:textId="77777777" w:rsidTr="007F2D66">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34597993" w14:textId="312198DD" w:rsidR="00FD7493" w:rsidRDefault="00FD7493" w:rsidP="007F2D66">
            <w:pPr>
              <w:rPr>
                <w:rFonts w:asciiTheme="majorHAnsi" w:hAnsiTheme="majorHAnsi"/>
                <w:color w:val="FFFFFF" w:themeColor="background1"/>
              </w:rPr>
            </w:pPr>
            <w:r>
              <w:t>Ally 1</w:t>
            </w:r>
            <w:r w:rsidR="006143A7">
              <w:t>6</w:t>
            </w:r>
          </w:p>
        </w:tc>
        <w:tc>
          <w:tcPr>
            <w:tcW w:w="3699" w:type="dxa"/>
            <w:tcBorders>
              <w:top w:val="none" w:sz="0" w:space="0" w:color="auto"/>
              <w:left w:val="none" w:sz="0" w:space="0" w:color="auto"/>
              <w:bottom w:val="none" w:sz="0" w:space="0" w:color="auto"/>
              <w:right w:val="none" w:sz="0" w:space="0" w:color="auto"/>
            </w:tcBorders>
          </w:tcPr>
          <w:p w14:paraId="6799DEA2" w14:textId="340F49A8" w:rsidR="00FD7493" w:rsidRDefault="00FD7493" w:rsidP="00FD749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t>4</w:t>
            </w:r>
          </w:p>
        </w:tc>
        <w:tc>
          <w:tcPr>
            <w:tcW w:w="3699" w:type="dxa"/>
            <w:tcBorders>
              <w:top w:val="none" w:sz="0" w:space="0" w:color="auto"/>
              <w:left w:val="none" w:sz="0" w:space="0" w:color="auto"/>
              <w:bottom w:val="none" w:sz="0" w:space="0" w:color="auto"/>
              <w:right w:val="none" w:sz="0" w:space="0" w:color="auto"/>
            </w:tcBorders>
          </w:tcPr>
          <w:p w14:paraId="28753E7E" w14:textId="49897923" w:rsidR="00FD7493" w:rsidRDefault="00FD7493" w:rsidP="00FD749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FFFFFF" w:themeColor="background1"/>
              </w:rPr>
            </w:pPr>
            <w:r>
              <w:t>8%</w:t>
            </w:r>
          </w:p>
        </w:tc>
      </w:tr>
      <w:tr w:rsidR="00FD7493" w:rsidRPr="00DD206A" w14:paraId="7C4CE584" w14:textId="77777777" w:rsidTr="007F2D66">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37728053" w14:textId="1386ABD2" w:rsidR="00FD7493" w:rsidRDefault="00FD7493" w:rsidP="007F2D66">
            <w:pPr>
              <w:rPr>
                <w:rFonts w:asciiTheme="majorHAnsi" w:hAnsiTheme="majorHAnsi"/>
                <w:color w:val="FFFFFF" w:themeColor="background1"/>
              </w:rPr>
            </w:pPr>
            <w:r>
              <w:t>Ally 1</w:t>
            </w:r>
            <w:r w:rsidR="006143A7">
              <w:t>7</w:t>
            </w:r>
          </w:p>
        </w:tc>
        <w:tc>
          <w:tcPr>
            <w:tcW w:w="3699" w:type="dxa"/>
            <w:tcBorders>
              <w:top w:val="none" w:sz="0" w:space="0" w:color="auto"/>
              <w:left w:val="none" w:sz="0" w:space="0" w:color="auto"/>
              <w:bottom w:val="none" w:sz="0" w:space="0" w:color="auto"/>
              <w:right w:val="none" w:sz="0" w:space="0" w:color="auto"/>
            </w:tcBorders>
          </w:tcPr>
          <w:p w14:paraId="3EB1C040" w14:textId="24B4994D" w:rsidR="00FD7493" w:rsidRDefault="00FD7493" w:rsidP="00FD749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FFFFFF" w:themeColor="background1"/>
              </w:rPr>
            </w:pPr>
            <w:r>
              <w:t>3</w:t>
            </w:r>
          </w:p>
        </w:tc>
        <w:tc>
          <w:tcPr>
            <w:tcW w:w="3699" w:type="dxa"/>
            <w:tcBorders>
              <w:top w:val="none" w:sz="0" w:space="0" w:color="auto"/>
              <w:left w:val="none" w:sz="0" w:space="0" w:color="auto"/>
              <w:bottom w:val="none" w:sz="0" w:space="0" w:color="auto"/>
              <w:right w:val="none" w:sz="0" w:space="0" w:color="auto"/>
            </w:tcBorders>
          </w:tcPr>
          <w:p w14:paraId="442937C2" w14:textId="3F69DC44" w:rsidR="00FD7493" w:rsidRDefault="00FD7493" w:rsidP="00FD749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color w:val="FFFFFF" w:themeColor="background1"/>
              </w:rPr>
            </w:pPr>
            <w:r>
              <w:t>6%</w:t>
            </w:r>
          </w:p>
        </w:tc>
      </w:tr>
    </w:tbl>
    <w:p w14:paraId="20ED81BA" w14:textId="77D28DBA" w:rsidR="002E7602" w:rsidRDefault="002E7602" w:rsidP="002E7602">
      <w:pPr>
        <w:pStyle w:val="Heading4"/>
      </w:pPr>
      <w:r>
        <w:t>Savings Detail</w:t>
      </w:r>
    </w:p>
    <w:p w14:paraId="36E799A9" w14:textId="4BB7B083" w:rsidR="00EE3D49" w:rsidRDefault="00EE3D49" w:rsidP="00D2764E">
      <w:pPr>
        <w:pStyle w:val="NoSpacing"/>
      </w:pPr>
      <w:r>
        <w:fldChar w:fldCharType="begin"/>
      </w:r>
      <w:r>
        <w:instrText xml:space="preserve"> REF _Ref187234799 \h </w:instrText>
      </w:r>
      <w:r w:rsidR="00D2764E">
        <w:instrText xml:space="preserve"> \* MERGEFORMAT </w:instrText>
      </w:r>
      <w:r>
        <w:fldChar w:fldCharType="separate"/>
      </w:r>
      <w:r w:rsidR="00AA10F4">
        <w:t xml:space="preserve">Table </w:t>
      </w:r>
      <w:r w:rsidR="00AA10F4">
        <w:rPr>
          <w:noProof/>
        </w:rPr>
        <w:t>9</w:t>
      </w:r>
      <w:r>
        <w:fldChar w:fldCharType="end"/>
      </w:r>
      <w:r>
        <w:t xml:space="preserve"> </w:t>
      </w:r>
      <w:r w:rsidRPr="00EE3D49">
        <w:t>presents the ex ante, verified gross, and verified net electric energy savings achieved through the Standard Core channel in 2024.</w:t>
      </w:r>
      <w:r w:rsidR="007949A8">
        <w:t xml:space="preserve"> </w:t>
      </w:r>
      <w:r w:rsidR="007949A8" w:rsidRPr="007949A8">
        <w:t>The channel achieved a 97%</w:t>
      </w:r>
      <w:r w:rsidR="00E16AD5">
        <w:t xml:space="preserve"> gross</w:t>
      </w:r>
      <w:r w:rsidR="007949A8" w:rsidRPr="007949A8">
        <w:t xml:space="preserve"> realization rate</w:t>
      </w:r>
      <w:r w:rsidR="00E16AD5">
        <w:t xml:space="preserve"> for electric energy</w:t>
      </w:r>
      <w:r w:rsidR="007949A8" w:rsidRPr="007949A8">
        <w:t xml:space="preserve">. The Standard Core channel experienced more than a doubling of verified net electric energy savings in 2024 compared to 2023, led by the SLB and VFD offerings. In line with historical contributions, the SLB offering represented the majority of verified net energy savings at 72%. While the SLB offering had a 45% increase in participation in 2024, the offering also achieved more savings per project in 2024 (100 MWh/project) than in 2023 (53 MWh/project), which drove the 135% increase in savings for the offering. The VFDs offering accounted for 20% of verified net electric energy savings in 2024 and achieved a 159% increase in savings </w:t>
      </w:r>
      <w:r w:rsidR="001B0CEC">
        <w:t xml:space="preserve">compared to 2023, </w:t>
      </w:r>
      <w:r w:rsidR="00286D4F">
        <w:t>largely due</w:t>
      </w:r>
      <w:r w:rsidR="007949A8" w:rsidRPr="007949A8">
        <w:t xml:space="preserve"> to a 129% increase in participation. The other three offerings saw modest changes in contributions </w:t>
      </w:r>
      <w:r w:rsidR="001B0CEC">
        <w:t>compared</w:t>
      </w:r>
      <w:r w:rsidR="007949A8" w:rsidRPr="007949A8">
        <w:t xml:space="preserve"> to 2023: </w:t>
      </w:r>
      <w:r w:rsidR="00286D4F">
        <w:t xml:space="preserve">(1) </w:t>
      </w:r>
      <w:r w:rsidR="007949A8" w:rsidRPr="007949A8">
        <w:t xml:space="preserve">the SE offering experienced a 10% decrease in verified net savings compared to 2023 and contributed 5% towards the channel’s total savings in 2024; </w:t>
      </w:r>
      <w:r w:rsidR="00286D4F">
        <w:t xml:space="preserve">(2) </w:t>
      </w:r>
      <w:r w:rsidR="007949A8" w:rsidRPr="007949A8">
        <w:t xml:space="preserve">HVAC experienced a less than 1% drop in savings compared to 2023 and contributed 3% to total channel savings; and </w:t>
      </w:r>
      <w:r w:rsidR="00286D4F">
        <w:t xml:space="preserve">(3) </w:t>
      </w:r>
      <w:r w:rsidR="007949A8" w:rsidRPr="007949A8">
        <w:t xml:space="preserve">STRR increased by 11% and contributed less than 1% to the channel total. </w:t>
      </w:r>
    </w:p>
    <w:p w14:paraId="73CCAEED" w14:textId="00611D69" w:rsidR="00EE3D49" w:rsidRDefault="00EE3D49" w:rsidP="00881B1B">
      <w:pPr>
        <w:pStyle w:val="Caption"/>
      </w:pPr>
      <w:bookmarkStart w:id="63" w:name="_Ref187234799"/>
      <w:bookmarkStart w:id="64" w:name="_Toc191992530"/>
      <w:bookmarkStart w:id="65" w:name="_Toc192766943"/>
      <w:r>
        <w:t xml:space="preserve">Table </w:t>
      </w:r>
      <w:r w:rsidR="009B4C9A">
        <w:fldChar w:fldCharType="begin"/>
      </w:r>
      <w:r w:rsidR="009B4C9A">
        <w:instrText xml:space="preserve"> SEQ Table \* ARABIC </w:instrText>
      </w:r>
      <w:r w:rsidR="009B4C9A">
        <w:fldChar w:fldCharType="separate"/>
      </w:r>
      <w:r w:rsidR="00AA10F4">
        <w:rPr>
          <w:noProof/>
        </w:rPr>
        <w:t>9</w:t>
      </w:r>
      <w:r w:rsidR="009B4C9A">
        <w:rPr>
          <w:noProof/>
        </w:rPr>
        <w:fldChar w:fldCharType="end"/>
      </w:r>
      <w:bookmarkEnd w:id="63"/>
      <w:r>
        <w:t>. 2024 Standard Core Channel Electric Energy Savings by Measure</w:t>
      </w:r>
      <w:bookmarkEnd w:id="64"/>
      <w:bookmarkEnd w:id="6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EE3D49" w14:paraId="6281D0E9"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D14885E" w14:textId="176EB93D" w:rsidR="00EE3D49" w:rsidRDefault="00095BE3" w:rsidP="007F2D66">
            <w:pPr>
              <w:pStyle w:val="TableHeadingLeft"/>
            </w:pPr>
            <w:r>
              <w:t>Offering</w:t>
            </w:r>
          </w:p>
        </w:tc>
        <w:tc>
          <w:tcPr>
            <w:tcW w:w="1849" w:type="dxa"/>
            <w:tcBorders>
              <w:bottom w:val="none" w:sz="0" w:space="0" w:color="auto"/>
            </w:tcBorders>
          </w:tcPr>
          <w:p w14:paraId="07C049D4"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49" w:type="dxa"/>
            <w:tcBorders>
              <w:bottom w:val="none" w:sz="0" w:space="0" w:color="auto"/>
            </w:tcBorders>
          </w:tcPr>
          <w:p w14:paraId="76DD0F06"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19963E30"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850" w:type="dxa"/>
            <w:tcBorders>
              <w:bottom w:val="none" w:sz="0" w:space="0" w:color="auto"/>
            </w:tcBorders>
          </w:tcPr>
          <w:p w14:paraId="33DC6538"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2923EE83"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F8419C" w14:paraId="231F6536"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93852C3" w14:textId="3883965D" w:rsidR="00F8419C" w:rsidRDefault="00F8419C" w:rsidP="007F2D66">
            <w:pPr>
              <w:pStyle w:val="TableLeftText"/>
            </w:pPr>
            <w:r>
              <w:t>SLB</w:t>
            </w:r>
          </w:p>
        </w:tc>
        <w:tc>
          <w:tcPr>
            <w:tcW w:w="1849" w:type="dxa"/>
            <w:tcBorders>
              <w:top w:val="none" w:sz="0" w:space="0" w:color="auto"/>
              <w:left w:val="none" w:sz="0" w:space="0" w:color="auto"/>
              <w:bottom w:val="none" w:sz="0" w:space="0" w:color="auto"/>
              <w:right w:val="none" w:sz="0" w:space="0" w:color="auto"/>
            </w:tcBorders>
          </w:tcPr>
          <w:p w14:paraId="70CBCDB1" w14:textId="7C629FC5"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45,247</w:t>
            </w:r>
          </w:p>
        </w:tc>
        <w:tc>
          <w:tcPr>
            <w:tcW w:w="1849" w:type="dxa"/>
            <w:tcBorders>
              <w:top w:val="none" w:sz="0" w:space="0" w:color="auto"/>
              <w:left w:val="none" w:sz="0" w:space="0" w:color="auto"/>
              <w:bottom w:val="none" w:sz="0" w:space="0" w:color="auto"/>
              <w:right w:val="none" w:sz="0" w:space="0" w:color="auto"/>
            </w:tcBorders>
          </w:tcPr>
          <w:p w14:paraId="559EEABF" w14:textId="64D19C54"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4CA08D82" w14:textId="08B189F9"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45,248</w:t>
            </w:r>
          </w:p>
        </w:tc>
        <w:tc>
          <w:tcPr>
            <w:tcW w:w="1850" w:type="dxa"/>
            <w:tcBorders>
              <w:top w:val="none" w:sz="0" w:space="0" w:color="auto"/>
              <w:left w:val="none" w:sz="0" w:space="0" w:color="auto"/>
              <w:bottom w:val="none" w:sz="0" w:space="0" w:color="auto"/>
              <w:right w:val="none" w:sz="0" w:space="0" w:color="auto"/>
            </w:tcBorders>
          </w:tcPr>
          <w:p w14:paraId="46619230" w14:textId="05D00511"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0.907</w:t>
            </w:r>
          </w:p>
        </w:tc>
        <w:tc>
          <w:tcPr>
            <w:tcW w:w="1850" w:type="dxa"/>
            <w:tcBorders>
              <w:top w:val="none" w:sz="0" w:space="0" w:color="auto"/>
              <w:left w:val="none" w:sz="0" w:space="0" w:color="auto"/>
              <w:bottom w:val="none" w:sz="0" w:space="0" w:color="auto"/>
              <w:right w:val="none" w:sz="0" w:space="0" w:color="auto"/>
            </w:tcBorders>
          </w:tcPr>
          <w:p w14:paraId="28320CBD" w14:textId="14CC08CA"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41,051</w:t>
            </w:r>
          </w:p>
        </w:tc>
      </w:tr>
      <w:tr w:rsidR="00F8419C" w14:paraId="1CCEB920"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067A8517" w14:textId="5CA4F838" w:rsidR="00F8419C" w:rsidRDefault="00F8419C" w:rsidP="007F2D66">
            <w:pPr>
              <w:pStyle w:val="TableLeftText"/>
            </w:pPr>
            <w:r>
              <w:t>VFD</w:t>
            </w:r>
          </w:p>
        </w:tc>
        <w:tc>
          <w:tcPr>
            <w:tcW w:w="1849" w:type="dxa"/>
            <w:tcBorders>
              <w:top w:val="none" w:sz="0" w:space="0" w:color="auto"/>
              <w:left w:val="none" w:sz="0" w:space="0" w:color="auto"/>
              <w:bottom w:val="none" w:sz="0" w:space="0" w:color="auto"/>
              <w:right w:val="none" w:sz="0" w:space="0" w:color="auto"/>
            </w:tcBorders>
          </w:tcPr>
          <w:p w14:paraId="255066E0" w14:textId="476C7856"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14,046</w:t>
            </w:r>
          </w:p>
        </w:tc>
        <w:tc>
          <w:tcPr>
            <w:tcW w:w="1849" w:type="dxa"/>
            <w:tcBorders>
              <w:top w:val="none" w:sz="0" w:space="0" w:color="auto"/>
              <w:left w:val="none" w:sz="0" w:space="0" w:color="auto"/>
              <w:bottom w:val="none" w:sz="0" w:space="0" w:color="auto"/>
              <w:right w:val="none" w:sz="0" w:space="0" w:color="auto"/>
            </w:tcBorders>
          </w:tcPr>
          <w:p w14:paraId="1887569A" w14:textId="7792C8C7"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88%</w:t>
            </w:r>
          </w:p>
        </w:tc>
        <w:tc>
          <w:tcPr>
            <w:tcW w:w="1849" w:type="dxa"/>
            <w:tcBorders>
              <w:top w:val="none" w:sz="0" w:space="0" w:color="auto"/>
              <w:left w:val="none" w:sz="0" w:space="0" w:color="auto"/>
              <w:bottom w:val="none" w:sz="0" w:space="0" w:color="auto"/>
              <w:right w:val="none" w:sz="0" w:space="0" w:color="auto"/>
            </w:tcBorders>
          </w:tcPr>
          <w:p w14:paraId="1B120067" w14:textId="4D50E56B"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12,311</w:t>
            </w:r>
          </w:p>
        </w:tc>
        <w:tc>
          <w:tcPr>
            <w:tcW w:w="1850" w:type="dxa"/>
            <w:tcBorders>
              <w:top w:val="none" w:sz="0" w:space="0" w:color="auto"/>
              <w:left w:val="none" w:sz="0" w:space="0" w:color="auto"/>
              <w:bottom w:val="none" w:sz="0" w:space="0" w:color="auto"/>
              <w:right w:val="none" w:sz="0" w:space="0" w:color="auto"/>
            </w:tcBorders>
          </w:tcPr>
          <w:p w14:paraId="1CA63A93" w14:textId="059EEC1D"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0.912</w:t>
            </w:r>
          </w:p>
        </w:tc>
        <w:tc>
          <w:tcPr>
            <w:tcW w:w="1850" w:type="dxa"/>
            <w:tcBorders>
              <w:top w:val="none" w:sz="0" w:space="0" w:color="auto"/>
              <w:left w:val="none" w:sz="0" w:space="0" w:color="auto"/>
              <w:bottom w:val="none" w:sz="0" w:space="0" w:color="auto"/>
              <w:right w:val="none" w:sz="0" w:space="0" w:color="auto"/>
            </w:tcBorders>
          </w:tcPr>
          <w:p w14:paraId="3021D3FF" w14:textId="4A578945"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11,231</w:t>
            </w:r>
          </w:p>
        </w:tc>
      </w:tr>
      <w:tr w:rsidR="00F8419C" w14:paraId="3BDCBCB9"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1A0D226" w14:textId="2A982F7F" w:rsidR="00F8419C" w:rsidRDefault="00F8419C" w:rsidP="007F2D66">
            <w:pPr>
              <w:pStyle w:val="TableLeftText"/>
            </w:pPr>
            <w:r>
              <w:t>SE</w:t>
            </w:r>
          </w:p>
        </w:tc>
        <w:tc>
          <w:tcPr>
            <w:tcW w:w="1849" w:type="dxa"/>
            <w:tcBorders>
              <w:top w:val="none" w:sz="0" w:space="0" w:color="auto"/>
              <w:left w:val="none" w:sz="0" w:space="0" w:color="auto"/>
              <w:bottom w:val="none" w:sz="0" w:space="0" w:color="auto"/>
              <w:right w:val="none" w:sz="0" w:space="0" w:color="auto"/>
            </w:tcBorders>
          </w:tcPr>
          <w:p w14:paraId="51AAC742" w14:textId="1A1CF123"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2,925</w:t>
            </w:r>
          </w:p>
        </w:tc>
        <w:tc>
          <w:tcPr>
            <w:tcW w:w="1849" w:type="dxa"/>
            <w:tcBorders>
              <w:top w:val="none" w:sz="0" w:space="0" w:color="auto"/>
              <w:left w:val="none" w:sz="0" w:space="0" w:color="auto"/>
              <w:bottom w:val="none" w:sz="0" w:space="0" w:color="auto"/>
              <w:right w:val="none" w:sz="0" w:space="0" w:color="auto"/>
            </w:tcBorders>
          </w:tcPr>
          <w:p w14:paraId="1FAB0572" w14:textId="490E6241"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7EFCB16A" w14:textId="6844BF93"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2,916</w:t>
            </w:r>
          </w:p>
        </w:tc>
        <w:tc>
          <w:tcPr>
            <w:tcW w:w="1850" w:type="dxa"/>
            <w:tcBorders>
              <w:top w:val="none" w:sz="0" w:space="0" w:color="auto"/>
              <w:left w:val="none" w:sz="0" w:space="0" w:color="auto"/>
              <w:bottom w:val="none" w:sz="0" w:space="0" w:color="auto"/>
              <w:right w:val="none" w:sz="0" w:space="0" w:color="auto"/>
            </w:tcBorders>
          </w:tcPr>
          <w:p w14:paraId="3F2F28E4" w14:textId="465556FA"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0.929</w:t>
            </w:r>
          </w:p>
        </w:tc>
        <w:tc>
          <w:tcPr>
            <w:tcW w:w="1850" w:type="dxa"/>
            <w:tcBorders>
              <w:top w:val="none" w:sz="0" w:space="0" w:color="auto"/>
              <w:left w:val="none" w:sz="0" w:space="0" w:color="auto"/>
              <w:bottom w:val="none" w:sz="0" w:space="0" w:color="auto"/>
              <w:right w:val="none" w:sz="0" w:space="0" w:color="auto"/>
            </w:tcBorders>
          </w:tcPr>
          <w:p w14:paraId="0F409690" w14:textId="58081859" w:rsidR="00F8419C"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2,710</w:t>
            </w:r>
          </w:p>
        </w:tc>
      </w:tr>
      <w:tr w:rsidR="00F8419C" w14:paraId="28AD0148"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E40D7B5" w14:textId="0C4EE42A" w:rsidR="00F8419C" w:rsidRDefault="00F8419C" w:rsidP="007F2D66">
            <w:pPr>
              <w:pStyle w:val="TableLeftText"/>
            </w:pPr>
            <w:r>
              <w:t>HVAC</w:t>
            </w:r>
          </w:p>
        </w:tc>
        <w:tc>
          <w:tcPr>
            <w:tcW w:w="1849" w:type="dxa"/>
            <w:tcBorders>
              <w:top w:val="none" w:sz="0" w:space="0" w:color="auto"/>
              <w:left w:val="none" w:sz="0" w:space="0" w:color="auto"/>
              <w:bottom w:val="none" w:sz="0" w:space="0" w:color="auto"/>
              <w:right w:val="none" w:sz="0" w:space="0" w:color="auto"/>
            </w:tcBorders>
          </w:tcPr>
          <w:p w14:paraId="389FEDB5" w14:textId="5AFFA128"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2,408</w:t>
            </w:r>
          </w:p>
        </w:tc>
        <w:tc>
          <w:tcPr>
            <w:tcW w:w="1849" w:type="dxa"/>
            <w:tcBorders>
              <w:top w:val="none" w:sz="0" w:space="0" w:color="auto"/>
              <w:left w:val="none" w:sz="0" w:space="0" w:color="auto"/>
              <w:bottom w:val="none" w:sz="0" w:space="0" w:color="auto"/>
              <w:right w:val="none" w:sz="0" w:space="0" w:color="auto"/>
            </w:tcBorders>
          </w:tcPr>
          <w:p w14:paraId="6A6F0002" w14:textId="0CA3A080"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97%</w:t>
            </w:r>
          </w:p>
        </w:tc>
        <w:tc>
          <w:tcPr>
            <w:tcW w:w="1849" w:type="dxa"/>
            <w:tcBorders>
              <w:top w:val="none" w:sz="0" w:space="0" w:color="auto"/>
              <w:left w:val="none" w:sz="0" w:space="0" w:color="auto"/>
              <w:bottom w:val="none" w:sz="0" w:space="0" w:color="auto"/>
              <w:right w:val="none" w:sz="0" w:space="0" w:color="auto"/>
            </w:tcBorders>
          </w:tcPr>
          <w:p w14:paraId="3F6042F7" w14:textId="4BF937A7"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2,334</w:t>
            </w:r>
          </w:p>
        </w:tc>
        <w:tc>
          <w:tcPr>
            <w:tcW w:w="1850" w:type="dxa"/>
            <w:tcBorders>
              <w:top w:val="none" w:sz="0" w:space="0" w:color="auto"/>
              <w:left w:val="none" w:sz="0" w:space="0" w:color="auto"/>
              <w:bottom w:val="none" w:sz="0" w:space="0" w:color="auto"/>
              <w:right w:val="none" w:sz="0" w:space="0" w:color="auto"/>
            </w:tcBorders>
          </w:tcPr>
          <w:p w14:paraId="6AF5C955" w14:textId="4743FB0D"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0.814</w:t>
            </w:r>
          </w:p>
        </w:tc>
        <w:tc>
          <w:tcPr>
            <w:tcW w:w="1850" w:type="dxa"/>
            <w:tcBorders>
              <w:top w:val="none" w:sz="0" w:space="0" w:color="auto"/>
              <w:left w:val="none" w:sz="0" w:space="0" w:color="auto"/>
              <w:bottom w:val="none" w:sz="0" w:space="0" w:color="auto"/>
              <w:right w:val="none" w:sz="0" w:space="0" w:color="auto"/>
            </w:tcBorders>
          </w:tcPr>
          <w:p w14:paraId="7239A648" w14:textId="09C4A8A5" w:rsidR="00F8419C"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A4D56"/>
              </w:rPr>
              <w:t>1,899</w:t>
            </w:r>
          </w:p>
        </w:tc>
      </w:tr>
      <w:tr w:rsidR="007949A8" w14:paraId="30E044F1"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016FB01" w14:textId="4C1D2679" w:rsidR="007949A8" w:rsidRPr="00F8419C" w:rsidRDefault="00F8419C" w:rsidP="007F2D66">
            <w:pPr>
              <w:pStyle w:val="TableLeftText"/>
            </w:pPr>
            <w:r w:rsidRPr="00F8419C">
              <w:t>STRR</w:t>
            </w:r>
          </w:p>
        </w:tc>
        <w:tc>
          <w:tcPr>
            <w:tcW w:w="1849" w:type="dxa"/>
            <w:tcBorders>
              <w:top w:val="none" w:sz="0" w:space="0" w:color="auto"/>
              <w:left w:val="none" w:sz="0" w:space="0" w:color="auto"/>
              <w:bottom w:val="none" w:sz="0" w:space="0" w:color="auto"/>
              <w:right w:val="none" w:sz="0" w:space="0" w:color="auto"/>
            </w:tcBorders>
          </w:tcPr>
          <w:p w14:paraId="5CA812A7" w14:textId="3B250698" w:rsidR="007949A8" w:rsidRPr="00F8419C" w:rsidRDefault="007949A8"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F8419C">
              <w:rPr>
                <w:color w:val="4A4D56"/>
              </w:rPr>
              <w:t>16</w:t>
            </w:r>
          </w:p>
        </w:tc>
        <w:tc>
          <w:tcPr>
            <w:tcW w:w="1849" w:type="dxa"/>
            <w:tcBorders>
              <w:top w:val="none" w:sz="0" w:space="0" w:color="auto"/>
              <w:left w:val="none" w:sz="0" w:space="0" w:color="auto"/>
              <w:bottom w:val="none" w:sz="0" w:space="0" w:color="auto"/>
              <w:right w:val="none" w:sz="0" w:space="0" w:color="auto"/>
            </w:tcBorders>
          </w:tcPr>
          <w:p w14:paraId="36E080D6" w14:textId="7E04DF89" w:rsidR="007949A8" w:rsidRPr="00F8419C" w:rsidRDefault="007949A8"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F8419C">
              <w:rPr>
                <w:color w:val="4A4D56"/>
              </w:rPr>
              <w:t>101%</w:t>
            </w:r>
          </w:p>
        </w:tc>
        <w:tc>
          <w:tcPr>
            <w:tcW w:w="1849" w:type="dxa"/>
            <w:tcBorders>
              <w:top w:val="none" w:sz="0" w:space="0" w:color="auto"/>
              <w:left w:val="none" w:sz="0" w:space="0" w:color="auto"/>
              <w:bottom w:val="none" w:sz="0" w:space="0" w:color="auto"/>
              <w:right w:val="none" w:sz="0" w:space="0" w:color="auto"/>
            </w:tcBorders>
          </w:tcPr>
          <w:p w14:paraId="5DBB685C" w14:textId="5A8193FB" w:rsidR="007949A8" w:rsidRPr="00F8419C" w:rsidRDefault="007949A8"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F8419C">
              <w:rPr>
                <w:color w:val="4A4D56"/>
              </w:rPr>
              <w:t>16</w:t>
            </w:r>
          </w:p>
        </w:tc>
        <w:tc>
          <w:tcPr>
            <w:tcW w:w="1850" w:type="dxa"/>
            <w:tcBorders>
              <w:top w:val="none" w:sz="0" w:space="0" w:color="auto"/>
              <w:left w:val="none" w:sz="0" w:space="0" w:color="auto"/>
              <w:bottom w:val="none" w:sz="0" w:space="0" w:color="auto"/>
              <w:right w:val="none" w:sz="0" w:space="0" w:color="auto"/>
            </w:tcBorders>
          </w:tcPr>
          <w:p w14:paraId="799F6A5C" w14:textId="61E5AB9D" w:rsidR="007949A8" w:rsidRPr="00F8419C" w:rsidRDefault="007949A8"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F8419C">
              <w:rPr>
                <w:color w:val="4A4D56"/>
              </w:rPr>
              <w:t>0.742</w:t>
            </w:r>
          </w:p>
        </w:tc>
        <w:tc>
          <w:tcPr>
            <w:tcW w:w="1850" w:type="dxa"/>
            <w:tcBorders>
              <w:top w:val="none" w:sz="0" w:space="0" w:color="auto"/>
              <w:left w:val="none" w:sz="0" w:space="0" w:color="auto"/>
              <w:bottom w:val="none" w:sz="0" w:space="0" w:color="auto"/>
              <w:right w:val="none" w:sz="0" w:space="0" w:color="auto"/>
            </w:tcBorders>
          </w:tcPr>
          <w:p w14:paraId="73C03C90" w14:textId="640E6E4E" w:rsidR="007949A8" w:rsidRPr="00F8419C" w:rsidRDefault="007949A8" w:rsidP="007F2D66">
            <w:pPr>
              <w:pStyle w:val="TableLeftText"/>
              <w:jc w:val="right"/>
              <w:cnfStyle w:val="000000100000" w:firstRow="0" w:lastRow="0" w:firstColumn="0" w:lastColumn="0" w:oddVBand="0" w:evenVBand="0" w:oddHBand="1" w:evenHBand="0" w:firstRowFirstColumn="0" w:firstRowLastColumn="0" w:lastRowFirstColumn="0" w:lastRowLastColumn="0"/>
            </w:pPr>
            <w:r w:rsidRPr="00F8419C">
              <w:rPr>
                <w:color w:val="4A4D56"/>
              </w:rPr>
              <w:t>12</w:t>
            </w:r>
          </w:p>
        </w:tc>
      </w:tr>
      <w:tr w:rsidR="00F8419C" w14:paraId="75BE767C"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D2752DF" w14:textId="60117403" w:rsidR="00F8419C" w:rsidRPr="00E16AD5" w:rsidRDefault="00F8419C" w:rsidP="007F2D66">
            <w:pPr>
              <w:pStyle w:val="TableLeftText"/>
              <w:rPr>
                <w:rFonts w:ascii="Franklin Gothic Medium" w:hAnsi="Franklin Gothic Medium"/>
              </w:rPr>
            </w:pPr>
            <w:r w:rsidRPr="00E16AD5">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78A3234E" w14:textId="189C8FF4" w:rsidR="00F8419C" w:rsidRPr="00E16AD5"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E16AD5">
              <w:rPr>
                <w:rFonts w:ascii="Franklin Gothic Medium" w:hAnsi="Franklin Gothic Medium"/>
                <w:color w:val="4A4D56"/>
              </w:rPr>
              <w:t>64,643</w:t>
            </w:r>
          </w:p>
        </w:tc>
        <w:tc>
          <w:tcPr>
            <w:tcW w:w="1849" w:type="dxa"/>
            <w:tcBorders>
              <w:top w:val="none" w:sz="0" w:space="0" w:color="auto"/>
              <w:left w:val="none" w:sz="0" w:space="0" w:color="auto"/>
              <w:bottom w:val="none" w:sz="0" w:space="0" w:color="auto"/>
              <w:right w:val="none" w:sz="0" w:space="0" w:color="auto"/>
            </w:tcBorders>
          </w:tcPr>
          <w:p w14:paraId="258E4F90" w14:textId="494B3697" w:rsidR="00F8419C" w:rsidRPr="00E16AD5"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E16AD5">
              <w:rPr>
                <w:rFonts w:ascii="Franklin Gothic Medium" w:hAnsi="Franklin Gothic Medium"/>
                <w:color w:val="4A4D56"/>
              </w:rPr>
              <w:t>97%</w:t>
            </w:r>
          </w:p>
        </w:tc>
        <w:tc>
          <w:tcPr>
            <w:tcW w:w="1849" w:type="dxa"/>
            <w:tcBorders>
              <w:top w:val="none" w:sz="0" w:space="0" w:color="auto"/>
              <w:left w:val="none" w:sz="0" w:space="0" w:color="auto"/>
              <w:bottom w:val="none" w:sz="0" w:space="0" w:color="auto"/>
              <w:right w:val="none" w:sz="0" w:space="0" w:color="auto"/>
            </w:tcBorders>
          </w:tcPr>
          <w:p w14:paraId="5F8F1443" w14:textId="657A2C79" w:rsidR="00F8419C" w:rsidRPr="00E16AD5"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E16AD5">
              <w:rPr>
                <w:rFonts w:ascii="Franklin Gothic Medium" w:hAnsi="Franklin Gothic Medium"/>
                <w:color w:val="4A4D56"/>
              </w:rPr>
              <w:t>62,825</w:t>
            </w:r>
          </w:p>
        </w:tc>
        <w:tc>
          <w:tcPr>
            <w:tcW w:w="1850" w:type="dxa"/>
            <w:tcBorders>
              <w:top w:val="none" w:sz="0" w:space="0" w:color="auto"/>
              <w:left w:val="none" w:sz="0" w:space="0" w:color="auto"/>
              <w:bottom w:val="none" w:sz="0" w:space="0" w:color="auto"/>
              <w:right w:val="none" w:sz="0" w:space="0" w:color="auto"/>
            </w:tcBorders>
          </w:tcPr>
          <w:p w14:paraId="0F093D16" w14:textId="1B091432" w:rsidR="00F8419C" w:rsidRPr="00E16AD5"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E16AD5">
              <w:rPr>
                <w:rFonts w:ascii="Franklin Gothic Medium" w:hAnsi="Franklin Gothic Medium"/>
                <w:color w:val="4A4D56"/>
              </w:rPr>
              <w:t>0.906</w:t>
            </w:r>
          </w:p>
        </w:tc>
        <w:tc>
          <w:tcPr>
            <w:tcW w:w="1850" w:type="dxa"/>
            <w:tcBorders>
              <w:top w:val="none" w:sz="0" w:space="0" w:color="auto"/>
              <w:left w:val="none" w:sz="0" w:space="0" w:color="auto"/>
              <w:bottom w:val="none" w:sz="0" w:space="0" w:color="auto"/>
              <w:right w:val="none" w:sz="0" w:space="0" w:color="auto"/>
            </w:tcBorders>
          </w:tcPr>
          <w:p w14:paraId="70793A4C" w14:textId="46588DC4" w:rsidR="00F8419C" w:rsidRPr="00E16AD5" w:rsidRDefault="00F8419C"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color w:val="4A4D56"/>
              </w:rPr>
            </w:pPr>
            <w:r w:rsidRPr="00E16AD5">
              <w:rPr>
                <w:rFonts w:ascii="Franklin Gothic Medium" w:hAnsi="Franklin Gothic Medium"/>
                <w:color w:val="4A4D56"/>
              </w:rPr>
              <w:t>56,903</w:t>
            </w:r>
          </w:p>
        </w:tc>
      </w:tr>
    </w:tbl>
    <w:p w14:paraId="5A9947B3" w14:textId="67AEAF80" w:rsidR="00EE3D49" w:rsidRDefault="00EE3D49" w:rsidP="00F8419C">
      <w:pPr>
        <w:pStyle w:val="NoSpacing"/>
        <w:spacing w:before="240" w:after="240"/>
      </w:pPr>
      <w:r>
        <w:fldChar w:fldCharType="begin"/>
      </w:r>
      <w:r>
        <w:instrText xml:space="preserve"> REF _Ref187235074 \h </w:instrText>
      </w:r>
      <w:r w:rsidR="00D2764E">
        <w:instrText xml:space="preserve"> \* MERGEFORMAT </w:instrText>
      </w:r>
      <w:r>
        <w:fldChar w:fldCharType="separate"/>
      </w:r>
      <w:r w:rsidR="00AA10F4">
        <w:t xml:space="preserve">Table </w:t>
      </w:r>
      <w:r w:rsidR="00AA10F4">
        <w:rPr>
          <w:noProof/>
        </w:rPr>
        <w:t>10</w:t>
      </w:r>
      <w:r>
        <w:fldChar w:fldCharType="end"/>
      </w:r>
      <w:r>
        <w:t xml:space="preserve"> presents the ex ante, verified gross, and verified net electric demand savings achieved through the Standard Core channel in 2024.</w:t>
      </w:r>
      <w:r w:rsidR="00F8419C">
        <w:t xml:space="preserve"> </w:t>
      </w:r>
      <w:r w:rsidR="00F8419C" w:rsidRPr="00F8419C">
        <w:t xml:space="preserve">The channel achieved a 99% </w:t>
      </w:r>
      <w:r w:rsidR="00E16AD5">
        <w:t xml:space="preserve">gross </w:t>
      </w:r>
      <w:r w:rsidR="00F8419C" w:rsidRPr="00F8419C">
        <w:t xml:space="preserve">realization rate for demand savings. SLB (79%) and VFDs (18%) accounted for 96% of the channel’s verified net demand savings. Overall, the Standard Core channel experienced a 166% increase in verified net demand savings in 2024 compared to 2023. The primary driver of the increased demand savings </w:t>
      </w:r>
      <w:r w:rsidR="001B0CEC">
        <w:t>was</w:t>
      </w:r>
      <w:r w:rsidR="00F8419C" w:rsidRPr="00F8419C">
        <w:t xml:space="preserve"> a </w:t>
      </w:r>
      <w:r w:rsidR="006F7DD7">
        <w:t>209</w:t>
      </w:r>
      <w:r w:rsidR="00F8419C" w:rsidRPr="00F8419C">
        <w:t>% increase in verified net demand savings per project for the SLB offering in 2024.</w:t>
      </w:r>
    </w:p>
    <w:p w14:paraId="30642197" w14:textId="75DC36F0" w:rsidR="00EE3D49" w:rsidRDefault="00EE3D49" w:rsidP="00173BAD">
      <w:pPr>
        <w:pStyle w:val="Caption"/>
      </w:pPr>
      <w:bookmarkStart w:id="66" w:name="_Ref187235074"/>
      <w:bookmarkStart w:id="67" w:name="_Toc191992531"/>
      <w:bookmarkStart w:id="68" w:name="_Toc192766944"/>
      <w:r>
        <w:lastRenderedPageBreak/>
        <w:t xml:space="preserve">Table </w:t>
      </w:r>
      <w:r w:rsidR="009B4C9A">
        <w:fldChar w:fldCharType="begin"/>
      </w:r>
      <w:r w:rsidR="009B4C9A">
        <w:instrText xml:space="preserve"> SEQ Table \* ARABIC </w:instrText>
      </w:r>
      <w:r w:rsidR="009B4C9A">
        <w:fldChar w:fldCharType="separate"/>
      </w:r>
      <w:r w:rsidR="00AA10F4">
        <w:rPr>
          <w:noProof/>
        </w:rPr>
        <w:t>10</w:t>
      </w:r>
      <w:r w:rsidR="009B4C9A">
        <w:rPr>
          <w:noProof/>
        </w:rPr>
        <w:fldChar w:fldCharType="end"/>
      </w:r>
      <w:bookmarkEnd w:id="66"/>
      <w:r>
        <w:t>. 2024 Standard Core Channel Electric Demand Savings by Measure</w:t>
      </w:r>
      <w:bookmarkEnd w:id="67"/>
      <w:bookmarkEnd w:id="6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EE3D49" w14:paraId="5866A98D"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3B78AF5" w14:textId="327DE71C" w:rsidR="00EE3D49" w:rsidRDefault="00095BE3" w:rsidP="00E16AD5">
            <w:pPr>
              <w:pStyle w:val="TableHeadingLeft"/>
              <w:keepNext/>
              <w:keepLines/>
            </w:pPr>
            <w:r>
              <w:t>Offering</w:t>
            </w:r>
          </w:p>
        </w:tc>
        <w:tc>
          <w:tcPr>
            <w:tcW w:w="1849" w:type="dxa"/>
            <w:tcBorders>
              <w:bottom w:val="none" w:sz="0" w:space="0" w:color="auto"/>
            </w:tcBorders>
          </w:tcPr>
          <w:p w14:paraId="735AB9A9" w14:textId="15EE008A" w:rsidR="00EE3D49" w:rsidRDefault="00EE3D49" w:rsidP="00E16AD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Ex Ante Gross Savings (MW)  </w:t>
            </w:r>
          </w:p>
        </w:tc>
        <w:tc>
          <w:tcPr>
            <w:tcW w:w="1849" w:type="dxa"/>
            <w:tcBorders>
              <w:bottom w:val="none" w:sz="0" w:space="0" w:color="auto"/>
            </w:tcBorders>
          </w:tcPr>
          <w:p w14:paraId="7A916E5E" w14:textId="77777777" w:rsidR="00EE3D49" w:rsidRDefault="00EE3D49" w:rsidP="00E16AD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38441498" w14:textId="66976EF2" w:rsidR="00EE3D49" w:rsidRDefault="00EE3D49" w:rsidP="00E16AD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Verified Gross Savings (MW)  </w:t>
            </w:r>
          </w:p>
        </w:tc>
        <w:tc>
          <w:tcPr>
            <w:tcW w:w="1850" w:type="dxa"/>
            <w:tcBorders>
              <w:bottom w:val="none" w:sz="0" w:space="0" w:color="auto"/>
            </w:tcBorders>
          </w:tcPr>
          <w:p w14:paraId="26D6DC38" w14:textId="77777777" w:rsidR="00EE3D49" w:rsidRDefault="00EE3D49" w:rsidP="00E16AD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1BCB1162" w14:textId="5A881853" w:rsidR="00EE3D49" w:rsidRDefault="00EE3D49" w:rsidP="00E16AD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Verified Net Savings (MW)  </w:t>
            </w:r>
          </w:p>
        </w:tc>
      </w:tr>
      <w:tr w:rsidR="00F8419C" w14:paraId="3642AC46"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758374F7" w14:textId="3809AD84" w:rsidR="00F8419C" w:rsidRDefault="00F8419C" w:rsidP="00E16AD5">
            <w:pPr>
              <w:pStyle w:val="TableLeftText"/>
              <w:keepNext/>
              <w:keepLines/>
            </w:pPr>
            <w:r>
              <w:t>SLB</w:t>
            </w:r>
          </w:p>
        </w:tc>
        <w:tc>
          <w:tcPr>
            <w:tcW w:w="1849" w:type="dxa"/>
            <w:tcBorders>
              <w:top w:val="none" w:sz="0" w:space="0" w:color="auto"/>
              <w:left w:val="none" w:sz="0" w:space="0" w:color="auto"/>
              <w:bottom w:val="none" w:sz="0" w:space="0" w:color="auto"/>
              <w:right w:val="none" w:sz="0" w:space="0" w:color="auto"/>
            </w:tcBorders>
          </w:tcPr>
          <w:p w14:paraId="4F2B1367" w14:textId="6F79CEE7"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9.17</w:t>
            </w:r>
          </w:p>
        </w:tc>
        <w:tc>
          <w:tcPr>
            <w:tcW w:w="1849" w:type="dxa"/>
            <w:tcBorders>
              <w:top w:val="none" w:sz="0" w:space="0" w:color="auto"/>
              <w:left w:val="none" w:sz="0" w:space="0" w:color="auto"/>
              <w:bottom w:val="none" w:sz="0" w:space="0" w:color="auto"/>
              <w:right w:val="none" w:sz="0" w:space="0" w:color="auto"/>
            </w:tcBorders>
          </w:tcPr>
          <w:p w14:paraId="42943102" w14:textId="31DB42F9"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4A28E45B" w14:textId="30E16F9F"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9.17</w:t>
            </w:r>
          </w:p>
        </w:tc>
        <w:tc>
          <w:tcPr>
            <w:tcW w:w="1850" w:type="dxa"/>
            <w:tcBorders>
              <w:top w:val="none" w:sz="0" w:space="0" w:color="auto"/>
              <w:left w:val="none" w:sz="0" w:space="0" w:color="auto"/>
              <w:bottom w:val="none" w:sz="0" w:space="0" w:color="auto"/>
              <w:right w:val="none" w:sz="0" w:space="0" w:color="auto"/>
            </w:tcBorders>
          </w:tcPr>
          <w:p w14:paraId="1DCD4D9A" w14:textId="05CAF727"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0.907</w:t>
            </w:r>
          </w:p>
        </w:tc>
        <w:tc>
          <w:tcPr>
            <w:tcW w:w="1850" w:type="dxa"/>
            <w:tcBorders>
              <w:top w:val="none" w:sz="0" w:space="0" w:color="auto"/>
              <w:left w:val="none" w:sz="0" w:space="0" w:color="auto"/>
              <w:bottom w:val="none" w:sz="0" w:space="0" w:color="auto"/>
              <w:right w:val="none" w:sz="0" w:space="0" w:color="auto"/>
            </w:tcBorders>
          </w:tcPr>
          <w:p w14:paraId="6826DEEA" w14:textId="5FFB90F2"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8.31</w:t>
            </w:r>
          </w:p>
        </w:tc>
      </w:tr>
      <w:tr w:rsidR="00F8419C" w14:paraId="56024010"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6D7B72C" w14:textId="06D89CEE" w:rsidR="00F8419C" w:rsidRDefault="00F8419C" w:rsidP="00E16AD5">
            <w:pPr>
              <w:pStyle w:val="TableLeftText"/>
              <w:keepNext/>
              <w:keepLines/>
            </w:pPr>
            <w:r>
              <w:t>VFD</w:t>
            </w:r>
          </w:p>
        </w:tc>
        <w:tc>
          <w:tcPr>
            <w:tcW w:w="1849" w:type="dxa"/>
            <w:tcBorders>
              <w:top w:val="none" w:sz="0" w:space="0" w:color="auto"/>
              <w:left w:val="none" w:sz="0" w:space="0" w:color="auto"/>
              <w:bottom w:val="none" w:sz="0" w:space="0" w:color="auto"/>
              <w:right w:val="none" w:sz="0" w:space="0" w:color="auto"/>
            </w:tcBorders>
          </w:tcPr>
          <w:p w14:paraId="0C9AE03D" w14:textId="50AF8268"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2.22</w:t>
            </w:r>
          </w:p>
        </w:tc>
        <w:tc>
          <w:tcPr>
            <w:tcW w:w="1849" w:type="dxa"/>
            <w:tcBorders>
              <w:top w:val="none" w:sz="0" w:space="0" w:color="auto"/>
              <w:left w:val="none" w:sz="0" w:space="0" w:color="auto"/>
              <w:bottom w:val="none" w:sz="0" w:space="0" w:color="auto"/>
              <w:right w:val="none" w:sz="0" w:space="0" w:color="auto"/>
            </w:tcBorders>
          </w:tcPr>
          <w:p w14:paraId="2C99420D" w14:textId="1A800A7E"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93%</w:t>
            </w:r>
          </w:p>
        </w:tc>
        <w:tc>
          <w:tcPr>
            <w:tcW w:w="1849" w:type="dxa"/>
            <w:tcBorders>
              <w:top w:val="none" w:sz="0" w:space="0" w:color="auto"/>
              <w:left w:val="none" w:sz="0" w:space="0" w:color="auto"/>
              <w:bottom w:val="none" w:sz="0" w:space="0" w:color="auto"/>
              <w:right w:val="none" w:sz="0" w:space="0" w:color="auto"/>
            </w:tcBorders>
          </w:tcPr>
          <w:p w14:paraId="0E87C7EA" w14:textId="743805A8"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2.06</w:t>
            </w:r>
          </w:p>
        </w:tc>
        <w:tc>
          <w:tcPr>
            <w:tcW w:w="1850" w:type="dxa"/>
            <w:tcBorders>
              <w:top w:val="none" w:sz="0" w:space="0" w:color="auto"/>
              <w:left w:val="none" w:sz="0" w:space="0" w:color="auto"/>
              <w:bottom w:val="none" w:sz="0" w:space="0" w:color="auto"/>
              <w:right w:val="none" w:sz="0" w:space="0" w:color="auto"/>
            </w:tcBorders>
          </w:tcPr>
          <w:p w14:paraId="0A0D11A9" w14:textId="78749F5F"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0.915</w:t>
            </w:r>
          </w:p>
        </w:tc>
        <w:tc>
          <w:tcPr>
            <w:tcW w:w="1850" w:type="dxa"/>
            <w:tcBorders>
              <w:top w:val="none" w:sz="0" w:space="0" w:color="auto"/>
              <w:left w:val="none" w:sz="0" w:space="0" w:color="auto"/>
              <w:bottom w:val="none" w:sz="0" w:space="0" w:color="auto"/>
              <w:right w:val="none" w:sz="0" w:space="0" w:color="auto"/>
            </w:tcBorders>
          </w:tcPr>
          <w:p w14:paraId="326B35F8" w14:textId="4914AD67"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1.88</w:t>
            </w:r>
          </w:p>
        </w:tc>
      </w:tr>
      <w:tr w:rsidR="00F8419C" w14:paraId="277781CB"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F607EE7" w14:textId="56AA068F" w:rsidR="00F8419C" w:rsidRDefault="00F8419C" w:rsidP="00E16AD5">
            <w:pPr>
              <w:pStyle w:val="TableLeftText"/>
              <w:keepNext/>
              <w:keepLines/>
            </w:pPr>
            <w:r>
              <w:t>SE</w:t>
            </w:r>
          </w:p>
        </w:tc>
        <w:tc>
          <w:tcPr>
            <w:tcW w:w="1849" w:type="dxa"/>
            <w:tcBorders>
              <w:top w:val="none" w:sz="0" w:space="0" w:color="auto"/>
              <w:left w:val="none" w:sz="0" w:space="0" w:color="auto"/>
              <w:bottom w:val="none" w:sz="0" w:space="0" w:color="auto"/>
              <w:right w:val="none" w:sz="0" w:space="0" w:color="auto"/>
            </w:tcBorders>
          </w:tcPr>
          <w:p w14:paraId="23F13CA3" w14:textId="5F0E30D0"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0.26</w:t>
            </w:r>
          </w:p>
        </w:tc>
        <w:tc>
          <w:tcPr>
            <w:tcW w:w="1849" w:type="dxa"/>
            <w:tcBorders>
              <w:top w:val="none" w:sz="0" w:space="0" w:color="auto"/>
              <w:left w:val="none" w:sz="0" w:space="0" w:color="auto"/>
              <w:bottom w:val="none" w:sz="0" w:space="0" w:color="auto"/>
              <w:right w:val="none" w:sz="0" w:space="0" w:color="auto"/>
            </w:tcBorders>
          </w:tcPr>
          <w:p w14:paraId="78AFEF16" w14:textId="6E29A510"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10740FD6" w14:textId="0E30CA1A"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0.26</w:t>
            </w:r>
          </w:p>
        </w:tc>
        <w:tc>
          <w:tcPr>
            <w:tcW w:w="1850" w:type="dxa"/>
            <w:tcBorders>
              <w:top w:val="none" w:sz="0" w:space="0" w:color="auto"/>
              <w:left w:val="none" w:sz="0" w:space="0" w:color="auto"/>
              <w:bottom w:val="none" w:sz="0" w:space="0" w:color="auto"/>
              <w:right w:val="none" w:sz="0" w:space="0" w:color="auto"/>
            </w:tcBorders>
          </w:tcPr>
          <w:p w14:paraId="4F904D7F" w14:textId="46D61A4B"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0.935</w:t>
            </w:r>
          </w:p>
        </w:tc>
        <w:tc>
          <w:tcPr>
            <w:tcW w:w="1850" w:type="dxa"/>
            <w:tcBorders>
              <w:top w:val="none" w:sz="0" w:space="0" w:color="auto"/>
              <w:left w:val="none" w:sz="0" w:space="0" w:color="auto"/>
              <w:bottom w:val="none" w:sz="0" w:space="0" w:color="auto"/>
              <w:right w:val="none" w:sz="0" w:space="0" w:color="auto"/>
            </w:tcBorders>
          </w:tcPr>
          <w:p w14:paraId="6DF9E949" w14:textId="1BFCC8D4" w:rsidR="00F8419C" w:rsidRPr="00EE3D49" w:rsidRDefault="00F8419C" w:rsidP="007F2D66">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Pr>
                <w:color w:val="4A4D56"/>
              </w:rPr>
              <w:t>0.24</w:t>
            </w:r>
          </w:p>
        </w:tc>
      </w:tr>
      <w:tr w:rsidR="00F8419C" w14:paraId="783EB631"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EBB0E5B" w14:textId="1BFE1690" w:rsidR="00F8419C" w:rsidRDefault="00F8419C" w:rsidP="00E16AD5">
            <w:pPr>
              <w:pStyle w:val="TableLeftText"/>
              <w:keepNext/>
              <w:keepLines/>
            </w:pPr>
            <w:r>
              <w:t>HVAC</w:t>
            </w:r>
          </w:p>
        </w:tc>
        <w:tc>
          <w:tcPr>
            <w:tcW w:w="1849" w:type="dxa"/>
            <w:tcBorders>
              <w:top w:val="none" w:sz="0" w:space="0" w:color="auto"/>
              <w:left w:val="none" w:sz="0" w:space="0" w:color="auto"/>
              <w:bottom w:val="none" w:sz="0" w:space="0" w:color="auto"/>
              <w:right w:val="none" w:sz="0" w:space="0" w:color="auto"/>
            </w:tcBorders>
          </w:tcPr>
          <w:p w14:paraId="59228915" w14:textId="67603A9D"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0.18</w:t>
            </w:r>
          </w:p>
        </w:tc>
        <w:tc>
          <w:tcPr>
            <w:tcW w:w="1849" w:type="dxa"/>
            <w:tcBorders>
              <w:top w:val="none" w:sz="0" w:space="0" w:color="auto"/>
              <w:left w:val="none" w:sz="0" w:space="0" w:color="auto"/>
              <w:bottom w:val="none" w:sz="0" w:space="0" w:color="auto"/>
              <w:right w:val="none" w:sz="0" w:space="0" w:color="auto"/>
            </w:tcBorders>
          </w:tcPr>
          <w:p w14:paraId="1CF1C42C" w14:textId="5B1B74FE"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90%</w:t>
            </w:r>
          </w:p>
        </w:tc>
        <w:tc>
          <w:tcPr>
            <w:tcW w:w="1849" w:type="dxa"/>
            <w:tcBorders>
              <w:top w:val="none" w:sz="0" w:space="0" w:color="auto"/>
              <w:left w:val="none" w:sz="0" w:space="0" w:color="auto"/>
              <w:bottom w:val="none" w:sz="0" w:space="0" w:color="auto"/>
              <w:right w:val="none" w:sz="0" w:space="0" w:color="auto"/>
            </w:tcBorders>
          </w:tcPr>
          <w:p w14:paraId="01FF81C9" w14:textId="6489BFB0"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0.16</w:t>
            </w:r>
          </w:p>
        </w:tc>
        <w:tc>
          <w:tcPr>
            <w:tcW w:w="1850" w:type="dxa"/>
            <w:tcBorders>
              <w:top w:val="none" w:sz="0" w:space="0" w:color="auto"/>
              <w:left w:val="none" w:sz="0" w:space="0" w:color="auto"/>
              <w:bottom w:val="none" w:sz="0" w:space="0" w:color="auto"/>
              <w:right w:val="none" w:sz="0" w:space="0" w:color="auto"/>
            </w:tcBorders>
          </w:tcPr>
          <w:p w14:paraId="4222BF88" w14:textId="71406AFA"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0.830</w:t>
            </w:r>
          </w:p>
        </w:tc>
        <w:tc>
          <w:tcPr>
            <w:tcW w:w="1850" w:type="dxa"/>
            <w:tcBorders>
              <w:top w:val="none" w:sz="0" w:space="0" w:color="auto"/>
              <w:left w:val="none" w:sz="0" w:space="0" w:color="auto"/>
              <w:bottom w:val="none" w:sz="0" w:space="0" w:color="auto"/>
              <w:right w:val="none" w:sz="0" w:space="0" w:color="auto"/>
            </w:tcBorders>
          </w:tcPr>
          <w:p w14:paraId="4A1A9123" w14:textId="05A95D8F" w:rsidR="00F8419C" w:rsidRPr="00EE3D49" w:rsidRDefault="00F8419C" w:rsidP="007F2D66">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Pr>
                <w:color w:val="4A4D56"/>
              </w:rPr>
              <w:t>0.13</w:t>
            </w:r>
          </w:p>
        </w:tc>
      </w:tr>
      <w:tr w:rsidR="00F8419C" w14:paraId="47EBBD77"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8E064C6" w14:textId="77777777" w:rsidR="00F8419C" w:rsidRPr="00E16AD5" w:rsidRDefault="00F8419C" w:rsidP="00F8419C">
            <w:pPr>
              <w:pStyle w:val="TableLeftText"/>
              <w:rPr>
                <w:rFonts w:ascii="Franklin Gothic Medium" w:hAnsi="Franklin Gothic Medium"/>
              </w:rPr>
            </w:pPr>
            <w:r w:rsidRPr="00E16AD5">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7386B3DA" w14:textId="6385665E" w:rsidR="00F8419C" w:rsidRPr="00E16AD5"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11.82</w:t>
            </w:r>
          </w:p>
        </w:tc>
        <w:tc>
          <w:tcPr>
            <w:tcW w:w="1849" w:type="dxa"/>
            <w:tcBorders>
              <w:top w:val="none" w:sz="0" w:space="0" w:color="auto"/>
              <w:left w:val="none" w:sz="0" w:space="0" w:color="auto"/>
              <w:bottom w:val="none" w:sz="0" w:space="0" w:color="auto"/>
              <w:right w:val="none" w:sz="0" w:space="0" w:color="auto"/>
            </w:tcBorders>
          </w:tcPr>
          <w:p w14:paraId="11AEADAE" w14:textId="2E697A1C" w:rsidR="00F8419C" w:rsidRPr="00E16AD5"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99%</w:t>
            </w:r>
          </w:p>
        </w:tc>
        <w:tc>
          <w:tcPr>
            <w:tcW w:w="1849" w:type="dxa"/>
            <w:tcBorders>
              <w:top w:val="none" w:sz="0" w:space="0" w:color="auto"/>
              <w:left w:val="none" w:sz="0" w:space="0" w:color="auto"/>
              <w:bottom w:val="none" w:sz="0" w:space="0" w:color="auto"/>
              <w:right w:val="none" w:sz="0" w:space="0" w:color="auto"/>
            </w:tcBorders>
          </w:tcPr>
          <w:p w14:paraId="7549ACDF" w14:textId="49D039F7" w:rsidR="00F8419C" w:rsidRPr="00E16AD5"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11.64</w:t>
            </w:r>
          </w:p>
        </w:tc>
        <w:tc>
          <w:tcPr>
            <w:tcW w:w="1850" w:type="dxa"/>
            <w:tcBorders>
              <w:top w:val="none" w:sz="0" w:space="0" w:color="auto"/>
              <w:left w:val="none" w:sz="0" w:space="0" w:color="auto"/>
              <w:bottom w:val="none" w:sz="0" w:space="0" w:color="auto"/>
              <w:right w:val="none" w:sz="0" w:space="0" w:color="auto"/>
            </w:tcBorders>
          </w:tcPr>
          <w:p w14:paraId="2679DDDA" w14:textId="19C20FA7" w:rsidR="00F8419C" w:rsidRPr="00E16AD5"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0.908</w:t>
            </w:r>
          </w:p>
        </w:tc>
        <w:tc>
          <w:tcPr>
            <w:tcW w:w="1850" w:type="dxa"/>
            <w:tcBorders>
              <w:top w:val="none" w:sz="0" w:space="0" w:color="auto"/>
              <w:left w:val="none" w:sz="0" w:space="0" w:color="auto"/>
              <w:bottom w:val="none" w:sz="0" w:space="0" w:color="auto"/>
              <w:right w:val="none" w:sz="0" w:space="0" w:color="auto"/>
            </w:tcBorders>
          </w:tcPr>
          <w:p w14:paraId="2C40AAF8" w14:textId="419FCCEE" w:rsidR="00F8419C" w:rsidRPr="00E16AD5"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10.57</w:t>
            </w:r>
          </w:p>
        </w:tc>
      </w:tr>
    </w:tbl>
    <w:p w14:paraId="65AE94CF" w14:textId="3C0FFA7A" w:rsidR="00EE3D49" w:rsidRDefault="00EE3D49" w:rsidP="00F8419C">
      <w:pPr>
        <w:pStyle w:val="NoSpacing"/>
        <w:spacing w:before="240" w:after="240"/>
      </w:pPr>
      <w:r>
        <w:fldChar w:fldCharType="begin"/>
      </w:r>
      <w:r>
        <w:instrText xml:space="preserve"> REF _Ref187235172 \h </w:instrText>
      </w:r>
      <w:r w:rsidR="00D2764E">
        <w:instrText xml:space="preserve"> \* MERGEFORMAT </w:instrText>
      </w:r>
      <w:r>
        <w:fldChar w:fldCharType="separate"/>
      </w:r>
      <w:r w:rsidR="00AA10F4">
        <w:t xml:space="preserve">Table </w:t>
      </w:r>
      <w:r w:rsidR="00AA10F4">
        <w:rPr>
          <w:noProof/>
        </w:rPr>
        <w:t>11</w:t>
      </w:r>
      <w:r>
        <w:fldChar w:fldCharType="end"/>
      </w:r>
      <w:r>
        <w:t xml:space="preserve"> presents the ex ante, verified gross, and verified net gas savings achieved through the Standard Core channel in 2024.</w:t>
      </w:r>
      <w:r w:rsidR="00F8419C">
        <w:t xml:space="preserve"> </w:t>
      </w:r>
      <w:r w:rsidR="00F8419C" w:rsidRPr="00F8419C">
        <w:t xml:space="preserve">The channel achieved a 100% realization rate for gas savings. Overall, the Standard Core channel experienced a 13% decrease in verified net gas savings in 2024 compared to 2023. The STRR offering (47% of channel verified net gas savings) saw a 10% increase in savings compared to 2023 and </w:t>
      </w:r>
      <w:r w:rsidR="00DB6679">
        <w:t xml:space="preserve">the </w:t>
      </w:r>
      <w:r w:rsidR="00F8419C" w:rsidRPr="00F8419C">
        <w:t xml:space="preserve">HVAC </w:t>
      </w:r>
      <w:r w:rsidR="00DB6679">
        <w:t xml:space="preserve">offering </w:t>
      </w:r>
      <w:r w:rsidR="00F8419C" w:rsidRPr="00F8419C">
        <w:t>(31% of channel verified net gas savings) saw a 160% increase. While SE (22% of channel verified net gas savings) saw a 62% decrease in verified net gas savings from 2023, the 2024 savings still represent a 198% increase over 2022 totals and a steady increase in the overall contributions to channel savings dating back to 2019.</w:t>
      </w:r>
    </w:p>
    <w:p w14:paraId="35A20F61" w14:textId="01999169" w:rsidR="00EE3D49" w:rsidRDefault="00EE3D49" w:rsidP="00881B1B">
      <w:pPr>
        <w:pStyle w:val="Caption"/>
      </w:pPr>
      <w:bookmarkStart w:id="69" w:name="_Ref187235172"/>
      <w:bookmarkStart w:id="70" w:name="_Toc191992532"/>
      <w:bookmarkStart w:id="71" w:name="_Toc192766945"/>
      <w:r>
        <w:t xml:space="preserve">Table </w:t>
      </w:r>
      <w:r w:rsidR="009B4C9A">
        <w:fldChar w:fldCharType="begin"/>
      </w:r>
      <w:r w:rsidR="009B4C9A">
        <w:instrText xml:space="preserve"> SEQ Table \* ARABIC </w:instrText>
      </w:r>
      <w:r w:rsidR="009B4C9A">
        <w:fldChar w:fldCharType="separate"/>
      </w:r>
      <w:r w:rsidR="00AA10F4">
        <w:rPr>
          <w:noProof/>
        </w:rPr>
        <w:t>11</w:t>
      </w:r>
      <w:r w:rsidR="009B4C9A">
        <w:rPr>
          <w:noProof/>
        </w:rPr>
        <w:fldChar w:fldCharType="end"/>
      </w:r>
      <w:bookmarkEnd w:id="69"/>
      <w:r>
        <w:t>. 2024 Standard Core Channel Gas Savings by Measure</w:t>
      </w:r>
      <w:bookmarkEnd w:id="70"/>
      <w:bookmarkEnd w:id="7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EE3D49" w14:paraId="145FE29C"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67A59B08" w14:textId="666C824A" w:rsidR="00EE3D49" w:rsidRDefault="00095BE3" w:rsidP="008700F8">
            <w:pPr>
              <w:pStyle w:val="TableHeadingLeft"/>
            </w:pPr>
            <w:r>
              <w:t>Offering</w:t>
            </w:r>
          </w:p>
        </w:tc>
        <w:tc>
          <w:tcPr>
            <w:tcW w:w="1849" w:type="dxa"/>
            <w:tcBorders>
              <w:bottom w:val="none" w:sz="0" w:space="0" w:color="auto"/>
            </w:tcBorders>
          </w:tcPr>
          <w:p w14:paraId="57396722" w14:textId="413903E2"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849" w:type="dxa"/>
            <w:tcBorders>
              <w:bottom w:val="none" w:sz="0" w:space="0" w:color="auto"/>
            </w:tcBorders>
          </w:tcPr>
          <w:p w14:paraId="50366C66"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52E97838" w14:textId="581724EF"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850" w:type="dxa"/>
            <w:tcBorders>
              <w:bottom w:val="none" w:sz="0" w:space="0" w:color="auto"/>
            </w:tcBorders>
          </w:tcPr>
          <w:p w14:paraId="61B5DD26" w14:textId="77777777"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18F1EEB9" w14:textId="2D6F3F8E" w:rsidR="00EE3D49" w:rsidRDefault="00EE3D4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F8419C" w14:paraId="61CFB263"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5D7C78F1" w14:textId="577D2ACB" w:rsidR="00F8419C" w:rsidRDefault="00F8419C" w:rsidP="00F8419C">
            <w:pPr>
              <w:pStyle w:val="TableLeftText"/>
            </w:pPr>
            <w:r>
              <w:t>SE</w:t>
            </w:r>
          </w:p>
        </w:tc>
        <w:tc>
          <w:tcPr>
            <w:tcW w:w="1849" w:type="dxa"/>
            <w:tcBorders>
              <w:top w:val="none" w:sz="0" w:space="0" w:color="auto"/>
              <w:left w:val="none" w:sz="0" w:space="0" w:color="auto"/>
              <w:bottom w:val="none" w:sz="0" w:space="0" w:color="auto"/>
              <w:right w:val="none" w:sz="0" w:space="0" w:color="auto"/>
            </w:tcBorders>
          </w:tcPr>
          <w:p w14:paraId="0B38A87F" w14:textId="5707E427" w:rsidR="00F8419C" w:rsidRPr="00EE3D49"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296,075</w:t>
            </w:r>
          </w:p>
        </w:tc>
        <w:tc>
          <w:tcPr>
            <w:tcW w:w="1849" w:type="dxa"/>
            <w:tcBorders>
              <w:top w:val="none" w:sz="0" w:space="0" w:color="auto"/>
              <w:left w:val="none" w:sz="0" w:space="0" w:color="auto"/>
              <w:bottom w:val="none" w:sz="0" w:space="0" w:color="auto"/>
              <w:right w:val="none" w:sz="0" w:space="0" w:color="auto"/>
            </w:tcBorders>
          </w:tcPr>
          <w:p w14:paraId="17A4B5AE" w14:textId="7CEEFF34" w:rsidR="00F8419C" w:rsidRPr="00EE3D49"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99%</w:t>
            </w:r>
          </w:p>
        </w:tc>
        <w:tc>
          <w:tcPr>
            <w:tcW w:w="1849" w:type="dxa"/>
            <w:tcBorders>
              <w:top w:val="none" w:sz="0" w:space="0" w:color="auto"/>
              <w:left w:val="none" w:sz="0" w:space="0" w:color="auto"/>
              <w:bottom w:val="none" w:sz="0" w:space="0" w:color="auto"/>
              <w:right w:val="none" w:sz="0" w:space="0" w:color="auto"/>
            </w:tcBorders>
          </w:tcPr>
          <w:p w14:paraId="24DA87C3" w14:textId="52D75E65" w:rsidR="00F8419C" w:rsidRPr="00EE3D49"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293,659</w:t>
            </w:r>
          </w:p>
        </w:tc>
        <w:tc>
          <w:tcPr>
            <w:tcW w:w="1850" w:type="dxa"/>
            <w:tcBorders>
              <w:top w:val="none" w:sz="0" w:space="0" w:color="auto"/>
              <w:left w:val="none" w:sz="0" w:space="0" w:color="auto"/>
              <w:bottom w:val="none" w:sz="0" w:space="0" w:color="auto"/>
              <w:right w:val="none" w:sz="0" w:space="0" w:color="auto"/>
            </w:tcBorders>
          </w:tcPr>
          <w:p w14:paraId="6E971C7A" w14:textId="4BCD6F13" w:rsidR="00F8419C" w:rsidRPr="00EE3D49"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0.853</w:t>
            </w:r>
          </w:p>
        </w:tc>
        <w:tc>
          <w:tcPr>
            <w:tcW w:w="1850" w:type="dxa"/>
            <w:tcBorders>
              <w:top w:val="none" w:sz="0" w:space="0" w:color="auto"/>
              <w:left w:val="none" w:sz="0" w:space="0" w:color="auto"/>
              <w:bottom w:val="none" w:sz="0" w:space="0" w:color="auto"/>
              <w:right w:val="none" w:sz="0" w:space="0" w:color="auto"/>
            </w:tcBorders>
          </w:tcPr>
          <w:p w14:paraId="362C6FF4" w14:textId="44E9D74C" w:rsidR="00F8419C" w:rsidRPr="00EE3D49" w:rsidRDefault="00F8419C"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A4D56"/>
              </w:rPr>
              <w:t>250,422</w:t>
            </w:r>
          </w:p>
        </w:tc>
      </w:tr>
      <w:tr w:rsidR="00B47E63" w14:paraId="3C0E80B0"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1901279" w14:textId="6BFF9B5C" w:rsidR="00B47E63" w:rsidRDefault="00B47E63" w:rsidP="00B47E63">
            <w:pPr>
              <w:pStyle w:val="TableLeftText"/>
            </w:pPr>
            <w:r>
              <w:t>HVAC</w:t>
            </w:r>
          </w:p>
        </w:tc>
        <w:tc>
          <w:tcPr>
            <w:tcW w:w="1849" w:type="dxa"/>
            <w:tcBorders>
              <w:top w:val="none" w:sz="0" w:space="0" w:color="auto"/>
              <w:left w:val="none" w:sz="0" w:space="0" w:color="auto"/>
              <w:bottom w:val="none" w:sz="0" w:space="0" w:color="auto"/>
              <w:right w:val="none" w:sz="0" w:space="0" w:color="auto"/>
            </w:tcBorders>
          </w:tcPr>
          <w:p w14:paraId="5F21711D" w14:textId="47F81148" w:rsidR="00B47E63"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533,728</w:t>
            </w:r>
          </w:p>
        </w:tc>
        <w:tc>
          <w:tcPr>
            <w:tcW w:w="1849" w:type="dxa"/>
            <w:tcBorders>
              <w:top w:val="none" w:sz="0" w:space="0" w:color="auto"/>
              <w:left w:val="none" w:sz="0" w:space="0" w:color="auto"/>
              <w:bottom w:val="none" w:sz="0" w:space="0" w:color="auto"/>
              <w:right w:val="none" w:sz="0" w:space="0" w:color="auto"/>
            </w:tcBorders>
          </w:tcPr>
          <w:p w14:paraId="20FD587A" w14:textId="12BBD08C" w:rsidR="00B47E63"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101%</w:t>
            </w:r>
          </w:p>
        </w:tc>
        <w:tc>
          <w:tcPr>
            <w:tcW w:w="1849" w:type="dxa"/>
            <w:tcBorders>
              <w:top w:val="none" w:sz="0" w:space="0" w:color="auto"/>
              <w:left w:val="none" w:sz="0" w:space="0" w:color="auto"/>
              <w:bottom w:val="none" w:sz="0" w:space="0" w:color="auto"/>
              <w:right w:val="none" w:sz="0" w:space="0" w:color="auto"/>
            </w:tcBorders>
          </w:tcPr>
          <w:p w14:paraId="32380C39" w14:textId="4A3C5916" w:rsidR="00B47E63"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540,622</w:t>
            </w:r>
          </w:p>
        </w:tc>
        <w:tc>
          <w:tcPr>
            <w:tcW w:w="1850" w:type="dxa"/>
            <w:tcBorders>
              <w:top w:val="none" w:sz="0" w:space="0" w:color="auto"/>
              <w:left w:val="none" w:sz="0" w:space="0" w:color="auto"/>
              <w:bottom w:val="none" w:sz="0" w:space="0" w:color="auto"/>
              <w:right w:val="none" w:sz="0" w:space="0" w:color="auto"/>
            </w:tcBorders>
          </w:tcPr>
          <w:p w14:paraId="2B39C09F" w14:textId="08326CC0" w:rsidR="00B47E63"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0.634</w:t>
            </w:r>
          </w:p>
        </w:tc>
        <w:tc>
          <w:tcPr>
            <w:tcW w:w="1850" w:type="dxa"/>
            <w:tcBorders>
              <w:top w:val="none" w:sz="0" w:space="0" w:color="auto"/>
              <w:left w:val="none" w:sz="0" w:space="0" w:color="auto"/>
              <w:bottom w:val="none" w:sz="0" w:space="0" w:color="auto"/>
              <w:right w:val="none" w:sz="0" w:space="0" w:color="auto"/>
            </w:tcBorders>
          </w:tcPr>
          <w:p w14:paraId="619F6C66" w14:textId="1182A75E" w:rsidR="00B47E63"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color w:val="4A4D56"/>
              </w:rPr>
            </w:pPr>
            <w:r>
              <w:rPr>
                <w:color w:val="4A4D56"/>
              </w:rPr>
              <w:t>342,825</w:t>
            </w:r>
          </w:p>
        </w:tc>
      </w:tr>
      <w:tr w:rsidR="00B47E63" w14:paraId="46995378"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6F11194A" w14:textId="2BB0B2F7" w:rsidR="00B47E63" w:rsidRDefault="00B47E63" w:rsidP="00B47E63">
            <w:pPr>
              <w:pStyle w:val="TableLeftText"/>
            </w:pPr>
            <w:r>
              <w:t>STRR</w:t>
            </w:r>
          </w:p>
        </w:tc>
        <w:tc>
          <w:tcPr>
            <w:tcW w:w="1849" w:type="dxa"/>
            <w:tcBorders>
              <w:top w:val="none" w:sz="0" w:space="0" w:color="auto"/>
              <w:left w:val="none" w:sz="0" w:space="0" w:color="auto"/>
              <w:bottom w:val="none" w:sz="0" w:space="0" w:color="auto"/>
              <w:right w:val="none" w:sz="0" w:space="0" w:color="auto"/>
            </w:tcBorders>
          </w:tcPr>
          <w:p w14:paraId="7E0421AB" w14:textId="34CE8A31" w:rsidR="00B47E63" w:rsidRDefault="00B47E63" w:rsidP="007F2D66">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725,379</w:t>
            </w:r>
          </w:p>
        </w:tc>
        <w:tc>
          <w:tcPr>
            <w:tcW w:w="1849" w:type="dxa"/>
            <w:tcBorders>
              <w:top w:val="none" w:sz="0" w:space="0" w:color="auto"/>
              <w:left w:val="none" w:sz="0" w:space="0" w:color="auto"/>
              <w:bottom w:val="none" w:sz="0" w:space="0" w:color="auto"/>
              <w:right w:val="none" w:sz="0" w:space="0" w:color="auto"/>
            </w:tcBorders>
          </w:tcPr>
          <w:p w14:paraId="7F8C8BA3" w14:textId="7298592F" w:rsidR="00B47E63" w:rsidRDefault="00B47E63" w:rsidP="007F2D66">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4DD5E96B" w14:textId="59A242AE" w:rsidR="00B47E63" w:rsidRDefault="00B47E63" w:rsidP="007F2D66">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725,770</w:t>
            </w:r>
          </w:p>
        </w:tc>
        <w:tc>
          <w:tcPr>
            <w:tcW w:w="1850" w:type="dxa"/>
            <w:tcBorders>
              <w:top w:val="none" w:sz="0" w:space="0" w:color="auto"/>
              <w:left w:val="none" w:sz="0" w:space="0" w:color="auto"/>
              <w:bottom w:val="none" w:sz="0" w:space="0" w:color="auto"/>
              <w:right w:val="none" w:sz="0" w:space="0" w:color="auto"/>
            </w:tcBorders>
          </w:tcPr>
          <w:p w14:paraId="22689BCB" w14:textId="40E4E88C" w:rsidR="00B47E63" w:rsidRDefault="00B47E63" w:rsidP="007F2D66">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0.725</w:t>
            </w:r>
          </w:p>
        </w:tc>
        <w:tc>
          <w:tcPr>
            <w:tcW w:w="1850" w:type="dxa"/>
            <w:tcBorders>
              <w:top w:val="none" w:sz="0" w:space="0" w:color="auto"/>
              <w:left w:val="none" w:sz="0" w:space="0" w:color="auto"/>
              <w:bottom w:val="none" w:sz="0" w:space="0" w:color="auto"/>
              <w:right w:val="none" w:sz="0" w:space="0" w:color="auto"/>
            </w:tcBorders>
          </w:tcPr>
          <w:p w14:paraId="222D8022" w14:textId="28BA2CCF" w:rsidR="00B47E63" w:rsidRDefault="00B47E63" w:rsidP="007F2D66">
            <w:pPr>
              <w:pStyle w:val="TableLeftText"/>
              <w:jc w:val="right"/>
              <w:cnfStyle w:val="000000100000" w:firstRow="0" w:lastRow="0" w:firstColumn="0" w:lastColumn="0" w:oddVBand="0" w:evenVBand="0" w:oddHBand="1" w:evenHBand="0" w:firstRowFirstColumn="0" w:firstRowLastColumn="0" w:lastRowFirstColumn="0" w:lastRowLastColumn="0"/>
              <w:rPr>
                <w:color w:val="4A4D56"/>
              </w:rPr>
            </w:pPr>
            <w:r>
              <w:rPr>
                <w:color w:val="4A4D56"/>
              </w:rPr>
              <w:t>526,028</w:t>
            </w:r>
          </w:p>
        </w:tc>
      </w:tr>
      <w:tr w:rsidR="00B47E63" w:rsidRPr="00EE3D49" w14:paraId="4EB9A1BC"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1051F9C" w14:textId="363D6F35" w:rsidR="00B47E63" w:rsidRPr="00E16AD5" w:rsidRDefault="00B47E63" w:rsidP="00B47E63">
            <w:pPr>
              <w:pStyle w:val="TableLeftText"/>
              <w:rPr>
                <w:rFonts w:ascii="Franklin Gothic Medium" w:hAnsi="Franklin Gothic Medium"/>
              </w:rPr>
            </w:pPr>
            <w:r w:rsidRPr="00E16AD5">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2C9A6B88" w14:textId="4720B0B9" w:rsidR="00B47E63" w:rsidRPr="00E16AD5"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1,555,181</w:t>
            </w:r>
          </w:p>
        </w:tc>
        <w:tc>
          <w:tcPr>
            <w:tcW w:w="1849" w:type="dxa"/>
            <w:tcBorders>
              <w:top w:val="none" w:sz="0" w:space="0" w:color="auto"/>
              <w:left w:val="none" w:sz="0" w:space="0" w:color="auto"/>
              <w:bottom w:val="none" w:sz="0" w:space="0" w:color="auto"/>
              <w:right w:val="none" w:sz="0" w:space="0" w:color="auto"/>
            </w:tcBorders>
          </w:tcPr>
          <w:p w14:paraId="3B1BFB4D" w14:textId="48523F61" w:rsidR="00B47E63" w:rsidRPr="00E16AD5"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100%</w:t>
            </w:r>
          </w:p>
        </w:tc>
        <w:tc>
          <w:tcPr>
            <w:tcW w:w="1849" w:type="dxa"/>
            <w:tcBorders>
              <w:top w:val="none" w:sz="0" w:space="0" w:color="auto"/>
              <w:left w:val="none" w:sz="0" w:space="0" w:color="auto"/>
              <w:bottom w:val="none" w:sz="0" w:space="0" w:color="auto"/>
              <w:right w:val="none" w:sz="0" w:space="0" w:color="auto"/>
            </w:tcBorders>
          </w:tcPr>
          <w:p w14:paraId="3B8489F9" w14:textId="04641A9E" w:rsidR="00B47E63" w:rsidRPr="00E16AD5"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1,560,052</w:t>
            </w:r>
          </w:p>
        </w:tc>
        <w:tc>
          <w:tcPr>
            <w:tcW w:w="1850" w:type="dxa"/>
            <w:tcBorders>
              <w:top w:val="none" w:sz="0" w:space="0" w:color="auto"/>
              <w:left w:val="none" w:sz="0" w:space="0" w:color="auto"/>
              <w:bottom w:val="none" w:sz="0" w:space="0" w:color="auto"/>
              <w:right w:val="none" w:sz="0" w:space="0" w:color="auto"/>
            </w:tcBorders>
          </w:tcPr>
          <w:p w14:paraId="66ADD67E" w14:textId="1D4D2E9A" w:rsidR="00B47E63" w:rsidRPr="00E16AD5"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0.717</w:t>
            </w:r>
          </w:p>
        </w:tc>
        <w:tc>
          <w:tcPr>
            <w:tcW w:w="1850" w:type="dxa"/>
            <w:tcBorders>
              <w:top w:val="none" w:sz="0" w:space="0" w:color="auto"/>
              <w:left w:val="none" w:sz="0" w:space="0" w:color="auto"/>
              <w:bottom w:val="none" w:sz="0" w:space="0" w:color="auto"/>
              <w:right w:val="none" w:sz="0" w:space="0" w:color="auto"/>
            </w:tcBorders>
          </w:tcPr>
          <w:p w14:paraId="360A9317" w14:textId="16CD978B" w:rsidR="00B47E63" w:rsidRPr="00E16AD5" w:rsidRDefault="00B47E63"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16AD5">
              <w:rPr>
                <w:rFonts w:ascii="Franklin Gothic Medium" w:hAnsi="Franklin Gothic Medium"/>
                <w:color w:val="4A4D56"/>
              </w:rPr>
              <w:t>1,119,276</w:t>
            </w:r>
          </w:p>
        </w:tc>
      </w:tr>
    </w:tbl>
    <w:p w14:paraId="476E648B" w14:textId="0D7A86DB" w:rsidR="00521F3D" w:rsidRDefault="00521F3D" w:rsidP="00521F3D">
      <w:pPr>
        <w:pStyle w:val="TableFootnote"/>
      </w:pPr>
      <w:r w:rsidRPr="00521F3D">
        <w:t xml:space="preserve">Note: The savings presented in this table only reflect </w:t>
      </w:r>
      <w:r w:rsidR="00286D4F">
        <w:t>those</w:t>
      </w:r>
      <w:r w:rsidRPr="00521F3D">
        <w:t xml:space="preserve"> directly claimable by AIC. </w:t>
      </w:r>
      <w:r w:rsidR="00875F07">
        <w:t>One</w:t>
      </w:r>
      <w:r w:rsidRPr="00521F3D">
        <w:t xml:space="preserve"> additional project produced non-AIC gas savings. More information on these savings are presented in </w:t>
      </w:r>
      <w:r>
        <w:fldChar w:fldCharType="begin"/>
      </w:r>
      <w:r>
        <w:instrText xml:space="preserve"> REF _Ref187069776 \n \h </w:instrText>
      </w:r>
      <w:r>
        <w:fldChar w:fldCharType="separate"/>
      </w:r>
      <w:r w:rsidR="00AA10F4">
        <w:t>Appendix B</w:t>
      </w:r>
      <w:r>
        <w:fldChar w:fldCharType="end"/>
      </w:r>
      <w:r w:rsidRPr="00521F3D">
        <w:t>.</w:t>
      </w:r>
    </w:p>
    <w:p w14:paraId="7FE2C1B7" w14:textId="7FA226B9" w:rsidR="0095523D" w:rsidRDefault="0095523D" w:rsidP="002220FC">
      <w:pPr>
        <w:spacing w:before="240"/>
      </w:pPr>
      <w:r>
        <w:t xml:space="preserve">We discuss </w:t>
      </w:r>
      <w:r w:rsidR="00240463">
        <w:t xml:space="preserve">significant </w:t>
      </w:r>
      <w:r>
        <w:t>discrepancies between ex ante claims and the verified analysis below.</w:t>
      </w:r>
    </w:p>
    <w:p w14:paraId="08E4BD63" w14:textId="2B9EB4B6" w:rsidR="00F8419C" w:rsidRDefault="00C22186" w:rsidP="00F8419C">
      <w:pPr>
        <w:pStyle w:val="ListBullet"/>
        <w:numPr>
          <w:ilvl w:val="0"/>
          <w:numId w:val="25"/>
        </w:numPr>
        <w:ind w:left="465" w:hanging="285"/>
      </w:pPr>
      <w:r>
        <w:rPr>
          <w:b/>
          <w:bCs/>
        </w:rPr>
        <w:t>VFDs</w:t>
      </w:r>
      <w:r w:rsidR="00F8419C">
        <w:t xml:space="preserve"> (22% of ex ante electric energy savings and 19% of demand savings): The gross realization rates for VFDs are 88% for electric energy and 93% for demand savings.</w:t>
      </w:r>
    </w:p>
    <w:p w14:paraId="4A424283" w14:textId="5A8C1E3B" w:rsidR="00F8419C" w:rsidRDefault="00F8419C" w:rsidP="00F8419C">
      <w:pPr>
        <w:pStyle w:val="ListBullet2"/>
        <w:numPr>
          <w:ilvl w:val="1"/>
          <w:numId w:val="25"/>
        </w:numPr>
        <w:ind w:left="735" w:hanging="285"/>
      </w:pPr>
      <w:r>
        <w:t>The evaluation team limits savings for VFDs installed on process pumps and process fans to 42% and 67% of the baseline energy usage, respectively.</w:t>
      </w:r>
      <w:r w:rsidR="00FD5696">
        <w:rPr>
          <w:rStyle w:val="FootnoteReference"/>
        </w:rPr>
        <w:footnoteReference w:id="19"/>
      </w:r>
      <w:r>
        <w:t xml:space="preserve"> </w:t>
      </w:r>
      <w:r w:rsidR="00286D4F">
        <w:t>The implementation team did not apply the 67% limit to the baseline energy usage for five VFDs installed on process fans. This discrepancy accounts for nearly all of the differences between ex ante and verified savings for the VFD offering</w:t>
      </w:r>
      <w:r>
        <w:t xml:space="preserve"> and resulted in</w:t>
      </w:r>
      <w:r w:rsidR="00A23EB9">
        <w:t xml:space="preserve"> </w:t>
      </w:r>
      <w:r>
        <w:t xml:space="preserve">a </w:t>
      </w:r>
      <w:r w:rsidR="00A23EB9">
        <w:t>decrease</w:t>
      </w:r>
      <w:r>
        <w:t xml:space="preserve"> in verified electric energy and demand savings.</w:t>
      </w:r>
    </w:p>
    <w:p w14:paraId="6AFE7EFB" w14:textId="52AB0647" w:rsidR="00F8419C" w:rsidRDefault="00C22186" w:rsidP="00F8419C">
      <w:pPr>
        <w:pStyle w:val="ListBullet"/>
        <w:numPr>
          <w:ilvl w:val="0"/>
          <w:numId w:val="25"/>
        </w:numPr>
        <w:ind w:left="465" w:hanging="285"/>
      </w:pPr>
      <w:r w:rsidRPr="00C22186">
        <w:rPr>
          <w:b/>
          <w:bCs/>
        </w:rPr>
        <w:t>HVAC</w:t>
      </w:r>
      <w:r w:rsidR="00F8419C">
        <w:t xml:space="preserve"> (4% of ex ante electric energy savings, 2% of demand savings, and 34% of </w:t>
      </w:r>
      <w:r w:rsidR="00A32E0B">
        <w:t>gas</w:t>
      </w:r>
      <w:r w:rsidR="00F8419C">
        <w:t xml:space="preserve"> savings): The gross realization rates for HVAC are 97% for electric energy, 90% for demand, and 101% for </w:t>
      </w:r>
      <w:r w:rsidR="00A32E0B">
        <w:t>gas</w:t>
      </w:r>
      <w:r w:rsidR="00F8419C">
        <w:t xml:space="preserve"> savings.</w:t>
      </w:r>
    </w:p>
    <w:p w14:paraId="405A4E2E" w14:textId="5B117C0E" w:rsidR="00F8419C" w:rsidRDefault="00F8419C" w:rsidP="00F8419C">
      <w:pPr>
        <w:pStyle w:val="ListBullet2"/>
        <w:numPr>
          <w:ilvl w:val="1"/>
          <w:numId w:val="25"/>
        </w:numPr>
        <w:ind w:left="735" w:hanging="285"/>
      </w:pPr>
      <w:r>
        <w:t xml:space="preserve">The primary driver </w:t>
      </w:r>
      <w:r w:rsidR="00A23EB9">
        <w:t>of</w:t>
      </w:r>
      <w:r>
        <w:t xml:space="preserve"> the HVAC electric energy and demand realization rates was the VFD for HVAC supply and return fans measure. The evaluation team observed two discrepancies. The first was a seemingly anomalous issue with one project where the ex ante savings did not match what the evaluation team calculated when applying the implementation team’s algorithms programmed in</w:t>
      </w:r>
      <w:r w:rsidR="00E16AD5">
        <w:t xml:space="preserve"> the Ameren Leidos Energy Efficiency Tracker (</w:t>
      </w:r>
      <w:r>
        <w:t>ALEET</w:t>
      </w:r>
      <w:r w:rsidR="00E16AD5">
        <w:t>)</w:t>
      </w:r>
      <w:r>
        <w:t xml:space="preserve">. The replicated ex ante savings matched the verified savings calculated by the evaluation team. The </w:t>
      </w:r>
      <w:r>
        <w:lastRenderedPageBreak/>
        <w:t>discrepancies for this project resulted in decrease</w:t>
      </w:r>
      <w:r w:rsidR="000F4523">
        <w:t>d</w:t>
      </w:r>
      <w:r>
        <w:t xml:space="preserve"> verified electric energy and demand savings. The second discrepancy </w:t>
      </w:r>
      <w:r w:rsidR="00E16AD5">
        <w:t xml:space="preserve">was observed </w:t>
      </w:r>
      <w:r>
        <w:t xml:space="preserve">between the new and existing control strategies listed in the Initiative tracking data compared to the signed project application. For three measures, an existing control strategy of “no control or bypass damper” was listed in the Initiative tracking data, while “outlet control valve” was listed in the application. The evaluation </w:t>
      </w:r>
      <w:r w:rsidR="000F4523">
        <w:t xml:space="preserve">team </w:t>
      </w:r>
      <w:r>
        <w:t xml:space="preserve">applied the discharge damper control strategy for those measures. For two measures, the Initiative tracking data listed VFD with low/no duct static pressure control as the new control strategy, while the signed application listed VFD with duct static pressure control, which has a slightly lower control efficiency. The evaluation team applied assumptions based on the control strategies listed in the project applications in the verified savings calculations. These differences resulted in </w:t>
      </w:r>
      <w:r w:rsidR="000F4523">
        <w:t>decreased verified</w:t>
      </w:r>
      <w:r>
        <w:t xml:space="preserve"> electric energy and demand </w:t>
      </w:r>
      <w:r w:rsidR="00CA4ECF">
        <w:t>savings</w:t>
      </w:r>
      <w:r>
        <w:t>.</w:t>
      </w:r>
    </w:p>
    <w:p w14:paraId="6376233C" w14:textId="7EA01413" w:rsidR="00F8419C" w:rsidRDefault="00F8419C" w:rsidP="00F8419C">
      <w:pPr>
        <w:pStyle w:val="ListBullet2"/>
        <w:numPr>
          <w:ilvl w:val="1"/>
          <w:numId w:val="25"/>
        </w:numPr>
        <w:ind w:left="735" w:hanging="285"/>
      </w:pPr>
      <w:r>
        <w:t>For the three high efficiency boiler projects (n=5 measures), the implementation team applied the baseline efficiency rating for boilers with capacities over 2.5 MMBtu from IL-TRM V12.0. The evaluation team applied the value from the IL-TRM V12.0 errata, which updated baseline efficiencies for units of that capacity. Th</w:t>
      </w:r>
      <w:r w:rsidR="000F4523">
        <w:t xml:space="preserve">is resulted in an overall </w:t>
      </w:r>
      <w:r>
        <w:t>increase in</w:t>
      </w:r>
      <w:r w:rsidR="000F4523">
        <w:t xml:space="preserve"> verified</w:t>
      </w:r>
      <w:r>
        <w:t xml:space="preserve"> gas savings.</w:t>
      </w:r>
    </w:p>
    <w:p w14:paraId="46329D8C" w14:textId="3BCE3AC5" w:rsidR="00F8419C" w:rsidRDefault="00C22186" w:rsidP="00F8419C">
      <w:pPr>
        <w:pStyle w:val="ListBullet"/>
        <w:numPr>
          <w:ilvl w:val="0"/>
          <w:numId w:val="25"/>
        </w:numPr>
        <w:ind w:left="465" w:hanging="285"/>
      </w:pPr>
      <w:r w:rsidRPr="00C22186">
        <w:rPr>
          <w:b/>
          <w:bCs/>
        </w:rPr>
        <w:t>STRR</w:t>
      </w:r>
      <w:r w:rsidR="00F8419C">
        <w:t xml:space="preserve"> (&lt;1% of ex ante electric energy savings and 47% of </w:t>
      </w:r>
      <w:r w:rsidR="00A32E0B">
        <w:t>gas</w:t>
      </w:r>
      <w:r w:rsidR="00F8419C">
        <w:t xml:space="preserve"> savings): The gross realization rates for STRR are 101% for electric energy and 100% for </w:t>
      </w:r>
      <w:r w:rsidR="00A32E0B">
        <w:t>gas</w:t>
      </w:r>
      <w:r w:rsidR="00F8419C">
        <w:t xml:space="preserve"> savings.</w:t>
      </w:r>
    </w:p>
    <w:p w14:paraId="1ED2DB27" w14:textId="19C97621" w:rsidR="00F8419C" w:rsidRDefault="00F8419C" w:rsidP="00F8419C">
      <w:pPr>
        <w:pStyle w:val="ListBullet2"/>
        <w:numPr>
          <w:ilvl w:val="1"/>
          <w:numId w:val="25"/>
        </w:numPr>
        <w:ind w:left="735" w:hanging="285"/>
      </w:pPr>
      <w:r>
        <w:t xml:space="preserve">For steam trap monitoring system projects (n=3), the implementation team applied the IL-TRM V12.0 deemed savings, while the evaluation team calculated savings following the IL-TRM V12.0 algorithm and assumptions. </w:t>
      </w:r>
      <w:r w:rsidR="000A14F4">
        <w:t xml:space="preserve">The difference between the deemed and calculated gas savings ranged from </w:t>
      </w:r>
      <w:r w:rsidR="00110FA1">
        <w:t>-</w:t>
      </w:r>
      <w:r w:rsidR="000A14F4">
        <w:t>32% to 34% for the individual projects</w:t>
      </w:r>
      <w:r>
        <w:t xml:space="preserve">. </w:t>
      </w:r>
      <w:r w:rsidR="00B56707">
        <w:t>Overall, this resulted in lower verified gas savings</w:t>
      </w:r>
      <w:r>
        <w:t>.</w:t>
      </w:r>
    </w:p>
    <w:p w14:paraId="41FA9310" w14:textId="4CFA515D" w:rsidR="002E7602" w:rsidRDefault="002E7602" w:rsidP="000071FF">
      <w:pPr>
        <w:pStyle w:val="Heading3"/>
        <w:tabs>
          <w:tab w:val="clear" w:pos="2160"/>
          <w:tab w:val="num" w:pos="1080"/>
        </w:tabs>
        <w:ind w:left="0"/>
      </w:pPr>
      <w:bookmarkStart w:id="72" w:name="_Toc191992414"/>
      <w:r>
        <w:t>Online Store Channel</w:t>
      </w:r>
      <w:bookmarkEnd w:id="72"/>
    </w:p>
    <w:p w14:paraId="1BFB8245" w14:textId="41934523" w:rsidR="00D2764E" w:rsidRPr="00D2764E" w:rsidRDefault="00D2764E" w:rsidP="00D2764E">
      <w:r>
        <w:t xml:space="preserve">The following sections present the impact evaluation results for the 2024 Online Store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1E4564AF" w14:textId="7773B120" w:rsidR="002E7602" w:rsidRDefault="002E7602" w:rsidP="002E7602">
      <w:pPr>
        <w:pStyle w:val="Heading4"/>
      </w:pPr>
      <w:r>
        <w:t>Channel Description</w:t>
      </w:r>
    </w:p>
    <w:p w14:paraId="2C863C32" w14:textId="5B90C167" w:rsidR="002E7602" w:rsidRDefault="002C18DF" w:rsidP="002E7602">
      <w:r>
        <w:t xml:space="preserve">The Online Store channel within the Standard Initiative provides a convenient e-commerce alternative to purchase energy-efficient technologies (e.g., LEDs, advanced thermostats, and advanced power strips). The Online Store channel </w:t>
      </w:r>
      <w:r w:rsidR="000A14F4">
        <w:t>is also</w:t>
      </w:r>
      <w:r>
        <w:t xml:space="preserve"> a resource for educating private and public sector customers about the benefits of energy-efficient products and is available to all AIC business customers. </w:t>
      </w:r>
    </w:p>
    <w:p w14:paraId="57598DFC" w14:textId="627E9200" w:rsidR="002E7602" w:rsidRDefault="006D0CB9" w:rsidP="00612B6A">
      <w:pPr>
        <w:pStyle w:val="Heading4"/>
        <w:keepNext/>
        <w:keepLines/>
      </w:pPr>
      <w:r>
        <w:t>Participation Summary</w:t>
      </w:r>
    </w:p>
    <w:p w14:paraId="72AD304C" w14:textId="3D708110" w:rsidR="002724DB" w:rsidRDefault="002724DB" w:rsidP="00612B6A">
      <w:pPr>
        <w:keepNext/>
        <w:keepLines/>
      </w:pPr>
      <w:r>
        <w:fldChar w:fldCharType="begin"/>
      </w:r>
      <w:r>
        <w:instrText xml:space="preserve"> REF _Ref188878411 \h </w:instrText>
      </w:r>
      <w:r>
        <w:fldChar w:fldCharType="separate"/>
      </w:r>
      <w:r w:rsidR="00AA10F4">
        <w:t xml:space="preserve">Table </w:t>
      </w:r>
      <w:r w:rsidR="00AA10F4">
        <w:rPr>
          <w:noProof/>
        </w:rPr>
        <w:t>12</w:t>
      </w:r>
      <w:r>
        <w:fldChar w:fldCharType="end"/>
      </w:r>
      <w:r>
        <w:t xml:space="preserve"> presents a summary of participation through the Online Store channel in 2024. In total, </w:t>
      </w:r>
      <w:r w:rsidR="00B56707">
        <w:t>the channel</w:t>
      </w:r>
      <w:r>
        <w:t xml:space="preserve"> incentivized the purchase of </w:t>
      </w:r>
      <w:r w:rsidR="007E56F0">
        <w:t xml:space="preserve">6,108 </w:t>
      </w:r>
      <w:r>
        <w:t>units of efficient equipment.</w:t>
      </w:r>
    </w:p>
    <w:p w14:paraId="5E56E0FA" w14:textId="24B3B014" w:rsidR="002724DB" w:rsidRDefault="002724DB" w:rsidP="00612B6A">
      <w:pPr>
        <w:pStyle w:val="Caption"/>
      </w:pPr>
      <w:bookmarkStart w:id="73" w:name="_Ref188878411"/>
      <w:bookmarkStart w:id="74" w:name="_Toc191992533"/>
      <w:bookmarkStart w:id="75" w:name="_Toc192766946"/>
      <w:r>
        <w:t xml:space="preserve">Table </w:t>
      </w:r>
      <w:r w:rsidR="009B4C9A">
        <w:fldChar w:fldCharType="begin"/>
      </w:r>
      <w:r w:rsidR="009B4C9A">
        <w:instrText xml:space="preserve"> SEQ Table \* ARABIC </w:instrText>
      </w:r>
      <w:r w:rsidR="009B4C9A">
        <w:fldChar w:fldCharType="separate"/>
      </w:r>
      <w:r w:rsidR="00AA10F4">
        <w:rPr>
          <w:noProof/>
        </w:rPr>
        <w:t>12</w:t>
      </w:r>
      <w:r w:rsidR="009B4C9A">
        <w:rPr>
          <w:noProof/>
        </w:rPr>
        <w:fldChar w:fldCharType="end"/>
      </w:r>
      <w:bookmarkEnd w:id="73"/>
      <w:r>
        <w:t>. 2024 Online Store Channel Participation Summary by Measure</w:t>
      </w:r>
      <w:bookmarkEnd w:id="74"/>
      <w:bookmarkEnd w:id="75"/>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3260"/>
        <w:gridCol w:w="1951"/>
        <w:gridCol w:w="2137"/>
        <w:gridCol w:w="2008"/>
        <w:gridCol w:w="1740"/>
      </w:tblGrid>
      <w:tr w:rsidR="00E01563" w14:paraId="7948D830" w14:textId="77777777" w:rsidTr="00612B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476EC406" w14:textId="77777777" w:rsidR="00E01563" w:rsidRDefault="00E01563" w:rsidP="00612B6A">
            <w:pPr>
              <w:pStyle w:val="TableHeadingLeft"/>
              <w:keepNext/>
              <w:keepLines/>
            </w:pPr>
            <w:bookmarkStart w:id="76" w:name="_Hlk188879317"/>
            <w:r>
              <w:t>Measure Category</w:t>
            </w:r>
          </w:p>
        </w:tc>
        <w:tc>
          <w:tcPr>
            <w:tcW w:w="879" w:type="pct"/>
            <w:tcBorders>
              <w:bottom w:val="none" w:sz="0" w:space="0" w:color="auto"/>
            </w:tcBorders>
          </w:tcPr>
          <w:p w14:paraId="13E1A25A" w14:textId="77777777" w:rsidR="00E01563" w:rsidRDefault="00E01563" w:rsidP="00612B6A">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Quantity</w:t>
            </w:r>
          </w:p>
        </w:tc>
        <w:tc>
          <w:tcPr>
            <w:tcW w:w="963" w:type="pct"/>
            <w:tcBorders>
              <w:bottom w:val="none" w:sz="0" w:space="0" w:color="auto"/>
            </w:tcBorders>
          </w:tcPr>
          <w:p w14:paraId="521E0DC4" w14:textId="77777777" w:rsidR="00E01563" w:rsidRDefault="00E01563" w:rsidP="00612B6A">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905" w:type="pct"/>
            <w:tcBorders>
              <w:bottom w:val="none" w:sz="0" w:space="0" w:color="auto"/>
            </w:tcBorders>
          </w:tcPr>
          <w:p w14:paraId="66030572" w14:textId="77777777" w:rsidR="00E01563" w:rsidRDefault="00E01563" w:rsidP="00612B6A">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w:t>
            </w:r>
          </w:p>
        </w:tc>
        <w:tc>
          <w:tcPr>
            <w:tcW w:w="784" w:type="pct"/>
            <w:tcBorders>
              <w:bottom w:val="none" w:sz="0" w:space="0" w:color="auto"/>
            </w:tcBorders>
          </w:tcPr>
          <w:p w14:paraId="1CF4E02D" w14:textId="77777777" w:rsidR="00E01563" w:rsidRDefault="00E01563" w:rsidP="00612B6A">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Therms</w:t>
            </w:r>
          </w:p>
        </w:tc>
      </w:tr>
      <w:tr w:rsidR="00E01563" w14:paraId="618A8522"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tcPr>
          <w:p w14:paraId="2919E59D" w14:textId="6582B4AD" w:rsidR="00E01563" w:rsidRPr="00E01563" w:rsidRDefault="00E01563" w:rsidP="00612B6A">
            <w:pPr>
              <w:keepNext/>
              <w:keepLines/>
              <w:rPr>
                <w:rFonts w:asciiTheme="majorHAnsi" w:hAnsiTheme="majorHAnsi"/>
              </w:rPr>
            </w:pPr>
            <w:r w:rsidRPr="00E01563">
              <w:rPr>
                <w:rFonts w:asciiTheme="majorHAnsi" w:hAnsiTheme="majorHAnsi"/>
                <w:color w:val="FFFFFF" w:themeColor="background1"/>
              </w:rPr>
              <w:t>Private Sector</w:t>
            </w:r>
          </w:p>
        </w:tc>
      </w:tr>
      <w:tr w:rsidR="00E01563" w14:paraId="31FEB265"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05C8ADE8" w14:textId="7D7985E1" w:rsidR="00E01563" w:rsidRDefault="00E01563" w:rsidP="00612B6A">
            <w:r>
              <w:t>Advanced Thermostats</w:t>
            </w:r>
          </w:p>
        </w:tc>
        <w:tc>
          <w:tcPr>
            <w:tcW w:w="879" w:type="pct"/>
            <w:tcBorders>
              <w:top w:val="none" w:sz="0" w:space="0" w:color="auto"/>
              <w:left w:val="none" w:sz="0" w:space="0" w:color="auto"/>
              <w:bottom w:val="none" w:sz="0" w:space="0" w:color="auto"/>
              <w:right w:val="none" w:sz="0" w:space="0" w:color="auto"/>
            </w:tcBorders>
          </w:tcPr>
          <w:p w14:paraId="4BCE1A7C" w14:textId="48599E2C" w:rsidR="00E01563" w:rsidRDefault="00E01563" w:rsidP="00612B6A">
            <w:pPr>
              <w:jc w:val="right"/>
              <w:cnfStyle w:val="000000010000" w:firstRow="0" w:lastRow="0" w:firstColumn="0" w:lastColumn="0" w:oddVBand="0" w:evenVBand="0" w:oddHBand="0" w:evenHBand="1" w:firstRowFirstColumn="0" w:firstRowLastColumn="0" w:lastRowFirstColumn="0" w:lastRowLastColumn="0"/>
            </w:pPr>
            <w:r>
              <w:t>1,4</w:t>
            </w:r>
            <w:r w:rsidR="007E56F0">
              <w:t>57</w:t>
            </w:r>
          </w:p>
        </w:tc>
        <w:tc>
          <w:tcPr>
            <w:tcW w:w="963" w:type="pct"/>
            <w:tcBorders>
              <w:top w:val="none" w:sz="0" w:space="0" w:color="auto"/>
              <w:left w:val="none" w:sz="0" w:space="0" w:color="auto"/>
              <w:bottom w:val="none" w:sz="0" w:space="0" w:color="auto"/>
              <w:right w:val="none" w:sz="0" w:space="0" w:color="auto"/>
            </w:tcBorders>
          </w:tcPr>
          <w:p w14:paraId="3CDAEAA1" w14:textId="3115D307" w:rsidR="00E01563" w:rsidRDefault="007E56F0" w:rsidP="00612B6A">
            <w:pPr>
              <w:jc w:val="right"/>
              <w:cnfStyle w:val="000000010000" w:firstRow="0" w:lastRow="0" w:firstColumn="0" w:lastColumn="0" w:oddVBand="0" w:evenVBand="0" w:oddHBand="0" w:evenHBand="1" w:firstRowFirstColumn="0" w:firstRowLastColumn="0" w:lastRowFirstColumn="0" w:lastRowLastColumn="0"/>
            </w:pPr>
            <w:r w:rsidRPr="00862C32">
              <w:t>1</w:t>
            </w:r>
            <w:r>
              <w:t>,</w:t>
            </w:r>
            <w:r w:rsidRPr="00862C32">
              <w:t>8</w:t>
            </w:r>
            <w:r>
              <w:t>70</w:t>
            </w:r>
          </w:p>
        </w:tc>
        <w:tc>
          <w:tcPr>
            <w:tcW w:w="905" w:type="pct"/>
            <w:tcBorders>
              <w:top w:val="none" w:sz="0" w:space="0" w:color="auto"/>
              <w:left w:val="none" w:sz="0" w:space="0" w:color="auto"/>
              <w:bottom w:val="none" w:sz="0" w:space="0" w:color="auto"/>
              <w:right w:val="none" w:sz="0" w:space="0" w:color="auto"/>
            </w:tcBorders>
          </w:tcPr>
          <w:p w14:paraId="3567E553" w14:textId="2D4D939A" w:rsidR="00E01563" w:rsidRDefault="00926338" w:rsidP="00612B6A">
            <w:pPr>
              <w:jc w:val="right"/>
              <w:cnfStyle w:val="000000010000" w:firstRow="0" w:lastRow="0" w:firstColumn="0" w:lastColumn="0" w:oddVBand="0" w:evenVBand="0" w:oddHBand="0" w:evenHBand="1" w:firstRowFirstColumn="0" w:firstRowLastColumn="0" w:lastRowFirstColumn="0" w:lastRowLastColumn="0"/>
            </w:pPr>
            <w:r>
              <w:t>0.</w:t>
            </w:r>
            <w:r w:rsidR="007E56F0">
              <w:t>50</w:t>
            </w:r>
          </w:p>
        </w:tc>
        <w:tc>
          <w:tcPr>
            <w:tcW w:w="784" w:type="pct"/>
            <w:tcBorders>
              <w:top w:val="none" w:sz="0" w:space="0" w:color="auto"/>
              <w:left w:val="none" w:sz="0" w:space="0" w:color="auto"/>
              <w:bottom w:val="none" w:sz="0" w:space="0" w:color="auto"/>
              <w:right w:val="none" w:sz="0" w:space="0" w:color="auto"/>
            </w:tcBorders>
          </w:tcPr>
          <w:p w14:paraId="6DD57BE3" w14:textId="14244F8B" w:rsidR="00E01563" w:rsidRDefault="009F50A8" w:rsidP="00612B6A">
            <w:pPr>
              <w:jc w:val="right"/>
              <w:cnfStyle w:val="000000010000" w:firstRow="0" w:lastRow="0" w:firstColumn="0" w:lastColumn="0" w:oddVBand="0" w:evenVBand="0" w:oddHBand="0" w:evenHBand="1" w:firstRowFirstColumn="0" w:firstRowLastColumn="0" w:lastRowFirstColumn="0" w:lastRowLastColumn="0"/>
            </w:pPr>
            <w:r>
              <w:t>106,</w:t>
            </w:r>
            <w:r w:rsidR="007E56F0">
              <w:t>788</w:t>
            </w:r>
          </w:p>
        </w:tc>
      </w:tr>
      <w:tr w:rsidR="00AD31B0" w14:paraId="1052B3DF"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6F88D527" w14:textId="50ACEC10" w:rsidR="00AD31B0" w:rsidRDefault="00AD31B0" w:rsidP="00612B6A">
            <w:r>
              <w:t>LED Bulbs and Fixtures</w:t>
            </w:r>
          </w:p>
        </w:tc>
        <w:tc>
          <w:tcPr>
            <w:tcW w:w="879" w:type="pct"/>
            <w:tcBorders>
              <w:top w:val="none" w:sz="0" w:space="0" w:color="auto"/>
              <w:left w:val="none" w:sz="0" w:space="0" w:color="auto"/>
              <w:bottom w:val="none" w:sz="0" w:space="0" w:color="auto"/>
              <w:right w:val="none" w:sz="0" w:space="0" w:color="auto"/>
            </w:tcBorders>
          </w:tcPr>
          <w:p w14:paraId="6F6631D6" w14:textId="14E8F536"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198</w:t>
            </w:r>
          </w:p>
        </w:tc>
        <w:tc>
          <w:tcPr>
            <w:tcW w:w="963" w:type="pct"/>
            <w:tcBorders>
              <w:top w:val="none" w:sz="0" w:space="0" w:color="auto"/>
              <w:left w:val="none" w:sz="0" w:space="0" w:color="auto"/>
              <w:bottom w:val="none" w:sz="0" w:space="0" w:color="auto"/>
              <w:right w:val="none" w:sz="0" w:space="0" w:color="auto"/>
            </w:tcBorders>
          </w:tcPr>
          <w:p w14:paraId="3E92E04B" w14:textId="4813D276" w:rsidR="00AD31B0" w:rsidRPr="00862C32" w:rsidRDefault="00AD31B0" w:rsidP="00612B6A">
            <w:pPr>
              <w:jc w:val="right"/>
              <w:cnfStyle w:val="000000100000" w:firstRow="0" w:lastRow="0" w:firstColumn="0" w:lastColumn="0" w:oddVBand="0" w:evenVBand="0" w:oddHBand="1" w:evenHBand="0" w:firstRowFirstColumn="0" w:firstRowLastColumn="0" w:lastRowFirstColumn="0" w:lastRowLastColumn="0"/>
            </w:pPr>
            <w:r>
              <w:t>144</w:t>
            </w:r>
          </w:p>
        </w:tc>
        <w:tc>
          <w:tcPr>
            <w:tcW w:w="905" w:type="pct"/>
            <w:tcBorders>
              <w:top w:val="none" w:sz="0" w:space="0" w:color="auto"/>
              <w:left w:val="none" w:sz="0" w:space="0" w:color="auto"/>
              <w:bottom w:val="none" w:sz="0" w:space="0" w:color="auto"/>
              <w:right w:val="none" w:sz="0" w:space="0" w:color="auto"/>
            </w:tcBorders>
          </w:tcPr>
          <w:p w14:paraId="23B37956" w14:textId="3B7DDB66"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0.01</w:t>
            </w:r>
          </w:p>
        </w:tc>
        <w:tc>
          <w:tcPr>
            <w:tcW w:w="784" w:type="pct"/>
            <w:tcBorders>
              <w:top w:val="none" w:sz="0" w:space="0" w:color="auto"/>
              <w:left w:val="none" w:sz="0" w:space="0" w:color="auto"/>
              <w:bottom w:val="none" w:sz="0" w:space="0" w:color="auto"/>
              <w:right w:val="none" w:sz="0" w:space="0" w:color="auto"/>
            </w:tcBorders>
          </w:tcPr>
          <w:p w14:paraId="374294C9" w14:textId="6656AC6C"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w:t>
            </w:r>
          </w:p>
        </w:tc>
      </w:tr>
      <w:tr w:rsidR="00AD31B0" w14:paraId="76FB1CD9"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5112F14E" w14:textId="3EE39ABF" w:rsidR="00AD31B0" w:rsidRDefault="00AD31B0" w:rsidP="00612B6A">
            <w:r>
              <w:t>Advanced Power Strips – Tier 1</w:t>
            </w:r>
          </w:p>
        </w:tc>
        <w:tc>
          <w:tcPr>
            <w:tcW w:w="879" w:type="pct"/>
            <w:tcBorders>
              <w:top w:val="none" w:sz="0" w:space="0" w:color="auto"/>
              <w:left w:val="none" w:sz="0" w:space="0" w:color="auto"/>
              <w:bottom w:val="none" w:sz="0" w:space="0" w:color="auto"/>
              <w:right w:val="none" w:sz="0" w:space="0" w:color="auto"/>
            </w:tcBorders>
          </w:tcPr>
          <w:p w14:paraId="5EC01CF1" w14:textId="724D1ED9"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1,587</w:t>
            </w:r>
          </w:p>
        </w:tc>
        <w:tc>
          <w:tcPr>
            <w:tcW w:w="963" w:type="pct"/>
            <w:tcBorders>
              <w:top w:val="none" w:sz="0" w:space="0" w:color="auto"/>
              <w:left w:val="none" w:sz="0" w:space="0" w:color="auto"/>
              <w:bottom w:val="none" w:sz="0" w:space="0" w:color="auto"/>
              <w:right w:val="none" w:sz="0" w:space="0" w:color="auto"/>
            </w:tcBorders>
          </w:tcPr>
          <w:p w14:paraId="0B234111" w14:textId="6EF2D3B7" w:rsidR="00AD31B0" w:rsidRPr="00862C32" w:rsidRDefault="00AD31B0" w:rsidP="00612B6A">
            <w:pPr>
              <w:jc w:val="right"/>
              <w:cnfStyle w:val="000000010000" w:firstRow="0" w:lastRow="0" w:firstColumn="0" w:lastColumn="0" w:oddVBand="0" w:evenVBand="0" w:oddHBand="0" w:evenHBand="1" w:firstRowFirstColumn="0" w:firstRowLastColumn="0" w:lastRowFirstColumn="0" w:lastRowLastColumn="0"/>
            </w:pPr>
            <w:r>
              <w:t>126</w:t>
            </w:r>
          </w:p>
        </w:tc>
        <w:tc>
          <w:tcPr>
            <w:tcW w:w="905" w:type="pct"/>
            <w:tcBorders>
              <w:top w:val="none" w:sz="0" w:space="0" w:color="auto"/>
              <w:left w:val="none" w:sz="0" w:space="0" w:color="auto"/>
              <w:bottom w:val="none" w:sz="0" w:space="0" w:color="auto"/>
              <w:right w:val="none" w:sz="0" w:space="0" w:color="auto"/>
            </w:tcBorders>
          </w:tcPr>
          <w:p w14:paraId="6283D1C9" w14:textId="3B9DC8F7"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0.00</w:t>
            </w:r>
          </w:p>
        </w:tc>
        <w:tc>
          <w:tcPr>
            <w:tcW w:w="784" w:type="pct"/>
            <w:tcBorders>
              <w:top w:val="none" w:sz="0" w:space="0" w:color="auto"/>
              <w:left w:val="none" w:sz="0" w:space="0" w:color="auto"/>
              <w:bottom w:val="none" w:sz="0" w:space="0" w:color="auto"/>
              <w:right w:val="none" w:sz="0" w:space="0" w:color="auto"/>
            </w:tcBorders>
          </w:tcPr>
          <w:p w14:paraId="7613F717" w14:textId="47D717B3"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0</w:t>
            </w:r>
          </w:p>
        </w:tc>
      </w:tr>
      <w:tr w:rsidR="00AD31B0" w14:paraId="1968DCC9"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28738847" w14:textId="7A31AA88" w:rsidR="00AD31B0" w:rsidRDefault="00AD31B0" w:rsidP="00612B6A">
            <w:pPr>
              <w:keepNext/>
              <w:keepLines/>
            </w:pPr>
            <w:r>
              <w:lastRenderedPageBreak/>
              <w:t>Smart Sockets</w:t>
            </w:r>
          </w:p>
        </w:tc>
        <w:tc>
          <w:tcPr>
            <w:tcW w:w="879" w:type="pct"/>
            <w:tcBorders>
              <w:top w:val="none" w:sz="0" w:space="0" w:color="auto"/>
              <w:left w:val="none" w:sz="0" w:space="0" w:color="auto"/>
              <w:bottom w:val="none" w:sz="0" w:space="0" w:color="auto"/>
              <w:right w:val="none" w:sz="0" w:space="0" w:color="auto"/>
            </w:tcBorders>
          </w:tcPr>
          <w:p w14:paraId="73CC9B5E" w14:textId="03ECFD56" w:rsidR="00AD31B0" w:rsidRDefault="00AD31B0" w:rsidP="00612B6A">
            <w:pPr>
              <w:keepNext/>
              <w:keepLines/>
              <w:jc w:val="right"/>
              <w:cnfStyle w:val="000000100000" w:firstRow="0" w:lastRow="0" w:firstColumn="0" w:lastColumn="0" w:oddVBand="0" w:evenVBand="0" w:oddHBand="1" w:evenHBand="0" w:firstRowFirstColumn="0" w:firstRowLastColumn="0" w:lastRowFirstColumn="0" w:lastRowLastColumn="0"/>
            </w:pPr>
            <w:r>
              <w:t>166</w:t>
            </w:r>
          </w:p>
        </w:tc>
        <w:tc>
          <w:tcPr>
            <w:tcW w:w="963" w:type="pct"/>
            <w:tcBorders>
              <w:top w:val="none" w:sz="0" w:space="0" w:color="auto"/>
              <w:left w:val="none" w:sz="0" w:space="0" w:color="auto"/>
              <w:bottom w:val="none" w:sz="0" w:space="0" w:color="auto"/>
              <w:right w:val="none" w:sz="0" w:space="0" w:color="auto"/>
            </w:tcBorders>
          </w:tcPr>
          <w:p w14:paraId="0B715E29" w14:textId="210C211F" w:rsidR="00AD31B0" w:rsidRDefault="00AD31B0" w:rsidP="00612B6A">
            <w:pPr>
              <w:keepNext/>
              <w:keepLines/>
              <w:jc w:val="right"/>
              <w:cnfStyle w:val="000000100000" w:firstRow="0" w:lastRow="0" w:firstColumn="0" w:lastColumn="0" w:oddVBand="0" w:evenVBand="0" w:oddHBand="1" w:evenHBand="0" w:firstRowFirstColumn="0" w:firstRowLastColumn="0" w:lastRowFirstColumn="0" w:lastRowLastColumn="0"/>
            </w:pPr>
            <w:r>
              <w:t>3</w:t>
            </w:r>
          </w:p>
        </w:tc>
        <w:tc>
          <w:tcPr>
            <w:tcW w:w="905" w:type="pct"/>
            <w:tcBorders>
              <w:top w:val="none" w:sz="0" w:space="0" w:color="auto"/>
              <w:left w:val="none" w:sz="0" w:space="0" w:color="auto"/>
              <w:bottom w:val="none" w:sz="0" w:space="0" w:color="auto"/>
              <w:right w:val="none" w:sz="0" w:space="0" w:color="auto"/>
            </w:tcBorders>
          </w:tcPr>
          <w:p w14:paraId="17360BDC" w14:textId="245E0F1F" w:rsidR="00AD31B0" w:rsidRDefault="00AD31B0" w:rsidP="00612B6A">
            <w:pPr>
              <w:keepNext/>
              <w:keepLines/>
              <w:jc w:val="right"/>
              <w:cnfStyle w:val="000000100000" w:firstRow="0" w:lastRow="0" w:firstColumn="0" w:lastColumn="0" w:oddVBand="0" w:evenVBand="0" w:oddHBand="1" w:evenHBand="0" w:firstRowFirstColumn="0" w:firstRowLastColumn="0" w:lastRowFirstColumn="0" w:lastRowLastColumn="0"/>
            </w:pPr>
            <w:r>
              <w:t>0.00</w:t>
            </w:r>
          </w:p>
        </w:tc>
        <w:tc>
          <w:tcPr>
            <w:tcW w:w="784" w:type="pct"/>
            <w:tcBorders>
              <w:top w:val="none" w:sz="0" w:space="0" w:color="auto"/>
              <w:left w:val="none" w:sz="0" w:space="0" w:color="auto"/>
              <w:bottom w:val="none" w:sz="0" w:space="0" w:color="auto"/>
              <w:right w:val="none" w:sz="0" w:space="0" w:color="auto"/>
            </w:tcBorders>
          </w:tcPr>
          <w:p w14:paraId="0F71BCE8" w14:textId="700D1404" w:rsidR="00AD31B0" w:rsidRDefault="00AD31B0" w:rsidP="00612B6A">
            <w:pPr>
              <w:keepNext/>
              <w:keepLines/>
              <w:jc w:val="right"/>
              <w:cnfStyle w:val="000000100000" w:firstRow="0" w:lastRow="0" w:firstColumn="0" w:lastColumn="0" w:oddVBand="0" w:evenVBand="0" w:oddHBand="1" w:evenHBand="0" w:firstRowFirstColumn="0" w:firstRowLastColumn="0" w:lastRowFirstColumn="0" w:lastRowLastColumn="0"/>
            </w:pPr>
            <w:r>
              <w:t>0</w:t>
            </w:r>
          </w:p>
        </w:tc>
      </w:tr>
      <w:tr w:rsidR="00AD31B0" w14:paraId="465F4C6B"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270BB21D" w14:textId="04BC07CF" w:rsidR="00AD31B0" w:rsidRPr="004E14E5" w:rsidRDefault="00AD31B0" w:rsidP="00612B6A">
            <w:r>
              <w:rPr>
                <w:i/>
                <w:iCs/>
              </w:rPr>
              <w:t xml:space="preserve">Private </w:t>
            </w:r>
            <w:r w:rsidR="0064563C">
              <w:rPr>
                <w:i/>
                <w:iCs/>
              </w:rPr>
              <w:t xml:space="preserve">Sector </w:t>
            </w:r>
            <w:r>
              <w:rPr>
                <w:i/>
                <w:iCs/>
              </w:rPr>
              <w:t>Subtotal</w:t>
            </w:r>
          </w:p>
        </w:tc>
        <w:tc>
          <w:tcPr>
            <w:tcW w:w="879" w:type="pct"/>
            <w:tcBorders>
              <w:top w:val="none" w:sz="0" w:space="0" w:color="auto"/>
              <w:left w:val="none" w:sz="0" w:space="0" w:color="auto"/>
              <w:bottom w:val="none" w:sz="0" w:space="0" w:color="auto"/>
              <w:right w:val="none" w:sz="0" w:space="0" w:color="auto"/>
            </w:tcBorders>
          </w:tcPr>
          <w:p w14:paraId="11011E5E" w14:textId="35BF81F8"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3,408</w:t>
            </w:r>
          </w:p>
        </w:tc>
        <w:tc>
          <w:tcPr>
            <w:tcW w:w="963" w:type="pct"/>
            <w:tcBorders>
              <w:top w:val="none" w:sz="0" w:space="0" w:color="auto"/>
              <w:left w:val="none" w:sz="0" w:space="0" w:color="auto"/>
              <w:bottom w:val="none" w:sz="0" w:space="0" w:color="auto"/>
              <w:right w:val="none" w:sz="0" w:space="0" w:color="auto"/>
            </w:tcBorders>
          </w:tcPr>
          <w:p w14:paraId="72F6BC82" w14:textId="0EE9CF23"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2,143</w:t>
            </w:r>
          </w:p>
        </w:tc>
        <w:tc>
          <w:tcPr>
            <w:tcW w:w="905" w:type="pct"/>
            <w:tcBorders>
              <w:top w:val="none" w:sz="0" w:space="0" w:color="auto"/>
              <w:left w:val="none" w:sz="0" w:space="0" w:color="auto"/>
              <w:bottom w:val="none" w:sz="0" w:space="0" w:color="auto"/>
              <w:right w:val="none" w:sz="0" w:space="0" w:color="auto"/>
            </w:tcBorders>
          </w:tcPr>
          <w:p w14:paraId="7EAAC88D" w14:textId="3ABC233E"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0.51</w:t>
            </w:r>
          </w:p>
        </w:tc>
        <w:tc>
          <w:tcPr>
            <w:tcW w:w="784" w:type="pct"/>
            <w:tcBorders>
              <w:top w:val="none" w:sz="0" w:space="0" w:color="auto"/>
              <w:left w:val="none" w:sz="0" w:space="0" w:color="auto"/>
              <w:bottom w:val="none" w:sz="0" w:space="0" w:color="auto"/>
              <w:right w:val="none" w:sz="0" w:space="0" w:color="auto"/>
            </w:tcBorders>
          </w:tcPr>
          <w:p w14:paraId="78DCB6D7" w14:textId="5EA0DDD5"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106,788</w:t>
            </w:r>
          </w:p>
        </w:tc>
      </w:tr>
      <w:tr w:rsidR="00AD31B0" w14:paraId="1963BBC2"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tcPr>
          <w:p w14:paraId="523A15D0" w14:textId="530DDAEC" w:rsidR="00AD31B0" w:rsidRPr="00E01563" w:rsidRDefault="00AD31B0" w:rsidP="00612B6A">
            <w:pPr>
              <w:rPr>
                <w:rFonts w:asciiTheme="majorHAnsi" w:hAnsiTheme="majorHAnsi"/>
                <w:color w:val="FFFFFF" w:themeColor="background1"/>
                <w:vertAlign w:val="superscript"/>
              </w:rPr>
            </w:pPr>
            <w:r w:rsidRPr="00E01563">
              <w:rPr>
                <w:rFonts w:asciiTheme="majorHAnsi" w:hAnsiTheme="majorHAnsi"/>
                <w:color w:val="FFFFFF" w:themeColor="background1"/>
              </w:rPr>
              <w:t>Public Sector</w:t>
            </w:r>
            <w:r w:rsidRPr="00E01563">
              <w:rPr>
                <w:rFonts w:asciiTheme="majorHAnsi" w:hAnsiTheme="majorHAnsi"/>
                <w:color w:val="FFFFFF" w:themeColor="background1"/>
                <w:vertAlign w:val="superscript"/>
              </w:rPr>
              <w:t>a</w:t>
            </w:r>
          </w:p>
        </w:tc>
      </w:tr>
      <w:tr w:rsidR="00AD31B0" w14:paraId="2523AC14"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4381B245" w14:textId="71BEA09E" w:rsidR="00AD31B0" w:rsidRDefault="00AD31B0" w:rsidP="00612B6A">
            <w:r>
              <w:t>Advanced Thermostats</w:t>
            </w:r>
          </w:p>
        </w:tc>
        <w:tc>
          <w:tcPr>
            <w:tcW w:w="879" w:type="pct"/>
            <w:tcBorders>
              <w:top w:val="none" w:sz="0" w:space="0" w:color="auto"/>
              <w:left w:val="none" w:sz="0" w:space="0" w:color="auto"/>
              <w:bottom w:val="none" w:sz="0" w:space="0" w:color="auto"/>
              <w:right w:val="none" w:sz="0" w:space="0" w:color="auto"/>
            </w:tcBorders>
          </w:tcPr>
          <w:p w14:paraId="719937DC" w14:textId="2812CBB8"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24</w:t>
            </w:r>
          </w:p>
        </w:tc>
        <w:tc>
          <w:tcPr>
            <w:tcW w:w="963" w:type="pct"/>
            <w:tcBorders>
              <w:top w:val="none" w:sz="0" w:space="0" w:color="auto"/>
              <w:left w:val="none" w:sz="0" w:space="0" w:color="auto"/>
              <w:bottom w:val="none" w:sz="0" w:space="0" w:color="auto"/>
              <w:right w:val="none" w:sz="0" w:space="0" w:color="auto"/>
            </w:tcBorders>
          </w:tcPr>
          <w:p w14:paraId="1E00D47B" w14:textId="1CC38DD3"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43</w:t>
            </w:r>
          </w:p>
        </w:tc>
        <w:tc>
          <w:tcPr>
            <w:tcW w:w="905" w:type="pct"/>
            <w:tcBorders>
              <w:top w:val="none" w:sz="0" w:space="0" w:color="auto"/>
              <w:left w:val="none" w:sz="0" w:space="0" w:color="auto"/>
              <w:bottom w:val="none" w:sz="0" w:space="0" w:color="auto"/>
              <w:right w:val="none" w:sz="0" w:space="0" w:color="auto"/>
            </w:tcBorders>
          </w:tcPr>
          <w:p w14:paraId="20E43958" w14:textId="5E07DEFD"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0.01</w:t>
            </w:r>
          </w:p>
        </w:tc>
        <w:tc>
          <w:tcPr>
            <w:tcW w:w="784" w:type="pct"/>
            <w:tcBorders>
              <w:top w:val="none" w:sz="0" w:space="0" w:color="auto"/>
              <w:left w:val="none" w:sz="0" w:space="0" w:color="auto"/>
              <w:bottom w:val="none" w:sz="0" w:space="0" w:color="auto"/>
              <w:right w:val="none" w:sz="0" w:space="0" w:color="auto"/>
            </w:tcBorders>
          </w:tcPr>
          <w:p w14:paraId="6E78A375" w14:textId="0E286B08"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1,024</w:t>
            </w:r>
          </w:p>
        </w:tc>
      </w:tr>
      <w:tr w:rsidR="00AD31B0" w14:paraId="5BCCA186"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4303F510" w14:textId="13416906" w:rsidR="00AD31B0" w:rsidRDefault="00AD31B0" w:rsidP="00612B6A">
            <w:r>
              <w:t>LED Bulbs and Fixtures</w:t>
            </w:r>
          </w:p>
        </w:tc>
        <w:tc>
          <w:tcPr>
            <w:tcW w:w="879" w:type="pct"/>
            <w:tcBorders>
              <w:top w:val="none" w:sz="0" w:space="0" w:color="auto"/>
              <w:left w:val="none" w:sz="0" w:space="0" w:color="auto"/>
              <w:bottom w:val="none" w:sz="0" w:space="0" w:color="auto"/>
              <w:right w:val="none" w:sz="0" w:space="0" w:color="auto"/>
            </w:tcBorders>
          </w:tcPr>
          <w:p w14:paraId="09DD4261" w14:textId="4F66D249"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90</w:t>
            </w:r>
          </w:p>
        </w:tc>
        <w:tc>
          <w:tcPr>
            <w:tcW w:w="963" w:type="pct"/>
            <w:tcBorders>
              <w:top w:val="none" w:sz="0" w:space="0" w:color="auto"/>
              <w:left w:val="none" w:sz="0" w:space="0" w:color="auto"/>
              <w:bottom w:val="none" w:sz="0" w:space="0" w:color="auto"/>
              <w:right w:val="none" w:sz="0" w:space="0" w:color="auto"/>
            </w:tcBorders>
          </w:tcPr>
          <w:p w14:paraId="0848355E" w14:textId="369E22D2"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73</w:t>
            </w:r>
          </w:p>
        </w:tc>
        <w:tc>
          <w:tcPr>
            <w:tcW w:w="905" w:type="pct"/>
            <w:tcBorders>
              <w:top w:val="none" w:sz="0" w:space="0" w:color="auto"/>
              <w:left w:val="none" w:sz="0" w:space="0" w:color="auto"/>
              <w:bottom w:val="none" w:sz="0" w:space="0" w:color="auto"/>
              <w:right w:val="none" w:sz="0" w:space="0" w:color="auto"/>
            </w:tcBorders>
          </w:tcPr>
          <w:p w14:paraId="55341E7B" w14:textId="6BAAA622"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0.01</w:t>
            </w:r>
          </w:p>
        </w:tc>
        <w:tc>
          <w:tcPr>
            <w:tcW w:w="784" w:type="pct"/>
            <w:tcBorders>
              <w:top w:val="none" w:sz="0" w:space="0" w:color="auto"/>
              <w:left w:val="none" w:sz="0" w:space="0" w:color="auto"/>
              <w:bottom w:val="none" w:sz="0" w:space="0" w:color="auto"/>
              <w:right w:val="none" w:sz="0" w:space="0" w:color="auto"/>
            </w:tcBorders>
          </w:tcPr>
          <w:p w14:paraId="4B822B86" w14:textId="0CB44A02"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w:t>
            </w:r>
          </w:p>
        </w:tc>
      </w:tr>
      <w:tr w:rsidR="00AD31B0" w14:paraId="3DCB88BA"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6A1C4122" w14:textId="08183435" w:rsidR="00AD31B0" w:rsidRDefault="00AD31B0" w:rsidP="00612B6A">
            <w:r>
              <w:t>Advanced Power Strips – Tier 1</w:t>
            </w:r>
          </w:p>
        </w:tc>
        <w:tc>
          <w:tcPr>
            <w:tcW w:w="879" w:type="pct"/>
            <w:tcBorders>
              <w:top w:val="none" w:sz="0" w:space="0" w:color="auto"/>
              <w:left w:val="none" w:sz="0" w:space="0" w:color="auto"/>
              <w:bottom w:val="none" w:sz="0" w:space="0" w:color="auto"/>
              <w:right w:val="none" w:sz="0" w:space="0" w:color="auto"/>
            </w:tcBorders>
          </w:tcPr>
          <w:p w14:paraId="58FBAE0F" w14:textId="23978150"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2,585</w:t>
            </w:r>
          </w:p>
        </w:tc>
        <w:tc>
          <w:tcPr>
            <w:tcW w:w="963" w:type="pct"/>
            <w:tcBorders>
              <w:top w:val="none" w:sz="0" w:space="0" w:color="auto"/>
              <w:left w:val="none" w:sz="0" w:space="0" w:color="auto"/>
              <w:bottom w:val="none" w:sz="0" w:space="0" w:color="auto"/>
              <w:right w:val="none" w:sz="0" w:space="0" w:color="auto"/>
            </w:tcBorders>
          </w:tcPr>
          <w:p w14:paraId="4A516731" w14:textId="0648AC6A"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206</w:t>
            </w:r>
          </w:p>
        </w:tc>
        <w:tc>
          <w:tcPr>
            <w:tcW w:w="905" w:type="pct"/>
            <w:tcBorders>
              <w:top w:val="none" w:sz="0" w:space="0" w:color="auto"/>
              <w:left w:val="none" w:sz="0" w:space="0" w:color="auto"/>
              <w:bottom w:val="none" w:sz="0" w:space="0" w:color="auto"/>
              <w:right w:val="none" w:sz="0" w:space="0" w:color="auto"/>
            </w:tcBorders>
          </w:tcPr>
          <w:p w14:paraId="2FF0924D" w14:textId="076F7EC6"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0.00</w:t>
            </w:r>
          </w:p>
        </w:tc>
        <w:tc>
          <w:tcPr>
            <w:tcW w:w="784" w:type="pct"/>
            <w:tcBorders>
              <w:top w:val="none" w:sz="0" w:space="0" w:color="auto"/>
              <w:left w:val="none" w:sz="0" w:space="0" w:color="auto"/>
              <w:bottom w:val="none" w:sz="0" w:space="0" w:color="auto"/>
              <w:right w:val="none" w:sz="0" w:space="0" w:color="auto"/>
            </w:tcBorders>
          </w:tcPr>
          <w:p w14:paraId="3B296319" w14:textId="1A92FB2E" w:rsidR="00AD31B0" w:rsidRDefault="00AD31B0" w:rsidP="00612B6A">
            <w:pPr>
              <w:jc w:val="right"/>
              <w:cnfStyle w:val="000000010000" w:firstRow="0" w:lastRow="0" w:firstColumn="0" w:lastColumn="0" w:oddVBand="0" w:evenVBand="0" w:oddHBand="0" w:evenHBand="1" w:firstRowFirstColumn="0" w:firstRowLastColumn="0" w:lastRowFirstColumn="0" w:lastRowLastColumn="0"/>
            </w:pPr>
            <w:r>
              <w:t>0</w:t>
            </w:r>
          </w:p>
        </w:tc>
      </w:tr>
      <w:tr w:rsidR="00AD31B0" w14:paraId="141CF8BF"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1A2C310C" w14:textId="20FBB098" w:rsidR="00AD31B0" w:rsidRDefault="00AD31B0" w:rsidP="00612B6A">
            <w:r>
              <w:t>Smart Sockets</w:t>
            </w:r>
          </w:p>
        </w:tc>
        <w:tc>
          <w:tcPr>
            <w:tcW w:w="879" w:type="pct"/>
            <w:tcBorders>
              <w:top w:val="none" w:sz="0" w:space="0" w:color="auto"/>
              <w:left w:val="none" w:sz="0" w:space="0" w:color="auto"/>
              <w:bottom w:val="none" w:sz="0" w:space="0" w:color="auto"/>
              <w:right w:val="none" w:sz="0" w:space="0" w:color="auto"/>
            </w:tcBorders>
          </w:tcPr>
          <w:p w14:paraId="54DC6060" w14:textId="0F25021C"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1</w:t>
            </w:r>
          </w:p>
        </w:tc>
        <w:tc>
          <w:tcPr>
            <w:tcW w:w="963" w:type="pct"/>
            <w:tcBorders>
              <w:top w:val="none" w:sz="0" w:space="0" w:color="auto"/>
              <w:left w:val="none" w:sz="0" w:space="0" w:color="auto"/>
              <w:bottom w:val="none" w:sz="0" w:space="0" w:color="auto"/>
              <w:right w:val="none" w:sz="0" w:space="0" w:color="auto"/>
            </w:tcBorders>
          </w:tcPr>
          <w:p w14:paraId="256A24A9" w14:textId="712F831B"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&lt;1</w:t>
            </w:r>
          </w:p>
        </w:tc>
        <w:tc>
          <w:tcPr>
            <w:tcW w:w="905" w:type="pct"/>
            <w:tcBorders>
              <w:top w:val="none" w:sz="0" w:space="0" w:color="auto"/>
              <w:left w:val="none" w:sz="0" w:space="0" w:color="auto"/>
              <w:bottom w:val="none" w:sz="0" w:space="0" w:color="auto"/>
              <w:right w:val="none" w:sz="0" w:space="0" w:color="auto"/>
            </w:tcBorders>
          </w:tcPr>
          <w:p w14:paraId="740D1C71" w14:textId="5C5B326E"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0.00</w:t>
            </w:r>
          </w:p>
        </w:tc>
        <w:tc>
          <w:tcPr>
            <w:tcW w:w="784" w:type="pct"/>
            <w:tcBorders>
              <w:top w:val="none" w:sz="0" w:space="0" w:color="auto"/>
              <w:left w:val="none" w:sz="0" w:space="0" w:color="auto"/>
              <w:bottom w:val="none" w:sz="0" w:space="0" w:color="auto"/>
              <w:right w:val="none" w:sz="0" w:space="0" w:color="auto"/>
            </w:tcBorders>
          </w:tcPr>
          <w:p w14:paraId="36090BF8" w14:textId="60ADA5F1" w:rsidR="00AD31B0" w:rsidRDefault="00AD31B0" w:rsidP="00612B6A">
            <w:pPr>
              <w:jc w:val="right"/>
              <w:cnfStyle w:val="000000100000" w:firstRow="0" w:lastRow="0" w:firstColumn="0" w:lastColumn="0" w:oddVBand="0" w:evenVBand="0" w:oddHBand="1" w:evenHBand="0" w:firstRowFirstColumn="0" w:firstRowLastColumn="0" w:lastRowFirstColumn="0" w:lastRowLastColumn="0"/>
            </w:pPr>
            <w:r>
              <w:t>0</w:t>
            </w:r>
          </w:p>
        </w:tc>
      </w:tr>
      <w:tr w:rsidR="00AD31B0" w14:paraId="526B0E36" w14:textId="77777777" w:rsidTr="00612B6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367F6E16" w14:textId="77777777" w:rsidR="00AD31B0" w:rsidRPr="004E14E5" w:rsidRDefault="00AD31B0" w:rsidP="00612B6A">
            <w:pPr>
              <w:rPr>
                <w:i/>
                <w:iCs/>
              </w:rPr>
            </w:pPr>
            <w:r>
              <w:rPr>
                <w:i/>
                <w:iCs/>
              </w:rPr>
              <w:t>Public Sector Subtotal</w:t>
            </w:r>
          </w:p>
        </w:tc>
        <w:tc>
          <w:tcPr>
            <w:tcW w:w="879" w:type="pct"/>
            <w:tcBorders>
              <w:top w:val="none" w:sz="0" w:space="0" w:color="auto"/>
              <w:left w:val="none" w:sz="0" w:space="0" w:color="auto"/>
              <w:bottom w:val="none" w:sz="0" w:space="0" w:color="auto"/>
              <w:right w:val="none" w:sz="0" w:space="0" w:color="auto"/>
            </w:tcBorders>
          </w:tcPr>
          <w:p w14:paraId="437B66B1" w14:textId="46C593CD"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2,700</w:t>
            </w:r>
          </w:p>
        </w:tc>
        <w:tc>
          <w:tcPr>
            <w:tcW w:w="963" w:type="pct"/>
            <w:tcBorders>
              <w:top w:val="none" w:sz="0" w:space="0" w:color="auto"/>
              <w:left w:val="none" w:sz="0" w:space="0" w:color="auto"/>
              <w:bottom w:val="none" w:sz="0" w:space="0" w:color="auto"/>
              <w:right w:val="none" w:sz="0" w:space="0" w:color="auto"/>
            </w:tcBorders>
          </w:tcPr>
          <w:p w14:paraId="701F72A2" w14:textId="24C3F604"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322</w:t>
            </w:r>
          </w:p>
        </w:tc>
        <w:tc>
          <w:tcPr>
            <w:tcW w:w="905" w:type="pct"/>
            <w:tcBorders>
              <w:top w:val="none" w:sz="0" w:space="0" w:color="auto"/>
              <w:left w:val="none" w:sz="0" w:space="0" w:color="auto"/>
              <w:bottom w:val="none" w:sz="0" w:space="0" w:color="auto"/>
              <w:right w:val="none" w:sz="0" w:space="0" w:color="auto"/>
            </w:tcBorders>
          </w:tcPr>
          <w:p w14:paraId="017DA4FF" w14:textId="23487069"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0.01</w:t>
            </w:r>
          </w:p>
        </w:tc>
        <w:tc>
          <w:tcPr>
            <w:tcW w:w="784" w:type="pct"/>
            <w:tcBorders>
              <w:top w:val="none" w:sz="0" w:space="0" w:color="auto"/>
              <w:left w:val="none" w:sz="0" w:space="0" w:color="auto"/>
              <w:bottom w:val="none" w:sz="0" w:space="0" w:color="auto"/>
              <w:right w:val="none" w:sz="0" w:space="0" w:color="auto"/>
            </w:tcBorders>
          </w:tcPr>
          <w:p w14:paraId="4C2F6CBB" w14:textId="48652477" w:rsidR="00AD31B0" w:rsidRPr="004E14E5" w:rsidRDefault="00AD31B0" w:rsidP="00612B6A">
            <w:pPr>
              <w:jc w:val="right"/>
              <w:cnfStyle w:val="000000010000" w:firstRow="0" w:lastRow="0" w:firstColumn="0" w:lastColumn="0" w:oddVBand="0" w:evenVBand="0" w:oddHBand="0" w:evenHBand="1" w:firstRowFirstColumn="0" w:firstRowLastColumn="0" w:lastRowFirstColumn="0" w:lastRowLastColumn="0"/>
              <w:rPr>
                <w:i/>
                <w:iCs/>
              </w:rPr>
            </w:pPr>
            <w:r>
              <w:rPr>
                <w:i/>
                <w:iCs/>
              </w:rPr>
              <w:t>1,024</w:t>
            </w:r>
          </w:p>
        </w:tc>
      </w:tr>
      <w:tr w:rsidR="00AD31B0" w14:paraId="473DFA91" w14:textId="77777777" w:rsidTr="00612B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9" w:type="pct"/>
            <w:tcBorders>
              <w:top w:val="none" w:sz="0" w:space="0" w:color="auto"/>
              <w:left w:val="none" w:sz="0" w:space="0" w:color="auto"/>
              <w:bottom w:val="none" w:sz="0" w:space="0" w:color="auto"/>
              <w:right w:val="none" w:sz="0" w:space="0" w:color="auto"/>
            </w:tcBorders>
          </w:tcPr>
          <w:p w14:paraId="700D0F79" w14:textId="77777777" w:rsidR="00AD31B0" w:rsidRPr="00307925" w:rsidRDefault="00AD31B0" w:rsidP="00AD31B0">
            <w:pPr>
              <w:rPr>
                <w:rFonts w:ascii="Franklin Gothic Medium" w:hAnsi="Franklin Gothic Medium"/>
              </w:rPr>
            </w:pPr>
            <w:r w:rsidRPr="00307925">
              <w:rPr>
                <w:rFonts w:ascii="Franklin Gothic Medium" w:hAnsi="Franklin Gothic Medium"/>
              </w:rPr>
              <w:t>Total</w:t>
            </w:r>
          </w:p>
        </w:tc>
        <w:tc>
          <w:tcPr>
            <w:tcW w:w="879" w:type="pct"/>
            <w:tcBorders>
              <w:top w:val="none" w:sz="0" w:space="0" w:color="auto"/>
              <w:left w:val="none" w:sz="0" w:space="0" w:color="auto"/>
              <w:bottom w:val="none" w:sz="0" w:space="0" w:color="auto"/>
              <w:right w:val="none" w:sz="0" w:space="0" w:color="auto"/>
            </w:tcBorders>
          </w:tcPr>
          <w:p w14:paraId="5F4A0B1D" w14:textId="0CC1C96E" w:rsidR="00AD31B0" w:rsidRPr="00307925" w:rsidRDefault="00AD31B0" w:rsidP="007F2D6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6,108</w:t>
            </w:r>
          </w:p>
        </w:tc>
        <w:tc>
          <w:tcPr>
            <w:tcW w:w="963" w:type="pct"/>
            <w:tcBorders>
              <w:top w:val="none" w:sz="0" w:space="0" w:color="auto"/>
              <w:left w:val="none" w:sz="0" w:space="0" w:color="auto"/>
              <w:bottom w:val="none" w:sz="0" w:space="0" w:color="auto"/>
              <w:right w:val="none" w:sz="0" w:space="0" w:color="auto"/>
            </w:tcBorders>
          </w:tcPr>
          <w:p w14:paraId="36992E74" w14:textId="01592980" w:rsidR="00AD31B0" w:rsidRPr="00307925" w:rsidRDefault="00AD31B0" w:rsidP="007F2D6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2,465</w:t>
            </w:r>
          </w:p>
        </w:tc>
        <w:tc>
          <w:tcPr>
            <w:tcW w:w="905" w:type="pct"/>
            <w:tcBorders>
              <w:top w:val="none" w:sz="0" w:space="0" w:color="auto"/>
              <w:left w:val="none" w:sz="0" w:space="0" w:color="auto"/>
              <w:bottom w:val="none" w:sz="0" w:space="0" w:color="auto"/>
              <w:right w:val="none" w:sz="0" w:space="0" w:color="auto"/>
            </w:tcBorders>
          </w:tcPr>
          <w:p w14:paraId="2D97E698" w14:textId="5499D13D" w:rsidR="00AD31B0" w:rsidRPr="00307925" w:rsidRDefault="00AD31B0" w:rsidP="007F2D6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0.52</w:t>
            </w:r>
          </w:p>
        </w:tc>
        <w:tc>
          <w:tcPr>
            <w:tcW w:w="784" w:type="pct"/>
            <w:tcBorders>
              <w:top w:val="none" w:sz="0" w:space="0" w:color="auto"/>
              <w:left w:val="none" w:sz="0" w:space="0" w:color="auto"/>
              <w:bottom w:val="none" w:sz="0" w:space="0" w:color="auto"/>
              <w:right w:val="none" w:sz="0" w:space="0" w:color="auto"/>
            </w:tcBorders>
          </w:tcPr>
          <w:p w14:paraId="37760F84" w14:textId="2BFD04C7" w:rsidR="00AD31B0" w:rsidRPr="00307925" w:rsidRDefault="00AD31B0" w:rsidP="007F2D66">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107,812</w:t>
            </w:r>
          </w:p>
        </w:tc>
      </w:tr>
    </w:tbl>
    <w:bookmarkEnd w:id="76"/>
    <w:p w14:paraId="56CE53EA" w14:textId="4FFA42E4" w:rsidR="002724DB" w:rsidRDefault="009A396B" w:rsidP="00881B1B">
      <w:pPr>
        <w:pStyle w:val="Source"/>
      </w:pPr>
      <w:r>
        <w:rPr>
          <w:vertAlign w:val="superscript"/>
        </w:rPr>
        <w:t>a</w:t>
      </w:r>
      <w:r w:rsidR="004C388A">
        <w:rPr>
          <w:vertAlign w:val="superscript"/>
        </w:rPr>
        <w:t xml:space="preserve"> </w:t>
      </w:r>
      <w:r>
        <w:t>The project counts, measure counts, and ex ante savings values presented in the</w:t>
      </w:r>
      <w:r w:rsidR="00875F07">
        <w:t xml:space="preserve"> Private Sector subsection of this table include State and Federal facilities</w:t>
      </w:r>
      <w:r w:rsidR="000A14F4">
        <w:t>,</w:t>
      </w:r>
      <w:r w:rsidR="00875F07">
        <w:t xml:space="preserve"> as these facility types are</w:t>
      </w:r>
      <w:r>
        <w:t xml:space="preserve"> not included in the list of customer types covered in the public sector minimum funding requirements in subsection (c) of 220 ILCS 5/8-103B and subsection (e) of 220 ILCS 5/8-104.</w:t>
      </w:r>
    </w:p>
    <w:p w14:paraId="75D2BD42" w14:textId="52FB48DE" w:rsidR="00EE3D49" w:rsidRDefault="006D0CB9" w:rsidP="00EE3D49">
      <w:pPr>
        <w:pStyle w:val="Heading4"/>
      </w:pPr>
      <w:r>
        <w:t>Savings Detail</w:t>
      </w:r>
    </w:p>
    <w:p w14:paraId="6EC01160" w14:textId="2AF7A2AB" w:rsidR="00CF21AA" w:rsidRPr="00D2764E" w:rsidRDefault="00D2764E" w:rsidP="00CF21AA">
      <w:pPr>
        <w:pStyle w:val="NoSpacing"/>
      </w:pPr>
      <w:r w:rsidRPr="00D2764E">
        <w:fldChar w:fldCharType="begin"/>
      </w:r>
      <w:r w:rsidRPr="00D2764E">
        <w:instrText xml:space="preserve"> REF _Ref187235583 \h  \* MERGEFORMAT </w:instrText>
      </w:r>
      <w:r w:rsidRPr="00D2764E">
        <w:fldChar w:fldCharType="separate"/>
      </w:r>
      <w:r w:rsidR="00AA10F4">
        <w:t>Table 13</w:t>
      </w:r>
      <w:r w:rsidRPr="00D2764E">
        <w:fldChar w:fldCharType="end"/>
      </w:r>
      <w:r w:rsidRPr="00D2764E">
        <w:t xml:space="preserve"> presents the ex ante, verified gross, and verified net electric energy savings achieved through the Online Store channel in 2024.</w:t>
      </w:r>
      <w:r w:rsidR="00CF21AA">
        <w:t xml:space="preserve"> The channel achieved a 99% electric energy realization rate. Overall, the channel experienced a 1% increase in verified net electric energy savings compared to 2023. Notable changes at the measure level include a 4</w:t>
      </w:r>
      <w:r w:rsidR="003F4FDE">
        <w:t>72</w:t>
      </w:r>
      <w:r w:rsidR="00CF21AA">
        <w:t xml:space="preserve">% increase in verified net electric energy savings from </w:t>
      </w:r>
      <w:r w:rsidR="00690BD2">
        <w:t>a</w:t>
      </w:r>
      <w:r w:rsidR="00CF21AA">
        <w:t xml:space="preserve">dvanced </w:t>
      </w:r>
      <w:r w:rsidR="00690BD2">
        <w:t>p</w:t>
      </w:r>
      <w:r w:rsidR="00CF21AA">
        <w:t xml:space="preserve">ower </w:t>
      </w:r>
      <w:r w:rsidR="00690BD2">
        <w:t>s</w:t>
      </w:r>
      <w:r w:rsidR="00CF21AA">
        <w:t>trips and a 5</w:t>
      </w:r>
      <w:r w:rsidR="003F4FDE">
        <w:t>0</w:t>
      </w:r>
      <w:r w:rsidR="00CF21AA">
        <w:t xml:space="preserve">% decrease in savings </w:t>
      </w:r>
      <w:r w:rsidR="00693C6B">
        <w:t xml:space="preserve">from LEDs </w:t>
      </w:r>
      <w:r w:rsidR="00CF21AA">
        <w:t>compared to 2023.</w:t>
      </w:r>
    </w:p>
    <w:p w14:paraId="0C7DFDFD" w14:textId="2210CBBB" w:rsidR="00D2764E" w:rsidRDefault="00D2764E" w:rsidP="00881B1B">
      <w:pPr>
        <w:pStyle w:val="Caption"/>
      </w:pPr>
      <w:bookmarkStart w:id="77" w:name="_Ref187235583"/>
      <w:bookmarkStart w:id="78" w:name="_Toc191992534"/>
      <w:bookmarkStart w:id="79" w:name="_Toc192766947"/>
      <w:r>
        <w:t xml:space="preserve">Table </w:t>
      </w:r>
      <w:r w:rsidR="009B4C9A">
        <w:fldChar w:fldCharType="begin"/>
      </w:r>
      <w:r w:rsidR="009B4C9A">
        <w:instrText xml:space="preserve"> SEQ Table \* ARABIC </w:instrText>
      </w:r>
      <w:r w:rsidR="009B4C9A">
        <w:fldChar w:fldCharType="separate"/>
      </w:r>
      <w:r w:rsidR="00AA10F4">
        <w:rPr>
          <w:noProof/>
        </w:rPr>
        <w:t>13</w:t>
      </w:r>
      <w:r w:rsidR="009B4C9A">
        <w:rPr>
          <w:noProof/>
        </w:rPr>
        <w:fldChar w:fldCharType="end"/>
      </w:r>
      <w:bookmarkEnd w:id="77"/>
      <w:r>
        <w:t>. 2024 Online Store Channel Electric Energy Savings by Measure</w:t>
      </w:r>
      <w:bookmarkEnd w:id="78"/>
      <w:bookmarkEnd w:id="79"/>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965"/>
        <w:gridCol w:w="1890"/>
        <w:gridCol w:w="1800"/>
        <w:gridCol w:w="1620"/>
        <w:gridCol w:w="1170"/>
        <w:gridCol w:w="1651"/>
      </w:tblGrid>
      <w:tr w:rsidR="00D2764E" w14:paraId="04591F51"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016017E8" w14:textId="77777777" w:rsidR="00D2764E" w:rsidRDefault="00D2764E" w:rsidP="008700F8">
            <w:pPr>
              <w:pStyle w:val="TableHeadingLeft"/>
            </w:pPr>
            <w:r w:rsidRPr="00F87E60">
              <w:t>Measure Category</w:t>
            </w:r>
          </w:p>
        </w:tc>
        <w:tc>
          <w:tcPr>
            <w:tcW w:w="1890" w:type="dxa"/>
            <w:tcBorders>
              <w:bottom w:val="none" w:sz="0" w:space="0" w:color="auto"/>
            </w:tcBorders>
          </w:tcPr>
          <w:p w14:paraId="5E81D8AD"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00" w:type="dxa"/>
            <w:tcBorders>
              <w:bottom w:val="none" w:sz="0" w:space="0" w:color="auto"/>
            </w:tcBorders>
          </w:tcPr>
          <w:p w14:paraId="366243EF"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620" w:type="dxa"/>
            <w:tcBorders>
              <w:bottom w:val="none" w:sz="0" w:space="0" w:color="auto"/>
            </w:tcBorders>
          </w:tcPr>
          <w:p w14:paraId="72D4FA05"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170" w:type="dxa"/>
            <w:tcBorders>
              <w:bottom w:val="none" w:sz="0" w:space="0" w:color="auto"/>
            </w:tcBorders>
          </w:tcPr>
          <w:p w14:paraId="6F88759E"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651" w:type="dxa"/>
            <w:tcBorders>
              <w:bottom w:val="none" w:sz="0" w:space="0" w:color="auto"/>
            </w:tcBorders>
          </w:tcPr>
          <w:p w14:paraId="61152C80"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CF21AA" w14:paraId="561F8DDC"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6A1320B8" w14:textId="22DE0336" w:rsidR="00CF21AA" w:rsidRDefault="00CF21AA" w:rsidP="00CF21AA">
            <w:pPr>
              <w:pStyle w:val="TableLeftText"/>
            </w:pPr>
            <w:r>
              <w:t>Advanced Thermostats</w:t>
            </w:r>
          </w:p>
        </w:tc>
        <w:tc>
          <w:tcPr>
            <w:tcW w:w="1890" w:type="dxa"/>
            <w:tcBorders>
              <w:top w:val="none" w:sz="0" w:space="0" w:color="auto"/>
              <w:left w:val="none" w:sz="0" w:space="0" w:color="auto"/>
              <w:bottom w:val="none" w:sz="0" w:space="0" w:color="auto"/>
              <w:right w:val="none" w:sz="0" w:space="0" w:color="auto"/>
            </w:tcBorders>
          </w:tcPr>
          <w:p w14:paraId="7ADB18D1" w14:textId="0FF3A59D"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1,913</w:t>
            </w:r>
          </w:p>
        </w:tc>
        <w:tc>
          <w:tcPr>
            <w:tcW w:w="1800" w:type="dxa"/>
            <w:tcBorders>
              <w:top w:val="none" w:sz="0" w:space="0" w:color="auto"/>
              <w:left w:val="none" w:sz="0" w:space="0" w:color="auto"/>
              <w:bottom w:val="none" w:sz="0" w:space="0" w:color="auto"/>
              <w:right w:val="none" w:sz="0" w:space="0" w:color="auto"/>
            </w:tcBorders>
          </w:tcPr>
          <w:p w14:paraId="4254124C" w14:textId="5C6FF653"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100%</w:t>
            </w:r>
          </w:p>
        </w:tc>
        <w:tc>
          <w:tcPr>
            <w:tcW w:w="1620" w:type="dxa"/>
            <w:tcBorders>
              <w:top w:val="none" w:sz="0" w:space="0" w:color="auto"/>
              <w:left w:val="none" w:sz="0" w:space="0" w:color="auto"/>
              <w:bottom w:val="none" w:sz="0" w:space="0" w:color="auto"/>
              <w:right w:val="none" w:sz="0" w:space="0" w:color="auto"/>
            </w:tcBorders>
          </w:tcPr>
          <w:p w14:paraId="2E4EB791" w14:textId="7F4218F4"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1,913</w:t>
            </w:r>
          </w:p>
        </w:tc>
        <w:tc>
          <w:tcPr>
            <w:tcW w:w="1170" w:type="dxa"/>
            <w:tcBorders>
              <w:top w:val="none" w:sz="0" w:space="0" w:color="auto"/>
              <w:left w:val="none" w:sz="0" w:space="0" w:color="auto"/>
              <w:bottom w:val="none" w:sz="0" w:space="0" w:color="auto"/>
              <w:right w:val="none" w:sz="0" w:space="0" w:color="auto"/>
            </w:tcBorders>
          </w:tcPr>
          <w:p w14:paraId="1CE4F3DE" w14:textId="750BE525"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0.908</w:t>
            </w:r>
          </w:p>
        </w:tc>
        <w:tc>
          <w:tcPr>
            <w:tcW w:w="1651" w:type="dxa"/>
            <w:tcBorders>
              <w:top w:val="none" w:sz="0" w:space="0" w:color="auto"/>
              <w:left w:val="none" w:sz="0" w:space="0" w:color="auto"/>
              <w:bottom w:val="none" w:sz="0" w:space="0" w:color="auto"/>
              <w:right w:val="none" w:sz="0" w:space="0" w:color="auto"/>
            </w:tcBorders>
          </w:tcPr>
          <w:p w14:paraId="166C5C59" w14:textId="3A6A7D95"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1,737</w:t>
            </w:r>
          </w:p>
        </w:tc>
      </w:tr>
      <w:tr w:rsidR="00CF21AA" w14:paraId="4D0A6C93"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13920E5C" w14:textId="6F9D8D7A" w:rsidR="00CF21AA" w:rsidRDefault="00CF21AA" w:rsidP="00CF21AA">
            <w:pPr>
              <w:pStyle w:val="TableLeftText"/>
            </w:pPr>
            <w:r>
              <w:t>Advanced Power Strips – Tier 1</w:t>
            </w:r>
          </w:p>
        </w:tc>
        <w:tc>
          <w:tcPr>
            <w:tcW w:w="1890" w:type="dxa"/>
            <w:tcBorders>
              <w:top w:val="none" w:sz="0" w:space="0" w:color="auto"/>
              <w:left w:val="none" w:sz="0" w:space="0" w:color="auto"/>
              <w:bottom w:val="none" w:sz="0" w:space="0" w:color="auto"/>
              <w:right w:val="none" w:sz="0" w:space="0" w:color="auto"/>
            </w:tcBorders>
          </w:tcPr>
          <w:p w14:paraId="653DA64D" w14:textId="3FBBB1B5"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332</w:t>
            </w:r>
          </w:p>
        </w:tc>
        <w:tc>
          <w:tcPr>
            <w:tcW w:w="1800" w:type="dxa"/>
            <w:tcBorders>
              <w:top w:val="none" w:sz="0" w:space="0" w:color="auto"/>
              <w:left w:val="none" w:sz="0" w:space="0" w:color="auto"/>
              <w:bottom w:val="none" w:sz="0" w:space="0" w:color="auto"/>
              <w:right w:val="none" w:sz="0" w:space="0" w:color="auto"/>
            </w:tcBorders>
          </w:tcPr>
          <w:p w14:paraId="0921D1BC" w14:textId="1228ACB7"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100%</w:t>
            </w:r>
          </w:p>
        </w:tc>
        <w:tc>
          <w:tcPr>
            <w:tcW w:w="1620" w:type="dxa"/>
            <w:tcBorders>
              <w:top w:val="none" w:sz="0" w:space="0" w:color="auto"/>
              <w:left w:val="none" w:sz="0" w:space="0" w:color="auto"/>
              <w:bottom w:val="none" w:sz="0" w:space="0" w:color="auto"/>
              <w:right w:val="none" w:sz="0" w:space="0" w:color="auto"/>
            </w:tcBorders>
          </w:tcPr>
          <w:p w14:paraId="7177D324" w14:textId="09444373"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332</w:t>
            </w:r>
          </w:p>
        </w:tc>
        <w:tc>
          <w:tcPr>
            <w:tcW w:w="1170" w:type="dxa"/>
            <w:tcBorders>
              <w:top w:val="none" w:sz="0" w:space="0" w:color="auto"/>
              <w:left w:val="none" w:sz="0" w:space="0" w:color="auto"/>
              <w:bottom w:val="none" w:sz="0" w:space="0" w:color="auto"/>
              <w:right w:val="none" w:sz="0" w:space="0" w:color="auto"/>
            </w:tcBorders>
          </w:tcPr>
          <w:p w14:paraId="1CEBEE9C" w14:textId="59212701" w:rsidR="00CF21AA" w:rsidRDefault="003F4FDE"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1.161</w:t>
            </w:r>
          </w:p>
        </w:tc>
        <w:tc>
          <w:tcPr>
            <w:tcW w:w="1651" w:type="dxa"/>
            <w:tcBorders>
              <w:top w:val="none" w:sz="0" w:space="0" w:color="auto"/>
              <w:left w:val="none" w:sz="0" w:space="0" w:color="auto"/>
              <w:bottom w:val="none" w:sz="0" w:space="0" w:color="auto"/>
              <w:right w:val="none" w:sz="0" w:space="0" w:color="auto"/>
            </w:tcBorders>
          </w:tcPr>
          <w:p w14:paraId="222DAB1E" w14:textId="22AF1B0E"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38</w:t>
            </w:r>
            <w:r w:rsidR="003F4FDE">
              <w:rPr>
                <w:color w:val="4D4D4F"/>
              </w:rPr>
              <w:t>5</w:t>
            </w:r>
          </w:p>
        </w:tc>
      </w:tr>
      <w:tr w:rsidR="00CF21AA" w14:paraId="5A228D3D"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23F4129B" w14:textId="07B91B81" w:rsidR="00CF21AA" w:rsidRDefault="00CF21AA" w:rsidP="00CF21AA">
            <w:pPr>
              <w:pStyle w:val="TableLeftText"/>
            </w:pPr>
            <w:r>
              <w:t>LED Bulbs and Fixtures</w:t>
            </w:r>
          </w:p>
        </w:tc>
        <w:tc>
          <w:tcPr>
            <w:tcW w:w="1890" w:type="dxa"/>
            <w:tcBorders>
              <w:top w:val="none" w:sz="0" w:space="0" w:color="auto"/>
              <w:left w:val="none" w:sz="0" w:space="0" w:color="auto"/>
              <w:bottom w:val="none" w:sz="0" w:space="0" w:color="auto"/>
              <w:right w:val="none" w:sz="0" w:space="0" w:color="auto"/>
            </w:tcBorders>
          </w:tcPr>
          <w:p w14:paraId="657A778F" w14:textId="16C7440C"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203</w:t>
            </w:r>
          </w:p>
        </w:tc>
        <w:tc>
          <w:tcPr>
            <w:tcW w:w="1800" w:type="dxa"/>
            <w:tcBorders>
              <w:top w:val="none" w:sz="0" w:space="0" w:color="auto"/>
              <w:left w:val="none" w:sz="0" w:space="0" w:color="auto"/>
              <w:bottom w:val="none" w:sz="0" w:space="0" w:color="auto"/>
              <w:right w:val="none" w:sz="0" w:space="0" w:color="auto"/>
            </w:tcBorders>
          </w:tcPr>
          <w:p w14:paraId="26498C15" w14:textId="510A94E4"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88%</w:t>
            </w:r>
          </w:p>
        </w:tc>
        <w:tc>
          <w:tcPr>
            <w:tcW w:w="1620" w:type="dxa"/>
            <w:tcBorders>
              <w:top w:val="none" w:sz="0" w:space="0" w:color="auto"/>
              <w:left w:val="none" w:sz="0" w:space="0" w:color="auto"/>
              <w:bottom w:val="none" w:sz="0" w:space="0" w:color="auto"/>
              <w:right w:val="none" w:sz="0" w:space="0" w:color="auto"/>
            </w:tcBorders>
          </w:tcPr>
          <w:p w14:paraId="6E8FC104" w14:textId="509EEE3A"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178</w:t>
            </w:r>
          </w:p>
        </w:tc>
        <w:tc>
          <w:tcPr>
            <w:tcW w:w="1170" w:type="dxa"/>
            <w:tcBorders>
              <w:top w:val="none" w:sz="0" w:space="0" w:color="auto"/>
              <w:left w:val="none" w:sz="0" w:space="0" w:color="auto"/>
              <w:bottom w:val="none" w:sz="0" w:space="0" w:color="auto"/>
              <w:right w:val="none" w:sz="0" w:space="0" w:color="auto"/>
            </w:tcBorders>
          </w:tcPr>
          <w:p w14:paraId="1BECA9EC" w14:textId="338955F0" w:rsidR="00CF21AA" w:rsidRDefault="003F4FDE" w:rsidP="007F2D66">
            <w:pPr>
              <w:pStyle w:val="TableLeftText"/>
              <w:jc w:val="right"/>
              <w:cnfStyle w:val="000000100000" w:firstRow="0" w:lastRow="0" w:firstColumn="0" w:lastColumn="0" w:oddVBand="0" w:evenVBand="0" w:oddHBand="1" w:evenHBand="0" w:firstRowFirstColumn="0" w:firstRowLastColumn="0" w:lastRowFirstColumn="0" w:lastRowLastColumn="0"/>
            </w:pPr>
            <w:r>
              <w:t>1.1</w:t>
            </w:r>
            <w:r w:rsidR="008750FB">
              <w:t>61</w:t>
            </w:r>
          </w:p>
        </w:tc>
        <w:tc>
          <w:tcPr>
            <w:tcW w:w="1651" w:type="dxa"/>
            <w:tcBorders>
              <w:top w:val="none" w:sz="0" w:space="0" w:color="auto"/>
              <w:left w:val="none" w:sz="0" w:space="0" w:color="auto"/>
              <w:bottom w:val="none" w:sz="0" w:space="0" w:color="auto"/>
              <w:right w:val="none" w:sz="0" w:space="0" w:color="auto"/>
            </w:tcBorders>
          </w:tcPr>
          <w:p w14:paraId="613F72C3" w14:textId="4D6304E0" w:rsidR="00CF21AA"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20</w:t>
            </w:r>
            <w:r w:rsidR="003F4FDE">
              <w:rPr>
                <w:color w:val="4D4D4F"/>
              </w:rPr>
              <w:t>6</w:t>
            </w:r>
          </w:p>
        </w:tc>
      </w:tr>
      <w:tr w:rsidR="00CF21AA" w14:paraId="7208106C"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7A91344C" w14:textId="5B350EBA" w:rsidR="00CF21AA" w:rsidRDefault="00CF21AA" w:rsidP="00CF21AA">
            <w:pPr>
              <w:pStyle w:val="TableLeftText"/>
            </w:pPr>
            <w:r>
              <w:t>Lighting Controls</w:t>
            </w:r>
          </w:p>
        </w:tc>
        <w:tc>
          <w:tcPr>
            <w:tcW w:w="1890" w:type="dxa"/>
            <w:tcBorders>
              <w:top w:val="none" w:sz="0" w:space="0" w:color="auto"/>
              <w:left w:val="none" w:sz="0" w:space="0" w:color="auto"/>
              <w:bottom w:val="none" w:sz="0" w:space="0" w:color="auto"/>
              <w:right w:val="none" w:sz="0" w:space="0" w:color="auto"/>
            </w:tcBorders>
          </w:tcPr>
          <w:p w14:paraId="2F905154" w14:textId="4301CB47"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14</w:t>
            </w:r>
          </w:p>
        </w:tc>
        <w:tc>
          <w:tcPr>
            <w:tcW w:w="1800" w:type="dxa"/>
            <w:tcBorders>
              <w:top w:val="none" w:sz="0" w:space="0" w:color="auto"/>
              <w:left w:val="none" w:sz="0" w:space="0" w:color="auto"/>
              <w:bottom w:val="none" w:sz="0" w:space="0" w:color="auto"/>
              <w:right w:val="none" w:sz="0" w:space="0" w:color="auto"/>
            </w:tcBorders>
          </w:tcPr>
          <w:p w14:paraId="4E8CD7F6" w14:textId="50BA0498"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100%</w:t>
            </w:r>
          </w:p>
        </w:tc>
        <w:tc>
          <w:tcPr>
            <w:tcW w:w="1620" w:type="dxa"/>
            <w:tcBorders>
              <w:top w:val="none" w:sz="0" w:space="0" w:color="auto"/>
              <w:left w:val="none" w:sz="0" w:space="0" w:color="auto"/>
              <w:bottom w:val="none" w:sz="0" w:space="0" w:color="auto"/>
              <w:right w:val="none" w:sz="0" w:space="0" w:color="auto"/>
            </w:tcBorders>
          </w:tcPr>
          <w:p w14:paraId="0C45C70C" w14:textId="7785487A"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14</w:t>
            </w:r>
          </w:p>
        </w:tc>
        <w:tc>
          <w:tcPr>
            <w:tcW w:w="1170" w:type="dxa"/>
            <w:tcBorders>
              <w:top w:val="none" w:sz="0" w:space="0" w:color="auto"/>
              <w:left w:val="none" w:sz="0" w:space="0" w:color="auto"/>
              <w:bottom w:val="none" w:sz="0" w:space="0" w:color="auto"/>
              <w:right w:val="none" w:sz="0" w:space="0" w:color="auto"/>
            </w:tcBorders>
          </w:tcPr>
          <w:p w14:paraId="6BF1C031" w14:textId="07C3743B"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w:t>
            </w:r>
            <w:r w:rsidR="003F4FDE">
              <w:rPr>
                <w:color w:val="4D4D4F"/>
              </w:rPr>
              <w:t>161</w:t>
            </w:r>
          </w:p>
        </w:tc>
        <w:tc>
          <w:tcPr>
            <w:tcW w:w="1651" w:type="dxa"/>
            <w:tcBorders>
              <w:top w:val="none" w:sz="0" w:space="0" w:color="auto"/>
              <w:left w:val="none" w:sz="0" w:space="0" w:color="auto"/>
              <w:bottom w:val="none" w:sz="0" w:space="0" w:color="auto"/>
              <w:right w:val="none" w:sz="0" w:space="0" w:color="auto"/>
            </w:tcBorders>
          </w:tcPr>
          <w:p w14:paraId="346717C8" w14:textId="072209A9" w:rsidR="00CF21AA"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17</w:t>
            </w:r>
          </w:p>
        </w:tc>
      </w:tr>
      <w:tr w:rsidR="00CF21AA" w14:paraId="32763814"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tcPr>
          <w:p w14:paraId="3556384F" w14:textId="3FD948A6" w:rsidR="00CF21AA" w:rsidRPr="00F87E60" w:rsidRDefault="00CF21AA" w:rsidP="00CF21AA">
            <w:pPr>
              <w:pStyle w:val="TableLeftText"/>
            </w:pPr>
            <w:r>
              <w:t>Smart Sockets</w:t>
            </w:r>
          </w:p>
        </w:tc>
        <w:tc>
          <w:tcPr>
            <w:tcW w:w="1890" w:type="dxa"/>
            <w:tcBorders>
              <w:top w:val="none" w:sz="0" w:space="0" w:color="auto"/>
              <w:left w:val="none" w:sz="0" w:space="0" w:color="auto"/>
              <w:bottom w:val="none" w:sz="0" w:space="0" w:color="auto"/>
              <w:right w:val="none" w:sz="0" w:space="0" w:color="auto"/>
            </w:tcBorders>
          </w:tcPr>
          <w:p w14:paraId="47BAFD13" w14:textId="0DC4E13F" w:rsidR="00CF21AA" w:rsidRPr="00F87E60"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3</w:t>
            </w:r>
          </w:p>
        </w:tc>
        <w:tc>
          <w:tcPr>
            <w:tcW w:w="1800" w:type="dxa"/>
            <w:tcBorders>
              <w:top w:val="none" w:sz="0" w:space="0" w:color="auto"/>
              <w:left w:val="none" w:sz="0" w:space="0" w:color="auto"/>
              <w:bottom w:val="none" w:sz="0" w:space="0" w:color="auto"/>
              <w:right w:val="none" w:sz="0" w:space="0" w:color="auto"/>
            </w:tcBorders>
          </w:tcPr>
          <w:p w14:paraId="6B8B9B97" w14:textId="5501F8AA" w:rsidR="00CF21AA" w:rsidRPr="00F87E60"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95%</w:t>
            </w:r>
          </w:p>
        </w:tc>
        <w:tc>
          <w:tcPr>
            <w:tcW w:w="1620" w:type="dxa"/>
            <w:tcBorders>
              <w:top w:val="none" w:sz="0" w:space="0" w:color="auto"/>
              <w:left w:val="none" w:sz="0" w:space="0" w:color="auto"/>
              <w:bottom w:val="none" w:sz="0" w:space="0" w:color="auto"/>
              <w:right w:val="none" w:sz="0" w:space="0" w:color="auto"/>
            </w:tcBorders>
          </w:tcPr>
          <w:p w14:paraId="65DCD9F4" w14:textId="47AD763D" w:rsidR="00CF21AA" w:rsidRPr="00F87E60"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3</w:t>
            </w:r>
          </w:p>
        </w:tc>
        <w:tc>
          <w:tcPr>
            <w:tcW w:w="1170" w:type="dxa"/>
            <w:tcBorders>
              <w:top w:val="none" w:sz="0" w:space="0" w:color="auto"/>
              <w:left w:val="none" w:sz="0" w:space="0" w:color="auto"/>
              <w:bottom w:val="none" w:sz="0" w:space="0" w:color="auto"/>
              <w:right w:val="none" w:sz="0" w:space="0" w:color="auto"/>
            </w:tcBorders>
          </w:tcPr>
          <w:p w14:paraId="64A24745" w14:textId="3D64F85F" w:rsidR="00CF21AA" w:rsidRPr="00F87E60"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1.1</w:t>
            </w:r>
            <w:r w:rsidR="008750FB">
              <w:rPr>
                <w:color w:val="4D4D4F"/>
              </w:rPr>
              <w:t>61</w:t>
            </w:r>
          </w:p>
        </w:tc>
        <w:tc>
          <w:tcPr>
            <w:tcW w:w="1651" w:type="dxa"/>
            <w:tcBorders>
              <w:top w:val="none" w:sz="0" w:space="0" w:color="auto"/>
              <w:left w:val="none" w:sz="0" w:space="0" w:color="auto"/>
              <w:bottom w:val="none" w:sz="0" w:space="0" w:color="auto"/>
              <w:right w:val="none" w:sz="0" w:space="0" w:color="auto"/>
            </w:tcBorders>
          </w:tcPr>
          <w:p w14:paraId="409515E8" w14:textId="14A3B97B" w:rsidR="00CF21AA" w:rsidRPr="00F87E60" w:rsidRDefault="00CF21AA"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3</w:t>
            </w:r>
          </w:p>
        </w:tc>
      </w:tr>
      <w:tr w:rsidR="00CF21AA" w14:paraId="1E30897A"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Borders>
              <w:top w:val="none" w:sz="0" w:space="0" w:color="auto"/>
              <w:left w:val="none" w:sz="0" w:space="0" w:color="auto"/>
              <w:bottom w:val="none" w:sz="0" w:space="0" w:color="auto"/>
              <w:right w:val="none" w:sz="0" w:space="0" w:color="auto"/>
            </w:tcBorders>
            <w:vAlign w:val="top"/>
          </w:tcPr>
          <w:p w14:paraId="3A6AE4FD" w14:textId="77777777" w:rsidR="00CF21AA" w:rsidRPr="00307925" w:rsidRDefault="00CF21AA" w:rsidP="00CF21AA">
            <w:pPr>
              <w:pStyle w:val="TableLeftText"/>
              <w:rPr>
                <w:rFonts w:ascii="Franklin Gothic Medium" w:hAnsi="Franklin Gothic Medium"/>
              </w:rPr>
            </w:pPr>
            <w:r w:rsidRPr="00307925">
              <w:rPr>
                <w:rFonts w:ascii="Franklin Gothic Medium" w:hAnsi="Franklin Gothic Medium"/>
              </w:rPr>
              <w:t>Total</w:t>
            </w:r>
          </w:p>
        </w:tc>
        <w:tc>
          <w:tcPr>
            <w:tcW w:w="1890" w:type="dxa"/>
            <w:tcBorders>
              <w:top w:val="none" w:sz="0" w:space="0" w:color="auto"/>
              <w:left w:val="none" w:sz="0" w:space="0" w:color="auto"/>
              <w:bottom w:val="none" w:sz="0" w:space="0" w:color="auto"/>
              <w:right w:val="none" w:sz="0" w:space="0" w:color="auto"/>
            </w:tcBorders>
          </w:tcPr>
          <w:p w14:paraId="31DF8B2A" w14:textId="5FF49307" w:rsidR="00CF21AA" w:rsidRPr="00307925"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2,465</w:t>
            </w:r>
          </w:p>
        </w:tc>
        <w:tc>
          <w:tcPr>
            <w:tcW w:w="1800" w:type="dxa"/>
            <w:tcBorders>
              <w:top w:val="none" w:sz="0" w:space="0" w:color="auto"/>
              <w:left w:val="none" w:sz="0" w:space="0" w:color="auto"/>
              <w:bottom w:val="none" w:sz="0" w:space="0" w:color="auto"/>
              <w:right w:val="none" w:sz="0" w:space="0" w:color="auto"/>
            </w:tcBorders>
          </w:tcPr>
          <w:p w14:paraId="67EA8825" w14:textId="160B010F" w:rsidR="00CF21AA" w:rsidRPr="00307925"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99%</w:t>
            </w:r>
          </w:p>
        </w:tc>
        <w:tc>
          <w:tcPr>
            <w:tcW w:w="1620" w:type="dxa"/>
            <w:tcBorders>
              <w:top w:val="none" w:sz="0" w:space="0" w:color="auto"/>
              <w:left w:val="none" w:sz="0" w:space="0" w:color="auto"/>
              <w:bottom w:val="none" w:sz="0" w:space="0" w:color="auto"/>
              <w:right w:val="none" w:sz="0" w:space="0" w:color="auto"/>
            </w:tcBorders>
          </w:tcPr>
          <w:p w14:paraId="2B75F4FE" w14:textId="5527660D" w:rsidR="00CF21AA" w:rsidRPr="00307925"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2,439</w:t>
            </w:r>
          </w:p>
        </w:tc>
        <w:tc>
          <w:tcPr>
            <w:tcW w:w="1170" w:type="dxa"/>
            <w:tcBorders>
              <w:top w:val="none" w:sz="0" w:space="0" w:color="auto"/>
              <w:left w:val="none" w:sz="0" w:space="0" w:color="auto"/>
              <w:bottom w:val="none" w:sz="0" w:space="0" w:color="auto"/>
              <w:right w:val="none" w:sz="0" w:space="0" w:color="auto"/>
            </w:tcBorders>
          </w:tcPr>
          <w:p w14:paraId="67449049" w14:textId="3E19CABF" w:rsidR="00CF21AA" w:rsidRPr="00307925"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0.96</w:t>
            </w:r>
            <w:r w:rsidR="003F4FDE" w:rsidRPr="00307925">
              <w:rPr>
                <w:rFonts w:ascii="Franklin Gothic Medium" w:hAnsi="Franklin Gothic Medium"/>
                <w:color w:val="4D4D4F"/>
              </w:rPr>
              <w:t>3</w:t>
            </w:r>
          </w:p>
        </w:tc>
        <w:tc>
          <w:tcPr>
            <w:tcW w:w="1651" w:type="dxa"/>
            <w:tcBorders>
              <w:top w:val="none" w:sz="0" w:space="0" w:color="auto"/>
              <w:left w:val="none" w:sz="0" w:space="0" w:color="auto"/>
              <w:bottom w:val="none" w:sz="0" w:space="0" w:color="auto"/>
              <w:right w:val="none" w:sz="0" w:space="0" w:color="auto"/>
            </w:tcBorders>
          </w:tcPr>
          <w:p w14:paraId="4C601C75" w14:textId="426E5A7E" w:rsidR="00CF21AA" w:rsidRPr="00307925" w:rsidRDefault="00CF21AA"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2,34</w:t>
            </w:r>
            <w:r w:rsidR="008750FB" w:rsidRPr="00307925">
              <w:rPr>
                <w:rFonts w:ascii="Franklin Gothic Medium" w:hAnsi="Franklin Gothic Medium"/>
                <w:color w:val="4D4D4F"/>
              </w:rPr>
              <w:t>9</w:t>
            </w:r>
          </w:p>
        </w:tc>
      </w:tr>
    </w:tbl>
    <w:p w14:paraId="7517316A" w14:textId="16E4B2E9" w:rsidR="00D2764E" w:rsidRDefault="00D2764E" w:rsidP="002220FC">
      <w:pPr>
        <w:pStyle w:val="NoSpacing"/>
        <w:spacing w:before="240"/>
      </w:pPr>
      <w:r>
        <w:fldChar w:fldCharType="begin"/>
      </w:r>
      <w:r>
        <w:instrText xml:space="preserve"> REF _Ref187235646 \h </w:instrText>
      </w:r>
      <w:r>
        <w:fldChar w:fldCharType="separate"/>
      </w:r>
      <w:r w:rsidR="00AA10F4">
        <w:t xml:space="preserve">Table </w:t>
      </w:r>
      <w:r w:rsidR="00AA10F4">
        <w:rPr>
          <w:noProof/>
        </w:rPr>
        <w:t>14</w:t>
      </w:r>
      <w:r>
        <w:fldChar w:fldCharType="end"/>
      </w:r>
      <w:r>
        <w:t xml:space="preserve"> presents the ex ante, verified gross, and verified net electric demand savings achieved through the Online Store channel in 2024. </w:t>
      </w:r>
      <w:r w:rsidR="00A81CD1">
        <w:t xml:space="preserve">The channel achieved a 100% realization rate for demand savings. Channel verified net demand savings decreased by 2% in 2024 compared to 2023, primarily driven by a 4% decrease in demand savings from </w:t>
      </w:r>
      <w:r w:rsidR="00690BD2">
        <w:t>a</w:t>
      </w:r>
      <w:r w:rsidR="00A81CD1">
        <w:t xml:space="preserve">dvanced </w:t>
      </w:r>
      <w:r w:rsidR="00690BD2">
        <w:t>t</w:t>
      </w:r>
      <w:r w:rsidR="00A81CD1">
        <w:t>hermostats.</w:t>
      </w:r>
    </w:p>
    <w:p w14:paraId="3D4D3249" w14:textId="55AE1DF7" w:rsidR="00D2764E" w:rsidRDefault="00D2764E" w:rsidP="00881B1B">
      <w:pPr>
        <w:pStyle w:val="Caption"/>
      </w:pPr>
      <w:bookmarkStart w:id="80" w:name="_Ref187235646"/>
      <w:bookmarkStart w:id="81" w:name="_Toc191992535"/>
      <w:bookmarkStart w:id="82" w:name="_Toc192766948"/>
      <w:r>
        <w:t xml:space="preserve">Table </w:t>
      </w:r>
      <w:r w:rsidR="009B4C9A">
        <w:fldChar w:fldCharType="begin"/>
      </w:r>
      <w:r w:rsidR="009B4C9A">
        <w:instrText xml:space="preserve"> SEQ Table \* ARABIC </w:instrText>
      </w:r>
      <w:r w:rsidR="009B4C9A">
        <w:fldChar w:fldCharType="separate"/>
      </w:r>
      <w:r w:rsidR="00AA10F4">
        <w:rPr>
          <w:noProof/>
        </w:rPr>
        <w:t>14</w:t>
      </w:r>
      <w:r w:rsidR="009B4C9A">
        <w:rPr>
          <w:noProof/>
        </w:rPr>
        <w:fldChar w:fldCharType="end"/>
      </w:r>
      <w:bookmarkEnd w:id="80"/>
      <w:r>
        <w:t>. 2024 Online Store Channel Electric Demand Savings by Measure</w:t>
      </w:r>
      <w:bookmarkEnd w:id="81"/>
      <w:bookmarkEnd w:id="8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5"/>
        <w:gridCol w:w="1620"/>
        <w:gridCol w:w="1890"/>
        <w:gridCol w:w="1890"/>
        <w:gridCol w:w="1061"/>
        <w:gridCol w:w="1850"/>
      </w:tblGrid>
      <w:tr w:rsidR="00D2764E" w14:paraId="132316BD"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12DB650D" w14:textId="77777777" w:rsidR="00D2764E" w:rsidRDefault="00D2764E" w:rsidP="008700F8">
            <w:pPr>
              <w:pStyle w:val="TableHeadingLeft"/>
            </w:pPr>
            <w:r w:rsidRPr="00F87E60">
              <w:t>Measure Category</w:t>
            </w:r>
          </w:p>
        </w:tc>
        <w:tc>
          <w:tcPr>
            <w:tcW w:w="1620" w:type="dxa"/>
            <w:tcBorders>
              <w:bottom w:val="none" w:sz="0" w:space="0" w:color="auto"/>
            </w:tcBorders>
          </w:tcPr>
          <w:p w14:paraId="05C07147"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  </w:t>
            </w:r>
          </w:p>
        </w:tc>
        <w:tc>
          <w:tcPr>
            <w:tcW w:w="1890" w:type="dxa"/>
            <w:tcBorders>
              <w:bottom w:val="none" w:sz="0" w:space="0" w:color="auto"/>
            </w:tcBorders>
          </w:tcPr>
          <w:p w14:paraId="42C66432" w14:textId="77777777" w:rsidR="00D2764E" w:rsidRPr="00A81CD1"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A81CD1">
              <w:t xml:space="preserve">Gross Realization Rate  </w:t>
            </w:r>
          </w:p>
        </w:tc>
        <w:tc>
          <w:tcPr>
            <w:tcW w:w="1890" w:type="dxa"/>
            <w:tcBorders>
              <w:bottom w:val="none" w:sz="0" w:space="0" w:color="auto"/>
            </w:tcBorders>
          </w:tcPr>
          <w:p w14:paraId="4FFE9CDE"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  </w:t>
            </w:r>
          </w:p>
        </w:tc>
        <w:tc>
          <w:tcPr>
            <w:tcW w:w="1061" w:type="dxa"/>
            <w:tcBorders>
              <w:bottom w:val="none" w:sz="0" w:space="0" w:color="auto"/>
            </w:tcBorders>
          </w:tcPr>
          <w:p w14:paraId="75D4CE28"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7FF5C8BE"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  </w:t>
            </w:r>
          </w:p>
        </w:tc>
      </w:tr>
      <w:tr w:rsidR="00A81CD1" w14:paraId="1897DBF5"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442C11EC" w14:textId="6DBBF9EA" w:rsidR="00A81CD1" w:rsidRDefault="00A81CD1" w:rsidP="00A81CD1">
            <w:pPr>
              <w:pStyle w:val="TableLeftText"/>
            </w:pPr>
            <w:r>
              <w:t>Advanced Thermostats</w:t>
            </w:r>
          </w:p>
        </w:tc>
        <w:tc>
          <w:tcPr>
            <w:tcW w:w="1620" w:type="dxa"/>
            <w:tcBorders>
              <w:top w:val="none" w:sz="0" w:space="0" w:color="auto"/>
              <w:left w:val="none" w:sz="0" w:space="0" w:color="auto"/>
              <w:bottom w:val="none" w:sz="0" w:space="0" w:color="auto"/>
              <w:right w:val="none" w:sz="0" w:space="0" w:color="auto"/>
            </w:tcBorders>
          </w:tcPr>
          <w:p w14:paraId="69B86C97" w14:textId="52FB68B1"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0.51</w:t>
            </w:r>
          </w:p>
        </w:tc>
        <w:tc>
          <w:tcPr>
            <w:tcW w:w="1890" w:type="dxa"/>
            <w:tcBorders>
              <w:top w:val="none" w:sz="0" w:space="0" w:color="auto"/>
              <w:left w:val="none" w:sz="0" w:space="0" w:color="auto"/>
              <w:bottom w:val="none" w:sz="0" w:space="0" w:color="auto"/>
              <w:right w:val="none" w:sz="0" w:space="0" w:color="auto"/>
            </w:tcBorders>
          </w:tcPr>
          <w:p w14:paraId="632ABF3C" w14:textId="2F0B7960"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100%</w:t>
            </w:r>
          </w:p>
        </w:tc>
        <w:tc>
          <w:tcPr>
            <w:tcW w:w="1890" w:type="dxa"/>
            <w:tcBorders>
              <w:top w:val="none" w:sz="0" w:space="0" w:color="auto"/>
              <w:left w:val="none" w:sz="0" w:space="0" w:color="auto"/>
              <w:bottom w:val="none" w:sz="0" w:space="0" w:color="auto"/>
              <w:right w:val="none" w:sz="0" w:space="0" w:color="auto"/>
            </w:tcBorders>
          </w:tcPr>
          <w:p w14:paraId="79F74D97" w14:textId="2DF8AEE7"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0.51</w:t>
            </w:r>
          </w:p>
        </w:tc>
        <w:tc>
          <w:tcPr>
            <w:tcW w:w="1061" w:type="dxa"/>
            <w:tcBorders>
              <w:top w:val="none" w:sz="0" w:space="0" w:color="auto"/>
              <w:left w:val="none" w:sz="0" w:space="0" w:color="auto"/>
              <w:bottom w:val="none" w:sz="0" w:space="0" w:color="auto"/>
              <w:right w:val="none" w:sz="0" w:space="0" w:color="auto"/>
            </w:tcBorders>
          </w:tcPr>
          <w:p w14:paraId="1F68902B" w14:textId="0A61164C"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0.910</w:t>
            </w:r>
          </w:p>
        </w:tc>
        <w:tc>
          <w:tcPr>
            <w:tcW w:w="1850" w:type="dxa"/>
            <w:tcBorders>
              <w:top w:val="none" w:sz="0" w:space="0" w:color="auto"/>
              <w:left w:val="none" w:sz="0" w:space="0" w:color="auto"/>
              <w:bottom w:val="none" w:sz="0" w:space="0" w:color="auto"/>
              <w:right w:val="none" w:sz="0" w:space="0" w:color="auto"/>
            </w:tcBorders>
          </w:tcPr>
          <w:p w14:paraId="096F9445" w14:textId="4564CB23"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0.46</w:t>
            </w:r>
          </w:p>
        </w:tc>
      </w:tr>
      <w:tr w:rsidR="00A81CD1" w14:paraId="1823C0D4"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14DE0506" w14:textId="79F123A5" w:rsidR="00A81CD1" w:rsidRDefault="00A81CD1" w:rsidP="00A81CD1">
            <w:pPr>
              <w:pStyle w:val="TableLeftText"/>
            </w:pPr>
            <w:r>
              <w:t>LED Bulbs and Fixtures</w:t>
            </w:r>
          </w:p>
        </w:tc>
        <w:tc>
          <w:tcPr>
            <w:tcW w:w="1620" w:type="dxa"/>
            <w:tcBorders>
              <w:top w:val="none" w:sz="0" w:space="0" w:color="auto"/>
              <w:left w:val="none" w:sz="0" w:space="0" w:color="auto"/>
              <w:bottom w:val="none" w:sz="0" w:space="0" w:color="auto"/>
              <w:right w:val="none" w:sz="0" w:space="0" w:color="auto"/>
            </w:tcBorders>
          </w:tcPr>
          <w:p w14:paraId="24736171" w14:textId="723E1964" w:rsidR="00A81CD1" w:rsidRPr="00EE3D49"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0.01</w:t>
            </w:r>
          </w:p>
        </w:tc>
        <w:tc>
          <w:tcPr>
            <w:tcW w:w="1890" w:type="dxa"/>
            <w:tcBorders>
              <w:top w:val="none" w:sz="0" w:space="0" w:color="auto"/>
              <w:left w:val="none" w:sz="0" w:space="0" w:color="auto"/>
              <w:bottom w:val="none" w:sz="0" w:space="0" w:color="auto"/>
              <w:right w:val="none" w:sz="0" w:space="0" w:color="auto"/>
            </w:tcBorders>
          </w:tcPr>
          <w:p w14:paraId="796DF09B" w14:textId="4D748588" w:rsidR="00A81CD1" w:rsidRPr="00EE3D49"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98%</w:t>
            </w:r>
          </w:p>
        </w:tc>
        <w:tc>
          <w:tcPr>
            <w:tcW w:w="1890" w:type="dxa"/>
            <w:tcBorders>
              <w:top w:val="none" w:sz="0" w:space="0" w:color="auto"/>
              <w:left w:val="none" w:sz="0" w:space="0" w:color="auto"/>
              <w:bottom w:val="none" w:sz="0" w:space="0" w:color="auto"/>
              <w:right w:val="none" w:sz="0" w:space="0" w:color="auto"/>
            </w:tcBorders>
          </w:tcPr>
          <w:p w14:paraId="09B4723B" w14:textId="7530CEB9" w:rsidR="00A81CD1" w:rsidRPr="00EE3D49"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0.01</w:t>
            </w:r>
          </w:p>
        </w:tc>
        <w:tc>
          <w:tcPr>
            <w:tcW w:w="1061" w:type="dxa"/>
            <w:tcBorders>
              <w:top w:val="none" w:sz="0" w:space="0" w:color="auto"/>
              <w:left w:val="none" w:sz="0" w:space="0" w:color="auto"/>
              <w:bottom w:val="none" w:sz="0" w:space="0" w:color="auto"/>
              <w:right w:val="none" w:sz="0" w:space="0" w:color="auto"/>
            </w:tcBorders>
          </w:tcPr>
          <w:p w14:paraId="6A8F0817" w14:textId="62AB851C" w:rsidR="00A81CD1" w:rsidRPr="00EE3D49"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1.1</w:t>
            </w:r>
            <w:r w:rsidR="003F4FDE">
              <w:rPr>
                <w:color w:val="4D4D4F"/>
              </w:rPr>
              <w:t>61</w:t>
            </w:r>
          </w:p>
        </w:tc>
        <w:tc>
          <w:tcPr>
            <w:tcW w:w="1850" w:type="dxa"/>
            <w:tcBorders>
              <w:top w:val="none" w:sz="0" w:space="0" w:color="auto"/>
              <w:left w:val="none" w:sz="0" w:space="0" w:color="auto"/>
              <w:bottom w:val="none" w:sz="0" w:space="0" w:color="auto"/>
              <w:right w:val="none" w:sz="0" w:space="0" w:color="auto"/>
            </w:tcBorders>
          </w:tcPr>
          <w:p w14:paraId="0C363F36" w14:textId="21F943E6" w:rsidR="00A81CD1" w:rsidRPr="00EE3D49"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pPr>
            <w:r>
              <w:rPr>
                <w:color w:val="4D4D4F"/>
              </w:rPr>
              <w:t>0.01</w:t>
            </w:r>
          </w:p>
        </w:tc>
      </w:tr>
      <w:tr w:rsidR="00A81CD1" w14:paraId="08E5BC27"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2EA9400F" w14:textId="2B970064" w:rsidR="00A81CD1" w:rsidRDefault="00A81CD1" w:rsidP="00A81CD1">
            <w:pPr>
              <w:pStyle w:val="TableLeftText"/>
            </w:pPr>
            <w:r>
              <w:t>Lighting Controls</w:t>
            </w:r>
          </w:p>
        </w:tc>
        <w:tc>
          <w:tcPr>
            <w:tcW w:w="1620" w:type="dxa"/>
            <w:tcBorders>
              <w:top w:val="none" w:sz="0" w:space="0" w:color="auto"/>
              <w:left w:val="none" w:sz="0" w:space="0" w:color="auto"/>
              <w:bottom w:val="none" w:sz="0" w:space="0" w:color="auto"/>
              <w:right w:val="none" w:sz="0" w:space="0" w:color="auto"/>
            </w:tcBorders>
          </w:tcPr>
          <w:p w14:paraId="2E0B5E63" w14:textId="4797A2EB"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0.01</w:t>
            </w:r>
          </w:p>
        </w:tc>
        <w:tc>
          <w:tcPr>
            <w:tcW w:w="1890" w:type="dxa"/>
            <w:tcBorders>
              <w:top w:val="none" w:sz="0" w:space="0" w:color="auto"/>
              <w:left w:val="none" w:sz="0" w:space="0" w:color="auto"/>
              <w:bottom w:val="none" w:sz="0" w:space="0" w:color="auto"/>
              <w:right w:val="none" w:sz="0" w:space="0" w:color="auto"/>
            </w:tcBorders>
          </w:tcPr>
          <w:p w14:paraId="0530B4C4" w14:textId="24408DB9"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100%</w:t>
            </w:r>
          </w:p>
        </w:tc>
        <w:tc>
          <w:tcPr>
            <w:tcW w:w="1890" w:type="dxa"/>
            <w:tcBorders>
              <w:top w:val="none" w:sz="0" w:space="0" w:color="auto"/>
              <w:left w:val="none" w:sz="0" w:space="0" w:color="auto"/>
              <w:bottom w:val="none" w:sz="0" w:space="0" w:color="auto"/>
              <w:right w:val="none" w:sz="0" w:space="0" w:color="auto"/>
            </w:tcBorders>
          </w:tcPr>
          <w:p w14:paraId="38936A8B" w14:textId="4D85DB23"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0.01</w:t>
            </w:r>
          </w:p>
        </w:tc>
        <w:tc>
          <w:tcPr>
            <w:tcW w:w="1061" w:type="dxa"/>
            <w:tcBorders>
              <w:top w:val="none" w:sz="0" w:space="0" w:color="auto"/>
              <w:left w:val="none" w:sz="0" w:space="0" w:color="auto"/>
              <w:bottom w:val="none" w:sz="0" w:space="0" w:color="auto"/>
              <w:right w:val="none" w:sz="0" w:space="0" w:color="auto"/>
            </w:tcBorders>
          </w:tcPr>
          <w:p w14:paraId="0A6B17D6" w14:textId="10B0B686"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1.1</w:t>
            </w:r>
            <w:r w:rsidR="003F4FDE">
              <w:rPr>
                <w:color w:val="4D4D4F"/>
              </w:rPr>
              <w:t>61</w:t>
            </w:r>
          </w:p>
        </w:tc>
        <w:tc>
          <w:tcPr>
            <w:tcW w:w="1850" w:type="dxa"/>
            <w:tcBorders>
              <w:top w:val="none" w:sz="0" w:space="0" w:color="auto"/>
              <w:left w:val="none" w:sz="0" w:space="0" w:color="auto"/>
              <w:bottom w:val="none" w:sz="0" w:space="0" w:color="auto"/>
              <w:right w:val="none" w:sz="0" w:space="0" w:color="auto"/>
            </w:tcBorders>
          </w:tcPr>
          <w:p w14:paraId="497E2F34" w14:textId="23ABC411"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0.01</w:t>
            </w:r>
          </w:p>
        </w:tc>
      </w:tr>
      <w:tr w:rsidR="00A81CD1" w14:paraId="574D8300"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028DAF83" w14:textId="4488B213" w:rsidR="00A81CD1" w:rsidRPr="00307925" w:rsidRDefault="00A81CD1" w:rsidP="00A81CD1">
            <w:pPr>
              <w:pStyle w:val="TableLeftText"/>
              <w:rPr>
                <w:rFonts w:ascii="Franklin Gothic Medium" w:hAnsi="Franklin Gothic Medium"/>
              </w:rPr>
            </w:pPr>
            <w:r w:rsidRPr="00307925">
              <w:rPr>
                <w:rFonts w:ascii="Franklin Gothic Medium" w:hAnsi="Franklin Gothic Medium"/>
              </w:rPr>
              <w:t>Total</w:t>
            </w:r>
          </w:p>
        </w:tc>
        <w:tc>
          <w:tcPr>
            <w:tcW w:w="1620" w:type="dxa"/>
            <w:tcBorders>
              <w:top w:val="none" w:sz="0" w:space="0" w:color="auto"/>
              <w:left w:val="none" w:sz="0" w:space="0" w:color="auto"/>
              <w:bottom w:val="none" w:sz="0" w:space="0" w:color="auto"/>
              <w:right w:val="none" w:sz="0" w:space="0" w:color="auto"/>
            </w:tcBorders>
          </w:tcPr>
          <w:p w14:paraId="1092E1C6" w14:textId="4F459CD4"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0.52</w:t>
            </w:r>
          </w:p>
        </w:tc>
        <w:tc>
          <w:tcPr>
            <w:tcW w:w="1890" w:type="dxa"/>
            <w:tcBorders>
              <w:top w:val="none" w:sz="0" w:space="0" w:color="auto"/>
              <w:left w:val="none" w:sz="0" w:space="0" w:color="auto"/>
              <w:bottom w:val="none" w:sz="0" w:space="0" w:color="auto"/>
              <w:right w:val="none" w:sz="0" w:space="0" w:color="auto"/>
            </w:tcBorders>
          </w:tcPr>
          <w:p w14:paraId="6DEC30B6" w14:textId="229023DE"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100%</w:t>
            </w:r>
          </w:p>
        </w:tc>
        <w:tc>
          <w:tcPr>
            <w:tcW w:w="1890" w:type="dxa"/>
            <w:tcBorders>
              <w:top w:val="none" w:sz="0" w:space="0" w:color="auto"/>
              <w:left w:val="none" w:sz="0" w:space="0" w:color="auto"/>
              <w:bottom w:val="none" w:sz="0" w:space="0" w:color="auto"/>
              <w:right w:val="none" w:sz="0" w:space="0" w:color="auto"/>
            </w:tcBorders>
          </w:tcPr>
          <w:p w14:paraId="1915A769" w14:textId="79299E30"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0.52</w:t>
            </w:r>
          </w:p>
        </w:tc>
        <w:tc>
          <w:tcPr>
            <w:tcW w:w="1061" w:type="dxa"/>
            <w:tcBorders>
              <w:top w:val="none" w:sz="0" w:space="0" w:color="auto"/>
              <w:left w:val="none" w:sz="0" w:space="0" w:color="auto"/>
              <w:bottom w:val="none" w:sz="0" w:space="0" w:color="auto"/>
              <w:right w:val="none" w:sz="0" w:space="0" w:color="auto"/>
            </w:tcBorders>
          </w:tcPr>
          <w:p w14:paraId="6EC43332" w14:textId="2DC983B0"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0.918</w:t>
            </w:r>
          </w:p>
        </w:tc>
        <w:tc>
          <w:tcPr>
            <w:tcW w:w="1850" w:type="dxa"/>
            <w:tcBorders>
              <w:top w:val="none" w:sz="0" w:space="0" w:color="auto"/>
              <w:left w:val="none" w:sz="0" w:space="0" w:color="auto"/>
              <w:bottom w:val="none" w:sz="0" w:space="0" w:color="auto"/>
              <w:right w:val="none" w:sz="0" w:space="0" w:color="auto"/>
            </w:tcBorders>
          </w:tcPr>
          <w:p w14:paraId="77ECED03" w14:textId="4098966C"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0.48</w:t>
            </w:r>
          </w:p>
        </w:tc>
      </w:tr>
    </w:tbl>
    <w:p w14:paraId="69C27EE9" w14:textId="02031D32" w:rsidR="00D2764E" w:rsidRDefault="00D2764E" w:rsidP="00612B6A">
      <w:pPr>
        <w:pStyle w:val="NoSpacing"/>
        <w:keepNext/>
        <w:keepLines/>
        <w:spacing w:before="240" w:after="240"/>
      </w:pPr>
      <w:r>
        <w:lastRenderedPageBreak/>
        <w:fldChar w:fldCharType="begin"/>
      </w:r>
      <w:r>
        <w:instrText xml:space="preserve"> REF _Ref187235722 \h  \* MERGEFORMAT </w:instrText>
      </w:r>
      <w:r>
        <w:fldChar w:fldCharType="separate"/>
      </w:r>
      <w:r w:rsidR="00AA10F4">
        <w:t xml:space="preserve">Table </w:t>
      </w:r>
      <w:r w:rsidR="00AA10F4">
        <w:rPr>
          <w:noProof/>
        </w:rPr>
        <w:t>15</w:t>
      </w:r>
      <w:r>
        <w:fldChar w:fldCharType="end"/>
      </w:r>
      <w:r>
        <w:t xml:space="preserve"> presents the ex ante, verified gross, and verified net gas savings achieved through the Online Store channel in 2024. </w:t>
      </w:r>
      <w:r w:rsidR="00A81CD1">
        <w:t xml:space="preserve">The channel achieved a 100% realization rate for gas savings. Overall, the channel experienced an 18% decrease in verified net </w:t>
      </w:r>
      <w:r w:rsidR="00A32E0B">
        <w:t>gas</w:t>
      </w:r>
      <w:r w:rsidR="00A81CD1">
        <w:t xml:space="preserve"> savings compared to 2023. This decrease in savings aligns with an 11% decrease in the number of </w:t>
      </w:r>
      <w:r w:rsidR="00690BD2">
        <w:t>a</w:t>
      </w:r>
      <w:r w:rsidR="00A81CD1">
        <w:t xml:space="preserve">dvanced </w:t>
      </w:r>
      <w:r w:rsidR="00690BD2">
        <w:t>t</w:t>
      </w:r>
      <w:r w:rsidR="00A81CD1">
        <w:t>hermostats incentivized in 2024 compared to 2023.</w:t>
      </w:r>
    </w:p>
    <w:p w14:paraId="43259E7A" w14:textId="398EC254" w:rsidR="00D2764E" w:rsidRDefault="00D2764E" w:rsidP="00881B1B">
      <w:pPr>
        <w:pStyle w:val="Caption"/>
      </w:pPr>
      <w:bookmarkStart w:id="83" w:name="_Ref187235722"/>
      <w:bookmarkStart w:id="84" w:name="_Toc191992536"/>
      <w:bookmarkStart w:id="85" w:name="_Toc192766949"/>
      <w:r>
        <w:t xml:space="preserve">Table </w:t>
      </w:r>
      <w:r w:rsidR="009B4C9A">
        <w:fldChar w:fldCharType="begin"/>
      </w:r>
      <w:r w:rsidR="009B4C9A">
        <w:instrText xml:space="preserve"> SEQ Table \* ARABIC </w:instrText>
      </w:r>
      <w:r w:rsidR="009B4C9A">
        <w:fldChar w:fldCharType="separate"/>
      </w:r>
      <w:r w:rsidR="00AA10F4">
        <w:rPr>
          <w:noProof/>
        </w:rPr>
        <w:t>15</w:t>
      </w:r>
      <w:r w:rsidR="009B4C9A">
        <w:rPr>
          <w:noProof/>
        </w:rPr>
        <w:fldChar w:fldCharType="end"/>
      </w:r>
      <w:bookmarkEnd w:id="83"/>
      <w:r>
        <w:t>. 2024 Online Store Channel Gas Savings by Measure</w:t>
      </w:r>
      <w:bookmarkEnd w:id="84"/>
      <w:bookmarkEnd w:id="8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5"/>
        <w:gridCol w:w="1800"/>
        <w:gridCol w:w="1800"/>
        <w:gridCol w:w="1800"/>
        <w:gridCol w:w="1061"/>
        <w:gridCol w:w="1850"/>
      </w:tblGrid>
      <w:tr w:rsidR="00D2764E" w14:paraId="6B13F8AE" w14:textId="77777777" w:rsidTr="007F2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413FDFBC" w14:textId="77777777" w:rsidR="00D2764E" w:rsidRDefault="00D2764E" w:rsidP="008700F8">
            <w:pPr>
              <w:pStyle w:val="TableHeadingLeft"/>
            </w:pPr>
            <w:r w:rsidRPr="00F87E60">
              <w:t>Measure Category</w:t>
            </w:r>
          </w:p>
        </w:tc>
        <w:tc>
          <w:tcPr>
            <w:tcW w:w="1800" w:type="dxa"/>
            <w:tcBorders>
              <w:bottom w:val="none" w:sz="0" w:space="0" w:color="auto"/>
            </w:tcBorders>
          </w:tcPr>
          <w:p w14:paraId="4A770683"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800" w:type="dxa"/>
            <w:tcBorders>
              <w:bottom w:val="none" w:sz="0" w:space="0" w:color="auto"/>
            </w:tcBorders>
          </w:tcPr>
          <w:p w14:paraId="5341B9EA"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00" w:type="dxa"/>
            <w:tcBorders>
              <w:bottom w:val="none" w:sz="0" w:space="0" w:color="auto"/>
            </w:tcBorders>
          </w:tcPr>
          <w:p w14:paraId="1B86162F"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061" w:type="dxa"/>
            <w:tcBorders>
              <w:bottom w:val="none" w:sz="0" w:space="0" w:color="auto"/>
            </w:tcBorders>
          </w:tcPr>
          <w:p w14:paraId="020DCA31"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6612675B" w14:textId="77777777" w:rsidR="00D2764E" w:rsidRDefault="00D2764E"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A81CD1" w14:paraId="26C305BE"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78382E42" w14:textId="43B65533" w:rsidR="00A81CD1" w:rsidRDefault="00A81CD1" w:rsidP="00A81CD1">
            <w:pPr>
              <w:pStyle w:val="TableLeftText"/>
            </w:pPr>
            <w:r>
              <w:t>Advanced Thermostats</w:t>
            </w:r>
          </w:p>
        </w:tc>
        <w:tc>
          <w:tcPr>
            <w:tcW w:w="1800" w:type="dxa"/>
            <w:tcBorders>
              <w:top w:val="none" w:sz="0" w:space="0" w:color="auto"/>
              <w:left w:val="none" w:sz="0" w:space="0" w:color="auto"/>
              <w:bottom w:val="none" w:sz="0" w:space="0" w:color="auto"/>
              <w:right w:val="none" w:sz="0" w:space="0" w:color="auto"/>
            </w:tcBorders>
          </w:tcPr>
          <w:p w14:paraId="1E538E58" w14:textId="2D6133E0"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107,812</w:t>
            </w:r>
          </w:p>
        </w:tc>
        <w:tc>
          <w:tcPr>
            <w:tcW w:w="1800" w:type="dxa"/>
            <w:tcBorders>
              <w:top w:val="none" w:sz="0" w:space="0" w:color="auto"/>
              <w:left w:val="none" w:sz="0" w:space="0" w:color="auto"/>
              <w:bottom w:val="none" w:sz="0" w:space="0" w:color="auto"/>
              <w:right w:val="none" w:sz="0" w:space="0" w:color="auto"/>
            </w:tcBorders>
          </w:tcPr>
          <w:p w14:paraId="06887CE5" w14:textId="4CF79A3E"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100%</w:t>
            </w:r>
          </w:p>
        </w:tc>
        <w:tc>
          <w:tcPr>
            <w:tcW w:w="1800" w:type="dxa"/>
            <w:tcBorders>
              <w:top w:val="none" w:sz="0" w:space="0" w:color="auto"/>
              <w:left w:val="none" w:sz="0" w:space="0" w:color="auto"/>
              <w:bottom w:val="none" w:sz="0" w:space="0" w:color="auto"/>
              <w:right w:val="none" w:sz="0" w:space="0" w:color="auto"/>
            </w:tcBorders>
          </w:tcPr>
          <w:p w14:paraId="3D2C1623" w14:textId="5CEDFB93"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107,812</w:t>
            </w:r>
          </w:p>
        </w:tc>
        <w:tc>
          <w:tcPr>
            <w:tcW w:w="1061" w:type="dxa"/>
            <w:tcBorders>
              <w:top w:val="none" w:sz="0" w:space="0" w:color="auto"/>
              <w:left w:val="none" w:sz="0" w:space="0" w:color="auto"/>
              <w:bottom w:val="none" w:sz="0" w:space="0" w:color="auto"/>
              <w:right w:val="none" w:sz="0" w:space="0" w:color="auto"/>
            </w:tcBorders>
          </w:tcPr>
          <w:p w14:paraId="5F5A185A" w14:textId="16B7B981"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0.910</w:t>
            </w:r>
          </w:p>
        </w:tc>
        <w:tc>
          <w:tcPr>
            <w:tcW w:w="1850" w:type="dxa"/>
            <w:tcBorders>
              <w:top w:val="none" w:sz="0" w:space="0" w:color="auto"/>
              <w:left w:val="none" w:sz="0" w:space="0" w:color="auto"/>
              <w:bottom w:val="none" w:sz="0" w:space="0" w:color="auto"/>
              <w:right w:val="none" w:sz="0" w:space="0" w:color="auto"/>
            </w:tcBorders>
          </w:tcPr>
          <w:p w14:paraId="1E651428" w14:textId="370FCC4C" w:rsidR="00A81CD1" w:rsidRPr="00EE3D49" w:rsidRDefault="00A81CD1" w:rsidP="007F2D66">
            <w:pPr>
              <w:pStyle w:val="TableLeftText"/>
              <w:jc w:val="right"/>
              <w:cnfStyle w:val="000000100000" w:firstRow="0" w:lastRow="0" w:firstColumn="0" w:lastColumn="0" w:oddVBand="0" w:evenVBand="0" w:oddHBand="1" w:evenHBand="0" w:firstRowFirstColumn="0" w:firstRowLastColumn="0" w:lastRowFirstColumn="0" w:lastRowLastColumn="0"/>
            </w:pPr>
            <w:r>
              <w:rPr>
                <w:color w:val="4D4D4F"/>
              </w:rPr>
              <w:t>98,062</w:t>
            </w:r>
          </w:p>
        </w:tc>
      </w:tr>
      <w:tr w:rsidR="00A81CD1" w:rsidRPr="00EE3D49" w14:paraId="3E593D1E"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4F2D6388" w14:textId="22F7F9BB" w:rsidR="00A81CD1" w:rsidRPr="00307925" w:rsidRDefault="00A81CD1" w:rsidP="00A81CD1">
            <w:pPr>
              <w:pStyle w:val="TableLeftText"/>
              <w:rPr>
                <w:rFonts w:ascii="Franklin Gothic Medium" w:hAnsi="Franklin Gothic Medium"/>
              </w:rPr>
            </w:pPr>
            <w:r w:rsidRPr="00307925">
              <w:rPr>
                <w:rFonts w:ascii="Franklin Gothic Medium" w:hAnsi="Franklin Gothic Medium"/>
              </w:rPr>
              <w:t>Total</w:t>
            </w:r>
          </w:p>
        </w:tc>
        <w:tc>
          <w:tcPr>
            <w:tcW w:w="1800" w:type="dxa"/>
            <w:tcBorders>
              <w:top w:val="none" w:sz="0" w:space="0" w:color="auto"/>
              <w:left w:val="none" w:sz="0" w:space="0" w:color="auto"/>
              <w:bottom w:val="none" w:sz="0" w:space="0" w:color="auto"/>
              <w:right w:val="none" w:sz="0" w:space="0" w:color="auto"/>
            </w:tcBorders>
          </w:tcPr>
          <w:p w14:paraId="1B5027D5" w14:textId="54C82E17"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107,812</w:t>
            </w:r>
          </w:p>
        </w:tc>
        <w:tc>
          <w:tcPr>
            <w:tcW w:w="1800" w:type="dxa"/>
            <w:tcBorders>
              <w:top w:val="none" w:sz="0" w:space="0" w:color="auto"/>
              <w:left w:val="none" w:sz="0" w:space="0" w:color="auto"/>
              <w:bottom w:val="none" w:sz="0" w:space="0" w:color="auto"/>
              <w:right w:val="none" w:sz="0" w:space="0" w:color="auto"/>
            </w:tcBorders>
          </w:tcPr>
          <w:p w14:paraId="6D14DE88" w14:textId="0813CDB8"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100%</w:t>
            </w:r>
          </w:p>
        </w:tc>
        <w:tc>
          <w:tcPr>
            <w:tcW w:w="1800" w:type="dxa"/>
            <w:tcBorders>
              <w:top w:val="none" w:sz="0" w:space="0" w:color="auto"/>
              <w:left w:val="none" w:sz="0" w:space="0" w:color="auto"/>
              <w:bottom w:val="none" w:sz="0" w:space="0" w:color="auto"/>
              <w:right w:val="none" w:sz="0" w:space="0" w:color="auto"/>
            </w:tcBorders>
          </w:tcPr>
          <w:p w14:paraId="54AA0489" w14:textId="5D39F07E"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107,812</w:t>
            </w:r>
          </w:p>
        </w:tc>
        <w:tc>
          <w:tcPr>
            <w:tcW w:w="1061" w:type="dxa"/>
            <w:tcBorders>
              <w:top w:val="none" w:sz="0" w:space="0" w:color="auto"/>
              <w:left w:val="none" w:sz="0" w:space="0" w:color="auto"/>
              <w:bottom w:val="none" w:sz="0" w:space="0" w:color="auto"/>
              <w:right w:val="none" w:sz="0" w:space="0" w:color="auto"/>
            </w:tcBorders>
          </w:tcPr>
          <w:p w14:paraId="197CE2CC" w14:textId="36599DD8"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0.910</w:t>
            </w:r>
          </w:p>
        </w:tc>
        <w:tc>
          <w:tcPr>
            <w:tcW w:w="1850" w:type="dxa"/>
            <w:tcBorders>
              <w:top w:val="none" w:sz="0" w:space="0" w:color="auto"/>
              <w:left w:val="none" w:sz="0" w:space="0" w:color="auto"/>
              <w:bottom w:val="none" w:sz="0" w:space="0" w:color="auto"/>
              <w:right w:val="none" w:sz="0" w:space="0" w:color="auto"/>
            </w:tcBorders>
          </w:tcPr>
          <w:p w14:paraId="67157C95" w14:textId="26412639" w:rsidR="00A81CD1" w:rsidRPr="00307925" w:rsidRDefault="00A81CD1" w:rsidP="007F2D66">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07925">
              <w:rPr>
                <w:rFonts w:ascii="Franklin Gothic Medium" w:hAnsi="Franklin Gothic Medium"/>
                <w:color w:val="4D4D4F"/>
              </w:rPr>
              <w:t>98,062</w:t>
            </w:r>
          </w:p>
        </w:tc>
      </w:tr>
    </w:tbl>
    <w:p w14:paraId="503E8FDE" w14:textId="37FDA3B5" w:rsidR="00D2764E" w:rsidRDefault="00D2764E" w:rsidP="002220FC">
      <w:pPr>
        <w:pStyle w:val="NoSpacing"/>
        <w:spacing w:before="240"/>
      </w:pPr>
      <w:r>
        <w:t xml:space="preserve">We discuss </w:t>
      </w:r>
      <w:r w:rsidR="00240463">
        <w:t xml:space="preserve">significant </w:t>
      </w:r>
      <w:r>
        <w:t>discrepancies between ex ante claims and the verified analysis below.</w:t>
      </w:r>
    </w:p>
    <w:p w14:paraId="52FBB0BC" w14:textId="77777777" w:rsidR="00A81CD1" w:rsidRDefault="00A81CD1" w:rsidP="00A81CD1">
      <w:pPr>
        <w:pStyle w:val="ListBullet"/>
      </w:pPr>
      <w:bookmarkStart w:id="86" w:name="_Hlk190867632"/>
      <w:r w:rsidRPr="00E0788C">
        <w:rPr>
          <w:b/>
          <w:bCs/>
        </w:rPr>
        <w:t xml:space="preserve">LED Bulbs and Fixtures </w:t>
      </w:r>
      <w:bookmarkEnd w:id="86"/>
      <w:r w:rsidRPr="00E0788C">
        <w:rPr>
          <w:b/>
          <w:bCs/>
        </w:rPr>
        <w:t>(8% of ex ante energy savings, 1% of demand savings)</w:t>
      </w:r>
      <w:r>
        <w:t xml:space="preserve">: The gross realization rates for </w:t>
      </w:r>
      <w:r w:rsidRPr="00E0788C">
        <w:t>LED Bulbs and Fixtures</w:t>
      </w:r>
      <w:r w:rsidRPr="00E0788C">
        <w:rPr>
          <w:b/>
          <w:bCs/>
        </w:rPr>
        <w:t xml:space="preserve"> </w:t>
      </w:r>
      <w:r w:rsidRPr="00921EBD">
        <w:t>a</w:t>
      </w:r>
      <w:r>
        <w:t>re 88% for electric energy savings and 98% for demand savings.</w:t>
      </w:r>
    </w:p>
    <w:p w14:paraId="1CB7FE15" w14:textId="42673658" w:rsidR="00A81CD1" w:rsidRDefault="00A81CD1" w:rsidP="00A81CD1">
      <w:pPr>
        <w:pStyle w:val="ListBullet2"/>
      </w:pPr>
      <w:r>
        <w:t>For 11 wall pack records, t</w:t>
      </w:r>
      <w:r w:rsidRPr="009A6175">
        <w:t xml:space="preserve">he </w:t>
      </w:r>
      <w:r>
        <w:t>evaluation team</w:t>
      </w:r>
      <w:r w:rsidRPr="009A6175">
        <w:t xml:space="preserve"> applied </w:t>
      </w:r>
      <w:r>
        <w:t xml:space="preserve">a </w:t>
      </w:r>
      <w:r w:rsidRPr="00E0788C">
        <w:t>baseline wattage</w:t>
      </w:r>
      <w:r>
        <w:t xml:space="preserve"> consistent with IL-TRM</w:t>
      </w:r>
      <w:r w:rsidRPr="00E0788C">
        <w:t xml:space="preserve"> </w:t>
      </w:r>
      <w:r>
        <w:t xml:space="preserve">V12.0 </w:t>
      </w:r>
      <w:r w:rsidRPr="00E0788C">
        <w:t>based o</w:t>
      </w:r>
      <w:r>
        <w:t>n</w:t>
      </w:r>
      <w:r w:rsidRPr="00E0788C">
        <w:t xml:space="preserve"> the lumen</w:t>
      </w:r>
      <w:r>
        <w:t xml:space="preserve"> value included in </w:t>
      </w:r>
      <w:r w:rsidRPr="00E0788C">
        <w:t xml:space="preserve">the </w:t>
      </w:r>
      <w:r>
        <w:t xml:space="preserve">equipment </w:t>
      </w:r>
      <w:r w:rsidRPr="00E0788C">
        <w:t>spec</w:t>
      </w:r>
      <w:r>
        <w:t xml:space="preserve">ifications. All 11 records were the same model of wall pack </w:t>
      </w:r>
      <w:r w:rsidRPr="00681C2F">
        <w:t>(L80-WPT-50-120/277-D-PC)</w:t>
      </w:r>
      <w:r>
        <w:t xml:space="preserve">, which </w:t>
      </w:r>
      <w:r w:rsidR="0064563C">
        <w:t>outputs</w:t>
      </w:r>
      <w:r w:rsidRPr="00681C2F">
        <w:t xml:space="preserve"> 8,000 </w:t>
      </w:r>
      <w:r w:rsidR="0064563C">
        <w:t>l</w:t>
      </w:r>
      <w:r w:rsidR="0064563C" w:rsidRPr="00681C2F">
        <w:t>umens</w:t>
      </w:r>
      <w:r>
        <w:t>.</w:t>
      </w:r>
      <w:r w:rsidRPr="00681C2F">
        <w:t xml:space="preserve"> We applied a baseline wattage of 198.8W in </w:t>
      </w:r>
      <w:r>
        <w:t>the</w:t>
      </w:r>
      <w:r w:rsidRPr="00681C2F">
        <w:t xml:space="preserve"> verified savings calculations per the IL-TRM V12.0. The implementation team applied a baseline wattage of 284.1W, which is appropriate for lumen</w:t>
      </w:r>
      <w:r w:rsidR="0064563C">
        <w:t xml:space="preserve"> output</w:t>
      </w:r>
      <w:r w:rsidRPr="00681C2F">
        <w:t xml:space="preserve"> values of 10,000 or higher. </w:t>
      </w:r>
      <w:r>
        <w:t xml:space="preserve">This discrepancy in baseline wattage assumptions resulted </w:t>
      </w:r>
      <w:r w:rsidRPr="009A6175">
        <w:t>in lower verified</w:t>
      </w:r>
      <w:r>
        <w:t xml:space="preserve"> electric</w:t>
      </w:r>
      <w:r w:rsidRPr="009A6175">
        <w:t xml:space="preserve"> </w:t>
      </w:r>
      <w:r>
        <w:t xml:space="preserve">energy </w:t>
      </w:r>
      <w:r w:rsidRPr="009A6175">
        <w:t>savings.</w:t>
      </w:r>
    </w:p>
    <w:p w14:paraId="599B20AD" w14:textId="198126D8" w:rsidR="00A81CD1" w:rsidRDefault="00A81CD1" w:rsidP="00A81CD1">
      <w:pPr>
        <w:pStyle w:val="ListBullet2"/>
      </w:pPr>
      <w:r>
        <w:t>For one LED fixture record, t</w:t>
      </w:r>
      <w:r w:rsidRPr="009A6175">
        <w:t>he</w:t>
      </w:r>
      <w:r>
        <w:t xml:space="preserve"> evaluation team</w:t>
      </w:r>
      <w:r w:rsidRPr="009A6175">
        <w:t xml:space="preserve"> applied </w:t>
      </w:r>
      <w:r>
        <w:t xml:space="preserve">a </w:t>
      </w:r>
      <w:r w:rsidRPr="00E0788C">
        <w:t>baseline wattage</w:t>
      </w:r>
      <w:r w:rsidR="003240FF">
        <w:t xml:space="preserve"> of 85W</w:t>
      </w:r>
      <w:r w:rsidR="000A15B0">
        <w:t xml:space="preserve"> </w:t>
      </w:r>
      <w:r>
        <w:t xml:space="preserve">consistent with IL-TRM V12.0 </w:t>
      </w:r>
      <w:r w:rsidRPr="00E0788C">
        <w:t xml:space="preserve">based </w:t>
      </w:r>
      <w:r>
        <w:t>on</w:t>
      </w:r>
      <w:r w:rsidRPr="00E0788C">
        <w:t xml:space="preserve"> the lumen </w:t>
      </w:r>
      <w:r>
        <w:t xml:space="preserve">value included in </w:t>
      </w:r>
      <w:r w:rsidRPr="00E0788C">
        <w:t xml:space="preserve">the </w:t>
      </w:r>
      <w:r>
        <w:t xml:space="preserve">equipment </w:t>
      </w:r>
      <w:r w:rsidRPr="00E0788C">
        <w:t>spec</w:t>
      </w:r>
      <w:r>
        <w:t>ifications, which differed from the</w:t>
      </w:r>
      <w:r w:rsidR="003240FF">
        <w:t xml:space="preserve"> 169W</w:t>
      </w:r>
      <w:r>
        <w:t xml:space="preserve"> assumption applied by the implementation team in the ex ante savings calculations. This discrepancy in baseline wattage assumptions resulted </w:t>
      </w:r>
      <w:r w:rsidRPr="009A6175">
        <w:t>in lower verified</w:t>
      </w:r>
      <w:r>
        <w:t xml:space="preserve"> electric</w:t>
      </w:r>
      <w:r w:rsidRPr="009A6175">
        <w:t xml:space="preserve"> </w:t>
      </w:r>
      <w:r>
        <w:t xml:space="preserve">energy and demand </w:t>
      </w:r>
      <w:r w:rsidRPr="009A6175">
        <w:t>savings.</w:t>
      </w:r>
    </w:p>
    <w:p w14:paraId="2F417DC4" w14:textId="77777777" w:rsidR="00A81CD1" w:rsidRDefault="00A81CD1" w:rsidP="00A81CD1">
      <w:pPr>
        <w:pStyle w:val="ListBullet"/>
      </w:pPr>
      <w:r w:rsidRPr="00E0788C">
        <w:rPr>
          <w:b/>
          <w:bCs/>
        </w:rPr>
        <w:t>Smart Socket</w:t>
      </w:r>
      <w:r>
        <w:rPr>
          <w:b/>
          <w:bCs/>
        </w:rPr>
        <w:t>s</w:t>
      </w:r>
      <w:r w:rsidRPr="00E0788C">
        <w:rPr>
          <w:b/>
          <w:bCs/>
        </w:rPr>
        <w:t xml:space="preserve"> (</w:t>
      </w:r>
      <w:r>
        <w:rPr>
          <w:b/>
          <w:bCs/>
        </w:rPr>
        <w:t>&lt;1</w:t>
      </w:r>
      <w:r w:rsidRPr="00E0788C">
        <w:rPr>
          <w:b/>
          <w:bCs/>
        </w:rPr>
        <w:t>% of ex ante energy savings)</w:t>
      </w:r>
      <w:r>
        <w:t>: The gross realization rate for Smart Sockets is 95% for electric energy savings.</w:t>
      </w:r>
    </w:p>
    <w:p w14:paraId="7E8297C6" w14:textId="77777777" w:rsidR="00A81CD1" w:rsidRPr="00D2764E" w:rsidRDefault="00A81CD1" w:rsidP="00A81CD1">
      <w:pPr>
        <w:pStyle w:val="ListBullet2"/>
      </w:pPr>
      <w:r w:rsidRPr="00E0788C">
        <w:t xml:space="preserve">The </w:t>
      </w:r>
      <w:r>
        <w:t xml:space="preserve">evaluation team </w:t>
      </w:r>
      <w:r w:rsidRPr="00E0788C">
        <w:t xml:space="preserve">awarded zero electric </w:t>
      </w:r>
      <w:r>
        <w:t xml:space="preserve">energy </w:t>
      </w:r>
      <w:r w:rsidRPr="00E0788C">
        <w:t xml:space="preserve">savings </w:t>
      </w:r>
      <w:r>
        <w:t xml:space="preserve">in the </w:t>
      </w:r>
      <w:r w:rsidRPr="00E0788C">
        <w:t xml:space="preserve">verified analysis </w:t>
      </w:r>
      <w:r>
        <w:t xml:space="preserve">for nine records </w:t>
      </w:r>
      <w:r w:rsidRPr="00E0788C">
        <w:t xml:space="preserve">because </w:t>
      </w:r>
      <w:r>
        <w:t xml:space="preserve">the customers associated with the projects are not AIC </w:t>
      </w:r>
      <w:r w:rsidRPr="00E0788C">
        <w:t>electric customer</w:t>
      </w:r>
      <w:r>
        <w:t>s</w:t>
      </w:r>
      <w:r w:rsidRPr="00E0788C">
        <w:t xml:space="preserve">. This resulted in lower verified </w:t>
      </w:r>
      <w:r>
        <w:t xml:space="preserve">electric </w:t>
      </w:r>
      <w:r w:rsidRPr="00E0788C">
        <w:t xml:space="preserve">energy savings. </w:t>
      </w:r>
    </w:p>
    <w:p w14:paraId="781E83F0" w14:textId="178A6539" w:rsidR="006D0CB9" w:rsidRDefault="006D0CB9" w:rsidP="000071FF">
      <w:pPr>
        <w:pStyle w:val="Heading3"/>
        <w:tabs>
          <w:tab w:val="left" w:pos="1080"/>
        </w:tabs>
        <w:ind w:left="0"/>
      </w:pPr>
      <w:bookmarkStart w:id="87" w:name="_Toc191992415"/>
      <w:r>
        <w:t>Building Operator Certification</w:t>
      </w:r>
      <w:bookmarkEnd w:id="87"/>
    </w:p>
    <w:p w14:paraId="569973EC" w14:textId="72181438" w:rsidR="001A45D4" w:rsidRPr="001A45D4" w:rsidRDefault="001A45D4" w:rsidP="001A45D4">
      <w:r>
        <w:t xml:space="preserve">The following sections present the impact evaluation results for the 2024 BOC Training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2864CEF6" w14:textId="77777777" w:rsidR="006D0CB9" w:rsidRDefault="006D0CB9" w:rsidP="00612B6A">
      <w:pPr>
        <w:pStyle w:val="Heading4"/>
        <w:keepNext/>
        <w:keepLines/>
      </w:pPr>
      <w:r>
        <w:t>Channel Description</w:t>
      </w:r>
    </w:p>
    <w:p w14:paraId="3E647D06" w14:textId="5E7BF0AE" w:rsidR="006D0CB9" w:rsidRDefault="002C18DF" w:rsidP="006D0CB9">
      <w:r>
        <w:t xml:space="preserve">AIC offers the BOC Training channel to building operators in </w:t>
      </w:r>
      <w:r w:rsidR="00D6622B">
        <w:t>their service</w:t>
      </w:r>
      <w:r>
        <w:t xml:space="preserve"> territory. BOC is a </w:t>
      </w:r>
      <w:r w:rsidR="003D01A4">
        <w:t>nationally recognized</w:t>
      </w:r>
      <w:r>
        <w:t xml:space="preserve"> course and certification training </w:t>
      </w:r>
      <w:r w:rsidR="00B202CE">
        <w:t>developed</w:t>
      </w:r>
      <w:r>
        <w:t xml:space="preserve"> by the Northwest Energy Efficiency Council (NEEC)</w:t>
      </w:r>
      <w:r w:rsidR="003D01A4">
        <w:t>. It</w:t>
      </w:r>
      <w:r>
        <w:t xml:space="preserve"> includes classroom training, project assignments to be completed at the participant’s facility, and in-class tests at the end of each day. Graduates who</w:t>
      </w:r>
      <w:r w:rsidR="00D6622B">
        <w:t xml:space="preserve"> pass</w:t>
      </w:r>
      <w:r>
        <w:t xml:space="preserve"> the Certification Exam earn the BOC Certification and become a certified Building Operator. While participants do not need to be AIC customers to enroll in the course, AIC provides full tuition reimbursements to customers in their service territory upon </w:t>
      </w:r>
      <w:r w:rsidR="003D01A4">
        <w:t>course completion</w:t>
      </w:r>
      <w:r>
        <w:t xml:space="preserve"> to incentivize participation. </w:t>
      </w:r>
    </w:p>
    <w:p w14:paraId="3E2957F0" w14:textId="79E6403B" w:rsidR="00B202CE" w:rsidRDefault="00B202CE" w:rsidP="006D0CB9">
      <w:r>
        <w:lastRenderedPageBreak/>
        <w:t xml:space="preserve">The BOC training consists of two levels. The Level I course focuses on </w:t>
      </w:r>
      <w:r w:rsidR="003D01A4">
        <w:t>energy-efficient building operations,</w:t>
      </w:r>
      <w:r>
        <w:t xml:space="preserve"> and the Level II course focuses on preparing building operators to evaluate their facility’s performance and optimize operations. </w:t>
      </w:r>
      <w:r w:rsidR="007B3833">
        <w:fldChar w:fldCharType="begin"/>
      </w:r>
      <w:r w:rsidR="007B3833">
        <w:instrText xml:space="preserve"> REF _Ref189137328 \h </w:instrText>
      </w:r>
      <w:r w:rsidR="007B3833">
        <w:fldChar w:fldCharType="separate"/>
      </w:r>
      <w:r w:rsidR="00AA10F4">
        <w:t xml:space="preserve">Table </w:t>
      </w:r>
      <w:r w:rsidR="00AA10F4">
        <w:rPr>
          <w:noProof/>
        </w:rPr>
        <w:t>16</w:t>
      </w:r>
      <w:r w:rsidR="007B3833">
        <w:fldChar w:fldCharType="end"/>
      </w:r>
      <w:r w:rsidR="007B3833">
        <w:t xml:space="preserve"> </w:t>
      </w:r>
      <w:r w:rsidR="00AC0952">
        <w:t>includes a list of topics covered in each of the course levels.</w:t>
      </w:r>
    </w:p>
    <w:p w14:paraId="4E7A0F94" w14:textId="0AE1D20B" w:rsidR="00AC0952" w:rsidRDefault="00AC0952" w:rsidP="00881B1B">
      <w:pPr>
        <w:pStyle w:val="Caption"/>
      </w:pPr>
      <w:bookmarkStart w:id="88" w:name="_Ref189137328"/>
      <w:bookmarkStart w:id="89" w:name="_Toc191992537"/>
      <w:bookmarkStart w:id="90" w:name="_Toc192766950"/>
      <w:r>
        <w:t xml:space="preserve">Table </w:t>
      </w:r>
      <w:r w:rsidR="009B4C9A">
        <w:fldChar w:fldCharType="begin"/>
      </w:r>
      <w:r w:rsidR="009B4C9A">
        <w:instrText xml:space="preserve"> SEQ Table \* ARABIC </w:instrText>
      </w:r>
      <w:r w:rsidR="009B4C9A">
        <w:fldChar w:fldCharType="separate"/>
      </w:r>
      <w:r w:rsidR="00AA10F4">
        <w:rPr>
          <w:noProof/>
        </w:rPr>
        <w:t>16</w:t>
      </w:r>
      <w:r w:rsidR="009B4C9A">
        <w:rPr>
          <w:noProof/>
        </w:rPr>
        <w:fldChar w:fldCharType="end"/>
      </w:r>
      <w:bookmarkEnd w:id="88"/>
      <w:r>
        <w:t>. BOC Training Topics by Level</w:t>
      </w:r>
      <w:bookmarkEnd w:id="89"/>
      <w:bookmarkEnd w:id="90"/>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6159"/>
        <w:gridCol w:w="695"/>
        <w:gridCol w:w="748"/>
      </w:tblGrid>
      <w:tr w:rsidR="00667704" w14:paraId="4EE43F20" w14:textId="77777777" w:rsidTr="00612B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0764FFE" w14:textId="2F9E1EAC" w:rsidR="00667704" w:rsidRDefault="00667704" w:rsidP="007F2D66">
            <w:pPr>
              <w:pStyle w:val="TableHeadingCentered"/>
              <w:jc w:val="left"/>
            </w:pPr>
            <w:r>
              <w:t>Topics</w:t>
            </w:r>
          </w:p>
        </w:tc>
        <w:tc>
          <w:tcPr>
            <w:tcW w:w="0" w:type="auto"/>
            <w:tcBorders>
              <w:bottom w:val="none" w:sz="0" w:space="0" w:color="auto"/>
            </w:tcBorders>
          </w:tcPr>
          <w:p w14:paraId="45E77DF1" w14:textId="11CE8470" w:rsidR="00667704" w:rsidRDefault="00667704" w:rsidP="00667704">
            <w:pPr>
              <w:pStyle w:val="TableHeadingCentered"/>
              <w:cnfStyle w:val="100000000000" w:firstRow="1" w:lastRow="0" w:firstColumn="0" w:lastColumn="0" w:oddVBand="0" w:evenVBand="0" w:oddHBand="0" w:evenHBand="0" w:firstRowFirstColumn="0" w:firstRowLastColumn="0" w:lastRowFirstColumn="0" w:lastRowLastColumn="0"/>
            </w:pPr>
            <w:r>
              <w:t>Level I</w:t>
            </w:r>
          </w:p>
        </w:tc>
        <w:tc>
          <w:tcPr>
            <w:tcW w:w="0" w:type="auto"/>
            <w:tcBorders>
              <w:bottom w:val="none" w:sz="0" w:space="0" w:color="auto"/>
            </w:tcBorders>
          </w:tcPr>
          <w:p w14:paraId="5CD76901" w14:textId="57D32926" w:rsidR="00667704" w:rsidRDefault="00667704" w:rsidP="00667704">
            <w:pPr>
              <w:pStyle w:val="TableHeadingCentered"/>
              <w:cnfStyle w:val="100000000000" w:firstRow="1" w:lastRow="0" w:firstColumn="0" w:lastColumn="0" w:oddVBand="0" w:evenVBand="0" w:oddHBand="0" w:evenHBand="0" w:firstRowFirstColumn="0" w:firstRowLastColumn="0" w:lastRowFirstColumn="0" w:lastRowLastColumn="0"/>
            </w:pPr>
            <w:r>
              <w:t>Level II</w:t>
            </w:r>
          </w:p>
        </w:tc>
      </w:tr>
      <w:tr w:rsidR="00667704" w14:paraId="6971AFD2"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556A0D1" w14:textId="3D01AB16" w:rsidR="00667704" w:rsidRDefault="00667704" w:rsidP="007F2D66">
            <w:r>
              <w:t xml:space="preserve">1001 – </w:t>
            </w:r>
            <w:r w:rsidR="003D01A4">
              <w:t>Energy-Efficient</w:t>
            </w:r>
            <w:r>
              <w:t xml:space="preserve"> Operation of Building HVAC Systems</w:t>
            </w:r>
          </w:p>
        </w:tc>
        <w:tc>
          <w:tcPr>
            <w:tcW w:w="0" w:type="auto"/>
            <w:tcBorders>
              <w:top w:val="none" w:sz="0" w:space="0" w:color="auto"/>
              <w:left w:val="none" w:sz="0" w:space="0" w:color="auto"/>
              <w:bottom w:val="none" w:sz="0" w:space="0" w:color="auto"/>
              <w:right w:val="none" w:sz="0" w:space="0" w:color="auto"/>
            </w:tcBorders>
          </w:tcPr>
          <w:p w14:paraId="076444E0" w14:textId="05EBE921" w:rsidR="00AC0952" w:rsidRPr="00AC0952" w:rsidRDefault="00AC0952" w:rsidP="0064563C">
            <w:pPr>
              <w:jc w:val="center"/>
              <w:cnfStyle w:val="000000100000" w:firstRow="0" w:lastRow="0" w:firstColumn="0" w:lastColumn="0" w:oddVBand="0" w:evenVBand="0" w:oddHBand="1" w:evenHBand="0" w:firstRowFirstColumn="0" w:firstRowLastColumn="0" w:lastRowFirstColumn="0" w:lastRowLastColumn="0"/>
              <w:rPr>
                <w:rFonts w:ascii="Wingdings 2" w:hAnsi="Wingdings 2"/>
              </w:rPr>
            </w:pPr>
            <w:r>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2CB2FBC6" w14:textId="77777777" w:rsidR="00667704" w:rsidRDefault="00667704" w:rsidP="0064563C">
            <w:pPr>
              <w:jc w:val="center"/>
              <w:cnfStyle w:val="000000100000" w:firstRow="0" w:lastRow="0" w:firstColumn="0" w:lastColumn="0" w:oddVBand="0" w:evenVBand="0" w:oddHBand="1" w:evenHBand="0" w:firstRowFirstColumn="0" w:firstRowLastColumn="0" w:lastRowFirstColumn="0" w:lastRowLastColumn="0"/>
            </w:pPr>
          </w:p>
        </w:tc>
      </w:tr>
      <w:tr w:rsidR="00AC0952" w14:paraId="338CA02D"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7303C6" w14:textId="26B6F7DF" w:rsidR="00AC0952" w:rsidRDefault="00AC0952" w:rsidP="007F2D66">
            <w:r>
              <w:t>1002 – Measuring and Benchmarking Energy Performance</w:t>
            </w:r>
          </w:p>
        </w:tc>
        <w:tc>
          <w:tcPr>
            <w:tcW w:w="0" w:type="auto"/>
            <w:tcBorders>
              <w:top w:val="none" w:sz="0" w:space="0" w:color="auto"/>
              <w:left w:val="none" w:sz="0" w:space="0" w:color="auto"/>
              <w:bottom w:val="none" w:sz="0" w:space="0" w:color="auto"/>
              <w:right w:val="none" w:sz="0" w:space="0" w:color="auto"/>
            </w:tcBorders>
          </w:tcPr>
          <w:p w14:paraId="5C649FC4" w14:textId="510C608E"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r w:rsidRPr="005A02BA">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1B51FE11" w14:textId="77777777"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p>
        </w:tc>
      </w:tr>
      <w:tr w:rsidR="00AC0952" w14:paraId="1A9D6DAA"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4E9BB8F" w14:textId="160865EF" w:rsidR="00AC0952" w:rsidRDefault="00AC0952" w:rsidP="007F2D66">
            <w:r>
              <w:t>1003 – Efficient Lighting Fundamentals</w:t>
            </w:r>
          </w:p>
        </w:tc>
        <w:tc>
          <w:tcPr>
            <w:tcW w:w="0" w:type="auto"/>
            <w:tcBorders>
              <w:top w:val="none" w:sz="0" w:space="0" w:color="auto"/>
              <w:left w:val="none" w:sz="0" w:space="0" w:color="auto"/>
              <w:bottom w:val="none" w:sz="0" w:space="0" w:color="auto"/>
              <w:right w:val="none" w:sz="0" w:space="0" w:color="auto"/>
            </w:tcBorders>
          </w:tcPr>
          <w:p w14:paraId="05CD354B" w14:textId="62E11A13"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r w:rsidRPr="005A02BA">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2C8237A5" w14:textId="7777777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p>
        </w:tc>
      </w:tr>
      <w:tr w:rsidR="00AC0952" w14:paraId="4AB47EE2"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484D97E" w14:textId="49ED12CB" w:rsidR="00AC0952" w:rsidRDefault="00AC0952" w:rsidP="007F2D66">
            <w:r>
              <w:t>1004 – HVAC Controls Fundamentals</w:t>
            </w:r>
          </w:p>
        </w:tc>
        <w:tc>
          <w:tcPr>
            <w:tcW w:w="0" w:type="auto"/>
            <w:tcBorders>
              <w:top w:val="none" w:sz="0" w:space="0" w:color="auto"/>
              <w:left w:val="none" w:sz="0" w:space="0" w:color="auto"/>
              <w:bottom w:val="none" w:sz="0" w:space="0" w:color="auto"/>
              <w:right w:val="none" w:sz="0" w:space="0" w:color="auto"/>
            </w:tcBorders>
          </w:tcPr>
          <w:p w14:paraId="17987C3C" w14:textId="70B239B8"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r w:rsidRPr="005A02BA">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4FE2CBE2" w14:textId="77777777"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p>
        </w:tc>
      </w:tr>
      <w:tr w:rsidR="00AC0952" w14:paraId="66BD8D90"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9747F85" w14:textId="2C06BBD2" w:rsidR="00AC0952" w:rsidRDefault="00AC0952" w:rsidP="007F2D66">
            <w:r>
              <w:t xml:space="preserve">1005 – Indoor Environmental Quality </w:t>
            </w:r>
          </w:p>
        </w:tc>
        <w:tc>
          <w:tcPr>
            <w:tcW w:w="0" w:type="auto"/>
            <w:tcBorders>
              <w:top w:val="none" w:sz="0" w:space="0" w:color="auto"/>
              <w:left w:val="none" w:sz="0" w:space="0" w:color="auto"/>
              <w:bottom w:val="none" w:sz="0" w:space="0" w:color="auto"/>
              <w:right w:val="none" w:sz="0" w:space="0" w:color="auto"/>
            </w:tcBorders>
          </w:tcPr>
          <w:p w14:paraId="554CB581" w14:textId="005D3A7D"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r w:rsidRPr="005A02BA">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7ADC0BCC" w14:textId="7777777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p>
        </w:tc>
      </w:tr>
      <w:tr w:rsidR="00AC0952" w14:paraId="13094221"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8CD0D30" w14:textId="5B37B109" w:rsidR="00AC0952" w:rsidRDefault="00AC0952" w:rsidP="007F2D66">
            <w:r>
              <w:t>1006 – Common Opportunities for Low-Cost Operational Improvements</w:t>
            </w:r>
          </w:p>
        </w:tc>
        <w:tc>
          <w:tcPr>
            <w:tcW w:w="0" w:type="auto"/>
            <w:tcBorders>
              <w:top w:val="none" w:sz="0" w:space="0" w:color="auto"/>
              <w:left w:val="none" w:sz="0" w:space="0" w:color="auto"/>
              <w:bottom w:val="none" w:sz="0" w:space="0" w:color="auto"/>
              <w:right w:val="none" w:sz="0" w:space="0" w:color="auto"/>
            </w:tcBorders>
          </w:tcPr>
          <w:p w14:paraId="1D7FD044" w14:textId="13997D98"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r w:rsidRPr="005A02BA">
              <w:rPr>
                <w:rFonts w:ascii="Wingdings 2" w:hAnsi="Wingdings 2"/>
              </w:rPr>
              <w:t>P</w:t>
            </w:r>
          </w:p>
        </w:tc>
        <w:tc>
          <w:tcPr>
            <w:tcW w:w="0" w:type="auto"/>
            <w:tcBorders>
              <w:top w:val="none" w:sz="0" w:space="0" w:color="auto"/>
              <w:left w:val="none" w:sz="0" w:space="0" w:color="auto"/>
              <w:bottom w:val="none" w:sz="0" w:space="0" w:color="auto"/>
              <w:right w:val="none" w:sz="0" w:space="0" w:color="auto"/>
            </w:tcBorders>
          </w:tcPr>
          <w:p w14:paraId="4B6594C6" w14:textId="77777777"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p>
        </w:tc>
      </w:tr>
      <w:tr w:rsidR="00AC0952" w14:paraId="56A1FBE4"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53AA96D" w14:textId="429E4AA2" w:rsidR="00AC0952" w:rsidRDefault="00AC0952" w:rsidP="007F2D66">
            <w:r>
              <w:t xml:space="preserve">2001 – Building Scoping for Operational Improvements </w:t>
            </w:r>
          </w:p>
        </w:tc>
        <w:tc>
          <w:tcPr>
            <w:tcW w:w="0" w:type="auto"/>
            <w:tcBorders>
              <w:top w:val="none" w:sz="0" w:space="0" w:color="auto"/>
              <w:left w:val="none" w:sz="0" w:space="0" w:color="auto"/>
              <w:bottom w:val="none" w:sz="0" w:space="0" w:color="auto"/>
              <w:right w:val="none" w:sz="0" w:space="0" w:color="auto"/>
            </w:tcBorders>
          </w:tcPr>
          <w:p w14:paraId="1682B8B4" w14:textId="7777777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2FF49FC4" w14:textId="2B1ADD4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r w:rsidRPr="00FA64AF">
              <w:rPr>
                <w:rFonts w:ascii="Wingdings 2" w:hAnsi="Wingdings 2"/>
              </w:rPr>
              <w:t>P</w:t>
            </w:r>
          </w:p>
        </w:tc>
      </w:tr>
      <w:tr w:rsidR="00AC0952" w14:paraId="0899D1F2"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F4943EE" w14:textId="3390C868" w:rsidR="00AC0952" w:rsidRDefault="00AC0952" w:rsidP="007F2D66">
            <w:r>
              <w:t xml:space="preserve">2002 – Optimizing HVAC Controls for Energy Efficiency </w:t>
            </w:r>
          </w:p>
        </w:tc>
        <w:tc>
          <w:tcPr>
            <w:tcW w:w="0" w:type="auto"/>
            <w:tcBorders>
              <w:top w:val="none" w:sz="0" w:space="0" w:color="auto"/>
              <w:left w:val="none" w:sz="0" w:space="0" w:color="auto"/>
              <w:bottom w:val="none" w:sz="0" w:space="0" w:color="auto"/>
              <w:right w:val="none" w:sz="0" w:space="0" w:color="auto"/>
            </w:tcBorders>
          </w:tcPr>
          <w:p w14:paraId="58BFBCBA" w14:textId="77777777"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4EB81F69" w14:textId="40A7AB49"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r w:rsidRPr="00FA64AF">
              <w:rPr>
                <w:rFonts w:ascii="Wingdings 2" w:hAnsi="Wingdings 2"/>
              </w:rPr>
              <w:t>P</w:t>
            </w:r>
          </w:p>
        </w:tc>
      </w:tr>
      <w:tr w:rsidR="00AC0952" w14:paraId="5AACC3E5"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017D961" w14:textId="0AE069A1" w:rsidR="00AC0952" w:rsidRDefault="00AC0952" w:rsidP="007F2D66">
            <w:r>
              <w:t xml:space="preserve">2003 – Introduction to Building Commissioning </w:t>
            </w:r>
          </w:p>
        </w:tc>
        <w:tc>
          <w:tcPr>
            <w:tcW w:w="0" w:type="auto"/>
            <w:tcBorders>
              <w:top w:val="none" w:sz="0" w:space="0" w:color="auto"/>
              <w:left w:val="none" w:sz="0" w:space="0" w:color="auto"/>
              <w:bottom w:val="none" w:sz="0" w:space="0" w:color="auto"/>
              <w:right w:val="none" w:sz="0" w:space="0" w:color="auto"/>
            </w:tcBorders>
          </w:tcPr>
          <w:p w14:paraId="7DFB1502" w14:textId="7777777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2461E577" w14:textId="7B62D5B9"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r w:rsidRPr="00FA64AF">
              <w:rPr>
                <w:rFonts w:ascii="Wingdings 2" w:hAnsi="Wingdings 2"/>
              </w:rPr>
              <w:t>P</w:t>
            </w:r>
          </w:p>
        </w:tc>
      </w:tr>
      <w:tr w:rsidR="00AC0952" w14:paraId="34A228A7" w14:textId="77777777" w:rsidTr="007F2D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0E414D7" w14:textId="6483BFB4" w:rsidR="00AC0952" w:rsidRDefault="00AC0952" w:rsidP="007F2D66">
            <w:r>
              <w:t>2004 – Water Efficiency for Building Operators</w:t>
            </w:r>
          </w:p>
        </w:tc>
        <w:tc>
          <w:tcPr>
            <w:tcW w:w="0" w:type="auto"/>
            <w:tcBorders>
              <w:top w:val="none" w:sz="0" w:space="0" w:color="auto"/>
              <w:left w:val="none" w:sz="0" w:space="0" w:color="auto"/>
              <w:bottom w:val="none" w:sz="0" w:space="0" w:color="auto"/>
              <w:right w:val="none" w:sz="0" w:space="0" w:color="auto"/>
            </w:tcBorders>
          </w:tcPr>
          <w:p w14:paraId="39003E1E" w14:textId="77777777"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595BDFB6" w14:textId="19AE21FB" w:rsidR="00AC0952" w:rsidRDefault="00AC0952" w:rsidP="0064563C">
            <w:pPr>
              <w:jc w:val="center"/>
              <w:cnfStyle w:val="000000010000" w:firstRow="0" w:lastRow="0" w:firstColumn="0" w:lastColumn="0" w:oddVBand="0" w:evenVBand="0" w:oddHBand="0" w:evenHBand="1" w:firstRowFirstColumn="0" w:firstRowLastColumn="0" w:lastRowFirstColumn="0" w:lastRowLastColumn="0"/>
            </w:pPr>
            <w:r w:rsidRPr="00FA64AF">
              <w:rPr>
                <w:rFonts w:ascii="Wingdings 2" w:hAnsi="Wingdings 2"/>
              </w:rPr>
              <w:t>P</w:t>
            </w:r>
          </w:p>
        </w:tc>
      </w:tr>
      <w:tr w:rsidR="00AC0952" w14:paraId="618B67D7" w14:textId="77777777" w:rsidTr="007F2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72C11CB" w14:textId="5DF66AC5" w:rsidR="00AC0952" w:rsidRDefault="00AC0952" w:rsidP="007F2D66">
            <w:r>
              <w:t>2005 – Presentations of Final Projects</w:t>
            </w:r>
          </w:p>
        </w:tc>
        <w:tc>
          <w:tcPr>
            <w:tcW w:w="0" w:type="auto"/>
            <w:tcBorders>
              <w:top w:val="none" w:sz="0" w:space="0" w:color="auto"/>
              <w:left w:val="none" w:sz="0" w:space="0" w:color="auto"/>
              <w:bottom w:val="none" w:sz="0" w:space="0" w:color="auto"/>
              <w:right w:val="none" w:sz="0" w:space="0" w:color="auto"/>
            </w:tcBorders>
          </w:tcPr>
          <w:p w14:paraId="00B37F7A" w14:textId="77777777"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tcPr>
          <w:p w14:paraId="012E1FED" w14:textId="485A52C1" w:rsidR="00AC0952" w:rsidRDefault="00AC0952" w:rsidP="0064563C">
            <w:pPr>
              <w:jc w:val="center"/>
              <w:cnfStyle w:val="000000100000" w:firstRow="0" w:lastRow="0" w:firstColumn="0" w:lastColumn="0" w:oddVBand="0" w:evenVBand="0" w:oddHBand="1" w:evenHBand="0" w:firstRowFirstColumn="0" w:firstRowLastColumn="0" w:lastRowFirstColumn="0" w:lastRowLastColumn="0"/>
            </w:pPr>
            <w:r w:rsidRPr="00FA64AF">
              <w:rPr>
                <w:rFonts w:ascii="Wingdings 2" w:hAnsi="Wingdings 2"/>
              </w:rPr>
              <w:t>P</w:t>
            </w:r>
          </w:p>
        </w:tc>
      </w:tr>
    </w:tbl>
    <w:p w14:paraId="218CC8B0" w14:textId="7F400CC8" w:rsidR="00667704" w:rsidRDefault="00FB5441" w:rsidP="00C22186">
      <w:pPr>
        <w:pStyle w:val="TableFootnote"/>
        <w:ind w:left="1710" w:right="1746"/>
      </w:pPr>
      <w:r w:rsidRPr="00FB5441">
        <w:t>Note: In addition to the topics listed in this table, both the Level I and Level II courses include one supplemental class. The topics covered in this supplemental class vary.</w:t>
      </w:r>
    </w:p>
    <w:p w14:paraId="6729341A" w14:textId="77777777" w:rsidR="006D0CB9" w:rsidRDefault="006D0CB9" w:rsidP="006D0CB9">
      <w:pPr>
        <w:pStyle w:val="Heading4"/>
      </w:pPr>
      <w:r>
        <w:t>Participation Summary</w:t>
      </w:r>
    </w:p>
    <w:p w14:paraId="28963113" w14:textId="24EA7860" w:rsidR="00211478" w:rsidRDefault="00211478" w:rsidP="00211478">
      <w:r>
        <w:fldChar w:fldCharType="begin"/>
      </w:r>
      <w:r>
        <w:instrText xml:space="preserve"> REF _Ref188879009 \h </w:instrText>
      </w:r>
      <w:r>
        <w:fldChar w:fldCharType="separate"/>
      </w:r>
      <w:r w:rsidR="00AA10F4">
        <w:t xml:space="preserve">Table </w:t>
      </w:r>
      <w:r w:rsidR="00AA10F4">
        <w:rPr>
          <w:noProof/>
        </w:rPr>
        <w:t>17</w:t>
      </w:r>
      <w:r>
        <w:fldChar w:fldCharType="end"/>
      </w:r>
      <w:r>
        <w:t xml:space="preserve"> summarizes participation in the 2024 BOC Training channel by segment. Overall</w:t>
      </w:r>
      <w:r w:rsidR="00714472">
        <w:t>, nine</w:t>
      </w:r>
      <w:r>
        <w:t xml:space="preserve"> AIC customers participated in the training. All trainees enrolled </w:t>
      </w:r>
      <w:r w:rsidR="00D6622B">
        <w:t>in</w:t>
      </w:r>
      <w:r>
        <w:t xml:space="preserve"> Level I of the training. </w:t>
      </w:r>
    </w:p>
    <w:p w14:paraId="622EA5C5" w14:textId="2E66009E" w:rsidR="00211478" w:rsidRDefault="00211478" w:rsidP="00881B1B">
      <w:pPr>
        <w:pStyle w:val="Caption"/>
      </w:pPr>
      <w:bookmarkStart w:id="91" w:name="_Ref188879009"/>
      <w:bookmarkStart w:id="92" w:name="_Toc191992538"/>
      <w:bookmarkStart w:id="93" w:name="_Toc192766951"/>
      <w:r>
        <w:t xml:space="preserve">Table </w:t>
      </w:r>
      <w:r w:rsidR="009B4C9A">
        <w:fldChar w:fldCharType="begin"/>
      </w:r>
      <w:r w:rsidR="009B4C9A">
        <w:instrText xml:space="preserve"> SEQ Table \* ARABIC </w:instrText>
      </w:r>
      <w:r w:rsidR="009B4C9A">
        <w:fldChar w:fldCharType="separate"/>
      </w:r>
      <w:r w:rsidR="00AA10F4">
        <w:rPr>
          <w:noProof/>
        </w:rPr>
        <w:t>17</w:t>
      </w:r>
      <w:r w:rsidR="009B4C9A">
        <w:rPr>
          <w:noProof/>
        </w:rPr>
        <w:fldChar w:fldCharType="end"/>
      </w:r>
      <w:bookmarkEnd w:id="91"/>
      <w:r>
        <w:t>. 2024 BOC Training Channel Participation Summary by Segment</w:t>
      </w:r>
      <w:bookmarkEnd w:id="92"/>
      <w:bookmarkEnd w:id="93"/>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24"/>
        <w:gridCol w:w="1008"/>
        <w:gridCol w:w="2259"/>
      </w:tblGrid>
      <w:tr w:rsidR="00211478" w14:paraId="43198619" w14:textId="77777777" w:rsidTr="00612B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EDEB8FC" w14:textId="08B28DCF" w:rsidR="00211478" w:rsidRDefault="00211478" w:rsidP="00211478">
            <w:pPr>
              <w:pStyle w:val="TableHeadingLeft"/>
            </w:pPr>
            <w:r>
              <w:t>Participant Number</w:t>
            </w:r>
          </w:p>
        </w:tc>
        <w:tc>
          <w:tcPr>
            <w:tcW w:w="0" w:type="auto"/>
            <w:tcBorders>
              <w:bottom w:val="none" w:sz="0" w:space="0" w:color="auto"/>
            </w:tcBorders>
          </w:tcPr>
          <w:p w14:paraId="416B9515" w14:textId="19BCC5BC" w:rsidR="00211478" w:rsidRPr="00211478" w:rsidRDefault="00211478" w:rsidP="00211478">
            <w:pPr>
              <w:pStyle w:val="TableHeadingCentered"/>
              <w:cnfStyle w:val="100000000000" w:firstRow="1" w:lastRow="0" w:firstColumn="0" w:lastColumn="0" w:oddVBand="0" w:evenVBand="0" w:oddHBand="0" w:evenHBand="0" w:firstRowFirstColumn="0" w:firstRowLastColumn="0" w:lastRowFirstColumn="0" w:lastRowLastColumn="0"/>
            </w:pPr>
            <w:r w:rsidRPr="00211478">
              <w:t>BOC Level</w:t>
            </w:r>
          </w:p>
        </w:tc>
        <w:tc>
          <w:tcPr>
            <w:tcW w:w="0" w:type="auto"/>
            <w:tcBorders>
              <w:bottom w:val="none" w:sz="0" w:space="0" w:color="auto"/>
            </w:tcBorders>
          </w:tcPr>
          <w:p w14:paraId="57431215" w14:textId="0800196D" w:rsidR="00211478" w:rsidRPr="00211478" w:rsidRDefault="00211478" w:rsidP="00211478">
            <w:pPr>
              <w:pStyle w:val="TableHeadingCentered"/>
              <w:cnfStyle w:val="100000000000" w:firstRow="1" w:lastRow="0" w:firstColumn="0" w:lastColumn="0" w:oddVBand="0" w:evenVBand="0" w:oddHBand="0" w:evenHBand="0" w:firstRowFirstColumn="0" w:firstRowLastColumn="0" w:lastRowFirstColumn="0" w:lastRowLastColumn="0"/>
            </w:pPr>
            <w:r w:rsidRPr="00211478">
              <w:t>Segment</w:t>
            </w:r>
          </w:p>
        </w:tc>
      </w:tr>
      <w:tr w:rsidR="002F6B23" w14:paraId="2F36F610"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53A3816" w14:textId="291C509D" w:rsidR="002F6B23" w:rsidRDefault="002F6B23" w:rsidP="002F6B23">
            <w:r>
              <w:t>2401318</w:t>
            </w:r>
          </w:p>
        </w:tc>
        <w:tc>
          <w:tcPr>
            <w:tcW w:w="0" w:type="auto"/>
            <w:tcBorders>
              <w:top w:val="none" w:sz="0" w:space="0" w:color="auto"/>
              <w:left w:val="none" w:sz="0" w:space="0" w:color="auto"/>
              <w:bottom w:val="none" w:sz="0" w:space="0" w:color="auto"/>
              <w:right w:val="none" w:sz="0" w:space="0" w:color="auto"/>
            </w:tcBorders>
          </w:tcPr>
          <w:p w14:paraId="65867703" w14:textId="163B0E9E"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t>I</w:t>
            </w:r>
          </w:p>
        </w:tc>
        <w:tc>
          <w:tcPr>
            <w:tcW w:w="0" w:type="auto"/>
            <w:tcBorders>
              <w:top w:val="none" w:sz="0" w:space="0" w:color="auto"/>
              <w:left w:val="none" w:sz="0" w:space="0" w:color="auto"/>
              <w:bottom w:val="none" w:sz="0" w:space="0" w:color="auto"/>
              <w:right w:val="none" w:sz="0" w:space="0" w:color="auto"/>
            </w:tcBorders>
            <w:vAlign w:val="top"/>
          </w:tcPr>
          <w:p w14:paraId="729091D1" w14:textId="337551C2"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A3202E">
              <w:t>Municipality</w:t>
            </w:r>
          </w:p>
        </w:tc>
      </w:tr>
      <w:tr w:rsidR="002F6B23" w14:paraId="3E13B466"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A8A9675" w14:textId="2CF5697D" w:rsidR="002F6B23" w:rsidRDefault="002F6B23" w:rsidP="002F6B23">
            <w:r>
              <w:t>2401319</w:t>
            </w:r>
          </w:p>
        </w:tc>
        <w:tc>
          <w:tcPr>
            <w:tcW w:w="0" w:type="auto"/>
            <w:tcBorders>
              <w:top w:val="none" w:sz="0" w:space="0" w:color="auto"/>
              <w:left w:val="none" w:sz="0" w:space="0" w:color="auto"/>
              <w:bottom w:val="none" w:sz="0" w:space="0" w:color="auto"/>
              <w:right w:val="none" w:sz="0" w:space="0" w:color="auto"/>
            </w:tcBorders>
          </w:tcPr>
          <w:p w14:paraId="61BAEDC1" w14:textId="72AC77EC"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t>I</w:t>
            </w:r>
          </w:p>
        </w:tc>
        <w:tc>
          <w:tcPr>
            <w:tcW w:w="0" w:type="auto"/>
            <w:tcBorders>
              <w:top w:val="none" w:sz="0" w:space="0" w:color="auto"/>
              <w:left w:val="none" w:sz="0" w:space="0" w:color="auto"/>
              <w:bottom w:val="none" w:sz="0" w:space="0" w:color="auto"/>
              <w:right w:val="none" w:sz="0" w:space="0" w:color="auto"/>
            </w:tcBorders>
            <w:vAlign w:val="top"/>
          </w:tcPr>
          <w:p w14:paraId="5B3FEA7D" w14:textId="36CE5C50"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A3202E">
              <w:t>Municipality</w:t>
            </w:r>
          </w:p>
        </w:tc>
      </w:tr>
      <w:tr w:rsidR="002F6B23" w14:paraId="4A94CC7D"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4FC719E" w14:textId="4641E7B7" w:rsidR="002F6B23" w:rsidRDefault="002F6B23" w:rsidP="002F6B23">
            <w:r>
              <w:t>2401320</w:t>
            </w:r>
          </w:p>
        </w:tc>
        <w:tc>
          <w:tcPr>
            <w:tcW w:w="0" w:type="auto"/>
            <w:tcBorders>
              <w:top w:val="none" w:sz="0" w:space="0" w:color="auto"/>
              <w:left w:val="none" w:sz="0" w:space="0" w:color="auto"/>
              <w:bottom w:val="none" w:sz="0" w:space="0" w:color="auto"/>
              <w:right w:val="none" w:sz="0" w:space="0" w:color="auto"/>
            </w:tcBorders>
          </w:tcPr>
          <w:p w14:paraId="339F7598" w14:textId="5D817F3C"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t>I</w:t>
            </w:r>
          </w:p>
        </w:tc>
        <w:tc>
          <w:tcPr>
            <w:tcW w:w="0" w:type="auto"/>
            <w:tcBorders>
              <w:top w:val="none" w:sz="0" w:space="0" w:color="auto"/>
              <w:left w:val="none" w:sz="0" w:space="0" w:color="auto"/>
              <w:bottom w:val="none" w:sz="0" w:space="0" w:color="auto"/>
              <w:right w:val="none" w:sz="0" w:space="0" w:color="auto"/>
            </w:tcBorders>
            <w:vAlign w:val="top"/>
          </w:tcPr>
          <w:p w14:paraId="076F0EBB" w14:textId="25B844ED"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A3202E">
              <w:t>School/College</w:t>
            </w:r>
          </w:p>
        </w:tc>
      </w:tr>
      <w:tr w:rsidR="002F6B23" w14:paraId="5A641307"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75A5DC" w14:textId="74D29065" w:rsidR="002F6B23" w:rsidRDefault="002F6B23" w:rsidP="002F6B23">
            <w:r>
              <w:t>2401321</w:t>
            </w:r>
          </w:p>
        </w:tc>
        <w:tc>
          <w:tcPr>
            <w:tcW w:w="0" w:type="auto"/>
            <w:tcBorders>
              <w:top w:val="none" w:sz="0" w:space="0" w:color="auto"/>
              <w:left w:val="none" w:sz="0" w:space="0" w:color="auto"/>
              <w:bottom w:val="none" w:sz="0" w:space="0" w:color="auto"/>
              <w:right w:val="none" w:sz="0" w:space="0" w:color="auto"/>
            </w:tcBorders>
          </w:tcPr>
          <w:p w14:paraId="4168C994" w14:textId="4BFB0D38"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t>I</w:t>
            </w:r>
          </w:p>
        </w:tc>
        <w:tc>
          <w:tcPr>
            <w:tcW w:w="0" w:type="auto"/>
            <w:tcBorders>
              <w:top w:val="none" w:sz="0" w:space="0" w:color="auto"/>
              <w:left w:val="none" w:sz="0" w:space="0" w:color="auto"/>
              <w:bottom w:val="none" w:sz="0" w:space="0" w:color="auto"/>
              <w:right w:val="none" w:sz="0" w:space="0" w:color="auto"/>
            </w:tcBorders>
            <w:vAlign w:val="top"/>
          </w:tcPr>
          <w:p w14:paraId="6C0A18BE" w14:textId="2939061A"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A3202E">
              <w:t>School/College</w:t>
            </w:r>
          </w:p>
        </w:tc>
      </w:tr>
      <w:tr w:rsidR="002F6B23" w14:paraId="00FBCB59"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C3AE3DC" w14:textId="1711180B" w:rsidR="002F6B23" w:rsidRDefault="002F6B23" w:rsidP="002F6B23">
            <w:r>
              <w:t>2401322</w:t>
            </w:r>
          </w:p>
        </w:tc>
        <w:tc>
          <w:tcPr>
            <w:tcW w:w="0" w:type="auto"/>
            <w:tcBorders>
              <w:top w:val="none" w:sz="0" w:space="0" w:color="auto"/>
              <w:left w:val="none" w:sz="0" w:space="0" w:color="auto"/>
              <w:bottom w:val="none" w:sz="0" w:space="0" w:color="auto"/>
              <w:right w:val="none" w:sz="0" w:space="0" w:color="auto"/>
            </w:tcBorders>
          </w:tcPr>
          <w:p w14:paraId="0A44537B" w14:textId="7936F0D0"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t>I</w:t>
            </w:r>
          </w:p>
        </w:tc>
        <w:tc>
          <w:tcPr>
            <w:tcW w:w="0" w:type="auto"/>
            <w:tcBorders>
              <w:top w:val="none" w:sz="0" w:space="0" w:color="auto"/>
              <w:left w:val="none" w:sz="0" w:space="0" w:color="auto"/>
              <w:bottom w:val="none" w:sz="0" w:space="0" w:color="auto"/>
              <w:right w:val="none" w:sz="0" w:space="0" w:color="auto"/>
            </w:tcBorders>
            <w:vAlign w:val="top"/>
          </w:tcPr>
          <w:p w14:paraId="7A434004" w14:textId="0BABCA4C"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A3202E">
              <w:t>Manufacturing/Industrial</w:t>
            </w:r>
          </w:p>
        </w:tc>
      </w:tr>
      <w:tr w:rsidR="002F6B23" w14:paraId="58D56C3D"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58B30EB" w14:textId="7E343456" w:rsidR="002F6B23" w:rsidRDefault="002F6B23" w:rsidP="002F6B23">
            <w:r>
              <w:t>2401324</w:t>
            </w:r>
          </w:p>
        </w:tc>
        <w:tc>
          <w:tcPr>
            <w:tcW w:w="0" w:type="auto"/>
            <w:tcBorders>
              <w:top w:val="none" w:sz="0" w:space="0" w:color="auto"/>
              <w:left w:val="none" w:sz="0" w:space="0" w:color="auto"/>
              <w:bottom w:val="none" w:sz="0" w:space="0" w:color="auto"/>
              <w:right w:val="none" w:sz="0" w:space="0" w:color="auto"/>
            </w:tcBorders>
          </w:tcPr>
          <w:p w14:paraId="67E07FDC" w14:textId="5B4078AE"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714472">
              <w:t>I</w:t>
            </w:r>
          </w:p>
        </w:tc>
        <w:tc>
          <w:tcPr>
            <w:tcW w:w="0" w:type="auto"/>
            <w:tcBorders>
              <w:top w:val="none" w:sz="0" w:space="0" w:color="auto"/>
              <w:left w:val="none" w:sz="0" w:space="0" w:color="auto"/>
              <w:bottom w:val="none" w:sz="0" w:space="0" w:color="auto"/>
              <w:right w:val="none" w:sz="0" w:space="0" w:color="auto"/>
            </w:tcBorders>
            <w:vAlign w:val="top"/>
          </w:tcPr>
          <w:p w14:paraId="2A96089E" w14:textId="587C7796"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A3202E">
              <w:t>Medical</w:t>
            </w:r>
          </w:p>
        </w:tc>
      </w:tr>
      <w:tr w:rsidR="002F6B23" w14:paraId="3B5403BD"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EA64E02" w14:textId="237F4E0A" w:rsidR="002F6B23" w:rsidRDefault="002F6B23" w:rsidP="002F6B23">
            <w:r>
              <w:t>2401326</w:t>
            </w:r>
          </w:p>
        </w:tc>
        <w:tc>
          <w:tcPr>
            <w:tcW w:w="0" w:type="auto"/>
            <w:tcBorders>
              <w:top w:val="none" w:sz="0" w:space="0" w:color="auto"/>
              <w:left w:val="none" w:sz="0" w:space="0" w:color="auto"/>
              <w:bottom w:val="none" w:sz="0" w:space="0" w:color="auto"/>
              <w:right w:val="none" w:sz="0" w:space="0" w:color="auto"/>
            </w:tcBorders>
          </w:tcPr>
          <w:p w14:paraId="1D0B6125" w14:textId="77CF881B"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714472">
              <w:t>I</w:t>
            </w:r>
          </w:p>
        </w:tc>
        <w:tc>
          <w:tcPr>
            <w:tcW w:w="0" w:type="auto"/>
            <w:tcBorders>
              <w:top w:val="none" w:sz="0" w:space="0" w:color="auto"/>
              <w:left w:val="none" w:sz="0" w:space="0" w:color="auto"/>
              <w:bottom w:val="none" w:sz="0" w:space="0" w:color="auto"/>
              <w:right w:val="none" w:sz="0" w:space="0" w:color="auto"/>
            </w:tcBorders>
            <w:vAlign w:val="top"/>
          </w:tcPr>
          <w:p w14:paraId="589A87AE" w14:textId="3A049540"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A3202E">
              <w:t>Medical</w:t>
            </w:r>
          </w:p>
        </w:tc>
      </w:tr>
      <w:tr w:rsidR="002F6B23" w14:paraId="22D249E0"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1204839" w14:textId="3C1F42BC" w:rsidR="002F6B23" w:rsidRDefault="002F6B23" w:rsidP="002F6B23">
            <w:r>
              <w:t>2401327</w:t>
            </w:r>
          </w:p>
        </w:tc>
        <w:tc>
          <w:tcPr>
            <w:tcW w:w="0" w:type="auto"/>
            <w:tcBorders>
              <w:top w:val="none" w:sz="0" w:space="0" w:color="auto"/>
              <w:left w:val="none" w:sz="0" w:space="0" w:color="auto"/>
              <w:bottom w:val="none" w:sz="0" w:space="0" w:color="auto"/>
              <w:right w:val="none" w:sz="0" w:space="0" w:color="auto"/>
            </w:tcBorders>
          </w:tcPr>
          <w:p w14:paraId="6E7F6F06" w14:textId="143D7FCB"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714472">
              <w:t>I</w:t>
            </w:r>
          </w:p>
        </w:tc>
        <w:tc>
          <w:tcPr>
            <w:tcW w:w="0" w:type="auto"/>
            <w:tcBorders>
              <w:top w:val="none" w:sz="0" w:space="0" w:color="auto"/>
              <w:left w:val="none" w:sz="0" w:space="0" w:color="auto"/>
              <w:bottom w:val="none" w:sz="0" w:space="0" w:color="auto"/>
              <w:right w:val="none" w:sz="0" w:space="0" w:color="auto"/>
            </w:tcBorders>
            <w:vAlign w:val="top"/>
          </w:tcPr>
          <w:p w14:paraId="29D31B7D" w14:textId="5CDE9755" w:rsidR="002F6B23" w:rsidRDefault="002F6B23" w:rsidP="002F6B23">
            <w:pPr>
              <w:jc w:val="center"/>
              <w:cnfStyle w:val="000000010000" w:firstRow="0" w:lastRow="0" w:firstColumn="0" w:lastColumn="0" w:oddVBand="0" w:evenVBand="0" w:oddHBand="0" w:evenHBand="1" w:firstRowFirstColumn="0" w:firstRowLastColumn="0" w:lastRowFirstColumn="0" w:lastRowLastColumn="0"/>
            </w:pPr>
            <w:r w:rsidRPr="00A3202E">
              <w:t>Medical</w:t>
            </w:r>
          </w:p>
        </w:tc>
      </w:tr>
      <w:tr w:rsidR="002F6B23" w14:paraId="1089F2BE"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99E8193" w14:textId="537AE8EB" w:rsidR="002F6B23" w:rsidRDefault="002F6B23" w:rsidP="002F6B23">
            <w:r>
              <w:t>2401329</w:t>
            </w:r>
          </w:p>
        </w:tc>
        <w:tc>
          <w:tcPr>
            <w:tcW w:w="0" w:type="auto"/>
            <w:tcBorders>
              <w:top w:val="none" w:sz="0" w:space="0" w:color="auto"/>
              <w:left w:val="none" w:sz="0" w:space="0" w:color="auto"/>
              <w:bottom w:val="none" w:sz="0" w:space="0" w:color="auto"/>
              <w:right w:val="none" w:sz="0" w:space="0" w:color="auto"/>
            </w:tcBorders>
          </w:tcPr>
          <w:p w14:paraId="60DDB7F2" w14:textId="3FED3B54"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714472">
              <w:t>I</w:t>
            </w:r>
          </w:p>
        </w:tc>
        <w:tc>
          <w:tcPr>
            <w:tcW w:w="0" w:type="auto"/>
            <w:tcBorders>
              <w:top w:val="none" w:sz="0" w:space="0" w:color="auto"/>
              <w:left w:val="none" w:sz="0" w:space="0" w:color="auto"/>
              <w:bottom w:val="none" w:sz="0" w:space="0" w:color="auto"/>
              <w:right w:val="none" w:sz="0" w:space="0" w:color="auto"/>
            </w:tcBorders>
            <w:vAlign w:val="top"/>
          </w:tcPr>
          <w:p w14:paraId="34E6AD0F" w14:textId="626084F9" w:rsidR="002F6B23" w:rsidRDefault="002F6B23" w:rsidP="002F6B23">
            <w:pPr>
              <w:jc w:val="center"/>
              <w:cnfStyle w:val="000000100000" w:firstRow="0" w:lastRow="0" w:firstColumn="0" w:lastColumn="0" w:oddVBand="0" w:evenVBand="0" w:oddHBand="1" w:evenHBand="0" w:firstRowFirstColumn="0" w:firstRowLastColumn="0" w:lastRowFirstColumn="0" w:lastRowLastColumn="0"/>
            </w:pPr>
            <w:r w:rsidRPr="00A3202E">
              <w:t>Medical</w:t>
            </w:r>
          </w:p>
        </w:tc>
      </w:tr>
    </w:tbl>
    <w:p w14:paraId="32C0B9D7" w14:textId="77777777" w:rsidR="006D0CB9" w:rsidRDefault="006D0CB9" w:rsidP="006D0CB9">
      <w:pPr>
        <w:pStyle w:val="Heading4"/>
      </w:pPr>
      <w:r>
        <w:t>Savings Detail</w:t>
      </w:r>
    </w:p>
    <w:p w14:paraId="3ED6769E" w14:textId="78A86B1D" w:rsidR="0003099F" w:rsidRPr="0003099F" w:rsidRDefault="0003099F" w:rsidP="0003099F">
      <w:pPr>
        <w:pStyle w:val="NoSpacing"/>
      </w:pPr>
      <w:r>
        <w:fldChar w:fldCharType="begin"/>
      </w:r>
      <w:r>
        <w:instrText xml:space="preserve"> REF _Ref187235975 \h  \* MERGEFORMAT </w:instrText>
      </w:r>
      <w:r>
        <w:fldChar w:fldCharType="separate"/>
      </w:r>
      <w:r w:rsidR="00AA10F4">
        <w:t xml:space="preserve">Table </w:t>
      </w:r>
      <w:r w:rsidR="00AA10F4">
        <w:rPr>
          <w:noProof/>
        </w:rPr>
        <w:t>18</w:t>
      </w:r>
      <w:r>
        <w:fldChar w:fldCharType="end"/>
      </w:r>
      <w:r>
        <w:t xml:space="preserve"> presents the ex ante, verified gross, and verified net electric energy savings achieved through the BOC </w:t>
      </w:r>
      <w:r w:rsidR="00521F3D">
        <w:t xml:space="preserve">Training </w:t>
      </w:r>
      <w:r>
        <w:t>channel in 2024</w:t>
      </w:r>
      <w:r w:rsidR="00F25B7C">
        <w:t>.</w:t>
      </w:r>
      <w:r w:rsidR="00E614E9">
        <w:t xml:space="preserve"> The gross realization rate for electric energy savings is 88%. Overall, the channel produced 33% more verified net electric energy savings in 2024 compared to 2023.</w:t>
      </w:r>
    </w:p>
    <w:p w14:paraId="2B750501" w14:textId="0F80F857" w:rsidR="0003099F" w:rsidRDefault="0003099F" w:rsidP="00881B1B">
      <w:pPr>
        <w:pStyle w:val="Caption"/>
      </w:pPr>
      <w:bookmarkStart w:id="94" w:name="_Ref187235975"/>
      <w:bookmarkStart w:id="95" w:name="_Toc191992539"/>
      <w:bookmarkStart w:id="96" w:name="_Toc192766952"/>
      <w:r>
        <w:lastRenderedPageBreak/>
        <w:t xml:space="preserve">Table </w:t>
      </w:r>
      <w:r w:rsidR="009B4C9A">
        <w:fldChar w:fldCharType="begin"/>
      </w:r>
      <w:r w:rsidR="009B4C9A">
        <w:instrText xml:space="preserve"> SEQ Table \* ARABIC </w:instrText>
      </w:r>
      <w:r w:rsidR="009B4C9A">
        <w:fldChar w:fldCharType="separate"/>
      </w:r>
      <w:r w:rsidR="00AA10F4">
        <w:rPr>
          <w:noProof/>
        </w:rPr>
        <w:t>18</w:t>
      </w:r>
      <w:r w:rsidR="009B4C9A">
        <w:rPr>
          <w:noProof/>
        </w:rPr>
        <w:fldChar w:fldCharType="end"/>
      </w:r>
      <w:bookmarkEnd w:id="94"/>
      <w:r>
        <w:t xml:space="preserve">. 2024 BOC </w:t>
      </w:r>
      <w:r w:rsidR="00521F3D">
        <w:t xml:space="preserve">Training </w:t>
      </w:r>
      <w:r>
        <w:t>Channel Electric Energy Savings by Measure</w:t>
      </w:r>
      <w:bookmarkEnd w:id="95"/>
      <w:bookmarkEnd w:id="9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03099F" w14:paraId="232B6660" w14:textId="77777777" w:rsidTr="00CE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7CF94C2" w14:textId="61796534" w:rsidR="0003099F" w:rsidRDefault="00896423" w:rsidP="008700F8">
            <w:pPr>
              <w:pStyle w:val="TableHeadingLeft"/>
            </w:pPr>
            <w:r>
              <w:t>Participant Number</w:t>
            </w:r>
          </w:p>
        </w:tc>
        <w:tc>
          <w:tcPr>
            <w:tcW w:w="1849" w:type="dxa"/>
            <w:tcBorders>
              <w:bottom w:val="none" w:sz="0" w:space="0" w:color="auto"/>
            </w:tcBorders>
          </w:tcPr>
          <w:p w14:paraId="618AA719" w14:textId="77777777" w:rsidR="0003099F" w:rsidRDefault="0003099F"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49" w:type="dxa"/>
            <w:tcBorders>
              <w:bottom w:val="none" w:sz="0" w:space="0" w:color="auto"/>
            </w:tcBorders>
          </w:tcPr>
          <w:p w14:paraId="1F395502" w14:textId="77777777" w:rsidR="0003099F" w:rsidRDefault="0003099F"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757EE8EB" w14:textId="77777777" w:rsidR="0003099F" w:rsidRDefault="0003099F"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850" w:type="dxa"/>
            <w:tcBorders>
              <w:bottom w:val="none" w:sz="0" w:space="0" w:color="auto"/>
            </w:tcBorders>
          </w:tcPr>
          <w:p w14:paraId="20BA6C3F" w14:textId="77777777" w:rsidR="0003099F" w:rsidRDefault="0003099F"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2AD75D84" w14:textId="77777777" w:rsidR="0003099F" w:rsidRDefault="0003099F"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305B2A" w14:paraId="01B31A48"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2102A8A" w14:textId="1238B4AF" w:rsidR="00305B2A" w:rsidRDefault="00305B2A" w:rsidP="00C22186">
            <w:pPr>
              <w:pStyle w:val="TableLeftText"/>
            </w:pPr>
            <w:r w:rsidRPr="00835A97">
              <w:t>24013</w:t>
            </w:r>
            <w:r>
              <w:t>20</w:t>
            </w:r>
          </w:p>
        </w:tc>
        <w:tc>
          <w:tcPr>
            <w:tcW w:w="1849" w:type="dxa"/>
            <w:tcBorders>
              <w:top w:val="none" w:sz="0" w:space="0" w:color="auto"/>
              <w:left w:val="none" w:sz="0" w:space="0" w:color="auto"/>
              <w:bottom w:val="none" w:sz="0" w:space="0" w:color="auto"/>
              <w:right w:val="none" w:sz="0" w:space="0" w:color="auto"/>
            </w:tcBorders>
          </w:tcPr>
          <w:p w14:paraId="613CAB40" w14:textId="26231C68" w:rsidR="00305B2A"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83CB5">
              <w:t>137</w:t>
            </w:r>
          </w:p>
        </w:tc>
        <w:tc>
          <w:tcPr>
            <w:tcW w:w="1849" w:type="dxa"/>
            <w:tcBorders>
              <w:top w:val="none" w:sz="0" w:space="0" w:color="auto"/>
              <w:left w:val="none" w:sz="0" w:space="0" w:color="auto"/>
              <w:bottom w:val="none" w:sz="0" w:space="0" w:color="auto"/>
              <w:right w:val="none" w:sz="0" w:space="0" w:color="auto"/>
            </w:tcBorders>
          </w:tcPr>
          <w:p w14:paraId="6F829C26" w14:textId="699B2932" w:rsidR="00305B2A"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83CB5">
              <w:t>100%</w:t>
            </w:r>
          </w:p>
        </w:tc>
        <w:tc>
          <w:tcPr>
            <w:tcW w:w="1849" w:type="dxa"/>
            <w:tcBorders>
              <w:top w:val="none" w:sz="0" w:space="0" w:color="auto"/>
              <w:left w:val="none" w:sz="0" w:space="0" w:color="auto"/>
              <w:bottom w:val="none" w:sz="0" w:space="0" w:color="auto"/>
              <w:right w:val="none" w:sz="0" w:space="0" w:color="auto"/>
            </w:tcBorders>
          </w:tcPr>
          <w:p w14:paraId="00AD5F36" w14:textId="0A4AAAFB" w:rsidR="00305B2A"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83CB5">
              <w:t>137</w:t>
            </w:r>
          </w:p>
        </w:tc>
        <w:tc>
          <w:tcPr>
            <w:tcW w:w="1850" w:type="dxa"/>
            <w:tcBorders>
              <w:top w:val="none" w:sz="0" w:space="0" w:color="auto"/>
              <w:left w:val="none" w:sz="0" w:space="0" w:color="auto"/>
              <w:bottom w:val="none" w:sz="0" w:space="0" w:color="auto"/>
              <w:right w:val="none" w:sz="0" w:space="0" w:color="auto"/>
            </w:tcBorders>
          </w:tcPr>
          <w:p w14:paraId="162A4268" w14:textId="7EED34E0" w:rsidR="00305B2A"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83CB5">
              <w:t>N/A</w:t>
            </w:r>
          </w:p>
        </w:tc>
        <w:tc>
          <w:tcPr>
            <w:tcW w:w="1850" w:type="dxa"/>
            <w:tcBorders>
              <w:top w:val="none" w:sz="0" w:space="0" w:color="auto"/>
              <w:left w:val="none" w:sz="0" w:space="0" w:color="auto"/>
              <w:bottom w:val="none" w:sz="0" w:space="0" w:color="auto"/>
              <w:right w:val="none" w:sz="0" w:space="0" w:color="auto"/>
            </w:tcBorders>
          </w:tcPr>
          <w:p w14:paraId="6E425490" w14:textId="762A580C" w:rsidR="00305B2A"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83CB5">
              <w:t>137</w:t>
            </w:r>
          </w:p>
        </w:tc>
      </w:tr>
      <w:tr w:rsidR="00305B2A" w14:paraId="77A3B270"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F03DEB3" w14:textId="37C72604" w:rsidR="00305B2A" w:rsidRDefault="00305B2A" w:rsidP="00C22186">
            <w:pPr>
              <w:pStyle w:val="TableLeftText"/>
            </w:pPr>
            <w:r w:rsidRPr="00835A97">
              <w:t>24013</w:t>
            </w:r>
            <w:r>
              <w:t>21</w:t>
            </w:r>
          </w:p>
        </w:tc>
        <w:tc>
          <w:tcPr>
            <w:tcW w:w="1849" w:type="dxa"/>
            <w:tcBorders>
              <w:top w:val="none" w:sz="0" w:space="0" w:color="auto"/>
              <w:left w:val="none" w:sz="0" w:space="0" w:color="auto"/>
              <w:bottom w:val="none" w:sz="0" w:space="0" w:color="auto"/>
              <w:right w:val="none" w:sz="0" w:space="0" w:color="auto"/>
            </w:tcBorders>
          </w:tcPr>
          <w:p w14:paraId="628348C0" w14:textId="08094F35" w:rsidR="00305B2A"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C6519E">
              <w:t>137</w:t>
            </w:r>
          </w:p>
        </w:tc>
        <w:tc>
          <w:tcPr>
            <w:tcW w:w="1849" w:type="dxa"/>
            <w:tcBorders>
              <w:top w:val="none" w:sz="0" w:space="0" w:color="auto"/>
              <w:left w:val="none" w:sz="0" w:space="0" w:color="auto"/>
              <w:bottom w:val="none" w:sz="0" w:space="0" w:color="auto"/>
              <w:right w:val="none" w:sz="0" w:space="0" w:color="auto"/>
            </w:tcBorders>
          </w:tcPr>
          <w:p w14:paraId="618AE8C8" w14:textId="2018A453" w:rsidR="00305B2A"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C6519E">
              <w:t>100%</w:t>
            </w:r>
          </w:p>
        </w:tc>
        <w:tc>
          <w:tcPr>
            <w:tcW w:w="1849" w:type="dxa"/>
            <w:tcBorders>
              <w:top w:val="none" w:sz="0" w:space="0" w:color="auto"/>
              <w:left w:val="none" w:sz="0" w:space="0" w:color="auto"/>
              <w:bottom w:val="none" w:sz="0" w:space="0" w:color="auto"/>
              <w:right w:val="none" w:sz="0" w:space="0" w:color="auto"/>
            </w:tcBorders>
          </w:tcPr>
          <w:p w14:paraId="2911243D" w14:textId="72F31E79" w:rsidR="00305B2A"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C6519E">
              <w:t>137</w:t>
            </w:r>
          </w:p>
        </w:tc>
        <w:tc>
          <w:tcPr>
            <w:tcW w:w="1850" w:type="dxa"/>
            <w:tcBorders>
              <w:top w:val="none" w:sz="0" w:space="0" w:color="auto"/>
              <w:left w:val="none" w:sz="0" w:space="0" w:color="auto"/>
              <w:bottom w:val="none" w:sz="0" w:space="0" w:color="auto"/>
              <w:right w:val="none" w:sz="0" w:space="0" w:color="auto"/>
            </w:tcBorders>
          </w:tcPr>
          <w:p w14:paraId="11A7FB00" w14:textId="2FED92E4" w:rsidR="00305B2A"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C6519E">
              <w:t>N/A</w:t>
            </w:r>
          </w:p>
        </w:tc>
        <w:tc>
          <w:tcPr>
            <w:tcW w:w="1850" w:type="dxa"/>
            <w:tcBorders>
              <w:top w:val="none" w:sz="0" w:space="0" w:color="auto"/>
              <w:left w:val="none" w:sz="0" w:space="0" w:color="auto"/>
              <w:bottom w:val="none" w:sz="0" w:space="0" w:color="auto"/>
              <w:right w:val="none" w:sz="0" w:space="0" w:color="auto"/>
            </w:tcBorders>
          </w:tcPr>
          <w:p w14:paraId="7454E35F" w14:textId="67AC243E" w:rsidR="00305B2A"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C6519E">
              <w:t>137</w:t>
            </w:r>
          </w:p>
        </w:tc>
      </w:tr>
      <w:tr w:rsidR="00305B2A" w14:paraId="428CA520"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57F62C53" w14:textId="6C51F02B" w:rsidR="00305B2A" w:rsidRPr="00F87E60" w:rsidRDefault="00305B2A" w:rsidP="00C22186">
            <w:pPr>
              <w:pStyle w:val="TableLeftText"/>
            </w:pPr>
            <w:r w:rsidRPr="00835A97">
              <w:t>2401322</w:t>
            </w:r>
          </w:p>
        </w:tc>
        <w:tc>
          <w:tcPr>
            <w:tcW w:w="1849" w:type="dxa"/>
            <w:tcBorders>
              <w:top w:val="none" w:sz="0" w:space="0" w:color="auto"/>
              <w:left w:val="none" w:sz="0" w:space="0" w:color="auto"/>
              <w:bottom w:val="none" w:sz="0" w:space="0" w:color="auto"/>
              <w:right w:val="none" w:sz="0" w:space="0" w:color="auto"/>
            </w:tcBorders>
          </w:tcPr>
          <w:p w14:paraId="1A0F61F1" w14:textId="4D6E8460"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E5285">
              <w:t>137</w:t>
            </w:r>
          </w:p>
        </w:tc>
        <w:tc>
          <w:tcPr>
            <w:tcW w:w="1849" w:type="dxa"/>
            <w:tcBorders>
              <w:top w:val="none" w:sz="0" w:space="0" w:color="auto"/>
              <w:left w:val="none" w:sz="0" w:space="0" w:color="auto"/>
              <w:bottom w:val="none" w:sz="0" w:space="0" w:color="auto"/>
              <w:right w:val="none" w:sz="0" w:space="0" w:color="auto"/>
            </w:tcBorders>
          </w:tcPr>
          <w:p w14:paraId="5B2D22B5" w14:textId="23D93DAE"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E5285">
              <w:t>100%</w:t>
            </w:r>
          </w:p>
        </w:tc>
        <w:tc>
          <w:tcPr>
            <w:tcW w:w="1849" w:type="dxa"/>
            <w:tcBorders>
              <w:top w:val="none" w:sz="0" w:space="0" w:color="auto"/>
              <w:left w:val="none" w:sz="0" w:space="0" w:color="auto"/>
              <w:bottom w:val="none" w:sz="0" w:space="0" w:color="auto"/>
              <w:right w:val="none" w:sz="0" w:space="0" w:color="auto"/>
            </w:tcBorders>
          </w:tcPr>
          <w:p w14:paraId="6D995085" w14:textId="601FF7C7"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E5285">
              <w:t>137</w:t>
            </w:r>
          </w:p>
        </w:tc>
        <w:tc>
          <w:tcPr>
            <w:tcW w:w="1850" w:type="dxa"/>
            <w:tcBorders>
              <w:top w:val="none" w:sz="0" w:space="0" w:color="auto"/>
              <w:left w:val="none" w:sz="0" w:space="0" w:color="auto"/>
              <w:bottom w:val="none" w:sz="0" w:space="0" w:color="auto"/>
              <w:right w:val="none" w:sz="0" w:space="0" w:color="auto"/>
            </w:tcBorders>
          </w:tcPr>
          <w:p w14:paraId="2DB2E532" w14:textId="457176A4"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E5285">
              <w:t>N/A</w:t>
            </w:r>
          </w:p>
        </w:tc>
        <w:tc>
          <w:tcPr>
            <w:tcW w:w="1850" w:type="dxa"/>
            <w:tcBorders>
              <w:top w:val="none" w:sz="0" w:space="0" w:color="auto"/>
              <w:left w:val="none" w:sz="0" w:space="0" w:color="auto"/>
              <w:bottom w:val="none" w:sz="0" w:space="0" w:color="auto"/>
              <w:right w:val="none" w:sz="0" w:space="0" w:color="auto"/>
            </w:tcBorders>
          </w:tcPr>
          <w:p w14:paraId="430F71C7" w14:textId="2CE15A41"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E5285">
              <w:t>137</w:t>
            </w:r>
          </w:p>
        </w:tc>
      </w:tr>
      <w:tr w:rsidR="00305B2A" w14:paraId="764380B9"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8A7A18E" w14:textId="71738A43" w:rsidR="00305B2A" w:rsidRPr="00F87E60" w:rsidRDefault="00305B2A" w:rsidP="00C22186">
            <w:pPr>
              <w:pStyle w:val="TableLeftText"/>
            </w:pPr>
            <w:r w:rsidRPr="00835A97">
              <w:t>240132</w:t>
            </w:r>
            <w:r>
              <w:t>4</w:t>
            </w:r>
          </w:p>
        </w:tc>
        <w:tc>
          <w:tcPr>
            <w:tcW w:w="1849" w:type="dxa"/>
            <w:tcBorders>
              <w:top w:val="none" w:sz="0" w:space="0" w:color="auto"/>
              <w:left w:val="none" w:sz="0" w:space="0" w:color="auto"/>
              <w:bottom w:val="none" w:sz="0" w:space="0" w:color="auto"/>
              <w:right w:val="none" w:sz="0" w:space="0" w:color="auto"/>
            </w:tcBorders>
          </w:tcPr>
          <w:p w14:paraId="41ED91C3" w14:textId="057926DD"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5435BC">
              <w:t>137</w:t>
            </w:r>
          </w:p>
        </w:tc>
        <w:tc>
          <w:tcPr>
            <w:tcW w:w="1849" w:type="dxa"/>
            <w:tcBorders>
              <w:top w:val="none" w:sz="0" w:space="0" w:color="auto"/>
              <w:left w:val="none" w:sz="0" w:space="0" w:color="auto"/>
              <w:bottom w:val="none" w:sz="0" w:space="0" w:color="auto"/>
              <w:right w:val="none" w:sz="0" w:space="0" w:color="auto"/>
            </w:tcBorders>
          </w:tcPr>
          <w:p w14:paraId="51FDC320" w14:textId="13D49978"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5435BC">
              <w:t>100%</w:t>
            </w:r>
          </w:p>
        </w:tc>
        <w:tc>
          <w:tcPr>
            <w:tcW w:w="1849" w:type="dxa"/>
            <w:tcBorders>
              <w:top w:val="none" w:sz="0" w:space="0" w:color="auto"/>
              <w:left w:val="none" w:sz="0" w:space="0" w:color="auto"/>
              <w:bottom w:val="none" w:sz="0" w:space="0" w:color="auto"/>
              <w:right w:val="none" w:sz="0" w:space="0" w:color="auto"/>
            </w:tcBorders>
          </w:tcPr>
          <w:p w14:paraId="0F3381F0" w14:textId="5E105860"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5435BC">
              <w:t>137</w:t>
            </w:r>
          </w:p>
        </w:tc>
        <w:tc>
          <w:tcPr>
            <w:tcW w:w="1850" w:type="dxa"/>
            <w:tcBorders>
              <w:top w:val="none" w:sz="0" w:space="0" w:color="auto"/>
              <w:left w:val="none" w:sz="0" w:space="0" w:color="auto"/>
              <w:bottom w:val="none" w:sz="0" w:space="0" w:color="auto"/>
              <w:right w:val="none" w:sz="0" w:space="0" w:color="auto"/>
            </w:tcBorders>
          </w:tcPr>
          <w:p w14:paraId="460C8976" w14:textId="341B352A"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5435BC">
              <w:t>N/A</w:t>
            </w:r>
          </w:p>
        </w:tc>
        <w:tc>
          <w:tcPr>
            <w:tcW w:w="1850" w:type="dxa"/>
            <w:tcBorders>
              <w:top w:val="none" w:sz="0" w:space="0" w:color="auto"/>
              <w:left w:val="none" w:sz="0" w:space="0" w:color="auto"/>
              <w:bottom w:val="none" w:sz="0" w:space="0" w:color="auto"/>
              <w:right w:val="none" w:sz="0" w:space="0" w:color="auto"/>
            </w:tcBorders>
          </w:tcPr>
          <w:p w14:paraId="6A025353" w14:textId="12D36161"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5435BC">
              <w:t>137</w:t>
            </w:r>
          </w:p>
        </w:tc>
      </w:tr>
      <w:tr w:rsidR="00305B2A" w14:paraId="1D32AE19"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6AE36CA" w14:textId="33D22B0A" w:rsidR="00305B2A" w:rsidRPr="00F87E60" w:rsidRDefault="00305B2A" w:rsidP="00C22186">
            <w:pPr>
              <w:pStyle w:val="TableLeftText"/>
            </w:pPr>
            <w:r w:rsidRPr="00835A97">
              <w:t>240132</w:t>
            </w:r>
            <w:r>
              <w:t>6</w:t>
            </w:r>
          </w:p>
        </w:tc>
        <w:tc>
          <w:tcPr>
            <w:tcW w:w="1849" w:type="dxa"/>
            <w:tcBorders>
              <w:top w:val="none" w:sz="0" w:space="0" w:color="auto"/>
              <w:left w:val="none" w:sz="0" w:space="0" w:color="auto"/>
              <w:bottom w:val="none" w:sz="0" w:space="0" w:color="auto"/>
              <w:right w:val="none" w:sz="0" w:space="0" w:color="auto"/>
            </w:tcBorders>
          </w:tcPr>
          <w:p w14:paraId="3478A758" w14:textId="0CD43038"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690690">
              <w:t>137</w:t>
            </w:r>
          </w:p>
        </w:tc>
        <w:tc>
          <w:tcPr>
            <w:tcW w:w="1849" w:type="dxa"/>
            <w:tcBorders>
              <w:top w:val="none" w:sz="0" w:space="0" w:color="auto"/>
              <w:left w:val="none" w:sz="0" w:space="0" w:color="auto"/>
              <w:bottom w:val="none" w:sz="0" w:space="0" w:color="auto"/>
              <w:right w:val="none" w:sz="0" w:space="0" w:color="auto"/>
            </w:tcBorders>
          </w:tcPr>
          <w:p w14:paraId="13B8AB25" w14:textId="434A856C"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690690">
              <w:t>100%</w:t>
            </w:r>
          </w:p>
        </w:tc>
        <w:tc>
          <w:tcPr>
            <w:tcW w:w="1849" w:type="dxa"/>
            <w:tcBorders>
              <w:top w:val="none" w:sz="0" w:space="0" w:color="auto"/>
              <w:left w:val="none" w:sz="0" w:space="0" w:color="auto"/>
              <w:bottom w:val="none" w:sz="0" w:space="0" w:color="auto"/>
              <w:right w:val="none" w:sz="0" w:space="0" w:color="auto"/>
            </w:tcBorders>
          </w:tcPr>
          <w:p w14:paraId="2E8A6B8E" w14:textId="1CED591A"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690690">
              <w:t>137</w:t>
            </w:r>
          </w:p>
        </w:tc>
        <w:tc>
          <w:tcPr>
            <w:tcW w:w="1850" w:type="dxa"/>
            <w:tcBorders>
              <w:top w:val="none" w:sz="0" w:space="0" w:color="auto"/>
              <w:left w:val="none" w:sz="0" w:space="0" w:color="auto"/>
              <w:bottom w:val="none" w:sz="0" w:space="0" w:color="auto"/>
              <w:right w:val="none" w:sz="0" w:space="0" w:color="auto"/>
            </w:tcBorders>
          </w:tcPr>
          <w:p w14:paraId="0F4CFA82" w14:textId="587FFE41"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690690">
              <w:t>N/A</w:t>
            </w:r>
          </w:p>
        </w:tc>
        <w:tc>
          <w:tcPr>
            <w:tcW w:w="1850" w:type="dxa"/>
            <w:tcBorders>
              <w:top w:val="none" w:sz="0" w:space="0" w:color="auto"/>
              <w:left w:val="none" w:sz="0" w:space="0" w:color="auto"/>
              <w:bottom w:val="none" w:sz="0" w:space="0" w:color="auto"/>
              <w:right w:val="none" w:sz="0" w:space="0" w:color="auto"/>
            </w:tcBorders>
          </w:tcPr>
          <w:p w14:paraId="1733117D" w14:textId="4149EC37"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690690">
              <w:t>137</w:t>
            </w:r>
          </w:p>
        </w:tc>
      </w:tr>
      <w:tr w:rsidR="00305B2A" w14:paraId="69932857"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C4DA5B6" w14:textId="7C4BAE49" w:rsidR="00305B2A" w:rsidRPr="00F87E60" w:rsidRDefault="00305B2A" w:rsidP="00C22186">
            <w:pPr>
              <w:pStyle w:val="TableLeftText"/>
            </w:pPr>
            <w:r w:rsidRPr="00835A97">
              <w:t>24013</w:t>
            </w:r>
            <w:r>
              <w:t>27</w:t>
            </w:r>
          </w:p>
        </w:tc>
        <w:tc>
          <w:tcPr>
            <w:tcW w:w="1849" w:type="dxa"/>
            <w:tcBorders>
              <w:top w:val="none" w:sz="0" w:space="0" w:color="auto"/>
              <w:left w:val="none" w:sz="0" w:space="0" w:color="auto"/>
              <w:bottom w:val="none" w:sz="0" w:space="0" w:color="auto"/>
              <w:right w:val="none" w:sz="0" w:space="0" w:color="auto"/>
            </w:tcBorders>
          </w:tcPr>
          <w:p w14:paraId="09DB0C8A" w14:textId="49266623"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F65284">
              <w:t>137</w:t>
            </w:r>
          </w:p>
        </w:tc>
        <w:tc>
          <w:tcPr>
            <w:tcW w:w="1849" w:type="dxa"/>
            <w:tcBorders>
              <w:top w:val="none" w:sz="0" w:space="0" w:color="auto"/>
              <w:left w:val="none" w:sz="0" w:space="0" w:color="auto"/>
              <w:bottom w:val="none" w:sz="0" w:space="0" w:color="auto"/>
              <w:right w:val="none" w:sz="0" w:space="0" w:color="auto"/>
            </w:tcBorders>
          </w:tcPr>
          <w:p w14:paraId="337CC04F" w14:textId="61292534"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F65284">
              <w:t>100%</w:t>
            </w:r>
          </w:p>
        </w:tc>
        <w:tc>
          <w:tcPr>
            <w:tcW w:w="1849" w:type="dxa"/>
            <w:tcBorders>
              <w:top w:val="none" w:sz="0" w:space="0" w:color="auto"/>
              <w:left w:val="none" w:sz="0" w:space="0" w:color="auto"/>
              <w:bottom w:val="none" w:sz="0" w:space="0" w:color="auto"/>
              <w:right w:val="none" w:sz="0" w:space="0" w:color="auto"/>
            </w:tcBorders>
          </w:tcPr>
          <w:p w14:paraId="53EA56B0" w14:textId="02852997"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F65284">
              <w:t>137</w:t>
            </w:r>
          </w:p>
        </w:tc>
        <w:tc>
          <w:tcPr>
            <w:tcW w:w="1850" w:type="dxa"/>
            <w:tcBorders>
              <w:top w:val="none" w:sz="0" w:space="0" w:color="auto"/>
              <w:left w:val="none" w:sz="0" w:space="0" w:color="auto"/>
              <w:bottom w:val="none" w:sz="0" w:space="0" w:color="auto"/>
              <w:right w:val="none" w:sz="0" w:space="0" w:color="auto"/>
            </w:tcBorders>
          </w:tcPr>
          <w:p w14:paraId="600C7C6C" w14:textId="49993655"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F65284">
              <w:t>N/A</w:t>
            </w:r>
          </w:p>
        </w:tc>
        <w:tc>
          <w:tcPr>
            <w:tcW w:w="1850" w:type="dxa"/>
            <w:tcBorders>
              <w:top w:val="none" w:sz="0" w:space="0" w:color="auto"/>
              <w:left w:val="none" w:sz="0" w:space="0" w:color="auto"/>
              <w:bottom w:val="none" w:sz="0" w:space="0" w:color="auto"/>
              <w:right w:val="none" w:sz="0" w:space="0" w:color="auto"/>
            </w:tcBorders>
          </w:tcPr>
          <w:p w14:paraId="5A0E16F2" w14:textId="15C648BB" w:rsidR="00305B2A" w:rsidRPr="00F87E60" w:rsidRDefault="00305B2A"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F65284">
              <w:t>137</w:t>
            </w:r>
          </w:p>
        </w:tc>
      </w:tr>
      <w:tr w:rsidR="00305B2A" w14:paraId="68055036"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71C19516" w14:textId="49235A69" w:rsidR="00305B2A" w:rsidRPr="00F87E60" w:rsidRDefault="00305B2A" w:rsidP="00C22186">
            <w:pPr>
              <w:pStyle w:val="TableLeftText"/>
            </w:pPr>
            <w:r w:rsidRPr="00835A97">
              <w:t>2401329</w:t>
            </w:r>
          </w:p>
        </w:tc>
        <w:tc>
          <w:tcPr>
            <w:tcW w:w="1849" w:type="dxa"/>
            <w:tcBorders>
              <w:top w:val="none" w:sz="0" w:space="0" w:color="auto"/>
              <w:left w:val="none" w:sz="0" w:space="0" w:color="auto"/>
              <w:bottom w:val="none" w:sz="0" w:space="0" w:color="auto"/>
              <w:right w:val="none" w:sz="0" w:space="0" w:color="auto"/>
            </w:tcBorders>
          </w:tcPr>
          <w:p w14:paraId="2A8167F3" w14:textId="3FADD028"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030BF">
              <w:t>137</w:t>
            </w:r>
          </w:p>
        </w:tc>
        <w:tc>
          <w:tcPr>
            <w:tcW w:w="1849" w:type="dxa"/>
            <w:tcBorders>
              <w:top w:val="none" w:sz="0" w:space="0" w:color="auto"/>
              <w:left w:val="none" w:sz="0" w:space="0" w:color="auto"/>
              <w:bottom w:val="none" w:sz="0" w:space="0" w:color="auto"/>
              <w:right w:val="none" w:sz="0" w:space="0" w:color="auto"/>
            </w:tcBorders>
          </w:tcPr>
          <w:p w14:paraId="417DB1F7" w14:textId="0A17598A"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030BF">
              <w:t>3%</w:t>
            </w:r>
          </w:p>
        </w:tc>
        <w:tc>
          <w:tcPr>
            <w:tcW w:w="1849" w:type="dxa"/>
            <w:tcBorders>
              <w:top w:val="none" w:sz="0" w:space="0" w:color="auto"/>
              <w:left w:val="none" w:sz="0" w:space="0" w:color="auto"/>
              <w:bottom w:val="none" w:sz="0" w:space="0" w:color="auto"/>
              <w:right w:val="none" w:sz="0" w:space="0" w:color="auto"/>
            </w:tcBorders>
          </w:tcPr>
          <w:p w14:paraId="0E211EA9" w14:textId="3CD2AFCA"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030BF">
              <w:t>3</w:t>
            </w:r>
          </w:p>
        </w:tc>
        <w:tc>
          <w:tcPr>
            <w:tcW w:w="1850" w:type="dxa"/>
            <w:tcBorders>
              <w:top w:val="none" w:sz="0" w:space="0" w:color="auto"/>
              <w:left w:val="none" w:sz="0" w:space="0" w:color="auto"/>
              <w:bottom w:val="none" w:sz="0" w:space="0" w:color="auto"/>
              <w:right w:val="none" w:sz="0" w:space="0" w:color="auto"/>
            </w:tcBorders>
          </w:tcPr>
          <w:p w14:paraId="27A1E947" w14:textId="79AEBC1C"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030BF">
              <w:t>N/A</w:t>
            </w:r>
          </w:p>
        </w:tc>
        <w:tc>
          <w:tcPr>
            <w:tcW w:w="1850" w:type="dxa"/>
            <w:tcBorders>
              <w:top w:val="none" w:sz="0" w:space="0" w:color="auto"/>
              <w:left w:val="none" w:sz="0" w:space="0" w:color="auto"/>
              <w:bottom w:val="none" w:sz="0" w:space="0" w:color="auto"/>
              <w:right w:val="none" w:sz="0" w:space="0" w:color="auto"/>
            </w:tcBorders>
          </w:tcPr>
          <w:p w14:paraId="097EFEE5" w14:textId="3F73754F" w:rsidR="00305B2A" w:rsidRPr="00F87E60" w:rsidRDefault="00305B2A"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1030BF">
              <w:t>3</w:t>
            </w:r>
          </w:p>
        </w:tc>
      </w:tr>
      <w:tr w:rsidR="00C22186" w14:paraId="7C832D34"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54A27B8" w14:textId="54A19E08" w:rsidR="00C22186" w:rsidRPr="00835A97" w:rsidRDefault="00C22186" w:rsidP="00C22186">
            <w:pPr>
              <w:pStyle w:val="TableLeftText"/>
            </w:pPr>
            <w:r w:rsidRPr="00835A97">
              <w:t>24013</w:t>
            </w:r>
            <w:r>
              <w:t>19</w:t>
            </w:r>
          </w:p>
        </w:tc>
        <w:tc>
          <w:tcPr>
            <w:tcW w:w="1849" w:type="dxa"/>
            <w:tcBorders>
              <w:top w:val="none" w:sz="0" w:space="0" w:color="auto"/>
              <w:left w:val="none" w:sz="0" w:space="0" w:color="auto"/>
              <w:bottom w:val="none" w:sz="0" w:space="0" w:color="auto"/>
              <w:right w:val="none" w:sz="0" w:space="0" w:color="auto"/>
            </w:tcBorders>
          </w:tcPr>
          <w:p w14:paraId="78E29FB2" w14:textId="57387E22" w:rsidR="00C22186" w:rsidRPr="001030BF"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182386">
              <w:t>110</w:t>
            </w:r>
          </w:p>
        </w:tc>
        <w:tc>
          <w:tcPr>
            <w:tcW w:w="1849" w:type="dxa"/>
            <w:tcBorders>
              <w:top w:val="none" w:sz="0" w:space="0" w:color="auto"/>
              <w:left w:val="none" w:sz="0" w:space="0" w:color="auto"/>
              <w:bottom w:val="none" w:sz="0" w:space="0" w:color="auto"/>
              <w:right w:val="none" w:sz="0" w:space="0" w:color="auto"/>
            </w:tcBorders>
          </w:tcPr>
          <w:p w14:paraId="29157869" w14:textId="2D4BC767" w:rsidR="00C22186" w:rsidRPr="001030BF"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182386">
              <w:t>100%</w:t>
            </w:r>
          </w:p>
        </w:tc>
        <w:tc>
          <w:tcPr>
            <w:tcW w:w="1849" w:type="dxa"/>
            <w:tcBorders>
              <w:top w:val="none" w:sz="0" w:space="0" w:color="auto"/>
              <w:left w:val="none" w:sz="0" w:space="0" w:color="auto"/>
              <w:bottom w:val="none" w:sz="0" w:space="0" w:color="auto"/>
              <w:right w:val="none" w:sz="0" w:space="0" w:color="auto"/>
            </w:tcBorders>
          </w:tcPr>
          <w:p w14:paraId="37B91AA7" w14:textId="4F2D8738" w:rsidR="00C22186" w:rsidRPr="001030BF"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182386">
              <w:t>110</w:t>
            </w:r>
          </w:p>
        </w:tc>
        <w:tc>
          <w:tcPr>
            <w:tcW w:w="1850" w:type="dxa"/>
            <w:tcBorders>
              <w:top w:val="none" w:sz="0" w:space="0" w:color="auto"/>
              <w:left w:val="none" w:sz="0" w:space="0" w:color="auto"/>
              <w:bottom w:val="none" w:sz="0" w:space="0" w:color="auto"/>
              <w:right w:val="none" w:sz="0" w:space="0" w:color="auto"/>
            </w:tcBorders>
          </w:tcPr>
          <w:p w14:paraId="53404F95" w14:textId="20A95027" w:rsidR="00C22186" w:rsidRPr="001030BF"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182386">
              <w:t>N/A</w:t>
            </w:r>
          </w:p>
        </w:tc>
        <w:tc>
          <w:tcPr>
            <w:tcW w:w="1850" w:type="dxa"/>
            <w:tcBorders>
              <w:top w:val="none" w:sz="0" w:space="0" w:color="auto"/>
              <w:left w:val="none" w:sz="0" w:space="0" w:color="auto"/>
              <w:bottom w:val="none" w:sz="0" w:space="0" w:color="auto"/>
              <w:right w:val="none" w:sz="0" w:space="0" w:color="auto"/>
            </w:tcBorders>
          </w:tcPr>
          <w:p w14:paraId="6539FBF1" w14:textId="1A74B5B9" w:rsidR="00C22186" w:rsidRPr="001030BF"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182386">
              <w:t>110</w:t>
            </w:r>
          </w:p>
        </w:tc>
      </w:tr>
      <w:tr w:rsidR="00C22186" w14:paraId="4532F6A9"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70F5C3E" w14:textId="6FA39FD2" w:rsidR="00C22186" w:rsidRPr="00835A97" w:rsidRDefault="00C22186" w:rsidP="00C22186">
            <w:pPr>
              <w:pStyle w:val="TableLeftText"/>
            </w:pPr>
            <w:r w:rsidRPr="00835A97">
              <w:t>240131</w:t>
            </w:r>
            <w:r>
              <w:t>8</w:t>
            </w:r>
          </w:p>
        </w:tc>
        <w:tc>
          <w:tcPr>
            <w:tcW w:w="1849" w:type="dxa"/>
            <w:tcBorders>
              <w:top w:val="none" w:sz="0" w:space="0" w:color="auto"/>
              <w:left w:val="none" w:sz="0" w:space="0" w:color="auto"/>
              <w:bottom w:val="none" w:sz="0" w:space="0" w:color="auto"/>
              <w:right w:val="none" w:sz="0" w:space="0" w:color="auto"/>
            </w:tcBorders>
          </w:tcPr>
          <w:p w14:paraId="63527802" w14:textId="7337205D" w:rsidR="00C22186" w:rsidRPr="001030BF"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C24A3">
              <w:t>67</w:t>
            </w:r>
          </w:p>
        </w:tc>
        <w:tc>
          <w:tcPr>
            <w:tcW w:w="1849" w:type="dxa"/>
            <w:tcBorders>
              <w:top w:val="none" w:sz="0" w:space="0" w:color="auto"/>
              <w:left w:val="none" w:sz="0" w:space="0" w:color="auto"/>
              <w:bottom w:val="none" w:sz="0" w:space="0" w:color="auto"/>
              <w:right w:val="none" w:sz="0" w:space="0" w:color="auto"/>
            </w:tcBorders>
          </w:tcPr>
          <w:p w14:paraId="6DD2DB7C" w14:textId="24E19157" w:rsidR="00C22186" w:rsidRPr="001030BF"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C24A3">
              <w:t>100%</w:t>
            </w:r>
          </w:p>
        </w:tc>
        <w:tc>
          <w:tcPr>
            <w:tcW w:w="1849" w:type="dxa"/>
            <w:tcBorders>
              <w:top w:val="none" w:sz="0" w:space="0" w:color="auto"/>
              <w:left w:val="none" w:sz="0" w:space="0" w:color="auto"/>
              <w:bottom w:val="none" w:sz="0" w:space="0" w:color="auto"/>
              <w:right w:val="none" w:sz="0" w:space="0" w:color="auto"/>
            </w:tcBorders>
          </w:tcPr>
          <w:p w14:paraId="4D3B206D" w14:textId="7C916C53" w:rsidR="00C22186" w:rsidRPr="001030BF"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C24A3">
              <w:t>67</w:t>
            </w:r>
          </w:p>
        </w:tc>
        <w:tc>
          <w:tcPr>
            <w:tcW w:w="1850" w:type="dxa"/>
            <w:tcBorders>
              <w:top w:val="none" w:sz="0" w:space="0" w:color="auto"/>
              <w:left w:val="none" w:sz="0" w:space="0" w:color="auto"/>
              <w:bottom w:val="none" w:sz="0" w:space="0" w:color="auto"/>
              <w:right w:val="none" w:sz="0" w:space="0" w:color="auto"/>
            </w:tcBorders>
          </w:tcPr>
          <w:p w14:paraId="7057E384" w14:textId="71F5B56B" w:rsidR="00C22186" w:rsidRPr="001030BF"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C24A3">
              <w:t>N/A</w:t>
            </w:r>
          </w:p>
        </w:tc>
        <w:tc>
          <w:tcPr>
            <w:tcW w:w="1850" w:type="dxa"/>
            <w:tcBorders>
              <w:top w:val="none" w:sz="0" w:space="0" w:color="auto"/>
              <w:left w:val="none" w:sz="0" w:space="0" w:color="auto"/>
              <w:bottom w:val="none" w:sz="0" w:space="0" w:color="auto"/>
              <w:right w:val="none" w:sz="0" w:space="0" w:color="auto"/>
            </w:tcBorders>
          </w:tcPr>
          <w:p w14:paraId="76C02AB2" w14:textId="7A3DC114" w:rsidR="00C22186" w:rsidRPr="001030BF"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C24A3">
              <w:t>67</w:t>
            </w:r>
          </w:p>
        </w:tc>
      </w:tr>
      <w:tr w:rsidR="00C22186" w14:paraId="22714C59"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5E016780" w14:textId="77777777" w:rsidR="00C22186" w:rsidRPr="0064563C" w:rsidRDefault="00C22186" w:rsidP="00C22186">
            <w:pPr>
              <w:pStyle w:val="TableLeftText"/>
              <w:rPr>
                <w:rFonts w:ascii="Franklin Gothic Medium" w:hAnsi="Franklin Gothic Medium"/>
              </w:rPr>
            </w:pPr>
            <w:r w:rsidRPr="0064563C">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76EC7A3B" w14:textId="61E57D7D"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1,137</w:t>
            </w:r>
          </w:p>
        </w:tc>
        <w:tc>
          <w:tcPr>
            <w:tcW w:w="1849" w:type="dxa"/>
            <w:tcBorders>
              <w:top w:val="none" w:sz="0" w:space="0" w:color="auto"/>
              <w:left w:val="none" w:sz="0" w:space="0" w:color="auto"/>
              <w:bottom w:val="none" w:sz="0" w:space="0" w:color="auto"/>
              <w:right w:val="none" w:sz="0" w:space="0" w:color="auto"/>
            </w:tcBorders>
          </w:tcPr>
          <w:p w14:paraId="691A1661" w14:textId="34EBDA7D"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88%</w:t>
            </w:r>
          </w:p>
        </w:tc>
        <w:tc>
          <w:tcPr>
            <w:tcW w:w="1849" w:type="dxa"/>
            <w:tcBorders>
              <w:top w:val="none" w:sz="0" w:space="0" w:color="auto"/>
              <w:left w:val="none" w:sz="0" w:space="0" w:color="auto"/>
              <w:bottom w:val="none" w:sz="0" w:space="0" w:color="auto"/>
              <w:right w:val="none" w:sz="0" w:space="0" w:color="auto"/>
            </w:tcBorders>
          </w:tcPr>
          <w:p w14:paraId="28D96546" w14:textId="78E4B2E2"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1,003</w:t>
            </w:r>
          </w:p>
        </w:tc>
        <w:tc>
          <w:tcPr>
            <w:tcW w:w="1850" w:type="dxa"/>
            <w:tcBorders>
              <w:top w:val="none" w:sz="0" w:space="0" w:color="auto"/>
              <w:left w:val="none" w:sz="0" w:space="0" w:color="auto"/>
              <w:bottom w:val="none" w:sz="0" w:space="0" w:color="auto"/>
              <w:right w:val="none" w:sz="0" w:space="0" w:color="auto"/>
            </w:tcBorders>
          </w:tcPr>
          <w:p w14:paraId="370F06B2" w14:textId="01CAA18D"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N/A</w:t>
            </w:r>
          </w:p>
        </w:tc>
        <w:tc>
          <w:tcPr>
            <w:tcW w:w="1850" w:type="dxa"/>
            <w:tcBorders>
              <w:top w:val="none" w:sz="0" w:space="0" w:color="auto"/>
              <w:left w:val="none" w:sz="0" w:space="0" w:color="auto"/>
              <w:bottom w:val="none" w:sz="0" w:space="0" w:color="auto"/>
              <w:right w:val="none" w:sz="0" w:space="0" w:color="auto"/>
            </w:tcBorders>
          </w:tcPr>
          <w:p w14:paraId="5680B374" w14:textId="1C57CC46"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1,003</w:t>
            </w:r>
          </w:p>
        </w:tc>
      </w:tr>
    </w:tbl>
    <w:p w14:paraId="7970CFC1" w14:textId="043C8AE0" w:rsidR="0003099F" w:rsidRDefault="0003099F" w:rsidP="002220FC">
      <w:pPr>
        <w:pStyle w:val="NoSpacing"/>
        <w:spacing w:before="240"/>
      </w:pPr>
      <w:r>
        <w:fldChar w:fldCharType="begin"/>
      </w:r>
      <w:r>
        <w:instrText xml:space="preserve"> REF _Ref187236049 \h  \* MERGEFORMAT </w:instrText>
      </w:r>
      <w:r>
        <w:fldChar w:fldCharType="separate"/>
      </w:r>
      <w:r w:rsidR="00AA10F4">
        <w:t xml:space="preserve">Table </w:t>
      </w:r>
      <w:r w:rsidR="00AA10F4">
        <w:rPr>
          <w:noProof/>
        </w:rPr>
        <w:t>19</w:t>
      </w:r>
      <w:r>
        <w:fldChar w:fldCharType="end"/>
      </w:r>
      <w:r>
        <w:t xml:space="preserve"> presents the ex ante, verified gross, and verified net electric demand savings achieved through the BOC </w:t>
      </w:r>
      <w:r w:rsidR="00521F3D">
        <w:t xml:space="preserve">Training </w:t>
      </w:r>
      <w:r>
        <w:t>channel in 2024.</w:t>
      </w:r>
      <w:r w:rsidR="00E614E9">
        <w:t xml:space="preserve"> The gross realization rate for electric demand savings is 88%. Overall, the channel produced 38% more verified net electric demand savings in 2024 compared to 2023.</w:t>
      </w:r>
    </w:p>
    <w:p w14:paraId="112164EA" w14:textId="72EF1B9C" w:rsidR="0003099F" w:rsidRDefault="0003099F" w:rsidP="00881B1B">
      <w:pPr>
        <w:pStyle w:val="Caption"/>
      </w:pPr>
      <w:bookmarkStart w:id="97" w:name="_Ref187236049"/>
      <w:bookmarkStart w:id="98" w:name="_Toc191992540"/>
      <w:bookmarkStart w:id="99" w:name="_Toc192766953"/>
      <w:r>
        <w:t xml:space="preserve">Table </w:t>
      </w:r>
      <w:r w:rsidR="009B4C9A">
        <w:fldChar w:fldCharType="begin"/>
      </w:r>
      <w:r w:rsidR="009B4C9A">
        <w:instrText xml:space="preserve"> SEQ Table \* ARABIC </w:instrText>
      </w:r>
      <w:r w:rsidR="009B4C9A">
        <w:fldChar w:fldCharType="separate"/>
      </w:r>
      <w:r w:rsidR="00AA10F4">
        <w:rPr>
          <w:noProof/>
        </w:rPr>
        <w:t>19</w:t>
      </w:r>
      <w:r w:rsidR="009B4C9A">
        <w:rPr>
          <w:noProof/>
        </w:rPr>
        <w:fldChar w:fldCharType="end"/>
      </w:r>
      <w:bookmarkEnd w:id="97"/>
      <w:r>
        <w:t>. 2024 BOC</w:t>
      </w:r>
      <w:r w:rsidR="00521F3D">
        <w:t xml:space="preserve"> Training</w:t>
      </w:r>
      <w:r>
        <w:t xml:space="preserve"> Channel Electric Demand Savings by Measure</w:t>
      </w:r>
      <w:bookmarkEnd w:id="98"/>
      <w:bookmarkEnd w:id="99"/>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849"/>
        <w:gridCol w:w="1849"/>
        <w:gridCol w:w="1849"/>
        <w:gridCol w:w="1849"/>
        <w:gridCol w:w="1850"/>
        <w:gridCol w:w="1850"/>
      </w:tblGrid>
      <w:tr w:rsidR="00896423" w14:paraId="19EBB2FC" w14:textId="77777777" w:rsidTr="00CE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0E3D4381" w14:textId="738C8C35" w:rsidR="00896423" w:rsidRDefault="00896423" w:rsidP="00896423">
            <w:pPr>
              <w:pStyle w:val="TableHeadingLeft"/>
            </w:pPr>
            <w:r>
              <w:t>Participant Number</w:t>
            </w:r>
          </w:p>
        </w:tc>
        <w:tc>
          <w:tcPr>
            <w:tcW w:w="1849" w:type="dxa"/>
            <w:tcBorders>
              <w:bottom w:val="single" w:sz="4" w:space="0" w:color="4A4D56" w:themeColor="text1"/>
            </w:tcBorders>
          </w:tcPr>
          <w:p w14:paraId="5F537704"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  </w:t>
            </w:r>
          </w:p>
        </w:tc>
        <w:tc>
          <w:tcPr>
            <w:tcW w:w="1849" w:type="dxa"/>
            <w:tcBorders>
              <w:bottom w:val="single" w:sz="4" w:space="0" w:color="4A4D56" w:themeColor="text1"/>
            </w:tcBorders>
          </w:tcPr>
          <w:p w14:paraId="2009B56A"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single" w:sz="4" w:space="0" w:color="4A4D56" w:themeColor="text1"/>
            </w:tcBorders>
          </w:tcPr>
          <w:p w14:paraId="2F8158A2"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  </w:t>
            </w:r>
          </w:p>
        </w:tc>
        <w:tc>
          <w:tcPr>
            <w:tcW w:w="1850" w:type="dxa"/>
            <w:tcBorders>
              <w:bottom w:val="single" w:sz="4" w:space="0" w:color="4A4D56" w:themeColor="text1"/>
            </w:tcBorders>
          </w:tcPr>
          <w:p w14:paraId="10321060"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single" w:sz="4" w:space="0" w:color="4A4D56" w:themeColor="text1"/>
            </w:tcBorders>
          </w:tcPr>
          <w:p w14:paraId="6BAAFE53"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  </w:t>
            </w:r>
          </w:p>
        </w:tc>
      </w:tr>
      <w:tr w:rsidR="00AD5580" w14:paraId="23E68E43"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1C782389" w14:textId="479C8276" w:rsidR="00AD5580" w:rsidRDefault="00AD5580" w:rsidP="00AD5580">
            <w:pPr>
              <w:pStyle w:val="TableLeftText"/>
            </w:pPr>
            <w:r w:rsidRPr="004E3164">
              <w:t>2401320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7F8032E" w14:textId="0EDABADF"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DC272D">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09ECF56" w14:textId="41453BD8"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DC272D">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784BEA1" w14:textId="13F3BA07"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DC272D">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A91FCA7" w14:textId="59D99FE2"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DC272D">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968E86" w14:textId="454316CE"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DC272D">
              <w:t>0.02</w:t>
            </w:r>
          </w:p>
        </w:tc>
      </w:tr>
      <w:tr w:rsidR="00AD5580" w14:paraId="1C33E766"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5EEC632D" w14:textId="3FE6FB76" w:rsidR="00AD5580" w:rsidRDefault="00AD5580" w:rsidP="00AD5580">
            <w:pPr>
              <w:pStyle w:val="TableLeftText"/>
            </w:pPr>
            <w:r w:rsidRPr="004E3164">
              <w:t>2401321</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DA59016" w14:textId="36E2F5C8"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2702F2">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95748F" w14:textId="42EE2ED9"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2702F2">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7A56040" w14:textId="6EE10CE5"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2702F2">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E6A49F8" w14:textId="25ECFAF6"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2702F2">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A49D50" w14:textId="1ED6A918"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2702F2">
              <w:t>0.02</w:t>
            </w:r>
          </w:p>
        </w:tc>
      </w:tr>
      <w:tr w:rsidR="00AD5580" w14:paraId="70E960AA"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0E40E5A9" w14:textId="77DF97FD" w:rsidR="00AD5580" w:rsidRPr="00EE3D49" w:rsidRDefault="00AD5580" w:rsidP="00AD5580">
            <w:pPr>
              <w:pStyle w:val="TableLeftText"/>
              <w:rPr>
                <w:b/>
                <w:bCs/>
              </w:rPr>
            </w:pPr>
            <w:r w:rsidRPr="004E3164">
              <w:t>2401322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AB7414F" w14:textId="767E78EE" w:rsidR="00AD5580" w:rsidRPr="00F25B7C"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62A10">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516764" w14:textId="25CEBBAE" w:rsidR="00AD5580" w:rsidRPr="00F25B7C"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62A10">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4F82C30" w14:textId="0E0C7218" w:rsidR="00AD5580" w:rsidRPr="00F25B7C"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62A10">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FC40481" w14:textId="246D88DA" w:rsidR="00AD5580" w:rsidRPr="00F25B7C"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62A10">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DEDA541" w14:textId="27847492" w:rsidR="00AD5580" w:rsidRPr="00F25B7C"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962A10">
              <w:t>0.02</w:t>
            </w:r>
          </w:p>
        </w:tc>
      </w:tr>
      <w:tr w:rsidR="00AD5580" w14:paraId="53E678BC"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0595D200" w14:textId="57D6C5B6" w:rsidR="00AD5580" w:rsidRPr="00EE3D49" w:rsidRDefault="00AD5580" w:rsidP="00AD5580">
            <w:pPr>
              <w:pStyle w:val="TableLeftText"/>
              <w:rPr>
                <w:b/>
                <w:bCs/>
              </w:rPr>
            </w:pPr>
            <w:r w:rsidRPr="004E3164">
              <w:t>2401324</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FA5EBF1" w14:textId="6A5C5CEE"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BB27DC">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B596140" w14:textId="7465FAF0"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BB27DC">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EF4D940" w14:textId="0758B949"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BB27DC">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23F2F9D" w14:textId="71C8CECD"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BB27DC">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D1258D3" w14:textId="3FB291E6"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BB27DC">
              <w:t>0.02</w:t>
            </w:r>
          </w:p>
        </w:tc>
      </w:tr>
      <w:tr w:rsidR="00AD5580" w14:paraId="202D06B4"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4BB2AC39" w14:textId="656BBA3F" w:rsidR="00AD5580" w:rsidRPr="00EE3D49" w:rsidRDefault="00AD5580" w:rsidP="00AD5580">
            <w:pPr>
              <w:pStyle w:val="TableLeftText"/>
              <w:rPr>
                <w:b/>
                <w:bCs/>
              </w:rPr>
            </w:pPr>
            <w:r w:rsidRPr="004E3164">
              <w:t>2401326</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085DE13" w14:textId="494E7973"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3E0BFD">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AA550CC" w14:textId="62960CB6"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3E0BFD">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3199067" w14:textId="31729D73"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3E0BFD">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6C5A7A5" w14:textId="150F1DDF"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3E0BFD">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7BD31D2" w14:textId="7FF9A65C"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3E0BFD">
              <w:t>0.02</w:t>
            </w:r>
          </w:p>
        </w:tc>
      </w:tr>
      <w:tr w:rsidR="00AD5580" w14:paraId="34698C8D"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7A66F0D1" w14:textId="70D4E8A3" w:rsidR="00AD5580" w:rsidRPr="00EE3D49" w:rsidRDefault="00AD5580" w:rsidP="00AD5580">
            <w:pPr>
              <w:pStyle w:val="TableLeftText"/>
              <w:rPr>
                <w:b/>
                <w:bCs/>
              </w:rPr>
            </w:pPr>
            <w:r w:rsidRPr="004E3164">
              <w:t>2401327</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A31826D" w14:textId="27701A06"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3E0BFD">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657D38" w14:textId="12A322BD"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3E0BFD">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8819D38" w14:textId="177855E0"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3E0BFD">
              <w:t>0.02</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F7938F3" w14:textId="7E83221A"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3E0BFD">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88A8052" w14:textId="07C03456" w:rsidR="00AD5580" w:rsidRPr="00EE3D49" w:rsidRDefault="00AD5580"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3E0BFD">
              <w:t>0.02</w:t>
            </w:r>
          </w:p>
        </w:tc>
      </w:tr>
      <w:tr w:rsidR="00AD5580" w14:paraId="0ABD3C60"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5041D0FE" w14:textId="32EDA8AE" w:rsidR="00AD5580" w:rsidRPr="00EE3D49" w:rsidRDefault="00AD5580" w:rsidP="00AD5580">
            <w:pPr>
              <w:pStyle w:val="TableLeftText"/>
              <w:rPr>
                <w:b/>
                <w:bCs/>
              </w:rPr>
            </w:pPr>
            <w:r w:rsidRPr="004E3164">
              <w:t>2401329</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7FB7CF7" w14:textId="18F12A56"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7A1095">
              <w:t>0.02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5F5B74B" w14:textId="76F1DAAA"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7A1095">
              <w:t>3%</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4E858E7D" w14:textId="6CC41A8F"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t>&lt;</w:t>
            </w:r>
            <w:r w:rsidRPr="007A1095">
              <w:t>0.0</w:t>
            </w:r>
            <w:r>
              <w:t>1</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B82DDE" w14:textId="43264E80" w:rsidR="00AD5580" w:rsidRPr="00EE3D49"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7A1095">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8C4A365" w14:textId="72D0352F" w:rsidR="00AD5580" w:rsidRPr="00AD5580" w:rsidRDefault="00AD5580"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AD5580">
              <w:t>&lt;0.01</w:t>
            </w:r>
          </w:p>
        </w:tc>
      </w:tr>
      <w:tr w:rsidR="00C22186" w14:paraId="6D2774E4"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72D37CFF" w14:textId="7BDD68B8" w:rsidR="00C22186" w:rsidRPr="004E3164" w:rsidRDefault="00C22186" w:rsidP="00C22186">
            <w:pPr>
              <w:pStyle w:val="TableLeftText"/>
            </w:pPr>
            <w:r w:rsidRPr="004E3164">
              <w:t>2401319</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66F2C70" w14:textId="780759FE" w:rsidR="00C22186" w:rsidRPr="007A1095"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0E6CB2">
              <w:t>0.01</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2088A72" w14:textId="4D146EEB" w:rsidR="00C22186" w:rsidRPr="007A1095"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0E6CB2">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CB4155F" w14:textId="23EFFAC6" w:rsidR="00C22186"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0E6CB2">
              <w:t>0.01</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3A4D52D" w14:textId="487449C2" w:rsidR="00C22186" w:rsidRPr="007A1095"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0E6CB2">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0592D5F9" w14:textId="303E6A6C" w:rsidR="00C22186" w:rsidRPr="00AD5580"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0E6CB2">
              <w:t>0.01</w:t>
            </w:r>
          </w:p>
        </w:tc>
      </w:tr>
      <w:tr w:rsidR="00C22186" w14:paraId="4CFEA38F"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1AFF9241" w14:textId="4DAD59C6" w:rsidR="00C22186" w:rsidRPr="004E3164" w:rsidRDefault="00C22186" w:rsidP="00C22186">
            <w:pPr>
              <w:pStyle w:val="TableLeftText"/>
            </w:pPr>
            <w:r w:rsidRPr="004E3164">
              <w:t>2401318</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599A97B6" w14:textId="0E59EF61" w:rsidR="00C22186" w:rsidRPr="007A1095"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0E6CB2">
              <w:t>0.01</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ABB01A1" w14:textId="2B4105AD" w:rsidR="00C22186" w:rsidRPr="007A1095"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0E6CB2">
              <w:t>100%</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33A2F2B" w14:textId="7883827B" w:rsidR="00C22186"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0E6CB2">
              <w:t>0.01</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A304882" w14:textId="68319135" w:rsidR="00C22186" w:rsidRPr="007A1095"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0E6CB2">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695A6C6E" w14:textId="509C8714" w:rsidR="00C22186" w:rsidRPr="00AD5580" w:rsidRDefault="00C2218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0E6CB2">
              <w:t>0.01</w:t>
            </w:r>
          </w:p>
        </w:tc>
      </w:tr>
      <w:tr w:rsidR="00C22186" w14:paraId="398D9A37"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single" w:sz="4" w:space="0" w:color="4A4D56" w:themeColor="text1"/>
            </w:tcBorders>
            <w:vAlign w:val="top"/>
          </w:tcPr>
          <w:p w14:paraId="191913DD" w14:textId="4FE683D3" w:rsidR="00C22186" w:rsidRPr="0064563C" w:rsidRDefault="00C22186" w:rsidP="00C22186">
            <w:pPr>
              <w:pStyle w:val="TableLeftText"/>
              <w:rPr>
                <w:rFonts w:ascii="Franklin Gothic Medium" w:hAnsi="Franklin Gothic Medium"/>
              </w:rPr>
            </w:pPr>
            <w:r w:rsidRPr="0064563C">
              <w:rPr>
                <w:rFonts w:ascii="Franklin Gothic Medium" w:hAnsi="Franklin Gothic Medium"/>
              </w:rPr>
              <w:t>Total</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21BB7A2" w14:textId="49203D62"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0.12</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2C60C474" w14:textId="74DFB4D6"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88%</w:t>
            </w:r>
          </w:p>
        </w:tc>
        <w:tc>
          <w:tcPr>
            <w:tcW w:w="1849"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175D60B2" w14:textId="45296696"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0.11</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74535C3C" w14:textId="6051513F"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N/A</w:t>
            </w:r>
          </w:p>
        </w:tc>
        <w:tc>
          <w:tcPr>
            <w:tcW w:w="1850" w:type="dxa"/>
            <w:tcBorders>
              <w:top w:val="single" w:sz="4" w:space="0" w:color="4A4D56" w:themeColor="text1"/>
              <w:left w:val="single" w:sz="4" w:space="0" w:color="4A4D56" w:themeColor="text1"/>
              <w:bottom w:val="single" w:sz="4" w:space="0" w:color="4A4D56" w:themeColor="text1"/>
              <w:right w:val="single" w:sz="4" w:space="0" w:color="4A4D56" w:themeColor="text1"/>
            </w:tcBorders>
          </w:tcPr>
          <w:p w14:paraId="3D066641" w14:textId="2AA6C60A" w:rsidR="00C22186" w:rsidRPr="0064563C" w:rsidRDefault="00C2218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0.11</w:t>
            </w:r>
          </w:p>
        </w:tc>
      </w:tr>
    </w:tbl>
    <w:p w14:paraId="476F1F59" w14:textId="243364E9" w:rsidR="0003099F" w:rsidRDefault="0003099F" w:rsidP="002220FC">
      <w:pPr>
        <w:pStyle w:val="NoSpacing"/>
        <w:spacing w:before="240"/>
      </w:pPr>
      <w:r>
        <w:fldChar w:fldCharType="begin"/>
      </w:r>
      <w:r>
        <w:instrText xml:space="preserve"> REF _Ref187236127 \h </w:instrText>
      </w:r>
      <w:r>
        <w:fldChar w:fldCharType="separate"/>
      </w:r>
      <w:r w:rsidR="00AA10F4">
        <w:t xml:space="preserve">Table </w:t>
      </w:r>
      <w:r w:rsidR="00AA10F4">
        <w:rPr>
          <w:noProof/>
        </w:rPr>
        <w:t>20</w:t>
      </w:r>
      <w:r>
        <w:fldChar w:fldCharType="end"/>
      </w:r>
      <w:r>
        <w:t xml:space="preserve"> presents the ex ante, verified gross, and verified net gas savings achieved through the BOC </w:t>
      </w:r>
      <w:r w:rsidR="00521F3D">
        <w:t xml:space="preserve">Training </w:t>
      </w:r>
      <w:r>
        <w:t>channel in 2024.</w:t>
      </w:r>
      <w:r w:rsidR="00E614E9">
        <w:t xml:space="preserve"> </w:t>
      </w:r>
      <w:r w:rsidR="00E614E9" w:rsidRPr="00E614E9">
        <w:t>The gross realization rate for electric energy savings is 8</w:t>
      </w:r>
      <w:r w:rsidR="00E614E9">
        <w:t>6</w:t>
      </w:r>
      <w:r w:rsidR="00E614E9" w:rsidRPr="00E614E9">
        <w:t xml:space="preserve">%. Overall, the channel produced </w:t>
      </w:r>
      <w:r w:rsidR="00E614E9">
        <w:t>48</w:t>
      </w:r>
      <w:r w:rsidR="00E614E9" w:rsidRPr="00E614E9">
        <w:t>% more verified net electric energy savings in 2024 compared to 2023</w:t>
      </w:r>
    </w:p>
    <w:p w14:paraId="6373C4EB" w14:textId="2FB1C8F0" w:rsidR="0003099F" w:rsidRDefault="0003099F" w:rsidP="00881B1B">
      <w:pPr>
        <w:pStyle w:val="Caption"/>
      </w:pPr>
      <w:bookmarkStart w:id="100" w:name="_Ref187236127"/>
      <w:bookmarkStart w:id="101" w:name="_Toc191992541"/>
      <w:bookmarkStart w:id="102" w:name="_Toc192766954"/>
      <w:r>
        <w:t xml:space="preserve">Table </w:t>
      </w:r>
      <w:r w:rsidR="009B4C9A">
        <w:fldChar w:fldCharType="begin"/>
      </w:r>
      <w:r w:rsidR="009B4C9A">
        <w:instrText xml:space="preserve"> SEQ Table \* ARABIC </w:instrText>
      </w:r>
      <w:r w:rsidR="009B4C9A">
        <w:fldChar w:fldCharType="separate"/>
      </w:r>
      <w:r w:rsidR="00AA10F4">
        <w:rPr>
          <w:noProof/>
        </w:rPr>
        <w:t>20</w:t>
      </w:r>
      <w:r w:rsidR="009B4C9A">
        <w:rPr>
          <w:noProof/>
        </w:rPr>
        <w:fldChar w:fldCharType="end"/>
      </w:r>
      <w:bookmarkEnd w:id="100"/>
      <w:r>
        <w:t>. 2024 BOC</w:t>
      </w:r>
      <w:r w:rsidR="00521F3D">
        <w:t xml:space="preserve"> Training</w:t>
      </w:r>
      <w:r>
        <w:t xml:space="preserve"> Channel Gas Savings by Measure</w:t>
      </w:r>
      <w:bookmarkEnd w:id="101"/>
      <w:bookmarkEnd w:id="10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896423" w14:paraId="69464919" w14:textId="77777777" w:rsidTr="00CE7C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B92055C" w14:textId="1B5417C9" w:rsidR="00896423" w:rsidRDefault="00896423" w:rsidP="00896423">
            <w:pPr>
              <w:pStyle w:val="TableHeadingLeft"/>
            </w:pPr>
            <w:r>
              <w:t>Participant Number</w:t>
            </w:r>
          </w:p>
        </w:tc>
        <w:tc>
          <w:tcPr>
            <w:tcW w:w="1849" w:type="dxa"/>
            <w:tcBorders>
              <w:bottom w:val="none" w:sz="0" w:space="0" w:color="auto"/>
            </w:tcBorders>
          </w:tcPr>
          <w:p w14:paraId="6BE4662C"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849" w:type="dxa"/>
            <w:tcBorders>
              <w:bottom w:val="none" w:sz="0" w:space="0" w:color="auto"/>
            </w:tcBorders>
          </w:tcPr>
          <w:p w14:paraId="34309853"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4750892F"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850" w:type="dxa"/>
            <w:tcBorders>
              <w:bottom w:val="none" w:sz="0" w:space="0" w:color="auto"/>
            </w:tcBorders>
          </w:tcPr>
          <w:p w14:paraId="77ABB287"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10ECD8CF" w14:textId="77777777" w:rsidR="00896423" w:rsidRDefault="00896423" w:rsidP="00896423">
            <w:pPr>
              <w:pStyle w:val="TableHeadingCentered"/>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623F06" w14:paraId="007D2FAD"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7C08DBD" w14:textId="464EDFAE" w:rsidR="00623F06" w:rsidRDefault="00623F06" w:rsidP="00623F06">
            <w:pPr>
              <w:pStyle w:val="TableLeftText"/>
            </w:pPr>
            <w:r w:rsidRPr="006B009E">
              <w:t>2401320</w:t>
            </w:r>
          </w:p>
        </w:tc>
        <w:tc>
          <w:tcPr>
            <w:tcW w:w="1849" w:type="dxa"/>
            <w:tcBorders>
              <w:top w:val="none" w:sz="0" w:space="0" w:color="auto"/>
              <w:left w:val="none" w:sz="0" w:space="0" w:color="auto"/>
              <w:bottom w:val="none" w:sz="0" w:space="0" w:color="auto"/>
              <w:right w:val="none" w:sz="0" w:space="0" w:color="auto"/>
            </w:tcBorders>
          </w:tcPr>
          <w:p w14:paraId="710A69B1" w14:textId="53BC7A4E"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c>
          <w:tcPr>
            <w:tcW w:w="1849" w:type="dxa"/>
            <w:tcBorders>
              <w:top w:val="none" w:sz="0" w:space="0" w:color="auto"/>
              <w:left w:val="none" w:sz="0" w:space="0" w:color="auto"/>
              <w:bottom w:val="none" w:sz="0" w:space="0" w:color="auto"/>
              <w:right w:val="none" w:sz="0" w:space="0" w:color="auto"/>
            </w:tcBorders>
          </w:tcPr>
          <w:p w14:paraId="3785A9EE" w14:textId="01202C30"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100%</w:t>
            </w:r>
          </w:p>
        </w:tc>
        <w:tc>
          <w:tcPr>
            <w:tcW w:w="1849" w:type="dxa"/>
            <w:tcBorders>
              <w:top w:val="none" w:sz="0" w:space="0" w:color="auto"/>
              <w:left w:val="none" w:sz="0" w:space="0" w:color="auto"/>
              <w:bottom w:val="none" w:sz="0" w:space="0" w:color="auto"/>
              <w:right w:val="none" w:sz="0" w:space="0" w:color="auto"/>
            </w:tcBorders>
          </w:tcPr>
          <w:p w14:paraId="1DD4E867" w14:textId="5E6492A2"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c>
          <w:tcPr>
            <w:tcW w:w="1850" w:type="dxa"/>
            <w:tcBorders>
              <w:top w:val="none" w:sz="0" w:space="0" w:color="auto"/>
              <w:left w:val="none" w:sz="0" w:space="0" w:color="auto"/>
              <w:bottom w:val="none" w:sz="0" w:space="0" w:color="auto"/>
              <w:right w:val="none" w:sz="0" w:space="0" w:color="auto"/>
            </w:tcBorders>
          </w:tcPr>
          <w:p w14:paraId="0BE48233" w14:textId="4483A137"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N/A</w:t>
            </w:r>
          </w:p>
        </w:tc>
        <w:tc>
          <w:tcPr>
            <w:tcW w:w="1850" w:type="dxa"/>
            <w:tcBorders>
              <w:top w:val="none" w:sz="0" w:space="0" w:color="auto"/>
              <w:left w:val="none" w:sz="0" w:space="0" w:color="auto"/>
              <w:bottom w:val="none" w:sz="0" w:space="0" w:color="auto"/>
              <w:right w:val="none" w:sz="0" w:space="0" w:color="auto"/>
            </w:tcBorders>
          </w:tcPr>
          <w:p w14:paraId="58639CA4" w14:textId="2B7BCDB4"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r>
      <w:tr w:rsidR="00623F06" w14:paraId="62DB9DCD"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5D9AA922" w14:textId="0E0AFEBE" w:rsidR="00623F06" w:rsidRDefault="00623F06" w:rsidP="00623F06">
            <w:pPr>
              <w:pStyle w:val="TableLeftText"/>
            </w:pPr>
            <w:r w:rsidRPr="006B009E">
              <w:t>2401321</w:t>
            </w:r>
          </w:p>
        </w:tc>
        <w:tc>
          <w:tcPr>
            <w:tcW w:w="1849" w:type="dxa"/>
            <w:tcBorders>
              <w:top w:val="none" w:sz="0" w:space="0" w:color="auto"/>
              <w:left w:val="none" w:sz="0" w:space="0" w:color="auto"/>
              <w:bottom w:val="none" w:sz="0" w:space="0" w:color="auto"/>
              <w:right w:val="none" w:sz="0" w:space="0" w:color="auto"/>
            </w:tcBorders>
          </w:tcPr>
          <w:p w14:paraId="11575A6B" w14:textId="5E1ED41B"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4E6724">
              <w:t>2,300</w:t>
            </w:r>
          </w:p>
        </w:tc>
        <w:tc>
          <w:tcPr>
            <w:tcW w:w="1849" w:type="dxa"/>
            <w:tcBorders>
              <w:top w:val="none" w:sz="0" w:space="0" w:color="auto"/>
              <w:left w:val="none" w:sz="0" w:space="0" w:color="auto"/>
              <w:bottom w:val="none" w:sz="0" w:space="0" w:color="auto"/>
              <w:right w:val="none" w:sz="0" w:space="0" w:color="auto"/>
            </w:tcBorders>
          </w:tcPr>
          <w:p w14:paraId="5F346A60" w14:textId="4994793B"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4E6724">
              <w:t>100%</w:t>
            </w:r>
          </w:p>
        </w:tc>
        <w:tc>
          <w:tcPr>
            <w:tcW w:w="1849" w:type="dxa"/>
            <w:tcBorders>
              <w:top w:val="none" w:sz="0" w:space="0" w:color="auto"/>
              <w:left w:val="none" w:sz="0" w:space="0" w:color="auto"/>
              <w:bottom w:val="none" w:sz="0" w:space="0" w:color="auto"/>
              <w:right w:val="none" w:sz="0" w:space="0" w:color="auto"/>
            </w:tcBorders>
          </w:tcPr>
          <w:p w14:paraId="78E1C4DB" w14:textId="55C48A7A"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4E6724">
              <w:t>2,300</w:t>
            </w:r>
          </w:p>
        </w:tc>
        <w:tc>
          <w:tcPr>
            <w:tcW w:w="1850" w:type="dxa"/>
            <w:tcBorders>
              <w:top w:val="none" w:sz="0" w:space="0" w:color="auto"/>
              <w:left w:val="none" w:sz="0" w:space="0" w:color="auto"/>
              <w:bottom w:val="none" w:sz="0" w:space="0" w:color="auto"/>
              <w:right w:val="none" w:sz="0" w:space="0" w:color="auto"/>
            </w:tcBorders>
          </w:tcPr>
          <w:p w14:paraId="0849F98D" w14:textId="7E9D482A"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4E6724">
              <w:t>N/A</w:t>
            </w:r>
          </w:p>
        </w:tc>
        <w:tc>
          <w:tcPr>
            <w:tcW w:w="1850" w:type="dxa"/>
            <w:tcBorders>
              <w:top w:val="none" w:sz="0" w:space="0" w:color="auto"/>
              <w:left w:val="none" w:sz="0" w:space="0" w:color="auto"/>
              <w:bottom w:val="none" w:sz="0" w:space="0" w:color="auto"/>
              <w:right w:val="none" w:sz="0" w:space="0" w:color="auto"/>
            </w:tcBorders>
          </w:tcPr>
          <w:p w14:paraId="18F75098" w14:textId="0A89EE6A"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pPr>
            <w:r w:rsidRPr="004E6724">
              <w:t>2,300</w:t>
            </w:r>
          </w:p>
        </w:tc>
      </w:tr>
      <w:tr w:rsidR="00623F06" w:rsidRPr="00EE3D49" w14:paraId="555CBB66"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E419F5C" w14:textId="3F1D03A2" w:rsidR="00623F06" w:rsidRPr="00EE3D49" w:rsidRDefault="00623F06" w:rsidP="00623F06">
            <w:pPr>
              <w:pStyle w:val="TableLeftText"/>
              <w:rPr>
                <w:b/>
                <w:bCs/>
              </w:rPr>
            </w:pPr>
            <w:r w:rsidRPr="006B009E">
              <w:t>2401322</w:t>
            </w:r>
          </w:p>
        </w:tc>
        <w:tc>
          <w:tcPr>
            <w:tcW w:w="1849" w:type="dxa"/>
            <w:tcBorders>
              <w:top w:val="none" w:sz="0" w:space="0" w:color="auto"/>
              <w:left w:val="none" w:sz="0" w:space="0" w:color="auto"/>
              <w:bottom w:val="none" w:sz="0" w:space="0" w:color="auto"/>
              <w:right w:val="none" w:sz="0" w:space="0" w:color="auto"/>
            </w:tcBorders>
          </w:tcPr>
          <w:p w14:paraId="568B56C0" w14:textId="61FEF9D6" w:rsidR="00623F06" w:rsidRPr="00245BE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c>
          <w:tcPr>
            <w:tcW w:w="1849" w:type="dxa"/>
            <w:tcBorders>
              <w:top w:val="none" w:sz="0" w:space="0" w:color="auto"/>
              <w:left w:val="none" w:sz="0" w:space="0" w:color="auto"/>
              <w:bottom w:val="none" w:sz="0" w:space="0" w:color="auto"/>
              <w:right w:val="none" w:sz="0" w:space="0" w:color="auto"/>
            </w:tcBorders>
          </w:tcPr>
          <w:p w14:paraId="3A8BE4C8" w14:textId="1BCA40E4" w:rsidR="00623F06" w:rsidRPr="00245BE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100%</w:t>
            </w:r>
          </w:p>
        </w:tc>
        <w:tc>
          <w:tcPr>
            <w:tcW w:w="1849" w:type="dxa"/>
            <w:tcBorders>
              <w:top w:val="none" w:sz="0" w:space="0" w:color="auto"/>
              <w:left w:val="none" w:sz="0" w:space="0" w:color="auto"/>
              <w:bottom w:val="none" w:sz="0" w:space="0" w:color="auto"/>
              <w:right w:val="none" w:sz="0" w:space="0" w:color="auto"/>
            </w:tcBorders>
          </w:tcPr>
          <w:p w14:paraId="23D4AF1D" w14:textId="52956E37" w:rsidR="00623F06" w:rsidRPr="00245BE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c>
          <w:tcPr>
            <w:tcW w:w="1850" w:type="dxa"/>
            <w:tcBorders>
              <w:top w:val="none" w:sz="0" w:space="0" w:color="auto"/>
              <w:left w:val="none" w:sz="0" w:space="0" w:color="auto"/>
              <w:bottom w:val="none" w:sz="0" w:space="0" w:color="auto"/>
              <w:right w:val="none" w:sz="0" w:space="0" w:color="auto"/>
            </w:tcBorders>
          </w:tcPr>
          <w:p w14:paraId="314EB8F0" w14:textId="4F9DB964" w:rsidR="00623F06" w:rsidRPr="00245BE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N/A</w:t>
            </w:r>
          </w:p>
        </w:tc>
        <w:tc>
          <w:tcPr>
            <w:tcW w:w="1850" w:type="dxa"/>
            <w:tcBorders>
              <w:top w:val="none" w:sz="0" w:space="0" w:color="auto"/>
              <w:left w:val="none" w:sz="0" w:space="0" w:color="auto"/>
              <w:bottom w:val="none" w:sz="0" w:space="0" w:color="auto"/>
              <w:right w:val="none" w:sz="0" w:space="0" w:color="auto"/>
            </w:tcBorders>
          </w:tcPr>
          <w:p w14:paraId="34199B04" w14:textId="1198BFB6" w:rsidR="00623F06" w:rsidRPr="00245BE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pPr>
            <w:r w:rsidRPr="004E6724">
              <w:t>2,300</w:t>
            </w:r>
          </w:p>
        </w:tc>
      </w:tr>
      <w:tr w:rsidR="00623F06" w:rsidRPr="00EE3D49" w14:paraId="74310631"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788B64F" w14:textId="572136CA" w:rsidR="00623F06" w:rsidRPr="00EE3D49" w:rsidRDefault="00623F06" w:rsidP="00623F06">
            <w:pPr>
              <w:pStyle w:val="TableLeftText"/>
              <w:rPr>
                <w:b/>
                <w:bCs/>
              </w:rPr>
            </w:pPr>
            <w:r w:rsidRPr="006B009E">
              <w:t>2401324</w:t>
            </w:r>
          </w:p>
        </w:tc>
        <w:tc>
          <w:tcPr>
            <w:tcW w:w="1849" w:type="dxa"/>
            <w:tcBorders>
              <w:top w:val="none" w:sz="0" w:space="0" w:color="auto"/>
              <w:left w:val="none" w:sz="0" w:space="0" w:color="auto"/>
              <w:bottom w:val="none" w:sz="0" w:space="0" w:color="auto"/>
              <w:right w:val="none" w:sz="0" w:space="0" w:color="auto"/>
            </w:tcBorders>
          </w:tcPr>
          <w:p w14:paraId="12C6BFC8" w14:textId="2BFF569A"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c>
          <w:tcPr>
            <w:tcW w:w="1849" w:type="dxa"/>
            <w:tcBorders>
              <w:top w:val="none" w:sz="0" w:space="0" w:color="auto"/>
              <w:left w:val="none" w:sz="0" w:space="0" w:color="auto"/>
              <w:bottom w:val="none" w:sz="0" w:space="0" w:color="auto"/>
              <w:right w:val="none" w:sz="0" w:space="0" w:color="auto"/>
            </w:tcBorders>
          </w:tcPr>
          <w:p w14:paraId="6DB80F48" w14:textId="7DAA0F3C"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100%</w:t>
            </w:r>
          </w:p>
        </w:tc>
        <w:tc>
          <w:tcPr>
            <w:tcW w:w="1849" w:type="dxa"/>
            <w:tcBorders>
              <w:top w:val="none" w:sz="0" w:space="0" w:color="auto"/>
              <w:left w:val="none" w:sz="0" w:space="0" w:color="auto"/>
              <w:bottom w:val="none" w:sz="0" w:space="0" w:color="auto"/>
              <w:right w:val="none" w:sz="0" w:space="0" w:color="auto"/>
            </w:tcBorders>
          </w:tcPr>
          <w:p w14:paraId="492F1CC4" w14:textId="001760F8"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c>
          <w:tcPr>
            <w:tcW w:w="1850" w:type="dxa"/>
            <w:tcBorders>
              <w:top w:val="none" w:sz="0" w:space="0" w:color="auto"/>
              <w:left w:val="none" w:sz="0" w:space="0" w:color="auto"/>
              <w:bottom w:val="none" w:sz="0" w:space="0" w:color="auto"/>
              <w:right w:val="none" w:sz="0" w:space="0" w:color="auto"/>
            </w:tcBorders>
          </w:tcPr>
          <w:p w14:paraId="2F6F5C5A" w14:textId="1BEFBA6D" w:rsidR="00623F06" w:rsidRPr="0095523D"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N/A</w:t>
            </w:r>
          </w:p>
        </w:tc>
        <w:tc>
          <w:tcPr>
            <w:tcW w:w="1850" w:type="dxa"/>
            <w:tcBorders>
              <w:top w:val="none" w:sz="0" w:space="0" w:color="auto"/>
              <w:left w:val="none" w:sz="0" w:space="0" w:color="auto"/>
              <w:bottom w:val="none" w:sz="0" w:space="0" w:color="auto"/>
              <w:right w:val="none" w:sz="0" w:space="0" w:color="auto"/>
            </w:tcBorders>
          </w:tcPr>
          <w:p w14:paraId="5E36B7AB" w14:textId="56CFA125"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r>
      <w:tr w:rsidR="00623F06" w:rsidRPr="00EE3D49" w14:paraId="4EA18BE6"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7C7754C" w14:textId="303FD487" w:rsidR="00623F06" w:rsidRPr="00EE3D49" w:rsidRDefault="00623F06" w:rsidP="00623F06">
            <w:pPr>
              <w:pStyle w:val="TableLeftText"/>
              <w:rPr>
                <w:b/>
                <w:bCs/>
              </w:rPr>
            </w:pPr>
            <w:r w:rsidRPr="006B009E">
              <w:t>2401326</w:t>
            </w:r>
          </w:p>
        </w:tc>
        <w:tc>
          <w:tcPr>
            <w:tcW w:w="1849" w:type="dxa"/>
            <w:tcBorders>
              <w:top w:val="none" w:sz="0" w:space="0" w:color="auto"/>
              <w:left w:val="none" w:sz="0" w:space="0" w:color="auto"/>
              <w:bottom w:val="none" w:sz="0" w:space="0" w:color="auto"/>
              <w:right w:val="none" w:sz="0" w:space="0" w:color="auto"/>
            </w:tcBorders>
          </w:tcPr>
          <w:p w14:paraId="59EBA2E0" w14:textId="7665DCBC"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4E6724">
              <w:t>2,300</w:t>
            </w:r>
          </w:p>
        </w:tc>
        <w:tc>
          <w:tcPr>
            <w:tcW w:w="1849" w:type="dxa"/>
            <w:tcBorders>
              <w:top w:val="none" w:sz="0" w:space="0" w:color="auto"/>
              <w:left w:val="none" w:sz="0" w:space="0" w:color="auto"/>
              <w:bottom w:val="none" w:sz="0" w:space="0" w:color="auto"/>
              <w:right w:val="none" w:sz="0" w:space="0" w:color="auto"/>
            </w:tcBorders>
          </w:tcPr>
          <w:p w14:paraId="3FD4430B" w14:textId="3CD1FF66"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4E6724">
              <w:t>100%</w:t>
            </w:r>
          </w:p>
        </w:tc>
        <w:tc>
          <w:tcPr>
            <w:tcW w:w="1849" w:type="dxa"/>
            <w:tcBorders>
              <w:top w:val="none" w:sz="0" w:space="0" w:color="auto"/>
              <w:left w:val="none" w:sz="0" w:space="0" w:color="auto"/>
              <w:bottom w:val="none" w:sz="0" w:space="0" w:color="auto"/>
              <w:right w:val="none" w:sz="0" w:space="0" w:color="auto"/>
            </w:tcBorders>
          </w:tcPr>
          <w:p w14:paraId="4D1CC467" w14:textId="5F3FC37F"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4E6724">
              <w:t>2,300</w:t>
            </w:r>
          </w:p>
        </w:tc>
        <w:tc>
          <w:tcPr>
            <w:tcW w:w="1850" w:type="dxa"/>
            <w:tcBorders>
              <w:top w:val="none" w:sz="0" w:space="0" w:color="auto"/>
              <w:left w:val="none" w:sz="0" w:space="0" w:color="auto"/>
              <w:bottom w:val="none" w:sz="0" w:space="0" w:color="auto"/>
              <w:right w:val="none" w:sz="0" w:space="0" w:color="auto"/>
            </w:tcBorders>
          </w:tcPr>
          <w:p w14:paraId="63A7813A" w14:textId="2C3BB801" w:rsidR="00623F06" w:rsidRPr="0095523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4E6724">
              <w:t>N/A</w:t>
            </w:r>
          </w:p>
        </w:tc>
        <w:tc>
          <w:tcPr>
            <w:tcW w:w="1850" w:type="dxa"/>
            <w:tcBorders>
              <w:top w:val="none" w:sz="0" w:space="0" w:color="auto"/>
              <w:left w:val="none" w:sz="0" w:space="0" w:color="auto"/>
              <w:bottom w:val="none" w:sz="0" w:space="0" w:color="auto"/>
              <w:right w:val="none" w:sz="0" w:space="0" w:color="auto"/>
            </w:tcBorders>
          </w:tcPr>
          <w:p w14:paraId="2C1577CC" w14:textId="0A0EC22D"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4E6724">
              <w:t>2,300</w:t>
            </w:r>
          </w:p>
        </w:tc>
      </w:tr>
      <w:tr w:rsidR="00623F06" w:rsidRPr="00EE3D49" w14:paraId="3CD63F49"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2680D8A3" w14:textId="1BC8FD29" w:rsidR="00623F06" w:rsidRPr="00EE3D49" w:rsidRDefault="00623F06" w:rsidP="00623F06">
            <w:pPr>
              <w:pStyle w:val="TableLeftText"/>
              <w:rPr>
                <w:b/>
                <w:bCs/>
              </w:rPr>
            </w:pPr>
            <w:r w:rsidRPr="006B009E">
              <w:t>2401327</w:t>
            </w:r>
          </w:p>
        </w:tc>
        <w:tc>
          <w:tcPr>
            <w:tcW w:w="1849" w:type="dxa"/>
            <w:tcBorders>
              <w:top w:val="none" w:sz="0" w:space="0" w:color="auto"/>
              <w:left w:val="none" w:sz="0" w:space="0" w:color="auto"/>
              <w:bottom w:val="none" w:sz="0" w:space="0" w:color="auto"/>
              <w:right w:val="none" w:sz="0" w:space="0" w:color="auto"/>
            </w:tcBorders>
          </w:tcPr>
          <w:p w14:paraId="3803B623" w14:textId="733BFA95"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c>
          <w:tcPr>
            <w:tcW w:w="1849" w:type="dxa"/>
            <w:tcBorders>
              <w:top w:val="none" w:sz="0" w:space="0" w:color="auto"/>
              <w:left w:val="none" w:sz="0" w:space="0" w:color="auto"/>
              <w:bottom w:val="none" w:sz="0" w:space="0" w:color="auto"/>
              <w:right w:val="none" w:sz="0" w:space="0" w:color="auto"/>
            </w:tcBorders>
          </w:tcPr>
          <w:p w14:paraId="016F3D27" w14:textId="5F0915D8"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100%</w:t>
            </w:r>
          </w:p>
        </w:tc>
        <w:tc>
          <w:tcPr>
            <w:tcW w:w="1849" w:type="dxa"/>
            <w:tcBorders>
              <w:top w:val="none" w:sz="0" w:space="0" w:color="auto"/>
              <w:left w:val="none" w:sz="0" w:space="0" w:color="auto"/>
              <w:bottom w:val="none" w:sz="0" w:space="0" w:color="auto"/>
              <w:right w:val="none" w:sz="0" w:space="0" w:color="auto"/>
            </w:tcBorders>
          </w:tcPr>
          <w:p w14:paraId="2389ABE1" w14:textId="7A97F913"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c>
          <w:tcPr>
            <w:tcW w:w="1850" w:type="dxa"/>
            <w:tcBorders>
              <w:top w:val="none" w:sz="0" w:space="0" w:color="auto"/>
              <w:left w:val="none" w:sz="0" w:space="0" w:color="auto"/>
              <w:bottom w:val="none" w:sz="0" w:space="0" w:color="auto"/>
              <w:right w:val="none" w:sz="0" w:space="0" w:color="auto"/>
            </w:tcBorders>
          </w:tcPr>
          <w:p w14:paraId="73939EBE" w14:textId="333B468A" w:rsidR="00623F06" w:rsidRPr="0095523D"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N/A</w:t>
            </w:r>
          </w:p>
        </w:tc>
        <w:tc>
          <w:tcPr>
            <w:tcW w:w="1850" w:type="dxa"/>
            <w:tcBorders>
              <w:top w:val="none" w:sz="0" w:space="0" w:color="auto"/>
              <w:left w:val="none" w:sz="0" w:space="0" w:color="auto"/>
              <w:bottom w:val="none" w:sz="0" w:space="0" w:color="auto"/>
              <w:right w:val="none" w:sz="0" w:space="0" w:color="auto"/>
            </w:tcBorders>
          </w:tcPr>
          <w:p w14:paraId="013DD9B9" w14:textId="040DE0B2" w:rsidR="00623F06" w:rsidRPr="00EE3D49"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b/>
                <w:bCs/>
              </w:rPr>
            </w:pPr>
            <w:r w:rsidRPr="004E6724">
              <w:t>2,300</w:t>
            </w:r>
          </w:p>
        </w:tc>
      </w:tr>
      <w:tr w:rsidR="00623F06" w:rsidRPr="00EE3D49" w14:paraId="2BF51F29" w14:textId="77777777" w:rsidTr="00CE7C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0246AC64" w14:textId="08A4D7A1" w:rsidR="00623F06" w:rsidRPr="00EE3D49" w:rsidRDefault="00623F06" w:rsidP="00623F06">
            <w:pPr>
              <w:pStyle w:val="TableLeftText"/>
              <w:rPr>
                <w:b/>
                <w:bCs/>
              </w:rPr>
            </w:pPr>
            <w:r w:rsidRPr="006B009E">
              <w:lastRenderedPageBreak/>
              <w:t>2401329</w:t>
            </w:r>
          </w:p>
        </w:tc>
        <w:tc>
          <w:tcPr>
            <w:tcW w:w="1849" w:type="dxa"/>
            <w:tcBorders>
              <w:top w:val="none" w:sz="0" w:space="0" w:color="auto"/>
              <w:left w:val="none" w:sz="0" w:space="0" w:color="auto"/>
              <w:bottom w:val="none" w:sz="0" w:space="0" w:color="auto"/>
              <w:right w:val="none" w:sz="0" w:space="0" w:color="auto"/>
            </w:tcBorders>
          </w:tcPr>
          <w:p w14:paraId="6C50213D" w14:textId="116E01A1"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B4210C">
              <w:t>2,300</w:t>
            </w:r>
          </w:p>
        </w:tc>
        <w:tc>
          <w:tcPr>
            <w:tcW w:w="1849" w:type="dxa"/>
            <w:tcBorders>
              <w:top w:val="none" w:sz="0" w:space="0" w:color="auto"/>
              <w:left w:val="none" w:sz="0" w:space="0" w:color="auto"/>
              <w:bottom w:val="none" w:sz="0" w:space="0" w:color="auto"/>
              <w:right w:val="none" w:sz="0" w:space="0" w:color="auto"/>
            </w:tcBorders>
          </w:tcPr>
          <w:p w14:paraId="591801BE" w14:textId="44414977"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B4210C">
              <w:t>0%</w:t>
            </w:r>
          </w:p>
        </w:tc>
        <w:tc>
          <w:tcPr>
            <w:tcW w:w="1849" w:type="dxa"/>
            <w:tcBorders>
              <w:top w:val="none" w:sz="0" w:space="0" w:color="auto"/>
              <w:left w:val="none" w:sz="0" w:space="0" w:color="auto"/>
              <w:bottom w:val="none" w:sz="0" w:space="0" w:color="auto"/>
              <w:right w:val="none" w:sz="0" w:space="0" w:color="auto"/>
            </w:tcBorders>
          </w:tcPr>
          <w:p w14:paraId="0907CC0A" w14:textId="17AC3B1E"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B4210C">
              <w:t>0</w:t>
            </w:r>
          </w:p>
        </w:tc>
        <w:tc>
          <w:tcPr>
            <w:tcW w:w="1850" w:type="dxa"/>
            <w:tcBorders>
              <w:top w:val="none" w:sz="0" w:space="0" w:color="auto"/>
              <w:left w:val="none" w:sz="0" w:space="0" w:color="auto"/>
              <w:bottom w:val="none" w:sz="0" w:space="0" w:color="auto"/>
              <w:right w:val="none" w:sz="0" w:space="0" w:color="auto"/>
            </w:tcBorders>
          </w:tcPr>
          <w:p w14:paraId="0B2B5256" w14:textId="45649C0E" w:rsidR="00623F06" w:rsidRPr="0095523D"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B4210C">
              <w:t>N/A</w:t>
            </w:r>
          </w:p>
        </w:tc>
        <w:tc>
          <w:tcPr>
            <w:tcW w:w="1850" w:type="dxa"/>
            <w:tcBorders>
              <w:top w:val="none" w:sz="0" w:space="0" w:color="auto"/>
              <w:left w:val="none" w:sz="0" w:space="0" w:color="auto"/>
              <w:bottom w:val="none" w:sz="0" w:space="0" w:color="auto"/>
              <w:right w:val="none" w:sz="0" w:space="0" w:color="auto"/>
            </w:tcBorders>
          </w:tcPr>
          <w:p w14:paraId="18025149" w14:textId="3FC39ABB" w:rsidR="00623F06" w:rsidRPr="00EE3D49" w:rsidRDefault="00623F06" w:rsidP="00CE7C01">
            <w:pPr>
              <w:pStyle w:val="TableLeftText"/>
              <w:jc w:val="right"/>
              <w:cnfStyle w:val="000000100000" w:firstRow="0" w:lastRow="0" w:firstColumn="0" w:lastColumn="0" w:oddVBand="0" w:evenVBand="0" w:oddHBand="1" w:evenHBand="0" w:firstRowFirstColumn="0" w:firstRowLastColumn="0" w:lastRowFirstColumn="0" w:lastRowLastColumn="0"/>
              <w:rPr>
                <w:b/>
                <w:bCs/>
              </w:rPr>
            </w:pPr>
            <w:r w:rsidRPr="00B4210C">
              <w:t>0</w:t>
            </w:r>
          </w:p>
        </w:tc>
      </w:tr>
      <w:tr w:rsidR="00623F06" w:rsidRPr="00EE3D49" w14:paraId="639D9C87" w14:textId="77777777" w:rsidTr="00CE7C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75B91FDD" w14:textId="1E152877" w:rsidR="00623F06" w:rsidRPr="0064563C" w:rsidRDefault="00623F06" w:rsidP="00623F06">
            <w:pPr>
              <w:pStyle w:val="TableLeftText"/>
              <w:rPr>
                <w:rFonts w:ascii="Franklin Gothic Medium" w:hAnsi="Franklin Gothic Medium"/>
              </w:rPr>
            </w:pPr>
            <w:r w:rsidRPr="0064563C">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5A08556C" w14:textId="76EE0AA2" w:rsidR="00623F06" w:rsidRPr="0064563C"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16,100</w:t>
            </w:r>
          </w:p>
        </w:tc>
        <w:tc>
          <w:tcPr>
            <w:tcW w:w="1849" w:type="dxa"/>
            <w:tcBorders>
              <w:top w:val="none" w:sz="0" w:space="0" w:color="auto"/>
              <w:left w:val="none" w:sz="0" w:space="0" w:color="auto"/>
              <w:bottom w:val="none" w:sz="0" w:space="0" w:color="auto"/>
              <w:right w:val="none" w:sz="0" w:space="0" w:color="auto"/>
            </w:tcBorders>
          </w:tcPr>
          <w:p w14:paraId="0CC1FF0F" w14:textId="15F27E3F" w:rsidR="00623F06" w:rsidRPr="0064563C"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86%</w:t>
            </w:r>
          </w:p>
        </w:tc>
        <w:tc>
          <w:tcPr>
            <w:tcW w:w="1849" w:type="dxa"/>
            <w:tcBorders>
              <w:top w:val="none" w:sz="0" w:space="0" w:color="auto"/>
              <w:left w:val="none" w:sz="0" w:space="0" w:color="auto"/>
              <w:bottom w:val="none" w:sz="0" w:space="0" w:color="auto"/>
              <w:right w:val="none" w:sz="0" w:space="0" w:color="auto"/>
            </w:tcBorders>
          </w:tcPr>
          <w:p w14:paraId="0962885E" w14:textId="0321BE58" w:rsidR="00623F06" w:rsidRPr="0064563C"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13,800</w:t>
            </w:r>
          </w:p>
        </w:tc>
        <w:tc>
          <w:tcPr>
            <w:tcW w:w="1850" w:type="dxa"/>
            <w:tcBorders>
              <w:top w:val="none" w:sz="0" w:space="0" w:color="auto"/>
              <w:left w:val="none" w:sz="0" w:space="0" w:color="auto"/>
              <w:bottom w:val="none" w:sz="0" w:space="0" w:color="auto"/>
              <w:right w:val="none" w:sz="0" w:space="0" w:color="auto"/>
            </w:tcBorders>
          </w:tcPr>
          <w:p w14:paraId="24162E2E" w14:textId="6CE4619C" w:rsidR="00623F06" w:rsidRPr="0064563C"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N/A</w:t>
            </w:r>
          </w:p>
        </w:tc>
        <w:tc>
          <w:tcPr>
            <w:tcW w:w="1850" w:type="dxa"/>
            <w:tcBorders>
              <w:top w:val="none" w:sz="0" w:space="0" w:color="auto"/>
              <w:left w:val="none" w:sz="0" w:space="0" w:color="auto"/>
              <w:bottom w:val="none" w:sz="0" w:space="0" w:color="auto"/>
              <w:right w:val="none" w:sz="0" w:space="0" w:color="auto"/>
            </w:tcBorders>
          </w:tcPr>
          <w:p w14:paraId="01F65EC0" w14:textId="56EBB39F" w:rsidR="00623F06" w:rsidRPr="0064563C" w:rsidRDefault="00623F06" w:rsidP="00CE7C01">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64563C">
              <w:rPr>
                <w:rFonts w:ascii="Franklin Gothic Medium" w:hAnsi="Franklin Gothic Medium"/>
              </w:rPr>
              <w:t>13,800</w:t>
            </w:r>
          </w:p>
        </w:tc>
      </w:tr>
    </w:tbl>
    <w:p w14:paraId="5C325C2D" w14:textId="423685B7" w:rsidR="0003099F" w:rsidRDefault="0003099F" w:rsidP="002220FC">
      <w:pPr>
        <w:pStyle w:val="NoSpacing"/>
        <w:spacing w:before="240"/>
      </w:pPr>
      <w:r>
        <w:t xml:space="preserve">We discuss </w:t>
      </w:r>
      <w:r w:rsidR="00240463">
        <w:t xml:space="preserve">significant </w:t>
      </w:r>
      <w:r>
        <w:t>discrepancies between ex ante claims and the verified analysis below.</w:t>
      </w:r>
    </w:p>
    <w:p w14:paraId="13070431" w14:textId="216DEE1E" w:rsidR="0003099F" w:rsidRDefault="001F2C4E" w:rsidP="0003099F">
      <w:pPr>
        <w:pStyle w:val="ListBullet"/>
      </w:pPr>
      <w:r>
        <w:rPr>
          <w:b/>
          <w:bCs/>
        </w:rPr>
        <w:t xml:space="preserve">BOC Training: </w:t>
      </w:r>
      <w:r>
        <w:t xml:space="preserve">The realization rates for the 2024 BOC Training cohort are 88% for electric energy savings, 88% for demand savings, and 86% for natural gas savings. </w:t>
      </w:r>
    </w:p>
    <w:p w14:paraId="71893018" w14:textId="606F3C19" w:rsidR="00A9306B" w:rsidRDefault="001F2C4E" w:rsidP="00A72804">
      <w:pPr>
        <w:pStyle w:val="ListBullet2"/>
      </w:pPr>
      <w:r>
        <w:rPr>
          <w:b/>
          <w:bCs/>
        </w:rPr>
        <w:t xml:space="preserve">2401329: </w:t>
      </w:r>
      <w:r>
        <w:t xml:space="preserve">For trainee 2401329, the evaluation team could not verify the ex ante square footage listed in the program tracking data. Specifically, the square footage details in the backup documentation differed from the square footage </w:t>
      </w:r>
      <w:r w:rsidR="00F5042F">
        <w:t xml:space="preserve">value in the tracking data and </w:t>
      </w:r>
      <w:r w:rsidR="003D01A4">
        <w:t xml:space="preserve">from that </w:t>
      </w:r>
      <w:r>
        <w:t xml:space="preserve">applied in the ex ante </w:t>
      </w:r>
      <w:r w:rsidR="00F5042F">
        <w:t xml:space="preserve">savings </w:t>
      </w:r>
      <w:r>
        <w:t xml:space="preserve">calculations. </w:t>
      </w:r>
      <w:r w:rsidR="00F5042F">
        <w:t>The evaluation team</w:t>
      </w:r>
      <w:r>
        <w:t xml:space="preserve"> applied the square footage from the backup documentation in the verified calculations, which </w:t>
      </w:r>
      <w:r w:rsidR="00F5042F">
        <w:t>resulted in</w:t>
      </w:r>
      <w:r>
        <w:t xml:space="preserve"> a realization rate of 3% for electric energy and demand savings</w:t>
      </w:r>
      <w:r w:rsidR="00166C4D">
        <w:t>. In addition, the facility listed in the backup documentation does not receive AIC gas service. Therefore, the evaluation team did not calculate verified gas savings for the trainee, resulting in a</w:t>
      </w:r>
      <w:r>
        <w:t xml:space="preserve"> 0% </w:t>
      </w:r>
      <w:r w:rsidR="00166C4D">
        <w:t xml:space="preserve">realization rate </w:t>
      </w:r>
      <w:r>
        <w:t>for gas savings.</w:t>
      </w:r>
    </w:p>
    <w:p w14:paraId="524AACDF" w14:textId="32159778" w:rsidR="001F2C4E" w:rsidRDefault="001F2C4E" w:rsidP="00A72804">
      <w:pPr>
        <w:pStyle w:val="ListBullet2"/>
        <w:sectPr w:rsidR="001F2C4E" w:rsidSect="00B45EFD">
          <w:pgSz w:w="12240" w:h="15840" w:code="1"/>
          <w:pgMar w:top="567" w:right="567" w:bottom="567" w:left="567" w:header="567" w:footer="340" w:gutter="0"/>
          <w:cols w:space="708"/>
          <w:docGrid w:linePitch="360"/>
        </w:sectPr>
      </w:pPr>
    </w:p>
    <w:p w14:paraId="7E80A5C7" w14:textId="5CBFDF91" w:rsidR="006D0CB9" w:rsidRDefault="006D0CB9" w:rsidP="000071FF">
      <w:pPr>
        <w:pStyle w:val="Heading3"/>
        <w:tabs>
          <w:tab w:val="clear" w:pos="2160"/>
          <w:tab w:val="num" w:pos="1080"/>
        </w:tabs>
        <w:ind w:left="0"/>
      </w:pPr>
      <w:bookmarkStart w:id="103" w:name="_Toc191992416"/>
      <w:r>
        <w:lastRenderedPageBreak/>
        <w:t>Cumulative Persisting Annual Savings</w:t>
      </w:r>
      <w:bookmarkEnd w:id="103"/>
    </w:p>
    <w:p w14:paraId="570B20FE" w14:textId="4456EAD4" w:rsidR="00C055A3" w:rsidRPr="00C055A3" w:rsidRDefault="007C7122" w:rsidP="00C055A3">
      <w:r>
        <w:fldChar w:fldCharType="begin"/>
      </w:r>
      <w:r>
        <w:instrText xml:space="preserve"> REF _Ref187238521 \h </w:instrText>
      </w:r>
      <w:r>
        <w:fldChar w:fldCharType="separate"/>
      </w:r>
      <w:r w:rsidR="00AA10F4">
        <w:t xml:space="preserve">Table </w:t>
      </w:r>
      <w:r w:rsidR="00AA10F4">
        <w:rPr>
          <w:noProof/>
        </w:rPr>
        <w:t>21</w:t>
      </w:r>
      <w:r>
        <w:fldChar w:fldCharType="end"/>
      </w:r>
      <w:r w:rsidR="00C055A3">
        <w:t xml:space="preserve"> through</w:t>
      </w:r>
      <w:r>
        <w:t xml:space="preserve"> </w:t>
      </w:r>
      <w:r>
        <w:fldChar w:fldCharType="begin"/>
      </w:r>
      <w:r>
        <w:instrText xml:space="preserve"> REF _Ref187238527 \h </w:instrText>
      </w:r>
      <w:r>
        <w:fldChar w:fldCharType="separate"/>
      </w:r>
      <w:r w:rsidR="00AA10F4" w:rsidRPr="007C7122">
        <w:t xml:space="preserve">Table </w:t>
      </w:r>
      <w:r w:rsidR="00AA10F4">
        <w:rPr>
          <w:noProof/>
        </w:rPr>
        <w:t>24</w:t>
      </w:r>
      <w:r>
        <w:fldChar w:fldCharType="end"/>
      </w:r>
      <w:r w:rsidR="00C055A3">
        <w:t xml:space="preserve"> present CPAS and WAM</w:t>
      </w:r>
      <w:r w:rsidR="002220FC">
        <w:t>L</w:t>
      </w:r>
      <w:r w:rsidR="00C055A3">
        <w:t xml:space="preserve"> for the 2024 Standard Initiative by channel. The tables also include a summary of the measure-specific and total verified gross savings for the Initiative and respective channels, as well as CPAS in each year from 2024</w:t>
      </w:r>
      <w:r w:rsidR="003D01A4">
        <w:t>–</w:t>
      </w:r>
      <w:r w:rsidR="00C055A3">
        <w:t>2027.</w:t>
      </w:r>
      <w:r w:rsidR="00C055A3">
        <w:rPr>
          <w:rStyle w:val="FootnoteReference"/>
        </w:rPr>
        <w:footnoteReference w:id="20"/>
      </w:r>
      <w:r w:rsidR="00C055A3">
        <w:t xml:space="preserve"> The WAML for the Standard Initiative is </w:t>
      </w:r>
      <w:r w:rsidR="00B12D25">
        <w:t>12.8</w:t>
      </w:r>
      <w:r w:rsidR="00C055A3">
        <w:t xml:space="preserve"> years</w:t>
      </w:r>
      <w:r w:rsidR="003D01A4">
        <w:t>,</w:t>
      </w:r>
      <w:r w:rsidR="00C055A3">
        <w:t xml:space="preserve"> and the WAML for the Standard Core, Online Store, and BOC</w:t>
      </w:r>
      <w:r w:rsidR="00521F3D">
        <w:t xml:space="preserve"> Training </w:t>
      </w:r>
      <w:r w:rsidR="00C055A3">
        <w:t xml:space="preserve">channels are </w:t>
      </w:r>
      <w:r w:rsidR="001F2C4E">
        <w:t>12</w:t>
      </w:r>
      <w:r w:rsidR="00C055A3">
        <w:t>.</w:t>
      </w:r>
      <w:r w:rsidR="001F2C4E">
        <w:t>9</w:t>
      </w:r>
      <w:r w:rsidR="00C055A3">
        <w:t xml:space="preserve"> years, </w:t>
      </w:r>
      <w:r w:rsidR="001210D9">
        <w:t>10.5</w:t>
      </w:r>
      <w:r w:rsidR="00C055A3">
        <w:t xml:space="preserve"> years, and </w:t>
      </w:r>
      <w:r w:rsidR="001F2C4E">
        <w:t>13.0</w:t>
      </w:r>
      <w:r w:rsidR="00C055A3">
        <w:t xml:space="preserve"> years, respectively. </w:t>
      </w:r>
    </w:p>
    <w:p w14:paraId="6AF374B9" w14:textId="728BF6EB" w:rsidR="00A9306B" w:rsidRDefault="00A9306B" w:rsidP="00881B1B">
      <w:pPr>
        <w:pStyle w:val="Caption"/>
      </w:pPr>
      <w:bookmarkStart w:id="104" w:name="_Ref187238521"/>
      <w:bookmarkStart w:id="105" w:name="_Toc191992542"/>
      <w:bookmarkStart w:id="106" w:name="_Toc192766955"/>
      <w:r>
        <w:t xml:space="preserve">Table </w:t>
      </w:r>
      <w:r w:rsidR="009B4C9A">
        <w:fldChar w:fldCharType="begin"/>
      </w:r>
      <w:r w:rsidR="009B4C9A">
        <w:instrText xml:space="preserve"> SEQ Table \* ARABIC </w:instrText>
      </w:r>
      <w:r w:rsidR="009B4C9A">
        <w:fldChar w:fldCharType="separate"/>
      </w:r>
      <w:r w:rsidR="00AA10F4">
        <w:rPr>
          <w:noProof/>
        </w:rPr>
        <w:t>21</w:t>
      </w:r>
      <w:r w:rsidR="009B4C9A">
        <w:rPr>
          <w:noProof/>
        </w:rPr>
        <w:fldChar w:fldCharType="end"/>
      </w:r>
      <w:bookmarkEnd w:id="104"/>
      <w:r>
        <w:t>. 2024 Standard Initiative CPAS and WAML</w:t>
      </w:r>
      <w:bookmarkEnd w:id="105"/>
      <w:bookmarkEnd w:id="106"/>
    </w:p>
    <w:tbl>
      <w:tblPr>
        <w:tblStyle w:val="TableGrid"/>
        <w:tblW w:w="5000" w:type="pct"/>
        <w:tblLook w:val="04A0" w:firstRow="1" w:lastRow="0" w:firstColumn="1" w:lastColumn="0" w:noHBand="0" w:noVBand="1"/>
      </w:tblPr>
      <w:tblGrid>
        <w:gridCol w:w="1577"/>
        <w:gridCol w:w="813"/>
        <w:gridCol w:w="3827"/>
        <w:gridCol w:w="768"/>
        <w:gridCol w:w="903"/>
        <w:gridCol w:w="903"/>
        <w:gridCol w:w="903"/>
        <w:gridCol w:w="903"/>
        <w:gridCol w:w="341"/>
        <w:gridCol w:w="903"/>
        <w:gridCol w:w="344"/>
        <w:gridCol w:w="2521"/>
      </w:tblGrid>
      <w:tr w:rsidR="00A9306B" w14:paraId="4DCD808F" w14:textId="77777777" w:rsidTr="002F3C1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6" w:type="pct"/>
            <w:vMerge w:val="restart"/>
            <w:tcBorders>
              <w:bottom w:val="single" w:sz="4" w:space="0" w:color="4D4D4F"/>
            </w:tcBorders>
          </w:tcPr>
          <w:p w14:paraId="4F1579FA" w14:textId="563E13AD" w:rsidR="00A9306B" w:rsidRDefault="00896423" w:rsidP="008700F8">
            <w:pPr>
              <w:pStyle w:val="TableHeadingLeft"/>
            </w:pPr>
            <w:r>
              <w:t>Channel</w:t>
            </w:r>
          </w:p>
        </w:tc>
        <w:tc>
          <w:tcPr>
            <w:tcW w:w="276" w:type="pct"/>
            <w:vMerge w:val="restart"/>
            <w:tcBorders>
              <w:top w:val="single" w:sz="4" w:space="0" w:color="4D4D4F"/>
              <w:left w:val="single" w:sz="4" w:space="0" w:color="4D4D4F"/>
              <w:bottom w:val="single" w:sz="4" w:space="0" w:color="4D4D4F"/>
              <w:right w:val="single" w:sz="4" w:space="0" w:color="4D4D4F"/>
            </w:tcBorders>
          </w:tcPr>
          <w:p w14:paraId="05F550AE" w14:textId="77777777" w:rsidR="00A9306B" w:rsidRDefault="00A9306B" w:rsidP="008700F8">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301" w:type="pct"/>
            <w:vMerge w:val="restart"/>
            <w:tcBorders>
              <w:top w:val="single" w:sz="4" w:space="0" w:color="4D4D4F"/>
              <w:left w:val="single" w:sz="4" w:space="0" w:color="4D4D4F"/>
              <w:bottom w:val="single" w:sz="4" w:space="0" w:color="4D4D4F"/>
              <w:right w:val="single" w:sz="4" w:space="0" w:color="4D4D4F"/>
            </w:tcBorders>
          </w:tcPr>
          <w:p w14:paraId="2F24D171" w14:textId="77777777" w:rsidR="00A9306B" w:rsidRDefault="00A9306B"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61" w:type="pct"/>
            <w:vMerge w:val="restart"/>
            <w:tcBorders>
              <w:top w:val="single" w:sz="4" w:space="0" w:color="4D4D4F"/>
              <w:left w:val="single" w:sz="4" w:space="0" w:color="4D4D4F"/>
              <w:bottom w:val="single" w:sz="4" w:space="0" w:color="4D4D4F"/>
              <w:right w:val="single" w:sz="4" w:space="0" w:color="4D4D4F"/>
            </w:tcBorders>
          </w:tcPr>
          <w:p w14:paraId="3283B8AA" w14:textId="77777777" w:rsidR="00A9306B" w:rsidRDefault="00A9306B"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68" w:type="pct"/>
            <w:gridSpan w:val="7"/>
            <w:tcBorders>
              <w:top w:val="single" w:sz="4" w:space="0" w:color="4D4D4F"/>
              <w:left w:val="single" w:sz="4" w:space="0" w:color="4D4D4F"/>
              <w:bottom w:val="single" w:sz="4" w:space="0" w:color="4D4D4F"/>
              <w:right w:val="single" w:sz="4" w:space="0" w:color="4D4D4F"/>
            </w:tcBorders>
          </w:tcPr>
          <w:p w14:paraId="025018B8" w14:textId="77777777" w:rsidR="00A9306B" w:rsidRDefault="00A9306B"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57" w:type="pct"/>
            <w:vMerge w:val="restart"/>
            <w:tcBorders>
              <w:left w:val="single" w:sz="4" w:space="0" w:color="4D4D4F"/>
            </w:tcBorders>
          </w:tcPr>
          <w:p w14:paraId="55D0FED8" w14:textId="77777777" w:rsidR="00A9306B" w:rsidRDefault="00A9306B"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3C1E" w14:paraId="302ACE06" w14:textId="77777777" w:rsidTr="002F3C1E">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6" w:type="pct"/>
            <w:vMerge/>
          </w:tcPr>
          <w:p w14:paraId="5FC9C17E" w14:textId="77777777" w:rsidR="00A9306B" w:rsidRDefault="00A9306B" w:rsidP="008700F8"/>
        </w:tc>
        <w:tc>
          <w:tcPr>
            <w:tcW w:w="276" w:type="pct"/>
            <w:vMerge/>
          </w:tcPr>
          <w:p w14:paraId="5A10ECEB" w14:textId="77777777" w:rsidR="00A9306B" w:rsidRDefault="00A9306B" w:rsidP="008700F8">
            <w:pPr>
              <w:cnfStyle w:val="000000100000" w:firstRow="0" w:lastRow="0" w:firstColumn="0" w:lastColumn="0" w:oddVBand="0" w:evenVBand="0" w:oddHBand="1" w:evenHBand="0" w:firstRowFirstColumn="0" w:firstRowLastColumn="0" w:lastRowFirstColumn="0" w:lastRowLastColumn="0"/>
            </w:pPr>
          </w:p>
        </w:tc>
        <w:tc>
          <w:tcPr>
            <w:tcW w:w="1301" w:type="pct"/>
            <w:vMerge/>
          </w:tcPr>
          <w:p w14:paraId="565DCDA9" w14:textId="77777777" w:rsidR="00A9306B" w:rsidRDefault="00A9306B" w:rsidP="008700F8">
            <w:pPr>
              <w:cnfStyle w:val="000000100000" w:firstRow="0" w:lastRow="0" w:firstColumn="0" w:lastColumn="0" w:oddVBand="0" w:evenVBand="0" w:oddHBand="1" w:evenHBand="0" w:firstRowFirstColumn="0" w:firstRowLastColumn="0" w:lastRowFirstColumn="0" w:lastRowLastColumn="0"/>
            </w:pPr>
          </w:p>
        </w:tc>
        <w:tc>
          <w:tcPr>
            <w:tcW w:w="261" w:type="pct"/>
            <w:vMerge/>
          </w:tcPr>
          <w:p w14:paraId="67A7A183" w14:textId="77777777" w:rsidR="00A9306B" w:rsidRDefault="00A9306B" w:rsidP="008700F8">
            <w:pPr>
              <w:cnfStyle w:val="000000100000" w:firstRow="0" w:lastRow="0" w:firstColumn="0" w:lastColumn="0" w:oddVBand="0" w:evenVBand="0" w:oddHBand="1" w:evenHBand="0" w:firstRowFirstColumn="0" w:firstRowLastColumn="0" w:lastRowFirstColumn="0" w:lastRowLastColumn="0"/>
            </w:pPr>
          </w:p>
        </w:tc>
        <w:tc>
          <w:tcPr>
            <w:tcW w:w="307" w:type="pct"/>
            <w:shd w:val="clear" w:color="auto" w:fill="053572" w:themeFill="text2"/>
          </w:tcPr>
          <w:p w14:paraId="24EC059E" w14:textId="77777777" w:rsidR="00A9306B" w:rsidRDefault="00A9306B"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07" w:type="pct"/>
            <w:shd w:val="clear" w:color="auto" w:fill="053572" w:themeFill="text2"/>
          </w:tcPr>
          <w:p w14:paraId="0DA04EE0" w14:textId="77777777" w:rsidR="00A9306B" w:rsidRDefault="00A9306B"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07" w:type="pct"/>
            <w:shd w:val="clear" w:color="auto" w:fill="053572" w:themeFill="text2"/>
          </w:tcPr>
          <w:p w14:paraId="59FE9DFF" w14:textId="77777777" w:rsidR="00A9306B" w:rsidRDefault="00A9306B"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07" w:type="pct"/>
            <w:shd w:val="clear" w:color="auto" w:fill="053572" w:themeFill="text2"/>
          </w:tcPr>
          <w:p w14:paraId="18002970" w14:textId="77777777" w:rsidR="00A9306B" w:rsidRDefault="00A9306B"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16" w:type="pct"/>
            <w:shd w:val="clear" w:color="auto" w:fill="053572" w:themeFill="text2"/>
          </w:tcPr>
          <w:p w14:paraId="59427372" w14:textId="77777777" w:rsidR="00A9306B" w:rsidRDefault="00A9306B"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07" w:type="pct"/>
            <w:shd w:val="clear" w:color="auto" w:fill="053572" w:themeFill="text2"/>
          </w:tcPr>
          <w:p w14:paraId="6553BA5F" w14:textId="77777777" w:rsidR="00A9306B" w:rsidRDefault="00A9306B"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16" w:type="pct"/>
            <w:shd w:val="clear" w:color="auto" w:fill="053572" w:themeFill="text2"/>
          </w:tcPr>
          <w:p w14:paraId="5821C62C" w14:textId="77777777" w:rsidR="00A9306B" w:rsidRDefault="00A9306B"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57" w:type="pct"/>
            <w:vMerge/>
          </w:tcPr>
          <w:p w14:paraId="22BC62E6" w14:textId="77777777" w:rsidR="00A9306B" w:rsidRDefault="00A9306B" w:rsidP="008700F8">
            <w:pPr>
              <w:cnfStyle w:val="000000100000" w:firstRow="0" w:lastRow="0" w:firstColumn="0" w:lastColumn="0" w:oddVBand="0" w:evenVBand="0" w:oddHBand="1" w:evenHBand="0" w:firstRowFirstColumn="0" w:firstRowLastColumn="0" w:lastRowFirstColumn="0" w:lastRowLastColumn="0"/>
            </w:pPr>
          </w:p>
        </w:tc>
      </w:tr>
      <w:tr w:rsidR="00B12D25" w14:paraId="6C04994E"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tcPr>
          <w:p w14:paraId="752E860E" w14:textId="1FC5DCE4" w:rsidR="00B12D25" w:rsidRDefault="00B12D25" w:rsidP="00B12D25">
            <w:r w:rsidRPr="00780204">
              <w:t>Standard</w:t>
            </w:r>
            <w:r>
              <w:t xml:space="preserve"> Core</w:t>
            </w:r>
          </w:p>
        </w:tc>
        <w:tc>
          <w:tcPr>
            <w:tcW w:w="276" w:type="pct"/>
          </w:tcPr>
          <w:p w14:paraId="14D9CB0A" w14:textId="0901E946"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t>12.9</w:t>
            </w:r>
          </w:p>
        </w:tc>
        <w:tc>
          <w:tcPr>
            <w:tcW w:w="1301" w:type="pct"/>
          </w:tcPr>
          <w:p w14:paraId="024EED2B" w14:textId="7483B032"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sidRPr="002C088B">
              <w:t>62,825</w:t>
            </w:r>
          </w:p>
        </w:tc>
        <w:tc>
          <w:tcPr>
            <w:tcW w:w="261" w:type="pct"/>
          </w:tcPr>
          <w:p w14:paraId="28ED3662" w14:textId="7EBB934E"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sidRPr="002C088B">
              <w:t>0.906</w:t>
            </w:r>
          </w:p>
        </w:tc>
        <w:tc>
          <w:tcPr>
            <w:tcW w:w="307" w:type="pct"/>
            <w:tcBorders>
              <w:left w:val="nil"/>
            </w:tcBorders>
          </w:tcPr>
          <w:p w14:paraId="2F4C0414" w14:textId="1D11D2A3"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56,903</w:t>
            </w:r>
          </w:p>
        </w:tc>
        <w:tc>
          <w:tcPr>
            <w:tcW w:w="307" w:type="pct"/>
            <w:tcBorders>
              <w:left w:val="nil"/>
            </w:tcBorders>
          </w:tcPr>
          <w:p w14:paraId="12453FC5" w14:textId="4FCA7135"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56,903</w:t>
            </w:r>
          </w:p>
        </w:tc>
        <w:tc>
          <w:tcPr>
            <w:tcW w:w="307" w:type="pct"/>
            <w:tcBorders>
              <w:left w:val="nil"/>
            </w:tcBorders>
          </w:tcPr>
          <w:p w14:paraId="05AC2D81" w14:textId="2465EEB9"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56,885</w:t>
            </w:r>
          </w:p>
        </w:tc>
        <w:tc>
          <w:tcPr>
            <w:tcW w:w="307" w:type="pct"/>
            <w:tcBorders>
              <w:left w:val="nil"/>
            </w:tcBorders>
          </w:tcPr>
          <w:p w14:paraId="395A6589" w14:textId="7583FB55"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56,715</w:t>
            </w:r>
          </w:p>
        </w:tc>
        <w:tc>
          <w:tcPr>
            <w:tcW w:w="116" w:type="pct"/>
          </w:tcPr>
          <w:p w14:paraId="5BF61109" w14:textId="77777777" w:rsidR="00B12D25" w:rsidRDefault="00B12D25" w:rsidP="002F3C1E">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307" w:type="pct"/>
            <w:tcBorders>
              <w:left w:val="nil"/>
            </w:tcBorders>
          </w:tcPr>
          <w:p w14:paraId="09F85F10" w14:textId="19C069A8"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55,813</w:t>
            </w:r>
          </w:p>
        </w:tc>
        <w:tc>
          <w:tcPr>
            <w:tcW w:w="116" w:type="pct"/>
          </w:tcPr>
          <w:p w14:paraId="1863A5A8" w14:textId="1200FD20" w:rsidR="00B12D25" w:rsidRDefault="00B12D25" w:rsidP="002F3C1E">
            <w:pPr>
              <w:jc w:val="center"/>
              <w:cnfStyle w:val="000000010000" w:firstRow="0" w:lastRow="0" w:firstColumn="0" w:lastColumn="0" w:oddVBand="0" w:evenVBand="0" w:oddHBand="0" w:evenHBand="1" w:firstRowFirstColumn="0" w:firstRowLastColumn="0" w:lastRowFirstColumn="0" w:lastRowLastColumn="0"/>
            </w:pPr>
            <w:r w:rsidRPr="00B8635C">
              <w:t>…</w:t>
            </w:r>
          </w:p>
        </w:tc>
        <w:tc>
          <w:tcPr>
            <w:tcW w:w="857" w:type="pct"/>
            <w:tcBorders>
              <w:top w:val="nil"/>
            </w:tcBorders>
          </w:tcPr>
          <w:p w14:paraId="41D6E464" w14:textId="2665EB30"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728,923</w:t>
            </w:r>
          </w:p>
        </w:tc>
      </w:tr>
      <w:tr w:rsidR="00B12D25" w14:paraId="136C54AE"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tcPr>
          <w:p w14:paraId="077A4265" w14:textId="3A3FF879" w:rsidR="00B12D25" w:rsidRDefault="00B12D25" w:rsidP="00B12D25">
            <w:r>
              <w:t>Online Store</w:t>
            </w:r>
          </w:p>
        </w:tc>
        <w:tc>
          <w:tcPr>
            <w:tcW w:w="276" w:type="pct"/>
          </w:tcPr>
          <w:p w14:paraId="7851D64F" w14:textId="0E1FBDDA"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t>10.5</w:t>
            </w:r>
          </w:p>
        </w:tc>
        <w:tc>
          <w:tcPr>
            <w:tcW w:w="1301" w:type="pct"/>
          </w:tcPr>
          <w:p w14:paraId="769788AF" w14:textId="407452DD"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t>2,439</w:t>
            </w:r>
          </w:p>
        </w:tc>
        <w:tc>
          <w:tcPr>
            <w:tcW w:w="261" w:type="pct"/>
          </w:tcPr>
          <w:p w14:paraId="2E63A8AC" w14:textId="479B574D"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t>0.963</w:t>
            </w:r>
          </w:p>
        </w:tc>
        <w:tc>
          <w:tcPr>
            <w:tcW w:w="307" w:type="pct"/>
            <w:tcBorders>
              <w:left w:val="nil"/>
            </w:tcBorders>
          </w:tcPr>
          <w:p w14:paraId="404A9524" w14:textId="634DDAB2"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2,349</w:t>
            </w:r>
          </w:p>
        </w:tc>
        <w:tc>
          <w:tcPr>
            <w:tcW w:w="307" w:type="pct"/>
            <w:tcBorders>
              <w:left w:val="nil"/>
            </w:tcBorders>
          </w:tcPr>
          <w:p w14:paraId="08486AEF" w14:textId="3CCBD161"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2,349</w:t>
            </w:r>
          </w:p>
        </w:tc>
        <w:tc>
          <w:tcPr>
            <w:tcW w:w="307" w:type="pct"/>
            <w:tcBorders>
              <w:left w:val="nil"/>
            </w:tcBorders>
          </w:tcPr>
          <w:p w14:paraId="5D3B1908" w14:textId="722C5399"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2,349</w:t>
            </w:r>
          </w:p>
        </w:tc>
        <w:tc>
          <w:tcPr>
            <w:tcW w:w="307" w:type="pct"/>
            <w:tcBorders>
              <w:left w:val="nil"/>
            </w:tcBorders>
          </w:tcPr>
          <w:p w14:paraId="3F3C2950" w14:textId="298FFADC"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2,349</w:t>
            </w:r>
          </w:p>
        </w:tc>
        <w:tc>
          <w:tcPr>
            <w:tcW w:w="116" w:type="pct"/>
          </w:tcPr>
          <w:p w14:paraId="0209C100" w14:textId="0199E3DE" w:rsidR="00B12D25" w:rsidRDefault="00B12D25" w:rsidP="002F3C1E">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307" w:type="pct"/>
            <w:tcBorders>
              <w:left w:val="nil"/>
            </w:tcBorders>
          </w:tcPr>
          <w:p w14:paraId="4B3DD5CC" w14:textId="35130E61"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2,349</w:t>
            </w:r>
          </w:p>
        </w:tc>
        <w:tc>
          <w:tcPr>
            <w:tcW w:w="116" w:type="pct"/>
          </w:tcPr>
          <w:p w14:paraId="1E3FC0D1" w14:textId="5AA2B385" w:rsidR="00B12D25" w:rsidRDefault="00B12D25" w:rsidP="002F3C1E">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857" w:type="pct"/>
            <w:tcBorders>
              <w:top w:val="nil"/>
            </w:tcBorders>
          </w:tcPr>
          <w:p w14:paraId="0ED4C3E8" w14:textId="2EFC65C8" w:rsidR="00B12D25" w:rsidRDefault="00B12D25" w:rsidP="00CE7C01">
            <w:pPr>
              <w:jc w:val="right"/>
              <w:cnfStyle w:val="000000100000" w:firstRow="0" w:lastRow="0" w:firstColumn="0" w:lastColumn="0" w:oddVBand="0" w:evenVBand="0" w:oddHBand="1" w:evenHBand="0" w:firstRowFirstColumn="0" w:firstRowLastColumn="0" w:lastRowFirstColumn="0" w:lastRowLastColumn="0"/>
            </w:pPr>
            <w:r>
              <w:rPr>
                <w:color w:val="4A4D56"/>
              </w:rPr>
              <w:t>24,390</w:t>
            </w:r>
          </w:p>
        </w:tc>
      </w:tr>
      <w:tr w:rsidR="00B12D25" w14:paraId="129B99F6" w14:textId="77777777" w:rsidTr="002F3C1E">
        <w:trPr>
          <w:cnfStyle w:val="000000010000" w:firstRow="0" w:lastRow="0" w:firstColumn="0" w:lastColumn="0" w:oddVBand="0" w:evenVBand="0" w:oddHBand="0" w:evenHBand="1"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36" w:type="pct"/>
          </w:tcPr>
          <w:p w14:paraId="3DF94FEF" w14:textId="1DBBB614" w:rsidR="00B12D25" w:rsidRDefault="00B12D25" w:rsidP="00B12D25">
            <w:r w:rsidRPr="006A3C98">
              <w:t>BOC</w:t>
            </w:r>
          </w:p>
        </w:tc>
        <w:tc>
          <w:tcPr>
            <w:tcW w:w="276" w:type="pct"/>
          </w:tcPr>
          <w:p w14:paraId="207C4A8F" w14:textId="04E733D1"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sidRPr="006A3C98">
              <w:t>13</w:t>
            </w:r>
            <w:r>
              <w:t>.0</w:t>
            </w:r>
          </w:p>
        </w:tc>
        <w:tc>
          <w:tcPr>
            <w:tcW w:w="1301" w:type="pct"/>
          </w:tcPr>
          <w:p w14:paraId="5B451568" w14:textId="64E76F1B"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sidRPr="006A3C98">
              <w:t>1,003</w:t>
            </w:r>
          </w:p>
        </w:tc>
        <w:tc>
          <w:tcPr>
            <w:tcW w:w="261" w:type="pct"/>
          </w:tcPr>
          <w:p w14:paraId="04531F3C" w14:textId="5E1A79FF"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sidRPr="006A3C98">
              <w:t>1.000</w:t>
            </w:r>
          </w:p>
        </w:tc>
        <w:tc>
          <w:tcPr>
            <w:tcW w:w="307" w:type="pct"/>
            <w:tcBorders>
              <w:left w:val="nil"/>
            </w:tcBorders>
          </w:tcPr>
          <w:p w14:paraId="03E1FC38" w14:textId="1397A184"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1,003</w:t>
            </w:r>
          </w:p>
        </w:tc>
        <w:tc>
          <w:tcPr>
            <w:tcW w:w="307" w:type="pct"/>
            <w:tcBorders>
              <w:left w:val="nil"/>
            </w:tcBorders>
          </w:tcPr>
          <w:p w14:paraId="0F95A565" w14:textId="3B1C0564"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1,003</w:t>
            </w:r>
          </w:p>
        </w:tc>
        <w:tc>
          <w:tcPr>
            <w:tcW w:w="307" w:type="pct"/>
            <w:tcBorders>
              <w:left w:val="nil"/>
            </w:tcBorders>
          </w:tcPr>
          <w:p w14:paraId="7AF6DE3E" w14:textId="3D07AF43"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1,003</w:t>
            </w:r>
          </w:p>
        </w:tc>
        <w:tc>
          <w:tcPr>
            <w:tcW w:w="307" w:type="pct"/>
            <w:tcBorders>
              <w:left w:val="nil"/>
            </w:tcBorders>
          </w:tcPr>
          <w:p w14:paraId="6BB8E675" w14:textId="6ADB6053"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1,003</w:t>
            </w:r>
          </w:p>
        </w:tc>
        <w:tc>
          <w:tcPr>
            <w:tcW w:w="116" w:type="pct"/>
          </w:tcPr>
          <w:p w14:paraId="2F6E131C" w14:textId="3E888E0D" w:rsidR="00B12D25" w:rsidRDefault="00B12D25" w:rsidP="002F3C1E">
            <w:pPr>
              <w:jc w:val="center"/>
              <w:cnfStyle w:val="000000010000" w:firstRow="0" w:lastRow="0" w:firstColumn="0" w:lastColumn="0" w:oddVBand="0" w:evenVBand="0" w:oddHBand="0" w:evenHBand="1" w:firstRowFirstColumn="0" w:firstRowLastColumn="0" w:lastRowFirstColumn="0" w:lastRowLastColumn="0"/>
            </w:pPr>
            <w:r w:rsidRPr="006A3C98">
              <w:t>…</w:t>
            </w:r>
          </w:p>
        </w:tc>
        <w:tc>
          <w:tcPr>
            <w:tcW w:w="307" w:type="pct"/>
            <w:tcBorders>
              <w:left w:val="nil"/>
            </w:tcBorders>
          </w:tcPr>
          <w:p w14:paraId="2CDFF5B6" w14:textId="34907F79"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582</w:t>
            </w:r>
          </w:p>
        </w:tc>
        <w:tc>
          <w:tcPr>
            <w:tcW w:w="116" w:type="pct"/>
          </w:tcPr>
          <w:p w14:paraId="26E2071C" w14:textId="3ED23486" w:rsidR="00B12D25" w:rsidRDefault="00B12D25" w:rsidP="002F3C1E">
            <w:pPr>
              <w:jc w:val="center"/>
              <w:cnfStyle w:val="000000010000" w:firstRow="0" w:lastRow="0" w:firstColumn="0" w:lastColumn="0" w:oddVBand="0" w:evenVBand="0" w:oddHBand="0" w:evenHBand="1" w:firstRowFirstColumn="0" w:firstRowLastColumn="0" w:lastRowFirstColumn="0" w:lastRowLastColumn="0"/>
            </w:pPr>
            <w:r w:rsidRPr="006A3C98">
              <w:t>…</w:t>
            </w:r>
          </w:p>
        </w:tc>
        <w:tc>
          <w:tcPr>
            <w:tcW w:w="857" w:type="pct"/>
            <w:tcBorders>
              <w:top w:val="nil"/>
            </w:tcBorders>
          </w:tcPr>
          <w:p w14:paraId="4837754B" w14:textId="23D97F3A" w:rsidR="00B12D25" w:rsidRDefault="00B12D25" w:rsidP="00CE7C01">
            <w:pPr>
              <w:jc w:val="right"/>
              <w:cnfStyle w:val="000000010000" w:firstRow="0" w:lastRow="0" w:firstColumn="0" w:lastColumn="0" w:oddVBand="0" w:evenVBand="0" w:oddHBand="0" w:evenHBand="1" w:firstRowFirstColumn="0" w:firstRowLastColumn="0" w:lastRowFirstColumn="0" w:lastRowLastColumn="0"/>
            </w:pPr>
            <w:r>
              <w:rPr>
                <w:color w:val="4A4D56"/>
              </w:rPr>
              <w:t>9,248</w:t>
            </w:r>
          </w:p>
        </w:tc>
      </w:tr>
      <w:tr w:rsidR="002F3C1E" w14:paraId="47166A16"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pct"/>
            <w:gridSpan w:val="2"/>
            <w:shd w:val="clear" w:color="auto" w:fill="D9D9D9" w:themeFill="background1" w:themeFillShade="D9"/>
            <w:vAlign w:val="top"/>
          </w:tcPr>
          <w:p w14:paraId="411AB2B8" w14:textId="5B5D4F28" w:rsidR="00B12D25" w:rsidRPr="00881B1B" w:rsidRDefault="00B12D25" w:rsidP="00B12D25">
            <w:pPr>
              <w:rPr>
                <w:rFonts w:ascii="Franklin Gothic Medium" w:hAnsi="Franklin Gothic Medium"/>
              </w:rPr>
            </w:pPr>
            <w:r w:rsidRPr="00881B1B">
              <w:rPr>
                <w:rFonts w:ascii="Franklin Gothic Medium" w:hAnsi="Franklin Gothic Medium"/>
              </w:rPr>
              <w:t>2024 CPAS</w:t>
            </w:r>
          </w:p>
        </w:tc>
        <w:tc>
          <w:tcPr>
            <w:tcW w:w="1301" w:type="pct"/>
            <w:shd w:val="clear" w:color="auto" w:fill="D9D9D9" w:themeFill="background1" w:themeFillShade="D9"/>
          </w:tcPr>
          <w:p w14:paraId="38471A35" w14:textId="75EFEE67"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66,267</w:t>
            </w:r>
          </w:p>
        </w:tc>
        <w:tc>
          <w:tcPr>
            <w:tcW w:w="261" w:type="pct"/>
            <w:shd w:val="clear" w:color="auto" w:fill="D9D9D9" w:themeFill="background1" w:themeFillShade="D9"/>
          </w:tcPr>
          <w:p w14:paraId="1AC5232C" w14:textId="286084B6"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0.909</w:t>
            </w:r>
          </w:p>
        </w:tc>
        <w:tc>
          <w:tcPr>
            <w:tcW w:w="307" w:type="pct"/>
            <w:shd w:val="clear" w:color="auto" w:fill="D9D9D9" w:themeFill="background1" w:themeFillShade="D9"/>
          </w:tcPr>
          <w:p w14:paraId="17E30024" w14:textId="7FF2403E"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60,255</w:t>
            </w:r>
          </w:p>
        </w:tc>
        <w:tc>
          <w:tcPr>
            <w:tcW w:w="307" w:type="pct"/>
            <w:shd w:val="clear" w:color="auto" w:fill="D9D9D9" w:themeFill="background1" w:themeFillShade="D9"/>
          </w:tcPr>
          <w:p w14:paraId="7A891E8B" w14:textId="16C5068A"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60,255</w:t>
            </w:r>
          </w:p>
        </w:tc>
        <w:tc>
          <w:tcPr>
            <w:tcW w:w="307" w:type="pct"/>
            <w:shd w:val="clear" w:color="auto" w:fill="D9D9D9" w:themeFill="background1" w:themeFillShade="D9"/>
          </w:tcPr>
          <w:p w14:paraId="7965C6E9" w14:textId="0A3AC4D9"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60,237</w:t>
            </w:r>
          </w:p>
        </w:tc>
        <w:tc>
          <w:tcPr>
            <w:tcW w:w="307" w:type="pct"/>
            <w:shd w:val="clear" w:color="auto" w:fill="D9D9D9" w:themeFill="background1" w:themeFillShade="D9"/>
          </w:tcPr>
          <w:p w14:paraId="508CC1C5" w14:textId="747CF9C8"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60,067</w:t>
            </w:r>
          </w:p>
        </w:tc>
        <w:tc>
          <w:tcPr>
            <w:tcW w:w="116" w:type="pct"/>
            <w:shd w:val="clear" w:color="auto" w:fill="D9D9D9" w:themeFill="background1" w:themeFillShade="D9"/>
          </w:tcPr>
          <w:p w14:paraId="42F27669" w14:textId="77777777" w:rsidR="00B12D25" w:rsidRPr="00881B1B" w:rsidRDefault="00B12D25"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shd w:val="clear" w:color="auto" w:fill="D9D9D9" w:themeFill="background1" w:themeFillShade="D9"/>
          </w:tcPr>
          <w:p w14:paraId="6AB57DCC" w14:textId="4F8A6B4E"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58,744</w:t>
            </w:r>
          </w:p>
        </w:tc>
        <w:tc>
          <w:tcPr>
            <w:tcW w:w="116" w:type="pct"/>
            <w:shd w:val="clear" w:color="auto" w:fill="D9D9D9" w:themeFill="background1" w:themeFillShade="D9"/>
          </w:tcPr>
          <w:p w14:paraId="4FA7EB47" w14:textId="77777777" w:rsidR="00B12D25" w:rsidRPr="00881B1B" w:rsidRDefault="00B12D25"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7" w:type="pct"/>
            <w:tcBorders>
              <w:bottom w:val="single" w:sz="4" w:space="0" w:color="auto"/>
            </w:tcBorders>
            <w:shd w:val="clear" w:color="auto" w:fill="D9D9D9" w:themeFill="background1" w:themeFillShade="D9"/>
          </w:tcPr>
          <w:p w14:paraId="77F9D968" w14:textId="2AA4F594"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762,560</w:t>
            </w:r>
          </w:p>
        </w:tc>
      </w:tr>
      <w:tr w:rsidR="002F3C1E" w14:paraId="21A3FD3D"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pct"/>
            <w:gridSpan w:val="4"/>
            <w:shd w:val="clear" w:color="auto" w:fill="D9D9D9" w:themeFill="background1" w:themeFillShade="D9"/>
            <w:vAlign w:val="top"/>
          </w:tcPr>
          <w:p w14:paraId="5FEF4235" w14:textId="03589BAA" w:rsidR="00B12D25" w:rsidRPr="00881B1B" w:rsidRDefault="00B12D25" w:rsidP="00B12D25">
            <w:pPr>
              <w:rPr>
                <w:rFonts w:ascii="Franklin Gothic Medium" w:hAnsi="Franklin Gothic Medium"/>
              </w:rPr>
            </w:pPr>
            <w:r w:rsidRPr="00881B1B">
              <w:rPr>
                <w:rFonts w:ascii="Franklin Gothic Medium" w:hAnsi="Franklin Gothic Medium"/>
              </w:rPr>
              <w:t>Expiring 2024 CPAS</w:t>
            </w:r>
          </w:p>
        </w:tc>
        <w:tc>
          <w:tcPr>
            <w:tcW w:w="307" w:type="pct"/>
            <w:shd w:val="clear" w:color="000000" w:fill="D9D9D9"/>
          </w:tcPr>
          <w:p w14:paraId="78CBC4CB" w14:textId="32C80108"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0</w:t>
            </w:r>
          </w:p>
        </w:tc>
        <w:tc>
          <w:tcPr>
            <w:tcW w:w="307" w:type="pct"/>
            <w:tcBorders>
              <w:left w:val="nil"/>
            </w:tcBorders>
            <w:shd w:val="clear" w:color="000000" w:fill="D9D9D9"/>
          </w:tcPr>
          <w:p w14:paraId="3C49875F" w14:textId="49593283"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0</w:t>
            </w:r>
          </w:p>
        </w:tc>
        <w:tc>
          <w:tcPr>
            <w:tcW w:w="307" w:type="pct"/>
            <w:tcBorders>
              <w:left w:val="nil"/>
            </w:tcBorders>
            <w:shd w:val="clear" w:color="000000" w:fill="D9D9D9"/>
          </w:tcPr>
          <w:p w14:paraId="6BDB2971" w14:textId="04F097BA"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18</w:t>
            </w:r>
          </w:p>
        </w:tc>
        <w:tc>
          <w:tcPr>
            <w:tcW w:w="307" w:type="pct"/>
            <w:tcBorders>
              <w:left w:val="nil"/>
            </w:tcBorders>
            <w:shd w:val="clear" w:color="000000" w:fill="D9D9D9"/>
          </w:tcPr>
          <w:p w14:paraId="51D1BD66" w14:textId="27029F6A"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171</w:t>
            </w:r>
          </w:p>
        </w:tc>
        <w:tc>
          <w:tcPr>
            <w:tcW w:w="116" w:type="pct"/>
            <w:shd w:val="clear" w:color="auto" w:fill="D9D9D9" w:themeFill="background1" w:themeFillShade="D9"/>
          </w:tcPr>
          <w:p w14:paraId="765BDAE0" w14:textId="77777777" w:rsidR="00B12D25" w:rsidRPr="00881B1B" w:rsidRDefault="00B12D25"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tcBorders>
              <w:left w:val="nil"/>
            </w:tcBorders>
            <w:shd w:val="clear" w:color="000000" w:fill="D9D9D9"/>
          </w:tcPr>
          <w:p w14:paraId="3CE8C800" w14:textId="1F2E7212"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603</w:t>
            </w:r>
          </w:p>
        </w:tc>
        <w:tc>
          <w:tcPr>
            <w:tcW w:w="116" w:type="pct"/>
            <w:shd w:val="clear" w:color="auto" w:fill="D9D9D9" w:themeFill="background1" w:themeFillShade="D9"/>
          </w:tcPr>
          <w:p w14:paraId="494D6EF5" w14:textId="77777777" w:rsidR="00B12D25" w:rsidRPr="00881B1B" w:rsidRDefault="00B12D25"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7" w:type="pct"/>
            <w:tcBorders>
              <w:top w:val="nil"/>
              <w:bottom w:val="nil"/>
              <w:right w:val="nil"/>
            </w:tcBorders>
            <w:shd w:val="clear" w:color="auto" w:fill="FFFFFF" w:themeFill="background1"/>
            <w:vAlign w:val="top"/>
          </w:tcPr>
          <w:p w14:paraId="3AA6875E"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3C1E" w14:paraId="1BE41F6B"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4" w:type="pct"/>
            <w:gridSpan w:val="4"/>
            <w:shd w:val="clear" w:color="auto" w:fill="D9D9D9" w:themeFill="background1" w:themeFillShade="D9"/>
            <w:vAlign w:val="top"/>
          </w:tcPr>
          <w:p w14:paraId="6E293F77" w14:textId="44AA3DF4" w:rsidR="00B12D25" w:rsidRPr="00881B1B" w:rsidRDefault="00B12D25" w:rsidP="00B12D25">
            <w:pPr>
              <w:rPr>
                <w:rFonts w:ascii="Franklin Gothic Medium" w:hAnsi="Franklin Gothic Medium"/>
              </w:rPr>
            </w:pPr>
            <w:r w:rsidRPr="00881B1B">
              <w:rPr>
                <w:rFonts w:ascii="Franklin Gothic Medium" w:hAnsi="Franklin Gothic Medium"/>
              </w:rPr>
              <w:t>Expired 2024 CPAS</w:t>
            </w:r>
          </w:p>
        </w:tc>
        <w:tc>
          <w:tcPr>
            <w:tcW w:w="307" w:type="pct"/>
            <w:shd w:val="clear" w:color="000000" w:fill="D9D9D9"/>
          </w:tcPr>
          <w:p w14:paraId="3F74B42A" w14:textId="66AE2FFD"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0</w:t>
            </w:r>
          </w:p>
        </w:tc>
        <w:tc>
          <w:tcPr>
            <w:tcW w:w="307" w:type="pct"/>
            <w:tcBorders>
              <w:left w:val="nil"/>
            </w:tcBorders>
            <w:shd w:val="clear" w:color="000000" w:fill="D9D9D9"/>
          </w:tcPr>
          <w:p w14:paraId="7B307384" w14:textId="5218A659"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0</w:t>
            </w:r>
          </w:p>
        </w:tc>
        <w:tc>
          <w:tcPr>
            <w:tcW w:w="307" w:type="pct"/>
            <w:tcBorders>
              <w:left w:val="nil"/>
            </w:tcBorders>
            <w:shd w:val="clear" w:color="000000" w:fill="D9D9D9"/>
          </w:tcPr>
          <w:p w14:paraId="0CCC7B01" w14:textId="57F87728"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18</w:t>
            </w:r>
          </w:p>
        </w:tc>
        <w:tc>
          <w:tcPr>
            <w:tcW w:w="307" w:type="pct"/>
            <w:tcBorders>
              <w:left w:val="nil"/>
            </w:tcBorders>
            <w:shd w:val="clear" w:color="000000" w:fill="D9D9D9"/>
          </w:tcPr>
          <w:p w14:paraId="1B978625" w14:textId="0935E6B4"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188</w:t>
            </w:r>
          </w:p>
        </w:tc>
        <w:tc>
          <w:tcPr>
            <w:tcW w:w="116" w:type="pct"/>
            <w:shd w:val="clear" w:color="auto" w:fill="D9D9D9" w:themeFill="background1" w:themeFillShade="D9"/>
          </w:tcPr>
          <w:p w14:paraId="1F01F66F" w14:textId="77777777" w:rsidR="00B12D25" w:rsidRPr="00881B1B" w:rsidRDefault="00B12D25"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tcBorders>
              <w:left w:val="nil"/>
            </w:tcBorders>
            <w:shd w:val="clear" w:color="000000" w:fill="D9D9D9"/>
          </w:tcPr>
          <w:p w14:paraId="2957D49F" w14:textId="0CF4F4EC" w:rsidR="00B12D25" w:rsidRPr="00881B1B" w:rsidRDefault="00B12D25"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1,511</w:t>
            </w:r>
          </w:p>
        </w:tc>
        <w:tc>
          <w:tcPr>
            <w:tcW w:w="116" w:type="pct"/>
            <w:shd w:val="clear" w:color="auto" w:fill="D9D9D9" w:themeFill="background1" w:themeFillShade="D9"/>
          </w:tcPr>
          <w:p w14:paraId="29849880" w14:textId="77777777" w:rsidR="00B12D25" w:rsidRPr="00881B1B" w:rsidRDefault="00B12D25"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7" w:type="pct"/>
            <w:tcBorders>
              <w:top w:val="nil"/>
              <w:bottom w:val="nil"/>
              <w:right w:val="nil"/>
            </w:tcBorders>
            <w:shd w:val="clear" w:color="auto" w:fill="FFFFFF" w:themeFill="background1"/>
            <w:vAlign w:val="top"/>
          </w:tcPr>
          <w:p w14:paraId="5EDB3DF1" w14:textId="77777777" w:rsidR="00B12D25" w:rsidRPr="00881B1B" w:rsidRDefault="00B12D25" w:rsidP="00B12D25">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3C1E" w14:paraId="56CF3A75"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6" w:type="pct"/>
            <w:shd w:val="clear" w:color="auto" w:fill="D9D9D9" w:themeFill="background1" w:themeFillShade="D9"/>
            <w:vAlign w:val="top"/>
          </w:tcPr>
          <w:p w14:paraId="19960FAF" w14:textId="77777777" w:rsidR="00B12D25" w:rsidRPr="00881B1B" w:rsidRDefault="00B12D25" w:rsidP="00B12D25">
            <w:pPr>
              <w:rPr>
                <w:rFonts w:ascii="Franklin Gothic Medium" w:hAnsi="Franklin Gothic Medium"/>
              </w:rPr>
            </w:pPr>
            <w:r w:rsidRPr="00881B1B">
              <w:rPr>
                <w:rFonts w:ascii="Franklin Gothic Medium" w:hAnsi="Franklin Gothic Medium"/>
              </w:rPr>
              <w:t>WAML</w:t>
            </w:r>
          </w:p>
        </w:tc>
        <w:tc>
          <w:tcPr>
            <w:tcW w:w="276" w:type="pct"/>
            <w:shd w:val="clear" w:color="auto" w:fill="D9D9D9" w:themeFill="background1" w:themeFillShade="D9"/>
            <w:vAlign w:val="top"/>
          </w:tcPr>
          <w:p w14:paraId="2CE46ED0" w14:textId="4579A736" w:rsidR="00B12D25" w:rsidRPr="00881B1B" w:rsidRDefault="00B12D25"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12.8</w:t>
            </w:r>
          </w:p>
        </w:tc>
        <w:tc>
          <w:tcPr>
            <w:tcW w:w="1301" w:type="pct"/>
            <w:tcBorders>
              <w:bottom w:val="nil"/>
              <w:right w:val="nil"/>
            </w:tcBorders>
            <w:shd w:val="clear" w:color="auto" w:fill="FFFFFF" w:themeFill="background1"/>
            <w:vAlign w:val="top"/>
          </w:tcPr>
          <w:p w14:paraId="527BEAEB"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61" w:type="pct"/>
            <w:tcBorders>
              <w:left w:val="nil"/>
              <w:bottom w:val="nil"/>
              <w:right w:val="nil"/>
            </w:tcBorders>
            <w:shd w:val="clear" w:color="auto" w:fill="FFFFFF" w:themeFill="background1"/>
            <w:vAlign w:val="top"/>
          </w:tcPr>
          <w:p w14:paraId="76F00C8A"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shd w:val="clear" w:color="auto" w:fill="FFFFFF" w:themeFill="background1"/>
            <w:vAlign w:val="top"/>
          </w:tcPr>
          <w:p w14:paraId="721DFBCC"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shd w:val="clear" w:color="auto" w:fill="FFFFFF" w:themeFill="background1"/>
            <w:vAlign w:val="top"/>
          </w:tcPr>
          <w:p w14:paraId="0351B015"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shd w:val="clear" w:color="auto" w:fill="FFFFFF" w:themeFill="background1"/>
            <w:vAlign w:val="top"/>
          </w:tcPr>
          <w:p w14:paraId="6FDCC98D"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shd w:val="clear" w:color="auto" w:fill="FFFFFF" w:themeFill="background1"/>
            <w:vAlign w:val="top"/>
          </w:tcPr>
          <w:p w14:paraId="042D21B6"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6" w:type="pct"/>
            <w:tcBorders>
              <w:left w:val="nil"/>
              <w:bottom w:val="nil"/>
              <w:right w:val="nil"/>
            </w:tcBorders>
            <w:shd w:val="clear" w:color="auto" w:fill="FFFFFF" w:themeFill="background1"/>
            <w:vAlign w:val="top"/>
          </w:tcPr>
          <w:p w14:paraId="5272F47E"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left w:val="nil"/>
              <w:bottom w:val="nil"/>
              <w:right w:val="nil"/>
            </w:tcBorders>
            <w:shd w:val="clear" w:color="auto" w:fill="FFFFFF" w:themeFill="background1"/>
            <w:vAlign w:val="top"/>
          </w:tcPr>
          <w:p w14:paraId="1F1A7A84"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6" w:type="pct"/>
            <w:tcBorders>
              <w:left w:val="nil"/>
              <w:bottom w:val="nil"/>
              <w:right w:val="nil"/>
            </w:tcBorders>
            <w:shd w:val="clear" w:color="auto" w:fill="FFFFFF" w:themeFill="background1"/>
            <w:vAlign w:val="top"/>
          </w:tcPr>
          <w:p w14:paraId="55DACD47"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57" w:type="pct"/>
            <w:tcBorders>
              <w:top w:val="nil"/>
              <w:left w:val="nil"/>
              <w:bottom w:val="nil"/>
              <w:right w:val="nil"/>
            </w:tcBorders>
            <w:shd w:val="clear" w:color="auto" w:fill="FFFFFF" w:themeFill="background1"/>
            <w:vAlign w:val="top"/>
          </w:tcPr>
          <w:p w14:paraId="460206E4" w14:textId="77777777" w:rsidR="00B12D25" w:rsidRPr="00881B1B"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51C13D71" w14:textId="5FBAE61B" w:rsidR="00C055A3" w:rsidRDefault="00C055A3" w:rsidP="002220FC">
      <w:pPr>
        <w:pStyle w:val="NoSpacing"/>
        <w:spacing w:before="240"/>
        <w:jc w:val="center"/>
      </w:pPr>
      <w:bookmarkStart w:id="107" w:name="_Toc191992543"/>
      <w:bookmarkStart w:id="108" w:name="_Toc192766956"/>
      <w:r>
        <w:t xml:space="preserve">Table </w:t>
      </w:r>
      <w:r>
        <w:fldChar w:fldCharType="begin"/>
      </w:r>
      <w:r>
        <w:instrText xml:space="preserve"> SEQ Table \* ARABIC </w:instrText>
      </w:r>
      <w:r>
        <w:fldChar w:fldCharType="separate"/>
      </w:r>
      <w:r w:rsidR="00AA10F4">
        <w:rPr>
          <w:noProof/>
        </w:rPr>
        <w:t>22</w:t>
      </w:r>
      <w:r>
        <w:fldChar w:fldCharType="end"/>
      </w:r>
      <w:r>
        <w:t>. 2024 Standard Core Channel CPAS and WAML</w:t>
      </w:r>
      <w:bookmarkEnd w:id="107"/>
      <w:bookmarkEnd w:id="108"/>
    </w:p>
    <w:tbl>
      <w:tblPr>
        <w:tblStyle w:val="TableGrid"/>
        <w:tblpPr w:leftFromText="180" w:rightFromText="180" w:vertAnchor="text" w:horzAnchor="margin" w:tblpY="79"/>
        <w:tblW w:w="5000" w:type="pct"/>
        <w:jc w:val="left"/>
        <w:tblLook w:val="04A0" w:firstRow="1" w:lastRow="0" w:firstColumn="1" w:lastColumn="0" w:noHBand="0" w:noVBand="1"/>
      </w:tblPr>
      <w:tblGrid>
        <w:gridCol w:w="1614"/>
        <w:gridCol w:w="797"/>
        <w:gridCol w:w="3821"/>
        <w:gridCol w:w="768"/>
        <w:gridCol w:w="903"/>
        <w:gridCol w:w="903"/>
        <w:gridCol w:w="903"/>
        <w:gridCol w:w="903"/>
        <w:gridCol w:w="338"/>
        <w:gridCol w:w="903"/>
        <w:gridCol w:w="338"/>
        <w:gridCol w:w="2515"/>
      </w:tblGrid>
      <w:tr w:rsidR="00C055A3" w14:paraId="11E5F772" w14:textId="77777777" w:rsidTr="002F3C1E">
        <w:trPr>
          <w:cnfStyle w:val="100000000000" w:firstRow="1" w:lastRow="0" w:firstColumn="0" w:lastColumn="0" w:oddVBand="0" w:evenVBand="0" w:oddHBand="0"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549" w:type="pct"/>
            <w:vMerge w:val="restart"/>
            <w:tcBorders>
              <w:bottom w:val="single" w:sz="4" w:space="0" w:color="4D4D4F"/>
            </w:tcBorders>
          </w:tcPr>
          <w:p w14:paraId="476371B8" w14:textId="683E5F94" w:rsidR="00C055A3" w:rsidRDefault="00095BE3" w:rsidP="00C055A3">
            <w:pPr>
              <w:pStyle w:val="TableHeadingLeft"/>
            </w:pPr>
            <w:r>
              <w:t>Offering</w:t>
            </w:r>
          </w:p>
        </w:tc>
        <w:tc>
          <w:tcPr>
            <w:tcW w:w="271" w:type="pct"/>
            <w:vMerge w:val="restart"/>
            <w:tcBorders>
              <w:top w:val="single" w:sz="4" w:space="0" w:color="4D4D4F"/>
              <w:left w:val="single" w:sz="4" w:space="0" w:color="4D4D4F"/>
              <w:bottom w:val="single" w:sz="4" w:space="0" w:color="4D4D4F"/>
              <w:right w:val="single" w:sz="4" w:space="0" w:color="4D4D4F"/>
            </w:tcBorders>
          </w:tcPr>
          <w:p w14:paraId="4D0E7556" w14:textId="05CE4FE8" w:rsidR="00C055A3" w:rsidRDefault="002F3C1E" w:rsidP="00C055A3">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299" w:type="pct"/>
            <w:vMerge w:val="restart"/>
            <w:tcBorders>
              <w:top w:val="single" w:sz="4" w:space="0" w:color="4D4D4F"/>
              <w:left w:val="single" w:sz="4" w:space="0" w:color="4D4D4F"/>
              <w:bottom w:val="single" w:sz="4" w:space="0" w:color="4D4D4F"/>
              <w:right w:val="single" w:sz="4" w:space="0" w:color="4D4D4F"/>
            </w:tcBorders>
          </w:tcPr>
          <w:p w14:paraId="3EB847BF" w14:textId="77777777" w:rsidR="00C055A3" w:rsidRDefault="00C055A3" w:rsidP="00C055A3">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61" w:type="pct"/>
            <w:vMerge w:val="restart"/>
            <w:tcBorders>
              <w:top w:val="single" w:sz="4" w:space="0" w:color="4D4D4F"/>
              <w:left w:val="single" w:sz="4" w:space="0" w:color="4D4D4F"/>
              <w:bottom w:val="single" w:sz="4" w:space="0" w:color="4D4D4F"/>
              <w:right w:val="single" w:sz="4" w:space="0" w:color="4D4D4F"/>
            </w:tcBorders>
          </w:tcPr>
          <w:p w14:paraId="3EA54C9E" w14:textId="77777777" w:rsidR="00C055A3" w:rsidRDefault="00C055A3" w:rsidP="00C055A3">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65" w:type="pct"/>
            <w:gridSpan w:val="7"/>
            <w:tcBorders>
              <w:top w:val="single" w:sz="4" w:space="0" w:color="4D4D4F"/>
              <w:left w:val="single" w:sz="4" w:space="0" w:color="4D4D4F"/>
              <w:bottom w:val="single" w:sz="4" w:space="0" w:color="4D4D4F"/>
              <w:right w:val="single" w:sz="4" w:space="0" w:color="4D4D4F"/>
            </w:tcBorders>
          </w:tcPr>
          <w:p w14:paraId="66792841" w14:textId="77777777" w:rsidR="00C055A3" w:rsidRDefault="00C055A3" w:rsidP="00C055A3">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55" w:type="pct"/>
            <w:vMerge w:val="restart"/>
            <w:tcBorders>
              <w:top w:val="single" w:sz="4" w:space="0" w:color="4D4D4F"/>
              <w:left w:val="single" w:sz="4" w:space="0" w:color="4D4D4F"/>
              <w:bottom w:val="single" w:sz="4" w:space="0" w:color="4D4D4F"/>
              <w:right w:val="single" w:sz="4" w:space="0" w:color="4D4D4F"/>
            </w:tcBorders>
          </w:tcPr>
          <w:p w14:paraId="510A442B" w14:textId="77777777" w:rsidR="00C055A3" w:rsidRDefault="00C055A3" w:rsidP="00C055A3">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3C1E" w14:paraId="7C959597" w14:textId="77777777" w:rsidTr="002F3C1E">
        <w:trPr>
          <w:cnfStyle w:val="000000100000" w:firstRow="0" w:lastRow="0" w:firstColumn="0" w:lastColumn="0" w:oddVBand="0" w:evenVBand="0" w:oddHBand="1"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549" w:type="pct"/>
            <w:vMerge/>
          </w:tcPr>
          <w:p w14:paraId="3E529161" w14:textId="77777777" w:rsidR="00C055A3" w:rsidRDefault="00C055A3" w:rsidP="00C055A3"/>
        </w:tc>
        <w:tc>
          <w:tcPr>
            <w:tcW w:w="271" w:type="pct"/>
            <w:vMerge/>
          </w:tcPr>
          <w:p w14:paraId="009FFC3A" w14:textId="77777777" w:rsidR="00C055A3" w:rsidRDefault="00C055A3" w:rsidP="00C055A3">
            <w:pPr>
              <w:cnfStyle w:val="000000100000" w:firstRow="0" w:lastRow="0" w:firstColumn="0" w:lastColumn="0" w:oddVBand="0" w:evenVBand="0" w:oddHBand="1" w:evenHBand="0" w:firstRowFirstColumn="0" w:firstRowLastColumn="0" w:lastRowFirstColumn="0" w:lastRowLastColumn="0"/>
            </w:pPr>
          </w:p>
        </w:tc>
        <w:tc>
          <w:tcPr>
            <w:tcW w:w="1299" w:type="pct"/>
            <w:vMerge/>
          </w:tcPr>
          <w:p w14:paraId="149BE336" w14:textId="77777777" w:rsidR="00C055A3" w:rsidRDefault="00C055A3" w:rsidP="00C055A3">
            <w:pPr>
              <w:cnfStyle w:val="000000100000" w:firstRow="0" w:lastRow="0" w:firstColumn="0" w:lastColumn="0" w:oddVBand="0" w:evenVBand="0" w:oddHBand="1" w:evenHBand="0" w:firstRowFirstColumn="0" w:firstRowLastColumn="0" w:lastRowFirstColumn="0" w:lastRowLastColumn="0"/>
            </w:pPr>
          </w:p>
        </w:tc>
        <w:tc>
          <w:tcPr>
            <w:tcW w:w="261" w:type="pct"/>
            <w:vMerge/>
          </w:tcPr>
          <w:p w14:paraId="3B68538E" w14:textId="77777777" w:rsidR="00C055A3" w:rsidRDefault="00C055A3" w:rsidP="00C055A3">
            <w:pPr>
              <w:cnfStyle w:val="000000100000" w:firstRow="0" w:lastRow="0" w:firstColumn="0" w:lastColumn="0" w:oddVBand="0" w:evenVBand="0" w:oddHBand="1" w:evenHBand="0" w:firstRowFirstColumn="0" w:firstRowLastColumn="0" w:lastRowFirstColumn="0" w:lastRowLastColumn="0"/>
            </w:pPr>
          </w:p>
        </w:tc>
        <w:tc>
          <w:tcPr>
            <w:tcW w:w="307" w:type="pct"/>
            <w:shd w:val="clear" w:color="auto" w:fill="053572" w:themeFill="text2"/>
          </w:tcPr>
          <w:p w14:paraId="2C5A31C3"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07" w:type="pct"/>
            <w:shd w:val="clear" w:color="auto" w:fill="053572" w:themeFill="text2"/>
          </w:tcPr>
          <w:p w14:paraId="1B33C66E"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07" w:type="pct"/>
            <w:shd w:val="clear" w:color="auto" w:fill="053572" w:themeFill="text2"/>
          </w:tcPr>
          <w:p w14:paraId="2C503378"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07" w:type="pct"/>
            <w:shd w:val="clear" w:color="auto" w:fill="053572" w:themeFill="text2"/>
          </w:tcPr>
          <w:p w14:paraId="1BD33D57"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15" w:type="pct"/>
            <w:shd w:val="clear" w:color="auto" w:fill="053572" w:themeFill="text2"/>
          </w:tcPr>
          <w:p w14:paraId="11E4F5AB"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07" w:type="pct"/>
            <w:shd w:val="clear" w:color="auto" w:fill="053572" w:themeFill="text2"/>
          </w:tcPr>
          <w:p w14:paraId="17B16A67"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15" w:type="pct"/>
            <w:shd w:val="clear" w:color="auto" w:fill="053572" w:themeFill="text2"/>
          </w:tcPr>
          <w:p w14:paraId="0C4BBDA0" w14:textId="77777777" w:rsidR="00C055A3" w:rsidRDefault="00C055A3" w:rsidP="00C055A3">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55" w:type="pct"/>
            <w:vMerge/>
          </w:tcPr>
          <w:p w14:paraId="50B64C2F" w14:textId="77777777" w:rsidR="00C055A3" w:rsidRDefault="00C055A3" w:rsidP="00C055A3">
            <w:pPr>
              <w:cnfStyle w:val="000000100000" w:firstRow="0" w:lastRow="0" w:firstColumn="0" w:lastColumn="0" w:oddVBand="0" w:evenVBand="0" w:oddHBand="1" w:evenHBand="0" w:firstRowFirstColumn="0" w:firstRowLastColumn="0" w:lastRowFirstColumn="0" w:lastRowLastColumn="0"/>
            </w:pPr>
          </w:p>
        </w:tc>
      </w:tr>
      <w:tr w:rsidR="00F8419C" w14:paraId="47EEEBBC"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vAlign w:val="top"/>
          </w:tcPr>
          <w:p w14:paraId="1198BEFD" w14:textId="3C03DADC" w:rsidR="00F8419C" w:rsidRDefault="00F8419C" w:rsidP="00F8419C">
            <w:r>
              <w:t>SLB</w:t>
            </w:r>
          </w:p>
        </w:tc>
        <w:tc>
          <w:tcPr>
            <w:tcW w:w="271" w:type="pct"/>
          </w:tcPr>
          <w:p w14:paraId="2BE3B093" w14:textId="6656EFCB"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12.1</w:t>
            </w:r>
          </w:p>
        </w:tc>
        <w:tc>
          <w:tcPr>
            <w:tcW w:w="1299" w:type="pct"/>
          </w:tcPr>
          <w:p w14:paraId="58F9C7E0" w14:textId="4160720F"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45,248</w:t>
            </w:r>
          </w:p>
        </w:tc>
        <w:tc>
          <w:tcPr>
            <w:tcW w:w="261" w:type="pct"/>
          </w:tcPr>
          <w:p w14:paraId="0175B95D" w14:textId="43E2C2EB"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0.907</w:t>
            </w:r>
          </w:p>
        </w:tc>
        <w:tc>
          <w:tcPr>
            <w:tcW w:w="307" w:type="pct"/>
          </w:tcPr>
          <w:p w14:paraId="1C54E839" w14:textId="111376C7"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41,051</w:t>
            </w:r>
          </w:p>
        </w:tc>
        <w:tc>
          <w:tcPr>
            <w:tcW w:w="307" w:type="pct"/>
          </w:tcPr>
          <w:p w14:paraId="005D9878" w14:textId="19E2CCB0"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41,051</w:t>
            </w:r>
          </w:p>
        </w:tc>
        <w:tc>
          <w:tcPr>
            <w:tcW w:w="307" w:type="pct"/>
          </w:tcPr>
          <w:p w14:paraId="21AEF6B2" w14:textId="40D3D8E2"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41,033</w:t>
            </w:r>
          </w:p>
        </w:tc>
        <w:tc>
          <w:tcPr>
            <w:tcW w:w="307" w:type="pct"/>
          </w:tcPr>
          <w:p w14:paraId="503AC43F" w14:textId="5C6E2142"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40,870</w:t>
            </w:r>
          </w:p>
        </w:tc>
        <w:tc>
          <w:tcPr>
            <w:tcW w:w="115" w:type="pct"/>
          </w:tcPr>
          <w:p w14:paraId="79879098" w14:textId="56BE42A4"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307" w:type="pct"/>
          </w:tcPr>
          <w:p w14:paraId="60C3085C" w14:textId="59D09992"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40,160</w:t>
            </w:r>
          </w:p>
        </w:tc>
        <w:tc>
          <w:tcPr>
            <w:tcW w:w="115" w:type="pct"/>
          </w:tcPr>
          <w:p w14:paraId="3524960D" w14:textId="4DD15DA1"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855" w:type="pct"/>
          </w:tcPr>
          <w:p w14:paraId="579D4863" w14:textId="051C2342"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494,102</w:t>
            </w:r>
          </w:p>
        </w:tc>
      </w:tr>
      <w:tr w:rsidR="00F8419C" w14:paraId="6E00CCD2"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vAlign w:val="top"/>
          </w:tcPr>
          <w:p w14:paraId="33D6691C" w14:textId="2381465D" w:rsidR="00F8419C" w:rsidRDefault="00F8419C" w:rsidP="00F8419C">
            <w:r>
              <w:t>VFD</w:t>
            </w:r>
          </w:p>
        </w:tc>
        <w:tc>
          <w:tcPr>
            <w:tcW w:w="271" w:type="pct"/>
          </w:tcPr>
          <w:p w14:paraId="438B1A88" w14:textId="741E1DC2"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rPr>
                <w:color w:val="4A4D56"/>
              </w:rPr>
              <w:t>15.0</w:t>
            </w:r>
          </w:p>
        </w:tc>
        <w:tc>
          <w:tcPr>
            <w:tcW w:w="1299" w:type="pct"/>
          </w:tcPr>
          <w:p w14:paraId="4A85B88F" w14:textId="401B2B8D"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rPr>
                <w:color w:val="4A4D56"/>
              </w:rPr>
              <w:t>12,311</w:t>
            </w:r>
          </w:p>
        </w:tc>
        <w:tc>
          <w:tcPr>
            <w:tcW w:w="261" w:type="pct"/>
          </w:tcPr>
          <w:p w14:paraId="07062809" w14:textId="78B4E0E4"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0.912</w:t>
            </w:r>
          </w:p>
        </w:tc>
        <w:tc>
          <w:tcPr>
            <w:tcW w:w="307" w:type="pct"/>
          </w:tcPr>
          <w:p w14:paraId="123A8BD5" w14:textId="67B4E928"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11,231</w:t>
            </w:r>
          </w:p>
        </w:tc>
        <w:tc>
          <w:tcPr>
            <w:tcW w:w="307" w:type="pct"/>
          </w:tcPr>
          <w:p w14:paraId="6B132472" w14:textId="12EDC1D9"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11,231</w:t>
            </w:r>
          </w:p>
        </w:tc>
        <w:tc>
          <w:tcPr>
            <w:tcW w:w="307" w:type="pct"/>
          </w:tcPr>
          <w:p w14:paraId="586A20D9" w14:textId="158397EA"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11,231</w:t>
            </w:r>
          </w:p>
        </w:tc>
        <w:tc>
          <w:tcPr>
            <w:tcW w:w="307" w:type="pct"/>
          </w:tcPr>
          <w:p w14:paraId="7A7B1359" w14:textId="4929E984"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11,231</w:t>
            </w:r>
          </w:p>
        </w:tc>
        <w:tc>
          <w:tcPr>
            <w:tcW w:w="115" w:type="pct"/>
          </w:tcPr>
          <w:p w14:paraId="5EA23A76" w14:textId="093D1B63"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w:t>
            </w:r>
          </w:p>
        </w:tc>
        <w:tc>
          <w:tcPr>
            <w:tcW w:w="307" w:type="pct"/>
          </w:tcPr>
          <w:p w14:paraId="10A9A7E6" w14:textId="0B750EB6"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11,231</w:t>
            </w:r>
          </w:p>
        </w:tc>
        <w:tc>
          <w:tcPr>
            <w:tcW w:w="115" w:type="pct"/>
          </w:tcPr>
          <w:p w14:paraId="579ACCAA" w14:textId="454CFB56"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w:t>
            </w:r>
          </w:p>
        </w:tc>
        <w:tc>
          <w:tcPr>
            <w:tcW w:w="855" w:type="pct"/>
          </w:tcPr>
          <w:p w14:paraId="68AA72BE" w14:textId="4A966386" w:rsidR="00F8419C" w:rsidRDefault="00F8419C" w:rsidP="00CE7C01">
            <w:pPr>
              <w:jc w:val="right"/>
              <w:cnfStyle w:val="000000100000" w:firstRow="0" w:lastRow="0" w:firstColumn="0" w:lastColumn="0" w:oddVBand="0" w:evenVBand="0" w:oddHBand="1" w:evenHBand="0" w:firstRowFirstColumn="0" w:firstRowLastColumn="0" w:lastRowFirstColumn="0" w:lastRowLastColumn="0"/>
            </w:pPr>
            <w:r>
              <w:t>168,462</w:t>
            </w:r>
          </w:p>
        </w:tc>
      </w:tr>
      <w:tr w:rsidR="00F8419C" w14:paraId="5D397EB1"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vAlign w:val="top"/>
          </w:tcPr>
          <w:p w14:paraId="2FBE8069" w14:textId="0674E107" w:rsidR="00F8419C" w:rsidRDefault="00F8419C" w:rsidP="00F8419C">
            <w:r>
              <w:t>SE</w:t>
            </w:r>
          </w:p>
        </w:tc>
        <w:tc>
          <w:tcPr>
            <w:tcW w:w="271" w:type="pct"/>
          </w:tcPr>
          <w:p w14:paraId="3A511A2E" w14:textId="33CA21DC"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14.1</w:t>
            </w:r>
          </w:p>
        </w:tc>
        <w:tc>
          <w:tcPr>
            <w:tcW w:w="1299" w:type="pct"/>
          </w:tcPr>
          <w:p w14:paraId="54662EFA" w14:textId="4B89B924"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2,916</w:t>
            </w:r>
          </w:p>
        </w:tc>
        <w:tc>
          <w:tcPr>
            <w:tcW w:w="261" w:type="pct"/>
          </w:tcPr>
          <w:p w14:paraId="6F25059C" w14:textId="28F858D7"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0.929</w:t>
            </w:r>
          </w:p>
        </w:tc>
        <w:tc>
          <w:tcPr>
            <w:tcW w:w="307" w:type="pct"/>
          </w:tcPr>
          <w:p w14:paraId="7A5514E0" w14:textId="53008924"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2,710</w:t>
            </w:r>
          </w:p>
        </w:tc>
        <w:tc>
          <w:tcPr>
            <w:tcW w:w="307" w:type="pct"/>
          </w:tcPr>
          <w:p w14:paraId="2D0EC219" w14:textId="7160B454"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2,710</w:t>
            </w:r>
          </w:p>
        </w:tc>
        <w:tc>
          <w:tcPr>
            <w:tcW w:w="307" w:type="pct"/>
          </w:tcPr>
          <w:p w14:paraId="2A390224" w14:textId="73B1CBCC"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2,710</w:t>
            </w:r>
          </w:p>
        </w:tc>
        <w:tc>
          <w:tcPr>
            <w:tcW w:w="307" w:type="pct"/>
          </w:tcPr>
          <w:p w14:paraId="6813D660" w14:textId="7ED6E9FA"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2,710</w:t>
            </w:r>
          </w:p>
        </w:tc>
        <w:tc>
          <w:tcPr>
            <w:tcW w:w="115" w:type="pct"/>
          </w:tcPr>
          <w:p w14:paraId="5C13FCA9" w14:textId="1227FFFF"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307" w:type="pct"/>
          </w:tcPr>
          <w:p w14:paraId="05D0CCCB" w14:textId="151601CA"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2,567</w:t>
            </w:r>
          </w:p>
        </w:tc>
        <w:tc>
          <w:tcPr>
            <w:tcW w:w="115" w:type="pct"/>
          </w:tcPr>
          <w:p w14:paraId="364D42B7" w14:textId="65811765"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855" w:type="pct"/>
          </w:tcPr>
          <w:p w14:paraId="4D053E72" w14:textId="489EC4D3" w:rsidR="00F8419C" w:rsidRDefault="00F8419C" w:rsidP="00CE7C01">
            <w:pPr>
              <w:jc w:val="right"/>
              <w:cnfStyle w:val="000000010000" w:firstRow="0" w:lastRow="0" w:firstColumn="0" w:lastColumn="0" w:oddVBand="0" w:evenVBand="0" w:oddHBand="0" w:evenHBand="1" w:firstRowFirstColumn="0" w:firstRowLastColumn="0" w:lastRowFirstColumn="0" w:lastRowLastColumn="0"/>
            </w:pPr>
            <w:r>
              <w:t>38,278</w:t>
            </w:r>
          </w:p>
        </w:tc>
      </w:tr>
      <w:tr w:rsidR="00F8419C" w14:paraId="067E66F3"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vAlign w:val="top"/>
          </w:tcPr>
          <w:p w14:paraId="01BE3FFF" w14:textId="0DF1A1C8" w:rsidR="00F8419C" w:rsidRDefault="00F8419C" w:rsidP="00F8419C">
            <w:r>
              <w:t>HVAC</w:t>
            </w:r>
          </w:p>
        </w:tc>
        <w:tc>
          <w:tcPr>
            <w:tcW w:w="271" w:type="pct"/>
          </w:tcPr>
          <w:p w14:paraId="7AA9B821" w14:textId="439ADB70"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rPr>
                <w:color w:val="4A4D56"/>
              </w:rPr>
              <w:t>15.0</w:t>
            </w:r>
          </w:p>
        </w:tc>
        <w:tc>
          <w:tcPr>
            <w:tcW w:w="1299" w:type="pct"/>
          </w:tcPr>
          <w:p w14:paraId="5C09C76B" w14:textId="29F085CD"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rPr>
                <w:color w:val="4A4D56"/>
              </w:rPr>
              <w:t>2,334</w:t>
            </w:r>
          </w:p>
        </w:tc>
        <w:tc>
          <w:tcPr>
            <w:tcW w:w="261" w:type="pct"/>
          </w:tcPr>
          <w:p w14:paraId="7E344755" w14:textId="2971EA77"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0.814</w:t>
            </w:r>
          </w:p>
        </w:tc>
        <w:tc>
          <w:tcPr>
            <w:tcW w:w="307" w:type="pct"/>
          </w:tcPr>
          <w:p w14:paraId="36A1848F" w14:textId="3A7C3294"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1,899</w:t>
            </w:r>
          </w:p>
        </w:tc>
        <w:tc>
          <w:tcPr>
            <w:tcW w:w="307" w:type="pct"/>
          </w:tcPr>
          <w:p w14:paraId="6D674560" w14:textId="129FECA4"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1,899</w:t>
            </w:r>
          </w:p>
        </w:tc>
        <w:tc>
          <w:tcPr>
            <w:tcW w:w="307" w:type="pct"/>
          </w:tcPr>
          <w:p w14:paraId="2DDD7581" w14:textId="46C1ACCF"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1,899</w:t>
            </w:r>
          </w:p>
        </w:tc>
        <w:tc>
          <w:tcPr>
            <w:tcW w:w="307" w:type="pct"/>
          </w:tcPr>
          <w:p w14:paraId="23F192A2" w14:textId="58C2FBB8"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1,892</w:t>
            </w:r>
          </w:p>
        </w:tc>
        <w:tc>
          <w:tcPr>
            <w:tcW w:w="115" w:type="pct"/>
          </w:tcPr>
          <w:p w14:paraId="0593103F" w14:textId="66A567CF"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w:t>
            </w:r>
          </w:p>
        </w:tc>
        <w:tc>
          <w:tcPr>
            <w:tcW w:w="307" w:type="pct"/>
          </w:tcPr>
          <w:p w14:paraId="75E2E79F" w14:textId="0B8B2D1A"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1,855</w:t>
            </w:r>
          </w:p>
        </w:tc>
        <w:tc>
          <w:tcPr>
            <w:tcW w:w="115" w:type="pct"/>
          </w:tcPr>
          <w:p w14:paraId="1CDCBB72" w14:textId="49554745"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w:t>
            </w:r>
          </w:p>
        </w:tc>
        <w:tc>
          <w:tcPr>
            <w:tcW w:w="855" w:type="pct"/>
          </w:tcPr>
          <w:p w14:paraId="5B0FC17B" w14:textId="6632C3EB" w:rsidR="00F8419C" w:rsidRPr="00780204" w:rsidRDefault="00F8419C" w:rsidP="00CE7C01">
            <w:pPr>
              <w:jc w:val="right"/>
              <w:cnfStyle w:val="000000100000" w:firstRow="0" w:lastRow="0" w:firstColumn="0" w:lastColumn="0" w:oddVBand="0" w:evenVBand="0" w:oddHBand="1" w:evenHBand="0" w:firstRowFirstColumn="0" w:firstRowLastColumn="0" w:lastRowFirstColumn="0" w:lastRowLastColumn="0"/>
            </w:pPr>
            <w:r>
              <w:t>28,010</w:t>
            </w:r>
          </w:p>
        </w:tc>
      </w:tr>
      <w:tr w:rsidR="00F8419C" w14:paraId="0D8A1426"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vAlign w:val="top"/>
          </w:tcPr>
          <w:p w14:paraId="3A4034E5" w14:textId="4492ED28" w:rsidR="00F8419C" w:rsidRDefault="00F8419C" w:rsidP="00F8419C">
            <w:r>
              <w:t>STRR</w:t>
            </w:r>
          </w:p>
        </w:tc>
        <w:tc>
          <w:tcPr>
            <w:tcW w:w="271" w:type="pct"/>
          </w:tcPr>
          <w:p w14:paraId="4C3A0D02" w14:textId="5F0E0A0E"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6.0</w:t>
            </w:r>
          </w:p>
        </w:tc>
        <w:tc>
          <w:tcPr>
            <w:tcW w:w="1299" w:type="pct"/>
          </w:tcPr>
          <w:p w14:paraId="6A11DB11" w14:textId="1EE92324"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rPr>
                <w:color w:val="4A4D56"/>
              </w:rPr>
              <w:t>16</w:t>
            </w:r>
          </w:p>
        </w:tc>
        <w:tc>
          <w:tcPr>
            <w:tcW w:w="261" w:type="pct"/>
          </w:tcPr>
          <w:p w14:paraId="4A0E171B" w14:textId="223F1FB7"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0.742</w:t>
            </w:r>
          </w:p>
        </w:tc>
        <w:tc>
          <w:tcPr>
            <w:tcW w:w="307" w:type="pct"/>
          </w:tcPr>
          <w:p w14:paraId="19995149" w14:textId="0F187CEA"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12</w:t>
            </w:r>
          </w:p>
        </w:tc>
        <w:tc>
          <w:tcPr>
            <w:tcW w:w="307" w:type="pct"/>
          </w:tcPr>
          <w:p w14:paraId="29D01545" w14:textId="07E90D99"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12</w:t>
            </w:r>
          </w:p>
        </w:tc>
        <w:tc>
          <w:tcPr>
            <w:tcW w:w="307" w:type="pct"/>
          </w:tcPr>
          <w:p w14:paraId="2ECCB0F0" w14:textId="377DCE81"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12</w:t>
            </w:r>
          </w:p>
        </w:tc>
        <w:tc>
          <w:tcPr>
            <w:tcW w:w="307" w:type="pct"/>
          </w:tcPr>
          <w:p w14:paraId="7DACBBDA" w14:textId="5E53240C"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12</w:t>
            </w:r>
          </w:p>
        </w:tc>
        <w:tc>
          <w:tcPr>
            <w:tcW w:w="115" w:type="pct"/>
          </w:tcPr>
          <w:p w14:paraId="66AFA423" w14:textId="6CFC591F"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307" w:type="pct"/>
          </w:tcPr>
          <w:p w14:paraId="7B38BBFC" w14:textId="5535C07A"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0</w:t>
            </w:r>
          </w:p>
        </w:tc>
        <w:tc>
          <w:tcPr>
            <w:tcW w:w="115" w:type="pct"/>
          </w:tcPr>
          <w:p w14:paraId="4A90BA9E" w14:textId="6CAF560D"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w:t>
            </w:r>
          </w:p>
        </w:tc>
        <w:tc>
          <w:tcPr>
            <w:tcW w:w="855" w:type="pct"/>
          </w:tcPr>
          <w:p w14:paraId="2D5413D8" w14:textId="1981E81F" w:rsidR="00F8419C" w:rsidRPr="00780204" w:rsidRDefault="00F8419C" w:rsidP="00CE7C01">
            <w:pPr>
              <w:jc w:val="right"/>
              <w:cnfStyle w:val="000000010000" w:firstRow="0" w:lastRow="0" w:firstColumn="0" w:lastColumn="0" w:oddVBand="0" w:evenVBand="0" w:oddHBand="0" w:evenHBand="1" w:firstRowFirstColumn="0" w:firstRowLastColumn="0" w:lastRowFirstColumn="0" w:lastRowLastColumn="0"/>
            </w:pPr>
            <w:r>
              <w:t>70</w:t>
            </w:r>
          </w:p>
        </w:tc>
      </w:tr>
      <w:tr w:rsidR="002F3C1E" w14:paraId="213C0658"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820" w:type="pct"/>
            <w:gridSpan w:val="2"/>
            <w:shd w:val="clear" w:color="auto" w:fill="D9D9D9" w:themeFill="background1" w:themeFillShade="D9"/>
            <w:vAlign w:val="top"/>
          </w:tcPr>
          <w:p w14:paraId="2CFFC301" w14:textId="273D8943" w:rsidR="00F8419C" w:rsidRPr="00881B1B" w:rsidRDefault="00F8419C" w:rsidP="00F8419C">
            <w:pPr>
              <w:rPr>
                <w:rFonts w:ascii="Franklin Gothic Medium" w:hAnsi="Franklin Gothic Medium"/>
              </w:rPr>
            </w:pPr>
            <w:r w:rsidRPr="00881B1B">
              <w:rPr>
                <w:rFonts w:ascii="Franklin Gothic Medium" w:hAnsi="Franklin Gothic Medium"/>
              </w:rPr>
              <w:t>2024 CPAS</w:t>
            </w:r>
          </w:p>
        </w:tc>
        <w:tc>
          <w:tcPr>
            <w:tcW w:w="1299" w:type="pct"/>
            <w:shd w:val="clear" w:color="auto" w:fill="D9D9D9" w:themeFill="background1" w:themeFillShade="D9"/>
          </w:tcPr>
          <w:p w14:paraId="6AE8C272" w14:textId="377A50F1"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color w:val="4A4D56"/>
              </w:rPr>
              <w:t>62,825</w:t>
            </w:r>
          </w:p>
        </w:tc>
        <w:tc>
          <w:tcPr>
            <w:tcW w:w="261" w:type="pct"/>
            <w:shd w:val="clear" w:color="auto" w:fill="D9D9D9" w:themeFill="background1" w:themeFillShade="D9"/>
          </w:tcPr>
          <w:p w14:paraId="7E787B62" w14:textId="49D119B8"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0.906</w:t>
            </w:r>
          </w:p>
        </w:tc>
        <w:tc>
          <w:tcPr>
            <w:tcW w:w="307" w:type="pct"/>
            <w:shd w:val="clear" w:color="auto" w:fill="D9D9D9" w:themeFill="background1" w:themeFillShade="D9"/>
          </w:tcPr>
          <w:p w14:paraId="6F225510" w14:textId="75743D40"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56,903</w:t>
            </w:r>
          </w:p>
        </w:tc>
        <w:tc>
          <w:tcPr>
            <w:tcW w:w="307" w:type="pct"/>
            <w:shd w:val="clear" w:color="auto" w:fill="D9D9D9" w:themeFill="background1" w:themeFillShade="D9"/>
          </w:tcPr>
          <w:p w14:paraId="13262766" w14:textId="583AFD33"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56,903</w:t>
            </w:r>
          </w:p>
        </w:tc>
        <w:tc>
          <w:tcPr>
            <w:tcW w:w="307" w:type="pct"/>
            <w:shd w:val="clear" w:color="auto" w:fill="D9D9D9" w:themeFill="background1" w:themeFillShade="D9"/>
          </w:tcPr>
          <w:p w14:paraId="39C22CC7" w14:textId="11CD7929"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56,885</w:t>
            </w:r>
          </w:p>
        </w:tc>
        <w:tc>
          <w:tcPr>
            <w:tcW w:w="307" w:type="pct"/>
            <w:shd w:val="clear" w:color="auto" w:fill="D9D9D9" w:themeFill="background1" w:themeFillShade="D9"/>
          </w:tcPr>
          <w:p w14:paraId="693C9506" w14:textId="321F5680"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56,715</w:t>
            </w:r>
          </w:p>
        </w:tc>
        <w:tc>
          <w:tcPr>
            <w:tcW w:w="115" w:type="pct"/>
            <w:shd w:val="clear" w:color="auto" w:fill="D9D9D9" w:themeFill="background1" w:themeFillShade="D9"/>
          </w:tcPr>
          <w:p w14:paraId="542DF300" w14:textId="5EC5E09C"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shd w:val="clear" w:color="auto" w:fill="D9D9D9" w:themeFill="background1" w:themeFillShade="D9"/>
          </w:tcPr>
          <w:p w14:paraId="01D02F74" w14:textId="7C3170C1"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55,813</w:t>
            </w:r>
          </w:p>
        </w:tc>
        <w:tc>
          <w:tcPr>
            <w:tcW w:w="115" w:type="pct"/>
            <w:shd w:val="clear" w:color="auto" w:fill="D9D9D9" w:themeFill="background1" w:themeFillShade="D9"/>
          </w:tcPr>
          <w:p w14:paraId="2AB9308F" w14:textId="4144CA8F"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5" w:type="pct"/>
            <w:shd w:val="clear" w:color="auto" w:fill="D9D9D9" w:themeFill="background1" w:themeFillShade="D9"/>
          </w:tcPr>
          <w:p w14:paraId="1D88B95E" w14:textId="48AFBA30"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728,923</w:t>
            </w:r>
          </w:p>
        </w:tc>
      </w:tr>
      <w:tr w:rsidR="002F3C1E" w14:paraId="14614953"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380" w:type="pct"/>
            <w:gridSpan w:val="4"/>
            <w:shd w:val="clear" w:color="auto" w:fill="D9D9D9" w:themeFill="background1" w:themeFillShade="D9"/>
            <w:vAlign w:val="top"/>
          </w:tcPr>
          <w:p w14:paraId="34783655" w14:textId="5EFC3FE0" w:rsidR="00F8419C" w:rsidRPr="00881B1B" w:rsidRDefault="00F8419C" w:rsidP="00F8419C">
            <w:pPr>
              <w:rPr>
                <w:rFonts w:ascii="Franklin Gothic Medium" w:hAnsi="Franklin Gothic Medium"/>
              </w:rPr>
            </w:pPr>
            <w:r w:rsidRPr="00881B1B">
              <w:rPr>
                <w:rFonts w:ascii="Franklin Gothic Medium" w:hAnsi="Franklin Gothic Medium"/>
              </w:rPr>
              <w:t>Expiring 2024 CPAS</w:t>
            </w:r>
          </w:p>
        </w:tc>
        <w:tc>
          <w:tcPr>
            <w:tcW w:w="307" w:type="pct"/>
            <w:shd w:val="clear" w:color="auto" w:fill="D9D9D9" w:themeFill="background1" w:themeFillShade="D9"/>
          </w:tcPr>
          <w:p w14:paraId="02C91A7F" w14:textId="79151A52"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07" w:type="pct"/>
            <w:shd w:val="clear" w:color="auto" w:fill="D9D9D9" w:themeFill="background1" w:themeFillShade="D9"/>
          </w:tcPr>
          <w:p w14:paraId="780A35C7" w14:textId="3ED0DE78"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07" w:type="pct"/>
            <w:shd w:val="clear" w:color="auto" w:fill="D9D9D9" w:themeFill="background1" w:themeFillShade="D9"/>
          </w:tcPr>
          <w:p w14:paraId="3ABE039D" w14:textId="32CA2C5D"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18</w:t>
            </w:r>
          </w:p>
        </w:tc>
        <w:tc>
          <w:tcPr>
            <w:tcW w:w="307" w:type="pct"/>
            <w:shd w:val="clear" w:color="auto" w:fill="D9D9D9" w:themeFill="background1" w:themeFillShade="D9"/>
          </w:tcPr>
          <w:p w14:paraId="269D733B" w14:textId="6608101F"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171</w:t>
            </w:r>
          </w:p>
        </w:tc>
        <w:tc>
          <w:tcPr>
            <w:tcW w:w="115" w:type="pct"/>
            <w:shd w:val="clear" w:color="auto" w:fill="D9D9D9" w:themeFill="background1" w:themeFillShade="D9"/>
          </w:tcPr>
          <w:p w14:paraId="015A6612" w14:textId="0C10CB9A"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shd w:val="clear" w:color="auto" w:fill="D9D9D9" w:themeFill="background1" w:themeFillShade="D9"/>
          </w:tcPr>
          <w:p w14:paraId="040A6688" w14:textId="189E06F7"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603</w:t>
            </w:r>
          </w:p>
        </w:tc>
        <w:tc>
          <w:tcPr>
            <w:tcW w:w="115" w:type="pct"/>
            <w:shd w:val="clear" w:color="auto" w:fill="D9D9D9" w:themeFill="background1" w:themeFillShade="D9"/>
          </w:tcPr>
          <w:p w14:paraId="1E0C2668" w14:textId="55A0F5FE" w:rsidR="00F8419C"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5" w:type="pct"/>
            <w:tcBorders>
              <w:bottom w:val="nil"/>
              <w:right w:val="nil"/>
            </w:tcBorders>
            <w:shd w:val="clear" w:color="auto" w:fill="FFFFFF" w:themeFill="background1"/>
            <w:vAlign w:val="top"/>
          </w:tcPr>
          <w:p w14:paraId="532A2F31" w14:textId="77777777" w:rsidR="00F8419C" w:rsidRPr="00881B1B" w:rsidRDefault="00F8419C" w:rsidP="00F8419C">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3C1E" w14:paraId="05414EAB"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380" w:type="pct"/>
            <w:gridSpan w:val="4"/>
            <w:shd w:val="clear" w:color="auto" w:fill="D9D9D9" w:themeFill="background1" w:themeFillShade="D9"/>
            <w:vAlign w:val="top"/>
          </w:tcPr>
          <w:p w14:paraId="097CA100" w14:textId="1C6735F3" w:rsidR="00F8419C" w:rsidRPr="00881B1B" w:rsidRDefault="00F8419C" w:rsidP="00F8419C">
            <w:pPr>
              <w:rPr>
                <w:rFonts w:ascii="Franklin Gothic Medium" w:hAnsi="Franklin Gothic Medium"/>
              </w:rPr>
            </w:pPr>
            <w:r w:rsidRPr="00881B1B">
              <w:rPr>
                <w:rFonts w:ascii="Franklin Gothic Medium" w:hAnsi="Franklin Gothic Medium"/>
              </w:rPr>
              <w:t>Expired 2024 CPAS</w:t>
            </w:r>
          </w:p>
        </w:tc>
        <w:tc>
          <w:tcPr>
            <w:tcW w:w="307" w:type="pct"/>
            <w:shd w:val="clear" w:color="auto" w:fill="D9D9D9" w:themeFill="background1" w:themeFillShade="D9"/>
          </w:tcPr>
          <w:p w14:paraId="0D392491" w14:textId="6A9E25DA"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07" w:type="pct"/>
            <w:shd w:val="clear" w:color="auto" w:fill="D9D9D9" w:themeFill="background1" w:themeFillShade="D9"/>
          </w:tcPr>
          <w:p w14:paraId="643C7E8E" w14:textId="53F32DD7"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07" w:type="pct"/>
            <w:shd w:val="clear" w:color="auto" w:fill="D9D9D9" w:themeFill="background1" w:themeFillShade="D9"/>
          </w:tcPr>
          <w:p w14:paraId="7FCFEA0B" w14:textId="2FA53E71"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18</w:t>
            </w:r>
          </w:p>
        </w:tc>
        <w:tc>
          <w:tcPr>
            <w:tcW w:w="307" w:type="pct"/>
            <w:shd w:val="clear" w:color="auto" w:fill="D9D9D9" w:themeFill="background1" w:themeFillShade="D9"/>
          </w:tcPr>
          <w:p w14:paraId="6652ADBE" w14:textId="085FC795"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188</w:t>
            </w:r>
          </w:p>
        </w:tc>
        <w:tc>
          <w:tcPr>
            <w:tcW w:w="115" w:type="pct"/>
            <w:shd w:val="clear" w:color="auto" w:fill="D9D9D9" w:themeFill="background1" w:themeFillShade="D9"/>
          </w:tcPr>
          <w:p w14:paraId="0CE034B5" w14:textId="6EE5B4DF"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307" w:type="pct"/>
            <w:shd w:val="clear" w:color="auto" w:fill="D9D9D9" w:themeFill="background1" w:themeFillShade="D9"/>
          </w:tcPr>
          <w:p w14:paraId="1052BFB3" w14:textId="5021249C"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1,090</w:t>
            </w:r>
          </w:p>
        </w:tc>
        <w:tc>
          <w:tcPr>
            <w:tcW w:w="115" w:type="pct"/>
            <w:shd w:val="clear" w:color="auto" w:fill="D9D9D9" w:themeFill="background1" w:themeFillShade="D9"/>
          </w:tcPr>
          <w:p w14:paraId="5190F57E" w14:textId="17507450" w:rsidR="00F8419C" w:rsidRPr="00881B1B" w:rsidRDefault="00F8419C"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855" w:type="pct"/>
            <w:tcBorders>
              <w:top w:val="nil"/>
              <w:bottom w:val="nil"/>
              <w:right w:val="nil"/>
            </w:tcBorders>
            <w:shd w:val="clear" w:color="auto" w:fill="FFFFFF" w:themeFill="background1"/>
            <w:vAlign w:val="top"/>
          </w:tcPr>
          <w:p w14:paraId="4126B6D8" w14:textId="77777777" w:rsidR="00F8419C" w:rsidRPr="00881B1B" w:rsidRDefault="00F8419C" w:rsidP="00F8419C">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3C1E" w14:paraId="681201B2"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549" w:type="pct"/>
            <w:shd w:val="clear" w:color="auto" w:fill="D9D9D9" w:themeFill="background1" w:themeFillShade="D9"/>
            <w:vAlign w:val="top"/>
          </w:tcPr>
          <w:p w14:paraId="3573B390" w14:textId="77777777" w:rsidR="00C055A3" w:rsidRPr="00881B1B" w:rsidRDefault="00C055A3" w:rsidP="00C055A3">
            <w:pPr>
              <w:rPr>
                <w:rFonts w:ascii="Franklin Gothic Medium" w:hAnsi="Franklin Gothic Medium"/>
              </w:rPr>
            </w:pPr>
            <w:r w:rsidRPr="00881B1B">
              <w:rPr>
                <w:rFonts w:ascii="Franklin Gothic Medium" w:hAnsi="Franklin Gothic Medium"/>
              </w:rPr>
              <w:t>WAML</w:t>
            </w:r>
          </w:p>
        </w:tc>
        <w:tc>
          <w:tcPr>
            <w:tcW w:w="271" w:type="pct"/>
            <w:shd w:val="clear" w:color="auto" w:fill="D9D9D9" w:themeFill="background1" w:themeFillShade="D9"/>
            <w:vAlign w:val="top"/>
          </w:tcPr>
          <w:p w14:paraId="32BC730E" w14:textId="3CB3E27D" w:rsidR="00C055A3" w:rsidRPr="00881B1B" w:rsidRDefault="00F8419C"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12</w:t>
            </w:r>
            <w:r w:rsidR="00C055A3" w:rsidRPr="00881B1B">
              <w:rPr>
                <w:rFonts w:ascii="Franklin Gothic Medium" w:hAnsi="Franklin Gothic Medium"/>
              </w:rPr>
              <w:t>.</w:t>
            </w:r>
            <w:r w:rsidRPr="00881B1B">
              <w:rPr>
                <w:rFonts w:ascii="Franklin Gothic Medium" w:hAnsi="Franklin Gothic Medium"/>
              </w:rPr>
              <w:t>9</w:t>
            </w:r>
          </w:p>
        </w:tc>
        <w:tc>
          <w:tcPr>
            <w:tcW w:w="1299" w:type="pct"/>
            <w:tcBorders>
              <w:top w:val="nil"/>
              <w:bottom w:val="nil"/>
              <w:right w:val="nil"/>
            </w:tcBorders>
            <w:shd w:val="clear" w:color="auto" w:fill="FFFFFF" w:themeFill="background1"/>
            <w:vAlign w:val="top"/>
          </w:tcPr>
          <w:p w14:paraId="0296AE77"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61" w:type="pct"/>
            <w:tcBorders>
              <w:top w:val="nil"/>
              <w:left w:val="nil"/>
              <w:bottom w:val="nil"/>
              <w:right w:val="nil"/>
            </w:tcBorders>
            <w:shd w:val="clear" w:color="auto" w:fill="FFFFFF" w:themeFill="background1"/>
            <w:vAlign w:val="top"/>
          </w:tcPr>
          <w:p w14:paraId="69AFBE8E"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top w:val="nil"/>
              <w:left w:val="nil"/>
              <w:bottom w:val="nil"/>
              <w:right w:val="nil"/>
            </w:tcBorders>
            <w:shd w:val="clear" w:color="auto" w:fill="FFFFFF" w:themeFill="background1"/>
            <w:vAlign w:val="top"/>
          </w:tcPr>
          <w:p w14:paraId="162E37B1"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top w:val="nil"/>
              <w:left w:val="nil"/>
              <w:bottom w:val="nil"/>
              <w:right w:val="nil"/>
            </w:tcBorders>
            <w:shd w:val="clear" w:color="auto" w:fill="FFFFFF" w:themeFill="background1"/>
            <w:vAlign w:val="top"/>
          </w:tcPr>
          <w:p w14:paraId="061B2D36"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top w:val="nil"/>
              <w:left w:val="nil"/>
              <w:bottom w:val="nil"/>
              <w:right w:val="nil"/>
            </w:tcBorders>
            <w:shd w:val="clear" w:color="auto" w:fill="FFFFFF" w:themeFill="background1"/>
            <w:vAlign w:val="top"/>
          </w:tcPr>
          <w:p w14:paraId="5BA23506"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top w:val="nil"/>
              <w:left w:val="nil"/>
              <w:bottom w:val="nil"/>
              <w:right w:val="nil"/>
            </w:tcBorders>
            <w:shd w:val="clear" w:color="auto" w:fill="FFFFFF" w:themeFill="background1"/>
            <w:vAlign w:val="top"/>
          </w:tcPr>
          <w:p w14:paraId="78D92129"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5" w:type="pct"/>
            <w:tcBorders>
              <w:top w:val="nil"/>
              <w:left w:val="nil"/>
              <w:bottom w:val="nil"/>
              <w:right w:val="nil"/>
            </w:tcBorders>
            <w:shd w:val="clear" w:color="auto" w:fill="FFFFFF" w:themeFill="background1"/>
            <w:vAlign w:val="top"/>
          </w:tcPr>
          <w:p w14:paraId="3CDA1702"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07" w:type="pct"/>
            <w:tcBorders>
              <w:top w:val="nil"/>
              <w:left w:val="nil"/>
              <w:bottom w:val="nil"/>
              <w:right w:val="nil"/>
            </w:tcBorders>
            <w:shd w:val="clear" w:color="auto" w:fill="FFFFFF" w:themeFill="background1"/>
            <w:vAlign w:val="top"/>
          </w:tcPr>
          <w:p w14:paraId="15B17DF9"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5" w:type="pct"/>
            <w:tcBorders>
              <w:top w:val="nil"/>
              <w:left w:val="nil"/>
              <w:bottom w:val="nil"/>
              <w:right w:val="nil"/>
            </w:tcBorders>
            <w:shd w:val="clear" w:color="auto" w:fill="FFFFFF" w:themeFill="background1"/>
            <w:vAlign w:val="top"/>
          </w:tcPr>
          <w:p w14:paraId="553A6F8E"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55" w:type="pct"/>
            <w:tcBorders>
              <w:top w:val="nil"/>
              <w:left w:val="nil"/>
              <w:bottom w:val="nil"/>
              <w:right w:val="nil"/>
            </w:tcBorders>
            <w:shd w:val="clear" w:color="auto" w:fill="FFFFFF" w:themeFill="background1"/>
            <w:vAlign w:val="top"/>
          </w:tcPr>
          <w:p w14:paraId="3DD679F8" w14:textId="77777777" w:rsidR="00C055A3" w:rsidRPr="00881B1B" w:rsidRDefault="00C055A3" w:rsidP="00C055A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6ED7ABD9" w14:textId="5E2DF6D6" w:rsidR="007C7122" w:rsidRDefault="007C7122" w:rsidP="00881B1B">
      <w:pPr>
        <w:pStyle w:val="NoSpacing"/>
        <w:keepNext/>
        <w:keepLines/>
        <w:spacing w:before="240"/>
        <w:jc w:val="center"/>
      </w:pPr>
      <w:bookmarkStart w:id="109" w:name="_Toc191992544"/>
      <w:bookmarkStart w:id="110" w:name="_Toc192766957"/>
      <w:r>
        <w:lastRenderedPageBreak/>
        <w:t xml:space="preserve">Table </w:t>
      </w:r>
      <w:r>
        <w:fldChar w:fldCharType="begin"/>
      </w:r>
      <w:r>
        <w:instrText xml:space="preserve"> SEQ Table \* ARABIC </w:instrText>
      </w:r>
      <w:r>
        <w:fldChar w:fldCharType="separate"/>
      </w:r>
      <w:r w:rsidR="00AA10F4">
        <w:rPr>
          <w:noProof/>
        </w:rPr>
        <w:t>23</w:t>
      </w:r>
      <w:r>
        <w:fldChar w:fldCharType="end"/>
      </w:r>
      <w:r>
        <w:t>. 2024 Online Store Channel CPAS and WAML</w:t>
      </w:r>
      <w:bookmarkEnd w:id="109"/>
      <w:bookmarkEnd w:id="110"/>
    </w:p>
    <w:tbl>
      <w:tblPr>
        <w:tblStyle w:val="TableGrid"/>
        <w:tblpPr w:leftFromText="180" w:rightFromText="180" w:vertAnchor="text" w:horzAnchor="margin" w:tblpY="79"/>
        <w:tblW w:w="5000" w:type="pct"/>
        <w:jc w:val="left"/>
        <w:tblLook w:val="04A0" w:firstRow="1" w:lastRow="0" w:firstColumn="1" w:lastColumn="0" w:noHBand="0" w:noVBand="1"/>
      </w:tblPr>
      <w:tblGrid>
        <w:gridCol w:w="2894"/>
        <w:gridCol w:w="1309"/>
        <w:gridCol w:w="3453"/>
        <w:gridCol w:w="694"/>
        <w:gridCol w:w="694"/>
        <w:gridCol w:w="694"/>
        <w:gridCol w:w="694"/>
        <w:gridCol w:w="694"/>
        <w:gridCol w:w="306"/>
        <w:gridCol w:w="694"/>
        <w:gridCol w:w="306"/>
        <w:gridCol w:w="2274"/>
      </w:tblGrid>
      <w:tr w:rsidR="007C7122" w14:paraId="5C0E9C0D" w14:textId="77777777" w:rsidTr="002F3C1E">
        <w:trPr>
          <w:cnfStyle w:val="100000000000" w:firstRow="1" w:lastRow="0" w:firstColumn="0" w:lastColumn="0" w:oddVBand="0" w:evenVBand="0" w:oddHBand="0"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984" w:type="pct"/>
            <w:vMerge w:val="restart"/>
            <w:tcBorders>
              <w:bottom w:val="single" w:sz="4" w:space="0" w:color="4D4D4F"/>
            </w:tcBorders>
          </w:tcPr>
          <w:p w14:paraId="73AF1C6A" w14:textId="117EC136" w:rsidR="007C7122" w:rsidRDefault="000B1B6F" w:rsidP="008700F8">
            <w:pPr>
              <w:pStyle w:val="TableHeadingLeft"/>
            </w:pPr>
            <w:r>
              <w:t>Measure</w:t>
            </w:r>
          </w:p>
        </w:tc>
        <w:tc>
          <w:tcPr>
            <w:tcW w:w="445" w:type="pct"/>
            <w:vMerge w:val="restart"/>
            <w:tcBorders>
              <w:top w:val="single" w:sz="4" w:space="0" w:color="4D4D4F"/>
              <w:left w:val="single" w:sz="4" w:space="0" w:color="4D4D4F"/>
              <w:bottom w:val="single" w:sz="4" w:space="0" w:color="4D4D4F"/>
              <w:right w:val="single" w:sz="4" w:space="0" w:color="4D4D4F"/>
            </w:tcBorders>
          </w:tcPr>
          <w:p w14:paraId="1FE20ECA" w14:textId="58545718" w:rsidR="007C7122" w:rsidRDefault="000B1B6F" w:rsidP="008700F8">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174" w:type="pct"/>
            <w:vMerge w:val="restart"/>
            <w:tcBorders>
              <w:top w:val="single" w:sz="4" w:space="0" w:color="4D4D4F"/>
              <w:left w:val="single" w:sz="4" w:space="0" w:color="4D4D4F"/>
              <w:bottom w:val="single" w:sz="4" w:space="0" w:color="4D4D4F"/>
              <w:right w:val="single" w:sz="4" w:space="0" w:color="4D4D4F"/>
            </w:tcBorders>
          </w:tcPr>
          <w:p w14:paraId="3E5E24BD" w14:textId="77777777" w:rsidR="007C7122" w:rsidRDefault="007C7122"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36" w:type="pct"/>
            <w:vMerge w:val="restart"/>
            <w:tcBorders>
              <w:top w:val="single" w:sz="4" w:space="0" w:color="4D4D4F"/>
              <w:left w:val="single" w:sz="4" w:space="0" w:color="4D4D4F"/>
              <w:bottom w:val="single" w:sz="4" w:space="0" w:color="4D4D4F"/>
              <w:right w:val="single" w:sz="4" w:space="0" w:color="4D4D4F"/>
            </w:tcBorders>
          </w:tcPr>
          <w:p w14:paraId="3CB439D5" w14:textId="77777777" w:rsidR="007C7122" w:rsidRDefault="007C7122"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87" w:type="pct"/>
            <w:gridSpan w:val="7"/>
            <w:tcBorders>
              <w:top w:val="single" w:sz="4" w:space="0" w:color="4D4D4F"/>
              <w:left w:val="single" w:sz="4" w:space="0" w:color="4D4D4F"/>
              <w:bottom w:val="single" w:sz="4" w:space="0" w:color="4D4D4F"/>
              <w:right w:val="single" w:sz="4" w:space="0" w:color="4D4D4F"/>
            </w:tcBorders>
          </w:tcPr>
          <w:p w14:paraId="691B6BAE" w14:textId="77777777" w:rsidR="007C7122" w:rsidRDefault="007C7122"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774" w:type="pct"/>
            <w:vMerge w:val="restart"/>
            <w:tcBorders>
              <w:top w:val="single" w:sz="4" w:space="0" w:color="4D4D4F"/>
              <w:left w:val="single" w:sz="4" w:space="0" w:color="4D4D4F"/>
              <w:bottom w:val="single" w:sz="4" w:space="0" w:color="4D4D4F"/>
              <w:right w:val="single" w:sz="4" w:space="0" w:color="4D4D4F"/>
            </w:tcBorders>
          </w:tcPr>
          <w:p w14:paraId="5BFEE11A" w14:textId="77777777" w:rsidR="007C7122" w:rsidRDefault="007C7122"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3C1E" w14:paraId="3FB08D98" w14:textId="77777777" w:rsidTr="002F3C1E">
        <w:trPr>
          <w:cnfStyle w:val="000000100000" w:firstRow="0" w:lastRow="0" w:firstColumn="0" w:lastColumn="0" w:oddVBand="0" w:evenVBand="0" w:oddHBand="1"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984" w:type="pct"/>
            <w:vMerge/>
          </w:tcPr>
          <w:p w14:paraId="3785975C" w14:textId="77777777" w:rsidR="007C7122" w:rsidRDefault="007C7122" w:rsidP="008700F8"/>
        </w:tc>
        <w:tc>
          <w:tcPr>
            <w:tcW w:w="445" w:type="pct"/>
            <w:vMerge/>
          </w:tcPr>
          <w:p w14:paraId="1B0C68D6" w14:textId="77777777" w:rsidR="007C7122" w:rsidRDefault="007C7122" w:rsidP="008700F8">
            <w:pPr>
              <w:cnfStyle w:val="000000100000" w:firstRow="0" w:lastRow="0" w:firstColumn="0" w:lastColumn="0" w:oddVBand="0" w:evenVBand="0" w:oddHBand="1" w:evenHBand="0" w:firstRowFirstColumn="0" w:firstRowLastColumn="0" w:lastRowFirstColumn="0" w:lastRowLastColumn="0"/>
            </w:pPr>
          </w:p>
        </w:tc>
        <w:tc>
          <w:tcPr>
            <w:tcW w:w="1174" w:type="pct"/>
            <w:vMerge/>
          </w:tcPr>
          <w:p w14:paraId="461E8700" w14:textId="77777777" w:rsidR="007C7122" w:rsidRDefault="007C7122" w:rsidP="008700F8">
            <w:pPr>
              <w:cnfStyle w:val="000000100000" w:firstRow="0" w:lastRow="0" w:firstColumn="0" w:lastColumn="0" w:oddVBand="0" w:evenVBand="0" w:oddHBand="1" w:evenHBand="0" w:firstRowFirstColumn="0" w:firstRowLastColumn="0" w:lastRowFirstColumn="0" w:lastRowLastColumn="0"/>
            </w:pPr>
          </w:p>
        </w:tc>
        <w:tc>
          <w:tcPr>
            <w:tcW w:w="236" w:type="pct"/>
            <w:vMerge/>
          </w:tcPr>
          <w:p w14:paraId="1C2DD9C1" w14:textId="77777777" w:rsidR="007C7122" w:rsidRDefault="007C7122" w:rsidP="008700F8">
            <w:pPr>
              <w:cnfStyle w:val="000000100000" w:firstRow="0" w:lastRow="0" w:firstColumn="0" w:lastColumn="0" w:oddVBand="0" w:evenVBand="0" w:oddHBand="1" w:evenHBand="0" w:firstRowFirstColumn="0" w:firstRowLastColumn="0" w:lastRowFirstColumn="0" w:lastRowLastColumn="0"/>
            </w:pPr>
          </w:p>
        </w:tc>
        <w:tc>
          <w:tcPr>
            <w:tcW w:w="236" w:type="pct"/>
            <w:shd w:val="clear" w:color="auto" w:fill="053572" w:themeFill="text2"/>
          </w:tcPr>
          <w:p w14:paraId="260770EB"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36" w:type="pct"/>
            <w:shd w:val="clear" w:color="auto" w:fill="053572" w:themeFill="text2"/>
          </w:tcPr>
          <w:p w14:paraId="0683BCDE"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36" w:type="pct"/>
            <w:shd w:val="clear" w:color="auto" w:fill="053572" w:themeFill="text2"/>
          </w:tcPr>
          <w:p w14:paraId="06F14DCB"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36" w:type="pct"/>
            <w:shd w:val="clear" w:color="auto" w:fill="053572" w:themeFill="text2"/>
          </w:tcPr>
          <w:p w14:paraId="7242209C"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04" w:type="pct"/>
            <w:shd w:val="clear" w:color="auto" w:fill="053572" w:themeFill="text2"/>
          </w:tcPr>
          <w:p w14:paraId="6DEA05E4"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36" w:type="pct"/>
            <w:shd w:val="clear" w:color="auto" w:fill="053572" w:themeFill="text2"/>
          </w:tcPr>
          <w:p w14:paraId="45F0FA88"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04" w:type="pct"/>
            <w:shd w:val="clear" w:color="auto" w:fill="053572" w:themeFill="text2"/>
          </w:tcPr>
          <w:p w14:paraId="48C8133D" w14:textId="77777777" w:rsidR="007C7122" w:rsidRDefault="007C7122" w:rsidP="00870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774" w:type="pct"/>
            <w:vMerge/>
          </w:tcPr>
          <w:p w14:paraId="3E96F137" w14:textId="77777777" w:rsidR="007C7122" w:rsidRDefault="007C7122" w:rsidP="008700F8">
            <w:pPr>
              <w:cnfStyle w:val="000000100000" w:firstRow="0" w:lastRow="0" w:firstColumn="0" w:lastColumn="0" w:oddVBand="0" w:evenVBand="0" w:oddHBand="1" w:evenHBand="0" w:firstRowFirstColumn="0" w:firstRowLastColumn="0" w:lastRowFirstColumn="0" w:lastRowLastColumn="0"/>
            </w:pPr>
          </w:p>
        </w:tc>
      </w:tr>
      <w:tr w:rsidR="00F61EB7" w14:paraId="1409B600"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tcPr>
          <w:p w14:paraId="7334C60D" w14:textId="086F11F7" w:rsidR="00F61EB7" w:rsidRDefault="00F61EB7" w:rsidP="00F61EB7">
            <w:r>
              <w:t>Advanced Thermostats</w:t>
            </w:r>
          </w:p>
        </w:tc>
        <w:tc>
          <w:tcPr>
            <w:tcW w:w="445" w:type="pct"/>
          </w:tcPr>
          <w:p w14:paraId="4A9EC5A7" w14:textId="2A6E9E2B"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11.0</w:t>
            </w:r>
          </w:p>
        </w:tc>
        <w:tc>
          <w:tcPr>
            <w:tcW w:w="1174" w:type="pct"/>
          </w:tcPr>
          <w:p w14:paraId="481164EB" w14:textId="2BC88D48"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1,913</w:t>
            </w:r>
          </w:p>
        </w:tc>
        <w:tc>
          <w:tcPr>
            <w:tcW w:w="236" w:type="pct"/>
          </w:tcPr>
          <w:p w14:paraId="5E596FA0" w14:textId="1C74E756"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0.9</w:t>
            </w:r>
            <w:r w:rsidR="003F4FDE">
              <w:t>08</w:t>
            </w:r>
          </w:p>
        </w:tc>
        <w:tc>
          <w:tcPr>
            <w:tcW w:w="236" w:type="pct"/>
          </w:tcPr>
          <w:p w14:paraId="281C2851" w14:textId="05D16D10"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1,737 </w:t>
            </w:r>
          </w:p>
        </w:tc>
        <w:tc>
          <w:tcPr>
            <w:tcW w:w="236" w:type="pct"/>
          </w:tcPr>
          <w:p w14:paraId="5B436113" w14:textId="30CF7FEF"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1,737 </w:t>
            </w:r>
          </w:p>
        </w:tc>
        <w:tc>
          <w:tcPr>
            <w:tcW w:w="236" w:type="pct"/>
          </w:tcPr>
          <w:p w14:paraId="42EFF1D7" w14:textId="76FAA43E"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1,737 </w:t>
            </w:r>
          </w:p>
        </w:tc>
        <w:tc>
          <w:tcPr>
            <w:tcW w:w="236" w:type="pct"/>
          </w:tcPr>
          <w:p w14:paraId="0A1D9A14" w14:textId="0FBDFE1E"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1,737 </w:t>
            </w:r>
          </w:p>
        </w:tc>
        <w:tc>
          <w:tcPr>
            <w:tcW w:w="104" w:type="pct"/>
          </w:tcPr>
          <w:p w14:paraId="2CACA3FE" w14:textId="22C0524C"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236" w:type="pct"/>
          </w:tcPr>
          <w:p w14:paraId="761C1FFC" w14:textId="7AD02EA2"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1,737 </w:t>
            </w:r>
          </w:p>
        </w:tc>
        <w:tc>
          <w:tcPr>
            <w:tcW w:w="104" w:type="pct"/>
          </w:tcPr>
          <w:p w14:paraId="30040926" w14:textId="718AF409"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774" w:type="pct"/>
          </w:tcPr>
          <w:p w14:paraId="25DFC15C" w14:textId="55ACA09A"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19,109 </w:t>
            </w:r>
          </w:p>
        </w:tc>
      </w:tr>
      <w:tr w:rsidR="00F61EB7" w14:paraId="1A8E342E"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tcPr>
          <w:p w14:paraId="5397CDBA" w14:textId="5A9A11FB" w:rsidR="00F61EB7" w:rsidRDefault="00F61EB7" w:rsidP="00F61EB7">
            <w:r>
              <w:t>Advanced Power Strips – Tier 1</w:t>
            </w:r>
          </w:p>
        </w:tc>
        <w:tc>
          <w:tcPr>
            <w:tcW w:w="445" w:type="pct"/>
          </w:tcPr>
          <w:p w14:paraId="01BC4D76" w14:textId="0A54EE92"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7.0</w:t>
            </w:r>
          </w:p>
        </w:tc>
        <w:tc>
          <w:tcPr>
            <w:tcW w:w="1174" w:type="pct"/>
          </w:tcPr>
          <w:p w14:paraId="2FF46922" w14:textId="7C748B75"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332</w:t>
            </w:r>
          </w:p>
        </w:tc>
        <w:tc>
          <w:tcPr>
            <w:tcW w:w="236" w:type="pct"/>
          </w:tcPr>
          <w:p w14:paraId="4E71F8D9" w14:textId="7E9519C4"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1.</w:t>
            </w:r>
            <w:r w:rsidR="003F4FDE">
              <w:t>161</w:t>
            </w:r>
          </w:p>
        </w:tc>
        <w:tc>
          <w:tcPr>
            <w:tcW w:w="236" w:type="pct"/>
          </w:tcPr>
          <w:p w14:paraId="05646FDB" w14:textId="019344B1"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38</w:t>
            </w:r>
            <w:r w:rsidR="003F4FDE">
              <w:t>5</w:t>
            </w:r>
            <w:r w:rsidRPr="00E251B4">
              <w:t xml:space="preserve"> </w:t>
            </w:r>
          </w:p>
        </w:tc>
        <w:tc>
          <w:tcPr>
            <w:tcW w:w="236" w:type="pct"/>
          </w:tcPr>
          <w:p w14:paraId="7923E1EC" w14:textId="62CDE72F"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384</w:t>
            </w:r>
            <w:r w:rsidR="003F4FDE">
              <w:t>5</w:t>
            </w:r>
          </w:p>
        </w:tc>
        <w:tc>
          <w:tcPr>
            <w:tcW w:w="236" w:type="pct"/>
          </w:tcPr>
          <w:p w14:paraId="709F11DE" w14:textId="5F2F02D6"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38</w:t>
            </w:r>
            <w:r w:rsidR="003F4FDE">
              <w:t>5</w:t>
            </w:r>
          </w:p>
        </w:tc>
        <w:tc>
          <w:tcPr>
            <w:tcW w:w="236" w:type="pct"/>
          </w:tcPr>
          <w:p w14:paraId="217D6AA9" w14:textId="58AA4EC6"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38</w:t>
            </w:r>
            <w:r w:rsidR="003F4FDE">
              <w:t>5</w:t>
            </w:r>
          </w:p>
        </w:tc>
        <w:tc>
          <w:tcPr>
            <w:tcW w:w="104" w:type="pct"/>
          </w:tcPr>
          <w:p w14:paraId="6371965B" w14:textId="76344FF3"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 </w:t>
            </w:r>
          </w:p>
        </w:tc>
        <w:tc>
          <w:tcPr>
            <w:tcW w:w="236" w:type="pct"/>
          </w:tcPr>
          <w:p w14:paraId="17A20D68" w14:textId="21FDD2FE" w:rsidR="00F61EB7" w:rsidRDefault="001210D9" w:rsidP="00CE7C01">
            <w:pPr>
              <w:jc w:val="right"/>
              <w:cnfStyle w:val="000000100000" w:firstRow="0" w:lastRow="0" w:firstColumn="0" w:lastColumn="0" w:oddVBand="0" w:evenVBand="0" w:oddHBand="1" w:evenHBand="0" w:firstRowFirstColumn="0" w:firstRowLastColumn="0" w:lastRowFirstColumn="0" w:lastRowLastColumn="0"/>
            </w:pPr>
            <w:r>
              <w:t>385</w:t>
            </w:r>
          </w:p>
        </w:tc>
        <w:tc>
          <w:tcPr>
            <w:tcW w:w="104" w:type="pct"/>
          </w:tcPr>
          <w:p w14:paraId="3EE91B49" w14:textId="32D0574F"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 </w:t>
            </w:r>
          </w:p>
        </w:tc>
        <w:tc>
          <w:tcPr>
            <w:tcW w:w="774" w:type="pct"/>
          </w:tcPr>
          <w:p w14:paraId="0FC88475" w14:textId="3DDE6E57" w:rsidR="00F61EB7"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2,</w:t>
            </w:r>
            <w:r w:rsidR="00A5222C">
              <w:t>697</w:t>
            </w:r>
          </w:p>
        </w:tc>
      </w:tr>
      <w:tr w:rsidR="00F61EB7" w14:paraId="06791595"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tcPr>
          <w:p w14:paraId="5C747A9D" w14:textId="52645A30" w:rsidR="00F61EB7" w:rsidRDefault="00F61EB7" w:rsidP="00F61EB7">
            <w:r>
              <w:t>LED Bulbs and Fixtures</w:t>
            </w:r>
          </w:p>
        </w:tc>
        <w:tc>
          <w:tcPr>
            <w:tcW w:w="445" w:type="pct"/>
          </w:tcPr>
          <w:p w14:paraId="7B90B1D2" w14:textId="59CDAC7D"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11.6</w:t>
            </w:r>
          </w:p>
        </w:tc>
        <w:tc>
          <w:tcPr>
            <w:tcW w:w="1174" w:type="pct"/>
          </w:tcPr>
          <w:p w14:paraId="7902CEDB" w14:textId="547BD20B"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178</w:t>
            </w:r>
          </w:p>
        </w:tc>
        <w:tc>
          <w:tcPr>
            <w:tcW w:w="236" w:type="pct"/>
          </w:tcPr>
          <w:p w14:paraId="7BC69447" w14:textId="6438C112"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w:t>
            </w:r>
            <w:r w:rsidR="003F4FDE">
              <w:t>1</w:t>
            </w:r>
            <w:r w:rsidR="008750FB">
              <w:t>61</w:t>
            </w:r>
          </w:p>
        </w:tc>
        <w:tc>
          <w:tcPr>
            <w:tcW w:w="236" w:type="pct"/>
          </w:tcPr>
          <w:p w14:paraId="0C335737" w14:textId="193BDDDE"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20</w:t>
            </w:r>
            <w:r w:rsidR="003F4FDE">
              <w:t>6</w:t>
            </w:r>
          </w:p>
        </w:tc>
        <w:tc>
          <w:tcPr>
            <w:tcW w:w="236" w:type="pct"/>
          </w:tcPr>
          <w:p w14:paraId="28A5905B" w14:textId="2309764C"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20</w:t>
            </w:r>
            <w:r w:rsidR="003F4FDE">
              <w:t>6</w:t>
            </w:r>
          </w:p>
        </w:tc>
        <w:tc>
          <w:tcPr>
            <w:tcW w:w="236" w:type="pct"/>
          </w:tcPr>
          <w:p w14:paraId="729FAF73" w14:textId="133A9C7F"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20</w:t>
            </w:r>
            <w:r w:rsidR="003F4FDE">
              <w:t>6</w:t>
            </w:r>
            <w:r w:rsidRPr="00E251B4">
              <w:t xml:space="preserve"> </w:t>
            </w:r>
          </w:p>
        </w:tc>
        <w:tc>
          <w:tcPr>
            <w:tcW w:w="236" w:type="pct"/>
          </w:tcPr>
          <w:p w14:paraId="731AB80C" w14:textId="4E2B71F4"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20</w:t>
            </w:r>
            <w:r w:rsidR="003F4FDE">
              <w:t>6</w:t>
            </w:r>
          </w:p>
        </w:tc>
        <w:tc>
          <w:tcPr>
            <w:tcW w:w="104" w:type="pct"/>
          </w:tcPr>
          <w:p w14:paraId="6313AC81" w14:textId="405AC29A"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236" w:type="pct"/>
          </w:tcPr>
          <w:p w14:paraId="04CDAC5B" w14:textId="2DED4391"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20</w:t>
            </w:r>
            <w:r w:rsidR="001210D9">
              <w:t>6</w:t>
            </w:r>
          </w:p>
        </w:tc>
        <w:tc>
          <w:tcPr>
            <w:tcW w:w="104" w:type="pct"/>
          </w:tcPr>
          <w:p w14:paraId="6159CA37" w14:textId="690A717E"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774" w:type="pct"/>
          </w:tcPr>
          <w:p w14:paraId="4CAF91CC" w14:textId="5C9D44F0" w:rsidR="00F61EB7"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w:t>
            </w:r>
            <w:r w:rsidR="00A5222C">
              <w:t>392</w:t>
            </w:r>
          </w:p>
        </w:tc>
      </w:tr>
      <w:tr w:rsidR="00F61EB7" w14:paraId="5602821B"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tcPr>
          <w:p w14:paraId="6E3D99C4" w14:textId="0A6E588E" w:rsidR="00F61EB7" w:rsidRDefault="00F61EB7" w:rsidP="00F61EB7">
            <w:r>
              <w:t>Lighting Controls</w:t>
            </w:r>
          </w:p>
        </w:tc>
        <w:tc>
          <w:tcPr>
            <w:tcW w:w="445" w:type="pct"/>
          </w:tcPr>
          <w:p w14:paraId="4C40ED96" w14:textId="51E2975F"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10.0</w:t>
            </w:r>
          </w:p>
        </w:tc>
        <w:tc>
          <w:tcPr>
            <w:tcW w:w="1174" w:type="pct"/>
          </w:tcPr>
          <w:p w14:paraId="71E77738" w14:textId="370EB611"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14</w:t>
            </w:r>
          </w:p>
        </w:tc>
        <w:tc>
          <w:tcPr>
            <w:tcW w:w="236" w:type="pct"/>
          </w:tcPr>
          <w:p w14:paraId="57D5967B" w14:textId="79F862B4"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1.16</w:t>
            </w:r>
            <w:r w:rsidR="003F4FDE">
              <w:t>1</w:t>
            </w:r>
          </w:p>
        </w:tc>
        <w:tc>
          <w:tcPr>
            <w:tcW w:w="236" w:type="pct"/>
          </w:tcPr>
          <w:p w14:paraId="37FABF55" w14:textId="0D8384B2"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17 </w:t>
            </w:r>
          </w:p>
        </w:tc>
        <w:tc>
          <w:tcPr>
            <w:tcW w:w="236" w:type="pct"/>
          </w:tcPr>
          <w:p w14:paraId="298AE0C5" w14:textId="01E0B48C"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17 </w:t>
            </w:r>
          </w:p>
        </w:tc>
        <w:tc>
          <w:tcPr>
            <w:tcW w:w="236" w:type="pct"/>
          </w:tcPr>
          <w:p w14:paraId="4FDDA495" w14:textId="1F840A0A"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17 </w:t>
            </w:r>
          </w:p>
        </w:tc>
        <w:tc>
          <w:tcPr>
            <w:tcW w:w="236" w:type="pct"/>
          </w:tcPr>
          <w:p w14:paraId="04FFB8C1" w14:textId="3F994E24"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17 </w:t>
            </w:r>
          </w:p>
        </w:tc>
        <w:tc>
          <w:tcPr>
            <w:tcW w:w="104" w:type="pct"/>
          </w:tcPr>
          <w:p w14:paraId="615F88AC" w14:textId="7360CAEA"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 </w:t>
            </w:r>
          </w:p>
        </w:tc>
        <w:tc>
          <w:tcPr>
            <w:tcW w:w="236" w:type="pct"/>
          </w:tcPr>
          <w:p w14:paraId="290B100B" w14:textId="5F123D4C"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17 </w:t>
            </w:r>
          </w:p>
        </w:tc>
        <w:tc>
          <w:tcPr>
            <w:tcW w:w="104" w:type="pct"/>
          </w:tcPr>
          <w:p w14:paraId="28733C81" w14:textId="2AD3C145"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 </w:t>
            </w:r>
          </w:p>
        </w:tc>
        <w:tc>
          <w:tcPr>
            <w:tcW w:w="774" w:type="pct"/>
          </w:tcPr>
          <w:p w14:paraId="67E4F7C7" w14:textId="5775FAB8" w:rsidR="00F61EB7" w:rsidRPr="00780204" w:rsidRDefault="00F61EB7" w:rsidP="00CE7C01">
            <w:pPr>
              <w:jc w:val="right"/>
              <w:cnfStyle w:val="000000100000" w:firstRow="0" w:lastRow="0" w:firstColumn="0" w:lastColumn="0" w:oddVBand="0" w:evenVBand="0" w:oddHBand="1" w:evenHBand="0" w:firstRowFirstColumn="0" w:firstRowLastColumn="0" w:lastRowFirstColumn="0" w:lastRowLastColumn="0"/>
            </w:pPr>
            <w:r w:rsidRPr="00E251B4">
              <w:t xml:space="preserve">168 </w:t>
            </w:r>
          </w:p>
        </w:tc>
      </w:tr>
      <w:tr w:rsidR="00F61EB7" w14:paraId="29B4125A"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tcPr>
          <w:p w14:paraId="39462678" w14:textId="64205BFA" w:rsidR="00F61EB7" w:rsidRDefault="00F61EB7" w:rsidP="00F61EB7">
            <w:r>
              <w:t>Smart Sockets</w:t>
            </w:r>
          </w:p>
        </w:tc>
        <w:tc>
          <w:tcPr>
            <w:tcW w:w="445" w:type="pct"/>
          </w:tcPr>
          <w:p w14:paraId="533E8935" w14:textId="5E89B286"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7.0</w:t>
            </w:r>
          </w:p>
        </w:tc>
        <w:tc>
          <w:tcPr>
            <w:tcW w:w="1174" w:type="pct"/>
          </w:tcPr>
          <w:p w14:paraId="21229843" w14:textId="0CE8D5DA"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3</w:t>
            </w:r>
          </w:p>
        </w:tc>
        <w:tc>
          <w:tcPr>
            <w:tcW w:w="236" w:type="pct"/>
          </w:tcPr>
          <w:p w14:paraId="47380C4B" w14:textId="665C790B"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1.1</w:t>
            </w:r>
            <w:r w:rsidR="008750FB">
              <w:t>61</w:t>
            </w:r>
          </w:p>
        </w:tc>
        <w:tc>
          <w:tcPr>
            <w:tcW w:w="236" w:type="pct"/>
          </w:tcPr>
          <w:p w14:paraId="4C3C7DCD" w14:textId="4CEFD36F"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3 </w:t>
            </w:r>
          </w:p>
        </w:tc>
        <w:tc>
          <w:tcPr>
            <w:tcW w:w="236" w:type="pct"/>
          </w:tcPr>
          <w:p w14:paraId="47B2F22C" w14:textId="39B20F04"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3 </w:t>
            </w:r>
          </w:p>
        </w:tc>
        <w:tc>
          <w:tcPr>
            <w:tcW w:w="236" w:type="pct"/>
          </w:tcPr>
          <w:p w14:paraId="37014D83" w14:textId="6063A320"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3 </w:t>
            </w:r>
          </w:p>
        </w:tc>
        <w:tc>
          <w:tcPr>
            <w:tcW w:w="236" w:type="pct"/>
          </w:tcPr>
          <w:p w14:paraId="48077806" w14:textId="6A720912"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3 </w:t>
            </w:r>
          </w:p>
        </w:tc>
        <w:tc>
          <w:tcPr>
            <w:tcW w:w="104" w:type="pct"/>
          </w:tcPr>
          <w:p w14:paraId="61946B6C" w14:textId="3E745156"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236" w:type="pct"/>
          </w:tcPr>
          <w:p w14:paraId="15EA07FF" w14:textId="5C5E798A" w:rsidR="00F61EB7" w:rsidRPr="00780204" w:rsidRDefault="001210D9" w:rsidP="00CE7C01">
            <w:pPr>
              <w:jc w:val="right"/>
              <w:cnfStyle w:val="000000010000" w:firstRow="0" w:lastRow="0" w:firstColumn="0" w:lastColumn="0" w:oddVBand="0" w:evenVBand="0" w:oddHBand="0" w:evenHBand="1" w:firstRowFirstColumn="0" w:firstRowLastColumn="0" w:lastRowFirstColumn="0" w:lastRowLastColumn="0"/>
            </w:pPr>
            <w:r>
              <w:t>3</w:t>
            </w:r>
          </w:p>
        </w:tc>
        <w:tc>
          <w:tcPr>
            <w:tcW w:w="104" w:type="pct"/>
          </w:tcPr>
          <w:p w14:paraId="4E417B7B" w14:textId="72CB5252"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 xml:space="preserve">… </w:t>
            </w:r>
          </w:p>
        </w:tc>
        <w:tc>
          <w:tcPr>
            <w:tcW w:w="774" w:type="pct"/>
          </w:tcPr>
          <w:p w14:paraId="412B0037" w14:textId="04253320" w:rsidR="00F61EB7" w:rsidRPr="00780204" w:rsidRDefault="00F61EB7" w:rsidP="00CE7C01">
            <w:pPr>
              <w:jc w:val="right"/>
              <w:cnfStyle w:val="000000010000" w:firstRow="0" w:lastRow="0" w:firstColumn="0" w:lastColumn="0" w:oddVBand="0" w:evenVBand="0" w:oddHBand="0" w:evenHBand="1" w:firstRowFirstColumn="0" w:firstRowLastColumn="0" w:lastRowFirstColumn="0" w:lastRowLastColumn="0"/>
            </w:pPr>
            <w:r w:rsidRPr="00E251B4">
              <w:t>22</w:t>
            </w:r>
            <w:r w:rsidR="008750FB">
              <w:t>3</w:t>
            </w:r>
          </w:p>
        </w:tc>
      </w:tr>
      <w:tr w:rsidR="002F3C1E" w14:paraId="2C68BE2C"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429" w:type="pct"/>
            <w:gridSpan w:val="2"/>
            <w:shd w:val="clear" w:color="auto" w:fill="D9D9D9" w:themeFill="background1" w:themeFillShade="D9"/>
            <w:vAlign w:val="top"/>
          </w:tcPr>
          <w:p w14:paraId="53242BF5" w14:textId="5231D349" w:rsidR="00F61EB7" w:rsidRPr="00881B1B" w:rsidRDefault="00F61EB7" w:rsidP="00F61EB7">
            <w:pPr>
              <w:rPr>
                <w:rFonts w:ascii="Franklin Gothic Medium" w:hAnsi="Franklin Gothic Medium"/>
              </w:rPr>
            </w:pPr>
            <w:r w:rsidRPr="00881B1B">
              <w:rPr>
                <w:rFonts w:ascii="Franklin Gothic Medium" w:hAnsi="Franklin Gothic Medium"/>
              </w:rPr>
              <w:t>2024 CPAS</w:t>
            </w:r>
          </w:p>
        </w:tc>
        <w:tc>
          <w:tcPr>
            <w:tcW w:w="1174" w:type="pct"/>
            <w:shd w:val="clear" w:color="auto" w:fill="D9D9D9" w:themeFill="background1" w:themeFillShade="D9"/>
          </w:tcPr>
          <w:p w14:paraId="2DB72C79" w14:textId="75EF1937"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2,439</w:t>
            </w:r>
          </w:p>
        </w:tc>
        <w:tc>
          <w:tcPr>
            <w:tcW w:w="236" w:type="pct"/>
            <w:shd w:val="clear" w:color="auto" w:fill="D9D9D9" w:themeFill="background1" w:themeFillShade="D9"/>
          </w:tcPr>
          <w:p w14:paraId="6731F46C" w14:textId="7053AAE0"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0.96</w:t>
            </w:r>
            <w:r w:rsidR="008750FB" w:rsidRPr="00881B1B">
              <w:rPr>
                <w:rFonts w:ascii="Franklin Gothic Medium" w:hAnsi="Franklin Gothic Medium"/>
              </w:rPr>
              <w:t>3</w:t>
            </w:r>
          </w:p>
        </w:tc>
        <w:tc>
          <w:tcPr>
            <w:tcW w:w="236" w:type="pct"/>
            <w:shd w:val="clear" w:color="auto" w:fill="D9D9D9" w:themeFill="background1" w:themeFillShade="D9"/>
          </w:tcPr>
          <w:p w14:paraId="027AC49B" w14:textId="2EF0F853"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2,34</w:t>
            </w:r>
            <w:r w:rsidR="008750FB" w:rsidRPr="00881B1B">
              <w:rPr>
                <w:rFonts w:ascii="Franklin Gothic Medium" w:hAnsi="Franklin Gothic Medium"/>
              </w:rPr>
              <w:t>9</w:t>
            </w:r>
          </w:p>
        </w:tc>
        <w:tc>
          <w:tcPr>
            <w:tcW w:w="236" w:type="pct"/>
            <w:shd w:val="clear" w:color="auto" w:fill="D9D9D9" w:themeFill="background1" w:themeFillShade="D9"/>
          </w:tcPr>
          <w:p w14:paraId="3AD51AF7" w14:textId="7C0ABB65"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2,34</w:t>
            </w:r>
            <w:r w:rsidR="008750FB" w:rsidRPr="00881B1B">
              <w:rPr>
                <w:rFonts w:ascii="Franklin Gothic Medium" w:hAnsi="Franklin Gothic Medium"/>
              </w:rPr>
              <w:t>9</w:t>
            </w:r>
          </w:p>
        </w:tc>
        <w:tc>
          <w:tcPr>
            <w:tcW w:w="236" w:type="pct"/>
            <w:shd w:val="clear" w:color="auto" w:fill="D9D9D9" w:themeFill="background1" w:themeFillShade="D9"/>
          </w:tcPr>
          <w:p w14:paraId="1C785977" w14:textId="74C768C4"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2,34</w:t>
            </w:r>
            <w:r w:rsidR="008750FB" w:rsidRPr="00881B1B">
              <w:rPr>
                <w:rFonts w:ascii="Franklin Gothic Medium" w:hAnsi="Franklin Gothic Medium"/>
              </w:rPr>
              <w:t>9</w:t>
            </w:r>
          </w:p>
        </w:tc>
        <w:tc>
          <w:tcPr>
            <w:tcW w:w="236" w:type="pct"/>
            <w:shd w:val="clear" w:color="auto" w:fill="D9D9D9" w:themeFill="background1" w:themeFillShade="D9"/>
          </w:tcPr>
          <w:p w14:paraId="500CEBA4" w14:textId="42C5C02F"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2,34</w:t>
            </w:r>
            <w:r w:rsidR="008750FB" w:rsidRPr="00881B1B">
              <w:rPr>
                <w:rFonts w:ascii="Franklin Gothic Medium" w:hAnsi="Franklin Gothic Medium"/>
              </w:rPr>
              <w:t>9</w:t>
            </w:r>
          </w:p>
        </w:tc>
        <w:tc>
          <w:tcPr>
            <w:tcW w:w="104" w:type="pct"/>
            <w:shd w:val="clear" w:color="auto" w:fill="D9D9D9" w:themeFill="background1" w:themeFillShade="D9"/>
          </w:tcPr>
          <w:p w14:paraId="1AB8E260" w14:textId="4E262B3D"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w:t>
            </w:r>
          </w:p>
        </w:tc>
        <w:tc>
          <w:tcPr>
            <w:tcW w:w="236" w:type="pct"/>
            <w:shd w:val="clear" w:color="auto" w:fill="D9D9D9" w:themeFill="background1" w:themeFillShade="D9"/>
          </w:tcPr>
          <w:p w14:paraId="41D130A7" w14:textId="0F262F20" w:rsidR="00F61EB7" w:rsidRPr="00881B1B" w:rsidRDefault="001210D9"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2,34</w:t>
            </w:r>
            <w:r w:rsidR="008750FB" w:rsidRPr="00881B1B">
              <w:rPr>
                <w:rFonts w:ascii="Franklin Gothic Medium" w:hAnsi="Franklin Gothic Medium"/>
              </w:rPr>
              <w:t>9</w:t>
            </w:r>
            <w:r w:rsidR="00F61EB7" w:rsidRPr="00881B1B">
              <w:rPr>
                <w:rFonts w:ascii="Franklin Gothic Medium" w:hAnsi="Franklin Gothic Medium"/>
              </w:rPr>
              <w:t xml:space="preserve"> </w:t>
            </w:r>
          </w:p>
        </w:tc>
        <w:tc>
          <w:tcPr>
            <w:tcW w:w="104" w:type="pct"/>
            <w:shd w:val="clear" w:color="auto" w:fill="D9D9D9" w:themeFill="background1" w:themeFillShade="D9"/>
          </w:tcPr>
          <w:p w14:paraId="11443DDA" w14:textId="399110B1"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w:t>
            </w:r>
          </w:p>
        </w:tc>
        <w:tc>
          <w:tcPr>
            <w:tcW w:w="774" w:type="pct"/>
            <w:shd w:val="clear" w:color="auto" w:fill="D9D9D9" w:themeFill="background1" w:themeFillShade="D9"/>
          </w:tcPr>
          <w:p w14:paraId="02059D1B" w14:textId="000DE4EC" w:rsidR="00F61EB7" w:rsidRPr="00881B1B" w:rsidRDefault="00F61EB7"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24,3</w:t>
            </w:r>
            <w:r w:rsidR="008750FB" w:rsidRPr="00881B1B">
              <w:rPr>
                <w:rFonts w:ascii="Franklin Gothic Medium" w:hAnsi="Franklin Gothic Medium"/>
              </w:rPr>
              <w:t>90</w:t>
            </w:r>
            <w:r w:rsidRPr="00881B1B">
              <w:rPr>
                <w:rFonts w:ascii="Franklin Gothic Medium" w:hAnsi="Franklin Gothic Medium"/>
              </w:rPr>
              <w:t xml:space="preserve"> </w:t>
            </w:r>
          </w:p>
        </w:tc>
      </w:tr>
      <w:tr w:rsidR="00881B1B" w14:paraId="5034B424"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839" w:type="pct"/>
            <w:gridSpan w:val="4"/>
            <w:shd w:val="clear" w:color="auto" w:fill="D9D9D9" w:themeFill="background1" w:themeFillShade="D9"/>
            <w:vAlign w:val="top"/>
          </w:tcPr>
          <w:p w14:paraId="4FB49AEA" w14:textId="2B896F75" w:rsidR="00881B1B" w:rsidRPr="00881B1B" w:rsidRDefault="00881B1B" w:rsidP="00881B1B">
            <w:pPr>
              <w:rPr>
                <w:rFonts w:ascii="Franklin Gothic Medium" w:hAnsi="Franklin Gothic Medium"/>
              </w:rPr>
            </w:pPr>
            <w:r w:rsidRPr="00881B1B">
              <w:rPr>
                <w:rFonts w:ascii="Franklin Gothic Medium" w:hAnsi="Franklin Gothic Medium"/>
              </w:rPr>
              <w:t>Expiring 2024 CPAS</w:t>
            </w:r>
          </w:p>
        </w:tc>
        <w:tc>
          <w:tcPr>
            <w:tcW w:w="236" w:type="pct"/>
            <w:shd w:val="clear" w:color="auto" w:fill="D9D9D9" w:themeFill="background1" w:themeFillShade="D9"/>
          </w:tcPr>
          <w:p w14:paraId="5EA7E277" w14:textId="1C595AD4"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69A7D8CD" w14:textId="21AB579F"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67352E0D" w14:textId="72F50456"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7E34930B" w14:textId="28E253F8"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104" w:type="pct"/>
            <w:shd w:val="clear" w:color="auto" w:fill="D9D9D9" w:themeFill="background1" w:themeFillShade="D9"/>
          </w:tcPr>
          <w:p w14:paraId="41FA0388" w14:textId="34336D37"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236" w:type="pct"/>
            <w:shd w:val="clear" w:color="auto" w:fill="D9D9D9" w:themeFill="background1" w:themeFillShade="D9"/>
          </w:tcPr>
          <w:p w14:paraId="2F666009" w14:textId="3EC1327D"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104" w:type="pct"/>
            <w:shd w:val="clear" w:color="auto" w:fill="D9D9D9" w:themeFill="background1" w:themeFillShade="D9"/>
          </w:tcPr>
          <w:p w14:paraId="057EF4C4" w14:textId="77777777" w:rsidR="00881B1B" w:rsidRPr="00881B1B" w:rsidRDefault="00881B1B"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74" w:type="pct"/>
            <w:tcBorders>
              <w:top w:val="nil"/>
              <w:bottom w:val="nil"/>
              <w:right w:val="nil"/>
            </w:tcBorders>
            <w:shd w:val="clear" w:color="auto" w:fill="FFFFFF" w:themeFill="background1"/>
            <w:vAlign w:val="top"/>
          </w:tcPr>
          <w:p w14:paraId="7280BF38" w14:textId="77777777" w:rsidR="00881B1B" w:rsidRPr="00881B1B" w:rsidRDefault="00881B1B" w:rsidP="00881B1B">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881B1B" w14:paraId="5AA5432E"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839" w:type="pct"/>
            <w:gridSpan w:val="4"/>
            <w:shd w:val="clear" w:color="auto" w:fill="D9D9D9" w:themeFill="background1" w:themeFillShade="D9"/>
            <w:vAlign w:val="top"/>
          </w:tcPr>
          <w:p w14:paraId="7A7AA76C" w14:textId="560EE159" w:rsidR="00881B1B" w:rsidRPr="00881B1B" w:rsidRDefault="00881B1B" w:rsidP="00881B1B">
            <w:pPr>
              <w:rPr>
                <w:rFonts w:ascii="Franklin Gothic Medium" w:hAnsi="Franklin Gothic Medium"/>
              </w:rPr>
            </w:pPr>
            <w:r w:rsidRPr="00881B1B">
              <w:rPr>
                <w:rFonts w:ascii="Franklin Gothic Medium" w:hAnsi="Franklin Gothic Medium"/>
              </w:rPr>
              <w:t>Expired 2024 CPAS</w:t>
            </w:r>
          </w:p>
        </w:tc>
        <w:tc>
          <w:tcPr>
            <w:tcW w:w="236" w:type="pct"/>
            <w:shd w:val="clear" w:color="auto" w:fill="D9D9D9" w:themeFill="background1" w:themeFillShade="D9"/>
          </w:tcPr>
          <w:p w14:paraId="4E75D0D8" w14:textId="73383AE0"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18D9DCFE" w14:textId="3F014379"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78FFACAD" w14:textId="6E631889"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236" w:type="pct"/>
            <w:shd w:val="clear" w:color="auto" w:fill="D9D9D9" w:themeFill="background1" w:themeFillShade="D9"/>
          </w:tcPr>
          <w:p w14:paraId="03904FBA" w14:textId="01C8BE0D"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F54416">
              <w:rPr>
                <w:rFonts w:ascii="Franklin Gothic Medium" w:hAnsi="Franklin Gothic Medium"/>
              </w:rPr>
              <w:t>0</w:t>
            </w:r>
          </w:p>
        </w:tc>
        <w:tc>
          <w:tcPr>
            <w:tcW w:w="104" w:type="pct"/>
            <w:shd w:val="clear" w:color="auto" w:fill="D9D9D9" w:themeFill="background1" w:themeFillShade="D9"/>
          </w:tcPr>
          <w:p w14:paraId="524F552E" w14:textId="0031DF5A"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236" w:type="pct"/>
            <w:shd w:val="clear" w:color="auto" w:fill="D9D9D9" w:themeFill="background1" w:themeFillShade="D9"/>
          </w:tcPr>
          <w:p w14:paraId="4883B1E8" w14:textId="5A05DA68"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104" w:type="pct"/>
            <w:shd w:val="clear" w:color="auto" w:fill="D9D9D9" w:themeFill="background1" w:themeFillShade="D9"/>
          </w:tcPr>
          <w:p w14:paraId="7F4CF635" w14:textId="77777777" w:rsidR="00881B1B" w:rsidRPr="00881B1B" w:rsidRDefault="00881B1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74" w:type="pct"/>
            <w:tcBorders>
              <w:top w:val="nil"/>
              <w:bottom w:val="nil"/>
              <w:right w:val="nil"/>
            </w:tcBorders>
            <w:shd w:val="clear" w:color="auto" w:fill="FFFFFF" w:themeFill="background1"/>
            <w:vAlign w:val="top"/>
          </w:tcPr>
          <w:p w14:paraId="468E42CB" w14:textId="77777777" w:rsidR="00881B1B" w:rsidRPr="00881B1B" w:rsidRDefault="00881B1B" w:rsidP="00881B1B">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3C1E" w14:paraId="0519215D"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84" w:type="pct"/>
            <w:shd w:val="clear" w:color="auto" w:fill="D9D9D9" w:themeFill="background1" w:themeFillShade="D9"/>
            <w:vAlign w:val="top"/>
          </w:tcPr>
          <w:p w14:paraId="110F28F6" w14:textId="77777777" w:rsidR="007C7122" w:rsidRPr="00881B1B" w:rsidRDefault="007C7122" w:rsidP="008700F8">
            <w:pPr>
              <w:rPr>
                <w:rFonts w:ascii="Franklin Gothic Medium" w:hAnsi="Franklin Gothic Medium"/>
              </w:rPr>
            </w:pPr>
            <w:r w:rsidRPr="00881B1B">
              <w:rPr>
                <w:rFonts w:ascii="Franklin Gothic Medium" w:hAnsi="Franklin Gothic Medium"/>
              </w:rPr>
              <w:t>WAML</w:t>
            </w:r>
          </w:p>
        </w:tc>
        <w:tc>
          <w:tcPr>
            <w:tcW w:w="445" w:type="pct"/>
            <w:shd w:val="clear" w:color="auto" w:fill="D9D9D9" w:themeFill="background1" w:themeFillShade="D9"/>
          </w:tcPr>
          <w:p w14:paraId="0DA31267" w14:textId="4E2DC7DB" w:rsidR="007C7122" w:rsidRPr="00881B1B" w:rsidRDefault="00F61EB7"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10.5</w:t>
            </w:r>
          </w:p>
        </w:tc>
        <w:tc>
          <w:tcPr>
            <w:tcW w:w="1174" w:type="pct"/>
            <w:tcBorders>
              <w:top w:val="nil"/>
              <w:bottom w:val="nil"/>
              <w:right w:val="nil"/>
            </w:tcBorders>
            <w:shd w:val="clear" w:color="auto" w:fill="FFFFFF" w:themeFill="background1"/>
          </w:tcPr>
          <w:p w14:paraId="4405B343" w14:textId="77777777" w:rsidR="007C7122" w:rsidRPr="00881B1B" w:rsidRDefault="007C7122"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29BAF3DF"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042A8663"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6E72254E"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2C0E1B05"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342F680F"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4" w:type="pct"/>
            <w:tcBorders>
              <w:top w:val="nil"/>
              <w:left w:val="nil"/>
              <w:bottom w:val="nil"/>
              <w:right w:val="nil"/>
            </w:tcBorders>
            <w:shd w:val="clear" w:color="auto" w:fill="FFFFFF" w:themeFill="background1"/>
            <w:vAlign w:val="top"/>
          </w:tcPr>
          <w:p w14:paraId="19B7C7BE"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6" w:type="pct"/>
            <w:tcBorders>
              <w:top w:val="nil"/>
              <w:left w:val="nil"/>
              <w:bottom w:val="nil"/>
              <w:right w:val="nil"/>
            </w:tcBorders>
            <w:shd w:val="clear" w:color="auto" w:fill="FFFFFF" w:themeFill="background1"/>
            <w:vAlign w:val="top"/>
          </w:tcPr>
          <w:p w14:paraId="3A7671A8"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4" w:type="pct"/>
            <w:tcBorders>
              <w:top w:val="nil"/>
              <w:left w:val="nil"/>
              <w:bottom w:val="nil"/>
              <w:right w:val="nil"/>
            </w:tcBorders>
            <w:shd w:val="clear" w:color="auto" w:fill="FFFFFF" w:themeFill="background1"/>
            <w:vAlign w:val="top"/>
          </w:tcPr>
          <w:p w14:paraId="6CF30542"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774" w:type="pct"/>
            <w:tcBorders>
              <w:top w:val="nil"/>
              <w:left w:val="nil"/>
              <w:bottom w:val="nil"/>
              <w:right w:val="nil"/>
            </w:tcBorders>
            <w:shd w:val="clear" w:color="auto" w:fill="FFFFFF" w:themeFill="background1"/>
            <w:vAlign w:val="top"/>
          </w:tcPr>
          <w:p w14:paraId="421D9CE7" w14:textId="77777777" w:rsidR="007C7122" w:rsidRPr="00881B1B" w:rsidRDefault="007C7122"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4D37F5D4" w14:textId="34CE7041" w:rsidR="007C7122" w:rsidRPr="007C7122" w:rsidRDefault="007C7122" w:rsidP="002220FC">
      <w:pPr>
        <w:pStyle w:val="NoSpacing"/>
        <w:spacing w:before="240"/>
        <w:jc w:val="center"/>
      </w:pPr>
      <w:bookmarkStart w:id="111" w:name="_Ref187238527"/>
      <w:bookmarkStart w:id="112" w:name="_Toc191992545"/>
      <w:bookmarkStart w:id="113" w:name="_Toc192766958"/>
      <w:r w:rsidRPr="007C7122">
        <w:t xml:space="preserve">Table </w:t>
      </w:r>
      <w:r w:rsidRPr="007C7122">
        <w:fldChar w:fldCharType="begin"/>
      </w:r>
      <w:r w:rsidRPr="007C7122">
        <w:instrText xml:space="preserve"> SEQ Table \* ARABIC </w:instrText>
      </w:r>
      <w:r w:rsidRPr="007C7122">
        <w:fldChar w:fldCharType="separate"/>
      </w:r>
      <w:r w:rsidR="00AA10F4">
        <w:rPr>
          <w:noProof/>
        </w:rPr>
        <w:t>24</w:t>
      </w:r>
      <w:r w:rsidRPr="007C7122">
        <w:fldChar w:fldCharType="end"/>
      </w:r>
      <w:bookmarkEnd w:id="111"/>
      <w:r w:rsidRPr="007C7122">
        <w:t>. 2024 BOC Training CPAS and WAML</w:t>
      </w:r>
      <w:bookmarkEnd w:id="112"/>
      <w:bookmarkEnd w:id="113"/>
    </w:p>
    <w:tbl>
      <w:tblPr>
        <w:tblStyle w:val="TableGrid"/>
        <w:tblpPr w:leftFromText="180" w:rightFromText="180" w:vertAnchor="text" w:horzAnchor="margin" w:tblpY="337"/>
        <w:tblW w:w="5000" w:type="pct"/>
        <w:jc w:val="left"/>
        <w:tblLook w:val="04A0" w:firstRow="1" w:lastRow="0" w:firstColumn="1" w:lastColumn="0" w:noHBand="0" w:noVBand="1"/>
      </w:tblPr>
      <w:tblGrid>
        <w:gridCol w:w="2815"/>
        <w:gridCol w:w="1297"/>
        <w:gridCol w:w="3532"/>
        <w:gridCol w:w="721"/>
        <w:gridCol w:w="744"/>
        <w:gridCol w:w="115"/>
        <w:gridCol w:w="629"/>
        <w:gridCol w:w="41"/>
        <w:gridCol w:w="703"/>
        <w:gridCol w:w="79"/>
        <w:gridCol w:w="665"/>
        <w:gridCol w:w="294"/>
        <w:gridCol w:w="615"/>
        <w:gridCol w:w="294"/>
        <w:gridCol w:w="2162"/>
      </w:tblGrid>
      <w:tr w:rsidR="002F3C1E" w14:paraId="26F910B9" w14:textId="77777777" w:rsidTr="002F3C1E">
        <w:trPr>
          <w:cnfStyle w:val="100000000000" w:firstRow="1" w:lastRow="0" w:firstColumn="0" w:lastColumn="0" w:oddVBand="0" w:evenVBand="0" w:oddHBand="0"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957" w:type="pct"/>
            <w:vMerge w:val="restart"/>
            <w:tcBorders>
              <w:bottom w:val="single" w:sz="4" w:space="0" w:color="4D4D4F"/>
            </w:tcBorders>
          </w:tcPr>
          <w:p w14:paraId="71C39D75" w14:textId="236061E2" w:rsidR="007C7122" w:rsidRDefault="000B1B6F" w:rsidP="007C7122">
            <w:pPr>
              <w:pStyle w:val="TableHeadingLeft"/>
            </w:pPr>
            <w:r>
              <w:t>Measure</w:t>
            </w:r>
          </w:p>
        </w:tc>
        <w:tc>
          <w:tcPr>
            <w:tcW w:w="441" w:type="pct"/>
            <w:vMerge w:val="restart"/>
            <w:tcBorders>
              <w:top w:val="single" w:sz="4" w:space="0" w:color="4D4D4F"/>
              <w:left w:val="single" w:sz="4" w:space="0" w:color="4D4D4F"/>
              <w:bottom w:val="single" w:sz="4" w:space="0" w:color="4D4D4F"/>
              <w:right w:val="single" w:sz="4" w:space="0" w:color="4D4D4F"/>
            </w:tcBorders>
          </w:tcPr>
          <w:p w14:paraId="787C7ED2" w14:textId="2F9A977A" w:rsidR="007C7122" w:rsidRDefault="000B1B6F" w:rsidP="00CE7C01">
            <w:pPr>
              <w:pStyle w:val="TableHeadingCentered"/>
              <w:jc w:val="right"/>
              <w:cnfStyle w:val="100000000000" w:firstRow="1" w:lastRow="0" w:firstColumn="0" w:lastColumn="0" w:oddVBand="0" w:evenVBand="0" w:oddHBand="0" w:evenHBand="0" w:firstRowFirstColumn="0" w:firstRowLastColumn="0" w:lastRowFirstColumn="0" w:lastRowLastColumn="0"/>
            </w:pPr>
            <w:r>
              <w:t>Measure Life</w:t>
            </w:r>
          </w:p>
        </w:tc>
        <w:tc>
          <w:tcPr>
            <w:tcW w:w="1201" w:type="pct"/>
            <w:vMerge w:val="restart"/>
            <w:tcBorders>
              <w:top w:val="single" w:sz="4" w:space="0" w:color="4D4D4F"/>
              <w:left w:val="single" w:sz="4" w:space="0" w:color="4D4D4F"/>
              <w:bottom w:val="single" w:sz="4" w:space="0" w:color="4D4D4F"/>
              <w:right w:val="single" w:sz="4" w:space="0" w:color="4D4D4F"/>
            </w:tcBorders>
          </w:tcPr>
          <w:p w14:paraId="5B1A3F17" w14:textId="77777777" w:rsidR="007C7122" w:rsidRDefault="007C7122" w:rsidP="002F3C1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45" w:type="pct"/>
            <w:vMerge w:val="restart"/>
            <w:tcBorders>
              <w:top w:val="single" w:sz="4" w:space="0" w:color="4D4D4F"/>
              <w:left w:val="single" w:sz="4" w:space="0" w:color="4D4D4F"/>
              <w:bottom w:val="single" w:sz="4" w:space="0" w:color="4D4D4F"/>
              <w:right w:val="single" w:sz="4" w:space="0" w:color="4D4D4F"/>
            </w:tcBorders>
          </w:tcPr>
          <w:p w14:paraId="18F3387D" w14:textId="77777777" w:rsidR="007C7122" w:rsidRDefault="007C7122" w:rsidP="002F3C1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421" w:type="pct"/>
            <w:gridSpan w:val="10"/>
            <w:tcBorders>
              <w:top w:val="single" w:sz="4" w:space="0" w:color="4D4D4F"/>
              <w:left w:val="single" w:sz="4" w:space="0" w:color="4D4D4F"/>
              <w:bottom w:val="single" w:sz="4" w:space="0" w:color="4D4D4F"/>
              <w:right w:val="single" w:sz="4" w:space="0" w:color="4D4D4F"/>
            </w:tcBorders>
          </w:tcPr>
          <w:p w14:paraId="45CAD2CD" w14:textId="77777777" w:rsidR="007C7122" w:rsidRDefault="007C7122" w:rsidP="00CE7C01">
            <w:pPr>
              <w:pStyle w:val="TableHeadingCentered"/>
              <w:jc w:val="right"/>
              <w:cnfStyle w:val="100000000000" w:firstRow="1" w:lastRow="0" w:firstColumn="0" w:lastColumn="0" w:oddVBand="0" w:evenVBand="0" w:oddHBand="0" w:evenHBand="0" w:firstRowFirstColumn="0" w:firstRowLastColumn="0" w:lastRowFirstColumn="0" w:lastRowLastColumn="0"/>
            </w:pPr>
            <w:r>
              <w:t>CPAS – Verified Net Savings (MWh)</w:t>
            </w:r>
          </w:p>
        </w:tc>
        <w:tc>
          <w:tcPr>
            <w:tcW w:w="735" w:type="pct"/>
            <w:vMerge w:val="restart"/>
            <w:tcBorders>
              <w:top w:val="single" w:sz="4" w:space="0" w:color="4D4D4F"/>
              <w:left w:val="single" w:sz="4" w:space="0" w:color="4D4D4F"/>
              <w:bottom w:val="single" w:sz="4" w:space="0" w:color="4D4D4F"/>
              <w:right w:val="single" w:sz="4" w:space="0" w:color="4D4D4F"/>
            </w:tcBorders>
          </w:tcPr>
          <w:p w14:paraId="1105CF94" w14:textId="77777777" w:rsidR="007C7122" w:rsidRDefault="007C7122" w:rsidP="00CE7C01">
            <w:pPr>
              <w:pStyle w:val="TableHeadingCentered"/>
              <w:jc w:val="right"/>
              <w:cnfStyle w:val="100000000000" w:firstRow="1" w:lastRow="0" w:firstColumn="0" w:lastColumn="0" w:oddVBand="0" w:evenVBand="0" w:oddHBand="0" w:evenHBand="0" w:firstRowFirstColumn="0" w:firstRowLastColumn="0" w:lastRowFirstColumn="0" w:lastRowLastColumn="0"/>
            </w:pPr>
            <w:r>
              <w:t>Lifetime Savings (MWh)</w:t>
            </w:r>
          </w:p>
        </w:tc>
      </w:tr>
      <w:tr w:rsidR="002F3C1E" w14:paraId="1C0CCE3A" w14:textId="77777777" w:rsidTr="002F3C1E">
        <w:trPr>
          <w:cnfStyle w:val="000000100000" w:firstRow="0" w:lastRow="0" w:firstColumn="0" w:lastColumn="0" w:oddVBand="0" w:evenVBand="0" w:oddHBand="1" w:evenHBand="0" w:firstRowFirstColumn="0" w:firstRowLastColumn="0" w:lastRowFirstColumn="0" w:lastRowLastColumn="0"/>
          <w:trHeight w:val="225"/>
          <w:jc w:val="left"/>
        </w:trPr>
        <w:tc>
          <w:tcPr>
            <w:cnfStyle w:val="001000000000" w:firstRow="0" w:lastRow="0" w:firstColumn="1" w:lastColumn="0" w:oddVBand="0" w:evenVBand="0" w:oddHBand="0" w:evenHBand="0" w:firstRowFirstColumn="0" w:firstRowLastColumn="0" w:lastRowFirstColumn="0" w:lastRowLastColumn="0"/>
            <w:tcW w:w="957" w:type="pct"/>
            <w:vMerge/>
          </w:tcPr>
          <w:p w14:paraId="3C034646" w14:textId="77777777" w:rsidR="007C7122" w:rsidRDefault="007C7122" w:rsidP="007C7122"/>
        </w:tc>
        <w:tc>
          <w:tcPr>
            <w:tcW w:w="441" w:type="pct"/>
            <w:vMerge/>
          </w:tcPr>
          <w:p w14:paraId="64ABC6B1" w14:textId="77777777" w:rsidR="007C7122" w:rsidRDefault="007C7122" w:rsidP="00CE7C01">
            <w:pPr>
              <w:jc w:val="right"/>
              <w:cnfStyle w:val="000000100000" w:firstRow="0" w:lastRow="0" w:firstColumn="0" w:lastColumn="0" w:oddVBand="0" w:evenVBand="0" w:oddHBand="1" w:evenHBand="0" w:firstRowFirstColumn="0" w:firstRowLastColumn="0" w:lastRowFirstColumn="0" w:lastRowLastColumn="0"/>
            </w:pPr>
          </w:p>
        </w:tc>
        <w:tc>
          <w:tcPr>
            <w:tcW w:w="1201" w:type="pct"/>
            <w:vMerge/>
          </w:tcPr>
          <w:p w14:paraId="2CF25748" w14:textId="77777777" w:rsidR="007C7122" w:rsidRDefault="007C7122" w:rsidP="00CE7C01">
            <w:pPr>
              <w:jc w:val="right"/>
              <w:cnfStyle w:val="000000100000" w:firstRow="0" w:lastRow="0" w:firstColumn="0" w:lastColumn="0" w:oddVBand="0" w:evenVBand="0" w:oddHBand="1" w:evenHBand="0" w:firstRowFirstColumn="0" w:firstRowLastColumn="0" w:lastRowFirstColumn="0" w:lastRowLastColumn="0"/>
            </w:pPr>
          </w:p>
        </w:tc>
        <w:tc>
          <w:tcPr>
            <w:tcW w:w="245" w:type="pct"/>
            <w:vMerge/>
          </w:tcPr>
          <w:p w14:paraId="680B3CF8" w14:textId="77777777" w:rsidR="007C7122" w:rsidRDefault="007C7122" w:rsidP="00CE7C01">
            <w:pPr>
              <w:jc w:val="right"/>
              <w:cnfStyle w:val="000000100000" w:firstRow="0" w:lastRow="0" w:firstColumn="0" w:lastColumn="0" w:oddVBand="0" w:evenVBand="0" w:oddHBand="1" w:evenHBand="0" w:firstRowFirstColumn="0" w:firstRowLastColumn="0" w:lastRowFirstColumn="0" w:lastRowLastColumn="0"/>
            </w:pPr>
          </w:p>
        </w:tc>
        <w:tc>
          <w:tcPr>
            <w:tcW w:w="253" w:type="pct"/>
            <w:shd w:val="clear" w:color="auto" w:fill="053572" w:themeFill="text2"/>
          </w:tcPr>
          <w:p w14:paraId="122EF1CE"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53" w:type="pct"/>
            <w:gridSpan w:val="2"/>
            <w:shd w:val="clear" w:color="auto" w:fill="053572" w:themeFill="text2"/>
          </w:tcPr>
          <w:p w14:paraId="2DFF1B0B"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53" w:type="pct"/>
            <w:gridSpan w:val="2"/>
            <w:shd w:val="clear" w:color="auto" w:fill="053572" w:themeFill="text2"/>
          </w:tcPr>
          <w:p w14:paraId="2EBD391B"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53" w:type="pct"/>
            <w:gridSpan w:val="2"/>
            <w:shd w:val="clear" w:color="auto" w:fill="053572" w:themeFill="text2"/>
          </w:tcPr>
          <w:p w14:paraId="2C449EEC"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00" w:type="pct"/>
            <w:shd w:val="clear" w:color="auto" w:fill="053572" w:themeFill="text2"/>
          </w:tcPr>
          <w:p w14:paraId="5F917C9A"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09" w:type="pct"/>
            <w:shd w:val="clear" w:color="auto" w:fill="053572" w:themeFill="text2"/>
          </w:tcPr>
          <w:p w14:paraId="6B661AFA"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00" w:type="pct"/>
            <w:shd w:val="clear" w:color="auto" w:fill="053572" w:themeFill="text2"/>
          </w:tcPr>
          <w:p w14:paraId="4725CC66" w14:textId="77777777" w:rsidR="007C7122" w:rsidRDefault="007C7122"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735" w:type="pct"/>
            <w:vMerge/>
          </w:tcPr>
          <w:p w14:paraId="101F4E55" w14:textId="77777777" w:rsidR="007C7122" w:rsidRDefault="007C7122" w:rsidP="00CE7C01">
            <w:pPr>
              <w:jc w:val="right"/>
              <w:cnfStyle w:val="000000100000" w:firstRow="0" w:lastRow="0" w:firstColumn="0" w:lastColumn="0" w:oddVBand="0" w:evenVBand="0" w:oddHBand="1" w:evenHBand="0" w:firstRowFirstColumn="0" w:firstRowLastColumn="0" w:lastRowFirstColumn="0" w:lastRowLastColumn="0"/>
            </w:pPr>
          </w:p>
        </w:tc>
      </w:tr>
      <w:tr w:rsidR="002F3C1E" w14:paraId="26A4645E"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57" w:type="pct"/>
            <w:vAlign w:val="top"/>
          </w:tcPr>
          <w:p w14:paraId="32503527" w14:textId="77777777" w:rsidR="001F2C4E" w:rsidRDefault="001F2C4E" w:rsidP="001F2C4E">
            <w:r>
              <w:t>BOC</w:t>
            </w:r>
          </w:p>
        </w:tc>
        <w:tc>
          <w:tcPr>
            <w:tcW w:w="441" w:type="pct"/>
          </w:tcPr>
          <w:p w14:paraId="4A13E7D8" w14:textId="187F2EAE"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13</w:t>
            </w:r>
            <w:r w:rsidR="00F601C8">
              <w:t>.0</w:t>
            </w:r>
          </w:p>
        </w:tc>
        <w:tc>
          <w:tcPr>
            <w:tcW w:w="1201" w:type="pct"/>
          </w:tcPr>
          <w:p w14:paraId="78B218AA" w14:textId="58B1CABB"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1,003</w:t>
            </w:r>
          </w:p>
        </w:tc>
        <w:tc>
          <w:tcPr>
            <w:tcW w:w="245" w:type="pct"/>
          </w:tcPr>
          <w:p w14:paraId="636931BC" w14:textId="2E4C6C76" w:rsidR="001F2C4E" w:rsidRDefault="00077B7B" w:rsidP="00CE7C01">
            <w:pPr>
              <w:jc w:val="right"/>
              <w:cnfStyle w:val="000000010000" w:firstRow="0" w:lastRow="0" w:firstColumn="0" w:lastColumn="0" w:oddVBand="0" w:evenVBand="0" w:oddHBand="0" w:evenHBand="1" w:firstRowFirstColumn="0" w:firstRowLastColumn="0" w:lastRowFirstColumn="0" w:lastRowLastColumn="0"/>
            </w:pPr>
            <w:r>
              <w:t>N/A</w:t>
            </w:r>
          </w:p>
        </w:tc>
        <w:tc>
          <w:tcPr>
            <w:tcW w:w="253" w:type="pct"/>
          </w:tcPr>
          <w:p w14:paraId="55A5DC6D" w14:textId="7EF06365" w:rsidR="001F2C4E" w:rsidRDefault="00077B7B" w:rsidP="00CE7C01">
            <w:pPr>
              <w:jc w:val="right"/>
              <w:cnfStyle w:val="000000010000" w:firstRow="0" w:lastRow="0" w:firstColumn="0" w:lastColumn="0" w:oddVBand="0" w:evenVBand="0" w:oddHBand="0" w:evenHBand="1" w:firstRowFirstColumn="0" w:firstRowLastColumn="0" w:lastRowFirstColumn="0" w:lastRowLastColumn="0"/>
            </w:pPr>
            <w:r>
              <w:t>1,003</w:t>
            </w:r>
          </w:p>
        </w:tc>
        <w:tc>
          <w:tcPr>
            <w:tcW w:w="253" w:type="pct"/>
            <w:gridSpan w:val="2"/>
          </w:tcPr>
          <w:p w14:paraId="57062759" w14:textId="1E8260E0"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1,003</w:t>
            </w:r>
          </w:p>
        </w:tc>
        <w:tc>
          <w:tcPr>
            <w:tcW w:w="253" w:type="pct"/>
            <w:gridSpan w:val="2"/>
          </w:tcPr>
          <w:p w14:paraId="222074CC" w14:textId="2FB320F6"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1,003</w:t>
            </w:r>
          </w:p>
        </w:tc>
        <w:tc>
          <w:tcPr>
            <w:tcW w:w="253" w:type="pct"/>
            <w:gridSpan w:val="2"/>
          </w:tcPr>
          <w:p w14:paraId="522D8C6D" w14:textId="6E47CCCC"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1,003</w:t>
            </w:r>
          </w:p>
        </w:tc>
        <w:tc>
          <w:tcPr>
            <w:tcW w:w="100" w:type="pct"/>
          </w:tcPr>
          <w:p w14:paraId="38711507" w14:textId="39CB5078"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w:t>
            </w:r>
          </w:p>
        </w:tc>
        <w:tc>
          <w:tcPr>
            <w:tcW w:w="209" w:type="pct"/>
          </w:tcPr>
          <w:p w14:paraId="654088CE" w14:textId="310E629D"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582</w:t>
            </w:r>
          </w:p>
        </w:tc>
        <w:tc>
          <w:tcPr>
            <w:tcW w:w="100" w:type="pct"/>
          </w:tcPr>
          <w:p w14:paraId="77CD29D0" w14:textId="1BEBB056" w:rsidR="001F2C4E" w:rsidRDefault="001F2C4E" w:rsidP="00CE7C01">
            <w:pPr>
              <w:jc w:val="right"/>
              <w:cnfStyle w:val="000000010000" w:firstRow="0" w:lastRow="0" w:firstColumn="0" w:lastColumn="0" w:oddVBand="0" w:evenVBand="0" w:oddHBand="0" w:evenHBand="1" w:firstRowFirstColumn="0" w:firstRowLastColumn="0" w:lastRowFirstColumn="0" w:lastRowLastColumn="0"/>
            </w:pPr>
            <w:r w:rsidRPr="00FA3298">
              <w:t>…</w:t>
            </w:r>
          </w:p>
        </w:tc>
        <w:tc>
          <w:tcPr>
            <w:tcW w:w="735" w:type="pct"/>
          </w:tcPr>
          <w:p w14:paraId="14CA0EBF" w14:textId="46C12E2E" w:rsidR="001F2C4E" w:rsidRDefault="00077B7B" w:rsidP="00CE7C01">
            <w:pPr>
              <w:jc w:val="right"/>
              <w:cnfStyle w:val="000000010000" w:firstRow="0" w:lastRow="0" w:firstColumn="0" w:lastColumn="0" w:oddVBand="0" w:evenVBand="0" w:oddHBand="0" w:evenHBand="1" w:firstRowFirstColumn="0" w:firstRowLastColumn="0" w:lastRowFirstColumn="0" w:lastRowLastColumn="0"/>
            </w:pPr>
            <w:r>
              <w:t>9,248</w:t>
            </w:r>
          </w:p>
        </w:tc>
      </w:tr>
      <w:tr w:rsidR="002F3C1E" w14:paraId="6AA9EE35"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1398" w:type="pct"/>
            <w:gridSpan w:val="2"/>
            <w:shd w:val="clear" w:color="auto" w:fill="D9D9D9" w:themeFill="background1" w:themeFillShade="D9"/>
            <w:vAlign w:val="top"/>
          </w:tcPr>
          <w:p w14:paraId="43B839F4" w14:textId="579A6D46" w:rsidR="001F2C4E" w:rsidRPr="00881B1B" w:rsidRDefault="001F2C4E" w:rsidP="001F2C4E">
            <w:pPr>
              <w:rPr>
                <w:rFonts w:ascii="Franklin Gothic Medium" w:hAnsi="Franklin Gothic Medium"/>
              </w:rPr>
            </w:pPr>
            <w:r w:rsidRPr="00881B1B">
              <w:rPr>
                <w:rFonts w:ascii="Franklin Gothic Medium" w:hAnsi="Franklin Gothic Medium"/>
              </w:rPr>
              <w:t>2024 CPAS</w:t>
            </w:r>
          </w:p>
        </w:tc>
        <w:tc>
          <w:tcPr>
            <w:tcW w:w="1201" w:type="pct"/>
            <w:shd w:val="clear" w:color="auto" w:fill="D9D9D9" w:themeFill="background1" w:themeFillShade="D9"/>
          </w:tcPr>
          <w:p w14:paraId="0D9423C1" w14:textId="5DAEAE6D"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1,003</w:t>
            </w:r>
          </w:p>
        </w:tc>
        <w:tc>
          <w:tcPr>
            <w:tcW w:w="245" w:type="pct"/>
            <w:shd w:val="clear" w:color="auto" w:fill="D9D9D9" w:themeFill="background1" w:themeFillShade="D9"/>
          </w:tcPr>
          <w:p w14:paraId="072C5BFD" w14:textId="089D34AB"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w:t>
            </w:r>
            <w:r w:rsidR="00077B7B" w:rsidRPr="00881B1B">
              <w:rPr>
                <w:rFonts w:ascii="Franklin Gothic Medium" w:hAnsi="Franklin Gothic Medium"/>
              </w:rPr>
              <w:t>N/A</w:t>
            </w:r>
            <w:r w:rsidRPr="00881B1B">
              <w:rPr>
                <w:rFonts w:ascii="Franklin Gothic Medium" w:hAnsi="Franklin Gothic Medium"/>
              </w:rPr>
              <w:t xml:space="preserve"> </w:t>
            </w:r>
          </w:p>
        </w:tc>
        <w:tc>
          <w:tcPr>
            <w:tcW w:w="253" w:type="pct"/>
            <w:shd w:val="clear" w:color="auto" w:fill="D9D9D9" w:themeFill="background1" w:themeFillShade="D9"/>
          </w:tcPr>
          <w:p w14:paraId="4BD1A737" w14:textId="5A6896DE" w:rsidR="001F2C4E" w:rsidRPr="00881B1B" w:rsidRDefault="00727A20"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1,003</w:t>
            </w:r>
          </w:p>
        </w:tc>
        <w:tc>
          <w:tcPr>
            <w:tcW w:w="253" w:type="pct"/>
            <w:gridSpan w:val="2"/>
            <w:shd w:val="clear" w:color="auto" w:fill="D9D9D9" w:themeFill="background1" w:themeFillShade="D9"/>
          </w:tcPr>
          <w:p w14:paraId="4508CC8F" w14:textId="736933F6" w:rsidR="001F2C4E" w:rsidRPr="00881B1B" w:rsidRDefault="00727A20"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1,003</w:t>
            </w:r>
          </w:p>
        </w:tc>
        <w:tc>
          <w:tcPr>
            <w:tcW w:w="253" w:type="pct"/>
            <w:gridSpan w:val="2"/>
            <w:shd w:val="clear" w:color="auto" w:fill="D9D9D9" w:themeFill="background1" w:themeFillShade="D9"/>
          </w:tcPr>
          <w:p w14:paraId="7D9C7325" w14:textId="2F36EC86"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1,003</w:t>
            </w:r>
          </w:p>
        </w:tc>
        <w:tc>
          <w:tcPr>
            <w:tcW w:w="253" w:type="pct"/>
            <w:gridSpan w:val="2"/>
            <w:shd w:val="clear" w:color="auto" w:fill="D9D9D9" w:themeFill="background1" w:themeFillShade="D9"/>
          </w:tcPr>
          <w:p w14:paraId="75FA538A" w14:textId="0C92A450"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1,003</w:t>
            </w:r>
          </w:p>
        </w:tc>
        <w:tc>
          <w:tcPr>
            <w:tcW w:w="100" w:type="pct"/>
            <w:shd w:val="clear" w:color="auto" w:fill="D9D9D9" w:themeFill="background1" w:themeFillShade="D9"/>
          </w:tcPr>
          <w:p w14:paraId="1F63D423" w14:textId="19F7A4C0"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209" w:type="pct"/>
            <w:shd w:val="clear" w:color="auto" w:fill="D9D9D9" w:themeFill="background1" w:themeFillShade="D9"/>
          </w:tcPr>
          <w:p w14:paraId="53CE180F" w14:textId="34FC379B"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582</w:t>
            </w:r>
          </w:p>
        </w:tc>
        <w:tc>
          <w:tcPr>
            <w:tcW w:w="100" w:type="pct"/>
            <w:shd w:val="clear" w:color="auto" w:fill="D9D9D9" w:themeFill="background1" w:themeFillShade="D9"/>
          </w:tcPr>
          <w:p w14:paraId="247DCD05" w14:textId="2732D439"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35" w:type="pct"/>
            <w:shd w:val="clear" w:color="auto" w:fill="D9D9D9" w:themeFill="background1" w:themeFillShade="D9"/>
          </w:tcPr>
          <w:p w14:paraId="092EFCEE" w14:textId="5AC6ACB4" w:rsidR="001F2C4E" w:rsidRPr="00881B1B" w:rsidRDefault="00077B7B"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9,248</w:t>
            </w:r>
          </w:p>
        </w:tc>
      </w:tr>
      <w:tr w:rsidR="002F3C1E" w14:paraId="230B612C"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844" w:type="pct"/>
            <w:gridSpan w:val="4"/>
            <w:shd w:val="clear" w:color="auto" w:fill="D9D9D9" w:themeFill="background1" w:themeFillShade="D9"/>
            <w:vAlign w:val="top"/>
          </w:tcPr>
          <w:p w14:paraId="41FBCFAB" w14:textId="49204A58" w:rsidR="001F2C4E" w:rsidRPr="00881B1B" w:rsidRDefault="001F2C4E" w:rsidP="001F2C4E">
            <w:pPr>
              <w:rPr>
                <w:rFonts w:ascii="Franklin Gothic Medium" w:hAnsi="Franklin Gothic Medium"/>
              </w:rPr>
            </w:pPr>
            <w:r w:rsidRPr="00881B1B">
              <w:rPr>
                <w:rFonts w:ascii="Franklin Gothic Medium" w:hAnsi="Franklin Gothic Medium"/>
              </w:rPr>
              <w:t>Expiring 2024 CPAS</w:t>
            </w:r>
          </w:p>
        </w:tc>
        <w:tc>
          <w:tcPr>
            <w:tcW w:w="253" w:type="pct"/>
            <w:shd w:val="clear" w:color="auto" w:fill="D9D9D9" w:themeFill="background1" w:themeFillShade="D9"/>
          </w:tcPr>
          <w:p w14:paraId="745AADDB" w14:textId="217B930E"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55CCA97C" w14:textId="55188452"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278EEEDD" w14:textId="12F8BB00"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316E4E95" w14:textId="606DF40C"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100" w:type="pct"/>
            <w:shd w:val="clear" w:color="auto" w:fill="D9D9D9" w:themeFill="background1" w:themeFillShade="D9"/>
          </w:tcPr>
          <w:p w14:paraId="6FC969BE" w14:textId="0E23F9F1"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209" w:type="pct"/>
            <w:shd w:val="clear" w:color="auto" w:fill="D9D9D9" w:themeFill="background1" w:themeFillShade="D9"/>
          </w:tcPr>
          <w:p w14:paraId="1CEA8008" w14:textId="2A08D60C"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100" w:type="pct"/>
            <w:shd w:val="clear" w:color="auto" w:fill="D9D9D9" w:themeFill="background1" w:themeFillShade="D9"/>
          </w:tcPr>
          <w:p w14:paraId="6B3E7CDC" w14:textId="77777777" w:rsidR="001F2C4E"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35" w:type="pct"/>
            <w:tcBorders>
              <w:bottom w:val="nil"/>
              <w:right w:val="nil"/>
            </w:tcBorders>
            <w:shd w:val="clear" w:color="auto" w:fill="FFFFFF" w:themeFill="background1"/>
            <w:vAlign w:val="top"/>
          </w:tcPr>
          <w:p w14:paraId="5748E879" w14:textId="77777777" w:rsidR="001F2C4E" w:rsidRPr="00881B1B" w:rsidRDefault="001F2C4E" w:rsidP="001F2C4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3C1E" w14:paraId="2E69A077" w14:textId="77777777" w:rsidTr="002F3C1E">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844" w:type="pct"/>
            <w:gridSpan w:val="4"/>
            <w:shd w:val="clear" w:color="auto" w:fill="D9D9D9" w:themeFill="background1" w:themeFillShade="D9"/>
            <w:vAlign w:val="top"/>
          </w:tcPr>
          <w:p w14:paraId="6A9784E4" w14:textId="6EB67B5F" w:rsidR="001F2C4E" w:rsidRPr="00881B1B" w:rsidRDefault="001F2C4E" w:rsidP="001F2C4E">
            <w:pPr>
              <w:rPr>
                <w:rFonts w:ascii="Franklin Gothic Medium" w:hAnsi="Franklin Gothic Medium"/>
              </w:rPr>
            </w:pPr>
            <w:r w:rsidRPr="00881B1B">
              <w:rPr>
                <w:rFonts w:ascii="Franklin Gothic Medium" w:hAnsi="Franklin Gothic Medium"/>
              </w:rPr>
              <w:t>Expired 2024 CPAS</w:t>
            </w:r>
          </w:p>
        </w:tc>
        <w:tc>
          <w:tcPr>
            <w:tcW w:w="253" w:type="pct"/>
            <w:shd w:val="clear" w:color="auto" w:fill="D9D9D9" w:themeFill="background1" w:themeFillShade="D9"/>
          </w:tcPr>
          <w:p w14:paraId="51D1FC30" w14:textId="48194254"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7FC4A3B6" w14:textId="37481099"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35C97AFF" w14:textId="4F02BED3"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253" w:type="pct"/>
            <w:gridSpan w:val="2"/>
            <w:shd w:val="clear" w:color="auto" w:fill="D9D9D9" w:themeFill="background1" w:themeFillShade="D9"/>
          </w:tcPr>
          <w:p w14:paraId="0D806879" w14:textId="6578F9F6"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100" w:type="pct"/>
            <w:shd w:val="clear" w:color="auto" w:fill="D9D9D9" w:themeFill="background1" w:themeFillShade="D9"/>
          </w:tcPr>
          <w:p w14:paraId="1234A9A6" w14:textId="2285E341"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209" w:type="pct"/>
            <w:shd w:val="clear" w:color="auto" w:fill="D9D9D9" w:themeFill="background1" w:themeFillShade="D9"/>
          </w:tcPr>
          <w:p w14:paraId="095D07EB" w14:textId="17B38C08"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421</w:t>
            </w:r>
          </w:p>
        </w:tc>
        <w:tc>
          <w:tcPr>
            <w:tcW w:w="100" w:type="pct"/>
            <w:shd w:val="clear" w:color="auto" w:fill="D9D9D9" w:themeFill="background1" w:themeFillShade="D9"/>
          </w:tcPr>
          <w:p w14:paraId="51058834" w14:textId="77777777" w:rsidR="001F2C4E" w:rsidRPr="00881B1B" w:rsidRDefault="001F2C4E" w:rsidP="00CE7C01">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35" w:type="pct"/>
            <w:tcBorders>
              <w:top w:val="nil"/>
              <w:bottom w:val="nil"/>
              <w:right w:val="nil"/>
            </w:tcBorders>
            <w:shd w:val="clear" w:color="auto" w:fill="FFFFFF" w:themeFill="background1"/>
            <w:vAlign w:val="top"/>
          </w:tcPr>
          <w:p w14:paraId="5C4717D1" w14:textId="77777777" w:rsidR="001F2C4E" w:rsidRPr="00881B1B" w:rsidRDefault="001F2C4E" w:rsidP="001F2C4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3C1E" w14:paraId="67A965D9" w14:textId="77777777" w:rsidTr="002F3C1E">
        <w:trPr>
          <w:cnfStyle w:val="000000010000" w:firstRow="0" w:lastRow="0" w:firstColumn="0" w:lastColumn="0" w:oddVBand="0" w:evenVBand="0" w:oddHBand="0" w:evenHBand="1"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957" w:type="pct"/>
            <w:shd w:val="clear" w:color="auto" w:fill="D9D9D9" w:themeFill="background1" w:themeFillShade="D9"/>
            <w:vAlign w:val="top"/>
          </w:tcPr>
          <w:p w14:paraId="253DD285" w14:textId="77777777" w:rsidR="007C7122" w:rsidRPr="00881B1B" w:rsidRDefault="007C7122" w:rsidP="007C7122">
            <w:pPr>
              <w:rPr>
                <w:rFonts w:ascii="Franklin Gothic Medium" w:hAnsi="Franklin Gothic Medium"/>
              </w:rPr>
            </w:pPr>
            <w:r w:rsidRPr="00881B1B">
              <w:rPr>
                <w:rFonts w:ascii="Franklin Gothic Medium" w:hAnsi="Franklin Gothic Medium"/>
              </w:rPr>
              <w:t>WAML</w:t>
            </w:r>
          </w:p>
        </w:tc>
        <w:tc>
          <w:tcPr>
            <w:tcW w:w="441" w:type="pct"/>
            <w:shd w:val="clear" w:color="auto" w:fill="D9D9D9" w:themeFill="background1" w:themeFillShade="D9"/>
          </w:tcPr>
          <w:p w14:paraId="4FC1F143" w14:textId="50EEA40E" w:rsidR="007C7122" w:rsidRPr="00881B1B" w:rsidRDefault="001F2C4E"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13.0</w:t>
            </w:r>
          </w:p>
        </w:tc>
        <w:tc>
          <w:tcPr>
            <w:tcW w:w="1201" w:type="pct"/>
            <w:tcBorders>
              <w:top w:val="nil"/>
              <w:bottom w:val="nil"/>
              <w:right w:val="nil"/>
            </w:tcBorders>
            <w:shd w:val="clear" w:color="auto" w:fill="FFFFFF" w:themeFill="background1"/>
          </w:tcPr>
          <w:p w14:paraId="5E5172FA" w14:textId="77777777" w:rsidR="007C7122" w:rsidRPr="00881B1B" w:rsidRDefault="007C7122" w:rsidP="00CE7C01">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45" w:type="pct"/>
            <w:tcBorders>
              <w:top w:val="nil"/>
              <w:left w:val="nil"/>
              <w:bottom w:val="nil"/>
              <w:right w:val="nil"/>
            </w:tcBorders>
            <w:shd w:val="clear" w:color="auto" w:fill="FFFFFF" w:themeFill="background1"/>
            <w:vAlign w:val="top"/>
          </w:tcPr>
          <w:p w14:paraId="75B4C047"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2" w:type="pct"/>
            <w:gridSpan w:val="2"/>
            <w:tcBorders>
              <w:top w:val="nil"/>
              <w:left w:val="nil"/>
              <w:bottom w:val="nil"/>
              <w:right w:val="nil"/>
            </w:tcBorders>
            <w:shd w:val="clear" w:color="auto" w:fill="FFFFFF" w:themeFill="background1"/>
            <w:vAlign w:val="top"/>
          </w:tcPr>
          <w:p w14:paraId="32414D5E"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28" w:type="pct"/>
            <w:gridSpan w:val="2"/>
            <w:tcBorders>
              <w:top w:val="nil"/>
              <w:left w:val="nil"/>
              <w:bottom w:val="nil"/>
              <w:right w:val="nil"/>
            </w:tcBorders>
            <w:shd w:val="clear" w:color="auto" w:fill="FFFFFF" w:themeFill="background1"/>
            <w:vAlign w:val="top"/>
          </w:tcPr>
          <w:p w14:paraId="0E41E671"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66" w:type="pct"/>
            <w:gridSpan w:val="2"/>
            <w:tcBorders>
              <w:top w:val="nil"/>
              <w:left w:val="nil"/>
              <w:bottom w:val="nil"/>
              <w:right w:val="nil"/>
            </w:tcBorders>
            <w:shd w:val="clear" w:color="auto" w:fill="FFFFFF" w:themeFill="background1"/>
            <w:vAlign w:val="top"/>
          </w:tcPr>
          <w:p w14:paraId="113247FB"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5100343C"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0" w:type="pct"/>
            <w:tcBorders>
              <w:top w:val="nil"/>
              <w:left w:val="nil"/>
              <w:bottom w:val="nil"/>
              <w:right w:val="nil"/>
            </w:tcBorders>
            <w:shd w:val="clear" w:color="auto" w:fill="FFFFFF" w:themeFill="background1"/>
            <w:vAlign w:val="top"/>
          </w:tcPr>
          <w:p w14:paraId="0FE0C9A7"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09" w:type="pct"/>
            <w:tcBorders>
              <w:top w:val="nil"/>
              <w:left w:val="nil"/>
              <w:bottom w:val="nil"/>
              <w:right w:val="nil"/>
            </w:tcBorders>
            <w:shd w:val="clear" w:color="auto" w:fill="FFFFFF" w:themeFill="background1"/>
            <w:vAlign w:val="top"/>
          </w:tcPr>
          <w:p w14:paraId="3DA4B5B4"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0" w:type="pct"/>
            <w:tcBorders>
              <w:top w:val="nil"/>
              <w:left w:val="nil"/>
              <w:bottom w:val="nil"/>
              <w:right w:val="nil"/>
            </w:tcBorders>
            <w:shd w:val="clear" w:color="auto" w:fill="FFFFFF" w:themeFill="background1"/>
            <w:vAlign w:val="top"/>
          </w:tcPr>
          <w:p w14:paraId="72DB9068"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735" w:type="pct"/>
            <w:tcBorders>
              <w:top w:val="nil"/>
              <w:left w:val="nil"/>
              <w:bottom w:val="nil"/>
              <w:right w:val="nil"/>
            </w:tcBorders>
            <w:shd w:val="clear" w:color="auto" w:fill="FFFFFF" w:themeFill="background1"/>
            <w:vAlign w:val="top"/>
          </w:tcPr>
          <w:p w14:paraId="6C3FD3B3" w14:textId="77777777" w:rsidR="007C7122" w:rsidRPr="00881B1B" w:rsidRDefault="007C7122" w:rsidP="007C7122">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15D6D78F" w14:textId="77777777" w:rsidR="00A9306B" w:rsidRDefault="00A9306B" w:rsidP="00A9306B">
      <w:pPr>
        <w:sectPr w:rsidR="00A9306B" w:rsidSect="00A9306B">
          <w:pgSz w:w="15840" w:h="12240" w:orient="landscape" w:code="1"/>
          <w:pgMar w:top="562" w:right="562" w:bottom="562" w:left="562" w:header="562" w:footer="346" w:gutter="0"/>
          <w:cols w:space="708"/>
          <w:docGrid w:linePitch="360"/>
        </w:sectPr>
      </w:pPr>
    </w:p>
    <w:p w14:paraId="1EBCD634" w14:textId="56528689" w:rsidR="006D0CB9" w:rsidRDefault="006D0CB9" w:rsidP="000071FF">
      <w:pPr>
        <w:pStyle w:val="Heading3"/>
        <w:tabs>
          <w:tab w:val="left" w:pos="1080"/>
        </w:tabs>
        <w:ind w:left="0"/>
      </w:pPr>
      <w:bookmarkStart w:id="114" w:name="_Toc191992417"/>
      <w:r>
        <w:lastRenderedPageBreak/>
        <w:t>Conclusions and Recommendations</w:t>
      </w:r>
      <w:bookmarkEnd w:id="114"/>
    </w:p>
    <w:p w14:paraId="5F95DA14" w14:textId="3BB40213" w:rsidR="007C7122" w:rsidRPr="007C7122" w:rsidRDefault="007C7122" w:rsidP="007C7122">
      <w:r>
        <w:t>Based on the results of this evaluation, the evaluation team offers the following key findings and recommendations for the Standard Initiative moving forward:</w:t>
      </w:r>
    </w:p>
    <w:p w14:paraId="1852661F" w14:textId="63B08C79" w:rsidR="006D0CB9" w:rsidRDefault="006D0CB9" w:rsidP="006D0CB9">
      <w:pPr>
        <w:pStyle w:val="Heading4"/>
      </w:pPr>
      <w:r>
        <w:t>Standard Core Channel</w:t>
      </w:r>
    </w:p>
    <w:p w14:paraId="045BCA46" w14:textId="0F6305A4" w:rsidR="006D0CB9" w:rsidRPr="00251BB3" w:rsidRDefault="006D0CB9" w:rsidP="00251BB3">
      <w:pPr>
        <w:pStyle w:val="ListBullet"/>
        <w:rPr>
          <w:rFonts w:ascii="Times New Roman" w:eastAsiaTheme="minorHAnsi" w:hAnsi="Times New Roman"/>
          <w:color w:val="auto"/>
          <w:sz w:val="24"/>
          <w:szCs w:val="24"/>
        </w:rPr>
      </w:pPr>
      <w:r>
        <w:rPr>
          <w:b/>
          <w:bCs/>
        </w:rPr>
        <w:t>Key Finding #1:</w:t>
      </w:r>
      <w:r w:rsidR="00251BB3">
        <w:rPr>
          <w:b/>
          <w:bCs/>
        </w:rPr>
        <w:t xml:space="preserve"> </w:t>
      </w:r>
      <w:r w:rsidR="003D01A4">
        <w:t xml:space="preserve">Several pieces of information are needed to support savings calculations that are either not currently collected by the implementation team or are </w:t>
      </w:r>
      <w:r w:rsidR="00251BB3">
        <w:t>not included in the Initiative tracking data. Some pieces of information are more critical than others when quantifying savings. In particular, parameters where the TRM algorithms require equipment or project-specific information</w:t>
      </w:r>
      <w:r w:rsidR="003D01A4">
        <w:t xml:space="preserve"> (</w:t>
      </w:r>
      <w:r w:rsidR="00251BB3">
        <w:t>i.e., the TRM does not provide a default assumption</w:t>
      </w:r>
      <w:r w:rsidR="003D01A4">
        <w:t>)</w:t>
      </w:r>
      <w:r w:rsidR="00251BB3">
        <w:t xml:space="preserve"> are of utmost importance. For example, the case length for adding doors to refrigerated displays is partially collected by the implementation team but is not included in the Initiative tracking data, and the TRM does not provide a default value. </w:t>
      </w:r>
    </w:p>
    <w:p w14:paraId="2FAD2FA4" w14:textId="363DE527" w:rsidR="006D0CB9" w:rsidRDefault="006D0CB9" w:rsidP="006D0CB9">
      <w:pPr>
        <w:pStyle w:val="ListBullet2"/>
      </w:pPr>
      <w:r>
        <w:rPr>
          <w:b/>
          <w:bCs/>
        </w:rPr>
        <w:t xml:space="preserve">Recommendation: </w:t>
      </w:r>
      <w:r w:rsidR="00D02241">
        <w:t>We recommend that the implementation team review these data gaps and attempt to introduce the missing fields into the Initiative tracking database as soon as possible. Through our impact analysis, the evaluation team has identified the parameters from the IL-TRM algorithms that require actual values and can share those with the implementation team. If some data are too difficult to collect or impose a burden on applicants, then the implementation team should work with the evaluation team to discern reasonable default assumptions and propose updates to the TRM through the regular update process.</w:t>
      </w:r>
    </w:p>
    <w:p w14:paraId="172E37F4" w14:textId="38A5405E" w:rsidR="006D0CB9" w:rsidRDefault="006D0CB9" w:rsidP="006D0CB9">
      <w:pPr>
        <w:pStyle w:val="Heading4"/>
      </w:pPr>
      <w:r>
        <w:t>Online Store Channel</w:t>
      </w:r>
    </w:p>
    <w:p w14:paraId="2B8C451E" w14:textId="13965EE7" w:rsidR="006D0CB9" w:rsidRPr="007A5984" w:rsidRDefault="006D0CB9" w:rsidP="006D0CB9">
      <w:pPr>
        <w:pStyle w:val="ListBullet"/>
      </w:pPr>
      <w:r>
        <w:rPr>
          <w:b/>
          <w:bCs/>
        </w:rPr>
        <w:t>Key Finding #1:</w:t>
      </w:r>
      <w:r w:rsidR="00861243">
        <w:rPr>
          <w:b/>
          <w:bCs/>
        </w:rPr>
        <w:t xml:space="preserve"> </w:t>
      </w:r>
      <w:r w:rsidR="007A5984">
        <w:rPr>
          <w:bCs/>
        </w:rPr>
        <w:t>The primary source of discrepancy between the ex ante verified saving estimates were differences between the baseline wattages assigned by the implementation and evaluation teams for LED records</w:t>
      </w:r>
      <w:r w:rsidR="00861243">
        <w:rPr>
          <w:bCs/>
        </w:rPr>
        <w:t xml:space="preserve">. </w:t>
      </w:r>
    </w:p>
    <w:p w14:paraId="6349A2DA" w14:textId="767D926A" w:rsidR="007A5984" w:rsidRPr="006D0CB9" w:rsidRDefault="007A5984" w:rsidP="007A5984">
      <w:pPr>
        <w:pStyle w:val="ListBullet2"/>
      </w:pPr>
      <w:r w:rsidRPr="00954729">
        <w:rPr>
          <w:b/>
          <w:bCs/>
        </w:rPr>
        <w:t>Recommendation</w:t>
      </w:r>
      <w:r w:rsidRPr="00954729">
        <w:t xml:space="preserve">: </w:t>
      </w:r>
      <w:r>
        <w:t xml:space="preserve">We recommend </w:t>
      </w:r>
      <w:r w:rsidR="00B40B70">
        <w:t>the implementation team review the baseline wattage assumptions programmed in ALEET, particularly for the wall packs, to ensure they</w:t>
      </w:r>
      <w:r>
        <w:t xml:space="preserve"> align with the IL-TRM.  </w:t>
      </w:r>
    </w:p>
    <w:p w14:paraId="2CF37467" w14:textId="65E2BF22" w:rsidR="006D0CB9" w:rsidRDefault="006D0CB9" w:rsidP="006D0CB9">
      <w:pPr>
        <w:pStyle w:val="Heading4"/>
      </w:pPr>
      <w:r>
        <w:t>Building Operator Certification</w:t>
      </w:r>
    </w:p>
    <w:p w14:paraId="03F1DD82" w14:textId="4E87E207" w:rsidR="00954729" w:rsidRDefault="006D0CB9" w:rsidP="00E800BB">
      <w:pPr>
        <w:pStyle w:val="ListBullet"/>
      </w:pPr>
      <w:r w:rsidRPr="00954729">
        <w:rPr>
          <w:b/>
          <w:bCs/>
        </w:rPr>
        <w:t>Key Finding #1:</w:t>
      </w:r>
      <w:r w:rsidR="000110CC" w:rsidRPr="00954729">
        <w:rPr>
          <w:b/>
          <w:bCs/>
        </w:rPr>
        <w:t xml:space="preserve"> </w:t>
      </w:r>
      <w:r w:rsidR="00F5042F" w:rsidRPr="00F5042F">
        <w:t>T</w:t>
      </w:r>
      <w:r w:rsidR="000110CC">
        <w:t xml:space="preserve">he evaluation team </w:t>
      </w:r>
      <w:r w:rsidR="00F5042F">
        <w:t xml:space="preserve">observed significant improvements to the data tracking and documentation for the BOC Training channel. Specifically, the </w:t>
      </w:r>
      <w:r w:rsidR="00954729">
        <w:t xml:space="preserve">participant information documentation and </w:t>
      </w:r>
      <w:r w:rsidR="00F5042F">
        <w:t>comments included in ALEET specifying the facilities associated with each savings claim were improvements</w:t>
      </w:r>
      <w:r w:rsidR="000110CC">
        <w:t xml:space="preserve"> compared to previous evaluation years</w:t>
      </w:r>
      <w:r w:rsidR="00F5042F">
        <w:t>. However</w:t>
      </w:r>
      <w:r w:rsidR="000110CC">
        <w:t xml:space="preserve">, </w:t>
      </w:r>
      <w:r w:rsidR="00954729">
        <w:t xml:space="preserve">further refinements can be made to reduce evaluation risk. Specifically, </w:t>
      </w:r>
      <w:r w:rsidR="00F5042F">
        <w:t xml:space="preserve">the evaluation team found that </w:t>
      </w:r>
      <w:r w:rsidR="00954729">
        <w:t xml:space="preserve">one </w:t>
      </w:r>
      <w:r w:rsidR="00F5042F">
        <w:t xml:space="preserve">of the </w:t>
      </w:r>
      <w:r w:rsidR="00954729">
        <w:t>participant</w:t>
      </w:r>
      <w:r w:rsidR="00F5042F">
        <w:t>s</w:t>
      </w:r>
      <w:r w:rsidR="00954729">
        <w:t xml:space="preserve"> </w:t>
      </w:r>
      <w:r w:rsidR="00F5042F">
        <w:t>was duplicated in the backup documentation, while another was missing. In addition, the evaluation team identified one case where the</w:t>
      </w:r>
      <w:r w:rsidR="00954729">
        <w:t xml:space="preserve"> information</w:t>
      </w:r>
      <w:r w:rsidR="00F5042F">
        <w:t xml:space="preserve"> listed for one of the participants in the backup documentation did not </w:t>
      </w:r>
      <w:r w:rsidR="008A4799">
        <w:t>align with the square footage used to calculate the ex ante savings for the participant or the comment included in ALEET regarding the facility associated with the savings claim</w:t>
      </w:r>
      <w:r w:rsidR="00954729">
        <w:t>.</w:t>
      </w:r>
    </w:p>
    <w:p w14:paraId="4035D23B" w14:textId="4656BA10" w:rsidR="006D0CB9" w:rsidRDefault="006D0CB9" w:rsidP="00954729">
      <w:pPr>
        <w:pStyle w:val="ListBullet2"/>
      </w:pPr>
      <w:r w:rsidRPr="00954729">
        <w:rPr>
          <w:b/>
          <w:bCs/>
        </w:rPr>
        <w:t>Recommendation</w:t>
      </w:r>
      <w:r w:rsidRPr="00954729">
        <w:t xml:space="preserve">: </w:t>
      </w:r>
      <w:r w:rsidR="00954729">
        <w:t xml:space="preserve">We recommend </w:t>
      </w:r>
      <w:r w:rsidR="00B40B70">
        <w:t xml:space="preserve">that the implementation team continue refining the data tracking and documentation processes for the channel in future years to ensure that </w:t>
      </w:r>
      <w:r w:rsidR="00954729">
        <w:t xml:space="preserve">all participants and their associated facility information are correctly listed. </w:t>
      </w:r>
    </w:p>
    <w:p w14:paraId="006E529A" w14:textId="7BE6CE9B" w:rsidR="006D0CB9" w:rsidRDefault="006D0CB9" w:rsidP="006D0CB9">
      <w:pPr>
        <w:pStyle w:val="Heading2"/>
      </w:pPr>
      <w:bookmarkStart w:id="115" w:name="_Toc191992418"/>
      <w:bookmarkStart w:id="116" w:name="_Toc192766906"/>
      <w:r>
        <w:lastRenderedPageBreak/>
        <w:t>Custom Initiative</w:t>
      </w:r>
      <w:bookmarkEnd w:id="115"/>
      <w:bookmarkEnd w:id="116"/>
    </w:p>
    <w:p w14:paraId="3FA84D1F" w14:textId="77777777" w:rsidR="00771E40" w:rsidRDefault="00771E40" w:rsidP="000071FF">
      <w:pPr>
        <w:pStyle w:val="Heading3"/>
        <w:tabs>
          <w:tab w:val="clear" w:pos="2160"/>
          <w:tab w:val="num" w:pos="1080"/>
        </w:tabs>
        <w:ind w:left="0"/>
      </w:pPr>
      <w:bookmarkStart w:id="117" w:name="_Toc191992419"/>
      <w:r>
        <w:t>Initiative Description</w:t>
      </w:r>
      <w:bookmarkEnd w:id="117"/>
    </w:p>
    <w:p w14:paraId="36A37A93" w14:textId="16EDFE8E" w:rsidR="00771E40" w:rsidRDefault="007B7C05" w:rsidP="00771E40">
      <w:r>
        <w:t xml:space="preserve">The Custom Initiative offers incentives to AIC </w:t>
      </w:r>
      <w:r w:rsidR="006F2A5C">
        <w:t>b</w:t>
      </w:r>
      <w:r>
        <w:t xml:space="preserve">usiness customers for energy efficiency projects involving equipment not covered through AIC’s prescriptive initiatives. The Initiative also provides an avenue for piloting novel measures </w:t>
      </w:r>
      <w:r w:rsidR="00C46C49">
        <w:t>before</w:t>
      </w:r>
      <w:r>
        <w:t xml:space="preserve"> incorporating the</w:t>
      </w:r>
      <w:r w:rsidR="006F2A5C">
        <w:t>m</w:t>
      </w:r>
      <w:r>
        <w:t xml:space="preserve"> into the Standard Initiative. Business customers often represent the highest potential for energy savings, but these saving</w:t>
      </w:r>
      <w:r w:rsidR="00AB7531">
        <w:t>s</w:t>
      </w:r>
      <w:r>
        <w:t xml:space="preserve"> frequently result from highly specialized equipment designed for particular industries or types of facilities. The Custom Initiative allows customers to propose additional measure</w:t>
      </w:r>
      <w:r w:rsidR="00AB7531">
        <w:t>s</w:t>
      </w:r>
      <w:r>
        <w:t xml:space="preserve"> and tailor projects to their facility and equipment needs. </w:t>
      </w:r>
    </w:p>
    <w:p w14:paraId="49841A65" w14:textId="1CD71058" w:rsidR="007B7C05" w:rsidRDefault="007B7C05" w:rsidP="00771E40">
      <w:r>
        <w:t xml:space="preserve">The Custom Initiative is delivered to customers through several different channels. The Custom Incentives and New Construction Lighting channels produce all the </w:t>
      </w:r>
      <w:r w:rsidR="00AB7531">
        <w:t xml:space="preserve">electric </w:t>
      </w:r>
      <w:r>
        <w:t xml:space="preserve">energy, </w:t>
      </w:r>
      <w:r w:rsidR="00AB7531">
        <w:t xml:space="preserve">electric </w:t>
      </w:r>
      <w:r>
        <w:t xml:space="preserve">demand, and gas savings claimed through the Initiative; these channels are described in more detail in Sections </w:t>
      </w:r>
      <w:r w:rsidR="007B3833">
        <w:fldChar w:fldCharType="begin"/>
      </w:r>
      <w:r w:rsidR="007B3833">
        <w:instrText xml:space="preserve"> REF _Ref189137408 \n \h </w:instrText>
      </w:r>
      <w:r w:rsidR="007B3833">
        <w:fldChar w:fldCharType="separate"/>
      </w:r>
      <w:r w:rsidR="00AA10F4">
        <w:t>0</w:t>
      </w:r>
      <w:r w:rsidR="007B3833">
        <w:fldChar w:fldCharType="end"/>
      </w:r>
      <w:r>
        <w:t xml:space="preserve"> and </w:t>
      </w:r>
      <w:r>
        <w:fldChar w:fldCharType="begin"/>
      </w:r>
      <w:r>
        <w:instrText xml:space="preserve"> REF _Ref188529445 \r \h </w:instrText>
      </w:r>
      <w:r>
        <w:fldChar w:fldCharType="separate"/>
      </w:r>
      <w:r w:rsidR="00AA10F4">
        <w:t>3.2.5</w:t>
      </w:r>
      <w:r>
        <w:fldChar w:fldCharType="end"/>
      </w:r>
      <w:r>
        <w:t>, respectively. In addition to these two channels, AIC also operates several smaller efforts through the Custom Initiative, including</w:t>
      </w:r>
      <w:r w:rsidR="00C46C49">
        <w:t xml:space="preserve"> Staffing Grants, Metering and Monitoring, Strategic Energy Management (SEM), Building Energy Assessments (BEA), Feasibility Studies, Agricultural Energy Audits,</w:t>
      </w:r>
      <w:r>
        <w:t xml:space="preserve"> and New Construction Design channels. These channels </w:t>
      </w:r>
      <w:r w:rsidR="00C46C49">
        <w:t>engage</w:t>
      </w:r>
      <w:r>
        <w:t xml:space="preserve"> AIC’s business customers more deeply regarding energy efficiency and do not have direct savings claims associated with them.</w:t>
      </w:r>
    </w:p>
    <w:p w14:paraId="77C0B88C" w14:textId="62CBDF3C" w:rsidR="007B7C05" w:rsidRDefault="007B7C05" w:rsidP="00771E40">
      <w:r>
        <w:t xml:space="preserve">Overall, the implementation team set a goal of achieving </w:t>
      </w:r>
      <w:r w:rsidR="00973B1B">
        <w:t>3</w:t>
      </w:r>
      <w:r w:rsidR="00293FA6">
        <w:t>7</w:t>
      </w:r>
      <w:r w:rsidR="00973B1B">
        <w:t>,0</w:t>
      </w:r>
      <w:r w:rsidR="00293FA6">
        <w:t>67</w:t>
      </w:r>
      <w:r>
        <w:t xml:space="preserve"> MWh and </w:t>
      </w:r>
      <w:r w:rsidR="00293FA6">
        <w:t>793,093</w:t>
      </w:r>
      <w:r>
        <w:t xml:space="preserve"> therms of savings through the Custom Initiative. </w:t>
      </w:r>
    </w:p>
    <w:p w14:paraId="6DBE863C" w14:textId="61A9896C" w:rsidR="00771E40" w:rsidRDefault="00771E40" w:rsidP="000071FF">
      <w:pPr>
        <w:pStyle w:val="Heading3"/>
        <w:tabs>
          <w:tab w:val="clear" w:pos="2160"/>
          <w:tab w:val="num" w:pos="1080"/>
        </w:tabs>
        <w:ind w:left="0"/>
      </w:pPr>
      <w:bookmarkStart w:id="118" w:name="_Toc191992420"/>
      <w:r>
        <w:t>Participation Summary</w:t>
      </w:r>
      <w:bookmarkEnd w:id="118"/>
    </w:p>
    <w:p w14:paraId="244E22CC" w14:textId="431B09C4" w:rsidR="00A95016" w:rsidRPr="00A95016" w:rsidRDefault="00A95016" w:rsidP="00A95016">
      <w:r>
        <w:fldChar w:fldCharType="begin"/>
      </w:r>
      <w:r>
        <w:instrText xml:space="preserve"> REF _Ref188879661 \h </w:instrText>
      </w:r>
      <w:r>
        <w:fldChar w:fldCharType="separate"/>
      </w:r>
      <w:r w:rsidR="00AA10F4">
        <w:t xml:space="preserve">Table </w:t>
      </w:r>
      <w:r w:rsidR="00AA10F4">
        <w:rPr>
          <w:noProof/>
        </w:rPr>
        <w:t>25</w:t>
      </w:r>
      <w:r>
        <w:fldChar w:fldCharType="end"/>
      </w:r>
      <w:r>
        <w:t xml:space="preserve"> presents a summary of the number of projects completed through each Custom Initiative channel, as well as a breakdown of how channel participation was distributed among private and public sector customers. </w:t>
      </w:r>
    </w:p>
    <w:p w14:paraId="10243392" w14:textId="17A8E210" w:rsidR="00A95016" w:rsidRDefault="00A95016" w:rsidP="008A60FE">
      <w:pPr>
        <w:pStyle w:val="Caption"/>
      </w:pPr>
      <w:bookmarkStart w:id="119" w:name="_Ref188879661"/>
      <w:bookmarkStart w:id="120" w:name="_Toc191992546"/>
      <w:bookmarkStart w:id="121" w:name="_Toc192766959"/>
      <w:r>
        <w:t xml:space="preserve">Table </w:t>
      </w:r>
      <w:r w:rsidR="009B4C9A">
        <w:fldChar w:fldCharType="begin"/>
      </w:r>
      <w:r w:rsidR="009B4C9A">
        <w:instrText xml:space="preserve"> SEQ Table \* ARABIC </w:instrText>
      </w:r>
      <w:r w:rsidR="009B4C9A">
        <w:fldChar w:fldCharType="separate"/>
      </w:r>
      <w:r w:rsidR="00AA10F4">
        <w:rPr>
          <w:noProof/>
        </w:rPr>
        <w:t>25</w:t>
      </w:r>
      <w:r w:rsidR="009B4C9A">
        <w:rPr>
          <w:noProof/>
        </w:rPr>
        <w:fldChar w:fldCharType="end"/>
      </w:r>
      <w:bookmarkEnd w:id="119"/>
      <w:r>
        <w:t>. 2024 Custom Initiative Participation Summary by Channel</w:t>
      </w:r>
      <w:bookmarkEnd w:id="120"/>
      <w:bookmarkEnd w:id="121"/>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405"/>
        <w:gridCol w:w="1349"/>
        <w:gridCol w:w="1873"/>
        <w:gridCol w:w="1873"/>
        <w:gridCol w:w="1596"/>
      </w:tblGrid>
      <w:tr w:rsidR="00BD169F" w14:paraId="3B7C6199" w14:textId="77777777" w:rsidTr="002F3C1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666F2094" w14:textId="77777777" w:rsidR="00BD169F" w:rsidRDefault="00BD169F" w:rsidP="002F3C1E">
            <w:pPr>
              <w:pStyle w:val="TableHeadingLeft"/>
            </w:pPr>
            <w:r>
              <w:t>Measure Category</w:t>
            </w:r>
          </w:p>
        </w:tc>
        <w:tc>
          <w:tcPr>
            <w:tcW w:w="608" w:type="pct"/>
            <w:tcBorders>
              <w:bottom w:val="none" w:sz="0" w:space="0" w:color="auto"/>
            </w:tcBorders>
          </w:tcPr>
          <w:p w14:paraId="5041B457" w14:textId="77777777" w:rsidR="00BD169F" w:rsidRDefault="00BD169F" w:rsidP="002F3C1E">
            <w:pPr>
              <w:pStyle w:val="TableHeadingCentered"/>
              <w:cnfStyle w:val="100000000000" w:firstRow="1" w:lastRow="0" w:firstColumn="0" w:lastColumn="0" w:oddVBand="0" w:evenVBand="0" w:oddHBand="0" w:evenHBand="0" w:firstRowFirstColumn="0" w:firstRowLastColumn="0" w:lastRowFirstColumn="0" w:lastRowLastColumn="0"/>
            </w:pPr>
            <w:r>
              <w:t>Total Projects</w:t>
            </w:r>
          </w:p>
        </w:tc>
        <w:tc>
          <w:tcPr>
            <w:tcW w:w="844" w:type="pct"/>
            <w:tcBorders>
              <w:bottom w:val="none" w:sz="0" w:space="0" w:color="auto"/>
            </w:tcBorders>
          </w:tcPr>
          <w:p w14:paraId="2085E5FD" w14:textId="77777777" w:rsidR="00BD169F" w:rsidRDefault="00BD169F" w:rsidP="002F3C1E">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844" w:type="pct"/>
            <w:tcBorders>
              <w:bottom w:val="none" w:sz="0" w:space="0" w:color="auto"/>
            </w:tcBorders>
          </w:tcPr>
          <w:p w14:paraId="4BD4DC19" w14:textId="77777777" w:rsidR="00BD169F" w:rsidRDefault="00BD169F" w:rsidP="002F3C1E">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719" w:type="pct"/>
            <w:tcBorders>
              <w:bottom w:val="none" w:sz="0" w:space="0" w:color="auto"/>
            </w:tcBorders>
          </w:tcPr>
          <w:p w14:paraId="400C85F8" w14:textId="77777777" w:rsidR="00BD169F" w:rsidRDefault="00BD169F" w:rsidP="002F3C1E">
            <w:pPr>
              <w:pStyle w:val="TableHeadingCentered"/>
              <w:cnfStyle w:val="100000000000" w:firstRow="1" w:lastRow="0" w:firstColumn="0" w:lastColumn="0" w:oddVBand="0" w:evenVBand="0" w:oddHBand="0" w:evenHBand="0" w:firstRowFirstColumn="0" w:firstRowLastColumn="0" w:lastRowFirstColumn="0" w:lastRowLastColumn="0"/>
            </w:pPr>
            <w:r>
              <w:t>Ex Ante Therms</w:t>
            </w:r>
          </w:p>
        </w:tc>
      </w:tr>
      <w:tr w:rsidR="007475DF" w14:paraId="0353EA46" w14:textId="77777777"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tcPr>
          <w:p w14:paraId="3777A078" w14:textId="2CCC9DD4" w:rsidR="007475DF" w:rsidRPr="007475DF" w:rsidRDefault="007475DF" w:rsidP="002F3C1E">
            <w:pPr>
              <w:rPr>
                <w:rFonts w:asciiTheme="majorHAnsi" w:hAnsiTheme="majorHAnsi"/>
                <w:color w:val="FFFFFF" w:themeColor="background1"/>
              </w:rPr>
            </w:pPr>
            <w:r>
              <w:rPr>
                <w:rFonts w:asciiTheme="majorHAnsi" w:hAnsiTheme="majorHAnsi"/>
                <w:color w:val="FFFFFF" w:themeColor="background1"/>
              </w:rPr>
              <w:t>Private Sector</w:t>
            </w:r>
          </w:p>
        </w:tc>
      </w:tr>
      <w:tr w:rsidR="00BD169F" w14:paraId="256D8581"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04538E8A" w14:textId="77D5AB14" w:rsidR="00BD169F" w:rsidRDefault="00BD169F" w:rsidP="002F3C1E">
            <w:r>
              <w:t>Custom Incentives</w:t>
            </w:r>
          </w:p>
        </w:tc>
        <w:tc>
          <w:tcPr>
            <w:tcW w:w="608" w:type="pct"/>
            <w:tcBorders>
              <w:top w:val="none" w:sz="0" w:space="0" w:color="auto"/>
              <w:left w:val="none" w:sz="0" w:space="0" w:color="auto"/>
              <w:bottom w:val="none" w:sz="0" w:space="0" w:color="auto"/>
              <w:right w:val="none" w:sz="0" w:space="0" w:color="auto"/>
            </w:tcBorders>
          </w:tcPr>
          <w:p w14:paraId="148FFC2F" w14:textId="0AFFD86F" w:rsidR="00BD169F" w:rsidRDefault="003E7382" w:rsidP="002F3C1E">
            <w:pPr>
              <w:jc w:val="right"/>
              <w:cnfStyle w:val="000000010000" w:firstRow="0" w:lastRow="0" w:firstColumn="0" w:lastColumn="0" w:oddVBand="0" w:evenVBand="0" w:oddHBand="0" w:evenHBand="1" w:firstRowFirstColumn="0" w:firstRowLastColumn="0" w:lastRowFirstColumn="0" w:lastRowLastColumn="0"/>
            </w:pPr>
            <w:r>
              <w:t>73</w:t>
            </w:r>
          </w:p>
        </w:tc>
        <w:tc>
          <w:tcPr>
            <w:tcW w:w="844" w:type="pct"/>
            <w:tcBorders>
              <w:top w:val="none" w:sz="0" w:space="0" w:color="auto"/>
              <w:left w:val="none" w:sz="0" w:space="0" w:color="auto"/>
              <w:bottom w:val="none" w:sz="0" w:space="0" w:color="auto"/>
              <w:right w:val="none" w:sz="0" w:space="0" w:color="auto"/>
            </w:tcBorders>
          </w:tcPr>
          <w:p w14:paraId="54D75DB0" w14:textId="695F3915" w:rsidR="00BD169F" w:rsidRDefault="00C82870" w:rsidP="002F3C1E">
            <w:pPr>
              <w:jc w:val="right"/>
              <w:cnfStyle w:val="000000010000" w:firstRow="0" w:lastRow="0" w:firstColumn="0" w:lastColumn="0" w:oddVBand="0" w:evenVBand="0" w:oddHBand="0" w:evenHBand="1" w:firstRowFirstColumn="0" w:firstRowLastColumn="0" w:lastRowFirstColumn="0" w:lastRowLastColumn="0"/>
            </w:pPr>
            <w:r w:rsidRPr="00C82870">
              <w:t>19</w:t>
            </w:r>
            <w:r>
              <w:t>,</w:t>
            </w:r>
            <w:r w:rsidRPr="00C82870">
              <w:t>766</w:t>
            </w:r>
          </w:p>
        </w:tc>
        <w:tc>
          <w:tcPr>
            <w:tcW w:w="844" w:type="pct"/>
            <w:tcBorders>
              <w:top w:val="none" w:sz="0" w:space="0" w:color="auto"/>
              <w:left w:val="none" w:sz="0" w:space="0" w:color="auto"/>
              <w:bottom w:val="none" w:sz="0" w:space="0" w:color="auto"/>
              <w:right w:val="none" w:sz="0" w:space="0" w:color="auto"/>
            </w:tcBorders>
          </w:tcPr>
          <w:p w14:paraId="65320E2A" w14:textId="01448B60" w:rsidR="00BD169F" w:rsidRDefault="00DA3488" w:rsidP="002F3C1E">
            <w:pPr>
              <w:jc w:val="right"/>
              <w:cnfStyle w:val="000000010000" w:firstRow="0" w:lastRow="0" w:firstColumn="0" w:lastColumn="0" w:oddVBand="0" w:evenVBand="0" w:oddHBand="0" w:evenHBand="1" w:firstRowFirstColumn="0" w:firstRowLastColumn="0" w:lastRowFirstColumn="0" w:lastRowLastColumn="0"/>
            </w:pPr>
            <w:r>
              <w:t>2.86</w:t>
            </w:r>
          </w:p>
        </w:tc>
        <w:tc>
          <w:tcPr>
            <w:tcW w:w="719" w:type="pct"/>
            <w:tcBorders>
              <w:top w:val="none" w:sz="0" w:space="0" w:color="auto"/>
              <w:left w:val="none" w:sz="0" w:space="0" w:color="auto"/>
              <w:bottom w:val="none" w:sz="0" w:space="0" w:color="auto"/>
              <w:right w:val="none" w:sz="0" w:space="0" w:color="auto"/>
            </w:tcBorders>
          </w:tcPr>
          <w:p w14:paraId="4C564A4F" w14:textId="0D8C0593" w:rsidR="00BD169F" w:rsidRDefault="006B781F" w:rsidP="002F3C1E">
            <w:pPr>
              <w:jc w:val="right"/>
              <w:cnfStyle w:val="000000010000" w:firstRow="0" w:lastRow="0" w:firstColumn="0" w:lastColumn="0" w:oddVBand="0" w:evenVBand="0" w:oddHBand="0" w:evenHBand="1" w:firstRowFirstColumn="0" w:firstRowLastColumn="0" w:lastRowFirstColumn="0" w:lastRowLastColumn="0"/>
            </w:pPr>
            <w:r>
              <w:t>1,046,161</w:t>
            </w:r>
          </w:p>
        </w:tc>
      </w:tr>
      <w:tr w:rsidR="00DA3488" w14:paraId="1D1F177A"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75A7604E" w14:textId="2E918349" w:rsidR="00DA3488" w:rsidRDefault="00DA3488" w:rsidP="002F3C1E">
            <w:r>
              <w:t>New Construction Lighting</w:t>
            </w:r>
          </w:p>
        </w:tc>
        <w:tc>
          <w:tcPr>
            <w:tcW w:w="608" w:type="pct"/>
            <w:tcBorders>
              <w:top w:val="none" w:sz="0" w:space="0" w:color="auto"/>
              <w:left w:val="none" w:sz="0" w:space="0" w:color="auto"/>
              <w:bottom w:val="none" w:sz="0" w:space="0" w:color="auto"/>
              <w:right w:val="none" w:sz="0" w:space="0" w:color="auto"/>
            </w:tcBorders>
          </w:tcPr>
          <w:p w14:paraId="31268440" w14:textId="7CAD446F"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t>21</w:t>
            </w:r>
          </w:p>
        </w:tc>
        <w:tc>
          <w:tcPr>
            <w:tcW w:w="844" w:type="pct"/>
            <w:tcBorders>
              <w:top w:val="none" w:sz="0" w:space="0" w:color="auto"/>
              <w:left w:val="none" w:sz="0" w:space="0" w:color="auto"/>
              <w:bottom w:val="none" w:sz="0" w:space="0" w:color="auto"/>
              <w:right w:val="none" w:sz="0" w:space="0" w:color="auto"/>
            </w:tcBorders>
          </w:tcPr>
          <w:p w14:paraId="49AEF507" w14:textId="051DB90B"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rsidRPr="00C82870">
              <w:t>1</w:t>
            </w:r>
            <w:r>
              <w:t>,</w:t>
            </w:r>
            <w:r w:rsidRPr="00C82870">
              <w:t>448</w:t>
            </w:r>
          </w:p>
        </w:tc>
        <w:tc>
          <w:tcPr>
            <w:tcW w:w="844" w:type="pct"/>
            <w:tcBorders>
              <w:top w:val="none" w:sz="0" w:space="0" w:color="auto"/>
              <w:left w:val="none" w:sz="0" w:space="0" w:color="auto"/>
              <w:bottom w:val="none" w:sz="0" w:space="0" w:color="auto"/>
              <w:right w:val="none" w:sz="0" w:space="0" w:color="auto"/>
            </w:tcBorders>
          </w:tcPr>
          <w:p w14:paraId="57FAE6EE" w14:textId="60B7A80E"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t>0.27</w:t>
            </w:r>
          </w:p>
        </w:tc>
        <w:tc>
          <w:tcPr>
            <w:tcW w:w="719" w:type="pct"/>
            <w:tcBorders>
              <w:top w:val="none" w:sz="0" w:space="0" w:color="auto"/>
              <w:left w:val="none" w:sz="0" w:space="0" w:color="auto"/>
              <w:bottom w:val="none" w:sz="0" w:space="0" w:color="auto"/>
              <w:right w:val="none" w:sz="0" w:space="0" w:color="auto"/>
            </w:tcBorders>
          </w:tcPr>
          <w:p w14:paraId="4F7A2D0C" w14:textId="5006EC6F"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rsidRPr="001E3E18">
              <w:t>0</w:t>
            </w:r>
          </w:p>
        </w:tc>
      </w:tr>
      <w:tr w:rsidR="00DA3488" w14:paraId="1292B4AE"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4CD46F4C" w14:textId="6B772091" w:rsidR="00DA3488" w:rsidRDefault="00DA3488" w:rsidP="002F3C1E">
            <w:r>
              <w:t>Staffing Grant</w:t>
            </w:r>
          </w:p>
        </w:tc>
        <w:tc>
          <w:tcPr>
            <w:tcW w:w="608" w:type="pct"/>
            <w:tcBorders>
              <w:top w:val="none" w:sz="0" w:space="0" w:color="auto"/>
              <w:left w:val="none" w:sz="0" w:space="0" w:color="auto"/>
              <w:bottom w:val="none" w:sz="0" w:space="0" w:color="auto"/>
              <w:right w:val="none" w:sz="0" w:space="0" w:color="auto"/>
            </w:tcBorders>
          </w:tcPr>
          <w:p w14:paraId="0CBE977F" w14:textId="24AD0FA6" w:rsidR="00DA3488" w:rsidRDefault="009667FC" w:rsidP="002F3C1E">
            <w:pPr>
              <w:jc w:val="right"/>
              <w:cnfStyle w:val="000000010000" w:firstRow="0" w:lastRow="0" w:firstColumn="0" w:lastColumn="0" w:oddVBand="0" w:evenVBand="0" w:oddHBand="0" w:evenHBand="1" w:firstRowFirstColumn="0" w:firstRowLastColumn="0" w:lastRowFirstColumn="0" w:lastRowLastColumn="0"/>
            </w:pPr>
            <w:r>
              <w:t>42</w:t>
            </w:r>
          </w:p>
        </w:tc>
        <w:tc>
          <w:tcPr>
            <w:tcW w:w="844" w:type="pct"/>
            <w:tcBorders>
              <w:top w:val="none" w:sz="0" w:space="0" w:color="auto"/>
              <w:left w:val="none" w:sz="0" w:space="0" w:color="auto"/>
              <w:bottom w:val="none" w:sz="0" w:space="0" w:color="auto"/>
              <w:right w:val="none" w:sz="0" w:space="0" w:color="auto"/>
            </w:tcBorders>
          </w:tcPr>
          <w:p w14:paraId="0AC0BFE5" w14:textId="2AC80B28" w:rsidR="00DA3488" w:rsidRDefault="00DA3488"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1F8E58E9" w14:textId="00B70053" w:rsidR="00DA3488" w:rsidRDefault="00DA3488"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32F59645" w14:textId="34A94FEB" w:rsidR="00DA3488" w:rsidRDefault="00DA3488" w:rsidP="002F3C1E">
            <w:pPr>
              <w:jc w:val="right"/>
              <w:cnfStyle w:val="000000010000" w:firstRow="0" w:lastRow="0" w:firstColumn="0" w:lastColumn="0" w:oddVBand="0" w:evenVBand="0" w:oddHBand="0" w:evenHBand="1" w:firstRowFirstColumn="0" w:firstRowLastColumn="0" w:lastRowFirstColumn="0" w:lastRowLastColumn="0"/>
            </w:pPr>
            <w:r w:rsidRPr="001E3E18">
              <w:t>0</w:t>
            </w:r>
          </w:p>
        </w:tc>
      </w:tr>
      <w:tr w:rsidR="00DA3488" w14:paraId="2FAA529D"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1A77A2D7" w14:textId="22F05069" w:rsidR="00DA3488" w:rsidRDefault="00DA3488" w:rsidP="002F3C1E">
            <w:r>
              <w:t>Feasibility Study</w:t>
            </w:r>
          </w:p>
        </w:tc>
        <w:tc>
          <w:tcPr>
            <w:tcW w:w="608" w:type="pct"/>
            <w:tcBorders>
              <w:top w:val="none" w:sz="0" w:space="0" w:color="auto"/>
              <w:left w:val="none" w:sz="0" w:space="0" w:color="auto"/>
              <w:bottom w:val="none" w:sz="0" w:space="0" w:color="auto"/>
              <w:right w:val="none" w:sz="0" w:space="0" w:color="auto"/>
            </w:tcBorders>
          </w:tcPr>
          <w:p w14:paraId="7AAEDC6E" w14:textId="668B46A6"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t>17</w:t>
            </w:r>
          </w:p>
        </w:tc>
        <w:tc>
          <w:tcPr>
            <w:tcW w:w="844" w:type="pct"/>
            <w:tcBorders>
              <w:top w:val="none" w:sz="0" w:space="0" w:color="auto"/>
              <w:left w:val="none" w:sz="0" w:space="0" w:color="auto"/>
              <w:bottom w:val="none" w:sz="0" w:space="0" w:color="auto"/>
              <w:right w:val="none" w:sz="0" w:space="0" w:color="auto"/>
            </w:tcBorders>
          </w:tcPr>
          <w:p w14:paraId="65FBD896" w14:textId="5760B7D3"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09B0ED3A" w14:textId="07941E76"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638991C6" w14:textId="5E6BABEF" w:rsidR="00DA3488" w:rsidRDefault="00DA3488" w:rsidP="002F3C1E">
            <w:pPr>
              <w:jc w:val="right"/>
              <w:cnfStyle w:val="000000100000" w:firstRow="0" w:lastRow="0" w:firstColumn="0" w:lastColumn="0" w:oddVBand="0" w:evenVBand="0" w:oddHBand="1" w:evenHBand="0" w:firstRowFirstColumn="0" w:firstRowLastColumn="0" w:lastRowFirstColumn="0" w:lastRowLastColumn="0"/>
            </w:pPr>
            <w:r w:rsidRPr="001E3E18">
              <w:t>0</w:t>
            </w:r>
          </w:p>
        </w:tc>
      </w:tr>
      <w:tr w:rsidR="009667FC" w14:paraId="3300063C"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7AF4C0C1" w14:textId="7C66DBA5" w:rsidR="009667FC" w:rsidRDefault="009667FC" w:rsidP="002F3C1E">
            <w:r>
              <w:t>Metering &amp; Monitoring</w:t>
            </w:r>
          </w:p>
        </w:tc>
        <w:tc>
          <w:tcPr>
            <w:tcW w:w="608" w:type="pct"/>
            <w:tcBorders>
              <w:top w:val="none" w:sz="0" w:space="0" w:color="auto"/>
              <w:left w:val="none" w:sz="0" w:space="0" w:color="auto"/>
              <w:bottom w:val="none" w:sz="0" w:space="0" w:color="auto"/>
              <w:right w:val="none" w:sz="0" w:space="0" w:color="auto"/>
            </w:tcBorders>
          </w:tcPr>
          <w:p w14:paraId="1A93B862" w14:textId="110555CF"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7</w:t>
            </w:r>
          </w:p>
        </w:tc>
        <w:tc>
          <w:tcPr>
            <w:tcW w:w="844" w:type="pct"/>
            <w:tcBorders>
              <w:top w:val="none" w:sz="0" w:space="0" w:color="auto"/>
              <w:left w:val="none" w:sz="0" w:space="0" w:color="auto"/>
              <w:bottom w:val="none" w:sz="0" w:space="0" w:color="auto"/>
              <w:right w:val="none" w:sz="0" w:space="0" w:color="auto"/>
            </w:tcBorders>
          </w:tcPr>
          <w:p w14:paraId="30153C47" w14:textId="14B9AC43"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39B63DDE" w14:textId="32123373"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1F7051D4" w14:textId="7F4C8396" w:rsidR="009667FC" w:rsidRPr="001E3E18" w:rsidRDefault="009667FC" w:rsidP="002F3C1E">
            <w:pPr>
              <w:jc w:val="right"/>
              <w:cnfStyle w:val="000000010000" w:firstRow="0" w:lastRow="0" w:firstColumn="0" w:lastColumn="0" w:oddVBand="0" w:evenVBand="0" w:oddHBand="0" w:evenHBand="1" w:firstRowFirstColumn="0" w:firstRowLastColumn="0" w:lastRowFirstColumn="0" w:lastRowLastColumn="0"/>
            </w:pPr>
            <w:r w:rsidRPr="001E3E18">
              <w:t>0</w:t>
            </w:r>
          </w:p>
        </w:tc>
      </w:tr>
      <w:tr w:rsidR="009667FC" w14:paraId="7AFF0634"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768A0818" w14:textId="142F9922" w:rsidR="009667FC" w:rsidRDefault="009667FC" w:rsidP="002F3C1E">
            <w:r>
              <w:t xml:space="preserve">Strategic Energy Management </w:t>
            </w:r>
          </w:p>
        </w:tc>
        <w:tc>
          <w:tcPr>
            <w:tcW w:w="608" w:type="pct"/>
            <w:tcBorders>
              <w:top w:val="none" w:sz="0" w:space="0" w:color="auto"/>
              <w:left w:val="none" w:sz="0" w:space="0" w:color="auto"/>
              <w:bottom w:val="none" w:sz="0" w:space="0" w:color="auto"/>
              <w:right w:val="none" w:sz="0" w:space="0" w:color="auto"/>
            </w:tcBorders>
          </w:tcPr>
          <w:p w14:paraId="28656786" w14:textId="3E4DFC84" w:rsidR="009667FC" w:rsidRDefault="009667FC" w:rsidP="002F3C1E">
            <w:pPr>
              <w:jc w:val="right"/>
              <w:cnfStyle w:val="000000100000" w:firstRow="0" w:lastRow="0" w:firstColumn="0" w:lastColumn="0" w:oddVBand="0" w:evenVBand="0" w:oddHBand="1" w:evenHBand="0" w:firstRowFirstColumn="0" w:firstRowLastColumn="0" w:lastRowFirstColumn="0" w:lastRowLastColumn="0"/>
            </w:pPr>
            <w:r>
              <w:t>6</w:t>
            </w:r>
          </w:p>
        </w:tc>
        <w:tc>
          <w:tcPr>
            <w:tcW w:w="844" w:type="pct"/>
            <w:tcBorders>
              <w:top w:val="none" w:sz="0" w:space="0" w:color="auto"/>
              <w:left w:val="none" w:sz="0" w:space="0" w:color="auto"/>
              <w:bottom w:val="none" w:sz="0" w:space="0" w:color="auto"/>
              <w:right w:val="none" w:sz="0" w:space="0" w:color="auto"/>
            </w:tcBorders>
          </w:tcPr>
          <w:p w14:paraId="428AC93C" w14:textId="3478FFA1" w:rsidR="009667FC" w:rsidRDefault="009667FC" w:rsidP="002F3C1E">
            <w:pPr>
              <w:jc w:val="right"/>
              <w:cnfStyle w:val="000000100000" w:firstRow="0" w:lastRow="0" w:firstColumn="0" w:lastColumn="0" w:oddVBand="0" w:evenVBand="0" w:oddHBand="1" w:evenHBand="0"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6156EB78" w14:textId="58615215" w:rsidR="009667FC" w:rsidRDefault="009667FC" w:rsidP="002F3C1E">
            <w:pPr>
              <w:jc w:val="right"/>
              <w:cnfStyle w:val="000000100000" w:firstRow="0" w:lastRow="0" w:firstColumn="0" w:lastColumn="0" w:oddVBand="0" w:evenVBand="0" w:oddHBand="1" w:evenHBand="0"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5E945147" w14:textId="63AFC730" w:rsidR="009667FC" w:rsidRDefault="009667FC" w:rsidP="002F3C1E">
            <w:pPr>
              <w:jc w:val="right"/>
              <w:cnfStyle w:val="000000100000" w:firstRow="0" w:lastRow="0" w:firstColumn="0" w:lastColumn="0" w:oddVBand="0" w:evenVBand="0" w:oddHBand="1" w:evenHBand="0" w:firstRowFirstColumn="0" w:firstRowLastColumn="0" w:lastRowFirstColumn="0" w:lastRowLastColumn="0"/>
            </w:pPr>
            <w:r w:rsidRPr="001E3E18">
              <w:t>0</w:t>
            </w:r>
          </w:p>
        </w:tc>
      </w:tr>
      <w:tr w:rsidR="009667FC" w14:paraId="0D0A76EB"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431D6905" w14:textId="6EF878D2" w:rsidR="009667FC" w:rsidRDefault="009667FC" w:rsidP="002F3C1E">
            <w:r>
              <w:t>New Construction Design</w:t>
            </w:r>
          </w:p>
        </w:tc>
        <w:tc>
          <w:tcPr>
            <w:tcW w:w="608" w:type="pct"/>
            <w:tcBorders>
              <w:top w:val="none" w:sz="0" w:space="0" w:color="auto"/>
              <w:left w:val="none" w:sz="0" w:space="0" w:color="auto"/>
              <w:bottom w:val="none" w:sz="0" w:space="0" w:color="auto"/>
              <w:right w:val="none" w:sz="0" w:space="0" w:color="auto"/>
            </w:tcBorders>
          </w:tcPr>
          <w:p w14:paraId="5A52B3F0" w14:textId="4A2961D8"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2</w:t>
            </w:r>
          </w:p>
        </w:tc>
        <w:tc>
          <w:tcPr>
            <w:tcW w:w="844" w:type="pct"/>
            <w:tcBorders>
              <w:top w:val="none" w:sz="0" w:space="0" w:color="auto"/>
              <w:left w:val="none" w:sz="0" w:space="0" w:color="auto"/>
              <w:bottom w:val="none" w:sz="0" w:space="0" w:color="auto"/>
              <w:right w:val="none" w:sz="0" w:space="0" w:color="auto"/>
            </w:tcBorders>
          </w:tcPr>
          <w:p w14:paraId="4591206A" w14:textId="3E20C317"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6B9567E2" w14:textId="3FC253DD"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5DBF4016" w14:textId="737EBEF5" w:rsidR="009667FC" w:rsidRDefault="009667FC" w:rsidP="002F3C1E">
            <w:pPr>
              <w:jc w:val="right"/>
              <w:cnfStyle w:val="000000010000" w:firstRow="0" w:lastRow="0" w:firstColumn="0" w:lastColumn="0" w:oddVBand="0" w:evenVBand="0" w:oddHBand="0" w:evenHBand="1" w:firstRowFirstColumn="0" w:firstRowLastColumn="0" w:lastRowFirstColumn="0" w:lastRowLastColumn="0"/>
            </w:pPr>
            <w:r w:rsidRPr="001E3E18">
              <w:t>0</w:t>
            </w:r>
          </w:p>
        </w:tc>
      </w:tr>
      <w:tr w:rsidR="009667FC" w14:paraId="551736E2"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34302A47" w14:textId="1F14D3D1" w:rsidR="009667FC" w:rsidRPr="004E14E5" w:rsidRDefault="009667FC" w:rsidP="002F3C1E">
            <w:r>
              <w:rPr>
                <w:i/>
                <w:iCs/>
              </w:rPr>
              <w:t xml:space="preserve">Private </w:t>
            </w:r>
            <w:r w:rsidR="00881B1B">
              <w:rPr>
                <w:i/>
                <w:iCs/>
              </w:rPr>
              <w:t>S</w:t>
            </w:r>
            <w:r>
              <w:rPr>
                <w:i/>
                <w:iCs/>
              </w:rPr>
              <w:t>ector Subtotal</w:t>
            </w:r>
          </w:p>
        </w:tc>
        <w:tc>
          <w:tcPr>
            <w:tcW w:w="608" w:type="pct"/>
            <w:tcBorders>
              <w:top w:val="none" w:sz="0" w:space="0" w:color="auto"/>
              <w:left w:val="none" w:sz="0" w:space="0" w:color="auto"/>
              <w:bottom w:val="none" w:sz="0" w:space="0" w:color="auto"/>
              <w:right w:val="none" w:sz="0" w:space="0" w:color="auto"/>
            </w:tcBorders>
          </w:tcPr>
          <w:p w14:paraId="36D2A615" w14:textId="27EDB327" w:rsidR="009667FC" w:rsidRPr="004E14E5" w:rsidRDefault="009667FC" w:rsidP="002F3C1E">
            <w:pPr>
              <w:jc w:val="right"/>
              <w:cnfStyle w:val="000000100000" w:firstRow="0" w:lastRow="0" w:firstColumn="0" w:lastColumn="0" w:oddVBand="0" w:evenVBand="0" w:oddHBand="1" w:evenHBand="0" w:firstRowFirstColumn="0" w:firstRowLastColumn="0" w:lastRowFirstColumn="0" w:lastRowLastColumn="0"/>
              <w:rPr>
                <w:i/>
                <w:iCs/>
              </w:rPr>
            </w:pPr>
            <w:r>
              <w:rPr>
                <w:i/>
                <w:iCs/>
              </w:rPr>
              <w:t>162</w:t>
            </w:r>
          </w:p>
        </w:tc>
        <w:tc>
          <w:tcPr>
            <w:tcW w:w="844" w:type="pct"/>
            <w:tcBorders>
              <w:top w:val="none" w:sz="0" w:space="0" w:color="auto"/>
              <w:left w:val="none" w:sz="0" w:space="0" w:color="auto"/>
              <w:bottom w:val="none" w:sz="0" w:space="0" w:color="auto"/>
              <w:right w:val="none" w:sz="0" w:space="0" w:color="auto"/>
            </w:tcBorders>
          </w:tcPr>
          <w:p w14:paraId="38DA905B" w14:textId="3A65AB09" w:rsidR="009667FC" w:rsidRPr="004E14E5" w:rsidRDefault="009667FC" w:rsidP="002F3C1E">
            <w:pPr>
              <w:jc w:val="right"/>
              <w:cnfStyle w:val="000000100000" w:firstRow="0" w:lastRow="0" w:firstColumn="0" w:lastColumn="0" w:oddVBand="0" w:evenVBand="0" w:oddHBand="1" w:evenHBand="0" w:firstRowFirstColumn="0" w:firstRowLastColumn="0" w:lastRowFirstColumn="0" w:lastRowLastColumn="0"/>
              <w:rPr>
                <w:i/>
                <w:iCs/>
              </w:rPr>
            </w:pPr>
            <w:r>
              <w:rPr>
                <w:i/>
                <w:iCs/>
              </w:rPr>
              <w:t>21,215</w:t>
            </w:r>
          </w:p>
        </w:tc>
        <w:tc>
          <w:tcPr>
            <w:tcW w:w="844" w:type="pct"/>
            <w:tcBorders>
              <w:top w:val="none" w:sz="0" w:space="0" w:color="auto"/>
              <w:left w:val="none" w:sz="0" w:space="0" w:color="auto"/>
              <w:bottom w:val="none" w:sz="0" w:space="0" w:color="auto"/>
              <w:right w:val="none" w:sz="0" w:space="0" w:color="auto"/>
            </w:tcBorders>
          </w:tcPr>
          <w:p w14:paraId="33E0B49F" w14:textId="745CDF5F" w:rsidR="009667FC" w:rsidRPr="004E14E5" w:rsidRDefault="009667FC" w:rsidP="002F3C1E">
            <w:pPr>
              <w:jc w:val="right"/>
              <w:cnfStyle w:val="000000100000" w:firstRow="0" w:lastRow="0" w:firstColumn="0" w:lastColumn="0" w:oddVBand="0" w:evenVBand="0" w:oddHBand="1" w:evenHBand="0" w:firstRowFirstColumn="0" w:firstRowLastColumn="0" w:lastRowFirstColumn="0" w:lastRowLastColumn="0"/>
              <w:rPr>
                <w:i/>
                <w:iCs/>
              </w:rPr>
            </w:pPr>
            <w:r>
              <w:rPr>
                <w:i/>
                <w:iCs/>
              </w:rPr>
              <w:t>3.13</w:t>
            </w:r>
          </w:p>
        </w:tc>
        <w:tc>
          <w:tcPr>
            <w:tcW w:w="719" w:type="pct"/>
            <w:tcBorders>
              <w:top w:val="none" w:sz="0" w:space="0" w:color="auto"/>
              <w:left w:val="none" w:sz="0" w:space="0" w:color="auto"/>
              <w:bottom w:val="none" w:sz="0" w:space="0" w:color="auto"/>
              <w:right w:val="none" w:sz="0" w:space="0" w:color="auto"/>
            </w:tcBorders>
          </w:tcPr>
          <w:p w14:paraId="4E7E0F21" w14:textId="55053545" w:rsidR="009667FC" w:rsidRPr="00DA3488" w:rsidRDefault="006B781F" w:rsidP="002F3C1E">
            <w:pPr>
              <w:jc w:val="right"/>
              <w:cnfStyle w:val="000000100000" w:firstRow="0" w:lastRow="0" w:firstColumn="0" w:lastColumn="0" w:oddVBand="0" w:evenVBand="0" w:oddHBand="1" w:evenHBand="0" w:firstRowFirstColumn="0" w:firstRowLastColumn="0" w:lastRowFirstColumn="0" w:lastRowLastColumn="0"/>
              <w:rPr>
                <w:i/>
                <w:iCs/>
              </w:rPr>
            </w:pPr>
            <w:r w:rsidRPr="006B781F">
              <w:rPr>
                <w:i/>
                <w:iCs/>
              </w:rPr>
              <w:t>1,046,161</w:t>
            </w:r>
          </w:p>
        </w:tc>
      </w:tr>
      <w:tr w:rsidR="009667FC" w14:paraId="4D68F685" w14:textId="77777777" w:rsidTr="008A6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vAlign w:val="top"/>
          </w:tcPr>
          <w:p w14:paraId="25A887A8" w14:textId="624625BD" w:rsidR="009667FC" w:rsidRPr="007475DF" w:rsidRDefault="009667FC" w:rsidP="002F3C1E">
            <w:pPr>
              <w:keepNext/>
              <w:keepLines/>
              <w:rPr>
                <w:rFonts w:asciiTheme="majorHAnsi" w:hAnsiTheme="majorHAnsi"/>
                <w:color w:val="FFFFFF" w:themeColor="background1"/>
              </w:rPr>
            </w:pPr>
            <w:r w:rsidRPr="007475DF">
              <w:rPr>
                <w:rFonts w:asciiTheme="majorHAnsi" w:hAnsiTheme="majorHAnsi"/>
                <w:color w:val="FFFFFF" w:themeColor="background1"/>
              </w:rPr>
              <w:lastRenderedPageBreak/>
              <w:t>Public Sector</w:t>
            </w:r>
            <w:r w:rsidRPr="007475DF">
              <w:rPr>
                <w:rFonts w:asciiTheme="majorHAnsi" w:hAnsiTheme="majorHAnsi"/>
                <w:color w:val="FFFFFF" w:themeColor="background1"/>
                <w:vertAlign w:val="superscript"/>
              </w:rPr>
              <w:t>a</w:t>
            </w:r>
          </w:p>
        </w:tc>
      </w:tr>
      <w:tr w:rsidR="009667FC" w14:paraId="2FF6D7D3"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vAlign w:val="top"/>
          </w:tcPr>
          <w:p w14:paraId="03D9E054" w14:textId="36213003" w:rsidR="009667FC" w:rsidRDefault="009667FC" w:rsidP="002F3C1E">
            <w:pPr>
              <w:keepNext/>
              <w:keepLines/>
            </w:pPr>
            <w:r w:rsidRPr="007122D7">
              <w:t>Custom Incentives</w:t>
            </w:r>
          </w:p>
        </w:tc>
        <w:tc>
          <w:tcPr>
            <w:tcW w:w="608" w:type="pct"/>
            <w:tcBorders>
              <w:top w:val="none" w:sz="0" w:space="0" w:color="auto"/>
              <w:left w:val="none" w:sz="0" w:space="0" w:color="auto"/>
              <w:bottom w:val="none" w:sz="0" w:space="0" w:color="auto"/>
              <w:right w:val="none" w:sz="0" w:space="0" w:color="auto"/>
            </w:tcBorders>
          </w:tcPr>
          <w:p w14:paraId="587F9888" w14:textId="1B2B03D2"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51</w:t>
            </w:r>
          </w:p>
        </w:tc>
        <w:tc>
          <w:tcPr>
            <w:tcW w:w="844" w:type="pct"/>
            <w:tcBorders>
              <w:top w:val="none" w:sz="0" w:space="0" w:color="auto"/>
              <w:left w:val="none" w:sz="0" w:space="0" w:color="auto"/>
              <w:bottom w:val="none" w:sz="0" w:space="0" w:color="auto"/>
              <w:right w:val="none" w:sz="0" w:space="0" w:color="auto"/>
            </w:tcBorders>
          </w:tcPr>
          <w:p w14:paraId="7EFD2AC7" w14:textId="60508960"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rsidRPr="0012016D">
              <w:t>20</w:t>
            </w:r>
            <w:r>
              <w:t>,</w:t>
            </w:r>
            <w:r w:rsidRPr="0012016D">
              <w:t>162</w:t>
            </w:r>
          </w:p>
        </w:tc>
        <w:tc>
          <w:tcPr>
            <w:tcW w:w="844" w:type="pct"/>
            <w:tcBorders>
              <w:top w:val="none" w:sz="0" w:space="0" w:color="auto"/>
              <w:left w:val="none" w:sz="0" w:space="0" w:color="auto"/>
              <w:bottom w:val="none" w:sz="0" w:space="0" w:color="auto"/>
              <w:right w:val="none" w:sz="0" w:space="0" w:color="auto"/>
            </w:tcBorders>
          </w:tcPr>
          <w:p w14:paraId="515EFE51" w14:textId="0FE43461"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1.18</w:t>
            </w:r>
          </w:p>
        </w:tc>
        <w:tc>
          <w:tcPr>
            <w:tcW w:w="719" w:type="pct"/>
            <w:tcBorders>
              <w:top w:val="none" w:sz="0" w:space="0" w:color="auto"/>
              <w:left w:val="none" w:sz="0" w:space="0" w:color="auto"/>
              <w:bottom w:val="none" w:sz="0" w:space="0" w:color="auto"/>
              <w:right w:val="none" w:sz="0" w:space="0" w:color="auto"/>
            </w:tcBorders>
          </w:tcPr>
          <w:p w14:paraId="444F442A" w14:textId="240D3856" w:rsidR="009667FC" w:rsidRDefault="006B781F" w:rsidP="002F3C1E">
            <w:pPr>
              <w:keepNext/>
              <w:keepLines/>
              <w:jc w:val="right"/>
              <w:cnfStyle w:val="000000100000" w:firstRow="0" w:lastRow="0" w:firstColumn="0" w:lastColumn="0" w:oddVBand="0" w:evenVBand="0" w:oddHBand="1" w:evenHBand="0" w:firstRowFirstColumn="0" w:firstRowLastColumn="0" w:lastRowFirstColumn="0" w:lastRowLastColumn="0"/>
            </w:pPr>
            <w:r>
              <w:t>408,290</w:t>
            </w:r>
          </w:p>
        </w:tc>
      </w:tr>
      <w:tr w:rsidR="009667FC" w14:paraId="0B16B010"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vAlign w:val="top"/>
          </w:tcPr>
          <w:p w14:paraId="2BC287F4" w14:textId="37DA52FF" w:rsidR="009667FC" w:rsidRDefault="009667FC" w:rsidP="002F3C1E">
            <w:pPr>
              <w:keepNext/>
              <w:keepLines/>
            </w:pPr>
            <w:r w:rsidRPr="007122D7">
              <w:t>New Construction Lighting</w:t>
            </w:r>
          </w:p>
        </w:tc>
        <w:tc>
          <w:tcPr>
            <w:tcW w:w="608" w:type="pct"/>
            <w:tcBorders>
              <w:top w:val="none" w:sz="0" w:space="0" w:color="auto"/>
              <w:left w:val="none" w:sz="0" w:space="0" w:color="auto"/>
              <w:bottom w:val="none" w:sz="0" w:space="0" w:color="auto"/>
              <w:right w:val="none" w:sz="0" w:space="0" w:color="auto"/>
            </w:tcBorders>
          </w:tcPr>
          <w:p w14:paraId="60E66E5C" w14:textId="5C3E5DD0"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3</w:t>
            </w:r>
          </w:p>
        </w:tc>
        <w:tc>
          <w:tcPr>
            <w:tcW w:w="844" w:type="pct"/>
            <w:tcBorders>
              <w:top w:val="none" w:sz="0" w:space="0" w:color="auto"/>
              <w:left w:val="none" w:sz="0" w:space="0" w:color="auto"/>
              <w:bottom w:val="none" w:sz="0" w:space="0" w:color="auto"/>
              <w:right w:val="none" w:sz="0" w:space="0" w:color="auto"/>
            </w:tcBorders>
          </w:tcPr>
          <w:p w14:paraId="31264DD6" w14:textId="374CC8F7"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rsidRPr="0012016D">
              <w:t>25</w:t>
            </w:r>
          </w:p>
        </w:tc>
        <w:tc>
          <w:tcPr>
            <w:tcW w:w="844" w:type="pct"/>
            <w:tcBorders>
              <w:top w:val="none" w:sz="0" w:space="0" w:color="auto"/>
              <w:left w:val="none" w:sz="0" w:space="0" w:color="auto"/>
              <w:bottom w:val="none" w:sz="0" w:space="0" w:color="auto"/>
              <w:right w:val="none" w:sz="0" w:space="0" w:color="auto"/>
            </w:tcBorders>
          </w:tcPr>
          <w:p w14:paraId="2584DBBE" w14:textId="21FDB865"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0.01</w:t>
            </w:r>
          </w:p>
        </w:tc>
        <w:tc>
          <w:tcPr>
            <w:tcW w:w="719" w:type="pct"/>
            <w:tcBorders>
              <w:top w:val="none" w:sz="0" w:space="0" w:color="auto"/>
              <w:left w:val="none" w:sz="0" w:space="0" w:color="auto"/>
              <w:bottom w:val="none" w:sz="0" w:space="0" w:color="auto"/>
              <w:right w:val="none" w:sz="0" w:space="0" w:color="auto"/>
            </w:tcBorders>
          </w:tcPr>
          <w:p w14:paraId="74EEE010" w14:textId="68187DBC"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0</w:t>
            </w:r>
          </w:p>
        </w:tc>
      </w:tr>
      <w:tr w:rsidR="009667FC" w14:paraId="7C56CD00"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vAlign w:val="top"/>
          </w:tcPr>
          <w:p w14:paraId="006D1F2C" w14:textId="48118B37" w:rsidR="009667FC" w:rsidRDefault="009667FC" w:rsidP="002F3C1E">
            <w:pPr>
              <w:keepNext/>
              <w:keepLines/>
            </w:pPr>
            <w:r w:rsidRPr="007122D7">
              <w:t>Staffing Grant</w:t>
            </w:r>
          </w:p>
        </w:tc>
        <w:tc>
          <w:tcPr>
            <w:tcW w:w="608" w:type="pct"/>
            <w:tcBorders>
              <w:top w:val="none" w:sz="0" w:space="0" w:color="auto"/>
              <w:left w:val="none" w:sz="0" w:space="0" w:color="auto"/>
              <w:bottom w:val="none" w:sz="0" w:space="0" w:color="auto"/>
              <w:right w:val="none" w:sz="0" w:space="0" w:color="auto"/>
            </w:tcBorders>
          </w:tcPr>
          <w:p w14:paraId="755187CA" w14:textId="1E3E267A"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49</w:t>
            </w:r>
          </w:p>
        </w:tc>
        <w:tc>
          <w:tcPr>
            <w:tcW w:w="844" w:type="pct"/>
            <w:tcBorders>
              <w:top w:val="none" w:sz="0" w:space="0" w:color="auto"/>
              <w:left w:val="none" w:sz="0" w:space="0" w:color="auto"/>
              <w:bottom w:val="none" w:sz="0" w:space="0" w:color="auto"/>
              <w:right w:val="none" w:sz="0" w:space="0" w:color="auto"/>
            </w:tcBorders>
          </w:tcPr>
          <w:p w14:paraId="6A99C0DD" w14:textId="0CB3126D"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2788DDD1" w14:textId="51E4F69A"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48B2543F" w14:textId="0E9C8086"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r>
      <w:tr w:rsidR="009667FC" w14:paraId="0E69E8D5"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1DF07E17" w14:textId="42E16235" w:rsidR="009667FC" w:rsidRDefault="009667FC" w:rsidP="002F3C1E">
            <w:pPr>
              <w:keepNext/>
              <w:keepLines/>
            </w:pPr>
            <w:r>
              <w:t>Feasibility Study</w:t>
            </w:r>
          </w:p>
        </w:tc>
        <w:tc>
          <w:tcPr>
            <w:tcW w:w="608" w:type="pct"/>
            <w:tcBorders>
              <w:top w:val="none" w:sz="0" w:space="0" w:color="auto"/>
              <w:left w:val="none" w:sz="0" w:space="0" w:color="auto"/>
              <w:bottom w:val="none" w:sz="0" w:space="0" w:color="auto"/>
              <w:right w:val="none" w:sz="0" w:space="0" w:color="auto"/>
            </w:tcBorders>
          </w:tcPr>
          <w:p w14:paraId="2E21FCD7" w14:textId="587F8D2F"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1</w:t>
            </w:r>
          </w:p>
        </w:tc>
        <w:tc>
          <w:tcPr>
            <w:tcW w:w="844" w:type="pct"/>
            <w:tcBorders>
              <w:top w:val="none" w:sz="0" w:space="0" w:color="auto"/>
              <w:left w:val="none" w:sz="0" w:space="0" w:color="auto"/>
              <w:bottom w:val="none" w:sz="0" w:space="0" w:color="auto"/>
              <w:right w:val="none" w:sz="0" w:space="0" w:color="auto"/>
            </w:tcBorders>
          </w:tcPr>
          <w:p w14:paraId="7EEDDD4A" w14:textId="4CD69E50"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064F5CCB" w14:textId="57D540EB"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2DA7836E" w14:textId="24FB4563" w:rsidR="009667FC"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pPr>
            <w:r>
              <w:t>0</w:t>
            </w:r>
          </w:p>
        </w:tc>
      </w:tr>
      <w:tr w:rsidR="009667FC" w14:paraId="4681E415"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1015ED01" w14:textId="30B20BA6" w:rsidR="009667FC" w:rsidRDefault="009667FC" w:rsidP="002F3C1E">
            <w:pPr>
              <w:keepNext/>
              <w:keepLines/>
            </w:pPr>
            <w:r>
              <w:t>Metering &amp; Monitoring</w:t>
            </w:r>
          </w:p>
        </w:tc>
        <w:tc>
          <w:tcPr>
            <w:tcW w:w="608" w:type="pct"/>
            <w:tcBorders>
              <w:top w:val="none" w:sz="0" w:space="0" w:color="auto"/>
              <w:left w:val="none" w:sz="0" w:space="0" w:color="auto"/>
              <w:bottom w:val="none" w:sz="0" w:space="0" w:color="auto"/>
              <w:right w:val="none" w:sz="0" w:space="0" w:color="auto"/>
            </w:tcBorders>
          </w:tcPr>
          <w:p w14:paraId="3431E6A0" w14:textId="305826C2"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844" w:type="pct"/>
            <w:tcBorders>
              <w:top w:val="none" w:sz="0" w:space="0" w:color="auto"/>
              <w:left w:val="none" w:sz="0" w:space="0" w:color="auto"/>
              <w:bottom w:val="none" w:sz="0" w:space="0" w:color="auto"/>
              <w:right w:val="none" w:sz="0" w:space="0" w:color="auto"/>
            </w:tcBorders>
          </w:tcPr>
          <w:p w14:paraId="5BE88681" w14:textId="60843E2C"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c>
          <w:tcPr>
            <w:tcW w:w="844" w:type="pct"/>
            <w:tcBorders>
              <w:top w:val="none" w:sz="0" w:space="0" w:color="auto"/>
              <w:left w:val="none" w:sz="0" w:space="0" w:color="auto"/>
              <w:bottom w:val="none" w:sz="0" w:space="0" w:color="auto"/>
              <w:right w:val="none" w:sz="0" w:space="0" w:color="auto"/>
            </w:tcBorders>
          </w:tcPr>
          <w:p w14:paraId="027CE0E7" w14:textId="2B286272"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c>
          <w:tcPr>
            <w:tcW w:w="719" w:type="pct"/>
            <w:tcBorders>
              <w:top w:val="none" w:sz="0" w:space="0" w:color="auto"/>
              <w:left w:val="none" w:sz="0" w:space="0" w:color="auto"/>
              <w:bottom w:val="none" w:sz="0" w:space="0" w:color="auto"/>
              <w:right w:val="none" w:sz="0" w:space="0" w:color="auto"/>
            </w:tcBorders>
          </w:tcPr>
          <w:p w14:paraId="0BCCAFD3" w14:textId="56A19CFD" w:rsidR="009667FC" w:rsidRDefault="009667FC" w:rsidP="002F3C1E">
            <w:pPr>
              <w:keepNext/>
              <w:keepLines/>
              <w:jc w:val="right"/>
              <w:cnfStyle w:val="000000100000" w:firstRow="0" w:lastRow="0" w:firstColumn="0" w:lastColumn="0" w:oddVBand="0" w:evenVBand="0" w:oddHBand="1" w:evenHBand="0" w:firstRowFirstColumn="0" w:firstRowLastColumn="0" w:lastRowFirstColumn="0" w:lastRowLastColumn="0"/>
            </w:pPr>
            <w:r>
              <w:t>0</w:t>
            </w:r>
          </w:p>
        </w:tc>
      </w:tr>
      <w:tr w:rsidR="009667FC" w14:paraId="25A22F6A"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02FFC046" w14:textId="77777777" w:rsidR="009667FC" w:rsidRPr="004E14E5" w:rsidRDefault="009667FC" w:rsidP="002F3C1E">
            <w:pPr>
              <w:keepNext/>
              <w:keepLines/>
              <w:rPr>
                <w:i/>
                <w:iCs/>
              </w:rPr>
            </w:pPr>
            <w:r>
              <w:rPr>
                <w:i/>
                <w:iCs/>
              </w:rPr>
              <w:t>Public Sector Subtotal</w:t>
            </w:r>
          </w:p>
        </w:tc>
        <w:tc>
          <w:tcPr>
            <w:tcW w:w="608" w:type="pct"/>
            <w:tcBorders>
              <w:top w:val="none" w:sz="0" w:space="0" w:color="auto"/>
              <w:left w:val="none" w:sz="0" w:space="0" w:color="auto"/>
              <w:bottom w:val="none" w:sz="0" w:space="0" w:color="auto"/>
              <w:right w:val="none" w:sz="0" w:space="0" w:color="auto"/>
            </w:tcBorders>
          </w:tcPr>
          <w:p w14:paraId="287FFD6C" w14:textId="11249AB4" w:rsidR="009667FC" w:rsidRPr="004E14E5"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95</w:t>
            </w:r>
          </w:p>
        </w:tc>
        <w:tc>
          <w:tcPr>
            <w:tcW w:w="844" w:type="pct"/>
            <w:tcBorders>
              <w:top w:val="none" w:sz="0" w:space="0" w:color="auto"/>
              <w:left w:val="none" w:sz="0" w:space="0" w:color="auto"/>
              <w:bottom w:val="none" w:sz="0" w:space="0" w:color="auto"/>
              <w:right w:val="none" w:sz="0" w:space="0" w:color="auto"/>
            </w:tcBorders>
          </w:tcPr>
          <w:p w14:paraId="4C2B25C6" w14:textId="16DDEDDC" w:rsidR="009667FC" w:rsidRPr="004E14E5"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20,187</w:t>
            </w:r>
          </w:p>
        </w:tc>
        <w:tc>
          <w:tcPr>
            <w:tcW w:w="844" w:type="pct"/>
            <w:tcBorders>
              <w:top w:val="none" w:sz="0" w:space="0" w:color="auto"/>
              <w:left w:val="none" w:sz="0" w:space="0" w:color="auto"/>
              <w:bottom w:val="none" w:sz="0" w:space="0" w:color="auto"/>
              <w:right w:val="none" w:sz="0" w:space="0" w:color="auto"/>
            </w:tcBorders>
          </w:tcPr>
          <w:p w14:paraId="2E54FA4B" w14:textId="5B2CD4A7" w:rsidR="009667FC" w:rsidRPr="004E14E5" w:rsidRDefault="009667FC" w:rsidP="002F3C1E">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1.19</w:t>
            </w:r>
          </w:p>
        </w:tc>
        <w:tc>
          <w:tcPr>
            <w:tcW w:w="719" w:type="pct"/>
            <w:tcBorders>
              <w:top w:val="none" w:sz="0" w:space="0" w:color="auto"/>
              <w:left w:val="none" w:sz="0" w:space="0" w:color="auto"/>
              <w:bottom w:val="none" w:sz="0" w:space="0" w:color="auto"/>
              <w:right w:val="none" w:sz="0" w:space="0" w:color="auto"/>
            </w:tcBorders>
          </w:tcPr>
          <w:p w14:paraId="0D12CF2A" w14:textId="12278D33" w:rsidR="009667FC" w:rsidRPr="004E14E5" w:rsidRDefault="006B781F" w:rsidP="002F3C1E">
            <w:pPr>
              <w:keepNext/>
              <w:keepLines/>
              <w:jc w:val="right"/>
              <w:cnfStyle w:val="000000010000" w:firstRow="0" w:lastRow="0" w:firstColumn="0" w:lastColumn="0" w:oddVBand="0" w:evenVBand="0" w:oddHBand="0" w:evenHBand="1" w:firstRowFirstColumn="0" w:firstRowLastColumn="0" w:lastRowFirstColumn="0" w:lastRowLastColumn="0"/>
              <w:rPr>
                <w:i/>
                <w:iCs/>
              </w:rPr>
            </w:pPr>
            <w:r w:rsidRPr="006B781F">
              <w:rPr>
                <w:i/>
                <w:iCs/>
              </w:rPr>
              <w:t>408,290</w:t>
            </w:r>
          </w:p>
        </w:tc>
      </w:tr>
      <w:tr w:rsidR="009667FC" w14:paraId="60B15536"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pct"/>
            <w:tcBorders>
              <w:top w:val="none" w:sz="0" w:space="0" w:color="auto"/>
              <w:left w:val="none" w:sz="0" w:space="0" w:color="auto"/>
              <w:bottom w:val="none" w:sz="0" w:space="0" w:color="auto"/>
              <w:right w:val="none" w:sz="0" w:space="0" w:color="auto"/>
            </w:tcBorders>
          </w:tcPr>
          <w:p w14:paraId="5A01AEFA" w14:textId="77777777" w:rsidR="009667FC" w:rsidRPr="00307925" w:rsidRDefault="009667FC" w:rsidP="002F3C1E">
            <w:pPr>
              <w:rPr>
                <w:rFonts w:ascii="Franklin Gothic Medium" w:hAnsi="Franklin Gothic Medium"/>
              </w:rPr>
            </w:pPr>
            <w:r w:rsidRPr="00307925">
              <w:rPr>
                <w:rFonts w:ascii="Franklin Gothic Medium" w:hAnsi="Franklin Gothic Medium"/>
              </w:rPr>
              <w:t>Total</w:t>
            </w:r>
          </w:p>
        </w:tc>
        <w:tc>
          <w:tcPr>
            <w:tcW w:w="608" w:type="pct"/>
            <w:tcBorders>
              <w:top w:val="none" w:sz="0" w:space="0" w:color="auto"/>
              <w:left w:val="none" w:sz="0" w:space="0" w:color="auto"/>
              <w:bottom w:val="none" w:sz="0" w:space="0" w:color="auto"/>
              <w:right w:val="none" w:sz="0" w:space="0" w:color="auto"/>
            </w:tcBorders>
          </w:tcPr>
          <w:p w14:paraId="0DA292E0" w14:textId="0310262B" w:rsidR="009667FC" w:rsidRPr="00307925" w:rsidRDefault="009667FC" w:rsidP="002F3C1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257</w:t>
            </w:r>
          </w:p>
        </w:tc>
        <w:tc>
          <w:tcPr>
            <w:tcW w:w="844" w:type="pct"/>
            <w:tcBorders>
              <w:top w:val="none" w:sz="0" w:space="0" w:color="auto"/>
              <w:left w:val="none" w:sz="0" w:space="0" w:color="auto"/>
              <w:bottom w:val="none" w:sz="0" w:space="0" w:color="auto"/>
              <w:right w:val="none" w:sz="0" w:space="0" w:color="auto"/>
            </w:tcBorders>
          </w:tcPr>
          <w:p w14:paraId="03C778BF" w14:textId="39AB03F0" w:rsidR="009667FC" w:rsidRPr="00307925" w:rsidRDefault="009667FC" w:rsidP="002F3C1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41,402</w:t>
            </w:r>
          </w:p>
        </w:tc>
        <w:tc>
          <w:tcPr>
            <w:tcW w:w="844" w:type="pct"/>
            <w:tcBorders>
              <w:top w:val="none" w:sz="0" w:space="0" w:color="auto"/>
              <w:left w:val="none" w:sz="0" w:space="0" w:color="auto"/>
              <w:bottom w:val="none" w:sz="0" w:space="0" w:color="auto"/>
              <w:right w:val="none" w:sz="0" w:space="0" w:color="auto"/>
            </w:tcBorders>
          </w:tcPr>
          <w:p w14:paraId="166FF5F4" w14:textId="4027DD09" w:rsidR="009667FC" w:rsidRPr="00307925" w:rsidRDefault="009667FC" w:rsidP="002F3C1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4.32</w:t>
            </w:r>
          </w:p>
        </w:tc>
        <w:tc>
          <w:tcPr>
            <w:tcW w:w="719" w:type="pct"/>
            <w:tcBorders>
              <w:top w:val="none" w:sz="0" w:space="0" w:color="auto"/>
              <w:left w:val="none" w:sz="0" w:space="0" w:color="auto"/>
              <w:bottom w:val="none" w:sz="0" w:space="0" w:color="auto"/>
              <w:right w:val="none" w:sz="0" w:space="0" w:color="auto"/>
            </w:tcBorders>
          </w:tcPr>
          <w:p w14:paraId="603B5ED1" w14:textId="08F7D6BD" w:rsidR="009667FC" w:rsidRPr="00307925" w:rsidRDefault="006B781F" w:rsidP="002F3C1E">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07925">
              <w:rPr>
                <w:rFonts w:ascii="Franklin Gothic Medium" w:hAnsi="Franklin Gothic Medium"/>
              </w:rPr>
              <w:t>1,454,451</w:t>
            </w:r>
          </w:p>
        </w:tc>
      </w:tr>
    </w:tbl>
    <w:p w14:paraId="6C736890" w14:textId="1D43E071" w:rsidR="00A95016" w:rsidRDefault="00A95016" w:rsidP="008A60FE">
      <w:pPr>
        <w:pStyle w:val="Source"/>
      </w:pPr>
      <w:r>
        <w:t>Note: The ex ante gas savings in this table</w:t>
      </w:r>
      <w:r w:rsidR="00C46C49">
        <w:t xml:space="preserve"> only</w:t>
      </w:r>
      <w:r>
        <w:t xml:space="preserve"> reflect AIC claimable gas savings. </w:t>
      </w:r>
      <w:r w:rsidR="00045E88">
        <w:t>Five</w:t>
      </w:r>
      <w:r>
        <w:t xml:space="preserve"> projects completed through the Custom Initiative produced non-AIC gas savings</w:t>
      </w:r>
      <w:r w:rsidR="00C46C49">
        <w:t xml:space="preserve"> and, as such,</w:t>
      </w:r>
      <w:r>
        <w:t xml:space="preserve"> were not included. More information on the savings from these projects is presented in </w:t>
      </w:r>
      <w:r>
        <w:fldChar w:fldCharType="begin"/>
      </w:r>
      <w:r>
        <w:instrText xml:space="preserve"> REF _Ref187069776 \w \h </w:instrText>
      </w:r>
      <w:r>
        <w:fldChar w:fldCharType="separate"/>
      </w:r>
      <w:r w:rsidR="00AA10F4">
        <w:t>Appendix B</w:t>
      </w:r>
      <w:r>
        <w:fldChar w:fldCharType="end"/>
      </w:r>
      <w:r>
        <w:t>.</w:t>
      </w:r>
    </w:p>
    <w:p w14:paraId="227F51F4" w14:textId="57205A68" w:rsidR="00A95016" w:rsidRDefault="00A95016" w:rsidP="008A60FE">
      <w:pPr>
        <w:pStyle w:val="Source"/>
      </w:pPr>
      <w:r>
        <w:rPr>
          <w:vertAlign w:val="superscript"/>
        </w:rPr>
        <w:t>a</w:t>
      </w:r>
      <w:r w:rsidR="00875F07">
        <w:rPr>
          <w:vertAlign w:val="superscript"/>
        </w:rPr>
        <w:t xml:space="preserve"> </w:t>
      </w:r>
      <w:r>
        <w:t>The project counts, measure counts, and ex ante savings values presented in the</w:t>
      </w:r>
      <w:r w:rsidR="00875F07">
        <w:t xml:space="preserve"> Private Sector subsection of this table include State and Federal facilities</w:t>
      </w:r>
      <w:r w:rsidR="00C46C49">
        <w:t>,</w:t>
      </w:r>
      <w:r w:rsidR="00875F07">
        <w:t xml:space="preserve"> as these facility types are </w:t>
      </w:r>
      <w:r>
        <w:t>not included in the list of customer types covered in the public sector minimum funding requirements in subsection (c) of 220 ILCS 5/8-103B and subsection (e) of 220 ILCS 5/8-104.</w:t>
      </w:r>
    </w:p>
    <w:p w14:paraId="12D0AA51" w14:textId="5F2175A4" w:rsidR="00D62CB0" w:rsidRDefault="00D62CB0" w:rsidP="00D62CB0">
      <w:pPr>
        <w:spacing w:before="240"/>
      </w:pPr>
      <w:r>
        <w:fldChar w:fldCharType="begin"/>
      </w:r>
      <w:r>
        <w:instrText xml:space="preserve"> REF _Ref188880504 \h </w:instrText>
      </w:r>
      <w:r>
        <w:fldChar w:fldCharType="separate"/>
      </w:r>
      <w:r w:rsidR="00AA10F4">
        <w:t xml:space="preserve">Table </w:t>
      </w:r>
      <w:r w:rsidR="00AA10F4">
        <w:rPr>
          <w:noProof/>
        </w:rPr>
        <w:t>26</w:t>
      </w:r>
      <w:r>
        <w:fldChar w:fldCharType="end"/>
      </w:r>
      <w:r>
        <w:t xml:space="preserve"> presents a summary of participation in the Custom </w:t>
      </w:r>
      <w:r w:rsidR="00DC1C8C">
        <w:t>Incentives</w:t>
      </w:r>
      <w:r>
        <w:t xml:space="preserve"> and New Construction Lighting channels by facility type. Educational, manufacturing/industrial, and m</w:t>
      </w:r>
      <w:r w:rsidR="009B32D3">
        <w:t xml:space="preserve">unicipal </w:t>
      </w:r>
      <w:r>
        <w:t xml:space="preserve">facilities accounted for </w:t>
      </w:r>
      <w:r w:rsidR="009B32D3">
        <w:t>66%</w:t>
      </w:r>
      <w:r>
        <w:t xml:space="preserve"> of Initiative projects. </w:t>
      </w:r>
    </w:p>
    <w:p w14:paraId="784AA1A5" w14:textId="320BCA0C" w:rsidR="00D62CB0" w:rsidRDefault="00D62CB0" w:rsidP="00881B1B">
      <w:pPr>
        <w:pStyle w:val="Caption"/>
      </w:pPr>
      <w:bookmarkStart w:id="122" w:name="_Ref188880504"/>
      <w:bookmarkStart w:id="123" w:name="_Toc191992547"/>
      <w:bookmarkStart w:id="124" w:name="_Toc192766960"/>
      <w:r>
        <w:t xml:space="preserve">Table </w:t>
      </w:r>
      <w:r w:rsidR="009B4C9A">
        <w:fldChar w:fldCharType="begin"/>
      </w:r>
      <w:r w:rsidR="009B4C9A">
        <w:instrText xml:space="preserve"> SEQ Table \* ARABIC </w:instrText>
      </w:r>
      <w:r w:rsidR="009B4C9A">
        <w:fldChar w:fldCharType="separate"/>
      </w:r>
      <w:r w:rsidR="00AA10F4">
        <w:rPr>
          <w:noProof/>
        </w:rPr>
        <w:t>26</w:t>
      </w:r>
      <w:r w:rsidR="009B4C9A">
        <w:rPr>
          <w:noProof/>
        </w:rPr>
        <w:fldChar w:fldCharType="end"/>
      </w:r>
      <w:bookmarkEnd w:id="122"/>
      <w:r>
        <w:t>. 2024 Custom Initiative Projects by Facility Type</w:t>
      </w:r>
      <w:bookmarkEnd w:id="123"/>
      <w:bookmarkEnd w:id="124"/>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260"/>
        <w:gridCol w:w="3096"/>
        <w:gridCol w:w="3734"/>
        <w:gridCol w:w="2006"/>
      </w:tblGrid>
      <w:tr w:rsidR="00D62CB0" w14:paraId="1DF779B8" w14:textId="77777777" w:rsidTr="002F3C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F2964A6" w14:textId="1ECBF91A" w:rsidR="00D62CB0" w:rsidRDefault="00D62CB0" w:rsidP="00D62CB0">
            <w:pPr>
              <w:pStyle w:val="TableHeadingLeft"/>
            </w:pPr>
            <w:r>
              <w:t>Facility Type</w:t>
            </w:r>
          </w:p>
        </w:tc>
        <w:tc>
          <w:tcPr>
            <w:tcW w:w="0" w:type="auto"/>
            <w:tcBorders>
              <w:bottom w:val="none" w:sz="0" w:space="0" w:color="auto"/>
            </w:tcBorders>
          </w:tcPr>
          <w:p w14:paraId="62070DEB" w14:textId="2DDA7E85" w:rsidR="00D62CB0" w:rsidRDefault="00D62CB0" w:rsidP="00D62CB0">
            <w:pPr>
              <w:pStyle w:val="TableHeadingCentered"/>
              <w:cnfStyle w:val="100000000000" w:firstRow="1" w:lastRow="0" w:firstColumn="0" w:lastColumn="0" w:oddVBand="0" w:evenVBand="0" w:oddHBand="0" w:evenHBand="0" w:firstRowFirstColumn="0" w:firstRowLastColumn="0" w:lastRowFirstColumn="0" w:lastRowLastColumn="0"/>
            </w:pPr>
            <w:r>
              <w:t>Share of Custom Incentives</w:t>
            </w:r>
            <w:r w:rsidR="002F3C1E">
              <w:t xml:space="preserve"> </w:t>
            </w:r>
            <w:r>
              <w:t>Projects</w:t>
            </w:r>
          </w:p>
        </w:tc>
        <w:tc>
          <w:tcPr>
            <w:tcW w:w="0" w:type="auto"/>
            <w:tcBorders>
              <w:bottom w:val="none" w:sz="0" w:space="0" w:color="auto"/>
            </w:tcBorders>
          </w:tcPr>
          <w:p w14:paraId="43ADD380" w14:textId="1EB97701" w:rsidR="00D62CB0" w:rsidRDefault="00D62CB0" w:rsidP="00D62CB0">
            <w:pPr>
              <w:pStyle w:val="TableHeadingCentered"/>
              <w:cnfStyle w:val="100000000000" w:firstRow="1" w:lastRow="0" w:firstColumn="0" w:lastColumn="0" w:oddVBand="0" w:evenVBand="0" w:oddHBand="0" w:evenHBand="0" w:firstRowFirstColumn="0" w:firstRowLastColumn="0" w:lastRowFirstColumn="0" w:lastRowLastColumn="0"/>
            </w:pPr>
            <w:r>
              <w:t>Share of New Construction Lighting</w:t>
            </w:r>
            <w:r w:rsidR="002F3C1E">
              <w:t xml:space="preserve"> </w:t>
            </w:r>
            <w:r>
              <w:t>Projects</w:t>
            </w:r>
          </w:p>
        </w:tc>
        <w:tc>
          <w:tcPr>
            <w:tcW w:w="0" w:type="auto"/>
            <w:tcBorders>
              <w:bottom w:val="none" w:sz="0" w:space="0" w:color="auto"/>
            </w:tcBorders>
          </w:tcPr>
          <w:p w14:paraId="7E97BB40" w14:textId="25720437" w:rsidR="00D62CB0" w:rsidRDefault="00D62CB0" w:rsidP="00D62CB0">
            <w:pPr>
              <w:pStyle w:val="TableHeadingCentered"/>
              <w:cnfStyle w:val="100000000000" w:firstRow="1" w:lastRow="0" w:firstColumn="0" w:lastColumn="0" w:oddVBand="0" w:evenVBand="0" w:oddHBand="0" w:evenHBand="0" w:firstRowFirstColumn="0" w:firstRowLastColumn="0" w:lastRowFirstColumn="0" w:lastRowLastColumn="0"/>
            </w:pPr>
            <w:r>
              <w:t>Share of Total</w:t>
            </w:r>
            <w:r w:rsidR="002F3C1E">
              <w:t xml:space="preserve"> </w:t>
            </w:r>
            <w:r>
              <w:t>Projects</w:t>
            </w:r>
          </w:p>
        </w:tc>
      </w:tr>
      <w:tr w:rsidR="00D62CB0" w14:paraId="2BD3E78B"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A0537E0" w14:textId="3BEBC551" w:rsidR="00D62CB0" w:rsidRDefault="00845B5B" w:rsidP="00D62CB0">
            <w:r>
              <w:t>Manufacturing/Industrial</w:t>
            </w:r>
          </w:p>
        </w:tc>
        <w:tc>
          <w:tcPr>
            <w:tcW w:w="0" w:type="auto"/>
            <w:tcBorders>
              <w:top w:val="none" w:sz="0" w:space="0" w:color="auto"/>
              <w:left w:val="none" w:sz="0" w:space="0" w:color="auto"/>
              <w:bottom w:val="none" w:sz="0" w:space="0" w:color="auto"/>
              <w:right w:val="none" w:sz="0" w:space="0" w:color="auto"/>
            </w:tcBorders>
          </w:tcPr>
          <w:p w14:paraId="753D5068" w14:textId="4DA59ECD" w:rsidR="00D62CB0" w:rsidRDefault="00845B5B" w:rsidP="00881B1B">
            <w:pPr>
              <w:jc w:val="center"/>
              <w:cnfStyle w:val="000000100000" w:firstRow="0" w:lastRow="0" w:firstColumn="0" w:lastColumn="0" w:oddVBand="0" w:evenVBand="0" w:oddHBand="1" w:evenHBand="0" w:firstRowFirstColumn="0" w:firstRowLastColumn="0" w:lastRowFirstColumn="0" w:lastRowLastColumn="0"/>
            </w:pPr>
            <w:r>
              <w:t>32%</w:t>
            </w:r>
          </w:p>
        </w:tc>
        <w:tc>
          <w:tcPr>
            <w:tcW w:w="0" w:type="auto"/>
            <w:tcBorders>
              <w:top w:val="none" w:sz="0" w:space="0" w:color="auto"/>
              <w:left w:val="none" w:sz="0" w:space="0" w:color="auto"/>
              <w:bottom w:val="none" w:sz="0" w:space="0" w:color="auto"/>
              <w:right w:val="none" w:sz="0" w:space="0" w:color="auto"/>
            </w:tcBorders>
          </w:tcPr>
          <w:p w14:paraId="4C42A349" w14:textId="0DA56B2B" w:rsidR="00D62CB0" w:rsidRDefault="00CC473A" w:rsidP="00881B1B">
            <w:pPr>
              <w:jc w:val="center"/>
              <w:cnfStyle w:val="000000100000" w:firstRow="0" w:lastRow="0" w:firstColumn="0" w:lastColumn="0" w:oddVBand="0" w:evenVBand="0" w:oddHBand="1" w:evenHBand="0" w:firstRowFirstColumn="0" w:firstRowLastColumn="0" w:lastRowFirstColumn="0" w:lastRowLastColumn="0"/>
            </w:pPr>
            <w:r>
              <w:t>8%</w:t>
            </w:r>
          </w:p>
        </w:tc>
        <w:tc>
          <w:tcPr>
            <w:tcW w:w="0" w:type="auto"/>
            <w:tcBorders>
              <w:top w:val="none" w:sz="0" w:space="0" w:color="auto"/>
              <w:left w:val="none" w:sz="0" w:space="0" w:color="auto"/>
              <w:bottom w:val="none" w:sz="0" w:space="0" w:color="auto"/>
              <w:right w:val="none" w:sz="0" w:space="0" w:color="auto"/>
            </w:tcBorders>
          </w:tcPr>
          <w:p w14:paraId="337F0AF3" w14:textId="0DE8279E" w:rsidR="00D62CB0" w:rsidRDefault="00CC473A" w:rsidP="00881B1B">
            <w:pPr>
              <w:jc w:val="center"/>
              <w:cnfStyle w:val="000000100000" w:firstRow="0" w:lastRow="0" w:firstColumn="0" w:lastColumn="0" w:oddVBand="0" w:evenVBand="0" w:oddHBand="1" w:evenHBand="0" w:firstRowFirstColumn="0" w:firstRowLastColumn="0" w:lastRowFirstColumn="0" w:lastRowLastColumn="0"/>
            </w:pPr>
            <w:r>
              <w:t>28%</w:t>
            </w:r>
          </w:p>
        </w:tc>
      </w:tr>
      <w:tr w:rsidR="00D62CB0" w14:paraId="7380FDFF"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B667C1C" w14:textId="1DB0803D" w:rsidR="00D62CB0" w:rsidRDefault="00845B5B" w:rsidP="00D62CB0">
            <w:r>
              <w:t>Educational</w:t>
            </w:r>
          </w:p>
        </w:tc>
        <w:tc>
          <w:tcPr>
            <w:tcW w:w="0" w:type="auto"/>
            <w:tcBorders>
              <w:top w:val="none" w:sz="0" w:space="0" w:color="auto"/>
              <w:left w:val="none" w:sz="0" w:space="0" w:color="auto"/>
              <w:bottom w:val="none" w:sz="0" w:space="0" w:color="auto"/>
              <w:right w:val="none" w:sz="0" w:space="0" w:color="auto"/>
            </w:tcBorders>
          </w:tcPr>
          <w:p w14:paraId="25B43C5A" w14:textId="10AF6215" w:rsidR="00D62CB0" w:rsidRDefault="00845B5B" w:rsidP="00881B1B">
            <w:pPr>
              <w:jc w:val="center"/>
              <w:cnfStyle w:val="000000010000" w:firstRow="0" w:lastRow="0" w:firstColumn="0" w:lastColumn="0" w:oddVBand="0" w:evenVBand="0" w:oddHBand="0" w:evenHBand="1" w:firstRowFirstColumn="0" w:firstRowLastColumn="0" w:lastRowFirstColumn="0" w:lastRowLastColumn="0"/>
            </w:pPr>
            <w:r>
              <w:t>30%</w:t>
            </w:r>
          </w:p>
        </w:tc>
        <w:tc>
          <w:tcPr>
            <w:tcW w:w="0" w:type="auto"/>
            <w:tcBorders>
              <w:top w:val="none" w:sz="0" w:space="0" w:color="auto"/>
              <w:left w:val="none" w:sz="0" w:space="0" w:color="auto"/>
              <w:bottom w:val="none" w:sz="0" w:space="0" w:color="auto"/>
              <w:right w:val="none" w:sz="0" w:space="0" w:color="auto"/>
            </w:tcBorders>
          </w:tcPr>
          <w:p w14:paraId="0E7C1E0B" w14:textId="7F7AC0A1"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17%</w:t>
            </w:r>
          </w:p>
        </w:tc>
        <w:tc>
          <w:tcPr>
            <w:tcW w:w="0" w:type="auto"/>
            <w:tcBorders>
              <w:top w:val="none" w:sz="0" w:space="0" w:color="auto"/>
              <w:left w:val="none" w:sz="0" w:space="0" w:color="auto"/>
              <w:bottom w:val="none" w:sz="0" w:space="0" w:color="auto"/>
              <w:right w:val="none" w:sz="0" w:space="0" w:color="auto"/>
            </w:tcBorders>
          </w:tcPr>
          <w:p w14:paraId="4A993B33" w14:textId="7C4AFDB8"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28%</w:t>
            </w:r>
          </w:p>
        </w:tc>
      </w:tr>
      <w:tr w:rsidR="00D62CB0" w14:paraId="769AC241"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69D241C" w14:textId="482443A5" w:rsidR="00D62CB0" w:rsidRDefault="00D62CB0" w:rsidP="00D62CB0">
            <w:r>
              <w:t>M</w:t>
            </w:r>
            <w:r w:rsidR="00845B5B">
              <w:t>unicipality</w:t>
            </w:r>
          </w:p>
        </w:tc>
        <w:tc>
          <w:tcPr>
            <w:tcW w:w="0" w:type="auto"/>
            <w:tcBorders>
              <w:top w:val="none" w:sz="0" w:space="0" w:color="auto"/>
              <w:left w:val="none" w:sz="0" w:space="0" w:color="auto"/>
              <w:bottom w:val="none" w:sz="0" w:space="0" w:color="auto"/>
              <w:right w:val="none" w:sz="0" w:space="0" w:color="auto"/>
            </w:tcBorders>
          </w:tcPr>
          <w:p w14:paraId="457F2568" w14:textId="7EA38864" w:rsidR="00D62CB0" w:rsidRDefault="00845B5B" w:rsidP="00881B1B">
            <w:pPr>
              <w:jc w:val="center"/>
              <w:cnfStyle w:val="000000100000" w:firstRow="0" w:lastRow="0" w:firstColumn="0" w:lastColumn="0" w:oddVBand="0" w:evenVBand="0" w:oddHBand="1" w:evenHBand="0" w:firstRowFirstColumn="0" w:firstRowLastColumn="0" w:lastRowFirstColumn="0" w:lastRowLastColumn="0"/>
            </w:pPr>
            <w:r>
              <w:t>10%</w:t>
            </w:r>
          </w:p>
        </w:tc>
        <w:tc>
          <w:tcPr>
            <w:tcW w:w="0" w:type="auto"/>
            <w:tcBorders>
              <w:top w:val="none" w:sz="0" w:space="0" w:color="auto"/>
              <w:left w:val="none" w:sz="0" w:space="0" w:color="auto"/>
              <w:bottom w:val="none" w:sz="0" w:space="0" w:color="auto"/>
              <w:right w:val="none" w:sz="0" w:space="0" w:color="auto"/>
            </w:tcBorders>
          </w:tcPr>
          <w:p w14:paraId="39CADB73" w14:textId="360E6CC3" w:rsidR="00D62CB0" w:rsidRDefault="00CC473A" w:rsidP="00881B1B">
            <w:pPr>
              <w:jc w:val="center"/>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3651AE5C" w14:textId="5156E19F" w:rsidR="00D62CB0" w:rsidRDefault="003143B6" w:rsidP="00881B1B">
            <w:pPr>
              <w:jc w:val="center"/>
              <w:cnfStyle w:val="000000100000" w:firstRow="0" w:lastRow="0" w:firstColumn="0" w:lastColumn="0" w:oddVBand="0" w:evenVBand="0" w:oddHBand="1" w:evenHBand="0" w:firstRowFirstColumn="0" w:firstRowLastColumn="0" w:lastRowFirstColumn="0" w:lastRowLastColumn="0"/>
            </w:pPr>
            <w:r>
              <w:t>9</w:t>
            </w:r>
            <w:r w:rsidR="00CC473A">
              <w:t>%</w:t>
            </w:r>
          </w:p>
        </w:tc>
      </w:tr>
      <w:tr w:rsidR="00D62CB0" w14:paraId="417E1FB3"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A1B38B7" w14:textId="4EDB394E" w:rsidR="00D62CB0" w:rsidRDefault="00845B5B" w:rsidP="00D62CB0">
            <w:r>
              <w:t>Medical</w:t>
            </w:r>
          </w:p>
        </w:tc>
        <w:tc>
          <w:tcPr>
            <w:tcW w:w="0" w:type="auto"/>
            <w:tcBorders>
              <w:top w:val="none" w:sz="0" w:space="0" w:color="auto"/>
              <w:left w:val="none" w:sz="0" w:space="0" w:color="auto"/>
              <w:bottom w:val="none" w:sz="0" w:space="0" w:color="auto"/>
              <w:right w:val="none" w:sz="0" w:space="0" w:color="auto"/>
            </w:tcBorders>
          </w:tcPr>
          <w:p w14:paraId="715B9D1E" w14:textId="3CAC0693" w:rsidR="00D62CB0" w:rsidRDefault="00845B5B" w:rsidP="00881B1B">
            <w:pPr>
              <w:jc w:val="center"/>
              <w:cnfStyle w:val="000000010000" w:firstRow="0" w:lastRow="0" w:firstColumn="0" w:lastColumn="0" w:oddVBand="0" w:evenVBand="0" w:oddHBand="0" w:evenHBand="1" w:firstRowFirstColumn="0" w:firstRowLastColumn="0" w:lastRowFirstColumn="0" w:lastRowLastColumn="0"/>
            </w:pPr>
            <w:r>
              <w:t>5%</w:t>
            </w:r>
          </w:p>
        </w:tc>
        <w:tc>
          <w:tcPr>
            <w:tcW w:w="0" w:type="auto"/>
            <w:tcBorders>
              <w:top w:val="none" w:sz="0" w:space="0" w:color="auto"/>
              <w:left w:val="none" w:sz="0" w:space="0" w:color="auto"/>
              <w:bottom w:val="none" w:sz="0" w:space="0" w:color="auto"/>
              <w:right w:val="none" w:sz="0" w:space="0" w:color="auto"/>
            </w:tcBorders>
          </w:tcPr>
          <w:p w14:paraId="62A78387" w14:textId="63697809"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4F6DC728" w14:textId="4570D523"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5%</w:t>
            </w:r>
          </w:p>
        </w:tc>
      </w:tr>
      <w:tr w:rsidR="00D62CB0" w14:paraId="6F1BA989"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E92EB86" w14:textId="054C1741" w:rsidR="00D62CB0" w:rsidRDefault="00845B5B" w:rsidP="00D62CB0">
            <w:r>
              <w:t>Religious</w:t>
            </w:r>
          </w:p>
        </w:tc>
        <w:tc>
          <w:tcPr>
            <w:tcW w:w="0" w:type="auto"/>
            <w:tcBorders>
              <w:top w:val="none" w:sz="0" w:space="0" w:color="auto"/>
              <w:left w:val="none" w:sz="0" w:space="0" w:color="auto"/>
              <w:bottom w:val="none" w:sz="0" w:space="0" w:color="auto"/>
              <w:right w:val="none" w:sz="0" w:space="0" w:color="auto"/>
            </w:tcBorders>
          </w:tcPr>
          <w:p w14:paraId="056230D3" w14:textId="45F59D2F" w:rsidR="00D62CB0" w:rsidRDefault="00845B5B" w:rsidP="00881B1B">
            <w:pPr>
              <w:jc w:val="center"/>
              <w:cnfStyle w:val="000000100000" w:firstRow="0" w:lastRow="0" w:firstColumn="0" w:lastColumn="0" w:oddVBand="0" w:evenVBand="0" w:oddHBand="1" w:evenHBand="0" w:firstRowFirstColumn="0" w:firstRowLastColumn="0" w:lastRowFirstColumn="0" w:lastRowLastColumn="0"/>
            </w:pPr>
            <w:r>
              <w:t>5%</w:t>
            </w:r>
          </w:p>
        </w:tc>
        <w:tc>
          <w:tcPr>
            <w:tcW w:w="0" w:type="auto"/>
            <w:tcBorders>
              <w:top w:val="none" w:sz="0" w:space="0" w:color="auto"/>
              <w:left w:val="none" w:sz="0" w:space="0" w:color="auto"/>
              <w:bottom w:val="none" w:sz="0" w:space="0" w:color="auto"/>
              <w:right w:val="none" w:sz="0" w:space="0" w:color="auto"/>
            </w:tcBorders>
          </w:tcPr>
          <w:p w14:paraId="22F7CA86" w14:textId="01CA9977" w:rsidR="00D62CB0" w:rsidRDefault="00CC473A" w:rsidP="00881B1B">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tcPr>
          <w:p w14:paraId="17212F2E" w14:textId="5E9E6870" w:rsidR="00D62CB0" w:rsidRDefault="00CC473A" w:rsidP="00881B1B">
            <w:pPr>
              <w:jc w:val="center"/>
              <w:cnfStyle w:val="000000100000" w:firstRow="0" w:lastRow="0" w:firstColumn="0" w:lastColumn="0" w:oddVBand="0" w:evenVBand="0" w:oddHBand="1" w:evenHBand="0" w:firstRowFirstColumn="0" w:firstRowLastColumn="0" w:lastRowFirstColumn="0" w:lastRowLastColumn="0"/>
            </w:pPr>
            <w:r>
              <w:t>4%</w:t>
            </w:r>
          </w:p>
        </w:tc>
      </w:tr>
      <w:tr w:rsidR="00D62CB0" w14:paraId="63E76032"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033E6C5" w14:textId="5AEE8291" w:rsidR="00D62CB0" w:rsidRDefault="00845B5B" w:rsidP="00D62CB0">
            <w:r>
              <w:t>Office</w:t>
            </w:r>
          </w:p>
        </w:tc>
        <w:tc>
          <w:tcPr>
            <w:tcW w:w="0" w:type="auto"/>
            <w:tcBorders>
              <w:top w:val="none" w:sz="0" w:space="0" w:color="auto"/>
              <w:left w:val="none" w:sz="0" w:space="0" w:color="auto"/>
              <w:bottom w:val="none" w:sz="0" w:space="0" w:color="auto"/>
              <w:right w:val="none" w:sz="0" w:space="0" w:color="auto"/>
            </w:tcBorders>
          </w:tcPr>
          <w:p w14:paraId="3228DC3F" w14:textId="128A4842" w:rsidR="00D62CB0" w:rsidRDefault="00845B5B" w:rsidP="00881B1B">
            <w:pPr>
              <w:jc w:val="center"/>
              <w:cnfStyle w:val="000000010000" w:firstRow="0" w:lastRow="0" w:firstColumn="0" w:lastColumn="0" w:oddVBand="0" w:evenVBand="0" w:oddHBand="0" w:evenHBand="1"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64963E11" w14:textId="54CDB1A3"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13%</w:t>
            </w:r>
          </w:p>
        </w:tc>
        <w:tc>
          <w:tcPr>
            <w:tcW w:w="0" w:type="auto"/>
            <w:tcBorders>
              <w:top w:val="none" w:sz="0" w:space="0" w:color="auto"/>
              <w:left w:val="none" w:sz="0" w:space="0" w:color="auto"/>
              <w:bottom w:val="none" w:sz="0" w:space="0" w:color="auto"/>
              <w:right w:val="none" w:sz="0" w:space="0" w:color="auto"/>
            </w:tcBorders>
          </w:tcPr>
          <w:p w14:paraId="72D80291" w14:textId="5456FD5A" w:rsidR="00D62CB0" w:rsidRDefault="00CC473A" w:rsidP="00881B1B">
            <w:pPr>
              <w:jc w:val="center"/>
              <w:cnfStyle w:val="000000010000" w:firstRow="0" w:lastRow="0" w:firstColumn="0" w:lastColumn="0" w:oddVBand="0" w:evenVBand="0" w:oddHBand="0" w:evenHBand="1" w:firstRowFirstColumn="0" w:firstRowLastColumn="0" w:lastRowFirstColumn="0" w:lastRowLastColumn="0"/>
            </w:pPr>
            <w:r>
              <w:t>5%</w:t>
            </w:r>
          </w:p>
        </w:tc>
      </w:tr>
      <w:tr w:rsidR="003143B6" w14:paraId="6A21B9AB"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D1C3643" w14:textId="52A2F942" w:rsidR="003143B6" w:rsidRDefault="003143B6" w:rsidP="003143B6">
            <w:r>
              <w:t>Warehouse</w:t>
            </w:r>
          </w:p>
        </w:tc>
        <w:tc>
          <w:tcPr>
            <w:tcW w:w="0" w:type="auto"/>
            <w:tcBorders>
              <w:top w:val="none" w:sz="0" w:space="0" w:color="auto"/>
              <w:left w:val="none" w:sz="0" w:space="0" w:color="auto"/>
              <w:bottom w:val="none" w:sz="0" w:space="0" w:color="auto"/>
              <w:right w:val="none" w:sz="0" w:space="0" w:color="auto"/>
            </w:tcBorders>
          </w:tcPr>
          <w:p w14:paraId="0E5A6BB4" w14:textId="51413570"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3DE2972E" w14:textId="4DABE912"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21%</w:t>
            </w:r>
          </w:p>
        </w:tc>
        <w:tc>
          <w:tcPr>
            <w:tcW w:w="0" w:type="auto"/>
            <w:tcBorders>
              <w:top w:val="none" w:sz="0" w:space="0" w:color="auto"/>
              <w:left w:val="none" w:sz="0" w:space="0" w:color="auto"/>
              <w:bottom w:val="none" w:sz="0" w:space="0" w:color="auto"/>
              <w:right w:val="none" w:sz="0" w:space="0" w:color="auto"/>
            </w:tcBorders>
          </w:tcPr>
          <w:p w14:paraId="38CEA1CB" w14:textId="57193A25"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4%</w:t>
            </w:r>
          </w:p>
        </w:tc>
      </w:tr>
      <w:tr w:rsidR="003143B6" w14:paraId="25045D40"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A0397C0" w14:textId="64B4A2CD" w:rsidR="003143B6" w:rsidRDefault="003143B6" w:rsidP="003143B6">
            <w:r>
              <w:t>Retail</w:t>
            </w:r>
          </w:p>
        </w:tc>
        <w:tc>
          <w:tcPr>
            <w:tcW w:w="0" w:type="auto"/>
            <w:tcBorders>
              <w:top w:val="none" w:sz="0" w:space="0" w:color="auto"/>
              <w:left w:val="none" w:sz="0" w:space="0" w:color="auto"/>
              <w:bottom w:val="none" w:sz="0" w:space="0" w:color="auto"/>
              <w:right w:val="none" w:sz="0" w:space="0" w:color="auto"/>
            </w:tcBorders>
          </w:tcPr>
          <w:p w14:paraId="46E1471D" w14:textId="00D688A4"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4B71FD60" w14:textId="414499D9"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17%</w:t>
            </w:r>
          </w:p>
        </w:tc>
        <w:tc>
          <w:tcPr>
            <w:tcW w:w="0" w:type="auto"/>
            <w:tcBorders>
              <w:top w:val="none" w:sz="0" w:space="0" w:color="auto"/>
              <w:left w:val="none" w:sz="0" w:space="0" w:color="auto"/>
              <w:bottom w:val="none" w:sz="0" w:space="0" w:color="auto"/>
              <w:right w:val="none" w:sz="0" w:space="0" w:color="auto"/>
            </w:tcBorders>
          </w:tcPr>
          <w:p w14:paraId="6F121D8B" w14:textId="7FCF025B"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5%</w:t>
            </w:r>
          </w:p>
        </w:tc>
      </w:tr>
      <w:tr w:rsidR="003143B6" w14:paraId="090EC59C"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ACF9444" w14:textId="69561CFA" w:rsidR="003143B6" w:rsidRDefault="003143B6" w:rsidP="003143B6">
            <w:r>
              <w:t>Restaurant</w:t>
            </w:r>
          </w:p>
        </w:tc>
        <w:tc>
          <w:tcPr>
            <w:tcW w:w="0" w:type="auto"/>
            <w:tcBorders>
              <w:top w:val="none" w:sz="0" w:space="0" w:color="auto"/>
              <w:left w:val="none" w:sz="0" w:space="0" w:color="auto"/>
              <w:bottom w:val="none" w:sz="0" w:space="0" w:color="auto"/>
              <w:right w:val="none" w:sz="0" w:space="0" w:color="auto"/>
            </w:tcBorders>
          </w:tcPr>
          <w:p w14:paraId="2877C627" w14:textId="497A856F"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15F98AA8" w14:textId="6E915387"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21490342" w14:textId="24DE6B7A"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3%</w:t>
            </w:r>
          </w:p>
        </w:tc>
      </w:tr>
      <w:tr w:rsidR="003143B6" w14:paraId="33F5218C"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4A316248" w14:textId="334E109C" w:rsidR="003143B6" w:rsidRDefault="003143B6" w:rsidP="003143B6">
            <w:r>
              <w:t>Multifamily</w:t>
            </w:r>
          </w:p>
        </w:tc>
        <w:tc>
          <w:tcPr>
            <w:tcW w:w="0" w:type="auto"/>
            <w:tcBorders>
              <w:top w:val="none" w:sz="0" w:space="0" w:color="auto"/>
              <w:left w:val="none" w:sz="0" w:space="0" w:color="auto"/>
              <w:bottom w:val="none" w:sz="0" w:space="0" w:color="auto"/>
              <w:right w:val="none" w:sz="0" w:space="0" w:color="auto"/>
            </w:tcBorders>
          </w:tcPr>
          <w:p w14:paraId="639452AC" w14:textId="54E011EE"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4C348D9D" w14:textId="331CA876"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tcPr>
          <w:p w14:paraId="1729A6EA" w14:textId="6D7777E7"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2%</w:t>
            </w:r>
          </w:p>
        </w:tc>
      </w:tr>
      <w:tr w:rsidR="003143B6" w14:paraId="50017768"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FACCC25" w14:textId="1D29442D" w:rsidR="003143B6" w:rsidRDefault="003143B6" w:rsidP="003143B6">
            <w:r>
              <w:t>Grocery</w:t>
            </w:r>
          </w:p>
        </w:tc>
        <w:tc>
          <w:tcPr>
            <w:tcW w:w="0" w:type="auto"/>
            <w:tcBorders>
              <w:top w:val="none" w:sz="0" w:space="0" w:color="auto"/>
              <w:left w:val="none" w:sz="0" w:space="0" w:color="auto"/>
              <w:bottom w:val="none" w:sz="0" w:space="0" w:color="auto"/>
              <w:right w:val="none" w:sz="0" w:space="0" w:color="auto"/>
            </w:tcBorders>
          </w:tcPr>
          <w:p w14:paraId="13206BA1" w14:textId="53294238"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5DCDBE34" w14:textId="70DE504F"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8%</w:t>
            </w:r>
          </w:p>
        </w:tc>
        <w:tc>
          <w:tcPr>
            <w:tcW w:w="0" w:type="auto"/>
            <w:tcBorders>
              <w:top w:val="none" w:sz="0" w:space="0" w:color="auto"/>
              <w:left w:val="none" w:sz="0" w:space="0" w:color="auto"/>
              <w:bottom w:val="none" w:sz="0" w:space="0" w:color="auto"/>
              <w:right w:val="none" w:sz="0" w:space="0" w:color="auto"/>
            </w:tcBorders>
          </w:tcPr>
          <w:p w14:paraId="3906AC01" w14:textId="1BBBCB1B"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2%</w:t>
            </w:r>
          </w:p>
        </w:tc>
      </w:tr>
      <w:tr w:rsidR="003143B6" w14:paraId="7ED404C2"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434F225" w14:textId="3F29A39C" w:rsidR="003143B6" w:rsidRDefault="003143B6" w:rsidP="003143B6">
            <w:r>
              <w:t>Lodging</w:t>
            </w:r>
          </w:p>
        </w:tc>
        <w:tc>
          <w:tcPr>
            <w:tcW w:w="0" w:type="auto"/>
            <w:tcBorders>
              <w:top w:val="none" w:sz="0" w:space="0" w:color="auto"/>
              <w:left w:val="none" w:sz="0" w:space="0" w:color="auto"/>
              <w:bottom w:val="none" w:sz="0" w:space="0" w:color="auto"/>
              <w:right w:val="none" w:sz="0" w:space="0" w:color="auto"/>
            </w:tcBorders>
          </w:tcPr>
          <w:p w14:paraId="1E3A4E15" w14:textId="3738430D"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3DD250E6" w14:textId="769ECEF1"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tcPr>
          <w:p w14:paraId="48765627" w14:textId="35B55BE2"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1%</w:t>
            </w:r>
          </w:p>
        </w:tc>
      </w:tr>
      <w:tr w:rsidR="003143B6" w14:paraId="262CCE93"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B8E50CC" w14:textId="10ED8A26" w:rsidR="003143B6" w:rsidRDefault="003143B6" w:rsidP="003143B6">
            <w:r>
              <w:t>Agricultural</w:t>
            </w:r>
          </w:p>
        </w:tc>
        <w:tc>
          <w:tcPr>
            <w:tcW w:w="0" w:type="auto"/>
            <w:tcBorders>
              <w:top w:val="none" w:sz="0" w:space="0" w:color="auto"/>
              <w:left w:val="none" w:sz="0" w:space="0" w:color="auto"/>
              <w:bottom w:val="none" w:sz="0" w:space="0" w:color="auto"/>
              <w:right w:val="none" w:sz="0" w:space="0" w:color="auto"/>
            </w:tcBorders>
          </w:tcPr>
          <w:p w14:paraId="6DBE4672" w14:textId="4C58591E"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37A1874A" w14:textId="190E5581"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0%</w:t>
            </w:r>
          </w:p>
        </w:tc>
        <w:tc>
          <w:tcPr>
            <w:tcW w:w="0" w:type="auto"/>
            <w:tcBorders>
              <w:top w:val="none" w:sz="0" w:space="0" w:color="auto"/>
              <w:left w:val="none" w:sz="0" w:space="0" w:color="auto"/>
              <w:bottom w:val="none" w:sz="0" w:space="0" w:color="auto"/>
              <w:right w:val="none" w:sz="0" w:space="0" w:color="auto"/>
            </w:tcBorders>
          </w:tcPr>
          <w:p w14:paraId="4ACFEFBC" w14:textId="6264867C" w:rsidR="003143B6" w:rsidRDefault="003143B6" w:rsidP="00881B1B">
            <w:pPr>
              <w:jc w:val="center"/>
              <w:cnfStyle w:val="000000100000" w:firstRow="0" w:lastRow="0" w:firstColumn="0" w:lastColumn="0" w:oddVBand="0" w:evenVBand="0" w:oddHBand="1" w:evenHBand="0" w:firstRowFirstColumn="0" w:firstRowLastColumn="0" w:lastRowFirstColumn="0" w:lastRowLastColumn="0"/>
            </w:pPr>
            <w:r>
              <w:t>1%</w:t>
            </w:r>
          </w:p>
        </w:tc>
      </w:tr>
      <w:tr w:rsidR="003143B6" w14:paraId="69215424"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6C78A94" w14:textId="74E4885B" w:rsidR="003143B6" w:rsidRDefault="003143B6" w:rsidP="003143B6">
            <w:r>
              <w:t>Other/Unknown</w:t>
            </w:r>
          </w:p>
        </w:tc>
        <w:tc>
          <w:tcPr>
            <w:tcW w:w="0" w:type="auto"/>
            <w:tcBorders>
              <w:top w:val="none" w:sz="0" w:space="0" w:color="auto"/>
              <w:left w:val="none" w:sz="0" w:space="0" w:color="auto"/>
              <w:bottom w:val="none" w:sz="0" w:space="0" w:color="auto"/>
              <w:right w:val="none" w:sz="0" w:space="0" w:color="auto"/>
            </w:tcBorders>
          </w:tcPr>
          <w:p w14:paraId="501C0C3B" w14:textId="0D1A7FA9"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5F0E23AD" w14:textId="5A6555A7"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3C7B816F" w14:textId="355CF72E" w:rsidR="003143B6" w:rsidRDefault="003143B6" w:rsidP="00881B1B">
            <w:pPr>
              <w:jc w:val="center"/>
              <w:cnfStyle w:val="000000010000" w:firstRow="0" w:lastRow="0" w:firstColumn="0" w:lastColumn="0" w:oddVBand="0" w:evenVBand="0" w:oddHBand="0" w:evenHBand="1" w:firstRowFirstColumn="0" w:firstRowLastColumn="0" w:lastRowFirstColumn="0" w:lastRowLastColumn="0"/>
            </w:pPr>
            <w:r>
              <w:t>3%</w:t>
            </w:r>
          </w:p>
        </w:tc>
      </w:tr>
    </w:tbl>
    <w:p w14:paraId="419C5591" w14:textId="5263639C" w:rsidR="00D62CB0" w:rsidRPr="00A95016" w:rsidRDefault="00D62CB0" w:rsidP="00D62CB0">
      <w:pPr>
        <w:spacing w:before="240"/>
      </w:pPr>
      <w:r>
        <w:t xml:space="preserve">In total, </w:t>
      </w:r>
      <w:r w:rsidR="00C90BFB">
        <w:t>47</w:t>
      </w:r>
      <w:r>
        <w:t xml:space="preserve"> </w:t>
      </w:r>
      <w:r w:rsidR="00C46C49">
        <w:t xml:space="preserve">Program Allies </w:t>
      </w:r>
      <w:r>
        <w:t xml:space="preserve">participated in the Custom Initiative in 2024, with </w:t>
      </w:r>
      <w:r w:rsidR="00C90BFB">
        <w:t>3</w:t>
      </w:r>
      <w:r w:rsidR="008F7815">
        <w:t>6</w:t>
      </w:r>
      <w:r>
        <w:t xml:space="preserve"> completing projects through the Custom Incentives channel and </w:t>
      </w:r>
      <w:r w:rsidR="00C90BFB">
        <w:t>14</w:t>
      </w:r>
      <w:r>
        <w:t xml:space="preserve"> completing projects through the New Construction Lighting channel.</w:t>
      </w:r>
      <w:r w:rsidR="008F7815">
        <w:rPr>
          <w:rStyle w:val="FootnoteReference"/>
        </w:rPr>
        <w:footnoteReference w:id="21"/>
      </w:r>
      <w:r>
        <w:t xml:space="preserve"> Notably, </w:t>
      </w:r>
      <w:r w:rsidR="00C90BFB">
        <w:t>35%</w:t>
      </w:r>
      <w:r>
        <w:t xml:space="preserve"> of Custom Incentives projects </w:t>
      </w:r>
      <w:r w:rsidR="008F7815">
        <w:t xml:space="preserve">and 8% of New Construction Lighting projects </w:t>
      </w:r>
      <w:r>
        <w:t xml:space="preserve">were completed without the assistance of </w:t>
      </w:r>
      <w:r w:rsidR="008F7815">
        <w:t xml:space="preserve">an </w:t>
      </w:r>
      <w:r>
        <w:t xml:space="preserve">enrolled </w:t>
      </w:r>
      <w:r w:rsidR="003F3F47">
        <w:t>Program Ally</w:t>
      </w:r>
      <w:r w:rsidR="00C90BFB">
        <w:t>.</w:t>
      </w:r>
    </w:p>
    <w:p w14:paraId="3578C2B0" w14:textId="38A22ADA" w:rsidR="006D0CB9" w:rsidRDefault="00771E40" w:rsidP="002F3C1E">
      <w:pPr>
        <w:pStyle w:val="Heading3"/>
        <w:tabs>
          <w:tab w:val="clear" w:pos="2160"/>
          <w:tab w:val="num" w:pos="1080"/>
        </w:tabs>
        <w:ind w:left="0"/>
      </w:pPr>
      <w:bookmarkStart w:id="125" w:name="_Toc191992421"/>
      <w:r>
        <w:lastRenderedPageBreak/>
        <w:t>Initiative Annual Savings Summary</w:t>
      </w:r>
      <w:bookmarkEnd w:id="125"/>
      <w:r>
        <w:t xml:space="preserve"> </w:t>
      </w:r>
    </w:p>
    <w:p w14:paraId="0CF018CF" w14:textId="6F7421C8" w:rsidR="00463E1B" w:rsidRDefault="00463E1B" w:rsidP="002F3C1E">
      <w:pPr>
        <w:keepNext/>
        <w:keepLines/>
      </w:pPr>
      <w:r>
        <w:fldChar w:fldCharType="begin"/>
      </w:r>
      <w:r>
        <w:instrText xml:space="preserve"> REF _Ref187238805 \h </w:instrText>
      </w:r>
      <w:r>
        <w:fldChar w:fldCharType="separate"/>
      </w:r>
      <w:r w:rsidR="00AA10F4">
        <w:t xml:space="preserve">Table </w:t>
      </w:r>
      <w:r w:rsidR="00AA10F4">
        <w:rPr>
          <w:noProof/>
        </w:rPr>
        <w:t>27</w:t>
      </w:r>
      <w:r>
        <w:fldChar w:fldCharType="end"/>
      </w:r>
      <w:r>
        <w:t xml:space="preserve"> presents the Custom Initiative annual savings achieved in 2024. The 2024 Custom Initiative achieved </w:t>
      </w:r>
      <w:r w:rsidR="00424F0A">
        <w:t>30,</w:t>
      </w:r>
      <w:r w:rsidR="009D3A5A">
        <w:t xml:space="preserve">118 </w:t>
      </w:r>
      <w:r>
        <w:t xml:space="preserve">MWh, </w:t>
      </w:r>
      <w:r w:rsidR="009D3A5A">
        <w:t>3.2</w:t>
      </w:r>
      <w:r w:rsidR="00227724">
        <w:t>2</w:t>
      </w:r>
      <w:r>
        <w:t xml:space="preserve"> MW, and </w:t>
      </w:r>
      <w:r w:rsidR="00424F0A">
        <w:t>1,</w:t>
      </w:r>
      <w:r w:rsidR="009D3A5A">
        <w:t>577</w:t>
      </w:r>
      <w:r w:rsidR="00424F0A">
        <w:t>,8</w:t>
      </w:r>
      <w:r w:rsidR="009D3A5A">
        <w:t xml:space="preserve">36 </w:t>
      </w:r>
      <w:r>
        <w:t xml:space="preserve">therms in verified net savings. The Initiative also produced </w:t>
      </w:r>
      <w:r w:rsidR="00424F0A">
        <w:t>2,</w:t>
      </w:r>
      <w:r w:rsidR="009D3A5A">
        <w:t>248</w:t>
      </w:r>
      <w:r w:rsidR="00424F0A">
        <w:t>,5</w:t>
      </w:r>
      <w:r w:rsidR="009D3A5A">
        <w:t>52</w:t>
      </w:r>
      <w:r>
        <w:t xml:space="preserve"> therms in verified net gas savings in 2024 that are not</w:t>
      </w:r>
      <w:r w:rsidR="00D615CF">
        <w:t xml:space="preserve"> directly</w:t>
      </w:r>
      <w:r>
        <w:t xml:space="preserve"> claimable by AIC because the customers do not receive gas service from AIC</w:t>
      </w:r>
      <w:r w:rsidR="00D615CF">
        <w:t>. T</w:t>
      </w:r>
      <w:r>
        <w:t xml:space="preserve">hese savings are detailed further in </w:t>
      </w:r>
      <w:r>
        <w:fldChar w:fldCharType="begin"/>
      </w:r>
      <w:r>
        <w:instrText xml:space="preserve"> REF _Ref187069776 \n \h </w:instrText>
      </w:r>
      <w:r>
        <w:fldChar w:fldCharType="separate"/>
      </w:r>
      <w:r w:rsidR="00AA10F4">
        <w:t>Appendix B</w:t>
      </w:r>
      <w:r>
        <w:fldChar w:fldCharType="end"/>
      </w:r>
      <w:r>
        <w:t>.</w:t>
      </w:r>
    </w:p>
    <w:p w14:paraId="1289653D" w14:textId="5C891F6A" w:rsidR="00463E1B" w:rsidRDefault="00463E1B" w:rsidP="00881B1B">
      <w:pPr>
        <w:pStyle w:val="Caption"/>
      </w:pPr>
      <w:bookmarkStart w:id="126" w:name="_Ref187238805"/>
      <w:bookmarkStart w:id="127" w:name="_Toc191992548"/>
      <w:bookmarkStart w:id="128" w:name="_Toc192766961"/>
      <w:r>
        <w:t xml:space="preserve">Table </w:t>
      </w:r>
      <w:r w:rsidR="009B4C9A">
        <w:fldChar w:fldCharType="begin"/>
      </w:r>
      <w:r w:rsidR="009B4C9A">
        <w:instrText xml:space="preserve"> SEQ Table \* ARABIC </w:instrText>
      </w:r>
      <w:r w:rsidR="009B4C9A">
        <w:fldChar w:fldCharType="separate"/>
      </w:r>
      <w:r w:rsidR="00AA10F4">
        <w:rPr>
          <w:noProof/>
        </w:rPr>
        <w:t>27</w:t>
      </w:r>
      <w:r w:rsidR="009B4C9A">
        <w:rPr>
          <w:noProof/>
        </w:rPr>
        <w:fldChar w:fldCharType="end"/>
      </w:r>
      <w:bookmarkEnd w:id="126"/>
      <w:r>
        <w:t>. 2024 Custom Initiative Annual Savings</w:t>
      </w:r>
      <w:bookmarkEnd w:id="127"/>
      <w:bookmarkEnd w:id="128"/>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2F3C1E" w14:paraId="1CA86808"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57BD5C7" w14:textId="77777777" w:rsidR="002F3C1E" w:rsidRPr="00625570" w:rsidRDefault="002F3C1E" w:rsidP="002F3C1E">
            <w:pPr>
              <w:pStyle w:val="TableHeadingLeft"/>
            </w:pPr>
            <w:bookmarkStart w:id="129" w:name="_Ref188529439"/>
            <w:bookmarkStart w:id="130" w:name="_Ref189137408"/>
            <w:bookmarkStart w:id="131" w:name="_Toc191992422"/>
          </w:p>
        </w:tc>
        <w:tc>
          <w:tcPr>
            <w:tcW w:w="0" w:type="auto"/>
            <w:tcBorders>
              <w:left w:val="single" w:sz="4" w:space="0" w:color="4A4D56" w:themeColor="text1"/>
              <w:bottom w:val="single" w:sz="4" w:space="0" w:color="4A4D56" w:themeColor="text1"/>
              <w:right w:val="single" w:sz="4" w:space="0" w:color="4A4D56" w:themeColor="text1"/>
            </w:tcBorders>
          </w:tcPr>
          <w:p w14:paraId="0AC51707" w14:textId="7E36EAA9"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461111F4" w14:textId="5F89FFA0"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17EA9024" w14:textId="1575086A"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2F3C1E" w14:paraId="35C813FE"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3ABC22B" w14:textId="69AC27A8" w:rsidR="002F3C1E" w:rsidRPr="00625570" w:rsidRDefault="002F3C1E" w:rsidP="002F3C1E">
            <w:pPr>
              <w:pStyle w:val="TableLeftText"/>
            </w:pPr>
            <w:r w:rsidRPr="00AA0CA7">
              <w:t>Ex Ante Gross Savings</w:t>
            </w:r>
          </w:p>
        </w:tc>
        <w:tc>
          <w:tcPr>
            <w:tcW w:w="0" w:type="auto"/>
            <w:tcBorders>
              <w:top w:val="single" w:sz="4" w:space="0" w:color="4A4D56" w:themeColor="text1"/>
            </w:tcBorders>
          </w:tcPr>
          <w:p w14:paraId="6F449521" w14:textId="4B9DB2B8"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41,402</w:t>
            </w:r>
          </w:p>
        </w:tc>
        <w:tc>
          <w:tcPr>
            <w:tcW w:w="0" w:type="auto"/>
            <w:tcBorders>
              <w:top w:val="single" w:sz="4" w:space="0" w:color="4A4D56" w:themeColor="text1"/>
            </w:tcBorders>
          </w:tcPr>
          <w:p w14:paraId="351A04F5" w14:textId="14049322"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4.32</w:t>
            </w:r>
          </w:p>
        </w:tc>
        <w:tc>
          <w:tcPr>
            <w:tcW w:w="0" w:type="auto"/>
            <w:tcBorders>
              <w:top w:val="single" w:sz="4" w:space="0" w:color="4A4D56" w:themeColor="text1"/>
            </w:tcBorders>
          </w:tcPr>
          <w:p w14:paraId="423CE91F" w14:textId="5D75D78F"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1,454,451</w:t>
            </w:r>
          </w:p>
        </w:tc>
      </w:tr>
      <w:tr w:rsidR="002F3C1E" w14:paraId="77F24830"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7B3C6EC" w14:textId="5C2C7A38" w:rsidR="002F3C1E" w:rsidRPr="00625570" w:rsidRDefault="002F3C1E" w:rsidP="002F3C1E">
            <w:pPr>
              <w:pStyle w:val="TableLeftText"/>
            </w:pPr>
            <w:r w:rsidRPr="00AA0CA7">
              <w:t>Gross Realization Rate</w:t>
            </w:r>
          </w:p>
        </w:tc>
        <w:tc>
          <w:tcPr>
            <w:tcW w:w="0" w:type="auto"/>
          </w:tcPr>
          <w:p w14:paraId="26E328CC" w14:textId="5686CF84"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424F0A">
              <w:t>89%</w:t>
            </w:r>
          </w:p>
        </w:tc>
        <w:tc>
          <w:tcPr>
            <w:tcW w:w="0" w:type="auto"/>
          </w:tcPr>
          <w:p w14:paraId="73A0E483" w14:textId="39AD9258"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t>90</w:t>
            </w:r>
            <w:r w:rsidRPr="00424F0A">
              <w:t>%</w:t>
            </w:r>
          </w:p>
        </w:tc>
        <w:tc>
          <w:tcPr>
            <w:tcW w:w="0" w:type="auto"/>
          </w:tcPr>
          <w:p w14:paraId="7E6B5D96" w14:textId="2C620560"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424F0A">
              <w:t>13</w:t>
            </w:r>
            <w:r>
              <w:t>0</w:t>
            </w:r>
            <w:r w:rsidRPr="00424F0A">
              <w:t>%</w:t>
            </w:r>
          </w:p>
        </w:tc>
      </w:tr>
      <w:tr w:rsidR="002F3C1E" w14:paraId="093C2EC1"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4C84DA7" w14:textId="6C1E2AE1" w:rsidR="002F3C1E" w:rsidRPr="00625570" w:rsidRDefault="002F3C1E" w:rsidP="002F3C1E">
            <w:pPr>
              <w:pStyle w:val="TableLeftText"/>
            </w:pPr>
            <w:r w:rsidRPr="00AA0CA7">
              <w:t>Verified Gross Savings</w:t>
            </w:r>
          </w:p>
        </w:tc>
        <w:tc>
          <w:tcPr>
            <w:tcW w:w="0" w:type="auto"/>
          </w:tcPr>
          <w:p w14:paraId="3357CF05" w14:textId="68C52724"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37,03</w:t>
            </w:r>
            <w:r>
              <w:t>4</w:t>
            </w:r>
          </w:p>
        </w:tc>
        <w:tc>
          <w:tcPr>
            <w:tcW w:w="0" w:type="auto"/>
          </w:tcPr>
          <w:p w14:paraId="4AADB401" w14:textId="12ABEABD"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3</w:t>
            </w:r>
            <w:r w:rsidRPr="00424F0A">
              <w:t>.</w:t>
            </w:r>
            <w:r>
              <w:t>91</w:t>
            </w:r>
          </w:p>
        </w:tc>
        <w:tc>
          <w:tcPr>
            <w:tcW w:w="0" w:type="auto"/>
          </w:tcPr>
          <w:p w14:paraId="04DF6541" w14:textId="3E6B4C6B"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1,</w:t>
            </w:r>
            <w:r>
              <w:t>89</w:t>
            </w:r>
            <w:r w:rsidRPr="00424F0A">
              <w:t>2,</w:t>
            </w:r>
            <w:r>
              <w:t>411</w:t>
            </w:r>
          </w:p>
        </w:tc>
      </w:tr>
      <w:tr w:rsidR="002F3C1E" w14:paraId="6134937C"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DA682B" w14:textId="2879413A" w:rsidR="002F3C1E" w:rsidRPr="00625570" w:rsidRDefault="002F3C1E" w:rsidP="002F3C1E">
            <w:pPr>
              <w:pStyle w:val="TableLeftText"/>
            </w:pPr>
            <w:r w:rsidRPr="00AA0CA7">
              <w:t>NTGR</w:t>
            </w:r>
          </w:p>
        </w:tc>
        <w:tc>
          <w:tcPr>
            <w:tcW w:w="0" w:type="auto"/>
          </w:tcPr>
          <w:p w14:paraId="29DB3375" w14:textId="6C5D0D98"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424F0A">
              <w:t>0.813</w:t>
            </w:r>
          </w:p>
        </w:tc>
        <w:tc>
          <w:tcPr>
            <w:tcW w:w="0" w:type="auto"/>
          </w:tcPr>
          <w:p w14:paraId="5951D051" w14:textId="40124F35"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424F0A">
              <w:t>0.82</w:t>
            </w:r>
            <w:r>
              <w:t>5</w:t>
            </w:r>
          </w:p>
        </w:tc>
        <w:tc>
          <w:tcPr>
            <w:tcW w:w="0" w:type="auto"/>
          </w:tcPr>
          <w:p w14:paraId="32B191D6" w14:textId="4B5F114C"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424F0A">
              <w:t>0.834</w:t>
            </w:r>
          </w:p>
        </w:tc>
      </w:tr>
      <w:tr w:rsidR="002F3C1E" w14:paraId="4A36DD4F"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90AE698" w14:textId="16AD40A7" w:rsidR="002F3C1E" w:rsidRPr="00625570" w:rsidRDefault="002F3C1E" w:rsidP="002F3C1E">
            <w:pPr>
              <w:pStyle w:val="TableLeftText"/>
            </w:pPr>
            <w:r w:rsidRPr="00AA0CA7">
              <w:t>Verified Net Savings</w:t>
            </w:r>
          </w:p>
        </w:tc>
        <w:tc>
          <w:tcPr>
            <w:tcW w:w="0" w:type="auto"/>
          </w:tcPr>
          <w:p w14:paraId="723D3A4B" w14:textId="093F7CE2"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30,1</w:t>
            </w:r>
            <w:r>
              <w:t>18</w:t>
            </w:r>
          </w:p>
        </w:tc>
        <w:tc>
          <w:tcPr>
            <w:tcW w:w="0" w:type="auto"/>
          </w:tcPr>
          <w:p w14:paraId="31F250B9" w14:textId="090F32EB"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3.22</w:t>
            </w:r>
          </w:p>
        </w:tc>
        <w:tc>
          <w:tcPr>
            <w:tcW w:w="0" w:type="auto"/>
          </w:tcPr>
          <w:p w14:paraId="380F9E40" w14:textId="39608F11"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424F0A">
              <w:t>1,</w:t>
            </w:r>
            <w:r>
              <w:t>577</w:t>
            </w:r>
            <w:r w:rsidRPr="00424F0A">
              <w:t>,</w:t>
            </w:r>
            <w:r>
              <w:t>836</w:t>
            </w:r>
          </w:p>
        </w:tc>
      </w:tr>
    </w:tbl>
    <w:p w14:paraId="5FE36BFB" w14:textId="75E58032" w:rsidR="00771E40" w:rsidRDefault="00771E40" w:rsidP="002F3C1E">
      <w:pPr>
        <w:pStyle w:val="Heading3"/>
        <w:tabs>
          <w:tab w:val="left" w:pos="1080"/>
        </w:tabs>
        <w:spacing w:before="100" w:beforeAutospacing="1"/>
        <w:ind w:left="0"/>
      </w:pPr>
      <w:r>
        <w:t>Custom Incentives Channel</w:t>
      </w:r>
      <w:bookmarkEnd w:id="129"/>
      <w:bookmarkEnd w:id="130"/>
      <w:bookmarkEnd w:id="131"/>
    </w:p>
    <w:p w14:paraId="049C0B49" w14:textId="3533AC8E" w:rsidR="00D615CF" w:rsidRPr="00D615CF" w:rsidRDefault="00D615CF" w:rsidP="00D615CF">
      <w:r w:rsidRPr="00D615CF">
        <w:t>The following sections present the impact evaluation results for the 202</w:t>
      </w:r>
      <w:r>
        <w:t>4</w:t>
      </w:r>
      <w:r w:rsidRPr="00D615CF">
        <w:t xml:space="preserve"> Custom Incentives channel. Additional details on the impact analysis methodology are provided in </w:t>
      </w:r>
      <w:r w:rsidR="00634424">
        <w:fldChar w:fldCharType="begin"/>
      </w:r>
      <w:r w:rsidR="00634424">
        <w:instrText xml:space="preserve"> REF _Ref187157397 \n \h </w:instrText>
      </w:r>
      <w:r w:rsidR="00634424">
        <w:fldChar w:fldCharType="separate"/>
      </w:r>
      <w:r w:rsidR="00AA10F4">
        <w:t>Appendix A</w:t>
      </w:r>
      <w:r w:rsidR="00634424">
        <w:fldChar w:fldCharType="end"/>
      </w:r>
      <w:r>
        <w:t>.</w:t>
      </w:r>
    </w:p>
    <w:p w14:paraId="63581AFB" w14:textId="4F8F4162" w:rsidR="00771E40" w:rsidRDefault="00771E40" w:rsidP="00771E40">
      <w:pPr>
        <w:pStyle w:val="Heading4"/>
      </w:pPr>
      <w:r>
        <w:t>Channel Description</w:t>
      </w:r>
    </w:p>
    <w:p w14:paraId="4CCBE77F" w14:textId="0D6CA350" w:rsidR="00FE7C0B" w:rsidRDefault="00FE7C0B" w:rsidP="00FE7C0B">
      <w:r>
        <w:t xml:space="preserve">The Custom Incentives channel provides incentives for electric and gas measures not incentivized through other AIC offerings. Some examples of common Custom Incentives measures include compressed air improvements, energy management systems (EMS), and industrial process measures, including heat recovery, process heat, and improvements to steam systems. </w:t>
      </w:r>
    </w:p>
    <w:p w14:paraId="0E553C97" w14:textId="77777777" w:rsidR="00ED4937" w:rsidRDefault="00ED4937" w:rsidP="00ED4937">
      <w:pPr>
        <w:pStyle w:val="Heading5"/>
      </w:pPr>
      <w:r>
        <w:t>Summary of Key Implementation Changes</w:t>
      </w:r>
    </w:p>
    <w:p w14:paraId="770222A7" w14:textId="2CB34C89" w:rsidR="00ED4937" w:rsidRDefault="00ED4937" w:rsidP="00ED4937">
      <w:r>
        <w:t>Initiative staff instituted the following design and implementation changes to Custom Incentives in 2024:</w:t>
      </w:r>
    </w:p>
    <w:p w14:paraId="4C4E0252" w14:textId="11CFA22A" w:rsidR="00B07C85" w:rsidRDefault="00ED4937" w:rsidP="00CA4F72">
      <w:pPr>
        <w:pStyle w:val="ListBullet"/>
      </w:pPr>
      <w:r>
        <w:t xml:space="preserve">Electric and gas incentives were updated such that electric savings exceeding </w:t>
      </w:r>
      <w:r w:rsidRPr="00ED4937">
        <w:t>3,125,000 kWh receive</w:t>
      </w:r>
      <w:r>
        <w:t>d a per-unit incentive of</w:t>
      </w:r>
      <w:r w:rsidRPr="00ED4937">
        <w:t xml:space="preserve"> $0.06/kWh</w:t>
      </w:r>
      <w:r w:rsidR="00C46C49">
        <w:t>,</w:t>
      </w:r>
      <w:r>
        <w:t xml:space="preserve"> and gas savings exceeding </w:t>
      </w:r>
      <w:r w:rsidR="00B07C85" w:rsidRPr="00B07C85">
        <w:t xml:space="preserve">100,000 </w:t>
      </w:r>
      <w:r>
        <w:t xml:space="preserve">therms </w:t>
      </w:r>
      <w:r w:rsidR="00B07C85" w:rsidRPr="00B07C85">
        <w:t>receive</w:t>
      </w:r>
      <w:r>
        <w:t>d a per-unit incentive of</w:t>
      </w:r>
      <w:r w:rsidR="00B07C85" w:rsidRPr="00B07C85">
        <w:t xml:space="preserve"> $0.50/therm</w:t>
      </w:r>
      <w:r>
        <w:t>.</w:t>
      </w:r>
    </w:p>
    <w:p w14:paraId="318AA8EE" w14:textId="002E74C3" w:rsidR="00781DD0" w:rsidRDefault="00781DD0" w:rsidP="0045305D">
      <w:pPr>
        <w:pStyle w:val="ListBullet"/>
      </w:pPr>
      <w:r>
        <w:t>Implementation staff hosted a Compressed Air Challenge Fundamentals Course with industrial customers. The training focused on compressed air systems energy optimization and was part of a continuing education effort to assist customers with identifying participation opportunities.</w:t>
      </w:r>
    </w:p>
    <w:p w14:paraId="35236B7E" w14:textId="792BA7EE" w:rsidR="00771E40" w:rsidRDefault="00771E40" w:rsidP="008851E7">
      <w:pPr>
        <w:pStyle w:val="Heading4"/>
        <w:keepNext/>
      </w:pPr>
      <w:r>
        <w:t>Savings Detail</w:t>
      </w:r>
    </w:p>
    <w:p w14:paraId="6CCD7C68" w14:textId="43063DAA" w:rsidR="00D615CF" w:rsidRDefault="00E137A7" w:rsidP="00E137A7">
      <w:pPr>
        <w:sectPr w:rsidR="00D615CF" w:rsidSect="00B45EFD">
          <w:pgSz w:w="12240" w:h="15840" w:code="1"/>
          <w:pgMar w:top="567" w:right="567" w:bottom="567" w:left="567" w:header="567" w:footer="340" w:gutter="0"/>
          <w:cols w:space="708"/>
          <w:docGrid w:linePitch="360"/>
        </w:sectPr>
      </w:pPr>
      <w:r>
        <w:t xml:space="preserve">For the Custom Incentives channel, we verified participation and gross impacts through desk reviews and on-site M&amp;V of a sample projects, as described in </w:t>
      </w:r>
      <w:r>
        <w:fldChar w:fldCharType="begin"/>
      </w:r>
      <w:r>
        <w:instrText xml:space="preserve"> REF _Ref187157397 \n \h </w:instrText>
      </w:r>
      <w:r>
        <w:fldChar w:fldCharType="separate"/>
      </w:r>
      <w:r w:rsidR="00AA10F4">
        <w:t>Appendix A</w:t>
      </w:r>
      <w:r>
        <w:fldChar w:fldCharType="end"/>
      </w:r>
      <w:r>
        <w:t>.</w:t>
      </w:r>
      <w:r w:rsidR="00D615CF">
        <w:t xml:space="preserve"> </w:t>
      </w:r>
      <w:r w:rsidR="00E60908">
        <w:t>Site-specific M&amp;V was conducted for Custom Incentives projects in three distinct waves</w:t>
      </w:r>
      <w:r w:rsidR="00C46C49">
        <w:t>,</w:t>
      </w:r>
      <w:r w:rsidR="00E60908">
        <w:t xml:space="preserve"> with samples independently developed for each wave by fuel type (electric or gas). We used a stratified combined ratio estimator to develop a realization rate for each wave by savings type (presented later in this chapter).</w:t>
      </w:r>
      <w:r w:rsidR="00E60908">
        <w:rPr>
          <w:rStyle w:val="FootnoteReference"/>
        </w:rPr>
        <w:footnoteReference w:id="22"/>
      </w:r>
    </w:p>
    <w:p w14:paraId="29BB6270" w14:textId="3CD23983" w:rsidR="00771E40" w:rsidRDefault="00771E40" w:rsidP="000071FF">
      <w:pPr>
        <w:pStyle w:val="Heading5"/>
      </w:pPr>
      <w:r>
        <w:lastRenderedPageBreak/>
        <w:t>Site-Specific Results</w:t>
      </w:r>
    </w:p>
    <w:p w14:paraId="53E4AD62" w14:textId="563EA860" w:rsidR="002E783A" w:rsidRDefault="002E783A" w:rsidP="00E137A7">
      <w:pPr>
        <w:spacing w:before="240" w:after="0"/>
      </w:pPr>
      <w:r>
        <w:fldChar w:fldCharType="begin"/>
      </w:r>
      <w:r>
        <w:instrText xml:space="preserve"> REF _Ref187244458 \h </w:instrText>
      </w:r>
      <w:r>
        <w:fldChar w:fldCharType="separate"/>
      </w:r>
      <w:r w:rsidR="00AA10F4">
        <w:t xml:space="preserve">Table </w:t>
      </w:r>
      <w:r w:rsidR="00AA10F4">
        <w:rPr>
          <w:noProof/>
        </w:rPr>
        <w:t>28</w:t>
      </w:r>
      <w:r>
        <w:fldChar w:fldCharType="end"/>
      </w:r>
      <w:r>
        <w:t xml:space="preserve"> </w:t>
      </w:r>
      <w:r w:rsidR="00E137A7" w:rsidRPr="00B44FC5">
        <w:t xml:space="preserve">presents </w:t>
      </w:r>
      <w:r w:rsidR="004E329F">
        <w:t xml:space="preserve">the gross savings analysis results </w:t>
      </w:r>
      <w:r w:rsidR="00E137A7" w:rsidRPr="00AB1443">
        <w:t xml:space="preserve">for </w:t>
      </w:r>
      <w:r w:rsidR="005456E3">
        <w:t>34</w:t>
      </w:r>
      <w:r w:rsidR="00E137A7" w:rsidRPr="00AB1443">
        <w:t xml:space="preserve"> Custom Incentives projects we reviewed in 202</w:t>
      </w:r>
      <w:r w:rsidR="00E137A7">
        <w:t>4</w:t>
      </w:r>
      <w:r w:rsidR="00E137A7" w:rsidRPr="00AB1443">
        <w:t xml:space="preserve">. Realization rates for individual projects ranged from </w:t>
      </w:r>
      <w:r w:rsidR="005456E3">
        <w:t>18</w:t>
      </w:r>
      <w:r w:rsidR="00E137A7" w:rsidRPr="00AB1443">
        <w:t xml:space="preserve">% to </w:t>
      </w:r>
      <w:r w:rsidR="005456E3">
        <w:t>167</w:t>
      </w:r>
      <w:r w:rsidR="00E137A7" w:rsidRPr="00AB1443">
        <w:t xml:space="preserve">% for electric energy and </w:t>
      </w:r>
      <w:r w:rsidR="005456E3">
        <w:t>0</w:t>
      </w:r>
      <w:r w:rsidR="00E137A7" w:rsidRPr="00AB1443">
        <w:t xml:space="preserve">% to </w:t>
      </w:r>
      <w:r w:rsidR="005456E3">
        <w:t>213</w:t>
      </w:r>
      <w:r w:rsidR="00E137A7" w:rsidRPr="00AB1443">
        <w:t xml:space="preserve">% for gas. </w:t>
      </w:r>
      <w:r w:rsidR="009968ED">
        <w:t xml:space="preserve">In addition, </w:t>
      </w:r>
      <w:r w:rsidR="009968ED">
        <w:fldChar w:fldCharType="begin"/>
      </w:r>
      <w:r w:rsidR="009968ED">
        <w:instrText xml:space="preserve"> REF _Ref191992503 \h </w:instrText>
      </w:r>
      <w:r w:rsidR="009968ED">
        <w:fldChar w:fldCharType="separate"/>
      </w:r>
      <w:r w:rsidR="00AA10F4">
        <w:t xml:space="preserve">Table </w:t>
      </w:r>
      <w:r w:rsidR="00AA10F4">
        <w:rPr>
          <w:noProof/>
        </w:rPr>
        <w:t>29</w:t>
      </w:r>
      <w:r w:rsidR="009968ED">
        <w:fldChar w:fldCharType="end"/>
      </w:r>
      <w:r w:rsidR="009968ED">
        <w:t xml:space="preserve"> presents the gross savings analysis results for four fuel-switching projects we reviewed. More</w:t>
      </w:r>
      <w:r w:rsidR="00E137A7" w:rsidRPr="00AB1443">
        <w:t xml:space="preserve"> details for </w:t>
      </w:r>
      <w:r w:rsidR="00B27F2D">
        <w:t>1</w:t>
      </w:r>
      <w:r w:rsidR="002C3D19">
        <w:t>2</w:t>
      </w:r>
      <w:r w:rsidR="00B27F2D" w:rsidRPr="00AB1443">
        <w:t xml:space="preserve"> </w:t>
      </w:r>
      <w:r w:rsidR="00E137A7" w:rsidRPr="00AB1443">
        <w:t>selected project reviews are provided in</w:t>
      </w:r>
      <w:r w:rsidR="004E329F">
        <w:t xml:space="preserve"> the</w:t>
      </w:r>
      <w:r w:rsidR="00E137A7" w:rsidRPr="00AB1443">
        <w:t xml:space="preserve"> </w:t>
      </w:r>
      <w:r w:rsidR="000B04B2">
        <w:fldChar w:fldCharType="begin"/>
      </w:r>
      <w:r w:rsidR="000B04B2">
        <w:instrText xml:space="preserve"> REF _Ref188005478 \n \h </w:instrText>
      </w:r>
      <w:r w:rsidR="000B04B2">
        <w:fldChar w:fldCharType="separate"/>
      </w:r>
      <w:r w:rsidR="00AA10F4">
        <w:t>Appendix D</w:t>
      </w:r>
      <w:r w:rsidR="000B04B2">
        <w:fldChar w:fldCharType="end"/>
      </w:r>
      <w:r w:rsidR="004E329F">
        <w:t xml:space="preserve"> supplement</w:t>
      </w:r>
      <w:r>
        <w:t xml:space="preserve"> </w:t>
      </w:r>
      <w:r w:rsidR="00E137A7" w:rsidRPr="00AB1443">
        <w:t>to this report.</w:t>
      </w:r>
    </w:p>
    <w:p w14:paraId="5383D79E" w14:textId="372D02C1" w:rsidR="002E783A" w:rsidRDefault="002E783A" w:rsidP="00881B1B">
      <w:pPr>
        <w:pStyle w:val="Caption"/>
      </w:pPr>
      <w:bookmarkStart w:id="132" w:name="_Ref187244458"/>
      <w:bookmarkStart w:id="133" w:name="_Toc191992549"/>
      <w:bookmarkStart w:id="134" w:name="_Toc192766962"/>
      <w:r>
        <w:t xml:space="preserve">Table </w:t>
      </w:r>
      <w:r w:rsidR="009B4C9A">
        <w:fldChar w:fldCharType="begin"/>
      </w:r>
      <w:r w:rsidR="009B4C9A">
        <w:instrText xml:space="preserve"> SEQ Table \* ARABIC </w:instrText>
      </w:r>
      <w:r w:rsidR="009B4C9A">
        <w:fldChar w:fldCharType="separate"/>
      </w:r>
      <w:r w:rsidR="00AA10F4">
        <w:rPr>
          <w:noProof/>
        </w:rPr>
        <w:t>28</w:t>
      </w:r>
      <w:r w:rsidR="009B4C9A">
        <w:rPr>
          <w:noProof/>
        </w:rPr>
        <w:fldChar w:fldCharType="end"/>
      </w:r>
      <w:bookmarkEnd w:id="132"/>
      <w:r>
        <w:t>. 2024 Custom Incentives Channel Gross Impact Results for Sample Projects</w:t>
      </w:r>
      <w:bookmarkEnd w:id="133"/>
      <w:bookmarkEnd w:id="134"/>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1"/>
        <w:gridCol w:w="962"/>
        <w:gridCol w:w="949"/>
        <w:gridCol w:w="1120"/>
        <w:gridCol w:w="958"/>
        <w:gridCol w:w="946"/>
        <w:gridCol w:w="1067"/>
        <w:gridCol w:w="958"/>
        <w:gridCol w:w="946"/>
        <w:gridCol w:w="1040"/>
        <w:gridCol w:w="958"/>
        <w:gridCol w:w="946"/>
        <w:gridCol w:w="1065"/>
      </w:tblGrid>
      <w:tr w:rsidR="002E783A" w14:paraId="50F68433" w14:textId="77777777" w:rsidTr="0079670C">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946" w:type="pct"/>
            <w:vMerge w:val="restart"/>
            <w:tcBorders>
              <w:top w:val="none" w:sz="0" w:space="0" w:color="auto"/>
              <w:left w:val="none" w:sz="0" w:space="0" w:color="auto"/>
              <w:bottom w:val="none" w:sz="0" w:space="0" w:color="auto"/>
              <w:right w:val="none" w:sz="0" w:space="0" w:color="auto"/>
            </w:tcBorders>
          </w:tcPr>
          <w:p w14:paraId="2BC7C2B9" w14:textId="43BFB7CF" w:rsidR="002E783A" w:rsidRDefault="002E783A" w:rsidP="008A60FE">
            <w:pPr>
              <w:pStyle w:val="TableHeadingLeft"/>
            </w:pPr>
            <w:r w:rsidRPr="00D54369">
              <w:t>Project ID</w:t>
            </w:r>
          </w:p>
        </w:tc>
        <w:tc>
          <w:tcPr>
            <w:tcW w:w="1031" w:type="pct"/>
            <w:gridSpan w:val="3"/>
            <w:tcBorders>
              <w:bottom w:val="none" w:sz="0" w:space="0" w:color="auto"/>
            </w:tcBorders>
          </w:tcPr>
          <w:p w14:paraId="298608ED" w14:textId="527B57D7" w:rsidR="002E783A" w:rsidRDefault="002E783A" w:rsidP="008A60FE">
            <w:pPr>
              <w:pStyle w:val="TableHeadingCentered"/>
              <w:cnfStyle w:val="100000000000" w:firstRow="1" w:lastRow="0" w:firstColumn="0" w:lastColumn="0" w:oddVBand="0" w:evenVBand="0" w:oddHBand="0" w:evenHBand="0" w:firstRowFirstColumn="0" w:firstRowLastColumn="0" w:lastRowFirstColumn="0" w:lastRowLastColumn="0"/>
            </w:pPr>
            <w:r w:rsidRPr="00D54369">
              <w:t>Sample</w:t>
            </w:r>
          </w:p>
        </w:tc>
        <w:tc>
          <w:tcPr>
            <w:tcW w:w="1011" w:type="pct"/>
            <w:gridSpan w:val="3"/>
            <w:tcBorders>
              <w:bottom w:val="none" w:sz="0" w:space="0" w:color="auto"/>
            </w:tcBorders>
          </w:tcPr>
          <w:p w14:paraId="16113E26" w14:textId="60E5C6F1" w:rsidR="002E783A" w:rsidRDefault="002E783A" w:rsidP="008A60FE">
            <w:pPr>
              <w:pStyle w:val="TableHeadingCentered"/>
              <w:cnfStyle w:val="100000000000" w:firstRow="1" w:lastRow="0" w:firstColumn="0" w:lastColumn="0" w:oddVBand="0" w:evenVBand="0" w:oddHBand="0" w:evenHBand="0" w:firstRowFirstColumn="0" w:firstRowLastColumn="0" w:lastRowFirstColumn="0" w:lastRowLastColumn="0"/>
            </w:pPr>
            <w:r w:rsidRPr="00D54369">
              <w:t>Ex Ante Gross Savings</w:t>
            </w:r>
          </w:p>
        </w:tc>
        <w:tc>
          <w:tcPr>
            <w:tcW w:w="1002" w:type="pct"/>
            <w:gridSpan w:val="3"/>
            <w:tcBorders>
              <w:bottom w:val="none" w:sz="0" w:space="0" w:color="auto"/>
            </w:tcBorders>
          </w:tcPr>
          <w:p w14:paraId="2E89E750" w14:textId="6A0E04B5" w:rsidR="002E783A" w:rsidRDefault="002E783A" w:rsidP="008A60FE">
            <w:pPr>
              <w:pStyle w:val="TableHeadingCentered"/>
              <w:cnfStyle w:val="100000000000" w:firstRow="1" w:lastRow="0" w:firstColumn="0" w:lastColumn="0" w:oddVBand="0" w:evenVBand="0" w:oddHBand="0" w:evenHBand="0" w:firstRowFirstColumn="0" w:firstRowLastColumn="0" w:lastRowFirstColumn="0" w:lastRowLastColumn="0"/>
            </w:pPr>
            <w:r w:rsidRPr="00D54369">
              <w:t>Gross Realization Rate</w:t>
            </w:r>
          </w:p>
        </w:tc>
        <w:tc>
          <w:tcPr>
            <w:tcW w:w="1010" w:type="pct"/>
            <w:gridSpan w:val="3"/>
            <w:tcBorders>
              <w:bottom w:val="none" w:sz="0" w:space="0" w:color="auto"/>
            </w:tcBorders>
          </w:tcPr>
          <w:p w14:paraId="7B7BA1AE" w14:textId="36D788F1" w:rsidR="002E783A" w:rsidRDefault="002E783A" w:rsidP="008A60FE">
            <w:pPr>
              <w:pStyle w:val="TableHeadingCentered"/>
              <w:cnfStyle w:val="100000000000" w:firstRow="1" w:lastRow="0" w:firstColumn="0" w:lastColumn="0" w:oddVBand="0" w:evenVBand="0" w:oddHBand="0" w:evenHBand="0" w:firstRowFirstColumn="0" w:firstRowLastColumn="0" w:lastRowFirstColumn="0" w:lastRowLastColumn="0"/>
            </w:pPr>
            <w:r w:rsidRPr="00D54369">
              <w:t>Verified Gross Savings</w:t>
            </w:r>
          </w:p>
        </w:tc>
      </w:tr>
      <w:tr w:rsidR="00BD6082" w14:paraId="292B7293" w14:textId="77777777" w:rsidTr="0079670C">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946" w:type="pct"/>
            <w:vMerge/>
            <w:tcBorders>
              <w:top w:val="none" w:sz="0" w:space="0" w:color="auto"/>
              <w:left w:val="none" w:sz="0" w:space="0" w:color="auto"/>
              <w:bottom w:val="none" w:sz="0" w:space="0" w:color="auto"/>
              <w:right w:val="none" w:sz="0" w:space="0" w:color="auto"/>
            </w:tcBorders>
          </w:tcPr>
          <w:p w14:paraId="7D22D852" w14:textId="77777777" w:rsidR="002E783A" w:rsidRDefault="002E783A" w:rsidP="008A60FE"/>
        </w:tc>
        <w:tc>
          <w:tcPr>
            <w:tcW w:w="327" w:type="pct"/>
            <w:tcBorders>
              <w:top w:val="none" w:sz="0" w:space="0" w:color="auto"/>
              <w:left w:val="none" w:sz="0" w:space="0" w:color="auto"/>
              <w:bottom w:val="none" w:sz="0" w:space="0" w:color="auto"/>
              <w:right w:val="none" w:sz="0" w:space="0" w:color="auto"/>
            </w:tcBorders>
            <w:shd w:val="clear" w:color="auto" w:fill="053572" w:themeFill="text2"/>
          </w:tcPr>
          <w:p w14:paraId="171A41D0" w14:textId="5E177994"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Wave</w:t>
            </w:r>
          </w:p>
        </w:tc>
        <w:tc>
          <w:tcPr>
            <w:tcW w:w="323" w:type="pct"/>
            <w:tcBorders>
              <w:top w:val="none" w:sz="0" w:space="0" w:color="auto"/>
              <w:left w:val="none" w:sz="0" w:space="0" w:color="auto"/>
              <w:bottom w:val="none" w:sz="0" w:space="0" w:color="auto"/>
              <w:right w:val="none" w:sz="0" w:space="0" w:color="auto"/>
            </w:tcBorders>
            <w:shd w:val="clear" w:color="auto" w:fill="053572" w:themeFill="text2"/>
          </w:tcPr>
          <w:p w14:paraId="655B9909" w14:textId="45A0017A"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Fuel</w:t>
            </w:r>
          </w:p>
        </w:tc>
        <w:tc>
          <w:tcPr>
            <w:tcW w:w="381" w:type="pct"/>
            <w:tcBorders>
              <w:top w:val="none" w:sz="0" w:space="0" w:color="auto"/>
              <w:left w:val="none" w:sz="0" w:space="0" w:color="auto"/>
              <w:bottom w:val="none" w:sz="0" w:space="0" w:color="auto"/>
              <w:right w:val="none" w:sz="0" w:space="0" w:color="auto"/>
            </w:tcBorders>
            <w:shd w:val="clear" w:color="auto" w:fill="053572" w:themeFill="text2"/>
          </w:tcPr>
          <w:p w14:paraId="3CD1C789" w14:textId="26656F93"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Stratum</w:t>
            </w:r>
          </w:p>
        </w:tc>
        <w:tc>
          <w:tcPr>
            <w:tcW w:w="326" w:type="pct"/>
            <w:tcBorders>
              <w:top w:val="none" w:sz="0" w:space="0" w:color="auto"/>
              <w:left w:val="none" w:sz="0" w:space="0" w:color="auto"/>
              <w:bottom w:val="none" w:sz="0" w:space="0" w:color="auto"/>
              <w:right w:val="none" w:sz="0" w:space="0" w:color="auto"/>
            </w:tcBorders>
            <w:shd w:val="clear" w:color="auto" w:fill="053572" w:themeFill="text2"/>
          </w:tcPr>
          <w:p w14:paraId="59F7AD3F" w14:textId="1C763478"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MWh</w:t>
            </w:r>
          </w:p>
        </w:tc>
        <w:tc>
          <w:tcPr>
            <w:tcW w:w="322" w:type="pct"/>
            <w:tcBorders>
              <w:top w:val="none" w:sz="0" w:space="0" w:color="auto"/>
              <w:left w:val="none" w:sz="0" w:space="0" w:color="auto"/>
              <w:bottom w:val="none" w:sz="0" w:space="0" w:color="auto"/>
              <w:right w:val="none" w:sz="0" w:space="0" w:color="auto"/>
            </w:tcBorders>
            <w:shd w:val="clear" w:color="auto" w:fill="053572" w:themeFill="text2"/>
          </w:tcPr>
          <w:p w14:paraId="0DBE3AE2" w14:textId="7DC79FCE"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w:t>
            </w:r>
          </w:p>
        </w:tc>
        <w:tc>
          <w:tcPr>
            <w:tcW w:w="363" w:type="pct"/>
            <w:tcBorders>
              <w:top w:val="none" w:sz="0" w:space="0" w:color="auto"/>
              <w:left w:val="none" w:sz="0" w:space="0" w:color="auto"/>
              <w:bottom w:val="none" w:sz="0" w:space="0" w:color="auto"/>
              <w:right w:val="none" w:sz="0" w:space="0" w:color="auto"/>
            </w:tcBorders>
            <w:shd w:val="clear" w:color="auto" w:fill="053572" w:themeFill="text2"/>
          </w:tcPr>
          <w:p w14:paraId="56E0B573" w14:textId="6E4A9539"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Therms</w:t>
            </w:r>
          </w:p>
        </w:tc>
        <w:tc>
          <w:tcPr>
            <w:tcW w:w="326" w:type="pct"/>
            <w:tcBorders>
              <w:top w:val="none" w:sz="0" w:space="0" w:color="auto"/>
              <w:left w:val="none" w:sz="0" w:space="0" w:color="auto"/>
              <w:bottom w:val="none" w:sz="0" w:space="0" w:color="auto"/>
              <w:right w:val="none" w:sz="0" w:space="0" w:color="auto"/>
            </w:tcBorders>
            <w:shd w:val="clear" w:color="auto" w:fill="053572" w:themeFill="text2"/>
          </w:tcPr>
          <w:p w14:paraId="6AE12BEA" w14:textId="3E4BA16B"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MWh</w:t>
            </w:r>
          </w:p>
        </w:tc>
        <w:tc>
          <w:tcPr>
            <w:tcW w:w="322" w:type="pct"/>
            <w:tcBorders>
              <w:top w:val="none" w:sz="0" w:space="0" w:color="auto"/>
              <w:left w:val="none" w:sz="0" w:space="0" w:color="auto"/>
              <w:bottom w:val="none" w:sz="0" w:space="0" w:color="auto"/>
              <w:right w:val="none" w:sz="0" w:space="0" w:color="auto"/>
            </w:tcBorders>
            <w:shd w:val="clear" w:color="auto" w:fill="053572" w:themeFill="text2"/>
          </w:tcPr>
          <w:p w14:paraId="5B5E9A8E" w14:textId="767C6D7E"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w:t>
            </w:r>
          </w:p>
        </w:tc>
        <w:tc>
          <w:tcPr>
            <w:tcW w:w="354" w:type="pct"/>
            <w:tcBorders>
              <w:top w:val="none" w:sz="0" w:space="0" w:color="auto"/>
              <w:left w:val="none" w:sz="0" w:space="0" w:color="auto"/>
              <w:bottom w:val="none" w:sz="0" w:space="0" w:color="auto"/>
              <w:right w:val="none" w:sz="0" w:space="0" w:color="auto"/>
            </w:tcBorders>
            <w:shd w:val="clear" w:color="auto" w:fill="053572" w:themeFill="text2"/>
          </w:tcPr>
          <w:p w14:paraId="059DDF16" w14:textId="1E8182FF"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Therms</w:t>
            </w:r>
          </w:p>
        </w:tc>
        <w:tc>
          <w:tcPr>
            <w:tcW w:w="326" w:type="pct"/>
            <w:tcBorders>
              <w:top w:val="none" w:sz="0" w:space="0" w:color="auto"/>
              <w:left w:val="none" w:sz="0" w:space="0" w:color="auto"/>
              <w:bottom w:val="none" w:sz="0" w:space="0" w:color="auto"/>
              <w:right w:val="none" w:sz="0" w:space="0" w:color="auto"/>
            </w:tcBorders>
            <w:shd w:val="clear" w:color="auto" w:fill="053572" w:themeFill="text2"/>
          </w:tcPr>
          <w:p w14:paraId="0D45D17B" w14:textId="698B2CCD"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MWh</w:t>
            </w:r>
          </w:p>
        </w:tc>
        <w:tc>
          <w:tcPr>
            <w:tcW w:w="322" w:type="pct"/>
            <w:tcBorders>
              <w:top w:val="none" w:sz="0" w:space="0" w:color="auto"/>
              <w:left w:val="none" w:sz="0" w:space="0" w:color="auto"/>
              <w:bottom w:val="none" w:sz="0" w:space="0" w:color="auto"/>
              <w:right w:val="none" w:sz="0" w:space="0" w:color="auto"/>
            </w:tcBorders>
            <w:shd w:val="clear" w:color="auto" w:fill="053572" w:themeFill="text2"/>
          </w:tcPr>
          <w:p w14:paraId="4A8222F1" w14:textId="1B42AF35"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MW</w:t>
            </w:r>
          </w:p>
        </w:tc>
        <w:tc>
          <w:tcPr>
            <w:tcW w:w="362" w:type="pct"/>
            <w:tcBorders>
              <w:top w:val="none" w:sz="0" w:space="0" w:color="auto"/>
              <w:left w:val="none" w:sz="0" w:space="0" w:color="auto"/>
              <w:bottom w:val="none" w:sz="0" w:space="0" w:color="auto"/>
              <w:right w:val="none" w:sz="0" w:space="0" w:color="auto"/>
            </w:tcBorders>
            <w:shd w:val="clear" w:color="auto" w:fill="053572" w:themeFill="text2"/>
          </w:tcPr>
          <w:p w14:paraId="14840E76" w14:textId="68484BF5" w:rsidR="002E783A" w:rsidRDefault="002E783A" w:rsidP="008A60FE">
            <w:pPr>
              <w:pStyle w:val="TableHeadingCentered"/>
              <w:cnfStyle w:val="000000100000" w:firstRow="0" w:lastRow="0" w:firstColumn="0" w:lastColumn="0" w:oddVBand="0" w:evenVBand="0" w:oddHBand="1" w:evenHBand="0" w:firstRowFirstColumn="0" w:firstRowLastColumn="0" w:lastRowFirstColumn="0" w:lastRowLastColumn="0"/>
            </w:pPr>
            <w:r w:rsidRPr="00D54369">
              <w:t>Therms</w:t>
            </w:r>
          </w:p>
        </w:tc>
      </w:tr>
      <w:tr w:rsidR="003E45AB" w14:paraId="0A18E96D"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1C3A7943" w14:textId="460D99F0" w:rsidR="002E783A" w:rsidRDefault="00BD6082" w:rsidP="008A60FE">
            <w:r w:rsidRPr="00BD6082">
              <w:t>2400007</w:t>
            </w:r>
          </w:p>
        </w:tc>
        <w:tc>
          <w:tcPr>
            <w:tcW w:w="327" w:type="pct"/>
            <w:tcBorders>
              <w:top w:val="none" w:sz="0" w:space="0" w:color="auto"/>
              <w:left w:val="none" w:sz="0" w:space="0" w:color="auto"/>
              <w:bottom w:val="none" w:sz="0" w:space="0" w:color="auto"/>
              <w:right w:val="none" w:sz="0" w:space="0" w:color="auto"/>
            </w:tcBorders>
          </w:tcPr>
          <w:p w14:paraId="75F3851B" w14:textId="4AE0AEDF" w:rsidR="002E783A" w:rsidRDefault="00BD6082" w:rsidP="008A60FE">
            <w:pPr>
              <w:jc w:val="center"/>
              <w:cnfStyle w:val="000000010000" w:firstRow="0" w:lastRow="0" w:firstColumn="0" w:lastColumn="0" w:oddVBand="0" w:evenVBand="0" w:oddHBand="0" w:evenHBand="1" w:firstRowFirstColumn="0" w:firstRowLastColumn="0" w:lastRowFirstColumn="0" w:lastRowLastColumn="0"/>
            </w:pPr>
            <w:r w:rsidRPr="00BD6082">
              <w:t>1</w:t>
            </w:r>
          </w:p>
        </w:tc>
        <w:tc>
          <w:tcPr>
            <w:tcW w:w="323" w:type="pct"/>
            <w:tcBorders>
              <w:top w:val="none" w:sz="0" w:space="0" w:color="auto"/>
              <w:left w:val="none" w:sz="0" w:space="0" w:color="auto"/>
              <w:bottom w:val="none" w:sz="0" w:space="0" w:color="auto"/>
              <w:right w:val="none" w:sz="0" w:space="0" w:color="auto"/>
            </w:tcBorders>
          </w:tcPr>
          <w:p w14:paraId="1A464F27" w14:textId="7838A985" w:rsidR="002E783A" w:rsidRDefault="00BD6082" w:rsidP="008A60FE">
            <w:pPr>
              <w:jc w:val="center"/>
              <w:cnfStyle w:val="000000010000" w:firstRow="0" w:lastRow="0" w:firstColumn="0" w:lastColumn="0" w:oddVBand="0" w:evenVBand="0" w:oddHBand="0" w:evenHBand="1" w:firstRowFirstColumn="0" w:firstRowLastColumn="0" w:lastRowFirstColumn="0" w:lastRowLastColumn="0"/>
            </w:pPr>
            <w:r w:rsidRPr="00BD6082">
              <w:t>Both</w:t>
            </w:r>
          </w:p>
        </w:tc>
        <w:tc>
          <w:tcPr>
            <w:tcW w:w="381" w:type="pct"/>
            <w:tcBorders>
              <w:top w:val="none" w:sz="0" w:space="0" w:color="auto"/>
              <w:left w:val="none" w:sz="0" w:space="0" w:color="auto"/>
              <w:bottom w:val="none" w:sz="0" w:space="0" w:color="auto"/>
              <w:right w:val="none" w:sz="0" w:space="0" w:color="auto"/>
            </w:tcBorders>
          </w:tcPr>
          <w:p w14:paraId="0A4AC5ED" w14:textId="0A8BF488" w:rsidR="002E783A" w:rsidRDefault="00BD6082" w:rsidP="008A60FE">
            <w:pPr>
              <w:jc w:val="center"/>
              <w:cnfStyle w:val="000000010000" w:firstRow="0" w:lastRow="0" w:firstColumn="0" w:lastColumn="0" w:oddVBand="0" w:evenVBand="0" w:oddHBand="0" w:evenHBand="1" w:firstRowFirstColumn="0" w:firstRowLastColumn="0" w:lastRowFirstColumn="0" w:lastRowLastColumn="0"/>
            </w:pPr>
            <w:r w:rsidRPr="00BD6082">
              <w:t>1; 1</w:t>
            </w:r>
          </w:p>
        </w:tc>
        <w:tc>
          <w:tcPr>
            <w:tcW w:w="326" w:type="pct"/>
            <w:tcBorders>
              <w:top w:val="none" w:sz="0" w:space="0" w:color="auto"/>
              <w:left w:val="none" w:sz="0" w:space="0" w:color="auto"/>
              <w:bottom w:val="none" w:sz="0" w:space="0" w:color="auto"/>
              <w:right w:val="none" w:sz="0" w:space="0" w:color="auto"/>
            </w:tcBorders>
          </w:tcPr>
          <w:p w14:paraId="2D8FC84B" w14:textId="2BF473A9"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50</w:t>
            </w:r>
          </w:p>
        </w:tc>
        <w:tc>
          <w:tcPr>
            <w:tcW w:w="322" w:type="pct"/>
            <w:tcBorders>
              <w:top w:val="none" w:sz="0" w:space="0" w:color="auto"/>
              <w:left w:val="none" w:sz="0" w:space="0" w:color="auto"/>
              <w:bottom w:val="none" w:sz="0" w:space="0" w:color="auto"/>
              <w:right w:val="none" w:sz="0" w:space="0" w:color="auto"/>
            </w:tcBorders>
          </w:tcPr>
          <w:p w14:paraId="0003AB88" w14:textId="3F60188F"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0.00</w:t>
            </w:r>
          </w:p>
        </w:tc>
        <w:tc>
          <w:tcPr>
            <w:tcW w:w="363" w:type="pct"/>
            <w:tcBorders>
              <w:top w:val="none" w:sz="0" w:space="0" w:color="auto"/>
              <w:left w:val="none" w:sz="0" w:space="0" w:color="auto"/>
              <w:bottom w:val="none" w:sz="0" w:space="0" w:color="auto"/>
              <w:right w:val="none" w:sz="0" w:space="0" w:color="auto"/>
            </w:tcBorders>
          </w:tcPr>
          <w:p w14:paraId="7197CC9E" w14:textId="207AA5B4"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6,500</w:t>
            </w:r>
          </w:p>
        </w:tc>
        <w:tc>
          <w:tcPr>
            <w:tcW w:w="326" w:type="pct"/>
            <w:tcBorders>
              <w:top w:val="none" w:sz="0" w:space="0" w:color="auto"/>
              <w:left w:val="none" w:sz="0" w:space="0" w:color="auto"/>
              <w:bottom w:val="none" w:sz="0" w:space="0" w:color="auto"/>
              <w:right w:val="none" w:sz="0" w:space="0" w:color="auto"/>
            </w:tcBorders>
          </w:tcPr>
          <w:p w14:paraId="6A8BA7B2" w14:textId="3FFEA094"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167%</w:t>
            </w:r>
          </w:p>
        </w:tc>
        <w:tc>
          <w:tcPr>
            <w:tcW w:w="322" w:type="pct"/>
            <w:tcBorders>
              <w:top w:val="none" w:sz="0" w:space="0" w:color="auto"/>
              <w:left w:val="none" w:sz="0" w:space="0" w:color="auto"/>
              <w:bottom w:val="none" w:sz="0" w:space="0" w:color="auto"/>
              <w:right w:val="none" w:sz="0" w:space="0" w:color="auto"/>
            </w:tcBorders>
          </w:tcPr>
          <w:p w14:paraId="0AAD4390" w14:textId="21243122"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N/A</w:t>
            </w:r>
          </w:p>
        </w:tc>
        <w:tc>
          <w:tcPr>
            <w:tcW w:w="354" w:type="pct"/>
            <w:tcBorders>
              <w:top w:val="none" w:sz="0" w:space="0" w:color="auto"/>
              <w:left w:val="none" w:sz="0" w:space="0" w:color="auto"/>
              <w:bottom w:val="none" w:sz="0" w:space="0" w:color="auto"/>
              <w:right w:val="none" w:sz="0" w:space="0" w:color="auto"/>
            </w:tcBorders>
          </w:tcPr>
          <w:p w14:paraId="6791BA17" w14:textId="3B5B7F8C"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135%</w:t>
            </w:r>
          </w:p>
        </w:tc>
        <w:tc>
          <w:tcPr>
            <w:tcW w:w="326" w:type="pct"/>
            <w:tcBorders>
              <w:top w:val="none" w:sz="0" w:space="0" w:color="auto"/>
              <w:left w:val="none" w:sz="0" w:space="0" w:color="auto"/>
              <w:bottom w:val="none" w:sz="0" w:space="0" w:color="auto"/>
              <w:right w:val="none" w:sz="0" w:space="0" w:color="auto"/>
            </w:tcBorders>
          </w:tcPr>
          <w:p w14:paraId="462E064E" w14:textId="10D8CBEF"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84</w:t>
            </w:r>
          </w:p>
        </w:tc>
        <w:tc>
          <w:tcPr>
            <w:tcW w:w="322" w:type="pct"/>
            <w:tcBorders>
              <w:top w:val="none" w:sz="0" w:space="0" w:color="auto"/>
              <w:left w:val="none" w:sz="0" w:space="0" w:color="auto"/>
              <w:bottom w:val="none" w:sz="0" w:space="0" w:color="auto"/>
              <w:right w:val="none" w:sz="0" w:space="0" w:color="auto"/>
            </w:tcBorders>
          </w:tcPr>
          <w:p w14:paraId="6EB4B134" w14:textId="48FC2DF8"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0.01</w:t>
            </w:r>
          </w:p>
        </w:tc>
        <w:tc>
          <w:tcPr>
            <w:tcW w:w="362" w:type="pct"/>
            <w:tcBorders>
              <w:top w:val="none" w:sz="0" w:space="0" w:color="auto"/>
              <w:left w:val="none" w:sz="0" w:space="0" w:color="auto"/>
              <w:bottom w:val="none" w:sz="0" w:space="0" w:color="auto"/>
              <w:right w:val="none" w:sz="0" w:space="0" w:color="auto"/>
            </w:tcBorders>
          </w:tcPr>
          <w:p w14:paraId="5C9CE563" w14:textId="4FE2839E" w:rsidR="002E783A"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8,766</w:t>
            </w:r>
          </w:p>
        </w:tc>
      </w:tr>
      <w:tr w:rsidR="003E45AB" w14:paraId="1C40AE21"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78BFA1A2" w14:textId="13055638" w:rsidR="003E45AB" w:rsidRDefault="003E45AB" w:rsidP="008A60FE">
            <w:r w:rsidRPr="00BD6082">
              <w:t>2301010</w:t>
            </w:r>
          </w:p>
        </w:tc>
        <w:tc>
          <w:tcPr>
            <w:tcW w:w="327" w:type="pct"/>
            <w:tcBorders>
              <w:top w:val="none" w:sz="0" w:space="0" w:color="auto"/>
              <w:left w:val="none" w:sz="0" w:space="0" w:color="auto"/>
              <w:bottom w:val="none" w:sz="0" w:space="0" w:color="auto"/>
              <w:right w:val="none" w:sz="0" w:space="0" w:color="auto"/>
            </w:tcBorders>
          </w:tcPr>
          <w:p w14:paraId="6CBF452F" w14:textId="0DB521F5"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00CE1490" w14:textId="78E4666D"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6AA8B60A" w14:textId="6D3A6D2A"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6" w:type="pct"/>
            <w:tcBorders>
              <w:top w:val="none" w:sz="0" w:space="0" w:color="auto"/>
              <w:left w:val="none" w:sz="0" w:space="0" w:color="auto"/>
              <w:bottom w:val="none" w:sz="0" w:space="0" w:color="auto"/>
              <w:right w:val="none" w:sz="0" w:space="0" w:color="auto"/>
            </w:tcBorders>
          </w:tcPr>
          <w:p w14:paraId="78902DB1" w14:textId="6E9A6BAE"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173</w:t>
            </w:r>
          </w:p>
        </w:tc>
        <w:tc>
          <w:tcPr>
            <w:tcW w:w="322" w:type="pct"/>
            <w:tcBorders>
              <w:top w:val="none" w:sz="0" w:space="0" w:color="auto"/>
              <w:left w:val="none" w:sz="0" w:space="0" w:color="auto"/>
              <w:bottom w:val="none" w:sz="0" w:space="0" w:color="auto"/>
              <w:right w:val="none" w:sz="0" w:space="0" w:color="auto"/>
            </w:tcBorders>
          </w:tcPr>
          <w:p w14:paraId="4E35E892" w14:textId="3521EE38"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0.13</w:t>
            </w:r>
          </w:p>
        </w:tc>
        <w:tc>
          <w:tcPr>
            <w:tcW w:w="363" w:type="pct"/>
            <w:tcBorders>
              <w:top w:val="none" w:sz="0" w:space="0" w:color="auto"/>
              <w:left w:val="none" w:sz="0" w:space="0" w:color="auto"/>
              <w:bottom w:val="none" w:sz="0" w:space="0" w:color="auto"/>
              <w:right w:val="none" w:sz="0" w:space="0" w:color="auto"/>
            </w:tcBorders>
          </w:tcPr>
          <w:p w14:paraId="655C96F1" w14:textId="71BCA57E"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3FADD69B" w14:textId="6E885C46"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156%</w:t>
            </w:r>
          </w:p>
        </w:tc>
        <w:tc>
          <w:tcPr>
            <w:tcW w:w="322" w:type="pct"/>
            <w:tcBorders>
              <w:top w:val="none" w:sz="0" w:space="0" w:color="auto"/>
              <w:left w:val="none" w:sz="0" w:space="0" w:color="auto"/>
              <w:bottom w:val="none" w:sz="0" w:space="0" w:color="auto"/>
              <w:right w:val="none" w:sz="0" w:space="0" w:color="auto"/>
            </w:tcBorders>
          </w:tcPr>
          <w:p w14:paraId="0B0ED393" w14:textId="0048DF99"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137%</w:t>
            </w:r>
          </w:p>
        </w:tc>
        <w:tc>
          <w:tcPr>
            <w:tcW w:w="354" w:type="pct"/>
            <w:tcBorders>
              <w:top w:val="none" w:sz="0" w:space="0" w:color="auto"/>
              <w:left w:val="none" w:sz="0" w:space="0" w:color="auto"/>
              <w:bottom w:val="none" w:sz="0" w:space="0" w:color="auto"/>
              <w:right w:val="none" w:sz="0" w:space="0" w:color="auto"/>
            </w:tcBorders>
          </w:tcPr>
          <w:p w14:paraId="2C177850" w14:textId="06B68EEF"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02CD9D29" w14:textId="7EADD4A7"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270</w:t>
            </w:r>
          </w:p>
        </w:tc>
        <w:tc>
          <w:tcPr>
            <w:tcW w:w="322" w:type="pct"/>
            <w:tcBorders>
              <w:top w:val="none" w:sz="0" w:space="0" w:color="auto"/>
              <w:left w:val="none" w:sz="0" w:space="0" w:color="auto"/>
              <w:bottom w:val="none" w:sz="0" w:space="0" w:color="auto"/>
              <w:right w:val="none" w:sz="0" w:space="0" w:color="auto"/>
            </w:tcBorders>
          </w:tcPr>
          <w:p w14:paraId="2512D5AF" w14:textId="6DC4137C"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0.17</w:t>
            </w:r>
          </w:p>
        </w:tc>
        <w:tc>
          <w:tcPr>
            <w:tcW w:w="362" w:type="pct"/>
            <w:tcBorders>
              <w:top w:val="none" w:sz="0" w:space="0" w:color="auto"/>
              <w:left w:val="none" w:sz="0" w:space="0" w:color="auto"/>
              <w:bottom w:val="none" w:sz="0" w:space="0" w:color="auto"/>
              <w:right w:val="none" w:sz="0" w:space="0" w:color="auto"/>
            </w:tcBorders>
          </w:tcPr>
          <w:p w14:paraId="1B6F69F5" w14:textId="162C6FF7"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3E45AB" w14:paraId="1C5B9AEA"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7864DE75" w14:textId="71D8E759" w:rsidR="003E45AB" w:rsidRDefault="003E45AB" w:rsidP="008A60FE">
            <w:r w:rsidRPr="00BD6082">
              <w:t>2400006</w:t>
            </w:r>
          </w:p>
        </w:tc>
        <w:tc>
          <w:tcPr>
            <w:tcW w:w="327" w:type="pct"/>
            <w:tcBorders>
              <w:top w:val="none" w:sz="0" w:space="0" w:color="auto"/>
              <w:left w:val="none" w:sz="0" w:space="0" w:color="auto"/>
              <w:bottom w:val="none" w:sz="0" w:space="0" w:color="auto"/>
              <w:right w:val="none" w:sz="0" w:space="0" w:color="auto"/>
            </w:tcBorders>
          </w:tcPr>
          <w:p w14:paraId="1A9E00AB" w14:textId="757AD0FA"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3A8C5CBD" w14:textId="03AFF63E"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50B730BB" w14:textId="10865FE6"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 1</w:t>
            </w:r>
          </w:p>
        </w:tc>
        <w:tc>
          <w:tcPr>
            <w:tcW w:w="326" w:type="pct"/>
            <w:tcBorders>
              <w:top w:val="none" w:sz="0" w:space="0" w:color="auto"/>
              <w:left w:val="none" w:sz="0" w:space="0" w:color="auto"/>
              <w:bottom w:val="none" w:sz="0" w:space="0" w:color="auto"/>
              <w:right w:val="none" w:sz="0" w:space="0" w:color="auto"/>
            </w:tcBorders>
          </w:tcPr>
          <w:p w14:paraId="0931A660" w14:textId="6D25DA17"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69</w:t>
            </w:r>
          </w:p>
        </w:tc>
        <w:tc>
          <w:tcPr>
            <w:tcW w:w="322" w:type="pct"/>
            <w:tcBorders>
              <w:top w:val="none" w:sz="0" w:space="0" w:color="auto"/>
              <w:left w:val="none" w:sz="0" w:space="0" w:color="auto"/>
              <w:bottom w:val="none" w:sz="0" w:space="0" w:color="auto"/>
              <w:right w:val="none" w:sz="0" w:space="0" w:color="auto"/>
            </w:tcBorders>
          </w:tcPr>
          <w:p w14:paraId="50C86925" w14:textId="602CA65B"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0.02</w:t>
            </w:r>
          </w:p>
        </w:tc>
        <w:tc>
          <w:tcPr>
            <w:tcW w:w="363" w:type="pct"/>
            <w:tcBorders>
              <w:top w:val="none" w:sz="0" w:space="0" w:color="auto"/>
              <w:left w:val="none" w:sz="0" w:space="0" w:color="auto"/>
              <w:bottom w:val="none" w:sz="0" w:space="0" w:color="auto"/>
              <w:right w:val="none" w:sz="0" w:space="0" w:color="auto"/>
            </w:tcBorders>
          </w:tcPr>
          <w:p w14:paraId="1ED54416" w14:textId="2BF6D098"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7,221</w:t>
            </w:r>
          </w:p>
        </w:tc>
        <w:tc>
          <w:tcPr>
            <w:tcW w:w="326" w:type="pct"/>
            <w:tcBorders>
              <w:top w:val="none" w:sz="0" w:space="0" w:color="auto"/>
              <w:left w:val="none" w:sz="0" w:space="0" w:color="auto"/>
              <w:bottom w:val="none" w:sz="0" w:space="0" w:color="auto"/>
              <w:right w:val="none" w:sz="0" w:space="0" w:color="auto"/>
            </w:tcBorders>
          </w:tcPr>
          <w:p w14:paraId="102AFA11" w14:textId="24960998"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138%</w:t>
            </w:r>
          </w:p>
        </w:tc>
        <w:tc>
          <w:tcPr>
            <w:tcW w:w="322" w:type="pct"/>
            <w:tcBorders>
              <w:top w:val="none" w:sz="0" w:space="0" w:color="auto"/>
              <w:left w:val="none" w:sz="0" w:space="0" w:color="auto"/>
              <w:bottom w:val="none" w:sz="0" w:space="0" w:color="auto"/>
              <w:right w:val="none" w:sz="0" w:space="0" w:color="auto"/>
            </w:tcBorders>
          </w:tcPr>
          <w:p w14:paraId="5BC80C7B" w14:textId="66DAC42B" w:rsidR="003E45AB" w:rsidRDefault="00227724" w:rsidP="008A60FE">
            <w:pPr>
              <w:jc w:val="center"/>
              <w:cnfStyle w:val="000000010000" w:firstRow="0" w:lastRow="0" w:firstColumn="0" w:lastColumn="0" w:oddVBand="0" w:evenVBand="0" w:oddHBand="0" w:evenHBand="1" w:firstRowFirstColumn="0" w:firstRowLastColumn="0" w:lastRowFirstColumn="0" w:lastRowLastColumn="0"/>
            </w:pPr>
            <w:r>
              <w:t>114</w:t>
            </w:r>
            <w:r w:rsidR="003E45AB" w:rsidRPr="003E45AB">
              <w:t>%</w:t>
            </w:r>
          </w:p>
        </w:tc>
        <w:tc>
          <w:tcPr>
            <w:tcW w:w="354" w:type="pct"/>
            <w:tcBorders>
              <w:top w:val="none" w:sz="0" w:space="0" w:color="auto"/>
              <w:left w:val="none" w:sz="0" w:space="0" w:color="auto"/>
              <w:bottom w:val="none" w:sz="0" w:space="0" w:color="auto"/>
              <w:right w:val="none" w:sz="0" w:space="0" w:color="auto"/>
            </w:tcBorders>
          </w:tcPr>
          <w:p w14:paraId="76A1C4C6" w14:textId="745E59E8"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72%</w:t>
            </w:r>
          </w:p>
        </w:tc>
        <w:tc>
          <w:tcPr>
            <w:tcW w:w="326" w:type="pct"/>
            <w:tcBorders>
              <w:top w:val="none" w:sz="0" w:space="0" w:color="auto"/>
              <w:left w:val="none" w:sz="0" w:space="0" w:color="auto"/>
              <w:bottom w:val="none" w:sz="0" w:space="0" w:color="auto"/>
              <w:right w:val="none" w:sz="0" w:space="0" w:color="auto"/>
            </w:tcBorders>
          </w:tcPr>
          <w:p w14:paraId="0816DA5C" w14:textId="41D00A35"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96</w:t>
            </w:r>
          </w:p>
        </w:tc>
        <w:tc>
          <w:tcPr>
            <w:tcW w:w="322" w:type="pct"/>
            <w:tcBorders>
              <w:top w:val="none" w:sz="0" w:space="0" w:color="auto"/>
              <w:left w:val="none" w:sz="0" w:space="0" w:color="auto"/>
              <w:bottom w:val="none" w:sz="0" w:space="0" w:color="auto"/>
              <w:right w:val="none" w:sz="0" w:space="0" w:color="auto"/>
            </w:tcBorders>
          </w:tcPr>
          <w:p w14:paraId="6FC39FE9" w14:textId="6B096657"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w:t>
            </w:r>
            <w:r w:rsidR="00227724" w:rsidRPr="003E45AB">
              <w:t>0</w:t>
            </w:r>
            <w:r w:rsidR="00227724">
              <w:t>2</w:t>
            </w:r>
          </w:p>
        </w:tc>
        <w:tc>
          <w:tcPr>
            <w:tcW w:w="362" w:type="pct"/>
            <w:tcBorders>
              <w:top w:val="none" w:sz="0" w:space="0" w:color="auto"/>
              <w:left w:val="none" w:sz="0" w:space="0" w:color="auto"/>
              <w:bottom w:val="none" w:sz="0" w:space="0" w:color="auto"/>
              <w:right w:val="none" w:sz="0" w:space="0" w:color="auto"/>
            </w:tcBorders>
          </w:tcPr>
          <w:p w14:paraId="3706D664" w14:textId="4040B17D"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5,176</w:t>
            </w:r>
          </w:p>
        </w:tc>
      </w:tr>
      <w:tr w:rsidR="003E45AB" w14:paraId="44DF479E"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0152BBA8" w14:textId="0B0E4E62" w:rsidR="003E45AB" w:rsidRDefault="003E45AB" w:rsidP="008A60FE">
            <w:r w:rsidRPr="00BD6082">
              <w:t>2300092</w:t>
            </w:r>
          </w:p>
        </w:tc>
        <w:tc>
          <w:tcPr>
            <w:tcW w:w="327" w:type="pct"/>
            <w:tcBorders>
              <w:top w:val="none" w:sz="0" w:space="0" w:color="auto"/>
              <w:left w:val="none" w:sz="0" w:space="0" w:color="auto"/>
              <w:bottom w:val="none" w:sz="0" w:space="0" w:color="auto"/>
              <w:right w:val="none" w:sz="0" w:space="0" w:color="auto"/>
            </w:tcBorders>
          </w:tcPr>
          <w:p w14:paraId="296E01D2" w14:textId="0E19B6F3"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7C489640" w14:textId="0B8C4B31"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5DF5DBCB" w14:textId="202D5225"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102678D0" w14:textId="36AD2166"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775</w:t>
            </w:r>
          </w:p>
        </w:tc>
        <w:tc>
          <w:tcPr>
            <w:tcW w:w="322" w:type="pct"/>
            <w:tcBorders>
              <w:top w:val="none" w:sz="0" w:space="0" w:color="auto"/>
              <w:left w:val="none" w:sz="0" w:space="0" w:color="auto"/>
              <w:bottom w:val="none" w:sz="0" w:space="0" w:color="auto"/>
              <w:right w:val="none" w:sz="0" w:space="0" w:color="auto"/>
            </w:tcBorders>
          </w:tcPr>
          <w:p w14:paraId="2EF58580" w14:textId="2AE71927"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0.09</w:t>
            </w:r>
          </w:p>
        </w:tc>
        <w:tc>
          <w:tcPr>
            <w:tcW w:w="363" w:type="pct"/>
            <w:tcBorders>
              <w:top w:val="none" w:sz="0" w:space="0" w:color="auto"/>
              <w:left w:val="none" w:sz="0" w:space="0" w:color="auto"/>
              <w:bottom w:val="none" w:sz="0" w:space="0" w:color="auto"/>
              <w:right w:val="none" w:sz="0" w:space="0" w:color="auto"/>
            </w:tcBorders>
          </w:tcPr>
          <w:p w14:paraId="3BFDEAB1" w14:textId="7EBCB180"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05EEBF0B" w14:textId="62AC03A4"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116%</w:t>
            </w:r>
          </w:p>
        </w:tc>
        <w:tc>
          <w:tcPr>
            <w:tcW w:w="322" w:type="pct"/>
            <w:tcBorders>
              <w:top w:val="none" w:sz="0" w:space="0" w:color="auto"/>
              <w:left w:val="none" w:sz="0" w:space="0" w:color="auto"/>
              <w:bottom w:val="none" w:sz="0" w:space="0" w:color="auto"/>
              <w:right w:val="none" w:sz="0" w:space="0" w:color="auto"/>
            </w:tcBorders>
          </w:tcPr>
          <w:p w14:paraId="3323BFB2" w14:textId="7C149174"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116%</w:t>
            </w:r>
          </w:p>
        </w:tc>
        <w:tc>
          <w:tcPr>
            <w:tcW w:w="354" w:type="pct"/>
            <w:tcBorders>
              <w:top w:val="none" w:sz="0" w:space="0" w:color="auto"/>
              <w:left w:val="none" w:sz="0" w:space="0" w:color="auto"/>
              <w:bottom w:val="none" w:sz="0" w:space="0" w:color="auto"/>
              <w:right w:val="none" w:sz="0" w:space="0" w:color="auto"/>
            </w:tcBorders>
          </w:tcPr>
          <w:p w14:paraId="1721557B" w14:textId="3C1CF80A"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3787D328" w14:textId="0CE5D6A4"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898</w:t>
            </w:r>
          </w:p>
        </w:tc>
        <w:tc>
          <w:tcPr>
            <w:tcW w:w="322" w:type="pct"/>
            <w:tcBorders>
              <w:top w:val="none" w:sz="0" w:space="0" w:color="auto"/>
              <w:left w:val="none" w:sz="0" w:space="0" w:color="auto"/>
              <w:bottom w:val="none" w:sz="0" w:space="0" w:color="auto"/>
              <w:right w:val="none" w:sz="0" w:space="0" w:color="auto"/>
            </w:tcBorders>
          </w:tcPr>
          <w:p w14:paraId="70BC7F4B" w14:textId="6867F6F7"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0.10</w:t>
            </w:r>
          </w:p>
        </w:tc>
        <w:tc>
          <w:tcPr>
            <w:tcW w:w="362" w:type="pct"/>
            <w:tcBorders>
              <w:top w:val="none" w:sz="0" w:space="0" w:color="auto"/>
              <w:left w:val="none" w:sz="0" w:space="0" w:color="auto"/>
              <w:bottom w:val="none" w:sz="0" w:space="0" w:color="auto"/>
              <w:right w:val="none" w:sz="0" w:space="0" w:color="auto"/>
            </w:tcBorders>
          </w:tcPr>
          <w:p w14:paraId="74D9069A" w14:textId="777A5411"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3E45AB" w14:paraId="559D61C5"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39BCFD26" w14:textId="5B214294" w:rsidR="003E45AB" w:rsidRDefault="003E45AB" w:rsidP="008A60FE">
            <w:r w:rsidRPr="00BD6082">
              <w:t>2301814</w:t>
            </w:r>
          </w:p>
        </w:tc>
        <w:tc>
          <w:tcPr>
            <w:tcW w:w="327" w:type="pct"/>
            <w:tcBorders>
              <w:top w:val="none" w:sz="0" w:space="0" w:color="auto"/>
              <w:left w:val="none" w:sz="0" w:space="0" w:color="auto"/>
              <w:bottom w:val="none" w:sz="0" w:space="0" w:color="auto"/>
              <w:right w:val="none" w:sz="0" w:space="0" w:color="auto"/>
            </w:tcBorders>
          </w:tcPr>
          <w:p w14:paraId="22487E9C" w14:textId="05B529E4"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522DFE6A" w14:textId="1214B825"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4985F6E2" w14:textId="3FE90C47"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 1</w:t>
            </w:r>
          </w:p>
        </w:tc>
        <w:tc>
          <w:tcPr>
            <w:tcW w:w="326" w:type="pct"/>
            <w:tcBorders>
              <w:top w:val="none" w:sz="0" w:space="0" w:color="auto"/>
              <w:left w:val="none" w:sz="0" w:space="0" w:color="auto"/>
              <w:bottom w:val="none" w:sz="0" w:space="0" w:color="auto"/>
              <w:right w:val="none" w:sz="0" w:space="0" w:color="auto"/>
            </w:tcBorders>
          </w:tcPr>
          <w:p w14:paraId="335D15CB" w14:textId="27F26E84"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77</w:t>
            </w:r>
          </w:p>
        </w:tc>
        <w:tc>
          <w:tcPr>
            <w:tcW w:w="322" w:type="pct"/>
            <w:tcBorders>
              <w:top w:val="none" w:sz="0" w:space="0" w:color="auto"/>
              <w:left w:val="none" w:sz="0" w:space="0" w:color="auto"/>
              <w:bottom w:val="none" w:sz="0" w:space="0" w:color="auto"/>
              <w:right w:val="none" w:sz="0" w:space="0" w:color="auto"/>
            </w:tcBorders>
          </w:tcPr>
          <w:p w14:paraId="1519D07C" w14:textId="1A8690E7"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0.00</w:t>
            </w:r>
          </w:p>
        </w:tc>
        <w:tc>
          <w:tcPr>
            <w:tcW w:w="363" w:type="pct"/>
            <w:tcBorders>
              <w:top w:val="none" w:sz="0" w:space="0" w:color="auto"/>
              <w:left w:val="none" w:sz="0" w:space="0" w:color="auto"/>
              <w:bottom w:val="none" w:sz="0" w:space="0" w:color="auto"/>
              <w:right w:val="none" w:sz="0" w:space="0" w:color="auto"/>
            </w:tcBorders>
          </w:tcPr>
          <w:p w14:paraId="1A5FE051" w14:textId="3771A451"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1,888</w:t>
            </w:r>
          </w:p>
        </w:tc>
        <w:tc>
          <w:tcPr>
            <w:tcW w:w="326" w:type="pct"/>
            <w:tcBorders>
              <w:top w:val="none" w:sz="0" w:space="0" w:color="auto"/>
              <w:left w:val="none" w:sz="0" w:space="0" w:color="auto"/>
              <w:bottom w:val="none" w:sz="0" w:space="0" w:color="auto"/>
              <w:right w:val="none" w:sz="0" w:space="0" w:color="auto"/>
            </w:tcBorders>
          </w:tcPr>
          <w:p w14:paraId="6B2D50E6" w14:textId="3E647CDD"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112%</w:t>
            </w:r>
          </w:p>
        </w:tc>
        <w:tc>
          <w:tcPr>
            <w:tcW w:w="322" w:type="pct"/>
            <w:tcBorders>
              <w:top w:val="none" w:sz="0" w:space="0" w:color="auto"/>
              <w:left w:val="none" w:sz="0" w:space="0" w:color="auto"/>
              <w:bottom w:val="none" w:sz="0" w:space="0" w:color="auto"/>
              <w:right w:val="none" w:sz="0" w:space="0" w:color="auto"/>
            </w:tcBorders>
          </w:tcPr>
          <w:p w14:paraId="448580B7" w14:textId="3016ECF9"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N/A</w:t>
            </w:r>
          </w:p>
        </w:tc>
        <w:tc>
          <w:tcPr>
            <w:tcW w:w="354" w:type="pct"/>
            <w:tcBorders>
              <w:top w:val="none" w:sz="0" w:space="0" w:color="auto"/>
              <w:left w:val="none" w:sz="0" w:space="0" w:color="auto"/>
              <w:bottom w:val="none" w:sz="0" w:space="0" w:color="auto"/>
              <w:right w:val="none" w:sz="0" w:space="0" w:color="auto"/>
            </w:tcBorders>
          </w:tcPr>
          <w:p w14:paraId="50A7BB61" w14:textId="7A8DD941"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114%</w:t>
            </w:r>
          </w:p>
        </w:tc>
        <w:tc>
          <w:tcPr>
            <w:tcW w:w="326" w:type="pct"/>
            <w:tcBorders>
              <w:top w:val="none" w:sz="0" w:space="0" w:color="auto"/>
              <w:left w:val="none" w:sz="0" w:space="0" w:color="auto"/>
              <w:bottom w:val="none" w:sz="0" w:space="0" w:color="auto"/>
              <w:right w:val="none" w:sz="0" w:space="0" w:color="auto"/>
            </w:tcBorders>
          </w:tcPr>
          <w:p w14:paraId="4DCC5C58" w14:textId="2AF8176C"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86</w:t>
            </w:r>
          </w:p>
        </w:tc>
        <w:tc>
          <w:tcPr>
            <w:tcW w:w="322" w:type="pct"/>
            <w:tcBorders>
              <w:top w:val="none" w:sz="0" w:space="0" w:color="auto"/>
              <w:left w:val="none" w:sz="0" w:space="0" w:color="auto"/>
              <w:bottom w:val="none" w:sz="0" w:space="0" w:color="auto"/>
              <w:right w:val="none" w:sz="0" w:space="0" w:color="auto"/>
            </w:tcBorders>
          </w:tcPr>
          <w:p w14:paraId="33FF6939" w14:textId="0AA75ED5"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0.00</w:t>
            </w:r>
          </w:p>
        </w:tc>
        <w:tc>
          <w:tcPr>
            <w:tcW w:w="362" w:type="pct"/>
            <w:tcBorders>
              <w:top w:val="none" w:sz="0" w:space="0" w:color="auto"/>
              <w:left w:val="none" w:sz="0" w:space="0" w:color="auto"/>
              <w:bottom w:val="none" w:sz="0" w:space="0" w:color="auto"/>
              <w:right w:val="none" w:sz="0" w:space="0" w:color="auto"/>
            </w:tcBorders>
          </w:tcPr>
          <w:p w14:paraId="68746D98" w14:textId="51EDC7A0"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2,151</w:t>
            </w:r>
          </w:p>
        </w:tc>
      </w:tr>
      <w:tr w:rsidR="003E45AB" w14:paraId="6C0F2D64"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0712A5C6" w14:textId="269ADCBD" w:rsidR="003E45AB" w:rsidRDefault="003E45AB" w:rsidP="008A60FE">
            <w:r w:rsidRPr="00BD6082">
              <w:t>2300044</w:t>
            </w:r>
          </w:p>
        </w:tc>
        <w:tc>
          <w:tcPr>
            <w:tcW w:w="327" w:type="pct"/>
            <w:tcBorders>
              <w:top w:val="none" w:sz="0" w:space="0" w:color="auto"/>
              <w:left w:val="none" w:sz="0" w:space="0" w:color="auto"/>
              <w:bottom w:val="none" w:sz="0" w:space="0" w:color="auto"/>
              <w:right w:val="none" w:sz="0" w:space="0" w:color="auto"/>
            </w:tcBorders>
          </w:tcPr>
          <w:p w14:paraId="716E4FF4" w14:textId="6A88D968"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2FFE383B" w14:textId="1F094DEA"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46BFFB30" w14:textId="42FEC966"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4E142C6A" w14:textId="1DB98C52"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1,038</w:t>
            </w:r>
          </w:p>
        </w:tc>
        <w:tc>
          <w:tcPr>
            <w:tcW w:w="322" w:type="pct"/>
            <w:tcBorders>
              <w:top w:val="none" w:sz="0" w:space="0" w:color="auto"/>
              <w:left w:val="none" w:sz="0" w:space="0" w:color="auto"/>
              <w:bottom w:val="none" w:sz="0" w:space="0" w:color="auto"/>
              <w:right w:val="none" w:sz="0" w:space="0" w:color="auto"/>
            </w:tcBorders>
          </w:tcPr>
          <w:p w14:paraId="76F8BF63" w14:textId="7248F7E8"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0.16</w:t>
            </w:r>
          </w:p>
        </w:tc>
        <w:tc>
          <w:tcPr>
            <w:tcW w:w="363" w:type="pct"/>
            <w:tcBorders>
              <w:top w:val="none" w:sz="0" w:space="0" w:color="auto"/>
              <w:left w:val="none" w:sz="0" w:space="0" w:color="auto"/>
              <w:bottom w:val="none" w:sz="0" w:space="0" w:color="auto"/>
              <w:right w:val="none" w:sz="0" w:space="0" w:color="auto"/>
            </w:tcBorders>
          </w:tcPr>
          <w:p w14:paraId="3FD333D9" w14:textId="745B827A"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2478E17A" w14:textId="2ED499C9"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4C6ED066" w14:textId="2D1C8192"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523DB30B" w14:textId="39A397CE"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240A8C9B" w14:textId="2A103272"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1,038</w:t>
            </w:r>
          </w:p>
        </w:tc>
        <w:tc>
          <w:tcPr>
            <w:tcW w:w="322" w:type="pct"/>
            <w:tcBorders>
              <w:top w:val="none" w:sz="0" w:space="0" w:color="auto"/>
              <w:left w:val="none" w:sz="0" w:space="0" w:color="auto"/>
              <w:bottom w:val="none" w:sz="0" w:space="0" w:color="auto"/>
              <w:right w:val="none" w:sz="0" w:space="0" w:color="auto"/>
            </w:tcBorders>
          </w:tcPr>
          <w:p w14:paraId="43C0E775" w14:textId="4A6C19C7"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0.16</w:t>
            </w:r>
          </w:p>
        </w:tc>
        <w:tc>
          <w:tcPr>
            <w:tcW w:w="362" w:type="pct"/>
            <w:tcBorders>
              <w:top w:val="none" w:sz="0" w:space="0" w:color="auto"/>
              <w:left w:val="none" w:sz="0" w:space="0" w:color="auto"/>
              <w:bottom w:val="none" w:sz="0" w:space="0" w:color="auto"/>
              <w:right w:val="none" w:sz="0" w:space="0" w:color="auto"/>
            </w:tcBorders>
          </w:tcPr>
          <w:p w14:paraId="5A7C427A" w14:textId="3025C362" w:rsidR="003E45AB" w:rsidRDefault="003E45AB" w:rsidP="008A60FE">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3E45AB" w14:paraId="7A89AAF0"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42EC44D7" w14:textId="197DA25A" w:rsidR="003E45AB" w:rsidRDefault="003E45AB" w:rsidP="008A60FE">
            <w:r w:rsidRPr="00BD6082">
              <w:t>2301013</w:t>
            </w:r>
          </w:p>
        </w:tc>
        <w:tc>
          <w:tcPr>
            <w:tcW w:w="327" w:type="pct"/>
            <w:tcBorders>
              <w:top w:val="none" w:sz="0" w:space="0" w:color="auto"/>
              <w:left w:val="none" w:sz="0" w:space="0" w:color="auto"/>
              <w:bottom w:val="none" w:sz="0" w:space="0" w:color="auto"/>
              <w:right w:val="none" w:sz="0" w:space="0" w:color="auto"/>
            </w:tcBorders>
          </w:tcPr>
          <w:p w14:paraId="7D19CA49" w14:textId="43811B28"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61725F15" w14:textId="4AFBA3D9"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7BB69F89" w14:textId="32C99F43"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28135517" w14:textId="75A9849E"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77</w:t>
            </w:r>
          </w:p>
        </w:tc>
        <w:tc>
          <w:tcPr>
            <w:tcW w:w="322" w:type="pct"/>
            <w:tcBorders>
              <w:top w:val="none" w:sz="0" w:space="0" w:color="auto"/>
              <w:left w:val="none" w:sz="0" w:space="0" w:color="auto"/>
              <w:bottom w:val="none" w:sz="0" w:space="0" w:color="auto"/>
              <w:right w:val="none" w:sz="0" w:space="0" w:color="auto"/>
            </w:tcBorders>
          </w:tcPr>
          <w:p w14:paraId="08B412D3" w14:textId="03519CCF"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0.01</w:t>
            </w:r>
          </w:p>
        </w:tc>
        <w:tc>
          <w:tcPr>
            <w:tcW w:w="363" w:type="pct"/>
            <w:tcBorders>
              <w:top w:val="none" w:sz="0" w:space="0" w:color="auto"/>
              <w:left w:val="none" w:sz="0" w:space="0" w:color="auto"/>
              <w:bottom w:val="none" w:sz="0" w:space="0" w:color="auto"/>
              <w:right w:val="none" w:sz="0" w:space="0" w:color="auto"/>
            </w:tcBorders>
          </w:tcPr>
          <w:p w14:paraId="7F42D65B" w14:textId="6CF96AF7"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4226599E" w14:textId="5403848A"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5448E647" w14:textId="26007FA5"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0BB71081" w14:textId="7C2DAACA"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0900EF1F" w14:textId="33C54325"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77</w:t>
            </w:r>
          </w:p>
        </w:tc>
        <w:tc>
          <w:tcPr>
            <w:tcW w:w="322" w:type="pct"/>
            <w:tcBorders>
              <w:top w:val="none" w:sz="0" w:space="0" w:color="auto"/>
              <w:left w:val="none" w:sz="0" w:space="0" w:color="auto"/>
              <w:bottom w:val="none" w:sz="0" w:space="0" w:color="auto"/>
              <w:right w:val="none" w:sz="0" w:space="0" w:color="auto"/>
            </w:tcBorders>
          </w:tcPr>
          <w:p w14:paraId="03E22BF7" w14:textId="31ADB34A"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0.01</w:t>
            </w:r>
          </w:p>
        </w:tc>
        <w:tc>
          <w:tcPr>
            <w:tcW w:w="362" w:type="pct"/>
            <w:tcBorders>
              <w:top w:val="none" w:sz="0" w:space="0" w:color="auto"/>
              <w:left w:val="none" w:sz="0" w:space="0" w:color="auto"/>
              <w:bottom w:val="none" w:sz="0" w:space="0" w:color="auto"/>
              <w:right w:val="none" w:sz="0" w:space="0" w:color="auto"/>
            </w:tcBorders>
          </w:tcPr>
          <w:p w14:paraId="16BD62F2" w14:textId="6FC3F758" w:rsidR="003E45AB" w:rsidRDefault="003E45AB" w:rsidP="008A60FE">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1C57A9" w14:paraId="3E71403F"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24C94091" w14:textId="6E481007" w:rsidR="001C57A9" w:rsidRPr="00BD6082" w:rsidRDefault="001C57A9" w:rsidP="001C57A9">
            <w:r w:rsidRPr="00BD6082">
              <w:t>2200024</w:t>
            </w:r>
          </w:p>
        </w:tc>
        <w:tc>
          <w:tcPr>
            <w:tcW w:w="327" w:type="pct"/>
          </w:tcPr>
          <w:p w14:paraId="57BEB532" w14:textId="5D9BC597"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Pr>
          <w:p w14:paraId="4A3A13AF" w14:textId="3BF8252C"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Pr>
          <w:p w14:paraId="3111F638" w14:textId="39B6D15E"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6" w:type="pct"/>
          </w:tcPr>
          <w:p w14:paraId="191F8D6D" w14:textId="358AC875"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574</w:t>
            </w:r>
          </w:p>
        </w:tc>
        <w:tc>
          <w:tcPr>
            <w:tcW w:w="322" w:type="pct"/>
          </w:tcPr>
          <w:p w14:paraId="6A814239" w14:textId="28390B05"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0.07</w:t>
            </w:r>
          </w:p>
        </w:tc>
        <w:tc>
          <w:tcPr>
            <w:tcW w:w="363" w:type="pct"/>
          </w:tcPr>
          <w:p w14:paraId="7BD66450" w14:textId="2F68827A"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Pr>
          <w:p w14:paraId="6AD34892" w14:textId="57625CFC"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2" w:type="pct"/>
          </w:tcPr>
          <w:p w14:paraId="4693FE74" w14:textId="411D9241" w:rsidR="001C57A9" w:rsidRPr="003E45AB" w:rsidRDefault="009F4F24" w:rsidP="001C57A9">
            <w:pPr>
              <w:jc w:val="center"/>
              <w:cnfStyle w:val="000000100000" w:firstRow="0" w:lastRow="0" w:firstColumn="0" w:lastColumn="0" w:oddVBand="0" w:evenVBand="0" w:oddHBand="1" w:evenHBand="0" w:firstRowFirstColumn="0" w:firstRowLastColumn="0" w:lastRowFirstColumn="0" w:lastRowLastColumn="0"/>
            </w:pPr>
            <w:r>
              <w:t>213</w:t>
            </w:r>
            <w:r w:rsidR="001C57A9" w:rsidRPr="003E45AB">
              <w:t>%</w:t>
            </w:r>
          </w:p>
        </w:tc>
        <w:tc>
          <w:tcPr>
            <w:tcW w:w="354" w:type="pct"/>
          </w:tcPr>
          <w:p w14:paraId="369573E5" w14:textId="5CB6BADC"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Pr>
          <w:p w14:paraId="1E8BE42C" w14:textId="692B82A1"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574</w:t>
            </w:r>
          </w:p>
        </w:tc>
        <w:tc>
          <w:tcPr>
            <w:tcW w:w="322" w:type="pct"/>
          </w:tcPr>
          <w:p w14:paraId="77BD2680" w14:textId="45462533"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0.</w:t>
            </w:r>
            <w:r w:rsidR="009F4F24">
              <w:t>15</w:t>
            </w:r>
          </w:p>
        </w:tc>
        <w:tc>
          <w:tcPr>
            <w:tcW w:w="362" w:type="pct"/>
          </w:tcPr>
          <w:p w14:paraId="2E7AF762" w14:textId="285C42EF" w:rsidR="001C57A9" w:rsidRPr="003E45AB" w:rsidRDefault="001C57A9" w:rsidP="001C57A9">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9F4F24" w14:paraId="2639CDDF"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2B8B742A" w14:textId="025CB75D" w:rsidR="009F4F24" w:rsidRPr="00BD6082" w:rsidRDefault="009F4F24" w:rsidP="009F4F24">
            <w:r w:rsidRPr="00BD6082">
              <w:t>2301840</w:t>
            </w:r>
          </w:p>
        </w:tc>
        <w:tc>
          <w:tcPr>
            <w:tcW w:w="327" w:type="pct"/>
          </w:tcPr>
          <w:p w14:paraId="1FF43DEF" w14:textId="39F30995"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3" w:type="pct"/>
          </w:tcPr>
          <w:p w14:paraId="77F8C905" w14:textId="3BC365B5"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Pr>
          <w:p w14:paraId="1E44C4CC" w14:textId="5221B3A9"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Pr>
          <w:p w14:paraId="4F3E82E0" w14:textId="71F62B3D"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8</w:t>
            </w:r>
          </w:p>
        </w:tc>
        <w:tc>
          <w:tcPr>
            <w:tcW w:w="322" w:type="pct"/>
          </w:tcPr>
          <w:p w14:paraId="2C2FB121" w14:textId="5E5E0444"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t>&lt;</w:t>
            </w:r>
            <w:r w:rsidRPr="003E45AB">
              <w:t>0.0</w:t>
            </w:r>
            <w:r>
              <w:t>1</w:t>
            </w:r>
          </w:p>
        </w:tc>
        <w:tc>
          <w:tcPr>
            <w:tcW w:w="363" w:type="pct"/>
          </w:tcPr>
          <w:p w14:paraId="3CAB0C17" w14:textId="08763942"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Pr>
          <w:p w14:paraId="08FBA4AD" w14:textId="3A7F482F"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2" w:type="pct"/>
          </w:tcPr>
          <w:p w14:paraId="38E93DEA" w14:textId="4000F72F"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54" w:type="pct"/>
          </w:tcPr>
          <w:p w14:paraId="66F91545" w14:textId="0017A430"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Pr>
          <w:p w14:paraId="7CB1DB0B" w14:textId="26027E4F"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8</w:t>
            </w:r>
          </w:p>
        </w:tc>
        <w:tc>
          <w:tcPr>
            <w:tcW w:w="322" w:type="pct"/>
          </w:tcPr>
          <w:p w14:paraId="4E2D332D" w14:textId="48B4715F"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0.00</w:t>
            </w:r>
          </w:p>
        </w:tc>
        <w:tc>
          <w:tcPr>
            <w:tcW w:w="362" w:type="pct"/>
          </w:tcPr>
          <w:p w14:paraId="37111AB1" w14:textId="4D6E145D" w:rsidR="009F4F24" w:rsidRPr="003E45AB"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9F4F24" w14:paraId="0FFE9123"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72D59645" w14:textId="0A26A3C9" w:rsidR="009F4F24" w:rsidRDefault="009F4F24" w:rsidP="009F4F24">
            <w:r w:rsidRPr="00BD6082">
              <w:t>2200065</w:t>
            </w:r>
          </w:p>
        </w:tc>
        <w:tc>
          <w:tcPr>
            <w:tcW w:w="327" w:type="pct"/>
            <w:tcBorders>
              <w:top w:val="none" w:sz="0" w:space="0" w:color="auto"/>
              <w:left w:val="none" w:sz="0" w:space="0" w:color="auto"/>
              <w:bottom w:val="none" w:sz="0" w:space="0" w:color="auto"/>
              <w:right w:val="none" w:sz="0" w:space="0" w:color="auto"/>
            </w:tcBorders>
          </w:tcPr>
          <w:p w14:paraId="06F2BC9F" w14:textId="7BEFA89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293AD470" w14:textId="3423FEE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50F49AC3" w14:textId="63F7A1F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 4</w:t>
            </w:r>
          </w:p>
        </w:tc>
        <w:tc>
          <w:tcPr>
            <w:tcW w:w="326" w:type="pct"/>
            <w:tcBorders>
              <w:top w:val="none" w:sz="0" w:space="0" w:color="auto"/>
              <w:left w:val="none" w:sz="0" w:space="0" w:color="auto"/>
              <w:bottom w:val="none" w:sz="0" w:space="0" w:color="auto"/>
              <w:right w:val="none" w:sz="0" w:space="0" w:color="auto"/>
            </w:tcBorders>
          </w:tcPr>
          <w:p w14:paraId="52E20F05" w14:textId="378987A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3,547</w:t>
            </w:r>
          </w:p>
        </w:tc>
        <w:tc>
          <w:tcPr>
            <w:tcW w:w="322" w:type="pct"/>
            <w:tcBorders>
              <w:top w:val="none" w:sz="0" w:space="0" w:color="auto"/>
              <w:left w:val="none" w:sz="0" w:space="0" w:color="auto"/>
              <w:bottom w:val="none" w:sz="0" w:space="0" w:color="auto"/>
              <w:right w:val="none" w:sz="0" w:space="0" w:color="auto"/>
            </w:tcBorders>
          </w:tcPr>
          <w:p w14:paraId="45670709" w14:textId="3226279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0.42</w:t>
            </w:r>
          </w:p>
        </w:tc>
        <w:tc>
          <w:tcPr>
            <w:tcW w:w="363" w:type="pct"/>
            <w:tcBorders>
              <w:top w:val="none" w:sz="0" w:space="0" w:color="auto"/>
              <w:left w:val="none" w:sz="0" w:space="0" w:color="auto"/>
              <w:bottom w:val="none" w:sz="0" w:space="0" w:color="auto"/>
              <w:right w:val="none" w:sz="0" w:space="0" w:color="auto"/>
            </w:tcBorders>
          </w:tcPr>
          <w:p w14:paraId="1C85C468" w14:textId="7CCA042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1,577,311</w:t>
            </w:r>
          </w:p>
        </w:tc>
        <w:tc>
          <w:tcPr>
            <w:tcW w:w="326" w:type="pct"/>
            <w:tcBorders>
              <w:top w:val="none" w:sz="0" w:space="0" w:color="auto"/>
              <w:left w:val="none" w:sz="0" w:space="0" w:color="auto"/>
              <w:bottom w:val="none" w:sz="0" w:space="0" w:color="auto"/>
              <w:right w:val="none" w:sz="0" w:space="0" w:color="auto"/>
            </w:tcBorders>
          </w:tcPr>
          <w:p w14:paraId="52CC7EFB" w14:textId="7EFDFD0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0A303BAD" w14:textId="70E0898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776E232D" w14:textId="7109ACE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213%</w:t>
            </w:r>
          </w:p>
        </w:tc>
        <w:tc>
          <w:tcPr>
            <w:tcW w:w="326" w:type="pct"/>
            <w:tcBorders>
              <w:top w:val="none" w:sz="0" w:space="0" w:color="auto"/>
              <w:left w:val="none" w:sz="0" w:space="0" w:color="auto"/>
              <w:bottom w:val="none" w:sz="0" w:space="0" w:color="auto"/>
              <w:right w:val="none" w:sz="0" w:space="0" w:color="auto"/>
            </w:tcBorders>
          </w:tcPr>
          <w:p w14:paraId="5748728D" w14:textId="4BF4E68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3,547</w:t>
            </w:r>
          </w:p>
        </w:tc>
        <w:tc>
          <w:tcPr>
            <w:tcW w:w="322" w:type="pct"/>
            <w:tcBorders>
              <w:top w:val="none" w:sz="0" w:space="0" w:color="auto"/>
              <w:left w:val="none" w:sz="0" w:space="0" w:color="auto"/>
              <w:bottom w:val="none" w:sz="0" w:space="0" w:color="auto"/>
              <w:right w:val="none" w:sz="0" w:space="0" w:color="auto"/>
            </w:tcBorders>
          </w:tcPr>
          <w:p w14:paraId="115F7925" w14:textId="0D3C90C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0.42</w:t>
            </w:r>
          </w:p>
        </w:tc>
        <w:tc>
          <w:tcPr>
            <w:tcW w:w="362" w:type="pct"/>
            <w:tcBorders>
              <w:top w:val="none" w:sz="0" w:space="0" w:color="auto"/>
              <w:left w:val="none" w:sz="0" w:space="0" w:color="auto"/>
              <w:bottom w:val="none" w:sz="0" w:space="0" w:color="auto"/>
              <w:right w:val="none" w:sz="0" w:space="0" w:color="auto"/>
            </w:tcBorders>
          </w:tcPr>
          <w:p w14:paraId="16B745D4" w14:textId="6789E91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3,359,897</w:t>
            </w:r>
          </w:p>
        </w:tc>
      </w:tr>
      <w:tr w:rsidR="009F4F24" w14:paraId="21301D44"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135B3FA8" w14:textId="3AE77836" w:rsidR="009F4F24" w:rsidRDefault="009F4F24" w:rsidP="009F4F24">
            <w:r w:rsidRPr="00BD6082">
              <w:t>2200089</w:t>
            </w:r>
          </w:p>
        </w:tc>
        <w:tc>
          <w:tcPr>
            <w:tcW w:w="327" w:type="pct"/>
            <w:tcBorders>
              <w:top w:val="none" w:sz="0" w:space="0" w:color="auto"/>
              <w:left w:val="none" w:sz="0" w:space="0" w:color="auto"/>
              <w:bottom w:val="none" w:sz="0" w:space="0" w:color="auto"/>
              <w:right w:val="none" w:sz="0" w:space="0" w:color="auto"/>
            </w:tcBorders>
          </w:tcPr>
          <w:p w14:paraId="2EA5DAE3" w14:textId="2E0E433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2BCAFB8D" w14:textId="7435B32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252115D5" w14:textId="4B26CA0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 1</w:t>
            </w:r>
          </w:p>
        </w:tc>
        <w:tc>
          <w:tcPr>
            <w:tcW w:w="326" w:type="pct"/>
            <w:tcBorders>
              <w:top w:val="none" w:sz="0" w:space="0" w:color="auto"/>
              <w:left w:val="none" w:sz="0" w:space="0" w:color="auto"/>
              <w:bottom w:val="none" w:sz="0" w:space="0" w:color="auto"/>
              <w:right w:val="none" w:sz="0" w:space="0" w:color="auto"/>
            </w:tcBorders>
          </w:tcPr>
          <w:p w14:paraId="014F5C68" w14:textId="6D0F2C41"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51</w:t>
            </w:r>
          </w:p>
        </w:tc>
        <w:tc>
          <w:tcPr>
            <w:tcW w:w="322" w:type="pct"/>
            <w:tcBorders>
              <w:top w:val="none" w:sz="0" w:space="0" w:color="auto"/>
              <w:left w:val="none" w:sz="0" w:space="0" w:color="auto"/>
              <w:bottom w:val="none" w:sz="0" w:space="0" w:color="auto"/>
              <w:right w:val="none" w:sz="0" w:space="0" w:color="auto"/>
            </w:tcBorders>
          </w:tcPr>
          <w:p w14:paraId="5C98B4F5" w14:textId="7A21A7D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0.02</w:t>
            </w:r>
          </w:p>
        </w:tc>
        <w:tc>
          <w:tcPr>
            <w:tcW w:w="363" w:type="pct"/>
            <w:tcBorders>
              <w:top w:val="none" w:sz="0" w:space="0" w:color="auto"/>
              <w:left w:val="none" w:sz="0" w:space="0" w:color="auto"/>
              <w:bottom w:val="none" w:sz="0" w:space="0" w:color="auto"/>
              <w:right w:val="none" w:sz="0" w:space="0" w:color="auto"/>
            </w:tcBorders>
          </w:tcPr>
          <w:p w14:paraId="6962F72A" w14:textId="783077B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714</w:t>
            </w:r>
          </w:p>
        </w:tc>
        <w:tc>
          <w:tcPr>
            <w:tcW w:w="326" w:type="pct"/>
            <w:tcBorders>
              <w:top w:val="none" w:sz="0" w:space="0" w:color="auto"/>
              <w:left w:val="none" w:sz="0" w:space="0" w:color="auto"/>
              <w:bottom w:val="none" w:sz="0" w:space="0" w:color="auto"/>
              <w:right w:val="none" w:sz="0" w:space="0" w:color="auto"/>
            </w:tcBorders>
          </w:tcPr>
          <w:p w14:paraId="14B0FB99" w14:textId="1B3A18A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64B0E14A" w14:textId="1ED1256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70BFC360" w14:textId="589391C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07B71E82" w14:textId="30BF30C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51</w:t>
            </w:r>
          </w:p>
        </w:tc>
        <w:tc>
          <w:tcPr>
            <w:tcW w:w="322" w:type="pct"/>
            <w:tcBorders>
              <w:top w:val="none" w:sz="0" w:space="0" w:color="auto"/>
              <w:left w:val="none" w:sz="0" w:space="0" w:color="auto"/>
              <w:bottom w:val="none" w:sz="0" w:space="0" w:color="auto"/>
              <w:right w:val="none" w:sz="0" w:space="0" w:color="auto"/>
            </w:tcBorders>
          </w:tcPr>
          <w:p w14:paraId="171A129B" w14:textId="31BF28F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0.02</w:t>
            </w:r>
          </w:p>
        </w:tc>
        <w:tc>
          <w:tcPr>
            <w:tcW w:w="362" w:type="pct"/>
            <w:tcBorders>
              <w:top w:val="none" w:sz="0" w:space="0" w:color="auto"/>
              <w:left w:val="none" w:sz="0" w:space="0" w:color="auto"/>
              <w:bottom w:val="none" w:sz="0" w:space="0" w:color="auto"/>
              <w:right w:val="none" w:sz="0" w:space="0" w:color="auto"/>
            </w:tcBorders>
          </w:tcPr>
          <w:p w14:paraId="5E4892AF" w14:textId="0D929FE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714</w:t>
            </w:r>
          </w:p>
        </w:tc>
      </w:tr>
      <w:tr w:rsidR="009F4F24" w14:paraId="1E778698"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6AB08569" w14:textId="6407B612" w:rsidR="009F4F24" w:rsidRDefault="009F4F24" w:rsidP="009F4F24">
            <w:r w:rsidRPr="00BD6082">
              <w:t>2300006</w:t>
            </w:r>
          </w:p>
        </w:tc>
        <w:tc>
          <w:tcPr>
            <w:tcW w:w="327" w:type="pct"/>
            <w:tcBorders>
              <w:top w:val="none" w:sz="0" w:space="0" w:color="auto"/>
              <w:left w:val="none" w:sz="0" w:space="0" w:color="auto"/>
              <w:bottom w:val="none" w:sz="0" w:space="0" w:color="auto"/>
              <w:right w:val="none" w:sz="0" w:space="0" w:color="auto"/>
            </w:tcBorders>
          </w:tcPr>
          <w:p w14:paraId="10FAF0CD" w14:textId="2A20D63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05F4B248" w14:textId="48C5EE5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1768246A" w14:textId="6C565A7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 1</w:t>
            </w:r>
          </w:p>
        </w:tc>
        <w:tc>
          <w:tcPr>
            <w:tcW w:w="326" w:type="pct"/>
            <w:tcBorders>
              <w:top w:val="none" w:sz="0" w:space="0" w:color="auto"/>
              <w:left w:val="none" w:sz="0" w:space="0" w:color="auto"/>
              <w:bottom w:val="none" w:sz="0" w:space="0" w:color="auto"/>
              <w:right w:val="none" w:sz="0" w:space="0" w:color="auto"/>
            </w:tcBorders>
          </w:tcPr>
          <w:p w14:paraId="1149A916" w14:textId="766D592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197</w:t>
            </w:r>
          </w:p>
        </w:tc>
        <w:tc>
          <w:tcPr>
            <w:tcW w:w="322" w:type="pct"/>
            <w:tcBorders>
              <w:top w:val="none" w:sz="0" w:space="0" w:color="auto"/>
              <w:left w:val="none" w:sz="0" w:space="0" w:color="auto"/>
              <w:bottom w:val="none" w:sz="0" w:space="0" w:color="auto"/>
              <w:right w:val="none" w:sz="0" w:space="0" w:color="auto"/>
            </w:tcBorders>
          </w:tcPr>
          <w:p w14:paraId="51E87BC5" w14:textId="5C023DD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0.05</w:t>
            </w:r>
          </w:p>
        </w:tc>
        <w:tc>
          <w:tcPr>
            <w:tcW w:w="363" w:type="pct"/>
            <w:tcBorders>
              <w:top w:val="none" w:sz="0" w:space="0" w:color="auto"/>
              <w:left w:val="none" w:sz="0" w:space="0" w:color="auto"/>
              <w:bottom w:val="none" w:sz="0" w:space="0" w:color="auto"/>
              <w:right w:val="none" w:sz="0" w:space="0" w:color="auto"/>
            </w:tcBorders>
          </w:tcPr>
          <w:p w14:paraId="5EE1190B" w14:textId="5D0BCAC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-364</w:t>
            </w:r>
          </w:p>
        </w:tc>
        <w:tc>
          <w:tcPr>
            <w:tcW w:w="326" w:type="pct"/>
            <w:tcBorders>
              <w:top w:val="none" w:sz="0" w:space="0" w:color="auto"/>
              <w:left w:val="none" w:sz="0" w:space="0" w:color="auto"/>
              <w:bottom w:val="none" w:sz="0" w:space="0" w:color="auto"/>
              <w:right w:val="none" w:sz="0" w:space="0" w:color="auto"/>
            </w:tcBorders>
          </w:tcPr>
          <w:p w14:paraId="7C8AAB16" w14:textId="304BE76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6ED26100" w14:textId="6AF8C35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17E04080" w14:textId="646ABC8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11173FF3" w14:textId="4D0D78D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197</w:t>
            </w:r>
          </w:p>
        </w:tc>
        <w:tc>
          <w:tcPr>
            <w:tcW w:w="322" w:type="pct"/>
            <w:tcBorders>
              <w:top w:val="none" w:sz="0" w:space="0" w:color="auto"/>
              <w:left w:val="none" w:sz="0" w:space="0" w:color="auto"/>
              <w:bottom w:val="none" w:sz="0" w:space="0" w:color="auto"/>
              <w:right w:val="none" w:sz="0" w:space="0" w:color="auto"/>
            </w:tcBorders>
          </w:tcPr>
          <w:p w14:paraId="43FD11C3" w14:textId="18E2EAF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0.05</w:t>
            </w:r>
          </w:p>
        </w:tc>
        <w:tc>
          <w:tcPr>
            <w:tcW w:w="362" w:type="pct"/>
            <w:tcBorders>
              <w:top w:val="none" w:sz="0" w:space="0" w:color="auto"/>
              <w:left w:val="none" w:sz="0" w:space="0" w:color="auto"/>
              <w:bottom w:val="none" w:sz="0" w:space="0" w:color="auto"/>
              <w:right w:val="none" w:sz="0" w:space="0" w:color="auto"/>
            </w:tcBorders>
          </w:tcPr>
          <w:p w14:paraId="5E9F406D" w14:textId="545BD08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-364</w:t>
            </w:r>
          </w:p>
        </w:tc>
      </w:tr>
      <w:tr w:rsidR="009F4F24" w14:paraId="2D840C4C"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75A63D86" w14:textId="1B6A793E" w:rsidR="009F4F24" w:rsidRDefault="009F4F24" w:rsidP="009F4F24">
            <w:r w:rsidRPr="00BD6082">
              <w:t>2400131</w:t>
            </w:r>
          </w:p>
        </w:tc>
        <w:tc>
          <w:tcPr>
            <w:tcW w:w="327" w:type="pct"/>
            <w:tcBorders>
              <w:top w:val="none" w:sz="0" w:space="0" w:color="auto"/>
              <w:left w:val="none" w:sz="0" w:space="0" w:color="auto"/>
              <w:bottom w:val="none" w:sz="0" w:space="0" w:color="auto"/>
              <w:right w:val="none" w:sz="0" w:space="0" w:color="auto"/>
            </w:tcBorders>
          </w:tcPr>
          <w:p w14:paraId="059335F2" w14:textId="47D8C07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7B89268E" w14:textId="615DB65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579904C7" w14:textId="6329A25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 1</w:t>
            </w:r>
          </w:p>
        </w:tc>
        <w:tc>
          <w:tcPr>
            <w:tcW w:w="326" w:type="pct"/>
            <w:tcBorders>
              <w:top w:val="none" w:sz="0" w:space="0" w:color="auto"/>
              <w:left w:val="none" w:sz="0" w:space="0" w:color="auto"/>
              <w:bottom w:val="none" w:sz="0" w:space="0" w:color="auto"/>
              <w:right w:val="none" w:sz="0" w:space="0" w:color="auto"/>
            </w:tcBorders>
          </w:tcPr>
          <w:p w14:paraId="2459356A" w14:textId="28702F4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308</w:t>
            </w:r>
          </w:p>
        </w:tc>
        <w:tc>
          <w:tcPr>
            <w:tcW w:w="322" w:type="pct"/>
            <w:tcBorders>
              <w:top w:val="none" w:sz="0" w:space="0" w:color="auto"/>
              <w:left w:val="none" w:sz="0" w:space="0" w:color="auto"/>
              <w:bottom w:val="none" w:sz="0" w:space="0" w:color="auto"/>
              <w:right w:val="none" w:sz="0" w:space="0" w:color="auto"/>
            </w:tcBorders>
          </w:tcPr>
          <w:p w14:paraId="0D62E54C" w14:textId="72D2ACF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0.05</w:t>
            </w:r>
          </w:p>
        </w:tc>
        <w:tc>
          <w:tcPr>
            <w:tcW w:w="363" w:type="pct"/>
            <w:tcBorders>
              <w:top w:val="none" w:sz="0" w:space="0" w:color="auto"/>
              <w:left w:val="none" w:sz="0" w:space="0" w:color="auto"/>
              <w:bottom w:val="none" w:sz="0" w:space="0" w:color="auto"/>
              <w:right w:val="none" w:sz="0" w:space="0" w:color="auto"/>
            </w:tcBorders>
          </w:tcPr>
          <w:p w14:paraId="26035A85" w14:textId="1741F7A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14,096</w:t>
            </w:r>
          </w:p>
        </w:tc>
        <w:tc>
          <w:tcPr>
            <w:tcW w:w="326" w:type="pct"/>
            <w:tcBorders>
              <w:top w:val="none" w:sz="0" w:space="0" w:color="auto"/>
              <w:left w:val="none" w:sz="0" w:space="0" w:color="auto"/>
              <w:bottom w:val="none" w:sz="0" w:space="0" w:color="auto"/>
              <w:right w:val="none" w:sz="0" w:space="0" w:color="auto"/>
            </w:tcBorders>
          </w:tcPr>
          <w:p w14:paraId="69B465D9" w14:textId="6DCFF58A"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48B42540" w14:textId="5E0B8F3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44%</w:t>
            </w:r>
          </w:p>
        </w:tc>
        <w:tc>
          <w:tcPr>
            <w:tcW w:w="354" w:type="pct"/>
            <w:tcBorders>
              <w:top w:val="none" w:sz="0" w:space="0" w:color="auto"/>
              <w:left w:val="none" w:sz="0" w:space="0" w:color="auto"/>
              <w:bottom w:val="none" w:sz="0" w:space="0" w:color="auto"/>
              <w:right w:val="none" w:sz="0" w:space="0" w:color="auto"/>
            </w:tcBorders>
          </w:tcPr>
          <w:p w14:paraId="4205E5E9" w14:textId="7C811F8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7751F76E" w14:textId="615CA97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308</w:t>
            </w:r>
          </w:p>
        </w:tc>
        <w:tc>
          <w:tcPr>
            <w:tcW w:w="322" w:type="pct"/>
            <w:tcBorders>
              <w:top w:val="none" w:sz="0" w:space="0" w:color="auto"/>
              <w:left w:val="none" w:sz="0" w:space="0" w:color="auto"/>
              <w:bottom w:val="none" w:sz="0" w:space="0" w:color="auto"/>
              <w:right w:val="none" w:sz="0" w:space="0" w:color="auto"/>
            </w:tcBorders>
          </w:tcPr>
          <w:p w14:paraId="1E8E245C" w14:textId="3ADEC1F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0.02</w:t>
            </w:r>
          </w:p>
        </w:tc>
        <w:tc>
          <w:tcPr>
            <w:tcW w:w="362" w:type="pct"/>
            <w:tcBorders>
              <w:top w:val="none" w:sz="0" w:space="0" w:color="auto"/>
              <w:left w:val="none" w:sz="0" w:space="0" w:color="auto"/>
              <w:bottom w:val="none" w:sz="0" w:space="0" w:color="auto"/>
              <w:right w:val="none" w:sz="0" w:space="0" w:color="auto"/>
            </w:tcBorders>
          </w:tcPr>
          <w:p w14:paraId="4E159864" w14:textId="0EC47C0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14,096</w:t>
            </w:r>
          </w:p>
        </w:tc>
      </w:tr>
      <w:tr w:rsidR="009F4F24" w14:paraId="4EF54D89"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5C89ED59" w14:textId="4987444C" w:rsidR="009F4F24" w:rsidRDefault="009F4F24" w:rsidP="009F4F24">
            <w:r w:rsidRPr="00BD6082">
              <w:t>2301683</w:t>
            </w:r>
          </w:p>
        </w:tc>
        <w:tc>
          <w:tcPr>
            <w:tcW w:w="327" w:type="pct"/>
            <w:tcBorders>
              <w:top w:val="none" w:sz="0" w:space="0" w:color="auto"/>
              <w:left w:val="none" w:sz="0" w:space="0" w:color="auto"/>
              <w:bottom w:val="none" w:sz="0" w:space="0" w:color="auto"/>
              <w:right w:val="none" w:sz="0" w:space="0" w:color="auto"/>
            </w:tcBorders>
          </w:tcPr>
          <w:p w14:paraId="3263461A" w14:textId="4F44CE6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258513F6" w14:textId="1DAFECA3"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7D5B86E6" w14:textId="0115F62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 1</w:t>
            </w:r>
          </w:p>
        </w:tc>
        <w:tc>
          <w:tcPr>
            <w:tcW w:w="326" w:type="pct"/>
            <w:tcBorders>
              <w:top w:val="none" w:sz="0" w:space="0" w:color="auto"/>
              <w:left w:val="none" w:sz="0" w:space="0" w:color="auto"/>
              <w:bottom w:val="none" w:sz="0" w:space="0" w:color="auto"/>
              <w:right w:val="none" w:sz="0" w:space="0" w:color="auto"/>
            </w:tcBorders>
          </w:tcPr>
          <w:p w14:paraId="3B533126" w14:textId="58C610B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469</w:t>
            </w:r>
          </w:p>
        </w:tc>
        <w:tc>
          <w:tcPr>
            <w:tcW w:w="322" w:type="pct"/>
            <w:tcBorders>
              <w:top w:val="none" w:sz="0" w:space="0" w:color="auto"/>
              <w:left w:val="none" w:sz="0" w:space="0" w:color="auto"/>
              <w:bottom w:val="none" w:sz="0" w:space="0" w:color="auto"/>
              <w:right w:val="none" w:sz="0" w:space="0" w:color="auto"/>
            </w:tcBorders>
          </w:tcPr>
          <w:p w14:paraId="01914192" w14:textId="79A5E3A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t>&lt;</w:t>
            </w:r>
            <w:r w:rsidRPr="003E45AB">
              <w:t>0.0</w:t>
            </w:r>
            <w:r>
              <w:t>1</w:t>
            </w:r>
          </w:p>
        </w:tc>
        <w:tc>
          <w:tcPr>
            <w:tcW w:w="363" w:type="pct"/>
            <w:tcBorders>
              <w:top w:val="none" w:sz="0" w:space="0" w:color="auto"/>
              <w:left w:val="none" w:sz="0" w:space="0" w:color="auto"/>
              <w:bottom w:val="none" w:sz="0" w:space="0" w:color="auto"/>
              <w:right w:val="none" w:sz="0" w:space="0" w:color="auto"/>
            </w:tcBorders>
          </w:tcPr>
          <w:p w14:paraId="3C8D2B72" w14:textId="752B926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56,790</w:t>
            </w:r>
          </w:p>
        </w:tc>
        <w:tc>
          <w:tcPr>
            <w:tcW w:w="326" w:type="pct"/>
            <w:tcBorders>
              <w:top w:val="none" w:sz="0" w:space="0" w:color="auto"/>
              <w:left w:val="none" w:sz="0" w:space="0" w:color="auto"/>
              <w:bottom w:val="none" w:sz="0" w:space="0" w:color="auto"/>
              <w:right w:val="none" w:sz="0" w:space="0" w:color="auto"/>
            </w:tcBorders>
          </w:tcPr>
          <w:p w14:paraId="0EC8911B" w14:textId="00A4020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2" w:type="pct"/>
            <w:tcBorders>
              <w:top w:val="none" w:sz="0" w:space="0" w:color="auto"/>
              <w:left w:val="none" w:sz="0" w:space="0" w:color="auto"/>
              <w:bottom w:val="none" w:sz="0" w:space="0" w:color="auto"/>
              <w:right w:val="none" w:sz="0" w:space="0" w:color="auto"/>
            </w:tcBorders>
          </w:tcPr>
          <w:p w14:paraId="3F736BD6" w14:textId="2EEF453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N/A</w:t>
            </w:r>
          </w:p>
        </w:tc>
        <w:tc>
          <w:tcPr>
            <w:tcW w:w="354" w:type="pct"/>
            <w:tcBorders>
              <w:top w:val="none" w:sz="0" w:space="0" w:color="auto"/>
              <w:left w:val="none" w:sz="0" w:space="0" w:color="auto"/>
              <w:bottom w:val="none" w:sz="0" w:space="0" w:color="auto"/>
              <w:right w:val="none" w:sz="0" w:space="0" w:color="auto"/>
            </w:tcBorders>
          </w:tcPr>
          <w:p w14:paraId="49FCBEF8" w14:textId="2C3F84C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0036FBDA" w14:textId="22D7A53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469</w:t>
            </w:r>
          </w:p>
        </w:tc>
        <w:tc>
          <w:tcPr>
            <w:tcW w:w="322" w:type="pct"/>
            <w:tcBorders>
              <w:top w:val="none" w:sz="0" w:space="0" w:color="auto"/>
              <w:left w:val="none" w:sz="0" w:space="0" w:color="auto"/>
              <w:bottom w:val="none" w:sz="0" w:space="0" w:color="auto"/>
              <w:right w:val="none" w:sz="0" w:space="0" w:color="auto"/>
            </w:tcBorders>
          </w:tcPr>
          <w:p w14:paraId="58687FCF" w14:textId="45EAD693"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0.00</w:t>
            </w:r>
          </w:p>
        </w:tc>
        <w:tc>
          <w:tcPr>
            <w:tcW w:w="362" w:type="pct"/>
            <w:tcBorders>
              <w:top w:val="none" w:sz="0" w:space="0" w:color="auto"/>
              <w:left w:val="none" w:sz="0" w:space="0" w:color="auto"/>
              <w:bottom w:val="none" w:sz="0" w:space="0" w:color="auto"/>
              <w:right w:val="none" w:sz="0" w:space="0" w:color="auto"/>
            </w:tcBorders>
          </w:tcPr>
          <w:p w14:paraId="3BFC0915" w14:textId="5D368ED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56,790</w:t>
            </w:r>
          </w:p>
        </w:tc>
      </w:tr>
      <w:tr w:rsidR="009F4F24" w14:paraId="294D8571"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4FAFBC7F" w14:textId="2A4C61B8" w:rsidR="009F4F24" w:rsidRDefault="009F4F24" w:rsidP="009F4F24">
            <w:r w:rsidRPr="00BD6082">
              <w:t>2301001</w:t>
            </w:r>
          </w:p>
        </w:tc>
        <w:tc>
          <w:tcPr>
            <w:tcW w:w="327" w:type="pct"/>
            <w:tcBorders>
              <w:top w:val="none" w:sz="0" w:space="0" w:color="auto"/>
              <w:left w:val="none" w:sz="0" w:space="0" w:color="auto"/>
              <w:bottom w:val="none" w:sz="0" w:space="0" w:color="auto"/>
              <w:right w:val="none" w:sz="0" w:space="0" w:color="auto"/>
            </w:tcBorders>
          </w:tcPr>
          <w:p w14:paraId="23DF2609" w14:textId="0BBAC09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42C2EF33" w14:textId="167BF3F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4B5F5FC1" w14:textId="2C4C308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6" w:type="pct"/>
            <w:tcBorders>
              <w:top w:val="none" w:sz="0" w:space="0" w:color="auto"/>
              <w:left w:val="none" w:sz="0" w:space="0" w:color="auto"/>
              <w:bottom w:val="none" w:sz="0" w:space="0" w:color="auto"/>
              <w:right w:val="none" w:sz="0" w:space="0" w:color="auto"/>
            </w:tcBorders>
          </w:tcPr>
          <w:p w14:paraId="24E93BFE" w14:textId="5200D32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194</w:t>
            </w:r>
          </w:p>
        </w:tc>
        <w:tc>
          <w:tcPr>
            <w:tcW w:w="322" w:type="pct"/>
            <w:tcBorders>
              <w:top w:val="none" w:sz="0" w:space="0" w:color="auto"/>
              <w:left w:val="none" w:sz="0" w:space="0" w:color="auto"/>
              <w:bottom w:val="none" w:sz="0" w:space="0" w:color="auto"/>
              <w:right w:val="none" w:sz="0" w:space="0" w:color="auto"/>
            </w:tcBorders>
          </w:tcPr>
          <w:p w14:paraId="22AF40B0" w14:textId="04B2206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0.06</w:t>
            </w:r>
          </w:p>
        </w:tc>
        <w:tc>
          <w:tcPr>
            <w:tcW w:w="363" w:type="pct"/>
            <w:tcBorders>
              <w:top w:val="none" w:sz="0" w:space="0" w:color="auto"/>
              <w:left w:val="none" w:sz="0" w:space="0" w:color="auto"/>
              <w:bottom w:val="none" w:sz="0" w:space="0" w:color="auto"/>
              <w:right w:val="none" w:sz="0" w:space="0" w:color="auto"/>
            </w:tcBorders>
          </w:tcPr>
          <w:p w14:paraId="3851695E" w14:textId="40917B4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2644154A" w14:textId="32FD58E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96%</w:t>
            </w:r>
          </w:p>
        </w:tc>
        <w:tc>
          <w:tcPr>
            <w:tcW w:w="322" w:type="pct"/>
            <w:tcBorders>
              <w:top w:val="none" w:sz="0" w:space="0" w:color="auto"/>
              <w:left w:val="none" w:sz="0" w:space="0" w:color="auto"/>
              <w:bottom w:val="none" w:sz="0" w:space="0" w:color="auto"/>
              <w:right w:val="none" w:sz="0" w:space="0" w:color="auto"/>
            </w:tcBorders>
          </w:tcPr>
          <w:p w14:paraId="1CF17F11" w14:textId="3C47463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54" w:type="pct"/>
            <w:tcBorders>
              <w:top w:val="none" w:sz="0" w:space="0" w:color="auto"/>
              <w:left w:val="none" w:sz="0" w:space="0" w:color="auto"/>
              <w:bottom w:val="none" w:sz="0" w:space="0" w:color="auto"/>
              <w:right w:val="none" w:sz="0" w:space="0" w:color="auto"/>
            </w:tcBorders>
          </w:tcPr>
          <w:p w14:paraId="77A47814" w14:textId="155D98B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7B9F8D59" w14:textId="3126715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186</w:t>
            </w:r>
          </w:p>
        </w:tc>
        <w:tc>
          <w:tcPr>
            <w:tcW w:w="322" w:type="pct"/>
            <w:tcBorders>
              <w:top w:val="none" w:sz="0" w:space="0" w:color="auto"/>
              <w:left w:val="none" w:sz="0" w:space="0" w:color="auto"/>
              <w:bottom w:val="none" w:sz="0" w:space="0" w:color="auto"/>
              <w:right w:val="none" w:sz="0" w:space="0" w:color="auto"/>
            </w:tcBorders>
          </w:tcPr>
          <w:p w14:paraId="32FE99BA" w14:textId="2AD6A4B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0.06</w:t>
            </w:r>
          </w:p>
        </w:tc>
        <w:tc>
          <w:tcPr>
            <w:tcW w:w="362" w:type="pct"/>
            <w:tcBorders>
              <w:top w:val="none" w:sz="0" w:space="0" w:color="auto"/>
              <w:left w:val="none" w:sz="0" w:space="0" w:color="auto"/>
              <w:bottom w:val="none" w:sz="0" w:space="0" w:color="auto"/>
              <w:right w:val="none" w:sz="0" w:space="0" w:color="auto"/>
            </w:tcBorders>
          </w:tcPr>
          <w:p w14:paraId="6C5C3AED" w14:textId="077907A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9F4F24" w14:paraId="6893389C"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18CDF788" w14:textId="2276C354" w:rsidR="009F4F24" w:rsidRDefault="009F4F24" w:rsidP="009F4F24">
            <w:r w:rsidRPr="00BD6082">
              <w:t>2200088</w:t>
            </w:r>
          </w:p>
        </w:tc>
        <w:tc>
          <w:tcPr>
            <w:tcW w:w="327" w:type="pct"/>
            <w:tcBorders>
              <w:top w:val="none" w:sz="0" w:space="0" w:color="auto"/>
              <w:left w:val="none" w:sz="0" w:space="0" w:color="auto"/>
              <w:bottom w:val="none" w:sz="0" w:space="0" w:color="auto"/>
              <w:right w:val="none" w:sz="0" w:space="0" w:color="auto"/>
            </w:tcBorders>
          </w:tcPr>
          <w:p w14:paraId="309DDA86" w14:textId="01EDF83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32D51069" w14:textId="2159368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Both</w:t>
            </w:r>
          </w:p>
        </w:tc>
        <w:tc>
          <w:tcPr>
            <w:tcW w:w="381" w:type="pct"/>
            <w:tcBorders>
              <w:top w:val="none" w:sz="0" w:space="0" w:color="auto"/>
              <w:left w:val="none" w:sz="0" w:space="0" w:color="auto"/>
              <w:bottom w:val="none" w:sz="0" w:space="0" w:color="auto"/>
              <w:right w:val="none" w:sz="0" w:space="0" w:color="auto"/>
            </w:tcBorders>
          </w:tcPr>
          <w:p w14:paraId="32E35BCB" w14:textId="768D578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 1</w:t>
            </w:r>
          </w:p>
        </w:tc>
        <w:tc>
          <w:tcPr>
            <w:tcW w:w="326" w:type="pct"/>
            <w:tcBorders>
              <w:top w:val="none" w:sz="0" w:space="0" w:color="auto"/>
              <w:left w:val="none" w:sz="0" w:space="0" w:color="auto"/>
              <w:bottom w:val="none" w:sz="0" w:space="0" w:color="auto"/>
              <w:right w:val="none" w:sz="0" w:space="0" w:color="auto"/>
            </w:tcBorders>
          </w:tcPr>
          <w:p w14:paraId="574557CE" w14:textId="2832988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162</w:t>
            </w:r>
          </w:p>
        </w:tc>
        <w:tc>
          <w:tcPr>
            <w:tcW w:w="322" w:type="pct"/>
            <w:tcBorders>
              <w:top w:val="none" w:sz="0" w:space="0" w:color="auto"/>
              <w:left w:val="none" w:sz="0" w:space="0" w:color="auto"/>
              <w:bottom w:val="none" w:sz="0" w:space="0" w:color="auto"/>
              <w:right w:val="none" w:sz="0" w:space="0" w:color="auto"/>
            </w:tcBorders>
          </w:tcPr>
          <w:p w14:paraId="1A466A9B" w14:textId="3811343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0.05</w:t>
            </w:r>
          </w:p>
        </w:tc>
        <w:tc>
          <w:tcPr>
            <w:tcW w:w="363" w:type="pct"/>
            <w:tcBorders>
              <w:top w:val="none" w:sz="0" w:space="0" w:color="auto"/>
              <w:left w:val="none" w:sz="0" w:space="0" w:color="auto"/>
              <w:bottom w:val="none" w:sz="0" w:space="0" w:color="auto"/>
              <w:right w:val="none" w:sz="0" w:space="0" w:color="auto"/>
            </w:tcBorders>
          </w:tcPr>
          <w:p w14:paraId="1A747DF3" w14:textId="070C703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3,722</w:t>
            </w:r>
          </w:p>
        </w:tc>
        <w:tc>
          <w:tcPr>
            <w:tcW w:w="326" w:type="pct"/>
            <w:tcBorders>
              <w:top w:val="none" w:sz="0" w:space="0" w:color="auto"/>
              <w:left w:val="none" w:sz="0" w:space="0" w:color="auto"/>
              <w:bottom w:val="none" w:sz="0" w:space="0" w:color="auto"/>
              <w:right w:val="none" w:sz="0" w:space="0" w:color="auto"/>
            </w:tcBorders>
          </w:tcPr>
          <w:p w14:paraId="02108B41" w14:textId="42B7FA5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91%</w:t>
            </w:r>
          </w:p>
        </w:tc>
        <w:tc>
          <w:tcPr>
            <w:tcW w:w="322" w:type="pct"/>
            <w:tcBorders>
              <w:top w:val="none" w:sz="0" w:space="0" w:color="auto"/>
              <w:left w:val="none" w:sz="0" w:space="0" w:color="auto"/>
              <w:bottom w:val="none" w:sz="0" w:space="0" w:color="auto"/>
              <w:right w:val="none" w:sz="0" w:space="0" w:color="auto"/>
            </w:tcBorders>
          </w:tcPr>
          <w:p w14:paraId="4FBAE406" w14:textId="270CE53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92%</w:t>
            </w:r>
          </w:p>
        </w:tc>
        <w:tc>
          <w:tcPr>
            <w:tcW w:w="354" w:type="pct"/>
            <w:tcBorders>
              <w:top w:val="none" w:sz="0" w:space="0" w:color="auto"/>
              <w:left w:val="none" w:sz="0" w:space="0" w:color="auto"/>
              <w:bottom w:val="none" w:sz="0" w:space="0" w:color="auto"/>
              <w:right w:val="none" w:sz="0" w:space="0" w:color="auto"/>
            </w:tcBorders>
          </w:tcPr>
          <w:p w14:paraId="4FCAA8DA" w14:textId="34C1DBC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2CBC888A" w14:textId="4926392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148</w:t>
            </w:r>
          </w:p>
        </w:tc>
        <w:tc>
          <w:tcPr>
            <w:tcW w:w="322" w:type="pct"/>
            <w:tcBorders>
              <w:top w:val="none" w:sz="0" w:space="0" w:color="auto"/>
              <w:left w:val="none" w:sz="0" w:space="0" w:color="auto"/>
              <w:bottom w:val="none" w:sz="0" w:space="0" w:color="auto"/>
              <w:right w:val="none" w:sz="0" w:space="0" w:color="auto"/>
            </w:tcBorders>
          </w:tcPr>
          <w:p w14:paraId="57CEEBB3" w14:textId="5A6A5CB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0.05</w:t>
            </w:r>
          </w:p>
        </w:tc>
        <w:tc>
          <w:tcPr>
            <w:tcW w:w="362" w:type="pct"/>
            <w:tcBorders>
              <w:top w:val="none" w:sz="0" w:space="0" w:color="auto"/>
              <w:left w:val="none" w:sz="0" w:space="0" w:color="auto"/>
              <w:bottom w:val="none" w:sz="0" w:space="0" w:color="auto"/>
              <w:right w:val="none" w:sz="0" w:space="0" w:color="auto"/>
            </w:tcBorders>
          </w:tcPr>
          <w:p w14:paraId="38351C80" w14:textId="3D73950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3,722</w:t>
            </w:r>
          </w:p>
        </w:tc>
      </w:tr>
      <w:tr w:rsidR="009F4F24" w14:paraId="7F4E2F5D"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48917588" w14:textId="748DA252" w:rsidR="009F4F24" w:rsidRDefault="009F4F24" w:rsidP="009F4F24">
            <w:r w:rsidRPr="00BD6082">
              <w:t>2300733</w:t>
            </w:r>
          </w:p>
        </w:tc>
        <w:tc>
          <w:tcPr>
            <w:tcW w:w="327" w:type="pct"/>
            <w:tcBorders>
              <w:top w:val="none" w:sz="0" w:space="0" w:color="auto"/>
              <w:left w:val="none" w:sz="0" w:space="0" w:color="auto"/>
              <w:bottom w:val="none" w:sz="0" w:space="0" w:color="auto"/>
              <w:right w:val="none" w:sz="0" w:space="0" w:color="auto"/>
            </w:tcBorders>
          </w:tcPr>
          <w:p w14:paraId="0F56D01B" w14:textId="27646E6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107A4C4A" w14:textId="52ED1A0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3ECD7A5D" w14:textId="6D0D1F0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6BDC2690" w14:textId="033A49E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5</w:t>
            </w:r>
          </w:p>
        </w:tc>
        <w:tc>
          <w:tcPr>
            <w:tcW w:w="322" w:type="pct"/>
            <w:tcBorders>
              <w:top w:val="none" w:sz="0" w:space="0" w:color="auto"/>
              <w:left w:val="none" w:sz="0" w:space="0" w:color="auto"/>
              <w:bottom w:val="none" w:sz="0" w:space="0" w:color="auto"/>
              <w:right w:val="none" w:sz="0" w:space="0" w:color="auto"/>
            </w:tcBorders>
          </w:tcPr>
          <w:p w14:paraId="77C047EA" w14:textId="54D2DFE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t>&lt;</w:t>
            </w:r>
            <w:r w:rsidRPr="003E45AB">
              <w:t>0.0</w:t>
            </w:r>
            <w:r>
              <w:t>1</w:t>
            </w:r>
          </w:p>
        </w:tc>
        <w:tc>
          <w:tcPr>
            <w:tcW w:w="363" w:type="pct"/>
            <w:tcBorders>
              <w:top w:val="none" w:sz="0" w:space="0" w:color="auto"/>
              <w:left w:val="none" w:sz="0" w:space="0" w:color="auto"/>
              <w:bottom w:val="none" w:sz="0" w:space="0" w:color="auto"/>
              <w:right w:val="none" w:sz="0" w:space="0" w:color="auto"/>
            </w:tcBorders>
          </w:tcPr>
          <w:p w14:paraId="2693C18A" w14:textId="03E48CF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0D748368" w14:textId="0C1A0E2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74%</w:t>
            </w:r>
          </w:p>
        </w:tc>
        <w:tc>
          <w:tcPr>
            <w:tcW w:w="322" w:type="pct"/>
            <w:tcBorders>
              <w:top w:val="none" w:sz="0" w:space="0" w:color="auto"/>
              <w:left w:val="none" w:sz="0" w:space="0" w:color="auto"/>
              <w:bottom w:val="none" w:sz="0" w:space="0" w:color="auto"/>
              <w:right w:val="none" w:sz="0" w:space="0" w:color="auto"/>
            </w:tcBorders>
          </w:tcPr>
          <w:p w14:paraId="49E1F011" w14:textId="5E9CECD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42%</w:t>
            </w:r>
          </w:p>
        </w:tc>
        <w:tc>
          <w:tcPr>
            <w:tcW w:w="354" w:type="pct"/>
            <w:tcBorders>
              <w:top w:val="none" w:sz="0" w:space="0" w:color="auto"/>
              <w:left w:val="none" w:sz="0" w:space="0" w:color="auto"/>
              <w:bottom w:val="none" w:sz="0" w:space="0" w:color="auto"/>
              <w:right w:val="none" w:sz="0" w:space="0" w:color="auto"/>
            </w:tcBorders>
          </w:tcPr>
          <w:p w14:paraId="7BC39A5B" w14:textId="4536E0A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1A05A1A0" w14:textId="1628D80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w:t>
            </w:r>
          </w:p>
        </w:tc>
        <w:tc>
          <w:tcPr>
            <w:tcW w:w="322" w:type="pct"/>
            <w:tcBorders>
              <w:top w:val="none" w:sz="0" w:space="0" w:color="auto"/>
              <w:left w:val="none" w:sz="0" w:space="0" w:color="auto"/>
              <w:bottom w:val="none" w:sz="0" w:space="0" w:color="auto"/>
              <w:right w:val="none" w:sz="0" w:space="0" w:color="auto"/>
            </w:tcBorders>
          </w:tcPr>
          <w:p w14:paraId="651647AC" w14:textId="37F45E0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0.00</w:t>
            </w:r>
          </w:p>
        </w:tc>
        <w:tc>
          <w:tcPr>
            <w:tcW w:w="362" w:type="pct"/>
            <w:tcBorders>
              <w:top w:val="none" w:sz="0" w:space="0" w:color="auto"/>
              <w:left w:val="none" w:sz="0" w:space="0" w:color="auto"/>
              <w:bottom w:val="none" w:sz="0" w:space="0" w:color="auto"/>
              <w:right w:val="none" w:sz="0" w:space="0" w:color="auto"/>
            </w:tcBorders>
          </w:tcPr>
          <w:p w14:paraId="22C87571" w14:textId="34C747E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9F4F24" w14:paraId="1F02789A"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2EFE27A4" w14:textId="1A02E411" w:rsidR="009F4F24" w:rsidRDefault="009F4F24" w:rsidP="009F4F24">
            <w:r w:rsidRPr="00BD6082">
              <w:t>2200025</w:t>
            </w:r>
          </w:p>
        </w:tc>
        <w:tc>
          <w:tcPr>
            <w:tcW w:w="327" w:type="pct"/>
            <w:tcBorders>
              <w:top w:val="none" w:sz="0" w:space="0" w:color="auto"/>
              <w:left w:val="none" w:sz="0" w:space="0" w:color="auto"/>
              <w:bottom w:val="none" w:sz="0" w:space="0" w:color="auto"/>
              <w:right w:val="none" w:sz="0" w:space="0" w:color="auto"/>
            </w:tcBorders>
          </w:tcPr>
          <w:p w14:paraId="67438CE0" w14:textId="2B6BC26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25806676" w14:textId="600ED80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49E784B9" w14:textId="3482EEE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51DB8E77" w14:textId="720029B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919</w:t>
            </w:r>
          </w:p>
        </w:tc>
        <w:tc>
          <w:tcPr>
            <w:tcW w:w="322" w:type="pct"/>
            <w:tcBorders>
              <w:top w:val="none" w:sz="0" w:space="0" w:color="auto"/>
              <w:left w:val="none" w:sz="0" w:space="0" w:color="auto"/>
              <w:bottom w:val="none" w:sz="0" w:space="0" w:color="auto"/>
              <w:right w:val="none" w:sz="0" w:space="0" w:color="auto"/>
            </w:tcBorders>
          </w:tcPr>
          <w:p w14:paraId="6EF53C3A" w14:textId="0B4CE00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0.22</w:t>
            </w:r>
          </w:p>
        </w:tc>
        <w:tc>
          <w:tcPr>
            <w:tcW w:w="363" w:type="pct"/>
            <w:tcBorders>
              <w:top w:val="none" w:sz="0" w:space="0" w:color="auto"/>
              <w:left w:val="none" w:sz="0" w:space="0" w:color="auto"/>
              <w:bottom w:val="none" w:sz="0" w:space="0" w:color="auto"/>
              <w:right w:val="none" w:sz="0" w:space="0" w:color="auto"/>
            </w:tcBorders>
          </w:tcPr>
          <w:p w14:paraId="51146478" w14:textId="1F3ADC9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165F42E9" w14:textId="65562E4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70%</w:t>
            </w:r>
          </w:p>
        </w:tc>
        <w:tc>
          <w:tcPr>
            <w:tcW w:w="322" w:type="pct"/>
            <w:tcBorders>
              <w:top w:val="none" w:sz="0" w:space="0" w:color="auto"/>
              <w:left w:val="none" w:sz="0" w:space="0" w:color="auto"/>
              <w:bottom w:val="none" w:sz="0" w:space="0" w:color="auto"/>
              <w:right w:val="none" w:sz="0" w:space="0" w:color="auto"/>
            </w:tcBorders>
          </w:tcPr>
          <w:p w14:paraId="5F96AD06" w14:textId="3639528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7%</w:t>
            </w:r>
          </w:p>
        </w:tc>
        <w:tc>
          <w:tcPr>
            <w:tcW w:w="354" w:type="pct"/>
            <w:tcBorders>
              <w:top w:val="none" w:sz="0" w:space="0" w:color="auto"/>
              <w:left w:val="none" w:sz="0" w:space="0" w:color="auto"/>
              <w:bottom w:val="none" w:sz="0" w:space="0" w:color="auto"/>
              <w:right w:val="none" w:sz="0" w:space="0" w:color="auto"/>
            </w:tcBorders>
          </w:tcPr>
          <w:p w14:paraId="3278AADA" w14:textId="5020A40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5A3F47B5" w14:textId="5C1EF05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647</w:t>
            </w:r>
          </w:p>
        </w:tc>
        <w:tc>
          <w:tcPr>
            <w:tcW w:w="322" w:type="pct"/>
            <w:tcBorders>
              <w:top w:val="none" w:sz="0" w:space="0" w:color="auto"/>
              <w:left w:val="none" w:sz="0" w:space="0" w:color="auto"/>
              <w:bottom w:val="none" w:sz="0" w:space="0" w:color="auto"/>
              <w:right w:val="none" w:sz="0" w:space="0" w:color="auto"/>
            </w:tcBorders>
          </w:tcPr>
          <w:p w14:paraId="48AED4C7" w14:textId="29F8128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0.02</w:t>
            </w:r>
          </w:p>
        </w:tc>
        <w:tc>
          <w:tcPr>
            <w:tcW w:w="362" w:type="pct"/>
            <w:tcBorders>
              <w:top w:val="none" w:sz="0" w:space="0" w:color="auto"/>
              <w:left w:val="none" w:sz="0" w:space="0" w:color="auto"/>
              <w:bottom w:val="none" w:sz="0" w:space="0" w:color="auto"/>
              <w:right w:val="none" w:sz="0" w:space="0" w:color="auto"/>
            </w:tcBorders>
          </w:tcPr>
          <w:p w14:paraId="7625B0F4" w14:textId="2CEA95D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9F4F24" w14:paraId="094E54B9"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14F02FD8" w14:textId="0FA7CC1E" w:rsidR="009F4F24" w:rsidRDefault="009F4F24" w:rsidP="009F4F24">
            <w:r w:rsidRPr="00BD6082">
              <w:t>2401214</w:t>
            </w:r>
          </w:p>
        </w:tc>
        <w:tc>
          <w:tcPr>
            <w:tcW w:w="327" w:type="pct"/>
            <w:tcBorders>
              <w:top w:val="none" w:sz="0" w:space="0" w:color="auto"/>
              <w:left w:val="none" w:sz="0" w:space="0" w:color="auto"/>
              <w:bottom w:val="none" w:sz="0" w:space="0" w:color="auto"/>
              <w:right w:val="none" w:sz="0" w:space="0" w:color="auto"/>
            </w:tcBorders>
          </w:tcPr>
          <w:p w14:paraId="5D682ED5" w14:textId="1E148DC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00D99885" w14:textId="1590E8E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36BCD273" w14:textId="7343FAA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04E25F19" w14:textId="302D25E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101</w:t>
            </w:r>
          </w:p>
        </w:tc>
        <w:tc>
          <w:tcPr>
            <w:tcW w:w="322" w:type="pct"/>
            <w:tcBorders>
              <w:top w:val="none" w:sz="0" w:space="0" w:color="auto"/>
              <w:left w:val="none" w:sz="0" w:space="0" w:color="auto"/>
              <w:bottom w:val="none" w:sz="0" w:space="0" w:color="auto"/>
              <w:right w:val="none" w:sz="0" w:space="0" w:color="auto"/>
            </w:tcBorders>
          </w:tcPr>
          <w:p w14:paraId="7B66EE70" w14:textId="4F131C3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0.01</w:t>
            </w:r>
          </w:p>
        </w:tc>
        <w:tc>
          <w:tcPr>
            <w:tcW w:w="363" w:type="pct"/>
            <w:tcBorders>
              <w:top w:val="none" w:sz="0" w:space="0" w:color="auto"/>
              <w:left w:val="none" w:sz="0" w:space="0" w:color="auto"/>
              <w:bottom w:val="none" w:sz="0" w:space="0" w:color="auto"/>
              <w:right w:val="none" w:sz="0" w:space="0" w:color="auto"/>
            </w:tcBorders>
          </w:tcPr>
          <w:p w14:paraId="36D62CE8" w14:textId="2B2DCD3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5185A19D" w14:textId="0F41218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70%</w:t>
            </w:r>
          </w:p>
        </w:tc>
        <w:tc>
          <w:tcPr>
            <w:tcW w:w="322" w:type="pct"/>
            <w:tcBorders>
              <w:top w:val="none" w:sz="0" w:space="0" w:color="auto"/>
              <w:left w:val="none" w:sz="0" w:space="0" w:color="auto"/>
              <w:bottom w:val="none" w:sz="0" w:space="0" w:color="auto"/>
              <w:right w:val="none" w:sz="0" w:space="0" w:color="auto"/>
            </w:tcBorders>
          </w:tcPr>
          <w:p w14:paraId="0E95DC01" w14:textId="50AFACA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70%</w:t>
            </w:r>
          </w:p>
        </w:tc>
        <w:tc>
          <w:tcPr>
            <w:tcW w:w="354" w:type="pct"/>
            <w:tcBorders>
              <w:top w:val="none" w:sz="0" w:space="0" w:color="auto"/>
              <w:left w:val="none" w:sz="0" w:space="0" w:color="auto"/>
              <w:bottom w:val="none" w:sz="0" w:space="0" w:color="auto"/>
              <w:right w:val="none" w:sz="0" w:space="0" w:color="auto"/>
            </w:tcBorders>
          </w:tcPr>
          <w:p w14:paraId="2625CF48" w14:textId="7E7F6B7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138DCA7C" w14:textId="3E83FF3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71</w:t>
            </w:r>
          </w:p>
        </w:tc>
        <w:tc>
          <w:tcPr>
            <w:tcW w:w="322" w:type="pct"/>
            <w:tcBorders>
              <w:top w:val="none" w:sz="0" w:space="0" w:color="auto"/>
              <w:left w:val="none" w:sz="0" w:space="0" w:color="auto"/>
              <w:bottom w:val="none" w:sz="0" w:space="0" w:color="auto"/>
              <w:right w:val="none" w:sz="0" w:space="0" w:color="auto"/>
            </w:tcBorders>
          </w:tcPr>
          <w:p w14:paraId="419DBBE8" w14:textId="68E21F0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0.01</w:t>
            </w:r>
          </w:p>
        </w:tc>
        <w:tc>
          <w:tcPr>
            <w:tcW w:w="362" w:type="pct"/>
            <w:tcBorders>
              <w:top w:val="none" w:sz="0" w:space="0" w:color="auto"/>
              <w:left w:val="none" w:sz="0" w:space="0" w:color="auto"/>
              <w:bottom w:val="none" w:sz="0" w:space="0" w:color="auto"/>
              <w:right w:val="none" w:sz="0" w:space="0" w:color="auto"/>
            </w:tcBorders>
          </w:tcPr>
          <w:p w14:paraId="5B3E8A59" w14:textId="45CDC8D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9F4F24" w14:paraId="359C8B35"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381B661A" w14:textId="1EEA08A5" w:rsidR="009F4F24" w:rsidRDefault="009F4F24" w:rsidP="009F4F24">
            <w:r w:rsidRPr="00BD6082">
              <w:t>2300987</w:t>
            </w:r>
          </w:p>
        </w:tc>
        <w:tc>
          <w:tcPr>
            <w:tcW w:w="327" w:type="pct"/>
            <w:tcBorders>
              <w:top w:val="none" w:sz="0" w:space="0" w:color="auto"/>
              <w:left w:val="none" w:sz="0" w:space="0" w:color="auto"/>
              <w:bottom w:val="none" w:sz="0" w:space="0" w:color="auto"/>
              <w:right w:val="none" w:sz="0" w:space="0" w:color="auto"/>
            </w:tcBorders>
          </w:tcPr>
          <w:p w14:paraId="0E28BAEE" w14:textId="11F3A18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4B97FAE0" w14:textId="4A87744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208048FB" w14:textId="4983C9C3"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747C8458" w14:textId="17264DB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795</w:t>
            </w:r>
          </w:p>
        </w:tc>
        <w:tc>
          <w:tcPr>
            <w:tcW w:w="322" w:type="pct"/>
            <w:tcBorders>
              <w:top w:val="none" w:sz="0" w:space="0" w:color="auto"/>
              <w:left w:val="none" w:sz="0" w:space="0" w:color="auto"/>
              <w:bottom w:val="none" w:sz="0" w:space="0" w:color="auto"/>
              <w:right w:val="none" w:sz="0" w:space="0" w:color="auto"/>
            </w:tcBorders>
          </w:tcPr>
          <w:p w14:paraId="67EE28E4" w14:textId="337F0DD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0.18</w:t>
            </w:r>
          </w:p>
        </w:tc>
        <w:tc>
          <w:tcPr>
            <w:tcW w:w="363" w:type="pct"/>
            <w:tcBorders>
              <w:top w:val="none" w:sz="0" w:space="0" w:color="auto"/>
              <w:left w:val="none" w:sz="0" w:space="0" w:color="auto"/>
              <w:bottom w:val="none" w:sz="0" w:space="0" w:color="auto"/>
              <w:right w:val="none" w:sz="0" w:space="0" w:color="auto"/>
            </w:tcBorders>
          </w:tcPr>
          <w:p w14:paraId="36A395A9" w14:textId="2C42ADB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3CB13E46" w14:textId="794B9F0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66%</w:t>
            </w:r>
          </w:p>
        </w:tc>
        <w:tc>
          <w:tcPr>
            <w:tcW w:w="322" w:type="pct"/>
            <w:tcBorders>
              <w:top w:val="none" w:sz="0" w:space="0" w:color="auto"/>
              <w:left w:val="none" w:sz="0" w:space="0" w:color="auto"/>
              <w:bottom w:val="none" w:sz="0" w:space="0" w:color="auto"/>
              <w:right w:val="none" w:sz="0" w:space="0" w:color="auto"/>
            </w:tcBorders>
          </w:tcPr>
          <w:p w14:paraId="76AEE103" w14:textId="6520E33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62%</w:t>
            </w:r>
          </w:p>
        </w:tc>
        <w:tc>
          <w:tcPr>
            <w:tcW w:w="354" w:type="pct"/>
            <w:tcBorders>
              <w:top w:val="none" w:sz="0" w:space="0" w:color="auto"/>
              <w:left w:val="none" w:sz="0" w:space="0" w:color="auto"/>
              <w:bottom w:val="none" w:sz="0" w:space="0" w:color="auto"/>
              <w:right w:val="none" w:sz="0" w:space="0" w:color="auto"/>
            </w:tcBorders>
          </w:tcPr>
          <w:p w14:paraId="2DFB2B46" w14:textId="39BA028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17B7E796" w14:textId="029E531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524</w:t>
            </w:r>
          </w:p>
        </w:tc>
        <w:tc>
          <w:tcPr>
            <w:tcW w:w="322" w:type="pct"/>
            <w:tcBorders>
              <w:top w:val="none" w:sz="0" w:space="0" w:color="auto"/>
              <w:left w:val="none" w:sz="0" w:space="0" w:color="auto"/>
              <w:bottom w:val="none" w:sz="0" w:space="0" w:color="auto"/>
              <w:right w:val="none" w:sz="0" w:space="0" w:color="auto"/>
            </w:tcBorders>
          </w:tcPr>
          <w:p w14:paraId="053C2017" w14:textId="0EE59C2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0.11</w:t>
            </w:r>
          </w:p>
        </w:tc>
        <w:tc>
          <w:tcPr>
            <w:tcW w:w="362" w:type="pct"/>
            <w:tcBorders>
              <w:top w:val="none" w:sz="0" w:space="0" w:color="auto"/>
              <w:left w:val="none" w:sz="0" w:space="0" w:color="auto"/>
              <w:bottom w:val="none" w:sz="0" w:space="0" w:color="auto"/>
              <w:right w:val="none" w:sz="0" w:space="0" w:color="auto"/>
            </w:tcBorders>
          </w:tcPr>
          <w:p w14:paraId="6EA7C77A" w14:textId="19A44A0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9F4F24" w14:paraId="22705A3A"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09A233ED" w14:textId="19B3792C" w:rsidR="009F4F24" w:rsidRDefault="009F4F24" w:rsidP="009F4F24">
            <w:r w:rsidRPr="00BD6082">
              <w:t>2300804</w:t>
            </w:r>
          </w:p>
        </w:tc>
        <w:tc>
          <w:tcPr>
            <w:tcW w:w="327" w:type="pct"/>
            <w:tcBorders>
              <w:top w:val="none" w:sz="0" w:space="0" w:color="auto"/>
              <w:left w:val="none" w:sz="0" w:space="0" w:color="auto"/>
              <w:bottom w:val="none" w:sz="0" w:space="0" w:color="auto"/>
              <w:right w:val="none" w:sz="0" w:space="0" w:color="auto"/>
            </w:tcBorders>
          </w:tcPr>
          <w:p w14:paraId="2EAEB476" w14:textId="5FE02A1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7F4DD088" w14:textId="35BC601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6745DE0D" w14:textId="16BE5B9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7E64813E" w14:textId="150F6A0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449</w:t>
            </w:r>
          </w:p>
        </w:tc>
        <w:tc>
          <w:tcPr>
            <w:tcW w:w="322" w:type="pct"/>
            <w:tcBorders>
              <w:top w:val="none" w:sz="0" w:space="0" w:color="auto"/>
              <w:left w:val="none" w:sz="0" w:space="0" w:color="auto"/>
              <w:bottom w:val="none" w:sz="0" w:space="0" w:color="auto"/>
              <w:right w:val="none" w:sz="0" w:space="0" w:color="auto"/>
            </w:tcBorders>
          </w:tcPr>
          <w:p w14:paraId="70BF36A2" w14:textId="0B633D8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0.09</w:t>
            </w:r>
          </w:p>
        </w:tc>
        <w:tc>
          <w:tcPr>
            <w:tcW w:w="363" w:type="pct"/>
            <w:tcBorders>
              <w:top w:val="none" w:sz="0" w:space="0" w:color="auto"/>
              <w:left w:val="none" w:sz="0" w:space="0" w:color="auto"/>
              <w:bottom w:val="none" w:sz="0" w:space="0" w:color="auto"/>
              <w:right w:val="none" w:sz="0" w:space="0" w:color="auto"/>
            </w:tcBorders>
          </w:tcPr>
          <w:p w14:paraId="729FE2A7" w14:textId="793C133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7AC71FF8" w14:textId="2FFF184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44%</w:t>
            </w:r>
          </w:p>
        </w:tc>
        <w:tc>
          <w:tcPr>
            <w:tcW w:w="322" w:type="pct"/>
            <w:tcBorders>
              <w:top w:val="none" w:sz="0" w:space="0" w:color="auto"/>
              <w:left w:val="none" w:sz="0" w:space="0" w:color="auto"/>
              <w:bottom w:val="none" w:sz="0" w:space="0" w:color="auto"/>
              <w:right w:val="none" w:sz="0" w:space="0" w:color="auto"/>
            </w:tcBorders>
          </w:tcPr>
          <w:p w14:paraId="44225E4F" w14:textId="685360F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25%</w:t>
            </w:r>
          </w:p>
        </w:tc>
        <w:tc>
          <w:tcPr>
            <w:tcW w:w="354" w:type="pct"/>
            <w:tcBorders>
              <w:top w:val="none" w:sz="0" w:space="0" w:color="auto"/>
              <w:left w:val="none" w:sz="0" w:space="0" w:color="auto"/>
              <w:bottom w:val="none" w:sz="0" w:space="0" w:color="auto"/>
              <w:right w:val="none" w:sz="0" w:space="0" w:color="auto"/>
            </w:tcBorders>
          </w:tcPr>
          <w:p w14:paraId="7588E838" w14:textId="61BACEC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20419F49" w14:textId="4EB7DDE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199</w:t>
            </w:r>
          </w:p>
        </w:tc>
        <w:tc>
          <w:tcPr>
            <w:tcW w:w="322" w:type="pct"/>
            <w:tcBorders>
              <w:top w:val="none" w:sz="0" w:space="0" w:color="auto"/>
              <w:left w:val="none" w:sz="0" w:space="0" w:color="auto"/>
              <w:bottom w:val="none" w:sz="0" w:space="0" w:color="auto"/>
              <w:right w:val="none" w:sz="0" w:space="0" w:color="auto"/>
            </w:tcBorders>
          </w:tcPr>
          <w:p w14:paraId="10887F93" w14:textId="7EC9DDE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0.02</w:t>
            </w:r>
          </w:p>
        </w:tc>
        <w:tc>
          <w:tcPr>
            <w:tcW w:w="362" w:type="pct"/>
            <w:tcBorders>
              <w:top w:val="none" w:sz="0" w:space="0" w:color="auto"/>
              <w:left w:val="none" w:sz="0" w:space="0" w:color="auto"/>
              <w:bottom w:val="none" w:sz="0" w:space="0" w:color="auto"/>
              <w:right w:val="none" w:sz="0" w:space="0" w:color="auto"/>
            </w:tcBorders>
          </w:tcPr>
          <w:p w14:paraId="5F92EBE3" w14:textId="2153F7F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r>
      <w:tr w:rsidR="009F4F24" w14:paraId="3C65E6AB"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5DD7AAF2" w14:textId="30DFD3F7" w:rsidR="009F4F24" w:rsidRDefault="009F4F24" w:rsidP="009F4F24">
            <w:r w:rsidRPr="00BD6082">
              <w:t>2401573</w:t>
            </w:r>
          </w:p>
        </w:tc>
        <w:tc>
          <w:tcPr>
            <w:tcW w:w="327" w:type="pct"/>
            <w:tcBorders>
              <w:top w:val="none" w:sz="0" w:space="0" w:color="auto"/>
              <w:left w:val="none" w:sz="0" w:space="0" w:color="auto"/>
              <w:bottom w:val="none" w:sz="0" w:space="0" w:color="auto"/>
              <w:right w:val="none" w:sz="0" w:space="0" w:color="auto"/>
            </w:tcBorders>
          </w:tcPr>
          <w:p w14:paraId="35C5F2DC" w14:textId="1FCCB3E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0602BFD0" w14:textId="0B1D9A8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Electric</w:t>
            </w:r>
          </w:p>
        </w:tc>
        <w:tc>
          <w:tcPr>
            <w:tcW w:w="381" w:type="pct"/>
            <w:tcBorders>
              <w:top w:val="none" w:sz="0" w:space="0" w:color="auto"/>
              <w:left w:val="none" w:sz="0" w:space="0" w:color="auto"/>
              <w:bottom w:val="none" w:sz="0" w:space="0" w:color="auto"/>
              <w:right w:val="none" w:sz="0" w:space="0" w:color="auto"/>
            </w:tcBorders>
          </w:tcPr>
          <w:p w14:paraId="32853287" w14:textId="09BDF41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6" w:type="pct"/>
            <w:tcBorders>
              <w:top w:val="none" w:sz="0" w:space="0" w:color="auto"/>
              <w:left w:val="none" w:sz="0" w:space="0" w:color="auto"/>
              <w:bottom w:val="none" w:sz="0" w:space="0" w:color="auto"/>
              <w:right w:val="none" w:sz="0" w:space="0" w:color="auto"/>
            </w:tcBorders>
          </w:tcPr>
          <w:p w14:paraId="3AF04613" w14:textId="10BB425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322</w:t>
            </w:r>
          </w:p>
        </w:tc>
        <w:tc>
          <w:tcPr>
            <w:tcW w:w="322" w:type="pct"/>
            <w:tcBorders>
              <w:top w:val="none" w:sz="0" w:space="0" w:color="auto"/>
              <w:left w:val="none" w:sz="0" w:space="0" w:color="auto"/>
              <w:bottom w:val="none" w:sz="0" w:space="0" w:color="auto"/>
              <w:right w:val="none" w:sz="0" w:space="0" w:color="auto"/>
            </w:tcBorders>
          </w:tcPr>
          <w:p w14:paraId="2EBD295C" w14:textId="7AEDA19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0.04</w:t>
            </w:r>
          </w:p>
        </w:tc>
        <w:tc>
          <w:tcPr>
            <w:tcW w:w="363" w:type="pct"/>
            <w:tcBorders>
              <w:top w:val="none" w:sz="0" w:space="0" w:color="auto"/>
              <w:left w:val="none" w:sz="0" w:space="0" w:color="auto"/>
              <w:bottom w:val="none" w:sz="0" w:space="0" w:color="auto"/>
              <w:right w:val="none" w:sz="0" w:space="0" w:color="auto"/>
            </w:tcBorders>
          </w:tcPr>
          <w:p w14:paraId="29E87BD3" w14:textId="095D9D8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56E3197B" w14:textId="569B57D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18%</w:t>
            </w:r>
          </w:p>
        </w:tc>
        <w:tc>
          <w:tcPr>
            <w:tcW w:w="322" w:type="pct"/>
            <w:tcBorders>
              <w:top w:val="none" w:sz="0" w:space="0" w:color="auto"/>
              <w:left w:val="none" w:sz="0" w:space="0" w:color="auto"/>
              <w:bottom w:val="none" w:sz="0" w:space="0" w:color="auto"/>
              <w:right w:val="none" w:sz="0" w:space="0" w:color="auto"/>
            </w:tcBorders>
          </w:tcPr>
          <w:p w14:paraId="615556A1" w14:textId="2086ECF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54" w:type="pct"/>
            <w:tcBorders>
              <w:top w:val="none" w:sz="0" w:space="0" w:color="auto"/>
              <w:left w:val="none" w:sz="0" w:space="0" w:color="auto"/>
              <w:bottom w:val="none" w:sz="0" w:space="0" w:color="auto"/>
              <w:right w:val="none" w:sz="0" w:space="0" w:color="auto"/>
            </w:tcBorders>
          </w:tcPr>
          <w:p w14:paraId="21E93B40" w14:textId="733D893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6" w:type="pct"/>
            <w:tcBorders>
              <w:top w:val="none" w:sz="0" w:space="0" w:color="auto"/>
              <w:left w:val="none" w:sz="0" w:space="0" w:color="auto"/>
              <w:bottom w:val="none" w:sz="0" w:space="0" w:color="auto"/>
              <w:right w:val="none" w:sz="0" w:space="0" w:color="auto"/>
            </w:tcBorders>
          </w:tcPr>
          <w:p w14:paraId="0B92DB26" w14:textId="2D5B6B0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58</w:t>
            </w:r>
          </w:p>
        </w:tc>
        <w:tc>
          <w:tcPr>
            <w:tcW w:w="322" w:type="pct"/>
            <w:tcBorders>
              <w:top w:val="none" w:sz="0" w:space="0" w:color="auto"/>
              <w:left w:val="none" w:sz="0" w:space="0" w:color="auto"/>
              <w:bottom w:val="none" w:sz="0" w:space="0" w:color="auto"/>
              <w:right w:val="none" w:sz="0" w:space="0" w:color="auto"/>
            </w:tcBorders>
          </w:tcPr>
          <w:p w14:paraId="1BEDEC91" w14:textId="2726F31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0.00</w:t>
            </w:r>
          </w:p>
        </w:tc>
        <w:tc>
          <w:tcPr>
            <w:tcW w:w="362" w:type="pct"/>
            <w:tcBorders>
              <w:top w:val="none" w:sz="0" w:space="0" w:color="auto"/>
              <w:left w:val="none" w:sz="0" w:space="0" w:color="auto"/>
              <w:bottom w:val="none" w:sz="0" w:space="0" w:color="auto"/>
              <w:right w:val="none" w:sz="0" w:space="0" w:color="auto"/>
            </w:tcBorders>
          </w:tcPr>
          <w:p w14:paraId="11992D27" w14:textId="1C49A97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r>
      <w:tr w:rsidR="009F4F24" w14:paraId="5862A5F6"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029155AE" w14:textId="1A3563BA" w:rsidR="009F4F24" w:rsidRDefault="009F4F24" w:rsidP="009F4F24">
            <w:r w:rsidRPr="00BD6082">
              <w:t>2400085</w:t>
            </w:r>
          </w:p>
        </w:tc>
        <w:tc>
          <w:tcPr>
            <w:tcW w:w="327" w:type="pct"/>
            <w:tcBorders>
              <w:top w:val="none" w:sz="0" w:space="0" w:color="auto"/>
              <w:left w:val="none" w:sz="0" w:space="0" w:color="auto"/>
              <w:bottom w:val="none" w:sz="0" w:space="0" w:color="auto"/>
              <w:right w:val="none" w:sz="0" w:space="0" w:color="auto"/>
            </w:tcBorders>
          </w:tcPr>
          <w:p w14:paraId="1C90AA76" w14:textId="54673A7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74E837D3" w14:textId="173B5C0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0BB28B06" w14:textId="5B4615C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5B8C11E9" w14:textId="77352CD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27980258" w14:textId="4E05EB7A"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0D9EB6A0" w14:textId="54278A2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771</w:t>
            </w:r>
          </w:p>
        </w:tc>
        <w:tc>
          <w:tcPr>
            <w:tcW w:w="326" w:type="pct"/>
            <w:tcBorders>
              <w:top w:val="none" w:sz="0" w:space="0" w:color="auto"/>
              <w:left w:val="none" w:sz="0" w:space="0" w:color="auto"/>
              <w:bottom w:val="none" w:sz="0" w:space="0" w:color="auto"/>
              <w:right w:val="none" w:sz="0" w:space="0" w:color="auto"/>
            </w:tcBorders>
          </w:tcPr>
          <w:p w14:paraId="1CD0C4A3" w14:textId="4C08618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01450A6" w14:textId="789344F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7666A2F4" w14:textId="44C8F93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186%</w:t>
            </w:r>
          </w:p>
        </w:tc>
        <w:tc>
          <w:tcPr>
            <w:tcW w:w="326" w:type="pct"/>
            <w:tcBorders>
              <w:top w:val="none" w:sz="0" w:space="0" w:color="auto"/>
              <w:left w:val="none" w:sz="0" w:space="0" w:color="auto"/>
              <w:bottom w:val="none" w:sz="0" w:space="0" w:color="auto"/>
              <w:right w:val="none" w:sz="0" w:space="0" w:color="auto"/>
            </w:tcBorders>
          </w:tcPr>
          <w:p w14:paraId="5A8662C0" w14:textId="4DD39CC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7087402E" w14:textId="4A321A9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0FB61C26" w14:textId="7F33EC3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1,437</w:t>
            </w:r>
          </w:p>
        </w:tc>
      </w:tr>
      <w:tr w:rsidR="009F4F24" w14:paraId="701C7837"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42CA552D" w14:textId="08C4F67F" w:rsidR="009F4F24" w:rsidRDefault="009F4F24" w:rsidP="009F4F24">
            <w:r w:rsidRPr="00BD6082">
              <w:t>2300164</w:t>
            </w:r>
          </w:p>
        </w:tc>
        <w:tc>
          <w:tcPr>
            <w:tcW w:w="327" w:type="pct"/>
            <w:tcBorders>
              <w:top w:val="none" w:sz="0" w:space="0" w:color="auto"/>
              <w:left w:val="none" w:sz="0" w:space="0" w:color="auto"/>
              <w:bottom w:val="none" w:sz="0" w:space="0" w:color="auto"/>
              <w:right w:val="none" w:sz="0" w:space="0" w:color="auto"/>
            </w:tcBorders>
          </w:tcPr>
          <w:p w14:paraId="67326BA0" w14:textId="2ABDD3E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1457BAFC" w14:textId="4F76F44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04AD1192" w14:textId="2185F37A"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6" w:type="pct"/>
            <w:tcBorders>
              <w:top w:val="none" w:sz="0" w:space="0" w:color="auto"/>
              <w:left w:val="none" w:sz="0" w:space="0" w:color="auto"/>
              <w:bottom w:val="none" w:sz="0" w:space="0" w:color="auto"/>
              <w:right w:val="none" w:sz="0" w:space="0" w:color="auto"/>
            </w:tcBorders>
          </w:tcPr>
          <w:p w14:paraId="7E87AE1B" w14:textId="0BEBC40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362F381F" w14:textId="6ECCDDF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4C88CFE8" w14:textId="446B61B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40,025</w:t>
            </w:r>
          </w:p>
        </w:tc>
        <w:tc>
          <w:tcPr>
            <w:tcW w:w="326" w:type="pct"/>
            <w:tcBorders>
              <w:top w:val="none" w:sz="0" w:space="0" w:color="auto"/>
              <w:left w:val="none" w:sz="0" w:space="0" w:color="auto"/>
              <w:bottom w:val="none" w:sz="0" w:space="0" w:color="auto"/>
              <w:right w:val="none" w:sz="0" w:space="0" w:color="auto"/>
            </w:tcBorders>
          </w:tcPr>
          <w:p w14:paraId="379CDE89" w14:textId="6D0E86C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811ECC9" w14:textId="6155768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02B5ABA5" w14:textId="26B10B2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0E869D81" w14:textId="05F9415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5D55190F" w14:textId="464C4DC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24AF31F6" w14:textId="78513E8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40,033</w:t>
            </w:r>
          </w:p>
        </w:tc>
      </w:tr>
      <w:tr w:rsidR="009F4F24" w14:paraId="0A08294F"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44CB5409" w14:textId="65F6A01A" w:rsidR="009F4F24" w:rsidRDefault="009F4F24" w:rsidP="009F4F24">
            <w:r w:rsidRPr="00BD6082">
              <w:t>2101290</w:t>
            </w:r>
          </w:p>
        </w:tc>
        <w:tc>
          <w:tcPr>
            <w:tcW w:w="327" w:type="pct"/>
            <w:tcBorders>
              <w:top w:val="none" w:sz="0" w:space="0" w:color="auto"/>
              <w:left w:val="none" w:sz="0" w:space="0" w:color="auto"/>
              <w:bottom w:val="none" w:sz="0" w:space="0" w:color="auto"/>
              <w:right w:val="none" w:sz="0" w:space="0" w:color="auto"/>
            </w:tcBorders>
          </w:tcPr>
          <w:p w14:paraId="51A83FB1" w14:textId="3897B6A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3EA05C8A" w14:textId="2F47119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4763BCBA" w14:textId="547B91E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29A06563" w14:textId="46E27B9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095E50B3" w14:textId="79AD2EE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584C1525" w14:textId="03ECE08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4,111</w:t>
            </w:r>
          </w:p>
        </w:tc>
        <w:tc>
          <w:tcPr>
            <w:tcW w:w="326" w:type="pct"/>
            <w:tcBorders>
              <w:top w:val="none" w:sz="0" w:space="0" w:color="auto"/>
              <w:left w:val="none" w:sz="0" w:space="0" w:color="auto"/>
              <w:bottom w:val="none" w:sz="0" w:space="0" w:color="auto"/>
              <w:right w:val="none" w:sz="0" w:space="0" w:color="auto"/>
            </w:tcBorders>
          </w:tcPr>
          <w:p w14:paraId="68CCB3C4" w14:textId="4956FAA1"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0194836" w14:textId="28D9DFC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79D403A8" w14:textId="496BE29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100%</w:t>
            </w:r>
          </w:p>
        </w:tc>
        <w:tc>
          <w:tcPr>
            <w:tcW w:w="326" w:type="pct"/>
            <w:tcBorders>
              <w:top w:val="none" w:sz="0" w:space="0" w:color="auto"/>
              <w:left w:val="none" w:sz="0" w:space="0" w:color="auto"/>
              <w:bottom w:val="none" w:sz="0" w:space="0" w:color="auto"/>
              <w:right w:val="none" w:sz="0" w:space="0" w:color="auto"/>
            </w:tcBorders>
          </w:tcPr>
          <w:p w14:paraId="289146ED" w14:textId="203C53A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685AB54E" w14:textId="45631B2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559D2E5A" w14:textId="06161C1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4,111</w:t>
            </w:r>
          </w:p>
        </w:tc>
      </w:tr>
      <w:tr w:rsidR="009F4F24" w14:paraId="3B5664E3"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67909CF3" w14:textId="0336B25B" w:rsidR="009F4F24" w:rsidRDefault="009F4F24" w:rsidP="009F4F24">
            <w:r w:rsidRPr="00BD6082">
              <w:lastRenderedPageBreak/>
              <w:t>2000440</w:t>
            </w:r>
          </w:p>
        </w:tc>
        <w:tc>
          <w:tcPr>
            <w:tcW w:w="327" w:type="pct"/>
            <w:tcBorders>
              <w:top w:val="none" w:sz="0" w:space="0" w:color="auto"/>
              <w:left w:val="none" w:sz="0" w:space="0" w:color="auto"/>
              <w:bottom w:val="none" w:sz="0" w:space="0" w:color="auto"/>
              <w:right w:val="none" w:sz="0" w:space="0" w:color="auto"/>
            </w:tcBorders>
          </w:tcPr>
          <w:p w14:paraId="31E206E5" w14:textId="2399D51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472F5941" w14:textId="5F8FA7D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7E7FF930" w14:textId="2526EBE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0E8799D5" w14:textId="316DA27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0325295E" w14:textId="55FF3EE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43B0BC56" w14:textId="3C1DAF5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14,438</w:t>
            </w:r>
          </w:p>
        </w:tc>
        <w:tc>
          <w:tcPr>
            <w:tcW w:w="326" w:type="pct"/>
            <w:tcBorders>
              <w:top w:val="none" w:sz="0" w:space="0" w:color="auto"/>
              <w:left w:val="none" w:sz="0" w:space="0" w:color="auto"/>
              <w:bottom w:val="none" w:sz="0" w:space="0" w:color="auto"/>
              <w:right w:val="none" w:sz="0" w:space="0" w:color="auto"/>
            </w:tcBorders>
          </w:tcPr>
          <w:p w14:paraId="6E360A21" w14:textId="4ADF8A6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2A2F917F" w14:textId="7CCD4DF5"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7DED7233" w14:textId="6B34A73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84%</w:t>
            </w:r>
          </w:p>
        </w:tc>
        <w:tc>
          <w:tcPr>
            <w:tcW w:w="326" w:type="pct"/>
            <w:tcBorders>
              <w:top w:val="none" w:sz="0" w:space="0" w:color="auto"/>
              <w:left w:val="none" w:sz="0" w:space="0" w:color="auto"/>
              <w:bottom w:val="none" w:sz="0" w:space="0" w:color="auto"/>
              <w:right w:val="none" w:sz="0" w:space="0" w:color="auto"/>
            </w:tcBorders>
          </w:tcPr>
          <w:p w14:paraId="19431028" w14:textId="19412FB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3CCF8B4C" w14:textId="74CF8B1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011FC85E" w14:textId="5918D45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12,128</w:t>
            </w:r>
          </w:p>
        </w:tc>
      </w:tr>
      <w:tr w:rsidR="009F4F24" w14:paraId="1085D4E2"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6E805625" w14:textId="61F649E2" w:rsidR="009F4F24" w:rsidRPr="00BD6082" w:rsidRDefault="009F4F24" w:rsidP="009F4F24">
            <w:r w:rsidRPr="00BD6082">
              <w:t>2300834</w:t>
            </w:r>
          </w:p>
        </w:tc>
        <w:tc>
          <w:tcPr>
            <w:tcW w:w="327" w:type="pct"/>
            <w:tcBorders>
              <w:top w:val="none" w:sz="0" w:space="0" w:color="auto"/>
              <w:left w:val="none" w:sz="0" w:space="0" w:color="auto"/>
              <w:bottom w:val="none" w:sz="0" w:space="0" w:color="auto"/>
              <w:right w:val="none" w:sz="0" w:space="0" w:color="auto"/>
            </w:tcBorders>
          </w:tcPr>
          <w:p w14:paraId="4C75BC75" w14:textId="6135B07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5BCBA773" w14:textId="63C0EA5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2EE3C38A" w14:textId="7AEA6B7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72D15A06" w14:textId="59DC5AA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647790AA" w14:textId="758E551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59F5A698" w14:textId="706240F1"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104,703</w:t>
            </w:r>
          </w:p>
        </w:tc>
        <w:tc>
          <w:tcPr>
            <w:tcW w:w="326" w:type="pct"/>
            <w:tcBorders>
              <w:top w:val="none" w:sz="0" w:space="0" w:color="auto"/>
              <w:left w:val="none" w:sz="0" w:space="0" w:color="auto"/>
              <w:bottom w:val="none" w:sz="0" w:space="0" w:color="auto"/>
              <w:right w:val="none" w:sz="0" w:space="0" w:color="auto"/>
            </w:tcBorders>
          </w:tcPr>
          <w:p w14:paraId="4004F115" w14:textId="5DFFC28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8A180A2" w14:textId="37D6448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06D07DB4" w14:textId="3210C611"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76%</w:t>
            </w:r>
          </w:p>
        </w:tc>
        <w:tc>
          <w:tcPr>
            <w:tcW w:w="326" w:type="pct"/>
            <w:tcBorders>
              <w:top w:val="none" w:sz="0" w:space="0" w:color="auto"/>
              <w:left w:val="none" w:sz="0" w:space="0" w:color="auto"/>
              <w:bottom w:val="none" w:sz="0" w:space="0" w:color="auto"/>
              <w:right w:val="none" w:sz="0" w:space="0" w:color="auto"/>
            </w:tcBorders>
          </w:tcPr>
          <w:p w14:paraId="0773145F" w14:textId="2897E54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64E139E8" w14:textId="66449BE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2F77585E" w14:textId="711ED4F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80,037</w:t>
            </w:r>
          </w:p>
        </w:tc>
      </w:tr>
      <w:tr w:rsidR="009F4F24" w14:paraId="692EC3C4"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22CF8954" w14:textId="042DD786" w:rsidR="009F4F24" w:rsidRPr="00BD6082" w:rsidRDefault="009F4F24" w:rsidP="009F4F24">
            <w:r w:rsidRPr="00BD6082">
              <w:t>2400148</w:t>
            </w:r>
          </w:p>
        </w:tc>
        <w:tc>
          <w:tcPr>
            <w:tcW w:w="327" w:type="pct"/>
            <w:tcBorders>
              <w:top w:val="none" w:sz="0" w:space="0" w:color="auto"/>
              <w:left w:val="none" w:sz="0" w:space="0" w:color="auto"/>
              <w:bottom w:val="none" w:sz="0" w:space="0" w:color="auto"/>
              <w:right w:val="none" w:sz="0" w:space="0" w:color="auto"/>
            </w:tcBorders>
          </w:tcPr>
          <w:p w14:paraId="0ED4143D" w14:textId="0E296AA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2</w:t>
            </w:r>
          </w:p>
        </w:tc>
        <w:tc>
          <w:tcPr>
            <w:tcW w:w="323" w:type="pct"/>
            <w:tcBorders>
              <w:top w:val="none" w:sz="0" w:space="0" w:color="auto"/>
              <w:left w:val="none" w:sz="0" w:space="0" w:color="auto"/>
              <w:bottom w:val="none" w:sz="0" w:space="0" w:color="auto"/>
              <w:right w:val="none" w:sz="0" w:space="0" w:color="auto"/>
            </w:tcBorders>
          </w:tcPr>
          <w:p w14:paraId="79192EE4" w14:textId="65EC778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5628CCA6" w14:textId="3BB27C77"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763FE4D4" w14:textId="046260C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0C3A81C5" w14:textId="4D2681B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3B9113A5" w14:textId="594A11E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49,068</w:t>
            </w:r>
          </w:p>
        </w:tc>
        <w:tc>
          <w:tcPr>
            <w:tcW w:w="326" w:type="pct"/>
            <w:tcBorders>
              <w:top w:val="none" w:sz="0" w:space="0" w:color="auto"/>
              <w:left w:val="none" w:sz="0" w:space="0" w:color="auto"/>
              <w:bottom w:val="none" w:sz="0" w:space="0" w:color="auto"/>
              <w:right w:val="none" w:sz="0" w:space="0" w:color="auto"/>
            </w:tcBorders>
          </w:tcPr>
          <w:p w14:paraId="47AB79CE" w14:textId="488B42C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86CBE03" w14:textId="218DCCD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1EC23B54" w14:textId="57F9552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61%</w:t>
            </w:r>
          </w:p>
        </w:tc>
        <w:tc>
          <w:tcPr>
            <w:tcW w:w="326" w:type="pct"/>
            <w:tcBorders>
              <w:top w:val="none" w:sz="0" w:space="0" w:color="auto"/>
              <w:left w:val="none" w:sz="0" w:space="0" w:color="auto"/>
              <w:bottom w:val="none" w:sz="0" w:space="0" w:color="auto"/>
              <w:right w:val="none" w:sz="0" w:space="0" w:color="auto"/>
            </w:tcBorders>
          </w:tcPr>
          <w:p w14:paraId="1C6ACEDF" w14:textId="46DC3FC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488F142F" w14:textId="0A8866E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34061A61" w14:textId="2DE1689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30,010</w:t>
            </w:r>
          </w:p>
        </w:tc>
      </w:tr>
      <w:tr w:rsidR="009F4F24" w14:paraId="06708603"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56F678FD" w14:textId="5DA9983E" w:rsidR="009F4F24" w:rsidRPr="00BD6082" w:rsidRDefault="009F4F24" w:rsidP="009F4F24">
            <w:r w:rsidRPr="00BD6082">
              <w:t>2400800</w:t>
            </w:r>
          </w:p>
        </w:tc>
        <w:tc>
          <w:tcPr>
            <w:tcW w:w="327" w:type="pct"/>
            <w:tcBorders>
              <w:top w:val="none" w:sz="0" w:space="0" w:color="auto"/>
              <w:left w:val="none" w:sz="0" w:space="0" w:color="auto"/>
              <w:bottom w:val="none" w:sz="0" w:space="0" w:color="auto"/>
              <w:right w:val="none" w:sz="0" w:space="0" w:color="auto"/>
            </w:tcBorders>
          </w:tcPr>
          <w:p w14:paraId="488C5322" w14:textId="495DB5D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4A5E154B" w14:textId="2B153C4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1663C533" w14:textId="68B5C3A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0C90FF09" w14:textId="099DCA6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3194B704" w14:textId="0569773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313DD784" w14:textId="3A0FC84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165,248</w:t>
            </w:r>
          </w:p>
        </w:tc>
        <w:tc>
          <w:tcPr>
            <w:tcW w:w="326" w:type="pct"/>
            <w:tcBorders>
              <w:top w:val="none" w:sz="0" w:space="0" w:color="auto"/>
              <w:left w:val="none" w:sz="0" w:space="0" w:color="auto"/>
              <w:bottom w:val="none" w:sz="0" w:space="0" w:color="auto"/>
              <w:right w:val="none" w:sz="0" w:space="0" w:color="auto"/>
            </w:tcBorders>
          </w:tcPr>
          <w:p w14:paraId="2C81AC3C" w14:textId="1344F10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05B94601" w14:textId="56E00318"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2FBF3D6D" w14:textId="6AE3903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55%</w:t>
            </w:r>
          </w:p>
        </w:tc>
        <w:tc>
          <w:tcPr>
            <w:tcW w:w="326" w:type="pct"/>
            <w:tcBorders>
              <w:top w:val="none" w:sz="0" w:space="0" w:color="auto"/>
              <w:left w:val="none" w:sz="0" w:space="0" w:color="auto"/>
              <w:bottom w:val="none" w:sz="0" w:space="0" w:color="auto"/>
              <w:right w:val="none" w:sz="0" w:space="0" w:color="auto"/>
            </w:tcBorders>
          </w:tcPr>
          <w:p w14:paraId="56A446C1" w14:textId="3B754DA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773B30E1" w14:textId="1E31DF3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34CF0E9E" w14:textId="7A4DBE29"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90,570</w:t>
            </w:r>
          </w:p>
        </w:tc>
      </w:tr>
      <w:tr w:rsidR="009F4F24" w14:paraId="24EAEDD6"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3B6BF670" w14:textId="21385FF7" w:rsidR="009F4F24" w:rsidRPr="00BD6082" w:rsidRDefault="009F4F24" w:rsidP="009F4F24">
            <w:r w:rsidRPr="00BD6082">
              <w:t>2301496</w:t>
            </w:r>
          </w:p>
        </w:tc>
        <w:tc>
          <w:tcPr>
            <w:tcW w:w="327" w:type="pct"/>
            <w:tcBorders>
              <w:top w:val="none" w:sz="0" w:space="0" w:color="auto"/>
              <w:left w:val="none" w:sz="0" w:space="0" w:color="auto"/>
              <w:bottom w:val="none" w:sz="0" w:space="0" w:color="auto"/>
              <w:right w:val="none" w:sz="0" w:space="0" w:color="auto"/>
            </w:tcBorders>
          </w:tcPr>
          <w:p w14:paraId="37D9FA88" w14:textId="202004C3"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406D1710" w14:textId="07636291"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341A8A9E" w14:textId="0AC9113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7944A603" w14:textId="0A84492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59A1C064" w14:textId="0FF83252"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2D5EAD8C" w14:textId="3FAF27A4"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3,724</w:t>
            </w:r>
          </w:p>
        </w:tc>
        <w:tc>
          <w:tcPr>
            <w:tcW w:w="326" w:type="pct"/>
            <w:tcBorders>
              <w:top w:val="none" w:sz="0" w:space="0" w:color="auto"/>
              <w:left w:val="none" w:sz="0" w:space="0" w:color="auto"/>
              <w:bottom w:val="none" w:sz="0" w:space="0" w:color="auto"/>
              <w:right w:val="none" w:sz="0" w:space="0" w:color="auto"/>
            </w:tcBorders>
          </w:tcPr>
          <w:p w14:paraId="243498F2" w14:textId="3720D91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0DC4187" w14:textId="0235F180"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6CCA81B3" w14:textId="6A7E654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54%</w:t>
            </w:r>
          </w:p>
        </w:tc>
        <w:tc>
          <w:tcPr>
            <w:tcW w:w="326" w:type="pct"/>
            <w:tcBorders>
              <w:top w:val="none" w:sz="0" w:space="0" w:color="auto"/>
              <w:left w:val="none" w:sz="0" w:space="0" w:color="auto"/>
              <w:bottom w:val="none" w:sz="0" w:space="0" w:color="auto"/>
              <w:right w:val="none" w:sz="0" w:space="0" w:color="auto"/>
            </w:tcBorders>
          </w:tcPr>
          <w:p w14:paraId="2FDEAFEE" w14:textId="13852209"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0D1019B3" w14:textId="75775F8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3DB6B282" w14:textId="7F998B78"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1,995</w:t>
            </w:r>
          </w:p>
        </w:tc>
      </w:tr>
      <w:tr w:rsidR="009F4F24" w14:paraId="6F56E0A9"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550A72C9" w14:textId="02998C3B" w:rsidR="009F4F24" w:rsidRPr="00BD6082" w:rsidRDefault="009F4F24" w:rsidP="009F4F24">
            <w:r w:rsidRPr="00BD6082">
              <w:t>2400146</w:t>
            </w:r>
          </w:p>
        </w:tc>
        <w:tc>
          <w:tcPr>
            <w:tcW w:w="327" w:type="pct"/>
            <w:tcBorders>
              <w:top w:val="none" w:sz="0" w:space="0" w:color="auto"/>
              <w:left w:val="none" w:sz="0" w:space="0" w:color="auto"/>
              <w:bottom w:val="none" w:sz="0" w:space="0" w:color="auto"/>
              <w:right w:val="none" w:sz="0" w:space="0" w:color="auto"/>
            </w:tcBorders>
          </w:tcPr>
          <w:p w14:paraId="0CE25A9F" w14:textId="5EA66231"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62BB31D1" w14:textId="3011CB44"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427317A3" w14:textId="35AFC4E6"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w:t>
            </w:r>
          </w:p>
        </w:tc>
        <w:tc>
          <w:tcPr>
            <w:tcW w:w="326" w:type="pct"/>
            <w:tcBorders>
              <w:top w:val="none" w:sz="0" w:space="0" w:color="auto"/>
              <w:left w:val="none" w:sz="0" w:space="0" w:color="auto"/>
              <w:bottom w:val="none" w:sz="0" w:space="0" w:color="auto"/>
              <w:right w:val="none" w:sz="0" w:space="0" w:color="auto"/>
            </w:tcBorders>
          </w:tcPr>
          <w:p w14:paraId="545E9397" w14:textId="3D908CB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4B50FDB8" w14:textId="6D73A6B7"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7D224AF7" w14:textId="08CFB0F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399,763</w:t>
            </w:r>
          </w:p>
        </w:tc>
        <w:tc>
          <w:tcPr>
            <w:tcW w:w="326" w:type="pct"/>
            <w:tcBorders>
              <w:top w:val="none" w:sz="0" w:space="0" w:color="auto"/>
              <w:left w:val="none" w:sz="0" w:space="0" w:color="auto"/>
              <w:bottom w:val="none" w:sz="0" w:space="0" w:color="auto"/>
              <w:right w:val="none" w:sz="0" w:space="0" w:color="auto"/>
            </w:tcBorders>
          </w:tcPr>
          <w:p w14:paraId="27A2DEBE" w14:textId="0E016F2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2E47DFFD" w14:textId="6812FC4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1668B2E5" w14:textId="3B64C4A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35%</w:t>
            </w:r>
          </w:p>
        </w:tc>
        <w:tc>
          <w:tcPr>
            <w:tcW w:w="326" w:type="pct"/>
            <w:tcBorders>
              <w:top w:val="none" w:sz="0" w:space="0" w:color="auto"/>
              <w:left w:val="none" w:sz="0" w:space="0" w:color="auto"/>
              <w:bottom w:val="none" w:sz="0" w:space="0" w:color="auto"/>
              <w:right w:val="none" w:sz="0" w:space="0" w:color="auto"/>
            </w:tcBorders>
          </w:tcPr>
          <w:p w14:paraId="49A3C7B1" w14:textId="4088867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2B30BC9A" w14:textId="509C21AE"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07C0179F" w14:textId="10C4F9D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140,632</w:t>
            </w:r>
          </w:p>
        </w:tc>
      </w:tr>
      <w:tr w:rsidR="009F4F24" w14:paraId="4B336264"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Pr>
          <w:p w14:paraId="7FE6FAE1" w14:textId="0DC8C448" w:rsidR="009F4F24" w:rsidRPr="00BD6082" w:rsidRDefault="009F4F24" w:rsidP="009F4F24">
            <w:r w:rsidRPr="00BD6082">
              <w:t>2400071</w:t>
            </w:r>
          </w:p>
        </w:tc>
        <w:tc>
          <w:tcPr>
            <w:tcW w:w="327" w:type="pct"/>
          </w:tcPr>
          <w:p w14:paraId="5B338D9C" w14:textId="6A1EB022"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Pr>
          <w:p w14:paraId="63CC8DE2" w14:textId="3657E81C"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Pr>
          <w:p w14:paraId="396C0CBD" w14:textId="65705941"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6" w:type="pct"/>
          </w:tcPr>
          <w:p w14:paraId="01318F3F" w14:textId="221CFFB6"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Pr>
          <w:p w14:paraId="65511C88" w14:textId="4D8AAE93"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Pr>
          <w:p w14:paraId="73C07388" w14:textId="5C5825DA"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79,413</w:t>
            </w:r>
          </w:p>
        </w:tc>
        <w:tc>
          <w:tcPr>
            <w:tcW w:w="326" w:type="pct"/>
          </w:tcPr>
          <w:p w14:paraId="391D23D0" w14:textId="3CB0FDFA"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Pr>
          <w:p w14:paraId="2DF3C2B2" w14:textId="6D0C3B3B"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Pr>
          <w:p w14:paraId="7B810239" w14:textId="758D1DF6"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t>29</w:t>
            </w:r>
            <w:r w:rsidRPr="003E45AB">
              <w:t>%</w:t>
            </w:r>
          </w:p>
        </w:tc>
        <w:tc>
          <w:tcPr>
            <w:tcW w:w="326" w:type="pct"/>
          </w:tcPr>
          <w:p w14:paraId="1F3F4390" w14:textId="58DD4758"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Pr>
          <w:p w14:paraId="590FB2B8" w14:textId="3C06D808"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Pr>
          <w:p w14:paraId="4A481AA7" w14:textId="5C01BDC1" w:rsidR="009F4F24" w:rsidRPr="003E45AB" w:rsidRDefault="009F4F24" w:rsidP="009F4F24">
            <w:pPr>
              <w:jc w:val="center"/>
              <w:cnfStyle w:val="000000100000" w:firstRow="0" w:lastRow="0" w:firstColumn="0" w:lastColumn="0" w:oddVBand="0" w:evenVBand="0" w:oddHBand="1" w:evenHBand="0" w:firstRowFirstColumn="0" w:firstRowLastColumn="0" w:lastRowFirstColumn="0" w:lastRowLastColumn="0"/>
            </w:pPr>
            <w:r>
              <w:t>22,784</w:t>
            </w:r>
          </w:p>
        </w:tc>
      </w:tr>
      <w:tr w:rsidR="009F4F24" w14:paraId="3347BEAA" w14:textId="77777777" w:rsidTr="0079670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6E549A35" w14:textId="52D0FAF5" w:rsidR="009F4F24" w:rsidRPr="00BD6082" w:rsidRDefault="009F4F24" w:rsidP="009F4F24">
            <w:r w:rsidRPr="00BD6082">
              <w:t>2300101</w:t>
            </w:r>
          </w:p>
        </w:tc>
        <w:tc>
          <w:tcPr>
            <w:tcW w:w="327" w:type="pct"/>
            <w:tcBorders>
              <w:top w:val="none" w:sz="0" w:space="0" w:color="auto"/>
              <w:left w:val="none" w:sz="0" w:space="0" w:color="auto"/>
              <w:bottom w:val="none" w:sz="0" w:space="0" w:color="auto"/>
              <w:right w:val="none" w:sz="0" w:space="0" w:color="auto"/>
            </w:tcBorders>
          </w:tcPr>
          <w:p w14:paraId="3EACC9FB" w14:textId="33217330"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3" w:type="pct"/>
            <w:tcBorders>
              <w:top w:val="none" w:sz="0" w:space="0" w:color="auto"/>
              <w:left w:val="none" w:sz="0" w:space="0" w:color="auto"/>
              <w:bottom w:val="none" w:sz="0" w:space="0" w:color="auto"/>
              <w:right w:val="none" w:sz="0" w:space="0" w:color="auto"/>
            </w:tcBorders>
          </w:tcPr>
          <w:p w14:paraId="05CD7D3A" w14:textId="254CC4C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3749C1C8" w14:textId="0D2656BF"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239BF9D6" w14:textId="22C3EE2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31CC5AF6" w14:textId="51936D5C"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07CA6F81" w14:textId="1FD7488D"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21,773</w:t>
            </w:r>
          </w:p>
        </w:tc>
        <w:tc>
          <w:tcPr>
            <w:tcW w:w="326" w:type="pct"/>
            <w:tcBorders>
              <w:top w:val="none" w:sz="0" w:space="0" w:color="auto"/>
              <w:left w:val="none" w:sz="0" w:space="0" w:color="auto"/>
              <w:bottom w:val="none" w:sz="0" w:space="0" w:color="auto"/>
              <w:right w:val="none" w:sz="0" w:space="0" w:color="auto"/>
            </w:tcBorders>
          </w:tcPr>
          <w:p w14:paraId="7C245D0F" w14:textId="23D7F4A2"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1A13074E" w14:textId="2ED0C1C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670C02BE" w14:textId="19A67105"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24%</w:t>
            </w:r>
          </w:p>
        </w:tc>
        <w:tc>
          <w:tcPr>
            <w:tcW w:w="326" w:type="pct"/>
            <w:tcBorders>
              <w:top w:val="none" w:sz="0" w:space="0" w:color="auto"/>
              <w:left w:val="none" w:sz="0" w:space="0" w:color="auto"/>
              <w:bottom w:val="none" w:sz="0" w:space="0" w:color="auto"/>
              <w:right w:val="none" w:sz="0" w:space="0" w:color="auto"/>
            </w:tcBorders>
          </w:tcPr>
          <w:p w14:paraId="52D210D5" w14:textId="6FB24B1B"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5FDCA51A" w14:textId="25F8310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2EB6BB9A" w14:textId="3D7D10A3" w:rsidR="009F4F24" w:rsidRDefault="009F4F24" w:rsidP="009F4F24">
            <w:pPr>
              <w:jc w:val="center"/>
              <w:cnfStyle w:val="000000010000" w:firstRow="0" w:lastRow="0" w:firstColumn="0" w:lastColumn="0" w:oddVBand="0" w:evenVBand="0" w:oddHBand="0" w:evenHBand="1" w:firstRowFirstColumn="0" w:firstRowLastColumn="0" w:lastRowFirstColumn="0" w:lastRowLastColumn="0"/>
            </w:pPr>
            <w:r w:rsidRPr="003E45AB">
              <w:t>5,288</w:t>
            </w:r>
          </w:p>
        </w:tc>
      </w:tr>
      <w:tr w:rsidR="009F4F24" w14:paraId="31FB0204" w14:textId="77777777" w:rsidTr="007967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6" w:type="pct"/>
            <w:tcBorders>
              <w:top w:val="none" w:sz="0" w:space="0" w:color="auto"/>
              <w:left w:val="none" w:sz="0" w:space="0" w:color="auto"/>
              <w:bottom w:val="none" w:sz="0" w:space="0" w:color="auto"/>
              <w:right w:val="none" w:sz="0" w:space="0" w:color="auto"/>
            </w:tcBorders>
          </w:tcPr>
          <w:p w14:paraId="3F48430F" w14:textId="1CAC05FC" w:rsidR="009F4F24" w:rsidRPr="00BD6082" w:rsidRDefault="009F4F24" w:rsidP="009F4F24">
            <w:r w:rsidRPr="00BD6082">
              <w:t>2400065</w:t>
            </w:r>
          </w:p>
        </w:tc>
        <w:tc>
          <w:tcPr>
            <w:tcW w:w="327" w:type="pct"/>
            <w:tcBorders>
              <w:top w:val="none" w:sz="0" w:space="0" w:color="auto"/>
              <w:left w:val="none" w:sz="0" w:space="0" w:color="auto"/>
              <w:bottom w:val="none" w:sz="0" w:space="0" w:color="auto"/>
              <w:right w:val="none" w:sz="0" w:space="0" w:color="auto"/>
            </w:tcBorders>
          </w:tcPr>
          <w:p w14:paraId="524163A0" w14:textId="12DA9D4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3</w:t>
            </w:r>
          </w:p>
        </w:tc>
        <w:tc>
          <w:tcPr>
            <w:tcW w:w="323" w:type="pct"/>
            <w:tcBorders>
              <w:top w:val="none" w:sz="0" w:space="0" w:color="auto"/>
              <w:left w:val="none" w:sz="0" w:space="0" w:color="auto"/>
              <w:bottom w:val="none" w:sz="0" w:space="0" w:color="auto"/>
              <w:right w:val="none" w:sz="0" w:space="0" w:color="auto"/>
            </w:tcBorders>
          </w:tcPr>
          <w:p w14:paraId="3197CE69" w14:textId="67D16A7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Gas</w:t>
            </w:r>
          </w:p>
        </w:tc>
        <w:tc>
          <w:tcPr>
            <w:tcW w:w="381" w:type="pct"/>
            <w:tcBorders>
              <w:top w:val="none" w:sz="0" w:space="0" w:color="auto"/>
              <w:left w:val="none" w:sz="0" w:space="0" w:color="auto"/>
              <w:bottom w:val="none" w:sz="0" w:space="0" w:color="auto"/>
              <w:right w:val="none" w:sz="0" w:space="0" w:color="auto"/>
            </w:tcBorders>
          </w:tcPr>
          <w:p w14:paraId="27D67175" w14:textId="67EF1D3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1</w:t>
            </w:r>
          </w:p>
        </w:tc>
        <w:tc>
          <w:tcPr>
            <w:tcW w:w="326" w:type="pct"/>
            <w:tcBorders>
              <w:top w:val="none" w:sz="0" w:space="0" w:color="auto"/>
              <w:left w:val="none" w:sz="0" w:space="0" w:color="auto"/>
              <w:bottom w:val="none" w:sz="0" w:space="0" w:color="auto"/>
              <w:right w:val="none" w:sz="0" w:space="0" w:color="auto"/>
            </w:tcBorders>
          </w:tcPr>
          <w:p w14:paraId="68CB4AC7" w14:textId="210712CE"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5A0093C0" w14:textId="27692A8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3" w:type="pct"/>
            <w:tcBorders>
              <w:top w:val="none" w:sz="0" w:space="0" w:color="auto"/>
              <w:left w:val="none" w:sz="0" w:space="0" w:color="auto"/>
              <w:bottom w:val="none" w:sz="0" w:space="0" w:color="auto"/>
              <w:right w:val="none" w:sz="0" w:space="0" w:color="auto"/>
            </w:tcBorders>
          </w:tcPr>
          <w:p w14:paraId="63311652" w14:textId="0892222B"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9,524</w:t>
            </w:r>
          </w:p>
        </w:tc>
        <w:tc>
          <w:tcPr>
            <w:tcW w:w="326" w:type="pct"/>
            <w:tcBorders>
              <w:top w:val="none" w:sz="0" w:space="0" w:color="auto"/>
              <w:left w:val="none" w:sz="0" w:space="0" w:color="auto"/>
              <w:bottom w:val="none" w:sz="0" w:space="0" w:color="auto"/>
              <w:right w:val="none" w:sz="0" w:space="0" w:color="auto"/>
            </w:tcBorders>
          </w:tcPr>
          <w:p w14:paraId="6D32455E" w14:textId="214A871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3C9C1179" w14:textId="432E2326"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54" w:type="pct"/>
            <w:tcBorders>
              <w:top w:val="none" w:sz="0" w:space="0" w:color="auto"/>
              <w:left w:val="none" w:sz="0" w:space="0" w:color="auto"/>
              <w:bottom w:val="none" w:sz="0" w:space="0" w:color="auto"/>
              <w:right w:val="none" w:sz="0" w:space="0" w:color="auto"/>
            </w:tcBorders>
          </w:tcPr>
          <w:p w14:paraId="4A571F34" w14:textId="5C074ACF"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w:t>
            </w:r>
          </w:p>
        </w:tc>
        <w:tc>
          <w:tcPr>
            <w:tcW w:w="326" w:type="pct"/>
            <w:tcBorders>
              <w:top w:val="none" w:sz="0" w:space="0" w:color="auto"/>
              <w:left w:val="none" w:sz="0" w:space="0" w:color="auto"/>
              <w:bottom w:val="none" w:sz="0" w:space="0" w:color="auto"/>
              <w:right w:val="none" w:sz="0" w:space="0" w:color="auto"/>
            </w:tcBorders>
          </w:tcPr>
          <w:p w14:paraId="0B54FC57" w14:textId="01F4212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22" w:type="pct"/>
            <w:tcBorders>
              <w:top w:val="none" w:sz="0" w:space="0" w:color="auto"/>
              <w:left w:val="none" w:sz="0" w:space="0" w:color="auto"/>
              <w:bottom w:val="none" w:sz="0" w:space="0" w:color="auto"/>
              <w:right w:val="none" w:sz="0" w:space="0" w:color="auto"/>
            </w:tcBorders>
          </w:tcPr>
          <w:p w14:paraId="56613F0A" w14:textId="0DA9544D"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w:t>
            </w:r>
          </w:p>
        </w:tc>
        <w:tc>
          <w:tcPr>
            <w:tcW w:w="362" w:type="pct"/>
            <w:tcBorders>
              <w:top w:val="none" w:sz="0" w:space="0" w:color="auto"/>
              <w:left w:val="none" w:sz="0" w:space="0" w:color="auto"/>
              <w:bottom w:val="none" w:sz="0" w:space="0" w:color="auto"/>
              <w:right w:val="none" w:sz="0" w:space="0" w:color="auto"/>
            </w:tcBorders>
          </w:tcPr>
          <w:p w14:paraId="6BBC4DA1" w14:textId="3413D41C" w:rsidR="009F4F24" w:rsidRDefault="009F4F24" w:rsidP="009F4F24">
            <w:pPr>
              <w:jc w:val="center"/>
              <w:cnfStyle w:val="000000100000" w:firstRow="0" w:lastRow="0" w:firstColumn="0" w:lastColumn="0" w:oddVBand="0" w:evenVBand="0" w:oddHBand="1" w:evenHBand="0" w:firstRowFirstColumn="0" w:firstRowLastColumn="0" w:lastRowFirstColumn="0" w:lastRowLastColumn="0"/>
            </w:pPr>
            <w:r w:rsidRPr="003E45AB">
              <w:t>0</w:t>
            </w:r>
          </w:p>
        </w:tc>
      </w:tr>
    </w:tbl>
    <w:p w14:paraId="5C97D519" w14:textId="4FB63795" w:rsidR="00D615CF" w:rsidRDefault="00D615CF" w:rsidP="00D615CF">
      <w:pPr>
        <w:pStyle w:val="TableFootnote"/>
      </w:pPr>
      <w:r w:rsidRPr="00D615CF">
        <w:t xml:space="preserve">Note: The customers that completed projects </w:t>
      </w:r>
      <w:r w:rsidR="00045E88" w:rsidRPr="00045E88">
        <w:t>2301683</w:t>
      </w:r>
      <w:r w:rsidR="00045E88">
        <w:t xml:space="preserve">, </w:t>
      </w:r>
      <w:r w:rsidR="00045E88" w:rsidRPr="00045E88">
        <w:t>2400131</w:t>
      </w:r>
      <w:r w:rsidR="00045E88">
        <w:t xml:space="preserve">, </w:t>
      </w:r>
      <w:r w:rsidRPr="00D615CF">
        <w:t xml:space="preserve">and </w:t>
      </w:r>
      <w:r w:rsidR="00045E88" w:rsidRPr="00045E88">
        <w:t>2200065</w:t>
      </w:r>
      <w:r w:rsidR="00045E88">
        <w:t xml:space="preserve"> </w:t>
      </w:r>
      <w:r w:rsidRPr="00D615CF">
        <w:t xml:space="preserve">are not AIC gas customers. Therefore, these savings are not directly claimable by AIC towards its </w:t>
      </w:r>
      <w:r w:rsidR="004E329F">
        <w:t xml:space="preserve">Section </w:t>
      </w:r>
      <w:r w:rsidRPr="00D615CF">
        <w:t xml:space="preserve">8-104 gas energy efficiency goals. However, we present the savings in this table because these gas savings did inform the ratio estimator used to develop Initiative-level savings. Additionally, AIC chose to claim the gas savings achieved through these projects </w:t>
      </w:r>
      <w:r w:rsidR="004E329F">
        <w:t>as</w:t>
      </w:r>
      <w:r w:rsidR="004E329F" w:rsidRPr="00D615CF">
        <w:t xml:space="preserve"> </w:t>
      </w:r>
      <w:r w:rsidRPr="00D615CF">
        <w:t xml:space="preserve">electric savings </w:t>
      </w:r>
      <w:r w:rsidR="004E329F">
        <w:t>via</w:t>
      </w:r>
      <w:r w:rsidR="004E329F" w:rsidRPr="00D615CF">
        <w:t xml:space="preserve"> </w:t>
      </w:r>
      <w:r w:rsidRPr="00D615CF">
        <w:t xml:space="preserve">(b-25) conversions. More information on these savings can be found in </w:t>
      </w:r>
      <w:r w:rsidR="00634424">
        <w:fldChar w:fldCharType="begin"/>
      </w:r>
      <w:r w:rsidR="00634424">
        <w:instrText xml:space="preserve"> REF _Ref187069776 \n \h </w:instrText>
      </w:r>
      <w:r w:rsidR="00634424">
        <w:fldChar w:fldCharType="separate"/>
      </w:r>
      <w:r w:rsidR="00AA10F4">
        <w:t>Appendix B</w:t>
      </w:r>
      <w:r w:rsidR="00634424">
        <w:fldChar w:fldCharType="end"/>
      </w:r>
      <w:r w:rsidRPr="00D615CF">
        <w:t>.</w:t>
      </w:r>
    </w:p>
    <w:p w14:paraId="1CEB6D97" w14:textId="57FDEAB9" w:rsidR="007B5307" w:rsidRDefault="007B5307" w:rsidP="0044357B">
      <w:pPr>
        <w:spacing w:before="240"/>
      </w:pPr>
      <w:r w:rsidRPr="007B5307">
        <w:t xml:space="preserve">As part of our Wave 3 sampling activities, Leidos identified </w:t>
      </w:r>
      <w:r>
        <w:t>four</w:t>
      </w:r>
      <w:r w:rsidRPr="007B5307">
        <w:t xml:space="preserve"> </w:t>
      </w:r>
      <w:r w:rsidR="004E329F">
        <w:t>fuel-switching</w:t>
      </w:r>
      <w:r w:rsidRPr="007B5307">
        <w:t xml:space="preserve"> projects in the population of completed projects. We separated these projects into their own sample due to their unique characteristics and completed reviews of </w:t>
      </w:r>
      <w:r>
        <w:t>each</w:t>
      </w:r>
      <w:r w:rsidRPr="007B5307">
        <w:t xml:space="preserve"> project.</w:t>
      </w:r>
      <w:r w:rsidR="00E05628">
        <w:t xml:space="preserve"> </w:t>
      </w:r>
      <w:r w:rsidR="00BD6082">
        <w:fldChar w:fldCharType="begin"/>
      </w:r>
      <w:r w:rsidR="00BD6082">
        <w:instrText xml:space="preserve"> REF _Ref191992503 \h </w:instrText>
      </w:r>
      <w:r w:rsidR="00BD6082">
        <w:fldChar w:fldCharType="separate"/>
      </w:r>
      <w:r w:rsidR="00AA10F4">
        <w:t xml:space="preserve">Table </w:t>
      </w:r>
      <w:r w:rsidR="00AA10F4">
        <w:rPr>
          <w:noProof/>
        </w:rPr>
        <w:t>29</w:t>
      </w:r>
      <w:r w:rsidR="00BD6082">
        <w:fldChar w:fldCharType="end"/>
      </w:r>
      <w:r w:rsidRPr="007B5307">
        <w:t xml:space="preserve"> presents the results of our gross savings analysis for these projects. Per </w:t>
      </w:r>
      <w:r w:rsidR="004E329F">
        <w:t>the guidance in IL-TRM V12.0, the evaluation team determined the verified savings for these fuel-switching</w:t>
      </w:r>
      <w:r w:rsidRPr="007B5307">
        <w:t xml:space="preserve"> projects by estimating the change in site MMBtus (million British thermal units [Btus]) produced through the projects. As such, we present a single MMBtu realization rate for these projects </w:t>
      </w:r>
      <w:r w:rsidR="004E329F">
        <w:t>instead of</w:t>
      </w:r>
      <w:r w:rsidRPr="007B5307">
        <w:t xml:space="preserve"> specific electric energy and gas realization rates. We then allocated the MMBtu savings for each project across electric energy and gas savings </w:t>
      </w:r>
      <w:r w:rsidR="004E329F">
        <w:t>to count</w:t>
      </w:r>
      <w:r w:rsidRPr="007B5307">
        <w:t xml:space="preserve"> savings towards goal attainment in line with IL-TRM guidance</w:t>
      </w:r>
      <w:r>
        <w:t>.</w:t>
      </w:r>
    </w:p>
    <w:p w14:paraId="19E44285" w14:textId="4EA40DC0" w:rsidR="007B5307" w:rsidRDefault="007B5307" w:rsidP="00881B1B">
      <w:pPr>
        <w:pStyle w:val="Caption"/>
      </w:pPr>
      <w:bookmarkStart w:id="135" w:name="_Ref191992503"/>
      <w:bookmarkStart w:id="136" w:name="_Toc191992550"/>
      <w:bookmarkStart w:id="137" w:name="_Toc192766963"/>
      <w:r>
        <w:t xml:space="preserve">Table </w:t>
      </w:r>
      <w:r>
        <w:fldChar w:fldCharType="begin"/>
      </w:r>
      <w:r>
        <w:instrText xml:space="preserve"> SEQ Table \* ARABIC </w:instrText>
      </w:r>
      <w:r>
        <w:fldChar w:fldCharType="separate"/>
      </w:r>
      <w:r w:rsidR="00AA10F4">
        <w:rPr>
          <w:noProof/>
        </w:rPr>
        <w:t>29</w:t>
      </w:r>
      <w:r>
        <w:rPr>
          <w:noProof/>
        </w:rPr>
        <w:fldChar w:fldCharType="end"/>
      </w:r>
      <w:bookmarkEnd w:id="135"/>
      <w:r>
        <w:t xml:space="preserve">. </w:t>
      </w:r>
      <w:r w:rsidRPr="007B5307">
        <w:t>202</w:t>
      </w:r>
      <w:r>
        <w:t>4</w:t>
      </w:r>
      <w:r w:rsidRPr="007B5307">
        <w:t xml:space="preserve"> Custom Incentives Channel Gross Impact Results for Sampled Fuel Switching Projects</w:t>
      </w:r>
      <w:bookmarkEnd w:id="136"/>
      <w:bookmarkEnd w:id="137"/>
    </w:p>
    <w:tbl>
      <w:tblPr>
        <w:tblStyle w:val="ODCBasic-1"/>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336"/>
        <w:gridCol w:w="1372"/>
        <w:gridCol w:w="1372"/>
        <w:gridCol w:w="1372"/>
        <w:gridCol w:w="1376"/>
        <w:gridCol w:w="1373"/>
        <w:gridCol w:w="1373"/>
        <w:gridCol w:w="1373"/>
        <w:gridCol w:w="1373"/>
        <w:gridCol w:w="1376"/>
      </w:tblGrid>
      <w:tr w:rsidR="00BD6082" w14:paraId="2550D3D5" w14:textId="77777777" w:rsidTr="008A60F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795" w:type="pct"/>
            <w:vMerge w:val="restart"/>
            <w:tcBorders>
              <w:top w:val="none" w:sz="0" w:space="0" w:color="auto"/>
              <w:left w:val="none" w:sz="0" w:space="0" w:color="auto"/>
              <w:bottom w:val="none" w:sz="0" w:space="0" w:color="auto"/>
              <w:right w:val="none" w:sz="0" w:space="0" w:color="auto"/>
            </w:tcBorders>
          </w:tcPr>
          <w:p w14:paraId="64D8ADA0" w14:textId="702EFDF2" w:rsidR="00BD6082" w:rsidRPr="00625570" w:rsidRDefault="00BD6082" w:rsidP="001A2AF7">
            <w:pPr>
              <w:pStyle w:val="TableHeadingLeft"/>
            </w:pPr>
            <w:r>
              <w:t>Project ID</w:t>
            </w:r>
          </w:p>
        </w:tc>
        <w:tc>
          <w:tcPr>
            <w:tcW w:w="1869" w:type="pct"/>
            <w:gridSpan w:val="4"/>
            <w:tcBorders>
              <w:bottom w:val="none" w:sz="0" w:space="0" w:color="auto"/>
            </w:tcBorders>
          </w:tcPr>
          <w:p w14:paraId="27D7303D" w14:textId="74E6400C" w:rsidR="00BD6082" w:rsidRPr="00625570" w:rsidRDefault="00BD6082" w:rsidP="001A2AF7">
            <w:pPr>
              <w:pStyle w:val="TableHeadingCentered"/>
              <w:cnfStyle w:val="100000000000" w:firstRow="1" w:lastRow="0" w:firstColumn="0" w:lastColumn="0" w:oddVBand="0" w:evenVBand="0" w:oddHBand="0" w:evenHBand="0" w:firstRowFirstColumn="0" w:firstRowLastColumn="0" w:lastRowFirstColumn="0" w:lastRowLastColumn="0"/>
            </w:pPr>
            <w:r>
              <w:t>Ex Ante Gross Savings</w:t>
            </w:r>
          </w:p>
        </w:tc>
        <w:tc>
          <w:tcPr>
            <w:tcW w:w="467" w:type="pct"/>
            <w:vMerge w:val="restart"/>
            <w:tcBorders>
              <w:bottom w:val="none" w:sz="0" w:space="0" w:color="auto"/>
            </w:tcBorders>
          </w:tcPr>
          <w:p w14:paraId="05626ED4" w14:textId="590ADA28" w:rsidR="00BD6082" w:rsidRPr="00625570" w:rsidRDefault="00BD6082" w:rsidP="001A2AF7">
            <w:pPr>
              <w:pStyle w:val="TableHeadingCentered"/>
              <w:cnfStyle w:val="100000000000" w:firstRow="1" w:lastRow="0" w:firstColumn="0" w:lastColumn="0" w:oddVBand="0" w:evenVBand="0" w:oddHBand="0" w:evenHBand="0" w:firstRowFirstColumn="0" w:firstRowLastColumn="0" w:lastRowFirstColumn="0" w:lastRowLastColumn="0"/>
            </w:pPr>
            <w:r>
              <w:t>MMBtu Realization Rate</w:t>
            </w:r>
          </w:p>
        </w:tc>
        <w:tc>
          <w:tcPr>
            <w:tcW w:w="1870" w:type="pct"/>
            <w:gridSpan w:val="4"/>
            <w:tcBorders>
              <w:bottom w:val="none" w:sz="0" w:space="0" w:color="auto"/>
            </w:tcBorders>
          </w:tcPr>
          <w:p w14:paraId="2C426640" w14:textId="14387046" w:rsidR="00BD6082" w:rsidRPr="00625570" w:rsidRDefault="00BD6082" w:rsidP="001A2AF7">
            <w:pPr>
              <w:pStyle w:val="TableHeadingCentered"/>
              <w:cnfStyle w:val="100000000000" w:firstRow="1" w:lastRow="0" w:firstColumn="0" w:lastColumn="0" w:oddVBand="0" w:evenVBand="0" w:oddHBand="0" w:evenHBand="0" w:firstRowFirstColumn="0" w:firstRowLastColumn="0" w:lastRowFirstColumn="0" w:lastRowLastColumn="0"/>
            </w:pPr>
            <w:r>
              <w:t>Verified Gross Savings</w:t>
            </w:r>
          </w:p>
        </w:tc>
      </w:tr>
      <w:tr w:rsidR="00BD6082" w14:paraId="3E123857" w14:textId="77777777" w:rsidTr="008A60F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95" w:type="pct"/>
            <w:vMerge/>
            <w:tcBorders>
              <w:top w:val="none" w:sz="0" w:space="0" w:color="auto"/>
              <w:left w:val="none" w:sz="0" w:space="0" w:color="auto"/>
              <w:bottom w:val="none" w:sz="0" w:space="0" w:color="auto"/>
              <w:right w:val="none" w:sz="0" w:space="0" w:color="auto"/>
            </w:tcBorders>
            <w:shd w:val="clear" w:color="auto" w:fill="053572" w:themeFill="text2"/>
          </w:tcPr>
          <w:p w14:paraId="28DB5DC2" w14:textId="55D11B48" w:rsidR="00BD6082" w:rsidRPr="00625570" w:rsidRDefault="00BD6082" w:rsidP="007B5307">
            <w:pPr>
              <w:pStyle w:val="TableHeadingLeft"/>
              <w:contextualSpacing/>
            </w:pP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02A8AAFB" w14:textId="00742E05"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MWh</w:t>
            </w: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180700DD" w14:textId="5EA2F1CB"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MW</w:t>
            </w: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7B40934D" w14:textId="7AB7A994"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Therms</w:t>
            </w:r>
          </w:p>
        </w:tc>
        <w:tc>
          <w:tcPr>
            <w:tcW w:w="468" w:type="pct"/>
            <w:tcBorders>
              <w:top w:val="none" w:sz="0" w:space="0" w:color="auto"/>
              <w:left w:val="none" w:sz="0" w:space="0" w:color="auto"/>
              <w:bottom w:val="none" w:sz="0" w:space="0" w:color="auto"/>
              <w:right w:val="none" w:sz="0" w:space="0" w:color="auto"/>
            </w:tcBorders>
            <w:shd w:val="clear" w:color="auto" w:fill="053572" w:themeFill="text2"/>
          </w:tcPr>
          <w:p w14:paraId="1BB407F2" w14:textId="178851D1"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MMBtu</w:t>
            </w:r>
          </w:p>
        </w:tc>
        <w:tc>
          <w:tcPr>
            <w:tcW w:w="467" w:type="pct"/>
            <w:vMerge/>
            <w:tcBorders>
              <w:top w:val="none" w:sz="0" w:space="0" w:color="auto"/>
              <w:left w:val="none" w:sz="0" w:space="0" w:color="auto"/>
              <w:bottom w:val="none" w:sz="0" w:space="0" w:color="auto"/>
              <w:right w:val="none" w:sz="0" w:space="0" w:color="auto"/>
            </w:tcBorders>
            <w:shd w:val="clear" w:color="auto" w:fill="053572" w:themeFill="text2"/>
          </w:tcPr>
          <w:p w14:paraId="64A1A18F" w14:textId="77777777"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584CC62B" w14:textId="47B2A45A"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MWh</w:t>
            </w: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5A1C99E1" w14:textId="6790D2A5"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MW</w:t>
            </w:r>
          </w:p>
        </w:tc>
        <w:tc>
          <w:tcPr>
            <w:tcW w:w="467" w:type="pct"/>
            <w:tcBorders>
              <w:top w:val="none" w:sz="0" w:space="0" w:color="auto"/>
              <w:left w:val="none" w:sz="0" w:space="0" w:color="auto"/>
              <w:bottom w:val="none" w:sz="0" w:space="0" w:color="auto"/>
              <w:right w:val="none" w:sz="0" w:space="0" w:color="auto"/>
            </w:tcBorders>
            <w:shd w:val="clear" w:color="auto" w:fill="053572" w:themeFill="text2"/>
          </w:tcPr>
          <w:p w14:paraId="440B4D76" w14:textId="70802D0C"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Therms</w:t>
            </w:r>
          </w:p>
        </w:tc>
        <w:tc>
          <w:tcPr>
            <w:tcW w:w="468" w:type="pct"/>
            <w:tcBorders>
              <w:top w:val="none" w:sz="0" w:space="0" w:color="auto"/>
              <w:left w:val="none" w:sz="0" w:space="0" w:color="auto"/>
              <w:bottom w:val="none" w:sz="0" w:space="0" w:color="auto"/>
              <w:right w:val="none" w:sz="0" w:space="0" w:color="auto"/>
            </w:tcBorders>
            <w:shd w:val="clear" w:color="auto" w:fill="053572" w:themeFill="text2"/>
          </w:tcPr>
          <w:p w14:paraId="27BFE935" w14:textId="66AD27B2" w:rsidR="00BD6082" w:rsidRPr="007B5307" w:rsidRDefault="00BD6082" w:rsidP="007B5307">
            <w:pPr>
              <w:pStyle w:val="TableHeadingCentered"/>
              <w:contextualSpacing/>
              <w:cnfStyle w:val="000000100000" w:firstRow="0" w:lastRow="0" w:firstColumn="0" w:lastColumn="0" w:oddVBand="0" w:evenVBand="0" w:oddHBand="1" w:evenHBand="0" w:firstRowFirstColumn="0" w:firstRowLastColumn="0" w:lastRowFirstColumn="0" w:lastRowLastColumn="0"/>
              <w:rPr>
                <w:iCs/>
              </w:rPr>
            </w:pPr>
            <w:r>
              <w:rPr>
                <w:iCs/>
              </w:rPr>
              <w:t>MMBtu</w:t>
            </w:r>
          </w:p>
        </w:tc>
      </w:tr>
      <w:tr w:rsidR="000D2C7B" w14:paraId="49D26E51" w14:textId="77777777" w:rsidTr="008A60F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95" w:type="pct"/>
            <w:tcBorders>
              <w:top w:val="none" w:sz="0" w:space="0" w:color="auto"/>
              <w:left w:val="none" w:sz="0" w:space="0" w:color="auto"/>
              <w:bottom w:val="none" w:sz="0" w:space="0" w:color="auto"/>
              <w:right w:val="none" w:sz="0" w:space="0" w:color="auto"/>
            </w:tcBorders>
          </w:tcPr>
          <w:p w14:paraId="5ECE08E0" w14:textId="4F5E11B1" w:rsidR="000D2C7B" w:rsidRPr="00625570" w:rsidRDefault="000D2C7B" w:rsidP="000D2C7B">
            <w:pPr>
              <w:pStyle w:val="TableLeftText"/>
            </w:pPr>
            <w:r w:rsidRPr="00BD6082">
              <w:t>2300481</w:t>
            </w:r>
          </w:p>
        </w:tc>
        <w:tc>
          <w:tcPr>
            <w:tcW w:w="467" w:type="pct"/>
            <w:tcBorders>
              <w:top w:val="none" w:sz="0" w:space="0" w:color="auto"/>
              <w:left w:val="none" w:sz="0" w:space="0" w:color="auto"/>
              <w:bottom w:val="none" w:sz="0" w:space="0" w:color="auto"/>
              <w:right w:val="none" w:sz="0" w:space="0" w:color="auto"/>
            </w:tcBorders>
          </w:tcPr>
          <w:p w14:paraId="21375A1C" w14:textId="38D78978"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3E45AB">
              <w:t>26</w:t>
            </w:r>
          </w:p>
        </w:tc>
        <w:tc>
          <w:tcPr>
            <w:tcW w:w="467" w:type="pct"/>
            <w:tcBorders>
              <w:top w:val="none" w:sz="0" w:space="0" w:color="auto"/>
              <w:left w:val="none" w:sz="0" w:space="0" w:color="auto"/>
              <w:bottom w:val="none" w:sz="0" w:space="0" w:color="auto"/>
              <w:right w:val="none" w:sz="0" w:space="0" w:color="auto"/>
            </w:tcBorders>
          </w:tcPr>
          <w:p w14:paraId="0148321C" w14:textId="3FC18CB9"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3E45AB">
              <w:t>0.02</w:t>
            </w:r>
          </w:p>
        </w:tc>
        <w:tc>
          <w:tcPr>
            <w:tcW w:w="467" w:type="pct"/>
            <w:tcBorders>
              <w:top w:val="none" w:sz="0" w:space="0" w:color="auto"/>
              <w:left w:val="none" w:sz="0" w:space="0" w:color="auto"/>
              <w:bottom w:val="none" w:sz="0" w:space="0" w:color="auto"/>
              <w:right w:val="none" w:sz="0" w:space="0" w:color="auto"/>
            </w:tcBorders>
          </w:tcPr>
          <w:p w14:paraId="65E9C79A" w14:textId="7F405DA9"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3E45AB">
              <w:t>0</w:t>
            </w:r>
          </w:p>
        </w:tc>
        <w:tc>
          <w:tcPr>
            <w:tcW w:w="468" w:type="pct"/>
            <w:tcBorders>
              <w:top w:val="none" w:sz="0" w:space="0" w:color="auto"/>
              <w:left w:val="none" w:sz="0" w:space="0" w:color="auto"/>
              <w:bottom w:val="none" w:sz="0" w:space="0" w:color="auto"/>
              <w:right w:val="none" w:sz="0" w:space="0" w:color="auto"/>
            </w:tcBorders>
          </w:tcPr>
          <w:p w14:paraId="6388AAC1" w14:textId="7C867CC2"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0D2C7B">
              <w:t>88</w:t>
            </w:r>
          </w:p>
        </w:tc>
        <w:tc>
          <w:tcPr>
            <w:tcW w:w="467" w:type="pct"/>
            <w:tcBorders>
              <w:top w:val="none" w:sz="0" w:space="0" w:color="auto"/>
              <w:left w:val="none" w:sz="0" w:space="0" w:color="auto"/>
              <w:bottom w:val="none" w:sz="0" w:space="0" w:color="auto"/>
              <w:right w:val="none" w:sz="0" w:space="0" w:color="auto"/>
            </w:tcBorders>
          </w:tcPr>
          <w:p w14:paraId="0D0B8C00" w14:textId="46835146"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0D2C7B">
              <w:t>587%</w:t>
            </w:r>
          </w:p>
        </w:tc>
        <w:tc>
          <w:tcPr>
            <w:tcW w:w="467" w:type="pct"/>
            <w:tcBorders>
              <w:top w:val="none" w:sz="0" w:space="0" w:color="auto"/>
              <w:left w:val="none" w:sz="0" w:space="0" w:color="auto"/>
              <w:bottom w:val="none" w:sz="0" w:space="0" w:color="auto"/>
              <w:right w:val="none" w:sz="0" w:space="0" w:color="auto"/>
            </w:tcBorders>
          </w:tcPr>
          <w:p w14:paraId="6424E1AB" w14:textId="1753132D"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0D2C7B">
              <w:t>151</w:t>
            </w:r>
          </w:p>
        </w:tc>
        <w:tc>
          <w:tcPr>
            <w:tcW w:w="467" w:type="pct"/>
            <w:tcBorders>
              <w:top w:val="none" w:sz="0" w:space="0" w:color="auto"/>
              <w:left w:val="none" w:sz="0" w:space="0" w:color="auto"/>
              <w:bottom w:val="none" w:sz="0" w:space="0" w:color="auto"/>
              <w:right w:val="none" w:sz="0" w:space="0" w:color="auto"/>
            </w:tcBorders>
          </w:tcPr>
          <w:p w14:paraId="60CAD3B7" w14:textId="405FC90C" w:rsidR="000D2C7B" w:rsidRPr="000B7901" w:rsidRDefault="001C57A9" w:rsidP="000D2C7B">
            <w:pPr>
              <w:pStyle w:val="TableCenterText"/>
              <w:cnfStyle w:val="000000010000" w:firstRow="0" w:lastRow="0" w:firstColumn="0" w:lastColumn="0" w:oddVBand="0" w:evenVBand="0" w:oddHBand="0" w:evenHBand="1" w:firstRowFirstColumn="0" w:firstRowLastColumn="0" w:lastRowFirstColumn="0" w:lastRowLastColumn="0"/>
            </w:pPr>
            <w:r>
              <w:t>&lt;</w:t>
            </w:r>
            <w:r w:rsidR="000D2C7B" w:rsidRPr="000D2C7B">
              <w:t>0.0</w:t>
            </w:r>
            <w:r>
              <w:t>1</w:t>
            </w:r>
          </w:p>
        </w:tc>
        <w:tc>
          <w:tcPr>
            <w:tcW w:w="467" w:type="pct"/>
            <w:tcBorders>
              <w:top w:val="none" w:sz="0" w:space="0" w:color="auto"/>
              <w:left w:val="none" w:sz="0" w:space="0" w:color="auto"/>
              <w:bottom w:val="none" w:sz="0" w:space="0" w:color="auto"/>
              <w:right w:val="none" w:sz="0" w:space="0" w:color="auto"/>
            </w:tcBorders>
          </w:tcPr>
          <w:p w14:paraId="61053C77" w14:textId="7D74366A"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0D2C7B">
              <w:t>0</w:t>
            </w:r>
          </w:p>
        </w:tc>
        <w:tc>
          <w:tcPr>
            <w:tcW w:w="468" w:type="pct"/>
            <w:tcBorders>
              <w:top w:val="none" w:sz="0" w:space="0" w:color="auto"/>
              <w:left w:val="none" w:sz="0" w:space="0" w:color="auto"/>
              <w:bottom w:val="none" w:sz="0" w:space="0" w:color="auto"/>
              <w:right w:val="none" w:sz="0" w:space="0" w:color="auto"/>
            </w:tcBorders>
          </w:tcPr>
          <w:p w14:paraId="0F06A655" w14:textId="69C12F42" w:rsidR="000D2C7B" w:rsidRPr="000B7901" w:rsidRDefault="000D2C7B" w:rsidP="000D2C7B">
            <w:pPr>
              <w:pStyle w:val="TableCenterText"/>
              <w:cnfStyle w:val="000000010000" w:firstRow="0" w:lastRow="0" w:firstColumn="0" w:lastColumn="0" w:oddVBand="0" w:evenVBand="0" w:oddHBand="0" w:evenHBand="1" w:firstRowFirstColumn="0" w:firstRowLastColumn="0" w:lastRowFirstColumn="0" w:lastRowLastColumn="0"/>
            </w:pPr>
            <w:r w:rsidRPr="000D2C7B">
              <w:t>515</w:t>
            </w:r>
          </w:p>
        </w:tc>
      </w:tr>
      <w:tr w:rsidR="000D2C7B" w14:paraId="121F7040" w14:textId="77777777" w:rsidTr="008A60F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95" w:type="pct"/>
            <w:tcBorders>
              <w:top w:val="none" w:sz="0" w:space="0" w:color="auto"/>
              <w:left w:val="none" w:sz="0" w:space="0" w:color="auto"/>
              <w:bottom w:val="none" w:sz="0" w:space="0" w:color="auto"/>
              <w:right w:val="none" w:sz="0" w:space="0" w:color="auto"/>
            </w:tcBorders>
          </w:tcPr>
          <w:p w14:paraId="28DEE6D4" w14:textId="2E6735C1" w:rsidR="000D2C7B" w:rsidRPr="00625570" w:rsidRDefault="000D2C7B" w:rsidP="000D2C7B">
            <w:pPr>
              <w:pStyle w:val="TableLeftText"/>
            </w:pPr>
            <w:r w:rsidRPr="00BD6082">
              <w:t>2301666</w:t>
            </w:r>
          </w:p>
        </w:tc>
        <w:tc>
          <w:tcPr>
            <w:tcW w:w="467" w:type="pct"/>
            <w:tcBorders>
              <w:top w:val="none" w:sz="0" w:space="0" w:color="auto"/>
              <w:left w:val="none" w:sz="0" w:space="0" w:color="auto"/>
              <w:bottom w:val="none" w:sz="0" w:space="0" w:color="auto"/>
              <w:right w:val="none" w:sz="0" w:space="0" w:color="auto"/>
            </w:tcBorders>
          </w:tcPr>
          <w:p w14:paraId="0A4A1ED9" w14:textId="5673D202"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3E45AB">
              <w:t>20</w:t>
            </w:r>
          </w:p>
        </w:tc>
        <w:tc>
          <w:tcPr>
            <w:tcW w:w="467" w:type="pct"/>
            <w:tcBorders>
              <w:top w:val="none" w:sz="0" w:space="0" w:color="auto"/>
              <w:left w:val="none" w:sz="0" w:space="0" w:color="auto"/>
              <w:bottom w:val="none" w:sz="0" w:space="0" w:color="auto"/>
              <w:right w:val="none" w:sz="0" w:space="0" w:color="auto"/>
            </w:tcBorders>
          </w:tcPr>
          <w:p w14:paraId="0DC95187" w14:textId="344C79A2"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3E45AB">
              <w:t>0.01</w:t>
            </w:r>
          </w:p>
        </w:tc>
        <w:tc>
          <w:tcPr>
            <w:tcW w:w="467" w:type="pct"/>
            <w:tcBorders>
              <w:top w:val="none" w:sz="0" w:space="0" w:color="auto"/>
              <w:left w:val="none" w:sz="0" w:space="0" w:color="auto"/>
              <w:bottom w:val="none" w:sz="0" w:space="0" w:color="auto"/>
              <w:right w:val="none" w:sz="0" w:space="0" w:color="auto"/>
            </w:tcBorders>
          </w:tcPr>
          <w:p w14:paraId="67420A9D" w14:textId="74E30CB2"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3E45AB">
              <w:t>1,474</w:t>
            </w:r>
          </w:p>
        </w:tc>
        <w:tc>
          <w:tcPr>
            <w:tcW w:w="468" w:type="pct"/>
            <w:tcBorders>
              <w:top w:val="none" w:sz="0" w:space="0" w:color="auto"/>
              <w:left w:val="none" w:sz="0" w:space="0" w:color="auto"/>
              <w:bottom w:val="none" w:sz="0" w:space="0" w:color="auto"/>
              <w:right w:val="none" w:sz="0" w:space="0" w:color="auto"/>
            </w:tcBorders>
          </w:tcPr>
          <w:p w14:paraId="588E176A" w14:textId="4E6D1F94"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0D2C7B">
              <w:t>215</w:t>
            </w:r>
          </w:p>
        </w:tc>
        <w:tc>
          <w:tcPr>
            <w:tcW w:w="467" w:type="pct"/>
            <w:tcBorders>
              <w:top w:val="none" w:sz="0" w:space="0" w:color="auto"/>
              <w:left w:val="none" w:sz="0" w:space="0" w:color="auto"/>
              <w:bottom w:val="none" w:sz="0" w:space="0" w:color="auto"/>
              <w:right w:val="none" w:sz="0" w:space="0" w:color="auto"/>
            </w:tcBorders>
          </w:tcPr>
          <w:p w14:paraId="5E251A44" w14:textId="138D48CA"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0D2C7B">
              <w:t>2</w:t>
            </w:r>
            <w:r w:rsidR="001C57A9">
              <w:t>2</w:t>
            </w:r>
            <w:r w:rsidRPr="000D2C7B">
              <w:t>3%</w:t>
            </w:r>
          </w:p>
        </w:tc>
        <w:tc>
          <w:tcPr>
            <w:tcW w:w="467" w:type="pct"/>
            <w:tcBorders>
              <w:top w:val="none" w:sz="0" w:space="0" w:color="auto"/>
              <w:left w:val="none" w:sz="0" w:space="0" w:color="auto"/>
              <w:bottom w:val="none" w:sz="0" w:space="0" w:color="auto"/>
              <w:right w:val="none" w:sz="0" w:space="0" w:color="auto"/>
            </w:tcBorders>
          </w:tcPr>
          <w:p w14:paraId="6BA00598" w14:textId="2371F8AB" w:rsidR="000D2C7B" w:rsidRPr="000B7901" w:rsidRDefault="000D2C7B" w:rsidP="000D2C7B">
            <w:pPr>
              <w:pStyle w:val="TableCenterText"/>
              <w:cnfStyle w:val="000000100000" w:firstRow="0" w:lastRow="0" w:firstColumn="0" w:lastColumn="0" w:oddVBand="0" w:evenVBand="0" w:oddHBand="1" w:evenHBand="0" w:firstRowFirstColumn="0" w:firstRowLastColumn="0" w:lastRowFirstColumn="0" w:lastRowLastColumn="0"/>
            </w:pPr>
            <w:r w:rsidRPr="000D2C7B">
              <w:t>4</w:t>
            </w:r>
            <w:r w:rsidR="001C57A9">
              <w:t>4</w:t>
            </w:r>
          </w:p>
        </w:tc>
        <w:tc>
          <w:tcPr>
            <w:tcW w:w="467" w:type="pct"/>
            <w:tcBorders>
              <w:top w:val="none" w:sz="0" w:space="0" w:color="auto"/>
              <w:left w:val="none" w:sz="0" w:space="0" w:color="auto"/>
              <w:bottom w:val="none" w:sz="0" w:space="0" w:color="auto"/>
              <w:right w:val="none" w:sz="0" w:space="0" w:color="auto"/>
            </w:tcBorders>
          </w:tcPr>
          <w:p w14:paraId="2204BC56" w14:textId="47C60955" w:rsidR="000D2C7B" w:rsidRPr="000B7901" w:rsidRDefault="001C57A9" w:rsidP="000D2C7B">
            <w:pPr>
              <w:pStyle w:val="TableCenterText"/>
              <w:cnfStyle w:val="000000100000" w:firstRow="0" w:lastRow="0" w:firstColumn="0" w:lastColumn="0" w:oddVBand="0" w:evenVBand="0" w:oddHBand="1" w:evenHBand="0" w:firstRowFirstColumn="0" w:firstRowLastColumn="0" w:lastRowFirstColumn="0" w:lastRowLastColumn="0"/>
            </w:pPr>
            <w:r>
              <w:t>&lt;</w:t>
            </w:r>
            <w:r w:rsidR="000D2C7B" w:rsidRPr="000D2C7B">
              <w:t>0.0</w:t>
            </w:r>
            <w:r>
              <w:t>1</w:t>
            </w:r>
          </w:p>
        </w:tc>
        <w:tc>
          <w:tcPr>
            <w:tcW w:w="467" w:type="pct"/>
            <w:tcBorders>
              <w:top w:val="none" w:sz="0" w:space="0" w:color="auto"/>
              <w:left w:val="none" w:sz="0" w:space="0" w:color="auto"/>
              <w:bottom w:val="none" w:sz="0" w:space="0" w:color="auto"/>
              <w:right w:val="none" w:sz="0" w:space="0" w:color="auto"/>
            </w:tcBorders>
          </w:tcPr>
          <w:p w14:paraId="53676E5D" w14:textId="77FF19D9" w:rsidR="000D2C7B" w:rsidRPr="000B7901" w:rsidRDefault="001C57A9" w:rsidP="000D2C7B">
            <w:pPr>
              <w:pStyle w:val="TableCenterText"/>
              <w:cnfStyle w:val="000000100000" w:firstRow="0" w:lastRow="0" w:firstColumn="0" w:lastColumn="0" w:oddVBand="0" w:evenVBand="0" w:oddHBand="1" w:evenHBand="0" w:firstRowFirstColumn="0" w:firstRowLastColumn="0" w:lastRowFirstColumn="0" w:lastRowLastColumn="0"/>
            </w:pPr>
            <w:r>
              <w:t>3,287</w:t>
            </w:r>
          </w:p>
        </w:tc>
        <w:tc>
          <w:tcPr>
            <w:tcW w:w="468" w:type="pct"/>
            <w:tcBorders>
              <w:top w:val="none" w:sz="0" w:space="0" w:color="auto"/>
              <w:left w:val="none" w:sz="0" w:space="0" w:color="auto"/>
              <w:bottom w:val="none" w:sz="0" w:space="0" w:color="auto"/>
              <w:right w:val="none" w:sz="0" w:space="0" w:color="auto"/>
            </w:tcBorders>
          </w:tcPr>
          <w:p w14:paraId="506D9DF6" w14:textId="401EA9B2" w:rsidR="000D2C7B" w:rsidRPr="000B7901" w:rsidRDefault="001C57A9" w:rsidP="000D2C7B">
            <w:pPr>
              <w:pStyle w:val="TableCenterText"/>
              <w:cnfStyle w:val="000000100000" w:firstRow="0" w:lastRow="0" w:firstColumn="0" w:lastColumn="0" w:oddVBand="0" w:evenVBand="0" w:oddHBand="1" w:evenHBand="0" w:firstRowFirstColumn="0" w:firstRowLastColumn="0" w:lastRowFirstColumn="0" w:lastRowLastColumn="0"/>
            </w:pPr>
            <w:r>
              <w:t>480</w:t>
            </w:r>
          </w:p>
        </w:tc>
      </w:tr>
      <w:tr w:rsidR="001C57A9" w14:paraId="3C03E0E4" w14:textId="77777777" w:rsidTr="008A60F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95" w:type="pct"/>
          </w:tcPr>
          <w:p w14:paraId="154F4383" w14:textId="6792649F" w:rsidR="001C57A9" w:rsidRPr="00BD6082" w:rsidRDefault="001C57A9" w:rsidP="001C57A9">
            <w:pPr>
              <w:pStyle w:val="TableLeftText"/>
            </w:pPr>
            <w:r w:rsidRPr="00BD6082">
              <w:t>2300012</w:t>
            </w:r>
          </w:p>
        </w:tc>
        <w:tc>
          <w:tcPr>
            <w:tcW w:w="467" w:type="pct"/>
          </w:tcPr>
          <w:p w14:paraId="1CDDBB6E" w14:textId="762B141B" w:rsidR="001C57A9" w:rsidRPr="003E45A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3E45AB">
              <w:t>9,667</w:t>
            </w:r>
          </w:p>
        </w:tc>
        <w:tc>
          <w:tcPr>
            <w:tcW w:w="467" w:type="pct"/>
          </w:tcPr>
          <w:p w14:paraId="016C1F57" w14:textId="6DAF42AC" w:rsidR="001C57A9" w:rsidRPr="003E45A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3E45AB">
              <w:t>0.00</w:t>
            </w:r>
          </w:p>
        </w:tc>
        <w:tc>
          <w:tcPr>
            <w:tcW w:w="467" w:type="pct"/>
          </w:tcPr>
          <w:p w14:paraId="2BFAFECF" w14:textId="779DABDB" w:rsidR="001C57A9" w:rsidRPr="003E45A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3E45AB">
              <w:t>0</w:t>
            </w:r>
          </w:p>
        </w:tc>
        <w:tc>
          <w:tcPr>
            <w:tcW w:w="468" w:type="pct"/>
          </w:tcPr>
          <w:p w14:paraId="570E1980" w14:textId="76D6D5A2"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32,983</w:t>
            </w:r>
          </w:p>
        </w:tc>
        <w:tc>
          <w:tcPr>
            <w:tcW w:w="467" w:type="pct"/>
          </w:tcPr>
          <w:p w14:paraId="52F521B9" w14:textId="2ACEA967"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112%</w:t>
            </w:r>
          </w:p>
        </w:tc>
        <w:tc>
          <w:tcPr>
            <w:tcW w:w="467" w:type="pct"/>
          </w:tcPr>
          <w:p w14:paraId="211B8CAD" w14:textId="5545B081"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10,825</w:t>
            </w:r>
          </w:p>
        </w:tc>
        <w:tc>
          <w:tcPr>
            <w:tcW w:w="467" w:type="pct"/>
          </w:tcPr>
          <w:p w14:paraId="38F093DA" w14:textId="6D9127C4"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-0.29</w:t>
            </w:r>
          </w:p>
        </w:tc>
        <w:tc>
          <w:tcPr>
            <w:tcW w:w="467" w:type="pct"/>
          </w:tcPr>
          <w:p w14:paraId="0064E538" w14:textId="74AF8169"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0</w:t>
            </w:r>
          </w:p>
        </w:tc>
        <w:tc>
          <w:tcPr>
            <w:tcW w:w="468" w:type="pct"/>
          </w:tcPr>
          <w:p w14:paraId="39BA52B6" w14:textId="0C04990D" w:rsidR="001C57A9" w:rsidRPr="000D2C7B" w:rsidRDefault="001C57A9" w:rsidP="001C57A9">
            <w:pPr>
              <w:pStyle w:val="TableCenterText"/>
              <w:cnfStyle w:val="000000010000" w:firstRow="0" w:lastRow="0" w:firstColumn="0" w:lastColumn="0" w:oddVBand="0" w:evenVBand="0" w:oddHBand="0" w:evenHBand="1" w:firstRowFirstColumn="0" w:firstRowLastColumn="0" w:lastRowFirstColumn="0" w:lastRowLastColumn="0"/>
            </w:pPr>
            <w:r w:rsidRPr="000D2C7B">
              <w:t>36,936</w:t>
            </w:r>
          </w:p>
        </w:tc>
      </w:tr>
      <w:tr w:rsidR="001C57A9" w14:paraId="23ADE895" w14:textId="77777777" w:rsidTr="008A60F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795" w:type="pct"/>
            <w:tcBorders>
              <w:top w:val="none" w:sz="0" w:space="0" w:color="auto"/>
              <w:left w:val="none" w:sz="0" w:space="0" w:color="auto"/>
              <w:bottom w:val="none" w:sz="0" w:space="0" w:color="auto"/>
              <w:right w:val="none" w:sz="0" w:space="0" w:color="auto"/>
            </w:tcBorders>
          </w:tcPr>
          <w:p w14:paraId="5B21FCBF" w14:textId="29501478" w:rsidR="001C57A9" w:rsidRPr="00625570" w:rsidRDefault="001C57A9" w:rsidP="001C57A9">
            <w:pPr>
              <w:pStyle w:val="TableLeftText"/>
            </w:pPr>
            <w:r w:rsidRPr="00BD6082">
              <w:t>2400008</w:t>
            </w:r>
          </w:p>
        </w:tc>
        <w:tc>
          <w:tcPr>
            <w:tcW w:w="467" w:type="pct"/>
            <w:tcBorders>
              <w:top w:val="none" w:sz="0" w:space="0" w:color="auto"/>
              <w:left w:val="none" w:sz="0" w:space="0" w:color="auto"/>
              <w:bottom w:val="none" w:sz="0" w:space="0" w:color="auto"/>
              <w:right w:val="none" w:sz="0" w:space="0" w:color="auto"/>
            </w:tcBorders>
          </w:tcPr>
          <w:p w14:paraId="41EA1FC0" w14:textId="4F021367"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3E45AB">
              <w:t>498</w:t>
            </w:r>
          </w:p>
        </w:tc>
        <w:tc>
          <w:tcPr>
            <w:tcW w:w="467" w:type="pct"/>
            <w:tcBorders>
              <w:top w:val="none" w:sz="0" w:space="0" w:color="auto"/>
              <w:left w:val="none" w:sz="0" w:space="0" w:color="auto"/>
              <w:bottom w:val="none" w:sz="0" w:space="0" w:color="auto"/>
              <w:right w:val="none" w:sz="0" w:space="0" w:color="auto"/>
            </w:tcBorders>
          </w:tcPr>
          <w:p w14:paraId="3A99A263" w14:textId="03A50ABD"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t>&lt;</w:t>
            </w:r>
            <w:r w:rsidRPr="003E45AB">
              <w:t>0.0</w:t>
            </w:r>
            <w:r>
              <w:t>1</w:t>
            </w:r>
          </w:p>
        </w:tc>
        <w:tc>
          <w:tcPr>
            <w:tcW w:w="467" w:type="pct"/>
            <w:tcBorders>
              <w:top w:val="none" w:sz="0" w:space="0" w:color="auto"/>
              <w:left w:val="none" w:sz="0" w:space="0" w:color="auto"/>
              <w:bottom w:val="none" w:sz="0" w:space="0" w:color="auto"/>
              <w:right w:val="none" w:sz="0" w:space="0" w:color="auto"/>
            </w:tcBorders>
          </w:tcPr>
          <w:p w14:paraId="2A53C0DB" w14:textId="67D4E360"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3E45AB">
              <w:t>16,117</w:t>
            </w:r>
          </w:p>
        </w:tc>
        <w:tc>
          <w:tcPr>
            <w:tcW w:w="468" w:type="pct"/>
            <w:tcBorders>
              <w:top w:val="none" w:sz="0" w:space="0" w:color="auto"/>
              <w:left w:val="none" w:sz="0" w:space="0" w:color="auto"/>
              <w:bottom w:val="none" w:sz="0" w:space="0" w:color="auto"/>
              <w:right w:val="none" w:sz="0" w:space="0" w:color="auto"/>
            </w:tcBorders>
          </w:tcPr>
          <w:p w14:paraId="4DD0E5F6" w14:textId="4B614968"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0D2C7B">
              <w:t>3,310</w:t>
            </w:r>
          </w:p>
        </w:tc>
        <w:tc>
          <w:tcPr>
            <w:tcW w:w="467" w:type="pct"/>
            <w:tcBorders>
              <w:top w:val="none" w:sz="0" w:space="0" w:color="auto"/>
              <w:left w:val="none" w:sz="0" w:space="0" w:color="auto"/>
              <w:bottom w:val="none" w:sz="0" w:space="0" w:color="auto"/>
              <w:right w:val="none" w:sz="0" w:space="0" w:color="auto"/>
            </w:tcBorders>
          </w:tcPr>
          <w:p w14:paraId="6212E6B5" w14:textId="27B6E480"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0D2C7B">
              <w:t>83%</w:t>
            </w:r>
          </w:p>
        </w:tc>
        <w:tc>
          <w:tcPr>
            <w:tcW w:w="467" w:type="pct"/>
            <w:tcBorders>
              <w:top w:val="none" w:sz="0" w:space="0" w:color="auto"/>
              <w:left w:val="none" w:sz="0" w:space="0" w:color="auto"/>
              <w:bottom w:val="none" w:sz="0" w:space="0" w:color="auto"/>
              <w:right w:val="none" w:sz="0" w:space="0" w:color="auto"/>
            </w:tcBorders>
          </w:tcPr>
          <w:p w14:paraId="2188EC32" w14:textId="258E5079"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0D2C7B">
              <w:t>412</w:t>
            </w:r>
          </w:p>
        </w:tc>
        <w:tc>
          <w:tcPr>
            <w:tcW w:w="467" w:type="pct"/>
            <w:tcBorders>
              <w:top w:val="none" w:sz="0" w:space="0" w:color="auto"/>
              <w:left w:val="none" w:sz="0" w:space="0" w:color="auto"/>
              <w:bottom w:val="none" w:sz="0" w:space="0" w:color="auto"/>
              <w:right w:val="none" w:sz="0" w:space="0" w:color="auto"/>
            </w:tcBorders>
          </w:tcPr>
          <w:p w14:paraId="3A57E634" w14:textId="1AF5B652"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t>&lt;</w:t>
            </w:r>
            <w:r w:rsidRPr="000D2C7B">
              <w:t>0.0</w:t>
            </w:r>
            <w:r>
              <w:t>1</w:t>
            </w:r>
          </w:p>
        </w:tc>
        <w:tc>
          <w:tcPr>
            <w:tcW w:w="467" w:type="pct"/>
            <w:tcBorders>
              <w:top w:val="none" w:sz="0" w:space="0" w:color="auto"/>
              <w:left w:val="none" w:sz="0" w:space="0" w:color="auto"/>
              <w:bottom w:val="none" w:sz="0" w:space="0" w:color="auto"/>
              <w:right w:val="none" w:sz="0" w:space="0" w:color="auto"/>
            </w:tcBorders>
          </w:tcPr>
          <w:p w14:paraId="569480A5" w14:textId="54431861"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0D2C7B">
              <w:t>13,330</w:t>
            </w:r>
          </w:p>
        </w:tc>
        <w:tc>
          <w:tcPr>
            <w:tcW w:w="468" w:type="pct"/>
            <w:tcBorders>
              <w:top w:val="none" w:sz="0" w:space="0" w:color="auto"/>
              <w:left w:val="none" w:sz="0" w:space="0" w:color="auto"/>
              <w:bottom w:val="none" w:sz="0" w:space="0" w:color="auto"/>
              <w:right w:val="none" w:sz="0" w:space="0" w:color="auto"/>
            </w:tcBorders>
          </w:tcPr>
          <w:p w14:paraId="0A298D84" w14:textId="0F72AA59" w:rsidR="001C57A9" w:rsidRPr="000B7901" w:rsidRDefault="001C57A9" w:rsidP="001C57A9">
            <w:pPr>
              <w:pStyle w:val="TableCenterText"/>
              <w:cnfStyle w:val="000000100000" w:firstRow="0" w:lastRow="0" w:firstColumn="0" w:lastColumn="0" w:oddVBand="0" w:evenVBand="0" w:oddHBand="1" w:evenHBand="0" w:firstRowFirstColumn="0" w:firstRowLastColumn="0" w:lastRowFirstColumn="0" w:lastRowLastColumn="0"/>
            </w:pPr>
            <w:r w:rsidRPr="000D2C7B">
              <w:t>2,737</w:t>
            </w:r>
          </w:p>
        </w:tc>
      </w:tr>
    </w:tbl>
    <w:p w14:paraId="76802B7C" w14:textId="5DC07759" w:rsidR="00B27F2D" w:rsidRDefault="00B27F2D" w:rsidP="007640C5">
      <w:pPr>
        <w:spacing w:before="240"/>
        <w:sectPr w:rsidR="00B27F2D" w:rsidSect="00B27F2D">
          <w:pgSz w:w="15840" w:h="12240" w:orient="landscape" w:code="1"/>
          <w:pgMar w:top="567" w:right="567" w:bottom="567" w:left="567" w:header="567" w:footer="340" w:gutter="0"/>
          <w:cols w:space="708"/>
          <w:docGrid w:linePitch="360"/>
        </w:sectPr>
      </w:pPr>
    </w:p>
    <w:p w14:paraId="205240F9" w14:textId="2F9DE6D8" w:rsidR="00D615CF" w:rsidRDefault="009D7F6A" w:rsidP="0044357B">
      <w:pPr>
        <w:spacing w:before="240"/>
      </w:pPr>
      <w:r w:rsidRPr="0044357B">
        <w:lastRenderedPageBreak/>
        <w:t xml:space="preserve">Given that each Custom Incentives project is unique </w:t>
      </w:r>
      <w:r w:rsidR="004E329F">
        <w:t>regarding</w:t>
      </w:r>
      <w:r w:rsidRPr="0044357B">
        <w:t xml:space="preserve"> the measures involved and the methods the evaluation team used to estimate savings, we cannot present a full summary of the sources of discrepancy between the ex ante and verified gross savings estimates for the channel. However, we did make specific findings regarding consistent differences in the approach taken by</w:t>
      </w:r>
      <w:r w:rsidR="002C3D19">
        <w:t xml:space="preserve"> the</w:t>
      </w:r>
      <w:r w:rsidRPr="0044357B">
        <w:t xml:space="preserve"> evaluation and implementation teams to estimate savings. These findings are provided below. For project-specific details, please see </w:t>
      </w:r>
      <w:r>
        <w:fldChar w:fldCharType="begin"/>
      </w:r>
      <w:r>
        <w:instrText xml:space="preserve"> REF _Ref188339887 \n \h  \* MERGEFORMAT </w:instrText>
      </w:r>
      <w:r>
        <w:fldChar w:fldCharType="separate"/>
      </w:r>
      <w:r w:rsidR="00AA10F4">
        <w:t>Appendix D</w:t>
      </w:r>
      <w:r>
        <w:fldChar w:fldCharType="end"/>
      </w:r>
      <w:r w:rsidRPr="0044357B">
        <w:t xml:space="preserve"> to this report</w:t>
      </w:r>
      <w:r w:rsidR="004E329F">
        <w:t xml:space="preserve"> and</w:t>
      </w:r>
      <w:r w:rsidRPr="0044357B">
        <w:t xml:space="preserve"> the separate backup documentation provided by the evaluation team. Overarching findings and recommendations for the Custom Initiative are presented in</w:t>
      </w:r>
      <w:r>
        <w:t xml:space="preserve"> Section</w:t>
      </w:r>
      <w:r w:rsidRPr="0044357B">
        <w:t xml:space="preserve"> </w:t>
      </w:r>
      <w:r>
        <w:fldChar w:fldCharType="begin"/>
      </w:r>
      <w:r>
        <w:instrText xml:space="preserve"> REF _Ref188339906 \n \h  \* MERGEFORMAT </w:instrText>
      </w:r>
      <w:r>
        <w:fldChar w:fldCharType="separate"/>
      </w:r>
      <w:r w:rsidR="00AA10F4">
        <w:t>3.2.7</w:t>
      </w:r>
      <w:r>
        <w:fldChar w:fldCharType="end"/>
      </w:r>
      <w:r>
        <w:t>.</w:t>
      </w:r>
    </w:p>
    <w:p w14:paraId="318D34A5" w14:textId="606E338C" w:rsidR="0044357B" w:rsidRDefault="0044357B" w:rsidP="0044357B">
      <w:pPr>
        <w:pStyle w:val="Heading6"/>
      </w:pPr>
      <w:r w:rsidRPr="0044357B">
        <w:t>HVAC and HVAC Controls Projects</w:t>
      </w:r>
    </w:p>
    <w:p w14:paraId="6E306873" w14:textId="6D74FCE2" w:rsidR="004E7E79" w:rsidRDefault="004E7E79" w:rsidP="004E7E79">
      <w:pPr>
        <w:pStyle w:val="ListBullet"/>
      </w:pPr>
      <w:r>
        <w:t xml:space="preserve">For HVAC Controls projects, the most common and impactful adjustments the evaluation team made were to operating condition assumptions affecting gas savings. For several projects, the evaluation team found that the customer operated the equipment differently from what was characterized in the backup documentation and reflected in the ex ante savings calculations. </w:t>
      </w:r>
      <w:r w:rsidRPr="004E7E79">
        <w:t xml:space="preserve">The evaluation team recommends that the implementation team verify equipment operating conditions </w:t>
      </w:r>
      <w:r w:rsidR="00E15787" w:rsidRPr="00E15787">
        <w:t>following installation and commissioning to ensure they are accurately reflected in ex ante savings calculations</w:t>
      </w:r>
      <w:r>
        <w:t xml:space="preserve">. </w:t>
      </w:r>
    </w:p>
    <w:p w14:paraId="202FB8FD" w14:textId="451BB2EB" w:rsidR="0044357B" w:rsidRDefault="004E7E79" w:rsidP="004E7E79">
      <w:pPr>
        <w:pStyle w:val="ListBullet"/>
      </w:pPr>
      <w:r>
        <w:t>The most common adjustment made to the demand savings for HVAC controls projects was to consider the TRM definition of peak hours rather than dividing the energy savings by the hours of use. The evaluation team has observed a marked improvement in considering peak hours in ex ante demand savings calculations in recent years and we encourage the implementation team to continue to use energy savings during peak hours to determine demand savings.</w:t>
      </w:r>
    </w:p>
    <w:p w14:paraId="15C32592" w14:textId="3390F847" w:rsidR="000C53C6" w:rsidRDefault="000C53C6" w:rsidP="0044357B">
      <w:pPr>
        <w:pStyle w:val="Heading6"/>
      </w:pPr>
      <w:r>
        <w:t>HVAC Replacement Projects</w:t>
      </w:r>
    </w:p>
    <w:p w14:paraId="2A546DBB" w14:textId="0EC9028C" w:rsidR="000C53C6" w:rsidRPr="000C53C6" w:rsidRDefault="000C53C6" w:rsidP="000C53C6">
      <w:pPr>
        <w:pStyle w:val="ListBullet"/>
      </w:pPr>
      <w:r>
        <w:t>For</w:t>
      </w:r>
      <w:r w:rsidRPr="000C53C6">
        <w:t xml:space="preserve"> one project, a newly installed ground source heat pump system was expected to completely offset the heating load of an existing </w:t>
      </w:r>
      <w:r>
        <w:t xml:space="preserve">gas </w:t>
      </w:r>
      <w:r w:rsidRPr="000C53C6">
        <w:t>boiler. The implementation team used IL-TRM V12.0 section 4.4.44 for ground source heat pumps to calculate the savings for the project but did not account for new gas-fired make-up air units installed with the project. The evaluation team estimated the project savings using a regression model and found increased gas consumption following the completion of the project, suggesting that the gas usage shifted from the boiler to the make-up air units. The evaluation team recommends the implementation team ensure that ex ante savings calculations encompass all equipment installed as part of, or affected by</w:t>
      </w:r>
      <w:r>
        <w:t>,</w:t>
      </w:r>
      <w:r w:rsidRPr="000C53C6">
        <w:t xml:space="preserve"> the project, and where feasible, validate calculated savings against meter data.     </w:t>
      </w:r>
    </w:p>
    <w:p w14:paraId="21D40F05" w14:textId="008F552C" w:rsidR="003B6B47" w:rsidRDefault="003B6B47" w:rsidP="0044357B">
      <w:pPr>
        <w:pStyle w:val="Heading6"/>
      </w:pPr>
      <w:r w:rsidRPr="003B6B47">
        <w:t>Compressed Air Projects</w:t>
      </w:r>
    </w:p>
    <w:p w14:paraId="2456EA1F" w14:textId="3E703EEF" w:rsidR="003B6B47" w:rsidRPr="003B6B47" w:rsidRDefault="003B6B47" w:rsidP="003B6B47">
      <w:pPr>
        <w:pStyle w:val="ListBullet"/>
      </w:pPr>
      <w:r w:rsidRPr="003B6B47">
        <w:t xml:space="preserve">The implementation team used performance curve assumptions for two projects that were not representative of the installed equipment. One used a Compressed Air and Gas Institute (CAGI) datasheet with an incorrect operating pressure, and another used a curve of unknown origin. The evaluation team recommends ensuring the correct CAGI datasheet is used or </w:t>
      </w:r>
      <w:r>
        <w:t xml:space="preserve">documenting the source </w:t>
      </w:r>
      <w:r w:rsidRPr="003B6B47">
        <w:t>if alternate performance data is used. For equipment that does not have a CAGI datasheet or that operates at non-standard conditions, the evaluation team recommends creating a curve using metered power and flow data. The evaluation team encourages the implementation team to continue sending these projects for early review and to ensure that relevant early review recommendations are implemented</w:t>
      </w:r>
      <w:r>
        <w:t>.</w:t>
      </w:r>
    </w:p>
    <w:p w14:paraId="495E1A27" w14:textId="5C4668DA" w:rsidR="0044357B" w:rsidRDefault="00590371" w:rsidP="0044357B">
      <w:pPr>
        <w:pStyle w:val="Heading6"/>
      </w:pPr>
      <w:r>
        <w:t>Combined Heat and Power</w:t>
      </w:r>
      <w:r w:rsidR="0044357B" w:rsidRPr="0044357B">
        <w:t xml:space="preserve"> Projects</w:t>
      </w:r>
    </w:p>
    <w:p w14:paraId="18ACD14B" w14:textId="5F622255" w:rsidR="00590371" w:rsidRPr="00590371" w:rsidRDefault="00590371" w:rsidP="003B6B47">
      <w:pPr>
        <w:pStyle w:val="ListBullet"/>
      </w:pPr>
      <w:r w:rsidRPr="00590371">
        <w:t>The evaluation team reviewed one combined heat and power (CHP) project completed in 2024 and found that while the ex ante calculations were reasonable from an engineering perspective, the calculations and savings allocation did not conform with the IL-TRM CHP methodology. To reduce evaluation risk going forward, the evaluation team recommends that implementation team conform with the TRM approach or provide justification for using other approaches</w:t>
      </w:r>
      <w:r>
        <w:t>.</w:t>
      </w:r>
    </w:p>
    <w:p w14:paraId="2017805B" w14:textId="222AA642" w:rsidR="00637A7B" w:rsidRDefault="00637A7B" w:rsidP="000071FF">
      <w:pPr>
        <w:pStyle w:val="Heading5"/>
      </w:pPr>
      <w:r>
        <w:lastRenderedPageBreak/>
        <w:t>Overall Results</w:t>
      </w:r>
    </w:p>
    <w:p w14:paraId="0AADECA5" w14:textId="21C37D52" w:rsidR="002E783A" w:rsidRDefault="002E783A" w:rsidP="002E783A">
      <w:pPr>
        <w:pStyle w:val="NoSpacing"/>
      </w:pPr>
      <w:r>
        <w:t>We used a stratified combined ratio estimation technique</w:t>
      </w:r>
      <w:r w:rsidR="004E329F">
        <w:t xml:space="preserve"> to estimate gross realization rates for each wave by fuel type.</w:t>
      </w:r>
      <w:r w:rsidR="00D615CF">
        <w:rPr>
          <w:rStyle w:val="FootnoteReference"/>
        </w:rPr>
        <w:footnoteReference w:id="23"/>
      </w:r>
      <w:r w:rsidR="00D615CF" w:rsidRPr="00D615CF">
        <w:rPr>
          <w:vertAlign w:val="superscript"/>
        </w:rPr>
        <w:t>,</w:t>
      </w:r>
      <w:r w:rsidR="00D615CF">
        <w:rPr>
          <w:rStyle w:val="FootnoteReference"/>
        </w:rPr>
        <w:footnoteReference w:id="24"/>
      </w:r>
      <w:r>
        <w:t xml:space="preserve"> </w:t>
      </w:r>
      <w:r w:rsidR="00D615CF">
        <w:t xml:space="preserve">These realization rates are presented in </w:t>
      </w:r>
      <w:r>
        <w:fldChar w:fldCharType="begin"/>
      </w:r>
      <w:r>
        <w:instrText xml:space="preserve"> REF _Ref187244570 \h </w:instrText>
      </w:r>
      <w:r>
        <w:fldChar w:fldCharType="separate"/>
      </w:r>
      <w:r w:rsidR="00AA10F4">
        <w:t xml:space="preserve">Table </w:t>
      </w:r>
      <w:r w:rsidR="00AA10F4">
        <w:rPr>
          <w:noProof/>
        </w:rPr>
        <w:t>30</w:t>
      </w:r>
      <w:r>
        <w:fldChar w:fldCharType="end"/>
      </w:r>
      <w:r>
        <w:t>.</w:t>
      </w:r>
    </w:p>
    <w:p w14:paraId="62AC9726" w14:textId="3E8B7FB2" w:rsidR="002E783A" w:rsidRDefault="002E783A" w:rsidP="00881B1B">
      <w:pPr>
        <w:pStyle w:val="Caption"/>
      </w:pPr>
      <w:bookmarkStart w:id="140" w:name="_Ref187244570"/>
      <w:bookmarkStart w:id="141" w:name="_Toc191992551"/>
      <w:bookmarkStart w:id="142" w:name="_Toc192766964"/>
      <w:r>
        <w:t xml:space="preserve">Table </w:t>
      </w:r>
      <w:r w:rsidR="009B4C9A">
        <w:fldChar w:fldCharType="begin"/>
      </w:r>
      <w:r w:rsidR="009B4C9A">
        <w:instrText xml:space="preserve"> SEQ Table \* ARABIC </w:instrText>
      </w:r>
      <w:r w:rsidR="009B4C9A">
        <w:fldChar w:fldCharType="separate"/>
      </w:r>
      <w:r w:rsidR="00AA10F4">
        <w:rPr>
          <w:noProof/>
        </w:rPr>
        <w:t>30</w:t>
      </w:r>
      <w:r w:rsidR="009B4C9A">
        <w:rPr>
          <w:noProof/>
        </w:rPr>
        <w:fldChar w:fldCharType="end"/>
      </w:r>
      <w:bookmarkEnd w:id="140"/>
      <w:r>
        <w:t>. 2024 Custom Incentives Channel Realization Rates by Wave and Fuel Type</w:t>
      </w:r>
      <w:bookmarkEnd w:id="141"/>
      <w:bookmarkEnd w:id="14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278"/>
        <w:gridCol w:w="2238"/>
        <w:gridCol w:w="2257"/>
        <w:gridCol w:w="2264"/>
      </w:tblGrid>
      <w:tr w:rsidR="000D2C7B" w14:paraId="5E55C8C4" w14:textId="48BB1134" w:rsidTr="002F3C1E">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tcPr>
          <w:p w14:paraId="452526AA" w14:textId="4DA88667" w:rsidR="000D2C7B" w:rsidRDefault="000D2C7B" w:rsidP="008A60FE">
            <w:pPr>
              <w:pStyle w:val="TableHeadingLeft"/>
            </w:pPr>
            <w:r w:rsidRPr="002F6589">
              <w:t>Wave</w:t>
            </w:r>
          </w:p>
        </w:tc>
        <w:tc>
          <w:tcPr>
            <w:tcW w:w="2238" w:type="dxa"/>
            <w:tcBorders>
              <w:bottom w:val="none" w:sz="0" w:space="0" w:color="auto"/>
            </w:tcBorders>
          </w:tcPr>
          <w:p w14:paraId="3D492678" w14:textId="55390B7D" w:rsidR="000D2C7B" w:rsidRDefault="000D2C7B" w:rsidP="008A60FE">
            <w:pPr>
              <w:pStyle w:val="TableHeadingCentered"/>
              <w:cnfStyle w:val="100000000000" w:firstRow="1" w:lastRow="0" w:firstColumn="0" w:lastColumn="0" w:oddVBand="0" w:evenVBand="0" w:oddHBand="0" w:evenHBand="0" w:firstRowFirstColumn="0" w:firstRowLastColumn="0" w:lastRowFirstColumn="0" w:lastRowLastColumn="0"/>
            </w:pPr>
            <w:r w:rsidRPr="002F6589">
              <w:t>Energy Savings (MWh)</w:t>
            </w:r>
          </w:p>
        </w:tc>
        <w:tc>
          <w:tcPr>
            <w:tcW w:w="2257" w:type="dxa"/>
            <w:tcBorders>
              <w:bottom w:val="none" w:sz="0" w:space="0" w:color="auto"/>
            </w:tcBorders>
          </w:tcPr>
          <w:p w14:paraId="3A5593D9" w14:textId="087A8DBC" w:rsidR="000D2C7B" w:rsidRDefault="000D2C7B" w:rsidP="008A60FE">
            <w:pPr>
              <w:pStyle w:val="TableHeadingCentered"/>
              <w:cnfStyle w:val="100000000000" w:firstRow="1" w:lastRow="0" w:firstColumn="0" w:lastColumn="0" w:oddVBand="0" w:evenVBand="0" w:oddHBand="0" w:evenHBand="0" w:firstRowFirstColumn="0" w:firstRowLastColumn="0" w:lastRowFirstColumn="0" w:lastRowLastColumn="0"/>
            </w:pPr>
            <w:r w:rsidRPr="002F6589">
              <w:t>Demand Savings (MW)</w:t>
            </w:r>
          </w:p>
        </w:tc>
        <w:tc>
          <w:tcPr>
            <w:tcW w:w="2264" w:type="dxa"/>
            <w:tcBorders>
              <w:bottom w:val="none" w:sz="0" w:space="0" w:color="auto"/>
            </w:tcBorders>
          </w:tcPr>
          <w:p w14:paraId="0015C5E6" w14:textId="609C182C" w:rsidR="000D2C7B" w:rsidRDefault="000D2C7B" w:rsidP="008A60FE">
            <w:pPr>
              <w:pStyle w:val="TableHeadingCentered"/>
              <w:cnfStyle w:val="100000000000" w:firstRow="1" w:lastRow="0" w:firstColumn="0" w:lastColumn="0" w:oddVBand="0" w:evenVBand="0" w:oddHBand="0" w:evenHBand="0" w:firstRowFirstColumn="0" w:firstRowLastColumn="0" w:lastRowFirstColumn="0" w:lastRowLastColumn="0"/>
            </w:pPr>
            <w:r w:rsidRPr="002F6589">
              <w:t>Gas Savings (Therms)</w:t>
            </w:r>
          </w:p>
        </w:tc>
      </w:tr>
      <w:tr w:rsidR="000D2C7B" w14:paraId="6A6A5B68" w14:textId="665CB0E4"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tcPr>
          <w:p w14:paraId="1C03FA99" w14:textId="64A67865" w:rsidR="000D2C7B" w:rsidRDefault="000D2C7B" w:rsidP="008A60FE">
            <w:r w:rsidRPr="002F6589">
              <w:t>1</w:t>
            </w:r>
          </w:p>
        </w:tc>
        <w:tc>
          <w:tcPr>
            <w:tcW w:w="2238" w:type="dxa"/>
            <w:tcBorders>
              <w:top w:val="none" w:sz="0" w:space="0" w:color="auto"/>
              <w:left w:val="none" w:sz="0" w:space="0" w:color="auto"/>
              <w:bottom w:val="none" w:sz="0" w:space="0" w:color="auto"/>
              <w:right w:val="none" w:sz="0" w:space="0" w:color="auto"/>
            </w:tcBorders>
          </w:tcPr>
          <w:p w14:paraId="5FB17634" w14:textId="106F31EF" w:rsidR="000D2C7B" w:rsidRDefault="000D2C7B" w:rsidP="008A60FE">
            <w:pPr>
              <w:jc w:val="center"/>
              <w:cnfStyle w:val="000000100000" w:firstRow="0" w:lastRow="0" w:firstColumn="0" w:lastColumn="0" w:oddVBand="0" w:evenVBand="0" w:oddHBand="1" w:evenHBand="0" w:firstRowFirstColumn="0" w:firstRowLastColumn="0" w:lastRowFirstColumn="0" w:lastRowLastColumn="0"/>
            </w:pPr>
            <w:r w:rsidRPr="003E45AB">
              <w:t>81%</w:t>
            </w:r>
          </w:p>
        </w:tc>
        <w:tc>
          <w:tcPr>
            <w:tcW w:w="2257" w:type="dxa"/>
            <w:tcBorders>
              <w:top w:val="none" w:sz="0" w:space="0" w:color="auto"/>
              <w:left w:val="none" w:sz="0" w:space="0" w:color="auto"/>
              <w:bottom w:val="none" w:sz="0" w:space="0" w:color="auto"/>
              <w:right w:val="none" w:sz="0" w:space="0" w:color="auto"/>
            </w:tcBorders>
          </w:tcPr>
          <w:p w14:paraId="361092B1" w14:textId="47EECC4A" w:rsidR="000D2C7B" w:rsidRDefault="00227724" w:rsidP="008A60FE">
            <w:pPr>
              <w:jc w:val="center"/>
              <w:cnfStyle w:val="000000100000" w:firstRow="0" w:lastRow="0" w:firstColumn="0" w:lastColumn="0" w:oddVBand="0" w:evenVBand="0" w:oddHBand="1" w:evenHBand="0" w:firstRowFirstColumn="0" w:firstRowLastColumn="0" w:lastRowFirstColumn="0" w:lastRowLastColumn="0"/>
            </w:pPr>
            <w:r>
              <w:t>73</w:t>
            </w:r>
            <w:r w:rsidR="000D2C7B" w:rsidRPr="003E45AB">
              <w:t>%</w:t>
            </w:r>
          </w:p>
        </w:tc>
        <w:tc>
          <w:tcPr>
            <w:tcW w:w="2264" w:type="dxa"/>
            <w:tcBorders>
              <w:top w:val="none" w:sz="0" w:space="0" w:color="auto"/>
              <w:left w:val="none" w:sz="0" w:space="0" w:color="auto"/>
              <w:bottom w:val="none" w:sz="0" w:space="0" w:color="auto"/>
              <w:right w:val="none" w:sz="0" w:space="0" w:color="auto"/>
            </w:tcBorders>
          </w:tcPr>
          <w:p w14:paraId="34D8560F" w14:textId="7B935EAF" w:rsidR="000D2C7B" w:rsidRDefault="000D2C7B" w:rsidP="008A60FE">
            <w:pPr>
              <w:jc w:val="center"/>
              <w:cnfStyle w:val="000000100000" w:firstRow="0" w:lastRow="0" w:firstColumn="0" w:lastColumn="0" w:oddVBand="0" w:evenVBand="0" w:oddHBand="1" w:evenHBand="0" w:firstRowFirstColumn="0" w:firstRowLastColumn="0" w:lastRowFirstColumn="0" w:lastRowLastColumn="0"/>
            </w:pPr>
            <w:r w:rsidRPr="003E45AB">
              <w:t>66%</w:t>
            </w:r>
          </w:p>
        </w:tc>
      </w:tr>
      <w:tr w:rsidR="000D2C7B" w14:paraId="262D7C5E" w14:textId="13A5A8FE" w:rsidTr="008A6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tcPr>
          <w:p w14:paraId="0D419C72" w14:textId="61659654" w:rsidR="000D2C7B" w:rsidRDefault="000D2C7B" w:rsidP="008A60FE">
            <w:r w:rsidRPr="002F6589">
              <w:t>2</w:t>
            </w:r>
          </w:p>
        </w:tc>
        <w:tc>
          <w:tcPr>
            <w:tcW w:w="2238" w:type="dxa"/>
            <w:tcBorders>
              <w:top w:val="none" w:sz="0" w:space="0" w:color="auto"/>
              <w:left w:val="none" w:sz="0" w:space="0" w:color="auto"/>
              <w:bottom w:val="none" w:sz="0" w:space="0" w:color="auto"/>
              <w:right w:val="none" w:sz="0" w:space="0" w:color="auto"/>
            </w:tcBorders>
          </w:tcPr>
          <w:p w14:paraId="291B77F7" w14:textId="3D975333" w:rsidR="000D2C7B" w:rsidRDefault="000D2C7B" w:rsidP="008A60FE">
            <w:pPr>
              <w:jc w:val="center"/>
              <w:cnfStyle w:val="000000010000" w:firstRow="0" w:lastRow="0" w:firstColumn="0" w:lastColumn="0" w:oddVBand="0" w:evenVBand="0" w:oddHBand="0" w:evenHBand="1" w:firstRowFirstColumn="0" w:firstRowLastColumn="0" w:lastRowFirstColumn="0" w:lastRowLastColumn="0"/>
            </w:pPr>
            <w:r w:rsidRPr="003E45AB">
              <w:t>97%</w:t>
            </w:r>
          </w:p>
        </w:tc>
        <w:tc>
          <w:tcPr>
            <w:tcW w:w="2257" w:type="dxa"/>
            <w:tcBorders>
              <w:top w:val="none" w:sz="0" w:space="0" w:color="auto"/>
              <w:left w:val="none" w:sz="0" w:space="0" w:color="auto"/>
              <w:bottom w:val="none" w:sz="0" w:space="0" w:color="auto"/>
              <w:right w:val="none" w:sz="0" w:space="0" w:color="auto"/>
            </w:tcBorders>
          </w:tcPr>
          <w:p w14:paraId="1DD5FB33" w14:textId="7A415C62" w:rsidR="000D2C7B" w:rsidRDefault="000D2C7B" w:rsidP="008A60FE">
            <w:pPr>
              <w:jc w:val="center"/>
              <w:cnfStyle w:val="000000010000" w:firstRow="0" w:lastRow="0" w:firstColumn="0" w:lastColumn="0" w:oddVBand="0" w:evenVBand="0" w:oddHBand="0" w:evenHBand="1" w:firstRowFirstColumn="0" w:firstRowLastColumn="0" w:lastRowFirstColumn="0" w:lastRowLastColumn="0"/>
            </w:pPr>
            <w:r w:rsidRPr="003E45AB">
              <w:t>67%</w:t>
            </w:r>
          </w:p>
        </w:tc>
        <w:tc>
          <w:tcPr>
            <w:tcW w:w="2264" w:type="dxa"/>
            <w:tcBorders>
              <w:top w:val="none" w:sz="0" w:space="0" w:color="auto"/>
              <w:left w:val="none" w:sz="0" w:space="0" w:color="auto"/>
              <w:bottom w:val="none" w:sz="0" w:space="0" w:color="auto"/>
              <w:right w:val="none" w:sz="0" w:space="0" w:color="auto"/>
            </w:tcBorders>
          </w:tcPr>
          <w:p w14:paraId="35129D68" w14:textId="6FBF9E9E" w:rsidR="000D2C7B" w:rsidRDefault="000D2C7B" w:rsidP="008A60FE">
            <w:pPr>
              <w:jc w:val="center"/>
              <w:cnfStyle w:val="000000010000" w:firstRow="0" w:lastRow="0" w:firstColumn="0" w:lastColumn="0" w:oddVBand="0" w:evenVBand="0" w:oddHBand="0" w:evenHBand="1" w:firstRowFirstColumn="0" w:firstRowLastColumn="0" w:lastRowFirstColumn="0" w:lastRowLastColumn="0"/>
            </w:pPr>
            <w:r w:rsidRPr="003E45AB">
              <w:t>85%</w:t>
            </w:r>
          </w:p>
        </w:tc>
      </w:tr>
      <w:tr w:rsidR="000D2C7B" w14:paraId="19147587" w14:textId="19AD9F04"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tcPr>
          <w:p w14:paraId="3A08F6F8" w14:textId="1144F3FA" w:rsidR="000D2C7B" w:rsidRDefault="000D2C7B" w:rsidP="008A60FE">
            <w:r w:rsidRPr="002F6589">
              <w:t>3</w:t>
            </w:r>
          </w:p>
        </w:tc>
        <w:tc>
          <w:tcPr>
            <w:tcW w:w="2238" w:type="dxa"/>
            <w:tcBorders>
              <w:top w:val="none" w:sz="0" w:space="0" w:color="auto"/>
              <w:left w:val="none" w:sz="0" w:space="0" w:color="auto"/>
              <w:bottom w:val="none" w:sz="0" w:space="0" w:color="auto"/>
              <w:right w:val="none" w:sz="0" w:space="0" w:color="auto"/>
            </w:tcBorders>
          </w:tcPr>
          <w:p w14:paraId="04F75340" w14:textId="7FF5EFFF" w:rsidR="000D2C7B" w:rsidRDefault="000D2C7B" w:rsidP="008A60FE">
            <w:pPr>
              <w:jc w:val="center"/>
              <w:cnfStyle w:val="000000100000" w:firstRow="0" w:lastRow="0" w:firstColumn="0" w:lastColumn="0" w:oddVBand="0" w:evenVBand="0" w:oddHBand="1" w:evenHBand="0" w:firstRowFirstColumn="0" w:firstRowLastColumn="0" w:lastRowFirstColumn="0" w:lastRowLastColumn="0"/>
            </w:pPr>
            <w:r w:rsidRPr="003E45AB">
              <w:t>79%</w:t>
            </w:r>
          </w:p>
        </w:tc>
        <w:tc>
          <w:tcPr>
            <w:tcW w:w="2257" w:type="dxa"/>
            <w:tcBorders>
              <w:top w:val="none" w:sz="0" w:space="0" w:color="auto"/>
              <w:left w:val="none" w:sz="0" w:space="0" w:color="auto"/>
              <w:bottom w:val="none" w:sz="0" w:space="0" w:color="auto"/>
              <w:right w:val="none" w:sz="0" w:space="0" w:color="auto"/>
            </w:tcBorders>
          </w:tcPr>
          <w:p w14:paraId="1F4178D9" w14:textId="61DAE7B1" w:rsidR="000D2C7B" w:rsidRDefault="009D3A5A" w:rsidP="008A60FE">
            <w:pPr>
              <w:jc w:val="center"/>
              <w:cnfStyle w:val="000000100000" w:firstRow="0" w:lastRow="0" w:firstColumn="0" w:lastColumn="0" w:oddVBand="0" w:evenVBand="0" w:oddHBand="1" w:evenHBand="0" w:firstRowFirstColumn="0" w:firstRowLastColumn="0" w:lastRowFirstColumn="0" w:lastRowLastColumn="0"/>
            </w:pPr>
            <w:r>
              <w:t>107</w:t>
            </w:r>
            <w:r w:rsidR="000D2C7B" w:rsidRPr="003E45AB">
              <w:t>%</w:t>
            </w:r>
          </w:p>
        </w:tc>
        <w:tc>
          <w:tcPr>
            <w:tcW w:w="2264" w:type="dxa"/>
            <w:tcBorders>
              <w:top w:val="none" w:sz="0" w:space="0" w:color="auto"/>
              <w:left w:val="none" w:sz="0" w:space="0" w:color="auto"/>
              <w:bottom w:val="none" w:sz="0" w:space="0" w:color="auto"/>
              <w:right w:val="none" w:sz="0" w:space="0" w:color="auto"/>
            </w:tcBorders>
          </w:tcPr>
          <w:p w14:paraId="2DC5D1F5" w14:textId="00EE10DF" w:rsidR="000D2C7B" w:rsidRDefault="009D3A5A" w:rsidP="008A60FE">
            <w:pPr>
              <w:jc w:val="center"/>
              <w:cnfStyle w:val="000000100000" w:firstRow="0" w:lastRow="0" w:firstColumn="0" w:lastColumn="0" w:oddVBand="0" w:evenVBand="0" w:oddHBand="1" w:evenHBand="0" w:firstRowFirstColumn="0" w:firstRowLastColumn="0" w:lastRowFirstColumn="0" w:lastRowLastColumn="0"/>
            </w:pPr>
            <w:r w:rsidRPr="003E45AB">
              <w:t>13</w:t>
            </w:r>
            <w:r>
              <w:t>5</w:t>
            </w:r>
            <w:r w:rsidR="000D2C7B" w:rsidRPr="003E45AB">
              <w:t>%</w:t>
            </w:r>
          </w:p>
        </w:tc>
      </w:tr>
      <w:tr w:rsidR="000D2C7B" w14:paraId="377D800E" w14:textId="6423EB0D" w:rsidTr="008A6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78" w:type="dxa"/>
            <w:tcBorders>
              <w:top w:val="none" w:sz="0" w:space="0" w:color="auto"/>
              <w:left w:val="none" w:sz="0" w:space="0" w:color="auto"/>
              <w:bottom w:val="none" w:sz="0" w:space="0" w:color="auto"/>
              <w:right w:val="none" w:sz="0" w:space="0" w:color="auto"/>
            </w:tcBorders>
          </w:tcPr>
          <w:p w14:paraId="02C323A9" w14:textId="52DC39C7" w:rsidR="000D2C7B" w:rsidRPr="002F6589" w:rsidRDefault="000D2C7B" w:rsidP="008A60FE">
            <w:r>
              <w:t>Fuel Switching (FS)</w:t>
            </w:r>
          </w:p>
        </w:tc>
        <w:tc>
          <w:tcPr>
            <w:tcW w:w="2238" w:type="dxa"/>
            <w:tcBorders>
              <w:top w:val="none" w:sz="0" w:space="0" w:color="auto"/>
              <w:left w:val="none" w:sz="0" w:space="0" w:color="auto"/>
              <w:bottom w:val="none" w:sz="0" w:space="0" w:color="auto"/>
              <w:right w:val="none" w:sz="0" w:space="0" w:color="auto"/>
            </w:tcBorders>
          </w:tcPr>
          <w:p w14:paraId="133BABAA" w14:textId="08FFCCF5" w:rsidR="000D2C7B" w:rsidRPr="002F6589" w:rsidRDefault="000D2C7B" w:rsidP="008A60FE">
            <w:pPr>
              <w:jc w:val="center"/>
              <w:cnfStyle w:val="000000010000" w:firstRow="0" w:lastRow="0" w:firstColumn="0" w:lastColumn="0" w:oddVBand="0" w:evenVBand="0" w:oddHBand="0" w:evenHBand="1" w:firstRowFirstColumn="0" w:firstRowLastColumn="0" w:lastRowFirstColumn="0" w:lastRowLastColumn="0"/>
            </w:pPr>
            <w:r>
              <w:t>112%</w:t>
            </w:r>
          </w:p>
        </w:tc>
        <w:tc>
          <w:tcPr>
            <w:tcW w:w="2257" w:type="dxa"/>
            <w:tcBorders>
              <w:top w:val="none" w:sz="0" w:space="0" w:color="auto"/>
              <w:left w:val="none" w:sz="0" w:space="0" w:color="auto"/>
              <w:bottom w:val="none" w:sz="0" w:space="0" w:color="auto"/>
              <w:right w:val="none" w:sz="0" w:space="0" w:color="auto"/>
            </w:tcBorders>
          </w:tcPr>
          <w:p w14:paraId="7335651C" w14:textId="52AF0DBC" w:rsidR="000D2C7B" w:rsidRPr="002F6589" w:rsidRDefault="000D2C7B" w:rsidP="008A60FE">
            <w:pPr>
              <w:jc w:val="center"/>
              <w:cnfStyle w:val="000000010000" w:firstRow="0" w:lastRow="0" w:firstColumn="0" w:lastColumn="0" w:oddVBand="0" w:evenVBand="0" w:oddHBand="0" w:evenHBand="1" w:firstRowFirstColumn="0" w:firstRowLastColumn="0" w:lastRowFirstColumn="0" w:lastRowLastColumn="0"/>
            </w:pPr>
            <w:r>
              <w:t>-1,156%</w:t>
            </w:r>
          </w:p>
        </w:tc>
        <w:tc>
          <w:tcPr>
            <w:tcW w:w="2264" w:type="dxa"/>
            <w:tcBorders>
              <w:top w:val="none" w:sz="0" w:space="0" w:color="auto"/>
              <w:left w:val="none" w:sz="0" w:space="0" w:color="auto"/>
              <w:bottom w:val="none" w:sz="0" w:space="0" w:color="auto"/>
              <w:right w:val="none" w:sz="0" w:space="0" w:color="auto"/>
            </w:tcBorders>
          </w:tcPr>
          <w:p w14:paraId="6274D789" w14:textId="74D7604E" w:rsidR="000D2C7B" w:rsidRPr="002F6589" w:rsidRDefault="000D2C7B" w:rsidP="008A60FE">
            <w:pPr>
              <w:jc w:val="center"/>
              <w:cnfStyle w:val="000000010000" w:firstRow="0" w:lastRow="0" w:firstColumn="0" w:lastColumn="0" w:oddVBand="0" w:evenVBand="0" w:oddHBand="0" w:evenHBand="1" w:firstRowFirstColumn="0" w:firstRowLastColumn="0" w:lastRowFirstColumn="0" w:lastRowLastColumn="0"/>
            </w:pPr>
            <w:r>
              <w:t>9</w:t>
            </w:r>
            <w:r w:rsidR="009D3A5A">
              <w:t>5</w:t>
            </w:r>
            <w:r>
              <w:t>%</w:t>
            </w:r>
          </w:p>
        </w:tc>
      </w:tr>
    </w:tbl>
    <w:p w14:paraId="1000D384" w14:textId="1BC5C6B6" w:rsidR="002E783A" w:rsidRDefault="002E783A" w:rsidP="000B04B2">
      <w:pPr>
        <w:pStyle w:val="NoSpacing"/>
        <w:spacing w:before="240"/>
      </w:pPr>
      <w:r>
        <w:t xml:space="preserve">We </w:t>
      </w:r>
      <w:r w:rsidRPr="00AB1443">
        <w:t>produced verified gross savings</w:t>
      </w:r>
      <w:r>
        <w:t xml:space="preserve"> estimates</w:t>
      </w:r>
      <w:r w:rsidRPr="00AB1443">
        <w:t xml:space="preserve"> for the Custom Incentives channel </w:t>
      </w:r>
      <w:r>
        <w:t>by a</w:t>
      </w:r>
      <w:r w:rsidRPr="00AB1443">
        <w:t xml:space="preserve">pplying these gross realization rates to the population of projects in each wave. </w:t>
      </w:r>
      <w:r w:rsidR="00D2545F">
        <w:fldChar w:fldCharType="begin"/>
      </w:r>
      <w:r w:rsidR="00D2545F">
        <w:instrText xml:space="preserve"> REF _Ref188004533 \h </w:instrText>
      </w:r>
      <w:r w:rsidR="00D2545F">
        <w:fldChar w:fldCharType="separate"/>
      </w:r>
      <w:r w:rsidR="00AA10F4">
        <w:t xml:space="preserve">Table </w:t>
      </w:r>
      <w:r w:rsidR="00AA10F4">
        <w:rPr>
          <w:noProof/>
        </w:rPr>
        <w:t>31</w:t>
      </w:r>
      <w:r w:rsidR="00D2545F">
        <w:fldChar w:fldCharType="end"/>
      </w:r>
      <w:r w:rsidRPr="00AB1443">
        <w:t xml:space="preserve">, </w:t>
      </w:r>
      <w:r w:rsidR="00D2545F">
        <w:fldChar w:fldCharType="begin"/>
      </w:r>
      <w:r w:rsidR="00D2545F">
        <w:instrText xml:space="preserve"> REF _Ref188004542 \h </w:instrText>
      </w:r>
      <w:r w:rsidR="00D2545F">
        <w:fldChar w:fldCharType="separate"/>
      </w:r>
      <w:r w:rsidR="00AA10F4">
        <w:t xml:space="preserve">Table </w:t>
      </w:r>
      <w:r w:rsidR="00AA10F4">
        <w:rPr>
          <w:noProof/>
        </w:rPr>
        <w:t>32</w:t>
      </w:r>
      <w:r w:rsidR="00D2545F">
        <w:fldChar w:fldCharType="end"/>
      </w:r>
      <w:r w:rsidRPr="00AB1443">
        <w:t xml:space="preserve">, and </w:t>
      </w:r>
      <w:r w:rsidR="00D2545F">
        <w:fldChar w:fldCharType="begin"/>
      </w:r>
      <w:r w:rsidR="00D2545F">
        <w:instrText xml:space="preserve"> REF _Ref188004557 \h </w:instrText>
      </w:r>
      <w:r w:rsidR="00D2545F">
        <w:fldChar w:fldCharType="separate"/>
      </w:r>
      <w:r w:rsidR="00AA10F4">
        <w:t xml:space="preserve">Table </w:t>
      </w:r>
      <w:r w:rsidR="00AA10F4">
        <w:rPr>
          <w:noProof/>
        </w:rPr>
        <w:t>33</w:t>
      </w:r>
      <w:r w:rsidR="00D2545F">
        <w:fldChar w:fldCharType="end"/>
      </w:r>
      <w:r>
        <w:t xml:space="preserve"> </w:t>
      </w:r>
      <w:r w:rsidRPr="00AB1443">
        <w:t>present the annual ex ante</w:t>
      </w:r>
      <w:r w:rsidR="004E329F">
        <w:t xml:space="preserve">, </w:t>
      </w:r>
      <w:r w:rsidRPr="00AB1443">
        <w:t>verified gross and net electric energy, electric demand, and gas savings for each wave. Overall,</w:t>
      </w:r>
      <w:r>
        <w:t xml:space="preserve"> </w:t>
      </w:r>
      <w:r w:rsidRPr="00AB1443">
        <w:t xml:space="preserve">Custom Incentives channel projects accounted for </w:t>
      </w:r>
      <w:r w:rsidR="00424F0A">
        <w:t>96</w:t>
      </w:r>
      <w:r w:rsidRPr="00AB1443">
        <w:t xml:space="preserve">% of Custom Initiative </w:t>
      </w:r>
      <w:r w:rsidR="0044357B">
        <w:t xml:space="preserve">verified net </w:t>
      </w:r>
      <w:r w:rsidRPr="00AB1443">
        <w:t xml:space="preserve">MWh savings, </w:t>
      </w:r>
      <w:r w:rsidR="00424F0A">
        <w:t>9</w:t>
      </w:r>
      <w:r w:rsidR="009D3A5A">
        <w:t>3</w:t>
      </w:r>
      <w:r w:rsidRPr="00AB1443">
        <w:t xml:space="preserve">% of Initiative </w:t>
      </w:r>
      <w:r w:rsidR="0044357B">
        <w:t xml:space="preserve">verified net </w:t>
      </w:r>
      <w:r w:rsidRPr="00AB1443">
        <w:t xml:space="preserve">MW savings, and 100% of Initiative </w:t>
      </w:r>
      <w:r w:rsidR="0044357B">
        <w:t xml:space="preserve">verified net </w:t>
      </w:r>
      <w:r w:rsidR="00A32E0B">
        <w:t>gas</w:t>
      </w:r>
      <w:r w:rsidRPr="00AB1443">
        <w:t xml:space="preserve"> savings. </w:t>
      </w:r>
      <w:r>
        <w:t>The evaluation team</w:t>
      </w:r>
      <w:r w:rsidRPr="00AB1443">
        <w:t xml:space="preserve"> achieved a relative precision of </w:t>
      </w:r>
      <w:r w:rsidR="00424F0A">
        <w:t>14.2</w:t>
      </w:r>
      <w:r w:rsidRPr="00AB1443">
        <w:t xml:space="preserve">% for channel </w:t>
      </w:r>
      <w:r w:rsidR="003A4550">
        <w:t xml:space="preserve">gross </w:t>
      </w:r>
      <w:r w:rsidRPr="00AB1443">
        <w:t>electric</w:t>
      </w:r>
      <w:r w:rsidR="003A4550" w:rsidRPr="00AB1443">
        <w:t xml:space="preserve"> </w:t>
      </w:r>
      <w:r w:rsidRPr="00AB1443">
        <w:t xml:space="preserve">energy savings, </w:t>
      </w:r>
      <w:r w:rsidR="009D3A5A">
        <w:t>4</w:t>
      </w:r>
      <w:r w:rsidR="00424F0A">
        <w:t>4</w:t>
      </w:r>
      <w:r w:rsidR="009D3A5A">
        <w:t>.</w:t>
      </w:r>
      <w:r w:rsidR="00227724">
        <w:t>6</w:t>
      </w:r>
      <w:r w:rsidRPr="00AB1443">
        <w:t>% for</w:t>
      </w:r>
      <w:r w:rsidR="003A4550">
        <w:t xml:space="preserve"> gross</w:t>
      </w:r>
      <w:r w:rsidRPr="00AB1443">
        <w:t xml:space="preserve"> electric demand savings, and </w:t>
      </w:r>
      <w:r w:rsidR="00424F0A">
        <w:t>13.</w:t>
      </w:r>
      <w:r w:rsidR="009D3A5A">
        <w:t>0</w:t>
      </w:r>
      <w:r w:rsidRPr="00AB1443">
        <w:t xml:space="preserve">% for gas savings at the 90% confidence level. Further details on our methodology for Custom Initiative sampling </w:t>
      </w:r>
      <w:r w:rsidR="004E329F">
        <w:t>are</w:t>
      </w:r>
      <w:r w:rsidR="004E329F" w:rsidRPr="00AB1443">
        <w:t xml:space="preserve"> </w:t>
      </w:r>
      <w:r w:rsidRPr="00AB1443">
        <w:t xml:space="preserve">provided in </w:t>
      </w:r>
      <w:r>
        <w:fldChar w:fldCharType="begin"/>
      </w:r>
      <w:r>
        <w:instrText xml:space="preserve"> REF _Ref187157397 \n \h </w:instrText>
      </w:r>
      <w:r>
        <w:fldChar w:fldCharType="separate"/>
      </w:r>
      <w:r w:rsidR="00AA10F4">
        <w:t>Appendix A</w:t>
      </w:r>
      <w:r>
        <w:fldChar w:fldCharType="end"/>
      </w:r>
      <w:r w:rsidRPr="00AB1443">
        <w:t>.</w:t>
      </w:r>
    </w:p>
    <w:p w14:paraId="24B997F8" w14:textId="2D987278" w:rsidR="002E783A" w:rsidRDefault="002E783A" w:rsidP="00307925">
      <w:pPr>
        <w:pStyle w:val="Caption"/>
      </w:pPr>
      <w:bookmarkStart w:id="143" w:name="_Ref188004533"/>
      <w:bookmarkStart w:id="144" w:name="_Toc191992552"/>
      <w:bookmarkStart w:id="145" w:name="_Toc192766965"/>
      <w:r>
        <w:t xml:space="preserve">Table </w:t>
      </w:r>
      <w:r>
        <w:fldChar w:fldCharType="begin"/>
      </w:r>
      <w:r>
        <w:instrText xml:space="preserve"> SEQ Table \* ARABIC </w:instrText>
      </w:r>
      <w:r>
        <w:fldChar w:fldCharType="separate"/>
      </w:r>
      <w:r w:rsidR="00AA10F4">
        <w:rPr>
          <w:noProof/>
        </w:rPr>
        <w:t>31</w:t>
      </w:r>
      <w:r>
        <w:fldChar w:fldCharType="end"/>
      </w:r>
      <w:bookmarkEnd w:id="143"/>
      <w:r>
        <w:t>. 2024 Custom Incentives Channel Electric Energy Savings by Wave</w:t>
      </w:r>
      <w:bookmarkEnd w:id="144"/>
      <w:bookmarkEnd w:id="14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2E783A" w14:paraId="6FC2EA0E" w14:textId="77777777" w:rsidTr="008A6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3EB88518" w14:textId="576E9F80" w:rsidR="002E783A" w:rsidRDefault="002E783A" w:rsidP="002E783A">
            <w:pPr>
              <w:pStyle w:val="TableHeadingLeft"/>
            </w:pPr>
            <w:r>
              <w:t>Wave</w:t>
            </w:r>
          </w:p>
        </w:tc>
        <w:tc>
          <w:tcPr>
            <w:tcW w:w="1849" w:type="dxa"/>
            <w:tcBorders>
              <w:bottom w:val="none" w:sz="0" w:space="0" w:color="auto"/>
            </w:tcBorders>
          </w:tcPr>
          <w:p w14:paraId="47D6C7D4"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49" w:type="dxa"/>
            <w:tcBorders>
              <w:bottom w:val="none" w:sz="0" w:space="0" w:color="auto"/>
            </w:tcBorders>
          </w:tcPr>
          <w:p w14:paraId="15BCEF41"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0C333EEC"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850" w:type="dxa"/>
            <w:tcBorders>
              <w:bottom w:val="none" w:sz="0" w:space="0" w:color="auto"/>
            </w:tcBorders>
          </w:tcPr>
          <w:p w14:paraId="2501A0F4"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4A88737A"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2E783A" w14:paraId="65E995A8" w14:textId="77777777"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39A1A04" w14:textId="1D331C7F" w:rsidR="002E783A" w:rsidRDefault="002E783A" w:rsidP="002E783A">
            <w:pPr>
              <w:pStyle w:val="NoSpacing"/>
            </w:pPr>
            <w:r w:rsidRPr="00F87E60">
              <w:t>1</w:t>
            </w:r>
          </w:p>
        </w:tc>
        <w:tc>
          <w:tcPr>
            <w:tcW w:w="1849" w:type="dxa"/>
            <w:tcBorders>
              <w:top w:val="none" w:sz="0" w:space="0" w:color="auto"/>
              <w:left w:val="none" w:sz="0" w:space="0" w:color="auto"/>
              <w:bottom w:val="none" w:sz="0" w:space="0" w:color="auto"/>
              <w:right w:val="none" w:sz="0" w:space="0" w:color="auto"/>
            </w:tcBorders>
          </w:tcPr>
          <w:p w14:paraId="69E4D9E7" w14:textId="1E4202AE" w:rsidR="002E783A"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3E45AB">
              <w:t>1,061</w:t>
            </w:r>
          </w:p>
        </w:tc>
        <w:tc>
          <w:tcPr>
            <w:tcW w:w="1849" w:type="dxa"/>
            <w:tcBorders>
              <w:top w:val="none" w:sz="0" w:space="0" w:color="auto"/>
              <w:left w:val="none" w:sz="0" w:space="0" w:color="auto"/>
              <w:bottom w:val="none" w:sz="0" w:space="0" w:color="auto"/>
              <w:right w:val="none" w:sz="0" w:space="0" w:color="auto"/>
            </w:tcBorders>
          </w:tcPr>
          <w:p w14:paraId="0B885394" w14:textId="1369B320" w:rsidR="002E783A"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3E45AB">
              <w:t>81%</w:t>
            </w:r>
          </w:p>
        </w:tc>
        <w:tc>
          <w:tcPr>
            <w:tcW w:w="1849" w:type="dxa"/>
            <w:tcBorders>
              <w:top w:val="none" w:sz="0" w:space="0" w:color="auto"/>
              <w:left w:val="none" w:sz="0" w:space="0" w:color="auto"/>
              <w:bottom w:val="none" w:sz="0" w:space="0" w:color="auto"/>
              <w:right w:val="none" w:sz="0" w:space="0" w:color="auto"/>
            </w:tcBorders>
          </w:tcPr>
          <w:p w14:paraId="07FB1462" w14:textId="2A249FD3" w:rsidR="002E783A"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3E45AB">
              <w:t>865</w:t>
            </w:r>
          </w:p>
        </w:tc>
        <w:tc>
          <w:tcPr>
            <w:tcW w:w="1850" w:type="dxa"/>
            <w:tcBorders>
              <w:top w:val="none" w:sz="0" w:space="0" w:color="auto"/>
              <w:left w:val="none" w:sz="0" w:space="0" w:color="auto"/>
              <w:bottom w:val="none" w:sz="0" w:space="0" w:color="auto"/>
              <w:right w:val="none" w:sz="0" w:space="0" w:color="auto"/>
            </w:tcBorders>
          </w:tcPr>
          <w:p w14:paraId="4649AF3F" w14:textId="4484A191" w:rsidR="002E783A"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3E45AB">
              <w:t>0.814</w:t>
            </w:r>
          </w:p>
        </w:tc>
        <w:tc>
          <w:tcPr>
            <w:tcW w:w="1850" w:type="dxa"/>
            <w:tcBorders>
              <w:top w:val="none" w:sz="0" w:space="0" w:color="auto"/>
              <w:left w:val="none" w:sz="0" w:space="0" w:color="auto"/>
              <w:bottom w:val="none" w:sz="0" w:space="0" w:color="auto"/>
              <w:right w:val="none" w:sz="0" w:space="0" w:color="auto"/>
            </w:tcBorders>
          </w:tcPr>
          <w:p w14:paraId="13D4CDD8" w14:textId="7FD67286" w:rsidR="002E783A"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3E45AB">
              <w:t>704</w:t>
            </w:r>
          </w:p>
        </w:tc>
      </w:tr>
      <w:tr w:rsidR="003E45AB" w14:paraId="4D47AD0B" w14:textId="77777777" w:rsidTr="008A6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D1F4518" w14:textId="4CD90489" w:rsidR="003E45AB" w:rsidRDefault="003E45AB" w:rsidP="003E45AB">
            <w:pPr>
              <w:pStyle w:val="NoSpacing"/>
            </w:pPr>
            <w:r w:rsidRPr="00F87E60">
              <w:t>2</w:t>
            </w:r>
          </w:p>
        </w:tc>
        <w:tc>
          <w:tcPr>
            <w:tcW w:w="1849" w:type="dxa"/>
            <w:tcBorders>
              <w:top w:val="none" w:sz="0" w:space="0" w:color="auto"/>
              <w:left w:val="none" w:sz="0" w:space="0" w:color="auto"/>
              <w:bottom w:val="none" w:sz="0" w:space="0" w:color="auto"/>
              <w:right w:val="none" w:sz="0" w:space="0" w:color="auto"/>
            </w:tcBorders>
          </w:tcPr>
          <w:p w14:paraId="43AA753F" w14:textId="6AA62E1A" w:rsidR="003E45AB" w:rsidRDefault="003E45A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120468">
              <w:t>3,561</w:t>
            </w:r>
          </w:p>
        </w:tc>
        <w:tc>
          <w:tcPr>
            <w:tcW w:w="1849" w:type="dxa"/>
            <w:tcBorders>
              <w:top w:val="none" w:sz="0" w:space="0" w:color="auto"/>
              <w:left w:val="none" w:sz="0" w:space="0" w:color="auto"/>
              <w:bottom w:val="none" w:sz="0" w:space="0" w:color="auto"/>
              <w:right w:val="none" w:sz="0" w:space="0" w:color="auto"/>
            </w:tcBorders>
          </w:tcPr>
          <w:p w14:paraId="7D60CF52" w14:textId="309D2224" w:rsidR="003E45AB" w:rsidRDefault="003E45A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120468">
              <w:t>97%</w:t>
            </w:r>
          </w:p>
        </w:tc>
        <w:tc>
          <w:tcPr>
            <w:tcW w:w="1849" w:type="dxa"/>
            <w:tcBorders>
              <w:top w:val="none" w:sz="0" w:space="0" w:color="auto"/>
              <w:left w:val="none" w:sz="0" w:space="0" w:color="auto"/>
              <w:bottom w:val="none" w:sz="0" w:space="0" w:color="auto"/>
              <w:right w:val="none" w:sz="0" w:space="0" w:color="auto"/>
            </w:tcBorders>
          </w:tcPr>
          <w:p w14:paraId="05FE6A0A" w14:textId="313C2405" w:rsidR="003E45AB" w:rsidRDefault="003E45A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120468">
              <w:t>3,471</w:t>
            </w:r>
          </w:p>
        </w:tc>
        <w:tc>
          <w:tcPr>
            <w:tcW w:w="1850" w:type="dxa"/>
            <w:tcBorders>
              <w:top w:val="none" w:sz="0" w:space="0" w:color="auto"/>
              <w:left w:val="none" w:sz="0" w:space="0" w:color="auto"/>
              <w:bottom w:val="none" w:sz="0" w:space="0" w:color="auto"/>
              <w:right w:val="none" w:sz="0" w:space="0" w:color="auto"/>
            </w:tcBorders>
          </w:tcPr>
          <w:p w14:paraId="0C36AED1" w14:textId="5B7C9B86" w:rsidR="003E45AB" w:rsidRDefault="003E45A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120468">
              <w:t>0.799</w:t>
            </w:r>
          </w:p>
        </w:tc>
        <w:tc>
          <w:tcPr>
            <w:tcW w:w="1850" w:type="dxa"/>
            <w:tcBorders>
              <w:top w:val="none" w:sz="0" w:space="0" w:color="auto"/>
              <w:left w:val="none" w:sz="0" w:space="0" w:color="auto"/>
              <w:bottom w:val="none" w:sz="0" w:space="0" w:color="auto"/>
              <w:right w:val="none" w:sz="0" w:space="0" w:color="auto"/>
            </w:tcBorders>
          </w:tcPr>
          <w:p w14:paraId="28DD4FB5" w14:textId="55F9F796" w:rsidR="003E45AB" w:rsidRDefault="003E45A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120468">
              <w:t>2,774</w:t>
            </w:r>
          </w:p>
        </w:tc>
      </w:tr>
      <w:tr w:rsidR="003E45AB" w14:paraId="35724B6A" w14:textId="77777777"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51C6541D" w14:textId="3C8FD1CA" w:rsidR="003E45AB" w:rsidRDefault="003E45AB" w:rsidP="003E45AB">
            <w:pPr>
              <w:pStyle w:val="NoSpacing"/>
            </w:pPr>
            <w:r w:rsidRPr="00F87E60">
              <w:t>3</w:t>
            </w:r>
          </w:p>
        </w:tc>
        <w:tc>
          <w:tcPr>
            <w:tcW w:w="1849" w:type="dxa"/>
            <w:tcBorders>
              <w:top w:val="none" w:sz="0" w:space="0" w:color="auto"/>
              <w:left w:val="none" w:sz="0" w:space="0" w:color="auto"/>
              <w:bottom w:val="none" w:sz="0" w:space="0" w:color="auto"/>
              <w:right w:val="none" w:sz="0" w:space="0" w:color="auto"/>
            </w:tcBorders>
          </w:tcPr>
          <w:p w14:paraId="4095C390" w14:textId="0AC004A8" w:rsidR="003E45AB"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120468">
              <w:t>25,097</w:t>
            </w:r>
          </w:p>
        </w:tc>
        <w:tc>
          <w:tcPr>
            <w:tcW w:w="1849" w:type="dxa"/>
            <w:tcBorders>
              <w:top w:val="none" w:sz="0" w:space="0" w:color="auto"/>
              <w:left w:val="none" w:sz="0" w:space="0" w:color="auto"/>
              <w:bottom w:val="none" w:sz="0" w:space="0" w:color="auto"/>
              <w:right w:val="none" w:sz="0" w:space="0" w:color="auto"/>
            </w:tcBorders>
          </w:tcPr>
          <w:p w14:paraId="4C7C3BC9" w14:textId="4A212B23" w:rsidR="003E45AB"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120468">
              <w:t>79%</w:t>
            </w:r>
          </w:p>
        </w:tc>
        <w:tc>
          <w:tcPr>
            <w:tcW w:w="1849" w:type="dxa"/>
            <w:tcBorders>
              <w:top w:val="none" w:sz="0" w:space="0" w:color="auto"/>
              <w:left w:val="none" w:sz="0" w:space="0" w:color="auto"/>
              <w:bottom w:val="none" w:sz="0" w:space="0" w:color="auto"/>
              <w:right w:val="none" w:sz="0" w:space="0" w:color="auto"/>
            </w:tcBorders>
          </w:tcPr>
          <w:p w14:paraId="550E6B01" w14:textId="63E0ED58" w:rsidR="003E45AB"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120468">
              <w:t>19,878</w:t>
            </w:r>
          </w:p>
        </w:tc>
        <w:tc>
          <w:tcPr>
            <w:tcW w:w="1850" w:type="dxa"/>
            <w:tcBorders>
              <w:top w:val="none" w:sz="0" w:space="0" w:color="auto"/>
              <w:left w:val="none" w:sz="0" w:space="0" w:color="auto"/>
              <w:bottom w:val="none" w:sz="0" w:space="0" w:color="auto"/>
              <w:right w:val="none" w:sz="0" w:space="0" w:color="auto"/>
            </w:tcBorders>
          </w:tcPr>
          <w:p w14:paraId="252BEF2A" w14:textId="234CFA0A" w:rsidR="003E45AB"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120468">
              <w:t>0.824</w:t>
            </w:r>
          </w:p>
        </w:tc>
        <w:tc>
          <w:tcPr>
            <w:tcW w:w="1850" w:type="dxa"/>
            <w:tcBorders>
              <w:top w:val="none" w:sz="0" w:space="0" w:color="auto"/>
              <w:left w:val="none" w:sz="0" w:space="0" w:color="auto"/>
              <w:bottom w:val="none" w:sz="0" w:space="0" w:color="auto"/>
              <w:right w:val="none" w:sz="0" w:space="0" w:color="auto"/>
            </w:tcBorders>
          </w:tcPr>
          <w:p w14:paraId="2182E405" w14:textId="1F57779E" w:rsidR="003E45AB" w:rsidRDefault="003E45AB" w:rsidP="008A60FE">
            <w:pPr>
              <w:pStyle w:val="NoSpacing"/>
              <w:jc w:val="right"/>
              <w:cnfStyle w:val="000000100000" w:firstRow="0" w:lastRow="0" w:firstColumn="0" w:lastColumn="0" w:oddVBand="0" w:evenVBand="0" w:oddHBand="1" w:evenHBand="0" w:firstRowFirstColumn="0" w:firstRowLastColumn="0" w:lastRowFirstColumn="0" w:lastRowLastColumn="0"/>
            </w:pPr>
            <w:r w:rsidRPr="00120468">
              <w:t>16,388</w:t>
            </w:r>
          </w:p>
        </w:tc>
      </w:tr>
      <w:tr w:rsidR="003E45AB" w14:paraId="492E5254" w14:textId="77777777" w:rsidTr="008A60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7CC3F2CD" w14:textId="140B540C" w:rsidR="003E45AB" w:rsidRDefault="003E45AB" w:rsidP="003E45AB">
            <w:pPr>
              <w:pStyle w:val="NoSpacing"/>
            </w:pPr>
            <w:r>
              <w:t>FS</w:t>
            </w:r>
          </w:p>
        </w:tc>
        <w:tc>
          <w:tcPr>
            <w:tcW w:w="1849" w:type="dxa"/>
            <w:tcBorders>
              <w:top w:val="none" w:sz="0" w:space="0" w:color="auto"/>
              <w:left w:val="none" w:sz="0" w:space="0" w:color="auto"/>
              <w:bottom w:val="none" w:sz="0" w:space="0" w:color="auto"/>
              <w:right w:val="none" w:sz="0" w:space="0" w:color="auto"/>
            </w:tcBorders>
          </w:tcPr>
          <w:p w14:paraId="0446A5C0" w14:textId="7F737D91" w:rsidR="003E45AB" w:rsidRDefault="000D2C7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0D2C7B">
              <w:t>10,210</w:t>
            </w:r>
          </w:p>
        </w:tc>
        <w:tc>
          <w:tcPr>
            <w:tcW w:w="1849" w:type="dxa"/>
            <w:tcBorders>
              <w:top w:val="none" w:sz="0" w:space="0" w:color="auto"/>
              <w:left w:val="none" w:sz="0" w:space="0" w:color="auto"/>
              <w:bottom w:val="none" w:sz="0" w:space="0" w:color="auto"/>
              <w:right w:val="none" w:sz="0" w:space="0" w:color="auto"/>
            </w:tcBorders>
          </w:tcPr>
          <w:p w14:paraId="25517338" w14:textId="19374BC5" w:rsidR="003E45AB" w:rsidRDefault="000D2C7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0D2C7B">
              <w:t>112%</w:t>
            </w:r>
          </w:p>
        </w:tc>
        <w:tc>
          <w:tcPr>
            <w:tcW w:w="1849" w:type="dxa"/>
            <w:tcBorders>
              <w:top w:val="none" w:sz="0" w:space="0" w:color="auto"/>
              <w:left w:val="none" w:sz="0" w:space="0" w:color="auto"/>
              <w:bottom w:val="none" w:sz="0" w:space="0" w:color="auto"/>
              <w:right w:val="none" w:sz="0" w:space="0" w:color="auto"/>
            </w:tcBorders>
          </w:tcPr>
          <w:p w14:paraId="40BDF539" w14:textId="79EE8B5B" w:rsidR="003E45AB" w:rsidRDefault="000D2C7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0D2C7B">
              <w:t>11,43</w:t>
            </w:r>
            <w:r w:rsidR="009D3A5A">
              <w:t>2</w:t>
            </w:r>
          </w:p>
        </w:tc>
        <w:tc>
          <w:tcPr>
            <w:tcW w:w="1850" w:type="dxa"/>
            <w:tcBorders>
              <w:top w:val="none" w:sz="0" w:space="0" w:color="auto"/>
              <w:left w:val="none" w:sz="0" w:space="0" w:color="auto"/>
              <w:bottom w:val="none" w:sz="0" w:space="0" w:color="auto"/>
              <w:right w:val="none" w:sz="0" w:space="0" w:color="auto"/>
            </w:tcBorders>
          </w:tcPr>
          <w:p w14:paraId="5275694B" w14:textId="6A62DA47" w:rsidR="003E45AB" w:rsidRDefault="000D2C7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0D2C7B">
              <w:t>0.801</w:t>
            </w:r>
          </w:p>
        </w:tc>
        <w:tc>
          <w:tcPr>
            <w:tcW w:w="1850" w:type="dxa"/>
            <w:tcBorders>
              <w:top w:val="none" w:sz="0" w:space="0" w:color="auto"/>
              <w:left w:val="none" w:sz="0" w:space="0" w:color="auto"/>
              <w:bottom w:val="none" w:sz="0" w:space="0" w:color="auto"/>
              <w:right w:val="none" w:sz="0" w:space="0" w:color="auto"/>
            </w:tcBorders>
          </w:tcPr>
          <w:p w14:paraId="7D553710" w14:textId="4E7345A3" w:rsidR="003E45AB" w:rsidRDefault="000D2C7B" w:rsidP="008A60FE">
            <w:pPr>
              <w:pStyle w:val="NoSpacing"/>
              <w:jc w:val="right"/>
              <w:cnfStyle w:val="000000010000" w:firstRow="0" w:lastRow="0" w:firstColumn="0" w:lastColumn="0" w:oddVBand="0" w:evenVBand="0" w:oddHBand="0" w:evenHBand="1" w:firstRowFirstColumn="0" w:firstRowLastColumn="0" w:lastRowFirstColumn="0" w:lastRowLastColumn="0"/>
            </w:pPr>
            <w:r w:rsidRPr="000D2C7B">
              <w:t>9,</w:t>
            </w:r>
            <w:r w:rsidR="009D3A5A" w:rsidRPr="000D2C7B">
              <w:t>15</w:t>
            </w:r>
            <w:r w:rsidR="009D3A5A">
              <w:t>4</w:t>
            </w:r>
          </w:p>
        </w:tc>
      </w:tr>
      <w:tr w:rsidR="003E45AB" w14:paraId="53C599D4" w14:textId="77777777" w:rsidTr="008A60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119418D" w14:textId="77777777" w:rsidR="003E45AB" w:rsidRPr="00881B1B" w:rsidRDefault="003E45AB" w:rsidP="003E45AB">
            <w:pPr>
              <w:pStyle w:val="NoSpacing"/>
              <w:rPr>
                <w:rFonts w:ascii="Franklin Gothic Medium" w:hAnsi="Franklin Gothic Medium"/>
              </w:rPr>
            </w:pPr>
            <w:r w:rsidRPr="00881B1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10F47A51" w14:textId="761AB24B" w:rsidR="003E45AB" w:rsidRPr="00881B1B" w:rsidRDefault="000D2C7B" w:rsidP="008A60FE">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39,928</w:t>
            </w:r>
          </w:p>
        </w:tc>
        <w:tc>
          <w:tcPr>
            <w:tcW w:w="1849" w:type="dxa"/>
            <w:tcBorders>
              <w:top w:val="none" w:sz="0" w:space="0" w:color="auto"/>
              <w:left w:val="none" w:sz="0" w:space="0" w:color="auto"/>
              <w:bottom w:val="none" w:sz="0" w:space="0" w:color="auto"/>
              <w:right w:val="none" w:sz="0" w:space="0" w:color="auto"/>
            </w:tcBorders>
          </w:tcPr>
          <w:p w14:paraId="0E0542D5" w14:textId="43502510" w:rsidR="003E45AB" w:rsidRPr="00881B1B" w:rsidRDefault="000D2C7B" w:rsidP="008A60FE">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89%</w:t>
            </w:r>
          </w:p>
        </w:tc>
        <w:tc>
          <w:tcPr>
            <w:tcW w:w="1849" w:type="dxa"/>
            <w:tcBorders>
              <w:top w:val="none" w:sz="0" w:space="0" w:color="auto"/>
              <w:left w:val="none" w:sz="0" w:space="0" w:color="auto"/>
              <w:bottom w:val="none" w:sz="0" w:space="0" w:color="auto"/>
              <w:right w:val="none" w:sz="0" w:space="0" w:color="auto"/>
            </w:tcBorders>
          </w:tcPr>
          <w:p w14:paraId="7AE18AD7" w14:textId="25F0D446" w:rsidR="003E45AB" w:rsidRPr="00881B1B" w:rsidRDefault="000D2C7B" w:rsidP="008A60FE">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35,64</w:t>
            </w:r>
            <w:r w:rsidR="009D3A5A">
              <w:rPr>
                <w:rFonts w:ascii="Franklin Gothic Medium" w:hAnsi="Franklin Gothic Medium"/>
              </w:rPr>
              <w:t>6</w:t>
            </w:r>
          </w:p>
        </w:tc>
        <w:tc>
          <w:tcPr>
            <w:tcW w:w="1850" w:type="dxa"/>
            <w:tcBorders>
              <w:top w:val="none" w:sz="0" w:space="0" w:color="auto"/>
              <w:left w:val="none" w:sz="0" w:space="0" w:color="auto"/>
              <w:bottom w:val="none" w:sz="0" w:space="0" w:color="auto"/>
              <w:right w:val="none" w:sz="0" w:space="0" w:color="auto"/>
            </w:tcBorders>
          </w:tcPr>
          <w:p w14:paraId="3998536A" w14:textId="2E3C436C" w:rsidR="003E45AB" w:rsidRPr="00881B1B" w:rsidRDefault="000D2C7B" w:rsidP="008A60FE">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0.814</w:t>
            </w:r>
          </w:p>
        </w:tc>
        <w:tc>
          <w:tcPr>
            <w:tcW w:w="1850" w:type="dxa"/>
            <w:tcBorders>
              <w:top w:val="none" w:sz="0" w:space="0" w:color="auto"/>
              <w:left w:val="none" w:sz="0" w:space="0" w:color="auto"/>
              <w:bottom w:val="none" w:sz="0" w:space="0" w:color="auto"/>
              <w:right w:val="none" w:sz="0" w:space="0" w:color="auto"/>
            </w:tcBorders>
          </w:tcPr>
          <w:p w14:paraId="23C4E659" w14:textId="14B857D9" w:rsidR="003E45AB" w:rsidRPr="00881B1B" w:rsidRDefault="000D2C7B" w:rsidP="008A60FE">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29,02</w:t>
            </w:r>
            <w:r w:rsidR="009D3A5A">
              <w:rPr>
                <w:rFonts w:ascii="Franklin Gothic Medium" w:hAnsi="Franklin Gothic Medium"/>
              </w:rPr>
              <w:t>1</w:t>
            </w:r>
          </w:p>
        </w:tc>
      </w:tr>
    </w:tbl>
    <w:p w14:paraId="48C36185" w14:textId="1807C8BF" w:rsidR="002E783A" w:rsidRDefault="002E783A" w:rsidP="00307925">
      <w:pPr>
        <w:pStyle w:val="Caption"/>
      </w:pPr>
      <w:bookmarkStart w:id="146" w:name="_Ref188004542"/>
      <w:bookmarkStart w:id="147" w:name="_Toc191992553"/>
      <w:bookmarkStart w:id="148" w:name="_Toc192766966"/>
      <w:r>
        <w:t xml:space="preserve">Table </w:t>
      </w:r>
      <w:r>
        <w:fldChar w:fldCharType="begin"/>
      </w:r>
      <w:r>
        <w:instrText xml:space="preserve"> SEQ Table \* ARABIC </w:instrText>
      </w:r>
      <w:r>
        <w:fldChar w:fldCharType="separate"/>
      </w:r>
      <w:r w:rsidR="00AA10F4">
        <w:rPr>
          <w:noProof/>
        </w:rPr>
        <w:t>32</w:t>
      </w:r>
      <w:r>
        <w:fldChar w:fldCharType="end"/>
      </w:r>
      <w:bookmarkEnd w:id="146"/>
      <w:r>
        <w:t>. 2024 Custom Incentives Channel Electric Demand Savings by Wave</w:t>
      </w:r>
      <w:bookmarkEnd w:id="147"/>
      <w:bookmarkEnd w:id="14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2E783A" w14:paraId="56C3914D" w14:textId="77777777" w:rsidTr="008A60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01DA8CE" w14:textId="77777777" w:rsidR="002E783A" w:rsidRDefault="002E783A" w:rsidP="002E783A">
            <w:pPr>
              <w:pStyle w:val="TableHeadingLeft"/>
            </w:pPr>
            <w:r>
              <w:t>Wave</w:t>
            </w:r>
          </w:p>
        </w:tc>
        <w:tc>
          <w:tcPr>
            <w:tcW w:w="1849" w:type="dxa"/>
            <w:tcBorders>
              <w:bottom w:val="none" w:sz="0" w:space="0" w:color="auto"/>
            </w:tcBorders>
          </w:tcPr>
          <w:p w14:paraId="5CE193B7" w14:textId="17B4BC36"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  </w:t>
            </w:r>
          </w:p>
        </w:tc>
        <w:tc>
          <w:tcPr>
            <w:tcW w:w="1849" w:type="dxa"/>
            <w:tcBorders>
              <w:bottom w:val="none" w:sz="0" w:space="0" w:color="auto"/>
            </w:tcBorders>
          </w:tcPr>
          <w:p w14:paraId="54ECCC1D"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1B5F5F4F" w14:textId="0BA52795"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  </w:t>
            </w:r>
          </w:p>
        </w:tc>
        <w:tc>
          <w:tcPr>
            <w:tcW w:w="1850" w:type="dxa"/>
            <w:tcBorders>
              <w:bottom w:val="none" w:sz="0" w:space="0" w:color="auto"/>
            </w:tcBorders>
          </w:tcPr>
          <w:p w14:paraId="34D82D52" w14:textId="77777777"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644F7189" w14:textId="59EC28F0" w:rsidR="002E783A" w:rsidRDefault="002E783A" w:rsidP="002E783A">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  </w:t>
            </w:r>
          </w:p>
        </w:tc>
      </w:tr>
      <w:tr w:rsidR="002E783A" w14:paraId="52742399"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7AA0C78" w14:textId="746FF9F0" w:rsidR="002E783A" w:rsidRDefault="002E783A" w:rsidP="002E783A">
            <w:pPr>
              <w:pStyle w:val="NoSpacing"/>
            </w:pPr>
            <w:r w:rsidRPr="00F87E60">
              <w:t>1</w:t>
            </w:r>
          </w:p>
        </w:tc>
        <w:tc>
          <w:tcPr>
            <w:tcW w:w="1849" w:type="dxa"/>
            <w:tcBorders>
              <w:top w:val="none" w:sz="0" w:space="0" w:color="auto"/>
              <w:left w:val="none" w:sz="0" w:space="0" w:color="auto"/>
              <w:bottom w:val="none" w:sz="0" w:space="0" w:color="auto"/>
              <w:right w:val="none" w:sz="0" w:space="0" w:color="auto"/>
            </w:tcBorders>
          </w:tcPr>
          <w:p w14:paraId="41AD14BC" w14:textId="6706E355" w:rsidR="002E783A" w:rsidRDefault="003E45AB"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3E45AB">
              <w:t>0.22</w:t>
            </w:r>
          </w:p>
        </w:tc>
        <w:tc>
          <w:tcPr>
            <w:tcW w:w="1849" w:type="dxa"/>
            <w:tcBorders>
              <w:top w:val="none" w:sz="0" w:space="0" w:color="auto"/>
              <w:left w:val="none" w:sz="0" w:space="0" w:color="auto"/>
              <w:bottom w:val="none" w:sz="0" w:space="0" w:color="auto"/>
              <w:right w:val="none" w:sz="0" w:space="0" w:color="auto"/>
            </w:tcBorders>
          </w:tcPr>
          <w:p w14:paraId="28015288" w14:textId="53EB66AA" w:rsidR="002E783A" w:rsidRDefault="00227724" w:rsidP="007A5BA2">
            <w:pPr>
              <w:pStyle w:val="NoSpacing"/>
              <w:jc w:val="right"/>
              <w:cnfStyle w:val="000000100000" w:firstRow="0" w:lastRow="0" w:firstColumn="0" w:lastColumn="0" w:oddVBand="0" w:evenVBand="0" w:oddHBand="1" w:evenHBand="0" w:firstRowFirstColumn="0" w:firstRowLastColumn="0" w:lastRowFirstColumn="0" w:lastRowLastColumn="0"/>
            </w:pPr>
            <w:r>
              <w:t>73</w:t>
            </w:r>
            <w:r w:rsidR="003E45AB" w:rsidRPr="003E45AB">
              <w:t>%</w:t>
            </w:r>
          </w:p>
        </w:tc>
        <w:tc>
          <w:tcPr>
            <w:tcW w:w="1849" w:type="dxa"/>
            <w:tcBorders>
              <w:top w:val="none" w:sz="0" w:space="0" w:color="auto"/>
              <w:left w:val="none" w:sz="0" w:space="0" w:color="auto"/>
              <w:bottom w:val="none" w:sz="0" w:space="0" w:color="auto"/>
              <w:right w:val="none" w:sz="0" w:space="0" w:color="auto"/>
            </w:tcBorders>
          </w:tcPr>
          <w:p w14:paraId="55C7E3E7" w14:textId="73E7B7C4" w:rsidR="002E783A" w:rsidRDefault="003E45AB"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3E45AB">
              <w:t>0.</w:t>
            </w:r>
            <w:r w:rsidR="00227724" w:rsidRPr="003E45AB">
              <w:t>1</w:t>
            </w:r>
            <w:r w:rsidR="00227724">
              <w:t>7</w:t>
            </w:r>
          </w:p>
        </w:tc>
        <w:tc>
          <w:tcPr>
            <w:tcW w:w="1850" w:type="dxa"/>
            <w:tcBorders>
              <w:top w:val="none" w:sz="0" w:space="0" w:color="auto"/>
              <w:left w:val="none" w:sz="0" w:space="0" w:color="auto"/>
              <w:bottom w:val="none" w:sz="0" w:space="0" w:color="auto"/>
              <w:right w:val="none" w:sz="0" w:space="0" w:color="auto"/>
            </w:tcBorders>
          </w:tcPr>
          <w:p w14:paraId="707EED1B" w14:textId="14EA13F5" w:rsidR="002E783A" w:rsidRDefault="003E45AB"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3E45AB">
              <w:t>0.805</w:t>
            </w:r>
          </w:p>
        </w:tc>
        <w:tc>
          <w:tcPr>
            <w:tcW w:w="1850" w:type="dxa"/>
            <w:tcBorders>
              <w:top w:val="none" w:sz="0" w:space="0" w:color="auto"/>
              <w:left w:val="none" w:sz="0" w:space="0" w:color="auto"/>
              <w:bottom w:val="none" w:sz="0" w:space="0" w:color="auto"/>
              <w:right w:val="none" w:sz="0" w:space="0" w:color="auto"/>
            </w:tcBorders>
          </w:tcPr>
          <w:p w14:paraId="505B1CFE" w14:textId="305AE866" w:rsidR="002E783A" w:rsidRDefault="003E45AB"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3E45AB">
              <w:t>0.</w:t>
            </w:r>
            <w:r w:rsidR="00227724" w:rsidRPr="003E45AB">
              <w:t>1</w:t>
            </w:r>
            <w:r w:rsidR="00227724">
              <w:t>3</w:t>
            </w:r>
          </w:p>
        </w:tc>
      </w:tr>
      <w:tr w:rsidR="00120468" w14:paraId="6ACE86F1"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C8690EE" w14:textId="06D457F0" w:rsidR="00120468" w:rsidRDefault="00120468" w:rsidP="00120468">
            <w:pPr>
              <w:pStyle w:val="NoSpacing"/>
            </w:pPr>
            <w:r w:rsidRPr="00F87E60">
              <w:t>2</w:t>
            </w:r>
          </w:p>
        </w:tc>
        <w:tc>
          <w:tcPr>
            <w:tcW w:w="1849" w:type="dxa"/>
            <w:tcBorders>
              <w:top w:val="none" w:sz="0" w:space="0" w:color="auto"/>
              <w:left w:val="none" w:sz="0" w:space="0" w:color="auto"/>
              <w:bottom w:val="none" w:sz="0" w:space="0" w:color="auto"/>
              <w:right w:val="none" w:sz="0" w:space="0" w:color="auto"/>
            </w:tcBorders>
          </w:tcPr>
          <w:p w14:paraId="6172C6F6" w14:textId="4A2D69D6" w:rsidR="00120468" w:rsidRDefault="00120468"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120468">
              <w:t>0.76</w:t>
            </w:r>
          </w:p>
        </w:tc>
        <w:tc>
          <w:tcPr>
            <w:tcW w:w="1849" w:type="dxa"/>
            <w:tcBorders>
              <w:top w:val="none" w:sz="0" w:space="0" w:color="auto"/>
              <w:left w:val="none" w:sz="0" w:space="0" w:color="auto"/>
              <w:bottom w:val="none" w:sz="0" w:space="0" w:color="auto"/>
              <w:right w:val="none" w:sz="0" w:space="0" w:color="auto"/>
            </w:tcBorders>
          </w:tcPr>
          <w:p w14:paraId="0B47B6AB" w14:textId="3F3E246A" w:rsidR="00120468" w:rsidRDefault="00120468"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120468">
              <w:t>67%</w:t>
            </w:r>
          </w:p>
        </w:tc>
        <w:tc>
          <w:tcPr>
            <w:tcW w:w="1849" w:type="dxa"/>
            <w:tcBorders>
              <w:top w:val="none" w:sz="0" w:space="0" w:color="auto"/>
              <w:left w:val="none" w:sz="0" w:space="0" w:color="auto"/>
              <w:bottom w:val="none" w:sz="0" w:space="0" w:color="auto"/>
              <w:right w:val="none" w:sz="0" w:space="0" w:color="auto"/>
            </w:tcBorders>
          </w:tcPr>
          <w:p w14:paraId="593775CB" w14:textId="1D8B8F9A" w:rsidR="00120468" w:rsidRDefault="00120468"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120468">
              <w:t>0.50</w:t>
            </w:r>
          </w:p>
        </w:tc>
        <w:tc>
          <w:tcPr>
            <w:tcW w:w="1850" w:type="dxa"/>
            <w:tcBorders>
              <w:top w:val="none" w:sz="0" w:space="0" w:color="auto"/>
              <w:left w:val="none" w:sz="0" w:space="0" w:color="auto"/>
              <w:bottom w:val="none" w:sz="0" w:space="0" w:color="auto"/>
              <w:right w:val="none" w:sz="0" w:space="0" w:color="auto"/>
            </w:tcBorders>
          </w:tcPr>
          <w:p w14:paraId="3FAEC503" w14:textId="32D53285" w:rsidR="00120468" w:rsidRDefault="00120468"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120468">
              <w:t>0.827</w:t>
            </w:r>
          </w:p>
        </w:tc>
        <w:tc>
          <w:tcPr>
            <w:tcW w:w="1850" w:type="dxa"/>
            <w:tcBorders>
              <w:top w:val="none" w:sz="0" w:space="0" w:color="auto"/>
              <w:left w:val="none" w:sz="0" w:space="0" w:color="auto"/>
              <w:bottom w:val="none" w:sz="0" w:space="0" w:color="auto"/>
              <w:right w:val="none" w:sz="0" w:space="0" w:color="auto"/>
            </w:tcBorders>
          </w:tcPr>
          <w:p w14:paraId="2EC8DCE2" w14:textId="6F0E3051" w:rsidR="00120468" w:rsidRDefault="00120468"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120468">
              <w:t>0.42</w:t>
            </w:r>
          </w:p>
        </w:tc>
      </w:tr>
      <w:tr w:rsidR="00120468" w14:paraId="42AED8D7"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01BB846" w14:textId="1B3E4D75" w:rsidR="00120468" w:rsidRDefault="00120468" w:rsidP="00120468">
            <w:pPr>
              <w:pStyle w:val="NoSpacing"/>
            </w:pPr>
            <w:r w:rsidRPr="00F87E60">
              <w:t>3</w:t>
            </w:r>
          </w:p>
        </w:tc>
        <w:tc>
          <w:tcPr>
            <w:tcW w:w="1849" w:type="dxa"/>
            <w:tcBorders>
              <w:top w:val="none" w:sz="0" w:space="0" w:color="auto"/>
              <w:left w:val="none" w:sz="0" w:space="0" w:color="auto"/>
              <w:bottom w:val="none" w:sz="0" w:space="0" w:color="auto"/>
              <w:right w:val="none" w:sz="0" w:space="0" w:color="auto"/>
            </w:tcBorders>
          </w:tcPr>
          <w:p w14:paraId="12791E7D" w14:textId="265AA3DC" w:rsidR="00120468" w:rsidRDefault="00120468"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120468">
              <w:t>3.03</w:t>
            </w:r>
          </w:p>
        </w:tc>
        <w:tc>
          <w:tcPr>
            <w:tcW w:w="1849" w:type="dxa"/>
            <w:tcBorders>
              <w:top w:val="none" w:sz="0" w:space="0" w:color="auto"/>
              <w:left w:val="none" w:sz="0" w:space="0" w:color="auto"/>
              <w:bottom w:val="none" w:sz="0" w:space="0" w:color="auto"/>
              <w:right w:val="none" w:sz="0" w:space="0" w:color="auto"/>
            </w:tcBorders>
          </w:tcPr>
          <w:p w14:paraId="4B9358B5" w14:textId="162775B4" w:rsidR="00120468" w:rsidRDefault="009D3A5A" w:rsidP="007A5BA2">
            <w:pPr>
              <w:pStyle w:val="NoSpacing"/>
              <w:jc w:val="right"/>
              <w:cnfStyle w:val="000000100000" w:firstRow="0" w:lastRow="0" w:firstColumn="0" w:lastColumn="0" w:oddVBand="0" w:evenVBand="0" w:oddHBand="1" w:evenHBand="0" w:firstRowFirstColumn="0" w:firstRowLastColumn="0" w:lastRowFirstColumn="0" w:lastRowLastColumn="0"/>
            </w:pPr>
            <w:r>
              <w:t>107</w:t>
            </w:r>
            <w:r w:rsidR="00120468" w:rsidRPr="00120468">
              <w:t>%</w:t>
            </w:r>
          </w:p>
        </w:tc>
        <w:tc>
          <w:tcPr>
            <w:tcW w:w="1849" w:type="dxa"/>
            <w:tcBorders>
              <w:top w:val="none" w:sz="0" w:space="0" w:color="auto"/>
              <w:left w:val="none" w:sz="0" w:space="0" w:color="auto"/>
              <w:bottom w:val="none" w:sz="0" w:space="0" w:color="auto"/>
              <w:right w:val="none" w:sz="0" w:space="0" w:color="auto"/>
            </w:tcBorders>
          </w:tcPr>
          <w:p w14:paraId="6EBEF38A" w14:textId="241D933D" w:rsidR="00120468" w:rsidRDefault="009D3A5A" w:rsidP="007A5BA2">
            <w:pPr>
              <w:pStyle w:val="NoSpacing"/>
              <w:jc w:val="right"/>
              <w:cnfStyle w:val="000000100000" w:firstRow="0" w:lastRow="0" w:firstColumn="0" w:lastColumn="0" w:oddVBand="0" w:evenVBand="0" w:oddHBand="1" w:evenHBand="0" w:firstRowFirstColumn="0" w:firstRowLastColumn="0" w:lastRowFirstColumn="0" w:lastRowLastColumn="0"/>
            </w:pPr>
            <w:r>
              <w:t>3.25</w:t>
            </w:r>
          </w:p>
        </w:tc>
        <w:tc>
          <w:tcPr>
            <w:tcW w:w="1850" w:type="dxa"/>
            <w:tcBorders>
              <w:top w:val="none" w:sz="0" w:space="0" w:color="auto"/>
              <w:left w:val="none" w:sz="0" w:space="0" w:color="auto"/>
              <w:bottom w:val="none" w:sz="0" w:space="0" w:color="auto"/>
              <w:right w:val="none" w:sz="0" w:space="0" w:color="auto"/>
            </w:tcBorders>
          </w:tcPr>
          <w:p w14:paraId="2E91E288" w14:textId="713B8D6C" w:rsidR="00120468" w:rsidRDefault="00120468" w:rsidP="007A5BA2">
            <w:pPr>
              <w:pStyle w:val="NoSpacing"/>
              <w:jc w:val="right"/>
              <w:cnfStyle w:val="000000100000" w:firstRow="0" w:lastRow="0" w:firstColumn="0" w:lastColumn="0" w:oddVBand="0" w:evenVBand="0" w:oddHBand="1" w:evenHBand="0" w:firstRowFirstColumn="0" w:firstRowLastColumn="0" w:lastRowFirstColumn="0" w:lastRowLastColumn="0"/>
            </w:pPr>
            <w:r w:rsidRPr="00120468">
              <w:t>0.822</w:t>
            </w:r>
          </w:p>
        </w:tc>
        <w:tc>
          <w:tcPr>
            <w:tcW w:w="1850" w:type="dxa"/>
            <w:tcBorders>
              <w:top w:val="none" w:sz="0" w:space="0" w:color="auto"/>
              <w:left w:val="none" w:sz="0" w:space="0" w:color="auto"/>
              <w:bottom w:val="none" w:sz="0" w:space="0" w:color="auto"/>
              <w:right w:val="none" w:sz="0" w:space="0" w:color="auto"/>
            </w:tcBorders>
          </w:tcPr>
          <w:p w14:paraId="2DAC3660" w14:textId="31CA3C06" w:rsidR="00120468" w:rsidRDefault="009D3A5A" w:rsidP="007A5BA2">
            <w:pPr>
              <w:pStyle w:val="NoSpacing"/>
              <w:jc w:val="right"/>
              <w:cnfStyle w:val="000000100000" w:firstRow="0" w:lastRow="0" w:firstColumn="0" w:lastColumn="0" w:oddVBand="0" w:evenVBand="0" w:oddHBand="1" w:evenHBand="0" w:firstRowFirstColumn="0" w:firstRowLastColumn="0" w:lastRowFirstColumn="0" w:lastRowLastColumn="0"/>
            </w:pPr>
            <w:r>
              <w:t>2.67</w:t>
            </w:r>
          </w:p>
        </w:tc>
      </w:tr>
      <w:tr w:rsidR="00120468" w14:paraId="1DBEB458"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8C19363" w14:textId="6070CB83" w:rsidR="00120468" w:rsidRDefault="00120468" w:rsidP="00120468">
            <w:pPr>
              <w:pStyle w:val="NoSpacing"/>
            </w:pPr>
            <w:r>
              <w:t>FS</w:t>
            </w:r>
          </w:p>
        </w:tc>
        <w:tc>
          <w:tcPr>
            <w:tcW w:w="1849" w:type="dxa"/>
            <w:tcBorders>
              <w:top w:val="none" w:sz="0" w:space="0" w:color="auto"/>
              <w:left w:val="none" w:sz="0" w:space="0" w:color="auto"/>
              <w:bottom w:val="none" w:sz="0" w:space="0" w:color="auto"/>
              <w:right w:val="none" w:sz="0" w:space="0" w:color="auto"/>
            </w:tcBorders>
          </w:tcPr>
          <w:p w14:paraId="45400A4A" w14:textId="30FCEAFA"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0.03</w:t>
            </w:r>
          </w:p>
        </w:tc>
        <w:tc>
          <w:tcPr>
            <w:tcW w:w="1849" w:type="dxa"/>
            <w:tcBorders>
              <w:top w:val="none" w:sz="0" w:space="0" w:color="auto"/>
              <w:left w:val="none" w:sz="0" w:space="0" w:color="auto"/>
              <w:bottom w:val="none" w:sz="0" w:space="0" w:color="auto"/>
              <w:right w:val="none" w:sz="0" w:space="0" w:color="auto"/>
            </w:tcBorders>
          </w:tcPr>
          <w:p w14:paraId="44D7A41B" w14:textId="7441939A"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-1156%</w:t>
            </w:r>
          </w:p>
        </w:tc>
        <w:tc>
          <w:tcPr>
            <w:tcW w:w="1849" w:type="dxa"/>
            <w:tcBorders>
              <w:top w:val="none" w:sz="0" w:space="0" w:color="auto"/>
              <w:left w:val="none" w:sz="0" w:space="0" w:color="auto"/>
              <w:bottom w:val="none" w:sz="0" w:space="0" w:color="auto"/>
              <w:right w:val="none" w:sz="0" w:space="0" w:color="auto"/>
            </w:tcBorders>
          </w:tcPr>
          <w:p w14:paraId="1FBF76E1" w14:textId="3B651FA3"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-0.29</w:t>
            </w:r>
          </w:p>
        </w:tc>
        <w:tc>
          <w:tcPr>
            <w:tcW w:w="1850" w:type="dxa"/>
            <w:tcBorders>
              <w:top w:val="none" w:sz="0" w:space="0" w:color="auto"/>
              <w:left w:val="none" w:sz="0" w:space="0" w:color="auto"/>
              <w:bottom w:val="none" w:sz="0" w:space="0" w:color="auto"/>
              <w:right w:val="none" w:sz="0" w:space="0" w:color="auto"/>
            </w:tcBorders>
          </w:tcPr>
          <w:p w14:paraId="0F404BC4" w14:textId="276851E6"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0.751</w:t>
            </w:r>
          </w:p>
        </w:tc>
        <w:tc>
          <w:tcPr>
            <w:tcW w:w="1850" w:type="dxa"/>
            <w:tcBorders>
              <w:top w:val="none" w:sz="0" w:space="0" w:color="auto"/>
              <w:left w:val="none" w:sz="0" w:space="0" w:color="auto"/>
              <w:bottom w:val="none" w:sz="0" w:space="0" w:color="auto"/>
              <w:right w:val="none" w:sz="0" w:space="0" w:color="auto"/>
            </w:tcBorders>
          </w:tcPr>
          <w:p w14:paraId="30A75042" w14:textId="0F1035E1"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-0.22</w:t>
            </w:r>
          </w:p>
        </w:tc>
      </w:tr>
      <w:tr w:rsidR="00120468" w14:paraId="5CC8E4B2"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8194892" w14:textId="77777777" w:rsidR="00120468" w:rsidRPr="00881B1B" w:rsidRDefault="00120468" w:rsidP="00120468">
            <w:pPr>
              <w:pStyle w:val="NoSpacing"/>
              <w:rPr>
                <w:rFonts w:ascii="Franklin Gothic Medium" w:hAnsi="Franklin Gothic Medium"/>
              </w:rPr>
            </w:pPr>
            <w:r w:rsidRPr="00881B1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3D01D026" w14:textId="421CC012"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4.04</w:t>
            </w:r>
          </w:p>
        </w:tc>
        <w:tc>
          <w:tcPr>
            <w:tcW w:w="1849" w:type="dxa"/>
            <w:tcBorders>
              <w:top w:val="none" w:sz="0" w:space="0" w:color="auto"/>
              <w:left w:val="none" w:sz="0" w:space="0" w:color="auto"/>
              <w:bottom w:val="none" w:sz="0" w:space="0" w:color="auto"/>
              <w:right w:val="none" w:sz="0" w:space="0" w:color="auto"/>
            </w:tcBorders>
          </w:tcPr>
          <w:p w14:paraId="099B03BF" w14:textId="35C34CE3" w:rsidR="00120468" w:rsidRPr="00881B1B" w:rsidRDefault="00227724"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90</w:t>
            </w:r>
            <w:r w:rsidR="000D2C7B" w:rsidRPr="00881B1B">
              <w:rPr>
                <w:rFonts w:ascii="Franklin Gothic Medium" w:hAnsi="Franklin Gothic Medium"/>
              </w:rPr>
              <w:t>%</w:t>
            </w:r>
          </w:p>
        </w:tc>
        <w:tc>
          <w:tcPr>
            <w:tcW w:w="1849" w:type="dxa"/>
            <w:tcBorders>
              <w:top w:val="none" w:sz="0" w:space="0" w:color="auto"/>
              <w:left w:val="none" w:sz="0" w:space="0" w:color="auto"/>
              <w:bottom w:val="none" w:sz="0" w:space="0" w:color="auto"/>
              <w:right w:val="none" w:sz="0" w:space="0" w:color="auto"/>
            </w:tcBorders>
          </w:tcPr>
          <w:p w14:paraId="1AEB63DF" w14:textId="66EC9A00" w:rsidR="00120468" w:rsidRPr="00881B1B" w:rsidRDefault="009D3A5A"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3.6</w:t>
            </w:r>
            <w:r w:rsidR="00227724">
              <w:rPr>
                <w:rFonts w:ascii="Franklin Gothic Medium" w:hAnsi="Franklin Gothic Medium"/>
              </w:rPr>
              <w:t>3</w:t>
            </w:r>
          </w:p>
        </w:tc>
        <w:tc>
          <w:tcPr>
            <w:tcW w:w="1850" w:type="dxa"/>
            <w:tcBorders>
              <w:top w:val="none" w:sz="0" w:space="0" w:color="auto"/>
              <w:left w:val="none" w:sz="0" w:space="0" w:color="auto"/>
              <w:bottom w:val="none" w:sz="0" w:space="0" w:color="auto"/>
              <w:right w:val="none" w:sz="0" w:space="0" w:color="auto"/>
            </w:tcBorders>
          </w:tcPr>
          <w:p w14:paraId="53631F4D" w14:textId="3A525691"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0.83</w:t>
            </w:r>
            <w:r w:rsidR="009D3A5A">
              <w:rPr>
                <w:rFonts w:ascii="Franklin Gothic Medium" w:hAnsi="Franklin Gothic Medium"/>
              </w:rPr>
              <w:t>4</w:t>
            </w:r>
          </w:p>
        </w:tc>
        <w:tc>
          <w:tcPr>
            <w:tcW w:w="1850" w:type="dxa"/>
            <w:tcBorders>
              <w:top w:val="none" w:sz="0" w:space="0" w:color="auto"/>
              <w:left w:val="none" w:sz="0" w:space="0" w:color="auto"/>
              <w:bottom w:val="none" w:sz="0" w:space="0" w:color="auto"/>
              <w:right w:val="none" w:sz="0" w:space="0" w:color="auto"/>
            </w:tcBorders>
          </w:tcPr>
          <w:p w14:paraId="1CB4BD25" w14:textId="4F91BA92" w:rsidR="00120468" w:rsidRPr="00881B1B" w:rsidRDefault="00227724"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Pr>
                <w:rFonts w:ascii="Franklin Gothic Medium" w:hAnsi="Franklin Gothic Medium"/>
              </w:rPr>
              <w:t>3</w:t>
            </w:r>
            <w:r w:rsidR="000D2C7B" w:rsidRPr="00881B1B">
              <w:rPr>
                <w:rFonts w:ascii="Franklin Gothic Medium" w:hAnsi="Franklin Gothic Medium"/>
              </w:rPr>
              <w:t>.</w:t>
            </w:r>
            <w:r>
              <w:rPr>
                <w:rFonts w:ascii="Franklin Gothic Medium" w:hAnsi="Franklin Gothic Medium"/>
              </w:rPr>
              <w:t>00</w:t>
            </w:r>
          </w:p>
        </w:tc>
      </w:tr>
    </w:tbl>
    <w:p w14:paraId="1EA4EFFD" w14:textId="6F6046F8" w:rsidR="002E783A" w:rsidRDefault="002E783A" w:rsidP="00307925">
      <w:pPr>
        <w:pStyle w:val="Caption"/>
      </w:pPr>
      <w:bookmarkStart w:id="149" w:name="_Ref188004557"/>
      <w:bookmarkStart w:id="150" w:name="_Toc191992554"/>
      <w:bookmarkStart w:id="151" w:name="_Toc192766967"/>
      <w:r>
        <w:lastRenderedPageBreak/>
        <w:t xml:space="preserve">Table </w:t>
      </w:r>
      <w:r>
        <w:fldChar w:fldCharType="begin"/>
      </w:r>
      <w:r>
        <w:instrText xml:space="preserve"> SEQ Table \* ARABIC </w:instrText>
      </w:r>
      <w:r>
        <w:fldChar w:fldCharType="separate"/>
      </w:r>
      <w:r w:rsidR="00AA10F4">
        <w:rPr>
          <w:noProof/>
        </w:rPr>
        <w:t>33</w:t>
      </w:r>
      <w:r>
        <w:fldChar w:fldCharType="end"/>
      </w:r>
      <w:bookmarkEnd w:id="149"/>
      <w:r>
        <w:t>. 2024 Custom Incentives Channel Gas Savings by Wave</w:t>
      </w:r>
      <w:bookmarkEnd w:id="150"/>
      <w:bookmarkEnd w:id="151"/>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849"/>
        <w:gridCol w:w="1849"/>
        <w:gridCol w:w="1849"/>
        <w:gridCol w:w="1849"/>
        <w:gridCol w:w="1850"/>
        <w:gridCol w:w="1850"/>
      </w:tblGrid>
      <w:tr w:rsidR="002E783A" w14:paraId="41BB2A9F" w14:textId="77777777" w:rsidTr="00881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F51698D" w14:textId="77777777" w:rsidR="002E783A" w:rsidRDefault="002E783A" w:rsidP="00307925">
            <w:pPr>
              <w:pStyle w:val="TableHeadingLeft"/>
              <w:keepNext/>
              <w:keepLines/>
            </w:pPr>
            <w:r>
              <w:t>Wave</w:t>
            </w:r>
          </w:p>
        </w:tc>
        <w:tc>
          <w:tcPr>
            <w:tcW w:w="1849" w:type="dxa"/>
            <w:tcBorders>
              <w:bottom w:val="none" w:sz="0" w:space="0" w:color="auto"/>
            </w:tcBorders>
          </w:tcPr>
          <w:p w14:paraId="614B0430" w14:textId="24AF4E4E" w:rsidR="002E783A" w:rsidRDefault="002E783A" w:rsidP="003079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Ex Ante Gross Savings (</w:t>
            </w:r>
            <w:r w:rsidR="00227724">
              <w:t>Therms</w:t>
            </w:r>
            <w:r w:rsidRPr="00F87E60">
              <w:t xml:space="preserve">)  </w:t>
            </w:r>
          </w:p>
        </w:tc>
        <w:tc>
          <w:tcPr>
            <w:tcW w:w="1849" w:type="dxa"/>
            <w:tcBorders>
              <w:bottom w:val="none" w:sz="0" w:space="0" w:color="auto"/>
            </w:tcBorders>
          </w:tcPr>
          <w:p w14:paraId="15EC8799" w14:textId="77777777" w:rsidR="002E783A" w:rsidRDefault="002E783A" w:rsidP="003079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2E1AAA1C" w14:textId="0401109C" w:rsidR="002E783A" w:rsidRDefault="002E783A" w:rsidP="003079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Gross Savings (</w:t>
            </w:r>
            <w:r w:rsidR="00227724">
              <w:t>Therms</w:t>
            </w:r>
            <w:r w:rsidRPr="00F87E60">
              <w:t xml:space="preserve">)  </w:t>
            </w:r>
          </w:p>
        </w:tc>
        <w:tc>
          <w:tcPr>
            <w:tcW w:w="1850" w:type="dxa"/>
            <w:tcBorders>
              <w:bottom w:val="none" w:sz="0" w:space="0" w:color="auto"/>
            </w:tcBorders>
          </w:tcPr>
          <w:p w14:paraId="4FFCD07C" w14:textId="77777777" w:rsidR="002E783A" w:rsidRDefault="002E783A" w:rsidP="003079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30D6F67F" w14:textId="45151E0A" w:rsidR="002E783A" w:rsidRDefault="002E783A" w:rsidP="003079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Net Savings (</w:t>
            </w:r>
            <w:r w:rsidR="00227724">
              <w:t>Therms</w:t>
            </w:r>
            <w:r w:rsidRPr="00F87E60">
              <w:t xml:space="preserve">)  </w:t>
            </w:r>
          </w:p>
        </w:tc>
      </w:tr>
      <w:tr w:rsidR="002E783A" w14:paraId="7D970FD3"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45EF05A" w14:textId="77777777" w:rsidR="002E783A" w:rsidRDefault="002E783A" w:rsidP="00307925">
            <w:pPr>
              <w:pStyle w:val="NoSpacing"/>
              <w:keepNext/>
              <w:keepLines/>
            </w:pPr>
            <w:r w:rsidRPr="00F87E60">
              <w:t>1</w:t>
            </w:r>
          </w:p>
        </w:tc>
        <w:tc>
          <w:tcPr>
            <w:tcW w:w="1849" w:type="dxa"/>
            <w:tcBorders>
              <w:top w:val="none" w:sz="0" w:space="0" w:color="auto"/>
              <w:left w:val="none" w:sz="0" w:space="0" w:color="auto"/>
              <w:bottom w:val="none" w:sz="0" w:space="0" w:color="auto"/>
              <w:right w:val="none" w:sz="0" w:space="0" w:color="auto"/>
            </w:tcBorders>
          </w:tcPr>
          <w:p w14:paraId="09377754" w14:textId="5E480FAB" w:rsidR="002E783A" w:rsidRDefault="003E45AB"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3E45AB">
              <w:t>59,615</w:t>
            </w:r>
          </w:p>
        </w:tc>
        <w:tc>
          <w:tcPr>
            <w:tcW w:w="1849" w:type="dxa"/>
            <w:tcBorders>
              <w:top w:val="none" w:sz="0" w:space="0" w:color="auto"/>
              <w:left w:val="none" w:sz="0" w:space="0" w:color="auto"/>
              <w:bottom w:val="none" w:sz="0" w:space="0" w:color="auto"/>
              <w:right w:val="none" w:sz="0" w:space="0" w:color="auto"/>
            </w:tcBorders>
          </w:tcPr>
          <w:p w14:paraId="2FE981B2" w14:textId="7673B8C0" w:rsidR="002E783A" w:rsidRDefault="003E45AB"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3E45AB">
              <w:t>66%</w:t>
            </w:r>
          </w:p>
        </w:tc>
        <w:tc>
          <w:tcPr>
            <w:tcW w:w="1849" w:type="dxa"/>
            <w:tcBorders>
              <w:top w:val="none" w:sz="0" w:space="0" w:color="auto"/>
              <w:left w:val="none" w:sz="0" w:space="0" w:color="auto"/>
              <w:bottom w:val="none" w:sz="0" w:space="0" w:color="auto"/>
              <w:right w:val="none" w:sz="0" w:space="0" w:color="auto"/>
            </w:tcBorders>
          </w:tcPr>
          <w:p w14:paraId="2C215BA3" w14:textId="32F3F994" w:rsidR="002E783A" w:rsidRDefault="003E45AB"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3E45AB">
              <w:t>39,576</w:t>
            </w:r>
          </w:p>
        </w:tc>
        <w:tc>
          <w:tcPr>
            <w:tcW w:w="1850" w:type="dxa"/>
            <w:tcBorders>
              <w:top w:val="none" w:sz="0" w:space="0" w:color="auto"/>
              <w:left w:val="none" w:sz="0" w:space="0" w:color="auto"/>
              <w:bottom w:val="none" w:sz="0" w:space="0" w:color="auto"/>
              <w:right w:val="none" w:sz="0" w:space="0" w:color="auto"/>
            </w:tcBorders>
          </w:tcPr>
          <w:p w14:paraId="16C54B1E" w14:textId="275DFAB0" w:rsidR="002E783A" w:rsidRDefault="003E45AB"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3E45AB">
              <w:t>0.865</w:t>
            </w:r>
          </w:p>
        </w:tc>
        <w:tc>
          <w:tcPr>
            <w:tcW w:w="1850" w:type="dxa"/>
            <w:tcBorders>
              <w:top w:val="none" w:sz="0" w:space="0" w:color="auto"/>
              <w:left w:val="none" w:sz="0" w:space="0" w:color="auto"/>
              <w:bottom w:val="none" w:sz="0" w:space="0" w:color="auto"/>
              <w:right w:val="none" w:sz="0" w:space="0" w:color="auto"/>
            </w:tcBorders>
          </w:tcPr>
          <w:p w14:paraId="29DF7BA4" w14:textId="1C6C4370" w:rsidR="002E783A" w:rsidRDefault="003E45AB"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3E45AB">
              <w:t>34,223</w:t>
            </w:r>
          </w:p>
        </w:tc>
      </w:tr>
      <w:tr w:rsidR="00120468" w14:paraId="76B63251"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7471C46" w14:textId="77777777" w:rsidR="00120468" w:rsidRDefault="00120468" w:rsidP="00307925">
            <w:pPr>
              <w:pStyle w:val="NoSpacing"/>
              <w:keepNext/>
              <w:keepLines/>
            </w:pPr>
            <w:r w:rsidRPr="00F87E60">
              <w:t>2</w:t>
            </w:r>
          </w:p>
        </w:tc>
        <w:tc>
          <w:tcPr>
            <w:tcW w:w="1849" w:type="dxa"/>
            <w:tcBorders>
              <w:top w:val="none" w:sz="0" w:space="0" w:color="auto"/>
              <w:left w:val="none" w:sz="0" w:space="0" w:color="auto"/>
              <w:bottom w:val="none" w:sz="0" w:space="0" w:color="auto"/>
              <w:right w:val="none" w:sz="0" w:space="0" w:color="auto"/>
            </w:tcBorders>
          </w:tcPr>
          <w:p w14:paraId="6E145E67" w14:textId="41B64FF7" w:rsidR="00120468" w:rsidRDefault="00120468" w:rsidP="007A5BA2">
            <w:pPr>
              <w:pStyle w:val="NoSpacing"/>
              <w:keepNext/>
              <w:keepLines/>
              <w:jc w:val="right"/>
              <w:cnfStyle w:val="000000010000" w:firstRow="0" w:lastRow="0" w:firstColumn="0" w:lastColumn="0" w:oddVBand="0" w:evenVBand="0" w:oddHBand="0" w:evenHBand="1" w:firstRowFirstColumn="0" w:firstRowLastColumn="0" w:lastRowFirstColumn="0" w:lastRowLastColumn="0"/>
            </w:pPr>
            <w:r w:rsidRPr="00120468">
              <w:t>53,950</w:t>
            </w:r>
          </w:p>
        </w:tc>
        <w:tc>
          <w:tcPr>
            <w:tcW w:w="1849" w:type="dxa"/>
            <w:tcBorders>
              <w:top w:val="none" w:sz="0" w:space="0" w:color="auto"/>
              <w:left w:val="none" w:sz="0" w:space="0" w:color="auto"/>
              <w:bottom w:val="none" w:sz="0" w:space="0" w:color="auto"/>
              <w:right w:val="none" w:sz="0" w:space="0" w:color="auto"/>
            </w:tcBorders>
          </w:tcPr>
          <w:p w14:paraId="1E767F5E" w14:textId="03E409F5" w:rsidR="00120468" w:rsidRDefault="00120468" w:rsidP="007A5BA2">
            <w:pPr>
              <w:pStyle w:val="NoSpacing"/>
              <w:keepNext/>
              <w:keepLines/>
              <w:jc w:val="right"/>
              <w:cnfStyle w:val="000000010000" w:firstRow="0" w:lastRow="0" w:firstColumn="0" w:lastColumn="0" w:oddVBand="0" w:evenVBand="0" w:oddHBand="0" w:evenHBand="1" w:firstRowFirstColumn="0" w:firstRowLastColumn="0" w:lastRowFirstColumn="0" w:lastRowLastColumn="0"/>
            </w:pPr>
            <w:r w:rsidRPr="00120468">
              <w:t>85%</w:t>
            </w:r>
          </w:p>
        </w:tc>
        <w:tc>
          <w:tcPr>
            <w:tcW w:w="1849" w:type="dxa"/>
            <w:tcBorders>
              <w:top w:val="none" w:sz="0" w:space="0" w:color="auto"/>
              <w:left w:val="none" w:sz="0" w:space="0" w:color="auto"/>
              <w:bottom w:val="none" w:sz="0" w:space="0" w:color="auto"/>
              <w:right w:val="none" w:sz="0" w:space="0" w:color="auto"/>
            </w:tcBorders>
          </w:tcPr>
          <w:p w14:paraId="43010CFE" w14:textId="71849318" w:rsidR="00120468" w:rsidRDefault="00120468" w:rsidP="007A5BA2">
            <w:pPr>
              <w:pStyle w:val="NoSpacing"/>
              <w:keepNext/>
              <w:keepLines/>
              <w:jc w:val="right"/>
              <w:cnfStyle w:val="000000010000" w:firstRow="0" w:lastRow="0" w:firstColumn="0" w:lastColumn="0" w:oddVBand="0" w:evenVBand="0" w:oddHBand="0" w:evenHBand="1" w:firstRowFirstColumn="0" w:firstRowLastColumn="0" w:lastRowFirstColumn="0" w:lastRowLastColumn="0"/>
            </w:pPr>
            <w:r w:rsidRPr="00120468">
              <w:t>46,002</w:t>
            </w:r>
          </w:p>
        </w:tc>
        <w:tc>
          <w:tcPr>
            <w:tcW w:w="1850" w:type="dxa"/>
            <w:tcBorders>
              <w:top w:val="none" w:sz="0" w:space="0" w:color="auto"/>
              <w:left w:val="none" w:sz="0" w:space="0" w:color="auto"/>
              <w:bottom w:val="none" w:sz="0" w:space="0" w:color="auto"/>
              <w:right w:val="none" w:sz="0" w:space="0" w:color="auto"/>
            </w:tcBorders>
          </w:tcPr>
          <w:p w14:paraId="1A5C4FEE" w14:textId="1418617C" w:rsidR="00120468" w:rsidRDefault="00120468" w:rsidP="007A5BA2">
            <w:pPr>
              <w:pStyle w:val="NoSpacing"/>
              <w:keepNext/>
              <w:keepLines/>
              <w:jc w:val="right"/>
              <w:cnfStyle w:val="000000010000" w:firstRow="0" w:lastRow="0" w:firstColumn="0" w:lastColumn="0" w:oddVBand="0" w:evenVBand="0" w:oddHBand="0" w:evenHBand="1" w:firstRowFirstColumn="0" w:firstRowLastColumn="0" w:lastRowFirstColumn="0" w:lastRowLastColumn="0"/>
            </w:pPr>
            <w:r w:rsidRPr="00120468">
              <w:t>0.838</w:t>
            </w:r>
          </w:p>
        </w:tc>
        <w:tc>
          <w:tcPr>
            <w:tcW w:w="1850" w:type="dxa"/>
            <w:tcBorders>
              <w:top w:val="none" w:sz="0" w:space="0" w:color="auto"/>
              <w:left w:val="none" w:sz="0" w:space="0" w:color="auto"/>
              <w:bottom w:val="none" w:sz="0" w:space="0" w:color="auto"/>
              <w:right w:val="none" w:sz="0" w:space="0" w:color="auto"/>
            </w:tcBorders>
          </w:tcPr>
          <w:p w14:paraId="62732743" w14:textId="438FAD94" w:rsidR="00120468" w:rsidRDefault="00120468" w:rsidP="007A5BA2">
            <w:pPr>
              <w:pStyle w:val="NoSpacing"/>
              <w:keepNext/>
              <w:keepLines/>
              <w:jc w:val="right"/>
              <w:cnfStyle w:val="000000010000" w:firstRow="0" w:lastRow="0" w:firstColumn="0" w:lastColumn="0" w:oddVBand="0" w:evenVBand="0" w:oddHBand="0" w:evenHBand="1" w:firstRowFirstColumn="0" w:firstRowLastColumn="0" w:lastRowFirstColumn="0" w:lastRowLastColumn="0"/>
            </w:pPr>
            <w:r w:rsidRPr="00120468">
              <w:t>38,535</w:t>
            </w:r>
          </w:p>
        </w:tc>
      </w:tr>
      <w:tr w:rsidR="00120468" w14:paraId="06ACAE06"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6B54CBB" w14:textId="77777777" w:rsidR="00120468" w:rsidRDefault="00120468" w:rsidP="00307925">
            <w:pPr>
              <w:pStyle w:val="NoSpacing"/>
              <w:keepNext/>
              <w:keepLines/>
            </w:pPr>
            <w:r w:rsidRPr="00F87E60">
              <w:t>3</w:t>
            </w:r>
          </w:p>
        </w:tc>
        <w:tc>
          <w:tcPr>
            <w:tcW w:w="1849" w:type="dxa"/>
            <w:tcBorders>
              <w:top w:val="none" w:sz="0" w:space="0" w:color="auto"/>
              <w:left w:val="none" w:sz="0" w:space="0" w:color="auto"/>
              <w:bottom w:val="none" w:sz="0" w:space="0" w:color="auto"/>
              <w:right w:val="none" w:sz="0" w:space="0" w:color="auto"/>
            </w:tcBorders>
          </w:tcPr>
          <w:p w14:paraId="344D6CCA" w14:textId="5D1BB8B6" w:rsidR="00120468" w:rsidRDefault="00120468"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120468">
              <w:t>1,323,294</w:t>
            </w:r>
          </w:p>
        </w:tc>
        <w:tc>
          <w:tcPr>
            <w:tcW w:w="1849" w:type="dxa"/>
            <w:tcBorders>
              <w:top w:val="none" w:sz="0" w:space="0" w:color="auto"/>
              <w:left w:val="none" w:sz="0" w:space="0" w:color="auto"/>
              <w:bottom w:val="none" w:sz="0" w:space="0" w:color="auto"/>
              <w:right w:val="none" w:sz="0" w:space="0" w:color="auto"/>
            </w:tcBorders>
          </w:tcPr>
          <w:p w14:paraId="19534678" w14:textId="3ADFF990" w:rsidR="00120468" w:rsidRDefault="00120468"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120468">
              <w:t>13</w:t>
            </w:r>
            <w:r w:rsidR="009D3A5A">
              <w:t>5</w:t>
            </w:r>
            <w:r w:rsidRPr="00120468">
              <w:t>%</w:t>
            </w:r>
          </w:p>
        </w:tc>
        <w:tc>
          <w:tcPr>
            <w:tcW w:w="1849" w:type="dxa"/>
            <w:tcBorders>
              <w:top w:val="none" w:sz="0" w:space="0" w:color="auto"/>
              <w:left w:val="none" w:sz="0" w:space="0" w:color="auto"/>
              <w:bottom w:val="none" w:sz="0" w:space="0" w:color="auto"/>
              <w:right w:val="none" w:sz="0" w:space="0" w:color="auto"/>
            </w:tcBorders>
          </w:tcPr>
          <w:p w14:paraId="2AC32F34" w14:textId="14384F9D" w:rsidR="00120468" w:rsidRDefault="00120468"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120468">
              <w:t>1,</w:t>
            </w:r>
            <w:r w:rsidR="009D3A5A">
              <w:t>790</w:t>
            </w:r>
            <w:r w:rsidRPr="00120468">
              <w:t>,</w:t>
            </w:r>
            <w:r w:rsidR="009D3A5A">
              <w:t>217</w:t>
            </w:r>
          </w:p>
        </w:tc>
        <w:tc>
          <w:tcPr>
            <w:tcW w:w="1850" w:type="dxa"/>
            <w:tcBorders>
              <w:top w:val="none" w:sz="0" w:space="0" w:color="auto"/>
              <w:left w:val="none" w:sz="0" w:space="0" w:color="auto"/>
              <w:bottom w:val="none" w:sz="0" w:space="0" w:color="auto"/>
              <w:right w:val="none" w:sz="0" w:space="0" w:color="auto"/>
            </w:tcBorders>
          </w:tcPr>
          <w:p w14:paraId="1CF6ADEB" w14:textId="58825791" w:rsidR="00120468" w:rsidRDefault="00120468"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120468">
              <w:t>0.832</w:t>
            </w:r>
          </w:p>
        </w:tc>
        <w:tc>
          <w:tcPr>
            <w:tcW w:w="1850" w:type="dxa"/>
            <w:tcBorders>
              <w:top w:val="none" w:sz="0" w:space="0" w:color="auto"/>
              <w:left w:val="none" w:sz="0" w:space="0" w:color="auto"/>
              <w:bottom w:val="none" w:sz="0" w:space="0" w:color="auto"/>
              <w:right w:val="none" w:sz="0" w:space="0" w:color="auto"/>
            </w:tcBorders>
          </w:tcPr>
          <w:p w14:paraId="3E7AC38C" w14:textId="694B1752" w:rsidR="00120468" w:rsidRDefault="00120468" w:rsidP="007A5BA2">
            <w:pPr>
              <w:pStyle w:val="NoSpacing"/>
              <w:keepNext/>
              <w:keepLines/>
              <w:jc w:val="right"/>
              <w:cnfStyle w:val="000000100000" w:firstRow="0" w:lastRow="0" w:firstColumn="0" w:lastColumn="0" w:oddVBand="0" w:evenVBand="0" w:oddHBand="1" w:evenHBand="0" w:firstRowFirstColumn="0" w:firstRowLastColumn="0" w:lastRowFirstColumn="0" w:lastRowLastColumn="0"/>
            </w:pPr>
            <w:r w:rsidRPr="00120468">
              <w:t>1,</w:t>
            </w:r>
            <w:r w:rsidR="009D3A5A">
              <w:t>488</w:t>
            </w:r>
            <w:r w:rsidRPr="00120468">
              <w:t>,</w:t>
            </w:r>
            <w:r w:rsidR="009D3A5A">
              <w:t>706</w:t>
            </w:r>
          </w:p>
        </w:tc>
      </w:tr>
      <w:tr w:rsidR="00120468" w14:paraId="08ED6D25"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99CDFB1" w14:textId="278CF243" w:rsidR="00120468" w:rsidRDefault="00120468" w:rsidP="00120468">
            <w:pPr>
              <w:pStyle w:val="NoSpacing"/>
            </w:pPr>
            <w:r>
              <w:t>FS</w:t>
            </w:r>
          </w:p>
        </w:tc>
        <w:tc>
          <w:tcPr>
            <w:tcW w:w="1849" w:type="dxa"/>
            <w:tcBorders>
              <w:top w:val="none" w:sz="0" w:space="0" w:color="auto"/>
              <w:left w:val="none" w:sz="0" w:space="0" w:color="auto"/>
              <w:bottom w:val="none" w:sz="0" w:space="0" w:color="auto"/>
              <w:right w:val="none" w:sz="0" w:space="0" w:color="auto"/>
            </w:tcBorders>
          </w:tcPr>
          <w:p w14:paraId="023E5608" w14:textId="08D0639C"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17,591</w:t>
            </w:r>
          </w:p>
        </w:tc>
        <w:tc>
          <w:tcPr>
            <w:tcW w:w="1849" w:type="dxa"/>
            <w:tcBorders>
              <w:top w:val="none" w:sz="0" w:space="0" w:color="auto"/>
              <w:left w:val="none" w:sz="0" w:space="0" w:color="auto"/>
              <w:bottom w:val="none" w:sz="0" w:space="0" w:color="auto"/>
              <w:right w:val="none" w:sz="0" w:space="0" w:color="auto"/>
            </w:tcBorders>
          </w:tcPr>
          <w:p w14:paraId="2C772462" w14:textId="2255E875"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t>94</w:t>
            </w:r>
            <w:r w:rsidR="00120468" w:rsidRPr="00F87E60">
              <w:t>%</w:t>
            </w:r>
          </w:p>
        </w:tc>
        <w:tc>
          <w:tcPr>
            <w:tcW w:w="1849" w:type="dxa"/>
            <w:tcBorders>
              <w:top w:val="none" w:sz="0" w:space="0" w:color="auto"/>
              <w:left w:val="none" w:sz="0" w:space="0" w:color="auto"/>
              <w:bottom w:val="none" w:sz="0" w:space="0" w:color="auto"/>
              <w:right w:val="none" w:sz="0" w:space="0" w:color="auto"/>
            </w:tcBorders>
          </w:tcPr>
          <w:p w14:paraId="71BB9546" w14:textId="79F75F71"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16,</w:t>
            </w:r>
            <w:r w:rsidR="009D3A5A">
              <w:t>617</w:t>
            </w:r>
          </w:p>
        </w:tc>
        <w:tc>
          <w:tcPr>
            <w:tcW w:w="1850" w:type="dxa"/>
            <w:tcBorders>
              <w:top w:val="none" w:sz="0" w:space="0" w:color="auto"/>
              <w:left w:val="none" w:sz="0" w:space="0" w:color="auto"/>
              <w:bottom w:val="none" w:sz="0" w:space="0" w:color="auto"/>
              <w:right w:val="none" w:sz="0" w:space="0" w:color="auto"/>
            </w:tcBorders>
          </w:tcPr>
          <w:p w14:paraId="445A8ED2" w14:textId="05AA80A7"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0.985</w:t>
            </w:r>
          </w:p>
        </w:tc>
        <w:tc>
          <w:tcPr>
            <w:tcW w:w="1850" w:type="dxa"/>
            <w:tcBorders>
              <w:top w:val="none" w:sz="0" w:space="0" w:color="auto"/>
              <w:left w:val="none" w:sz="0" w:space="0" w:color="auto"/>
              <w:bottom w:val="none" w:sz="0" w:space="0" w:color="auto"/>
              <w:right w:val="none" w:sz="0" w:space="0" w:color="auto"/>
            </w:tcBorders>
          </w:tcPr>
          <w:p w14:paraId="6125F9CF" w14:textId="3878817F" w:rsidR="00120468" w:rsidRDefault="000D2C7B" w:rsidP="007A5BA2">
            <w:pPr>
              <w:pStyle w:val="NoSpacing"/>
              <w:jc w:val="right"/>
              <w:cnfStyle w:val="000000010000" w:firstRow="0" w:lastRow="0" w:firstColumn="0" w:lastColumn="0" w:oddVBand="0" w:evenVBand="0" w:oddHBand="0" w:evenHBand="1" w:firstRowFirstColumn="0" w:firstRowLastColumn="0" w:lastRowFirstColumn="0" w:lastRowLastColumn="0"/>
            </w:pPr>
            <w:r w:rsidRPr="000D2C7B">
              <w:t>16,</w:t>
            </w:r>
            <w:r w:rsidR="009D3A5A">
              <w:t>372</w:t>
            </w:r>
          </w:p>
        </w:tc>
      </w:tr>
      <w:tr w:rsidR="00120468" w14:paraId="07674540"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780C9FC" w14:textId="77777777" w:rsidR="00120468" w:rsidRPr="00881B1B" w:rsidRDefault="00120468" w:rsidP="00120468">
            <w:pPr>
              <w:pStyle w:val="NoSpacing"/>
              <w:rPr>
                <w:rFonts w:ascii="Franklin Gothic Medium" w:hAnsi="Franklin Gothic Medium"/>
              </w:rPr>
            </w:pPr>
            <w:r w:rsidRPr="00881B1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42D17C19" w14:textId="1CDF6D17"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1,454,451</w:t>
            </w:r>
          </w:p>
        </w:tc>
        <w:tc>
          <w:tcPr>
            <w:tcW w:w="1849" w:type="dxa"/>
            <w:tcBorders>
              <w:top w:val="none" w:sz="0" w:space="0" w:color="auto"/>
              <w:left w:val="none" w:sz="0" w:space="0" w:color="auto"/>
              <w:bottom w:val="none" w:sz="0" w:space="0" w:color="auto"/>
              <w:right w:val="none" w:sz="0" w:space="0" w:color="auto"/>
            </w:tcBorders>
          </w:tcPr>
          <w:p w14:paraId="7992A3B8" w14:textId="72C385FD"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13</w:t>
            </w:r>
            <w:r w:rsidR="009D3A5A">
              <w:rPr>
                <w:rFonts w:ascii="Franklin Gothic Medium" w:hAnsi="Franklin Gothic Medium"/>
              </w:rPr>
              <w:t>0</w:t>
            </w:r>
            <w:r w:rsidRPr="00881B1B">
              <w:rPr>
                <w:rFonts w:ascii="Franklin Gothic Medium" w:hAnsi="Franklin Gothic Medium"/>
              </w:rPr>
              <w:t>%</w:t>
            </w:r>
          </w:p>
        </w:tc>
        <w:tc>
          <w:tcPr>
            <w:tcW w:w="1849" w:type="dxa"/>
            <w:tcBorders>
              <w:top w:val="none" w:sz="0" w:space="0" w:color="auto"/>
              <w:left w:val="none" w:sz="0" w:space="0" w:color="auto"/>
              <w:bottom w:val="none" w:sz="0" w:space="0" w:color="auto"/>
              <w:right w:val="none" w:sz="0" w:space="0" w:color="auto"/>
            </w:tcBorders>
          </w:tcPr>
          <w:p w14:paraId="099FC57B" w14:textId="46194238"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w:t>
            </w:r>
            <w:r w:rsidR="009D3A5A">
              <w:rPr>
                <w:rFonts w:ascii="Franklin Gothic Medium" w:hAnsi="Franklin Gothic Medium"/>
              </w:rPr>
              <w:t>8</w:t>
            </w:r>
            <w:r w:rsidRPr="00881B1B">
              <w:rPr>
                <w:rFonts w:ascii="Franklin Gothic Medium" w:hAnsi="Franklin Gothic Medium"/>
              </w:rPr>
              <w:t>92,</w:t>
            </w:r>
            <w:r w:rsidR="009D3A5A">
              <w:rPr>
                <w:rFonts w:ascii="Franklin Gothic Medium" w:hAnsi="Franklin Gothic Medium"/>
              </w:rPr>
              <w:t>411</w:t>
            </w:r>
          </w:p>
        </w:tc>
        <w:tc>
          <w:tcPr>
            <w:tcW w:w="1850" w:type="dxa"/>
            <w:tcBorders>
              <w:top w:val="none" w:sz="0" w:space="0" w:color="auto"/>
              <w:left w:val="none" w:sz="0" w:space="0" w:color="auto"/>
              <w:bottom w:val="none" w:sz="0" w:space="0" w:color="auto"/>
              <w:right w:val="none" w:sz="0" w:space="0" w:color="auto"/>
            </w:tcBorders>
          </w:tcPr>
          <w:p w14:paraId="5167A812" w14:textId="6ED51556"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0.834</w:t>
            </w:r>
          </w:p>
        </w:tc>
        <w:tc>
          <w:tcPr>
            <w:tcW w:w="1850" w:type="dxa"/>
            <w:tcBorders>
              <w:top w:val="none" w:sz="0" w:space="0" w:color="auto"/>
              <w:left w:val="none" w:sz="0" w:space="0" w:color="auto"/>
              <w:bottom w:val="none" w:sz="0" w:space="0" w:color="auto"/>
              <w:right w:val="none" w:sz="0" w:space="0" w:color="auto"/>
            </w:tcBorders>
          </w:tcPr>
          <w:p w14:paraId="10A790B6" w14:textId="67A56D57" w:rsidR="00120468" w:rsidRPr="00881B1B" w:rsidRDefault="000D2C7B" w:rsidP="007A5BA2">
            <w:pPr>
              <w:pStyle w:val="NoSpacing"/>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w:t>
            </w:r>
            <w:r w:rsidR="009D3A5A">
              <w:rPr>
                <w:rFonts w:ascii="Franklin Gothic Medium" w:hAnsi="Franklin Gothic Medium"/>
              </w:rPr>
              <w:t>577</w:t>
            </w:r>
            <w:r w:rsidRPr="00881B1B">
              <w:rPr>
                <w:rFonts w:ascii="Franklin Gothic Medium" w:hAnsi="Franklin Gothic Medium"/>
              </w:rPr>
              <w:t>,8</w:t>
            </w:r>
            <w:r w:rsidR="009D3A5A">
              <w:rPr>
                <w:rFonts w:ascii="Franklin Gothic Medium" w:hAnsi="Franklin Gothic Medium"/>
              </w:rPr>
              <w:t>36</w:t>
            </w:r>
          </w:p>
        </w:tc>
      </w:tr>
    </w:tbl>
    <w:p w14:paraId="003FBE38" w14:textId="75B625A0" w:rsidR="0044357B" w:rsidRDefault="0044357B" w:rsidP="0044357B">
      <w:pPr>
        <w:pStyle w:val="TableFootnote"/>
      </w:pPr>
      <w:r w:rsidRPr="0044357B">
        <w:t xml:space="preserve">Note: The savings presented in this table only reflect </w:t>
      </w:r>
      <w:r w:rsidR="007903C8">
        <w:t>those</w:t>
      </w:r>
      <w:r w:rsidRPr="0044357B">
        <w:t xml:space="preserve"> directly claimable by AIC. </w:t>
      </w:r>
      <w:r w:rsidR="00045E88">
        <w:t>Five</w:t>
      </w:r>
      <w:r w:rsidRPr="0044357B">
        <w:t xml:space="preserve"> additional projects produced non-AIC gas savings. More information on these savings are presented in </w:t>
      </w:r>
      <w:r w:rsidR="00634424">
        <w:fldChar w:fldCharType="begin"/>
      </w:r>
      <w:r w:rsidR="00634424">
        <w:instrText xml:space="preserve"> REF _Ref187069776 \n \h </w:instrText>
      </w:r>
      <w:r w:rsidR="00634424">
        <w:fldChar w:fldCharType="separate"/>
      </w:r>
      <w:r w:rsidR="00AA10F4">
        <w:t>Appendix B</w:t>
      </w:r>
      <w:r w:rsidR="00634424">
        <w:fldChar w:fldCharType="end"/>
      </w:r>
      <w:r w:rsidRPr="0044357B">
        <w:t>.</w:t>
      </w:r>
    </w:p>
    <w:p w14:paraId="2444993B" w14:textId="171AF543" w:rsidR="00637A7B" w:rsidRDefault="00637A7B" w:rsidP="00F33E55">
      <w:pPr>
        <w:pStyle w:val="Heading3"/>
        <w:tabs>
          <w:tab w:val="clear" w:pos="2160"/>
          <w:tab w:val="num" w:pos="1080"/>
        </w:tabs>
        <w:ind w:left="0"/>
      </w:pPr>
      <w:bookmarkStart w:id="152" w:name="_Ref188529445"/>
      <w:bookmarkStart w:id="153" w:name="_Toc191992423"/>
      <w:r>
        <w:t>New Construction Lighting Channel</w:t>
      </w:r>
      <w:bookmarkEnd w:id="152"/>
      <w:bookmarkEnd w:id="153"/>
    </w:p>
    <w:p w14:paraId="6FC50CAA" w14:textId="741DD117" w:rsidR="0044357B" w:rsidRPr="0044357B" w:rsidRDefault="0044357B" w:rsidP="0044357B">
      <w:r w:rsidRPr="0044357B">
        <w:t>The following sections present the impact evaluation results for the 202</w:t>
      </w:r>
      <w:r>
        <w:t>4</w:t>
      </w:r>
      <w:r w:rsidRPr="0044357B">
        <w:t xml:space="preserve"> New Construction Lighting channel. Additional details on the impact analysis methodology are provided in </w:t>
      </w:r>
      <w:r w:rsidR="00F264FA">
        <w:fldChar w:fldCharType="begin"/>
      </w:r>
      <w:r w:rsidR="00F264FA">
        <w:instrText xml:space="preserve"> REF _Ref187157397 \n \h </w:instrText>
      </w:r>
      <w:r w:rsidR="00F264FA">
        <w:fldChar w:fldCharType="separate"/>
      </w:r>
      <w:r w:rsidR="00AA10F4">
        <w:t>Appendix A</w:t>
      </w:r>
      <w:r w:rsidR="00F264FA">
        <w:fldChar w:fldCharType="end"/>
      </w:r>
      <w:r w:rsidRPr="0044357B">
        <w:t>.</w:t>
      </w:r>
    </w:p>
    <w:p w14:paraId="1ACEB513" w14:textId="77777777" w:rsidR="00637A7B" w:rsidRDefault="00637A7B" w:rsidP="00637A7B">
      <w:pPr>
        <w:pStyle w:val="Heading4"/>
      </w:pPr>
      <w:bookmarkStart w:id="154" w:name="_Hlk187062600"/>
      <w:r>
        <w:t>Channel Description</w:t>
      </w:r>
    </w:p>
    <w:p w14:paraId="79D2D05C" w14:textId="27C0F501" w:rsidR="000A5807" w:rsidRDefault="000A5807" w:rsidP="000A5807">
      <w:r>
        <w:t xml:space="preserve">The New Construction Lighting channel offers incentives for lighting measures in new construction projects. For these New Construction Lighting projects, a tool is provided to help customers design efficient lighting </w:t>
      </w:r>
      <w:r w:rsidR="007903C8">
        <w:t>for any</w:t>
      </w:r>
      <w:r>
        <w:t xml:space="preserve"> </w:t>
      </w:r>
      <w:r w:rsidR="007903C8">
        <w:t>facility size</w:t>
      </w:r>
      <w:r>
        <w:t xml:space="preserve">. Additionally, the simple application is used to incentivize the installation of lighting that is more </w:t>
      </w:r>
      <w:r w:rsidR="00045E88">
        <w:t>efficient</w:t>
      </w:r>
      <w:r>
        <w:t xml:space="preserve"> than Illinois energy code requirements. </w:t>
      </w:r>
    </w:p>
    <w:p w14:paraId="74EBAC13" w14:textId="77777777" w:rsidR="00637A7B" w:rsidRDefault="00637A7B" w:rsidP="00637A7B">
      <w:pPr>
        <w:pStyle w:val="Heading4"/>
      </w:pPr>
      <w:r>
        <w:t>Savings Detail</w:t>
      </w:r>
      <w:bookmarkEnd w:id="154"/>
    </w:p>
    <w:p w14:paraId="3783A087" w14:textId="7AE98EDE" w:rsidR="001A2958" w:rsidRDefault="001A2958" w:rsidP="001A2958">
      <w:r w:rsidRPr="00C5429B">
        <w:t xml:space="preserve">For the </w:t>
      </w:r>
      <w:r w:rsidR="0044357B">
        <w:t>New Construction Lighting channel</w:t>
      </w:r>
      <w:r w:rsidRPr="00C5429B">
        <w:t xml:space="preserve">, we verified initiative participation and gross impacts through desk reviews and on-site M&amp;V of a sample of projects, as described in </w:t>
      </w:r>
      <w:r>
        <w:fldChar w:fldCharType="begin"/>
      </w:r>
      <w:r>
        <w:instrText xml:space="preserve"> REF _Ref187157397 \n \h </w:instrText>
      </w:r>
      <w:r>
        <w:fldChar w:fldCharType="separate"/>
      </w:r>
      <w:r w:rsidR="00AA10F4">
        <w:t>Appendix A</w:t>
      </w:r>
      <w:r>
        <w:fldChar w:fldCharType="end"/>
      </w:r>
      <w:r w:rsidRPr="00C5429B">
        <w:t>. Site-specific M&amp;V was conducted for New Construction Lighting channel projects in a single wave at the close of the program year.</w:t>
      </w:r>
    </w:p>
    <w:p w14:paraId="1035515D" w14:textId="77777777" w:rsidR="00637A7B" w:rsidRDefault="00637A7B" w:rsidP="00F33E55">
      <w:pPr>
        <w:pStyle w:val="Heading5"/>
      </w:pPr>
      <w:r>
        <w:t>Site-Specific Results</w:t>
      </w:r>
    </w:p>
    <w:p w14:paraId="66B351C7" w14:textId="4B7F0F94" w:rsidR="001A2958" w:rsidRPr="001A2958" w:rsidRDefault="001A2958" w:rsidP="00637A7B">
      <w:r>
        <w:fldChar w:fldCharType="begin"/>
      </w:r>
      <w:r>
        <w:instrText xml:space="preserve"> REF _Ref187245455 \h </w:instrText>
      </w:r>
      <w:r>
        <w:fldChar w:fldCharType="separate"/>
      </w:r>
      <w:r w:rsidR="00AA10F4">
        <w:t xml:space="preserve">Table </w:t>
      </w:r>
      <w:r w:rsidR="00AA10F4">
        <w:rPr>
          <w:noProof/>
        </w:rPr>
        <w:t>34</w:t>
      </w:r>
      <w:r>
        <w:fldChar w:fldCharType="end"/>
      </w:r>
      <w:r>
        <w:t xml:space="preserve"> presents </w:t>
      </w:r>
      <w:r w:rsidR="007903C8">
        <w:t xml:space="preserve">the gross savings analysis results </w:t>
      </w:r>
      <w:r>
        <w:t xml:space="preserve">for the </w:t>
      </w:r>
      <w:r w:rsidR="00215499">
        <w:t>six</w:t>
      </w:r>
      <w:r>
        <w:t xml:space="preserve"> New Construction Lighting projects we reviewed in 2024. Realization rates for individual projects ranged from </w:t>
      </w:r>
      <w:r w:rsidR="00AB787E">
        <w:t>3</w:t>
      </w:r>
      <w:r>
        <w:t xml:space="preserve">% to </w:t>
      </w:r>
      <w:r w:rsidR="00AB787E">
        <w:t>100</w:t>
      </w:r>
      <w:r>
        <w:t>%.</w:t>
      </w:r>
    </w:p>
    <w:p w14:paraId="24224954" w14:textId="4B3CB3AF" w:rsidR="001A2958" w:rsidRDefault="001A2958" w:rsidP="007A5BA2">
      <w:pPr>
        <w:pStyle w:val="Caption"/>
      </w:pPr>
      <w:bookmarkStart w:id="155" w:name="_Ref187245455"/>
      <w:bookmarkStart w:id="156" w:name="_Toc191992555"/>
      <w:bookmarkStart w:id="157" w:name="_Toc192766968"/>
      <w:r>
        <w:t xml:space="preserve">Table </w:t>
      </w:r>
      <w:r w:rsidR="009B4C9A">
        <w:fldChar w:fldCharType="begin"/>
      </w:r>
      <w:r w:rsidR="009B4C9A">
        <w:instrText xml:space="preserve"> SEQ Table \* ARABIC </w:instrText>
      </w:r>
      <w:r w:rsidR="009B4C9A">
        <w:fldChar w:fldCharType="separate"/>
      </w:r>
      <w:r w:rsidR="00AA10F4">
        <w:rPr>
          <w:noProof/>
        </w:rPr>
        <w:t>34</w:t>
      </w:r>
      <w:r w:rsidR="009B4C9A">
        <w:rPr>
          <w:noProof/>
        </w:rPr>
        <w:fldChar w:fldCharType="end"/>
      </w:r>
      <w:bookmarkEnd w:id="155"/>
      <w:r>
        <w:t xml:space="preserve">. 2024 New Construction </w:t>
      </w:r>
      <w:r w:rsidR="00E60908">
        <w:t>Lighting</w:t>
      </w:r>
      <w:r>
        <w:t xml:space="preserve"> Channel Gross Impact Results for Sampled Projects</w:t>
      </w:r>
      <w:bookmarkEnd w:id="156"/>
      <w:bookmarkEnd w:id="157"/>
    </w:p>
    <w:tbl>
      <w:tblPr>
        <w:tblStyle w:val="TableGrid"/>
        <w:tblW w:w="4976"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243"/>
        <w:gridCol w:w="1123"/>
        <w:gridCol w:w="1118"/>
        <w:gridCol w:w="1104"/>
        <w:gridCol w:w="1118"/>
        <w:gridCol w:w="1111"/>
        <w:gridCol w:w="1122"/>
        <w:gridCol w:w="1104"/>
      </w:tblGrid>
      <w:tr w:rsidR="007A5BA2" w14:paraId="35A90D78" w14:textId="77777777" w:rsidTr="002F3C1E">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1468" w:type="pct"/>
            <w:vMerge w:val="restart"/>
            <w:tcBorders>
              <w:top w:val="none" w:sz="0" w:space="0" w:color="auto"/>
              <w:left w:val="none" w:sz="0" w:space="0" w:color="auto"/>
              <w:bottom w:val="none" w:sz="0" w:space="0" w:color="auto"/>
              <w:right w:val="none" w:sz="0" w:space="0" w:color="auto"/>
            </w:tcBorders>
          </w:tcPr>
          <w:p w14:paraId="2E98DA95" w14:textId="4BF1CEDC" w:rsidR="007A5BA2" w:rsidRDefault="007A5BA2" w:rsidP="007A5BA2">
            <w:pPr>
              <w:pStyle w:val="TableHeadingLeft"/>
              <w:keepNext/>
              <w:keepLines/>
            </w:pPr>
            <w:r w:rsidRPr="00D54369">
              <w:t>Project ID</w:t>
            </w:r>
          </w:p>
        </w:tc>
        <w:tc>
          <w:tcPr>
            <w:tcW w:w="508" w:type="pct"/>
            <w:vMerge w:val="restart"/>
            <w:tcBorders>
              <w:bottom w:val="none" w:sz="0" w:space="0" w:color="auto"/>
            </w:tcBorders>
          </w:tcPr>
          <w:p w14:paraId="1F85A7D4" w14:textId="169780E1" w:rsidR="007A5BA2" w:rsidRDefault="007A5BA2"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Sample Stratum</w:t>
            </w:r>
          </w:p>
        </w:tc>
        <w:tc>
          <w:tcPr>
            <w:tcW w:w="1006" w:type="pct"/>
            <w:gridSpan w:val="2"/>
            <w:tcBorders>
              <w:bottom w:val="none" w:sz="0" w:space="0" w:color="auto"/>
            </w:tcBorders>
          </w:tcPr>
          <w:p w14:paraId="181E1AF0" w14:textId="7AEE0AC9" w:rsidR="007A5BA2" w:rsidRDefault="007A5BA2"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w:t>
            </w:r>
          </w:p>
        </w:tc>
        <w:tc>
          <w:tcPr>
            <w:tcW w:w="1009" w:type="pct"/>
            <w:gridSpan w:val="2"/>
            <w:tcBorders>
              <w:bottom w:val="none" w:sz="0" w:space="0" w:color="auto"/>
            </w:tcBorders>
          </w:tcPr>
          <w:p w14:paraId="30072293" w14:textId="44959C93" w:rsidR="007A5BA2" w:rsidRDefault="007A5BA2"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008" w:type="pct"/>
            <w:gridSpan w:val="2"/>
            <w:tcBorders>
              <w:bottom w:val="none" w:sz="0" w:space="0" w:color="auto"/>
            </w:tcBorders>
          </w:tcPr>
          <w:p w14:paraId="7370AFCC" w14:textId="0E1D9D3D" w:rsidR="007A5BA2" w:rsidRDefault="007A5BA2"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w:t>
            </w:r>
          </w:p>
        </w:tc>
      </w:tr>
      <w:tr w:rsidR="007A5BA2" w14:paraId="179692F9" w14:textId="77777777" w:rsidTr="002F3C1E">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468" w:type="pct"/>
            <w:vMerge/>
            <w:tcBorders>
              <w:top w:val="none" w:sz="0" w:space="0" w:color="auto"/>
              <w:left w:val="none" w:sz="0" w:space="0" w:color="auto"/>
              <w:bottom w:val="none" w:sz="0" w:space="0" w:color="auto"/>
              <w:right w:val="none" w:sz="0" w:space="0" w:color="auto"/>
            </w:tcBorders>
            <w:vAlign w:val="top"/>
          </w:tcPr>
          <w:p w14:paraId="317685AB" w14:textId="77777777" w:rsidR="007A5BA2" w:rsidRDefault="007A5BA2" w:rsidP="007A5BA2">
            <w:pPr>
              <w:keepNext/>
              <w:keepLines/>
            </w:pPr>
          </w:p>
        </w:tc>
        <w:tc>
          <w:tcPr>
            <w:tcW w:w="508" w:type="pct"/>
            <w:vMerge/>
            <w:tcBorders>
              <w:top w:val="none" w:sz="0" w:space="0" w:color="auto"/>
              <w:left w:val="none" w:sz="0" w:space="0" w:color="auto"/>
              <w:bottom w:val="none" w:sz="0" w:space="0" w:color="auto"/>
              <w:right w:val="none" w:sz="0" w:space="0" w:color="auto"/>
            </w:tcBorders>
            <w:shd w:val="clear" w:color="auto" w:fill="053572" w:themeFill="text2"/>
          </w:tcPr>
          <w:p w14:paraId="2AF2B921" w14:textId="10A6653A"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p>
        </w:tc>
        <w:tc>
          <w:tcPr>
            <w:tcW w:w="506" w:type="pct"/>
            <w:tcBorders>
              <w:top w:val="none" w:sz="0" w:space="0" w:color="auto"/>
              <w:left w:val="none" w:sz="0" w:space="0" w:color="auto"/>
              <w:bottom w:val="none" w:sz="0" w:space="0" w:color="auto"/>
              <w:right w:val="none" w:sz="0" w:space="0" w:color="auto"/>
            </w:tcBorders>
            <w:shd w:val="clear" w:color="auto" w:fill="053572" w:themeFill="text2"/>
          </w:tcPr>
          <w:p w14:paraId="1B4AD226"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MWh</w:t>
            </w:r>
          </w:p>
        </w:tc>
        <w:tc>
          <w:tcPr>
            <w:tcW w:w="500" w:type="pct"/>
            <w:tcBorders>
              <w:top w:val="none" w:sz="0" w:space="0" w:color="auto"/>
              <w:left w:val="none" w:sz="0" w:space="0" w:color="auto"/>
              <w:bottom w:val="none" w:sz="0" w:space="0" w:color="auto"/>
              <w:right w:val="none" w:sz="0" w:space="0" w:color="auto"/>
            </w:tcBorders>
            <w:shd w:val="clear" w:color="auto" w:fill="053572" w:themeFill="text2"/>
          </w:tcPr>
          <w:p w14:paraId="206CC1B7"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w:t>
            </w:r>
          </w:p>
        </w:tc>
        <w:tc>
          <w:tcPr>
            <w:tcW w:w="506" w:type="pct"/>
            <w:tcBorders>
              <w:top w:val="none" w:sz="0" w:space="0" w:color="auto"/>
              <w:left w:val="none" w:sz="0" w:space="0" w:color="auto"/>
              <w:bottom w:val="none" w:sz="0" w:space="0" w:color="auto"/>
              <w:right w:val="none" w:sz="0" w:space="0" w:color="auto"/>
            </w:tcBorders>
            <w:shd w:val="clear" w:color="auto" w:fill="053572" w:themeFill="text2"/>
          </w:tcPr>
          <w:p w14:paraId="2EF41582"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MWh</w:t>
            </w:r>
          </w:p>
        </w:tc>
        <w:tc>
          <w:tcPr>
            <w:tcW w:w="503" w:type="pct"/>
            <w:tcBorders>
              <w:top w:val="none" w:sz="0" w:space="0" w:color="auto"/>
              <w:left w:val="none" w:sz="0" w:space="0" w:color="auto"/>
              <w:bottom w:val="none" w:sz="0" w:space="0" w:color="auto"/>
              <w:right w:val="none" w:sz="0" w:space="0" w:color="auto"/>
            </w:tcBorders>
            <w:shd w:val="clear" w:color="auto" w:fill="053572" w:themeFill="text2"/>
          </w:tcPr>
          <w:p w14:paraId="64E9F9E3"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w:t>
            </w:r>
          </w:p>
        </w:tc>
        <w:tc>
          <w:tcPr>
            <w:tcW w:w="508" w:type="pct"/>
            <w:tcBorders>
              <w:top w:val="none" w:sz="0" w:space="0" w:color="auto"/>
              <w:left w:val="none" w:sz="0" w:space="0" w:color="auto"/>
              <w:bottom w:val="none" w:sz="0" w:space="0" w:color="auto"/>
              <w:right w:val="none" w:sz="0" w:space="0" w:color="auto"/>
            </w:tcBorders>
            <w:shd w:val="clear" w:color="auto" w:fill="053572" w:themeFill="text2"/>
          </w:tcPr>
          <w:p w14:paraId="2FE765A6"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MWh</w:t>
            </w:r>
          </w:p>
        </w:tc>
        <w:tc>
          <w:tcPr>
            <w:tcW w:w="500" w:type="pct"/>
            <w:tcBorders>
              <w:top w:val="none" w:sz="0" w:space="0" w:color="auto"/>
              <w:left w:val="none" w:sz="0" w:space="0" w:color="auto"/>
              <w:bottom w:val="none" w:sz="0" w:space="0" w:color="auto"/>
              <w:right w:val="none" w:sz="0" w:space="0" w:color="auto"/>
            </w:tcBorders>
            <w:shd w:val="clear" w:color="auto" w:fill="053572" w:themeFill="text2"/>
          </w:tcPr>
          <w:p w14:paraId="5B334C46" w14:textId="77777777" w:rsidR="007A5BA2" w:rsidRDefault="007A5BA2" w:rsidP="007A5BA2">
            <w:pPr>
              <w:pStyle w:val="TableHeadingCentered"/>
              <w:keepNext/>
              <w:keepLines/>
              <w:cnfStyle w:val="000000100000" w:firstRow="0" w:lastRow="0" w:firstColumn="0" w:lastColumn="0" w:oddVBand="0" w:evenVBand="0" w:oddHBand="1" w:evenHBand="0" w:firstRowFirstColumn="0" w:firstRowLastColumn="0" w:lastRowFirstColumn="0" w:lastRowLastColumn="0"/>
            </w:pPr>
            <w:r w:rsidRPr="00D54369">
              <w:t>MW</w:t>
            </w:r>
          </w:p>
        </w:tc>
      </w:tr>
      <w:tr w:rsidR="00A22FA3" w14:paraId="495EC701"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069127C9" w14:textId="615282DA" w:rsidR="00A22FA3" w:rsidRDefault="00A22FA3" w:rsidP="007A5BA2">
            <w:pPr>
              <w:keepNext/>
              <w:keepLines/>
            </w:pPr>
            <w:r w:rsidRPr="00AB787E">
              <w:t>2400607</w:t>
            </w:r>
          </w:p>
        </w:tc>
        <w:tc>
          <w:tcPr>
            <w:tcW w:w="508" w:type="pct"/>
            <w:tcBorders>
              <w:top w:val="none" w:sz="0" w:space="0" w:color="auto"/>
              <w:left w:val="none" w:sz="0" w:space="0" w:color="auto"/>
              <w:bottom w:val="none" w:sz="0" w:space="0" w:color="auto"/>
              <w:right w:val="none" w:sz="0" w:space="0" w:color="auto"/>
            </w:tcBorders>
          </w:tcPr>
          <w:p w14:paraId="09B00EE2" w14:textId="78AA6F0C"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t>2</w:t>
            </w:r>
          </w:p>
        </w:tc>
        <w:tc>
          <w:tcPr>
            <w:tcW w:w="506" w:type="pct"/>
            <w:tcBorders>
              <w:top w:val="none" w:sz="0" w:space="0" w:color="auto"/>
              <w:left w:val="none" w:sz="0" w:space="0" w:color="auto"/>
              <w:bottom w:val="none" w:sz="0" w:space="0" w:color="auto"/>
              <w:right w:val="none" w:sz="0" w:space="0" w:color="auto"/>
            </w:tcBorders>
          </w:tcPr>
          <w:p w14:paraId="657E161F" w14:textId="0E6A7F13"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67</w:t>
            </w:r>
          </w:p>
        </w:tc>
        <w:tc>
          <w:tcPr>
            <w:tcW w:w="500" w:type="pct"/>
            <w:tcBorders>
              <w:top w:val="none" w:sz="0" w:space="0" w:color="auto"/>
              <w:left w:val="none" w:sz="0" w:space="0" w:color="auto"/>
              <w:bottom w:val="none" w:sz="0" w:space="0" w:color="auto"/>
              <w:right w:val="none" w:sz="0" w:space="0" w:color="auto"/>
            </w:tcBorders>
          </w:tcPr>
          <w:p w14:paraId="312389FD" w14:textId="2699B407"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0.04</w:t>
            </w:r>
          </w:p>
        </w:tc>
        <w:tc>
          <w:tcPr>
            <w:tcW w:w="506" w:type="pct"/>
            <w:tcBorders>
              <w:top w:val="none" w:sz="0" w:space="0" w:color="auto"/>
              <w:left w:val="none" w:sz="0" w:space="0" w:color="auto"/>
              <w:bottom w:val="none" w:sz="0" w:space="0" w:color="auto"/>
              <w:right w:val="none" w:sz="0" w:space="0" w:color="auto"/>
            </w:tcBorders>
          </w:tcPr>
          <w:p w14:paraId="0DC31D7C" w14:textId="3911073C"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100%</w:t>
            </w:r>
          </w:p>
        </w:tc>
        <w:tc>
          <w:tcPr>
            <w:tcW w:w="503" w:type="pct"/>
            <w:tcBorders>
              <w:top w:val="none" w:sz="0" w:space="0" w:color="auto"/>
              <w:left w:val="none" w:sz="0" w:space="0" w:color="auto"/>
              <w:bottom w:val="none" w:sz="0" w:space="0" w:color="auto"/>
              <w:right w:val="none" w:sz="0" w:space="0" w:color="auto"/>
            </w:tcBorders>
          </w:tcPr>
          <w:p w14:paraId="114EDFFD" w14:textId="5D4F6482"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100%</w:t>
            </w:r>
          </w:p>
        </w:tc>
        <w:tc>
          <w:tcPr>
            <w:tcW w:w="508" w:type="pct"/>
            <w:tcBorders>
              <w:top w:val="none" w:sz="0" w:space="0" w:color="auto"/>
              <w:left w:val="none" w:sz="0" w:space="0" w:color="auto"/>
              <w:bottom w:val="none" w:sz="0" w:space="0" w:color="auto"/>
              <w:right w:val="none" w:sz="0" w:space="0" w:color="auto"/>
            </w:tcBorders>
          </w:tcPr>
          <w:p w14:paraId="3176D1FC" w14:textId="146C0C96"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67</w:t>
            </w:r>
          </w:p>
        </w:tc>
        <w:tc>
          <w:tcPr>
            <w:tcW w:w="500" w:type="pct"/>
            <w:tcBorders>
              <w:top w:val="none" w:sz="0" w:space="0" w:color="auto"/>
              <w:left w:val="none" w:sz="0" w:space="0" w:color="auto"/>
              <w:bottom w:val="none" w:sz="0" w:space="0" w:color="auto"/>
              <w:right w:val="none" w:sz="0" w:space="0" w:color="auto"/>
            </w:tcBorders>
          </w:tcPr>
          <w:p w14:paraId="36627A5A" w14:textId="102BA52C"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0.04</w:t>
            </w:r>
          </w:p>
        </w:tc>
      </w:tr>
      <w:tr w:rsidR="00A22FA3" w14:paraId="669A681D"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54053C37" w14:textId="62E26556" w:rsidR="00A22FA3" w:rsidRDefault="00A22FA3" w:rsidP="007A5BA2">
            <w:pPr>
              <w:keepNext/>
              <w:keepLines/>
            </w:pPr>
            <w:r w:rsidRPr="00AB787E">
              <w:t>2400063</w:t>
            </w:r>
          </w:p>
        </w:tc>
        <w:tc>
          <w:tcPr>
            <w:tcW w:w="508" w:type="pct"/>
            <w:tcBorders>
              <w:top w:val="none" w:sz="0" w:space="0" w:color="auto"/>
              <w:left w:val="none" w:sz="0" w:space="0" w:color="auto"/>
              <w:bottom w:val="none" w:sz="0" w:space="0" w:color="auto"/>
              <w:right w:val="none" w:sz="0" w:space="0" w:color="auto"/>
            </w:tcBorders>
          </w:tcPr>
          <w:p w14:paraId="67E3F56D" w14:textId="3D73190B"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1</w:t>
            </w:r>
          </w:p>
        </w:tc>
        <w:tc>
          <w:tcPr>
            <w:tcW w:w="506" w:type="pct"/>
            <w:tcBorders>
              <w:top w:val="none" w:sz="0" w:space="0" w:color="auto"/>
              <w:left w:val="none" w:sz="0" w:space="0" w:color="auto"/>
              <w:bottom w:val="none" w:sz="0" w:space="0" w:color="auto"/>
              <w:right w:val="none" w:sz="0" w:space="0" w:color="auto"/>
            </w:tcBorders>
          </w:tcPr>
          <w:p w14:paraId="0CC05E5B" w14:textId="719C25E4"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3</w:t>
            </w:r>
          </w:p>
        </w:tc>
        <w:tc>
          <w:tcPr>
            <w:tcW w:w="500" w:type="pct"/>
            <w:tcBorders>
              <w:top w:val="none" w:sz="0" w:space="0" w:color="auto"/>
              <w:left w:val="none" w:sz="0" w:space="0" w:color="auto"/>
              <w:bottom w:val="none" w:sz="0" w:space="0" w:color="auto"/>
              <w:right w:val="none" w:sz="0" w:space="0" w:color="auto"/>
            </w:tcBorders>
          </w:tcPr>
          <w:p w14:paraId="4AF07EEF" w14:textId="0E668242"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0.00</w:t>
            </w:r>
          </w:p>
        </w:tc>
        <w:tc>
          <w:tcPr>
            <w:tcW w:w="506" w:type="pct"/>
            <w:tcBorders>
              <w:top w:val="none" w:sz="0" w:space="0" w:color="auto"/>
              <w:left w:val="none" w:sz="0" w:space="0" w:color="auto"/>
              <w:bottom w:val="none" w:sz="0" w:space="0" w:color="auto"/>
              <w:right w:val="none" w:sz="0" w:space="0" w:color="auto"/>
            </w:tcBorders>
          </w:tcPr>
          <w:p w14:paraId="189BB5F2" w14:textId="49CFB5A7"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100%</w:t>
            </w:r>
          </w:p>
        </w:tc>
        <w:tc>
          <w:tcPr>
            <w:tcW w:w="503" w:type="pct"/>
            <w:tcBorders>
              <w:top w:val="none" w:sz="0" w:space="0" w:color="auto"/>
              <w:left w:val="none" w:sz="0" w:space="0" w:color="auto"/>
              <w:bottom w:val="none" w:sz="0" w:space="0" w:color="auto"/>
              <w:right w:val="none" w:sz="0" w:space="0" w:color="auto"/>
            </w:tcBorders>
          </w:tcPr>
          <w:p w14:paraId="289FB8C4" w14:textId="4078AD1F"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99%</w:t>
            </w:r>
          </w:p>
        </w:tc>
        <w:tc>
          <w:tcPr>
            <w:tcW w:w="508" w:type="pct"/>
            <w:tcBorders>
              <w:top w:val="none" w:sz="0" w:space="0" w:color="auto"/>
              <w:left w:val="none" w:sz="0" w:space="0" w:color="auto"/>
              <w:bottom w:val="none" w:sz="0" w:space="0" w:color="auto"/>
              <w:right w:val="none" w:sz="0" w:space="0" w:color="auto"/>
            </w:tcBorders>
          </w:tcPr>
          <w:p w14:paraId="545A38D8" w14:textId="756C31D1"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3</w:t>
            </w:r>
          </w:p>
        </w:tc>
        <w:tc>
          <w:tcPr>
            <w:tcW w:w="500" w:type="pct"/>
            <w:tcBorders>
              <w:top w:val="none" w:sz="0" w:space="0" w:color="auto"/>
              <w:left w:val="none" w:sz="0" w:space="0" w:color="auto"/>
              <w:bottom w:val="none" w:sz="0" w:space="0" w:color="auto"/>
              <w:right w:val="none" w:sz="0" w:space="0" w:color="auto"/>
            </w:tcBorders>
          </w:tcPr>
          <w:p w14:paraId="24438692" w14:textId="52898ECE" w:rsidR="00A22FA3" w:rsidRDefault="00352CF7" w:rsidP="007A5BA2">
            <w:pPr>
              <w:keepNext/>
              <w:keepLines/>
              <w:jc w:val="center"/>
              <w:cnfStyle w:val="000000100000" w:firstRow="0" w:lastRow="0" w:firstColumn="0" w:lastColumn="0" w:oddVBand="0" w:evenVBand="0" w:oddHBand="1" w:evenHBand="0" w:firstRowFirstColumn="0" w:firstRowLastColumn="0" w:lastRowFirstColumn="0" w:lastRowLastColumn="0"/>
            </w:pPr>
            <w:r>
              <w:t>&lt;</w:t>
            </w:r>
            <w:r w:rsidR="00A22FA3" w:rsidRPr="00A22FA3">
              <w:t>0.0</w:t>
            </w:r>
            <w:r>
              <w:t>1</w:t>
            </w:r>
          </w:p>
        </w:tc>
      </w:tr>
      <w:tr w:rsidR="00A22FA3" w14:paraId="63733E53"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4C990AC8" w14:textId="6ED537B1" w:rsidR="00A22FA3" w:rsidRDefault="00A22FA3" w:rsidP="007A5BA2">
            <w:pPr>
              <w:keepNext/>
              <w:keepLines/>
            </w:pPr>
            <w:r w:rsidRPr="00AB787E">
              <w:t>2400026</w:t>
            </w:r>
          </w:p>
        </w:tc>
        <w:tc>
          <w:tcPr>
            <w:tcW w:w="508" w:type="pct"/>
            <w:tcBorders>
              <w:top w:val="none" w:sz="0" w:space="0" w:color="auto"/>
              <w:left w:val="none" w:sz="0" w:space="0" w:color="auto"/>
              <w:bottom w:val="none" w:sz="0" w:space="0" w:color="auto"/>
              <w:right w:val="none" w:sz="0" w:space="0" w:color="auto"/>
            </w:tcBorders>
          </w:tcPr>
          <w:p w14:paraId="263F8A3A" w14:textId="0394943D"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t>4</w:t>
            </w:r>
          </w:p>
        </w:tc>
        <w:tc>
          <w:tcPr>
            <w:tcW w:w="506" w:type="pct"/>
            <w:tcBorders>
              <w:top w:val="none" w:sz="0" w:space="0" w:color="auto"/>
              <w:left w:val="none" w:sz="0" w:space="0" w:color="auto"/>
              <w:bottom w:val="none" w:sz="0" w:space="0" w:color="auto"/>
              <w:right w:val="none" w:sz="0" w:space="0" w:color="auto"/>
            </w:tcBorders>
          </w:tcPr>
          <w:p w14:paraId="5D8D94F5" w14:textId="0D9FDD25"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767</w:t>
            </w:r>
          </w:p>
        </w:tc>
        <w:tc>
          <w:tcPr>
            <w:tcW w:w="500" w:type="pct"/>
            <w:tcBorders>
              <w:top w:val="none" w:sz="0" w:space="0" w:color="auto"/>
              <w:left w:val="none" w:sz="0" w:space="0" w:color="auto"/>
              <w:bottom w:val="none" w:sz="0" w:space="0" w:color="auto"/>
              <w:right w:val="none" w:sz="0" w:space="0" w:color="auto"/>
            </w:tcBorders>
          </w:tcPr>
          <w:p w14:paraId="1B985C43" w14:textId="48F38CA3"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0.09</w:t>
            </w:r>
          </w:p>
        </w:tc>
        <w:tc>
          <w:tcPr>
            <w:tcW w:w="506" w:type="pct"/>
            <w:tcBorders>
              <w:top w:val="none" w:sz="0" w:space="0" w:color="auto"/>
              <w:left w:val="none" w:sz="0" w:space="0" w:color="auto"/>
              <w:bottom w:val="none" w:sz="0" w:space="0" w:color="auto"/>
              <w:right w:val="none" w:sz="0" w:space="0" w:color="auto"/>
            </w:tcBorders>
          </w:tcPr>
          <w:p w14:paraId="217595A5" w14:textId="709655DA"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99%</w:t>
            </w:r>
          </w:p>
        </w:tc>
        <w:tc>
          <w:tcPr>
            <w:tcW w:w="503" w:type="pct"/>
            <w:tcBorders>
              <w:top w:val="none" w:sz="0" w:space="0" w:color="auto"/>
              <w:left w:val="none" w:sz="0" w:space="0" w:color="auto"/>
              <w:bottom w:val="none" w:sz="0" w:space="0" w:color="auto"/>
              <w:right w:val="none" w:sz="0" w:space="0" w:color="auto"/>
            </w:tcBorders>
          </w:tcPr>
          <w:p w14:paraId="36FAA7E5" w14:textId="526872FF"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105%</w:t>
            </w:r>
          </w:p>
        </w:tc>
        <w:tc>
          <w:tcPr>
            <w:tcW w:w="508" w:type="pct"/>
            <w:tcBorders>
              <w:top w:val="none" w:sz="0" w:space="0" w:color="auto"/>
              <w:left w:val="none" w:sz="0" w:space="0" w:color="auto"/>
              <w:bottom w:val="none" w:sz="0" w:space="0" w:color="auto"/>
              <w:right w:val="none" w:sz="0" w:space="0" w:color="auto"/>
            </w:tcBorders>
          </w:tcPr>
          <w:p w14:paraId="4A0D00B6" w14:textId="2F6E670D"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758</w:t>
            </w:r>
          </w:p>
        </w:tc>
        <w:tc>
          <w:tcPr>
            <w:tcW w:w="500" w:type="pct"/>
            <w:tcBorders>
              <w:top w:val="none" w:sz="0" w:space="0" w:color="auto"/>
              <w:left w:val="none" w:sz="0" w:space="0" w:color="auto"/>
              <w:bottom w:val="none" w:sz="0" w:space="0" w:color="auto"/>
              <w:right w:val="none" w:sz="0" w:space="0" w:color="auto"/>
            </w:tcBorders>
          </w:tcPr>
          <w:p w14:paraId="6FE120A1" w14:textId="39741D1D"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0.10</w:t>
            </w:r>
          </w:p>
        </w:tc>
      </w:tr>
      <w:tr w:rsidR="00A22FA3" w14:paraId="0C482681"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014EFF58" w14:textId="4ADC5536" w:rsidR="00A22FA3" w:rsidRDefault="00A22FA3" w:rsidP="007A5BA2">
            <w:pPr>
              <w:keepNext/>
              <w:keepLines/>
            </w:pPr>
            <w:r w:rsidRPr="00AB787E">
              <w:t>2400047</w:t>
            </w:r>
          </w:p>
        </w:tc>
        <w:tc>
          <w:tcPr>
            <w:tcW w:w="508" w:type="pct"/>
            <w:tcBorders>
              <w:top w:val="none" w:sz="0" w:space="0" w:color="auto"/>
              <w:left w:val="none" w:sz="0" w:space="0" w:color="auto"/>
              <w:bottom w:val="none" w:sz="0" w:space="0" w:color="auto"/>
              <w:right w:val="none" w:sz="0" w:space="0" w:color="auto"/>
            </w:tcBorders>
          </w:tcPr>
          <w:p w14:paraId="4EA67FB3" w14:textId="7607A872"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3</w:t>
            </w:r>
          </w:p>
        </w:tc>
        <w:tc>
          <w:tcPr>
            <w:tcW w:w="506" w:type="pct"/>
            <w:tcBorders>
              <w:top w:val="none" w:sz="0" w:space="0" w:color="auto"/>
              <w:left w:val="none" w:sz="0" w:space="0" w:color="auto"/>
              <w:bottom w:val="none" w:sz="0" w:space="0" w:color="auto"/>
              <w:right w:val="none" w:sz="0" w:space="0" w:color="auto"/>
            </w:tcBorders>
          </w:tcPr>
          <w:p w14:paraId="795085CA" w14:textId="42672BE5"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105</w:t>
            </w:r>
          </w:p>
        </w:tc>
        <w:tc>
          <w:tcPr>
            <w:tcW w:w="500" w:type="pct"/>
            <w:tcBorders>
              <w:top w:val="none" w:sz="0" w:space="0" w:color="auto"/>
              <w:left w:val="none" w:sz="0" w:space="0" w:color="auto"/>
              <w:bottom w:val="none" w:sz="0" w:space="0" w:color="auto"/>
              <w:right w:val="none" w:sz="0" w:space="0" w:color="auto"/>
            </w:tcBorders>
          </w:tcPr>
          <w:p w14:paraId="212981D5" w14:textId="0B0BD280"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0.04</w:t>
            </w:r>
          </w:p>
        </w:tc>
        <w:tc>
          <w:tcPr>
            <w:tcW w:w="506" w:type="pct"/>
            <w:tcBorders>
              <w:top w:val="none" w:sz="0" w:space="0" w:color="auto"/>
              <w:left w:val="none" w:sz="0" w:space="0" w:color="auto"/>
              <w:bottom w:val="none" w:sz="0" w:space="0" w:color="auto"/>
              <w:right w:val="none" w:sz="0" w:space="0" w:color="auto"/>
            </w:tcBorders>
          </w:tcPr>
          <w:p w14:paraId="0967B2AE" w14:textId="0C108292"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93%</w:t>
            </w:r>
          </w:p>
        </w:tc>
        <w:tc>
          <w:tcPr>
            <w:tcW w:w="503" w:type="pct"/>
            <w:tcBorders>
              <w:top w:val="none" w:sz="0" w:space="0" w:color="auto"/>
              <w:left w:val="none" w:sz="0" w:space="0" w:color="auto"/>
              <w:bottom w:val="none" w:sz="0" w:space="0" w:color="auto"/>
              <w:right w:val="none" w:sz="0" w:space="0" w:color="auto"/>
            </w:tcBorders>
          </w:tcPr>
          <w:p w14:paraId="6A3E6825" w14:textId="77DA44EA"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9</w:t>
            </w:r>
            <w:r w:rsidR="00352CF7">
              <w:t>6</w:t>
            </w:r>
            <w:r w:rsidRPr="00A22FA3">
              <w:t>%</w:t>
            </w:r>
          </w:p>
        </w:tc>
        <w:tc>
          <w:tcPr>
            <w:tcW w:w="508" w:type="pct"/>
            <w:tcBorders>
              <w:top w:val="none" w:sz="0" w:space="0" w:color="auto"/>
              <w:left w:val="none" w:sz="0" w:space="0" w:color="auto"/>
              <w:bottom w:val="none" w:sz="0" w:space="0" w:color="auto"/>
              <w:right w:val="none" w:sz="0" w:space="0" w:color="auto"/>
            </w:tcBorders>
          </w:tcPr>
          <w:p w14:paraId="4201CF87" w14:textId="368DAEA3"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97</w:t>
            </w:r>
          </w:p>
        </w:tc>
        <w:tc>
          <w:tcPr>
            <w:tcW w:w="500" w:type="pct"/>
            <w:tcBorders>
              <w:top w:val="none" w:sz="0" w:space="0" w:color="auto"/>
              <w:left w:val="none" w:sz="0" w:space="0" w:color="auto"/>
              <w:bottom w:val="none" w:sz="0" w:space="0" w:color="auto"/>
              <w:right w:val="none" w:sz="0" w:space="0" w:color="auto"/>
            </w:tcBorders>
          </w:tcPr>
          <w:p w14:paraId="5A8337FF" w14:textId="74717988"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0.04</w:t>
            </w:r>
          </w:p>
        </w:tc>
      </w:tr>
      <w:tr w:rsidR="00A22FA3" w14:paraId="47644D23"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572AF514" w14:textId="0B3A8C23" w:rsidR="00A22FA3" w:rsidRDefault="00A22FA3" w:rsidP="007A5BA2">
            <w:pPr>
              <w:keepNext/>
              <w:keepLines/>
            </w:pPr>
            <w:r w:rsidRPr="00AB787E">
              <w:t>2400076</w:t>
            </w:r>
          </w:p>
        </w:tc>
        <w:tc>
          <w:tcPr>
            <w:tcW w:w="508" w:type="pct"/>
            <w:tcBorders>
              <w:top w:val="none" w:sz="0" w:space="0" w:color="auto"/>
              <w:left w:val="none" w:sz="0" w:space="0" w:color="auto"/>
              <w:bottom w:val="none" w:sz="0" w:space="0" w:color="auto"/>
              <w:right w:val="none" w:sz="0" w:space="0" w:color="auto"/>
            </w:tcBorders>
          </w:tcPr>
          <w:p w14:paraId="2608F4EE" w14:textId="1ED617C6"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t>3</w:t>
            </w:r>
          </w:p>
        </w:tc>
        <w:tc>
          <w:tcPr>
            <w:tcW w:w="506" w:type="pct"/>
            <w:tcBorders>
              <w:top w:val="none" w:sz="0" w:space="0" w:color="auto"/>
              <w:left w:val="none" w:sz="0" w:space="0" w:color="auto"/>
              <w:bottom w:val="none" w:sz="0" w:space="0" w:color="auto"/>
              <w:right w:val="none" w:sz="0" w:space="0" w:color="auto"/>
            </w:tcBorders>
          </w:tcPr>
          <w:p w14:paraId="23B7BEB8" w14:textId="5F9737F6"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267</w:t>
            </w:r>
          </w:p>
        </w:tc>
        <w:tc>
          <w:tcPr>
            <w:tcW w:w="500" w:type="pct"/>
            <w:tcBorders>
              <w:top w:val="none" w:sz="0" w:space="0" w:color="auto"/>
              <w:left w:val="none" w:sz="0" w:space="0" w:color="auto"/>
              <w:bottom w:val="none" w:sz="0" w:space="0" w:color="auto"/>
              <w:right w:val="none" w:sz="0" w:space="0" w:color="auto"/>
            </w:tcBorders>
          </w:tcPr>
          <w:p w14:paraId="5B1C69D7" w14:textId="474AD2CD"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0.02</w:t>
            </w:r>
          </w:p>
        </w:tc>
        <w:tc>
          <w:tcPr>
            <w:tcW w:w="506" w:type="pct"/>
            <w:tcBorders>
              <w:top w:val="none" w:sz="0" w:space="0" w:color="auto"/>
              <w:left w:val="none" w:sz="0" w:space="0" w:color="auto"/>
              <w:bottom w:val="none" w:sz="0" w:space="0" w:color="auto"/>
              <w:right w:val="none" w:sz="0" w:space="0" w:color="auto"/>
            </w:tcBorders>
          </w:tcPr>
          <w:p w14:paraId="06F1FC2F" w14:textId="41EB74DB"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79%</w:t>
            </w:r>
          </w:p>
        </w:tc>
        <w:tc>
          <w:tcPr>
            <w:tcW w:w="503" w:type="pct"/>
            <w:tcBorders>
              <w:top w:val="none" w:sz="0" w:space="0" w:color="auto"/>
              <w:left w:val="none" w:sz="0" w:space="0" w:color="auto"/>
              <w:bottom w:val="none" w:sz="0" w:space="0" w:color="auto"/>
              <w:right w:val="none" w:sz="0" w:space="0" w:color="auto"/>
            </w:tcBorders>
          </w:tcPr>
          <w:p w14:paraId="0C64392C" w14:textId="00EEC5F6"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89%</w:t>
            </w:r>
          </w:p>
        </w:tc>
        <w:tc>
          <w:tcPr>
            <w:tcW w:w="508" w:type="pct"/>
            <w:tcBorders>
              <w:top w:val="none" w:sz="0" w:space="0" w:color="auto"/>
              <w:left w:val="none" w:sz="0" w:space="0" w:color="auto"/>
              <w:bottom w:val="none" w:sz="0" w:space="0" w:color="auto"/>
              <w:right w:val="none" w:sz="0" w:space="0" w:color="auto"/>
            </w:tcBorders>
          </w:tcPr>
          <w:p w14:paraId="0C0037F3" w14:textId="405039D6"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211</w:t>
            </w:r>
          </w:p>
        </w:tc>
        <w:tc>
          <w:tcPr>
            <w:tcW w:w="500" w:type="pct"/>
            <w:tcBorders>
              <w:top w:val="none" w:sz="0" w:space="0" w:color="auto"/>
              <w:left w:val="none" w:sz="0" w:space="0" w:color="auto"/>
              <w:bottom w:val="none" w:sz="0" w:space="0" w:color="auto"/>
              <w:right w:val="none" w:sz="0" w:space="0" w:color="auto"/>
            </w:tcBorders>
          </w:tcPr>
          <w:p w14:paraId="7F6F2962" w14:textId="60C7A214" w:rsidR="00A22FA3" w:rsidRDefault="00A22FA3" w:rsidP="007A5BA2">
            <w:pPr>
              <w:keepNext/>
              <w:keepLines/>
              <w:jc w:val="center"/>
              <w:cnfStyle w:val="000000010000" w:firstRow="0" w:lastRow="0" w:firstColumn="0" w:lastColumn="0" w:oddVBand="0" w:evenVBand="0" w:oddHBand="0" w:evenHBand="1" w:firstRowFirstColumn="0" w:firstRowLastColumn="0" w:lastRowFirstColumn="0" w:lastRowLastColumn="0"/>
            </w:pPr>
            <w:r w:rsidRPr="00A22FA3">
              <w:t>0.01</w:t>
            </w:r>
          </w:p>
        </w:tc>
      </w:tr>
      <w:tr w:rsidR="00A22FA3" w14:paraId="2D560706"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8" w:type="pct"/>
            <w:tcBorders>
              <w:top w:val="none" w:sz="0" w:space="0" w:color="auto"/>
              <w:left w:val="none" w:sz="0" w:space="0" w:color="auto"/>
              <w:bottom w:val="none" w:sz="0" w:space="0" w:color="auto"/>
              <w:right w:val="none" w:sz="0" w:space="0" w:color="auto"/>
            </w:tcBorders>
          </w:tcPr>
          <w:p w14:paraId="6DF00C62" w14:textId="1C4A3CB0" w:rsidR="00A22FA3" w:rsidRDefault="00A22FA3" w:rsidP="007A5BA2">
            <w:pPr>
              <w:keepNext/>
              <w:keepLines/>
            </w:pPr>
            <w:r w:rsidRPr="00AB787E">
              <w:t>2400060</w:t>
            </w:r>
          </w:p>
        </w:tc>
        <w:tc>
          <w:tcPr>
            <w:tcW w:w="508" w:type="pct"/>
            <w:tcBorders>
              <w:top w:val="none" w:sz="0" w:space="0" w:color="auto"/>
              <w:left w:val="none" w:sz="0" w:space="0" w:color="auto"/>
              <w:bottom w:val="none" w:sz="0" w:space="0" w:color="auto"/>
              <w:right w:val="none" w:sz="0" w:space="0" w:color="auto"/>
            </w:tcBorders>
          </w:tcPr>
          <w:p w14:paraId="2D17EF2F" w14:textId="165AD23C"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1</w:t>
            </w:r>
          </w:p>
        </w:tc>
        <w:tc>
          <w:tcPr>
            <w:tcW w:w="506" w:type="pct"/>
            <w:tcBorders>
              <w:top w:val="none" w:sz="0" w:space="0" w:color="auto"/>
              <w:left w:val="none" w:sz="0" w:space="0" w:color="auto"/>
              <w:bottom w:val="none" w:sz="0" w:space="0" w:color="auto"/>
              <w:right w:val="none" w:sz="0" w:space="0" w:color="auto"/>
            </w:tcBorders>
          </w:tcPr>
          <w:p w14:paraId="660F230E" w14:textId="1C85D4AC"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1</w:t>
            </w:r>
          </w:p>
        </w:tc>
        <w:tc>
          <w:tcPr>
            <w:tcW w:w="500" w:type="pct"/>
            <w:tcBorders>
              <w:top w:val="none" w:sz="0" w:space="0" w:color="auto"/>
              <w:left w:val="none" w:sz="0" w:space="0" w:color="auto"/>
              <w:bottom w:val="none" w:sz="0" w:space="0" w:color="auto"/>
              <w:right w:val="none" w:sz="0" w:space="0" w:color="auto"/>
            </w:tcBorders>
          </w:tcPr>
          <w:p w14:paraId="6DC0C51F" w14:textId="1144C4BA"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&lt;</w:t>
            </w:r>
            <w:r w:rsidRPr="00A22FA3">
              <w:t>0.0</w:t>
            </w:r>
            <w:r>
              <w:t>1</w:t>
            </w:r>
          </w:p>
        </w:tc>
        <w:tc>
          <w:tcPr>
            <w:tcW w:w="506" w:type="pct"/>
            <w:tcBorders>
              <w:top w:val="none" w:sz="0" w:space="0" w:color="auto"/>
              <w:left w:val="none" w:sz="0" w:space="0" w:color="auto"/>
              <w:bottom w:val="none" w:sz="0" w:space="0" w:color="auto"/>
              <w:right w:val="none" w:sz="0" w:space="0" w:color="auto"/>
            </w:tcBorders>
          </w:tcPr>
          <w:p w14:paraId="06391758" w14:textId="632D1E05"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3%</w:t>
            </w:r>
          </w:p>
        </w:tc>
        <w:tc>
          <w:tcPr>
            <w:tcW w:w="503" w:type="pct"/>
            <w:tcBorders>
              <w:top w:val="none" w:sz="0" w:space="0" w:color="auto"/>
              <w:left w:val="none" w:sz="0" w:space="0" w:color="auto"/>
              <w:bottom w:val="none" w:sz="0" w:space="0" w:color="auto"/>
              <w:right w:val="none" w:sz="0" w:space="0" w:color="auto"/>
            </w:tcBorders>
          </w:tcPr>
          <w:p w14:paraId="57414EB4" w14:textId="54E593BD"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rsidRPr="00A22FA3">
              <w:t>37%</w:t>
            </w:r>
          </w:p>
        </w:tc>
        <w:tc>
          <w:tcPr>
            <w:tcW w:w="508" w:type="pct"/>
            <w:tcBorders>
              <w:top w:val="none" w:sz="0" w:space="0" w:color="auto"/>
              <w:left w:val="none" w:sz="0" w:space="0" w:color="auto"/>
              <w:bottom w:val="none" w:sz="0" w:space="0" w:color="auto"/>
              <w:right w:val="none" w:sz="0" w:space="0" w:color="auto"/>
            </w:tcBorders>
          </w:tcPr>
          <w:p w14:paraId="4DE680A8" w14:textId="09CAE8AE"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&lt;1</w:t>
            </w:r>
          </w:p>
        </w:tc>
        <w:tc>
          <w:tcPr>
            <w:tcW w:w="500" w:type="pct"/>
            <w:tcBorders>
              <w:top w:val="none" w:sz="0" w:space="0" w:color="auto"/>
              <w:left w:val="none" w:sz="0" w:space="0" w:color="auto"/>
              <w:bottom w:val="none" w:sz="0" w:space="0" w:color="auto"/>
              <w:right w:val="none" w:sz="0" w:space="0" w:color="auto"/>
            </w:tcBorders>
          </w:tcPr>
          <w:p w14:paraId="1EE27FFB" w14:textId="6997D717" w:rsidR="00A22FA3" w:rsidRDefault="00A22FA3" w:rsidP="007A5BA2">
            <w:pPr>
              <w:keepNext/>
              <w:keepLines/>
              <w:jc w:val="center"/>
              <w:cnfStyle w:val="000000100000" w:firstRow="0" w:lastRow="0" w:firstColumn="0" w:lastColumn="0" w:oddVBand="0" w:evenVBand="0" w:oddHBand="1" w:evenHBand="0" w:firstRowFirstColumn="0" w:firstRowLastColumn="0" w:lastRowFirstColumn="0" w:lastRowLastColumn="0"/>
            </w:pPr>
            <w:r>
              <w:t>&lt;0.01</w:t>
            </w:r>
          </w:p>
        </w:tc>
      </w:tr>
    </w:tbl>
    <w:p w14:paraId="4ABDDEFA" w14:textId="4E5411C9" w:rsidR="00550024" w:rsidRDefault="009E5D48" w:rsidP="009E5D48">
      <w:pPr>
        <w:spacing w:before="240"/>
      </w:pPr>
      <w:r w:rsidRPr="009E5D48">
        <w:t>We reviewed the sampled 202</w:t>
      </w:r>
      <w:r>
        <w:t>4</w:t>
      </w:r>
      <w:r w:rsidRPr="009E5D48">
        <w:t xml:space="preserve"> New Construction Lighting projects to identify consistent differences in the savings estimation approach taken by the evaluation and implementation teams. These findings are provided below to contextualize the impact evaluation results for the channel.</w:t>
      </w:r>
    </w:p>
    <w:p w14:paraId="5ACE475D" w14:textId="763D1B7F" w:rsidR="009E5D48" w:rsidRPr="00D01AA5" w:rsidRDefault="00D01AA5" w:rsidP="00D01AA5">
      <w:r w:rsidRPr="00D01AA5">
        <w:lastRenderedPageBreak/>
        <w:t>The evaluation team found that the drivers of the New Construction Lighting channel’s realization rates included adjustments to equipment wattages, building area measurements, and facility type assignments which impact the assumptions from IL-TRM that are applied in savings calculations, such as lighting power density. Regarding the wattage discrepancies, the evaluation team recommends that the implementation team use the Design Lights Consortium (DLC) website to confirm the fixture wattages applied in ex ante savings calculations. The DLC testing protocols ensure consistency in reported wattages across lighting products and manufacturers</w:t>
      </w:r>
      <w:r>
        <w:t>.</w:t>
      </w:r>
    </w:p>
    <w:p w14:paraId="687F0505" w14:textId="5FBB7466" w:rsidR="00637A7B" w:rsidRPr="00E60908" w:rsidRDefault="00637A7B" w:rsidP="00F33E55">
      <w:pPr>
        <w:pStyle w:val="Heading5"/>
      </w:pPr>
      <w:r w:rsidRPr="00E60908">
        <w:t>Overall Results</w:t>
      </w:r>
    </w:p>
    <w:p w14:paraId="6C894923" w14:textId="1FF135AA" w:rsidR="001A2958" w:rsidRDefault="00E60908" w:rsidP="00E60908">
      <w:pPr>
        <w:pStyle w:val="NoSpacing"/>
      </w:pPr>
      <w:r>
        <w:t>We used a stratified combined ratio estimation technique</w:t>
      </w:r>
      <w:r w:rsidR="007903C8">
        <w:t xml:space="preserve"> to estimate gross realization rates for each </w:t>
      </w:r>
      <w:r w:rsidR="002C3D19">
        <w:t>savings</w:t>
      </w:r>
      <w:r w:rsidR="007903C8">
        <w:t xml:space="preserve"> type.</w:t>
      </w:r>
      <w:r w:rsidR="0044357B">
        <w:rPr>
          <w:rStyle w:val="FootnoteReference"/>
        </w:rPr>
        <w:footnoteReference w:id="25"/>
      </w:r>
      <w:r w:rsidR="0044357B" w:rsidRPr="00D615CF">
        <w:rPr>
          <w:vertAlign w:val="superscript"/>
        </w:rPr>
        <w:t>,</w:t>
      </w:r>
      <w:r w:rsidR="0044357B">
        <w:rPr>
          <w:rStyle w:val="FootnoteReference"/>
        </w:rPr>
        <w:footnoteReference w:id="26"/>
      </w:r>
      <w:r>
        <w:t xml:space="preserve"> </w:t>
      </w:r>
      <w:r w:rsidR="0044357B">
        <w:t>These realization rates are presented in</w:t>
      </w:r>
      <w:r>
        <w:t xml:space="preserve"> </w:t>
      </w:r>
      <w:r>
        <w:fldChar w:fldCharType="begin"/>
      </w:r>
      <w:r>
        <w:instrText xml:space="preserve"> REF _Ref187245760 \h  \* MERGEFORMAT </w:instrText>
      </w:r>
      <w:r>
        <w:fldChar w:fldCharType="separate"/>
      </w:r>
      <w:r w:rsidR="00AA10F4">
        <w:t xml:space="preserve">Table </w:t>
      </w:r>
      <w:r w:rsidR="00AA10F4">
        <w:rPr>
          <w:noProof/>
        </w:rPr>
        <w:t>35</w:t>
      </w:r>
      <w:r>
        <w:fldChar w:fldCharType="end"/>
      </w:r>
      <w:r>
        <w:t>.</w:t>
      </w:r>
    </w:p>
    <w:p w14:paraId="23D61E29" w14:textId="5F8EDFA2" w:rsidR="00E60908" w:rsidRDefault="00E60908" w:rsidP="00881B1B">
      <w:pPr>
        <w:pStyle w:val="Caption"/>
      </w:pPr>
      <w:bookmarkStart w:id="158" w:name="_Ref187245760"/>
      <w:bookmarkStart w:id="159" w:name="_Toc191992556"/>
      <w:bookmarkStart w:id="160" w:name="_Toc192766969"/>
      <w:r>
        <w:t xml:space="preserve">Table </w:t>
      </w:r>
      <w:r w:rsidR="009B4C9A">
        <w:fldChar w:fldCharType="begin"/>
      </w:r>
      <w:r w:rsidR="009B4C9A">
        <w:instrText xml:space="preserve"> SEQ Table \* ARABIC </w:instrText>
      </w:r>
      <w:r w:rsidR="009B4C9A">
        <w:fldChar w:fldCharType="separate"/>
      </w:r>
      <w:r w:rsidR="00AA10F4">
        <w:rPr>
          <w:noProof/>
        </w:rPr>
        <w:t>35</w:t>
      </w:r>
      <w:r w:rsidR="009B4C9A">
        <w:rPr>
          <w:noProof/>
        </w:rPr>
        <w:fldChar w:fldCharType="end"/>
      </w:r>
      <w:bookmarkEnd w:id="158"/>
      <w:r>
        <w:t>. 2024 New Construction Lighting Channel Realization Rates</w:t>
      </w:r>
      <w:bookmarkEnd w:id="159"/>
      <w:bookmarkEnd w:id="160"/>
    </w:p>
    <w:tbl>
      <w:tblPr>
        <w:tblStyle w:val="ODCBasic-1"/>
        <w:tblW w:w="0" w:type="auto"/>
        <w:tblCellMar>
          <w:top w:w="0" w:type="dxa"/>
          <w:bottom w:w="14" w:type="dxa"/>
        </w:tblCellMar>
        <w:tblLook w:val="04A0" w:firstRow="1" w:lastRow="0" w:firstColumn="1" w:lastColumn="0" w:noHBand="0" w:noVBand="1"/>
      </w:tblPr>
      <w:tblGrid>
        <w:gridCol w:w="2347"/>
        <w:gridCol w:w="2726"/>
        <w:gridCol w:w="2773"/>
      </w:tblGrid>
      <w:tr w:rsidR="002F3C1E" w14:paraId="4BE1D7CA"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C1F151B" w14:textId="70938E37" w:rsidR="002F3C1E" w:rsidRPr="00625570" w:rsidRDefault="002F3C1E" w:rsidP="002F3C1E">
            <w:pPr>
              <w:pStyle w:val="TableHeadingLeft"/>
            </w:pPr>
            <w:r>
              <w:t>Wave</w:t>
            </w:r>
          </w:p>
        </w:tc>
        <w:tc>
          <w:tcPr>
            <w:tcW w:w="0" w:type="auto"/>
            <w:tcBorders>
              <w:left w:val="single" w:sz="4" w:space="0" w:color="4A4D56" w:themeColor="text1"/>
              <w:bottom w:val="single" w:sz="4" w:space="0" w:color="4A4D56" w:themeColor="text1"/>
              <w:right w:val="single" w:sz="4" w:space="0" w:color="4A4D56" w:themeColor="text1"/>
            </w:tcBorders>
          </w:tcPr>
          <w:p w14:paraId="6F795B7D" w14:textId="5BD8A19D"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1DB7AA78" w14:textId="0BA3A901"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t>Electric Demand Savings (MW)</w:t>
            </w:r>
          </w:p>
        </w:tc>
      </w:tr>
      <w:tr w:rsidR="002F3C1E" w14:paraId="21EEF796"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2204576" w14:textId="649D77EC" w:rsidR="002F3C1E" w:rsidRPr="00625570" w:rsidRDefault="002F3C1E" w:rsidP="002F3C1E">
            <w:pPr>
              <w:pStyle w:val="TableLeftText"/>
            </w:pPr>
            <w:r w:rsidRPr="00FB1827">
              <w:t>N</w:t>
            </w:r>
            <w:r>
              <w:t xml:space="preserve">ew </w:t>
            </w:r>
            <w:r w:rsidRPr="00FB1827">
              <w:t>C</w:t>
            </w:r>
            <w:r>
              <w:t xml:space="preserve">onstruction </w:t>
            </w:r>
            <w:r w:rsidRPr="00FB1827">
              <w:t>L</w:t>
            </w:r>
            <w:r>
              <w:t>ighting</w:t>
            </w:r>
          </w:p>
        </w:tc>
        <w:tc>
          <w:tcPr>
            <w:tcW w:w="0" w:type="auto"/>
            <w:tcBorders>
              <w:top w:val="single" w:sz="4" w:space="0" w:color="4A4D56" w:themeColor="text1"/>
            </w:tcBorders>
          </w:tcPr>
          <w:p w14:paraId="1B159AFC" w14:textId="31A6B107"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94%</w:t>
            </w:r>
          </w:p>
        </w:tc>
        <w:tc>
          <w:tcPr>
            <w:tcW w:w="0" w:type="auto"/>
            <w:tcBorders>
              <w:top w:val="single" w:sz="4" w:space="0" w:color="4A4D56" w:themeColor="text1"/>
            </w:tcBorders>
          </w:tcPr>
          <w:p w14:paraId="26E7643B" w14:textId="177E8EF2"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99%</w:t>
            </w:r>
          </w:p>
        </w:tc>
      </w:tr>
    </w:tbl>
    <w:p w14:paraId="4E17AB2A" w14:textId="0B95C1D8" w:rsidR="00E60908" w:rsidRDefault="00E60908" w:rsidP="00D40E17">
      <w:pPr>
        <w:pStyle w:val="NoSpacing"/>
        <w:spacing w:before="240" w:after="240"/>
      </w:pPr>
      <w:r>
        <w:t xml:space="preserve">We produced verified gross savings estimates for the New Construction Lighting channel by applying these gross realization rates to the population of projects. </w:t>
      </w:r>
      <w:r w:rsidR="00324528">
        <w:fldChar w:fldCharType="begin"/>
      </w:r>
      <w:r w:rsidR="00324528">
        <w:instrText xml:space="preserve"> REF _Ref187246682 \h </w:instrText>
      </w:r>
      <w:r w:rsidR="00324528">
        <w:fldChar w:fldCharType="separate"/>
      </w:r>
      <w:r w:rsidR="00AA10F4">
        <w:t xml:space="preserve">Table </w:t>
      </w:r>
      <w:r w:rsidR="00AA10F4">
        <w:rPr>
          <w:noProof/>
        </w:rPr>
        <w:t>36</w:t>
      </w:r>
      <w:r w:rsidR="00324528">
        <w:fldChar w:fldCharType="end"/>
      </w:r>
      <w:r>
        <w:t xml:space="preserve"> and</w:t>
      </w:r>
      <w:r w:rsidR="00324528">
        <w:t xml:space="preserve"> </w:t>
      </w:r>
      <w:r w:rsidR="00324528">
        <w:fldChar w:fldCharType="begin"/>
      </w:r>
      <w:r w:rsidR="00324528">
        <w:instrText xml:space="preserve"> REF _Ref187246690 \h </w:instrText>
      </w:r>
      <w:r w:rsidR="00324528">
        <w:fldChar w:fldCharType="separate"/>
      </w:r>
      <w:r w:rsidR="00AA10F4">
        <w:t xml:space="preserve">Table </w:t>
      </w:r>
      <w:r w:rsidR="00AA10F4">
        <w:rPr>
          <w:noProof/>
        </w:rPr>
        <w:t>37</w:t>
      </w:r>
      <w:r w:rsidR="00324528">
        <w:fldChar w:fldCharType="end"/>
      </w:r>
      <w:r w:rsidR="00324528">
        <w:t xml:space="preserve"> </w:t>
      </w:r>
      <w:r>
        <w:t xml:space="preserve">present the ex ante, verified gross, and verified net electric energy and electric demand savings for the New Construction Lighting channel in 2024. Overall, New Construction Lighting projects accounted for </w:t>
      </w:r>
      <w:r w:rsidR="00934062">
        <w:t>4</w:t>
      </w:r>
      <w:r>
        <w:t xml:space="preserve">% of </w:t>
      </w:r>
      <w:r w:rsidR="0044357B">
        <w:t>Custom</w:t>
      </w:r>
      <w:r>
        <w:t xml:space="preserve"> Initiative </w:t>
      </w:r>
      <w:r w:rsidR="0044357B">
        <w:t xml:space="preserve">verified net </w:t>
      </w:r>
      <w:r>
        <w:t xml:space="preserve">MWh savings and </w:t>
      </w:r>
      <w:r w:rsidR="008F3B3B">
        <w:t>7</w:t>
      </w:r>
      <w:r>
        <w:t xml:space="preserve">% of </w:t>
      </w:r>
      <w:r w:rsidR="0044357B">
        <w:t xml:space="preserve">Custom </w:t>
      </w:r>
      <w:r>
        <w:t xml:space="preserve">Initiative </w:t>
      </w:r>
      <w:r w:rsidR="0044357B">
        <w:t xml:space="preserve">verified net </w:t>
      </w:r>
      <w:r>
        <w:t xml:space="preserve">MW savings. The evaluation team achieved a relative precision of </w:t>
      </w:r>
      <w:r w:rsidR="00934062">
        <w:t>1.9</w:t>
      </w:r>
      <w:r>
        <w:t xml:space="preserve">% for channel electric energy and demand savings at the 90% confidence level. Further details on our methodology for Custom Initiative sampling </w:t>
      </w:r>
      <w:r w:rsidR="007903C8">
        <w:t xml:space="preserve">are </w:t>
      </w:r>
      <w:r>
        <w:t xml:space="preserve">provided in </w:t>
      </w:r>
      <w:r>
        <w:fldChar w:fldCharType="begin"/>
      </w:r>
      <w:r>
        <w:instrText xml:space="preserve"> REF _Ref187157397 \n \h </w:instrText>
      </w:r>
      <w:r>
        <w:fldChar w:fldCharType="separate"/>
      </w:r>
      <w:r w:rsidR="00AA10F4">
        <w:t>Appendix A</w:t>
      </w:r>
      <w:r>
        <w:fldChar w:fldCharType="end"/>
      </w:r>
      <w:r>
        <w:t>.</w:t>
      </w:r>
    </w:p>
    <w:p w14:paraId="6CD1705C" w14:textId="65F8971F" w:rsidR="00324528" w:rsidRDefault="00324528" w:rsidP="00881B1B">
      <w:pPr>
        <w:pStyle w:val="Caption"/>
      </w:pPr>
      <w:bookmarkStart w:id="161" w:name="_Ref187246682"/>
      <w:bookmarkStart w:id="162" w:name="_Toc191992557"/>
      <w:bookmarkStart w:id="163" w:name="_Toc192766970"/>
      <w:r>
        <w:t xml:space="preserve">Table </w:t>
      </w:r>
      <w:r w:rsidR="009B4C9A">
        <w:fldChar w:fldCharType="begin"/>
      </w:r>
      <w:r w:rsidR="009B4C9A">
        <w:instrText xml:space="preserve"> SEQ Table \* ARABIC </w:instrText>
      </w:r>
      <w:r w:rsidR="009B4C9A">
        <w:fldChar w:fldCharType="separate"/>
      </w:r>
      <w:r w:rsidR="00AA10F4">
        <w:rPr>
          <w:noProof/>
        </w:rPr>
        <w:t>36</w:t>
      </w:r>
      <w:r w:rsidR="009B4C9A">
        <w:rPr>
          <w:noProof/>
        </w:rPr>
        <w:fldChar w:fldCharType="end"/>
      </w:r>
      <w:bookmarkEnd w:id="161"/>
      <w:r>
        <w:t>. 2024 New Construction Lighting Channel Electric Energy Savings</w:t>
      </w:r>
      <w:bookmarkEnd w:id="162"/>
      <w:bookmarkEnd w:id="163"/>
    </w:p>
    <w:tbl>
      <w:tblPr>
        <w:tblStyle w:val="ODCBasic-1"/>
        <w:tblW w:w="0" w:type="auto"/>
        <w:tblCellMar>
          <w:top w:w="0" w:type="dxa"/>
          <w:bottom w:w="14" w:type="dxa"/>
        </w:tblCellMar>
        <w:tblLook w:val="04A0" w:firstRow="1" w:lastRow="0" w:firstColumn="1" w:lastColumn="0" w:noHBand="0" w:noVBand="1"/>
      </w:tblPr>
      <w:tblGrid>
        <w:gridCol w:w="2605"/>
        <w:gridCol w:w="1680"/>
        <w:gridCol w:w="1856"/>
        <w:gridCol w:w="2215"/>
        <w:gridCol w:w="664"/>
        <w:gridCol w:w="2076"/>
      </w:tblGrid>
      <w:tr w:rsidR="002F3C1E" w14:paraId="303B75E7" w14:textId="08FD2641" w:rsidTr="002F3C1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4A4D56" w:themeColor="text1"/>
              <w:right w:val="single" w:sz="4" w:space="0" w:color="4A4D56" w:themeColor="text1"/>
            </w:tcBorders>
          </w:tcPr>
          <w:p w14:paraId="3BBEA83F" w14:textId="3AE61789" w:rsidR="002F3C1E" w:rsidRPr="00625570" w:rsidRDefault="002F3C1E" w:rsidP="002F3C1E">
            <w:pPr>
              <w:pStyle w:val="TableHeadingLeft"/>
            </w:pPr>
            <w:r w:rsidRPr="00FB1827">
              <w:t>Wave</w:t>
            </w:r>
          </w:p>
        </w:tc>
        <w:tc>
          <w:tcPr>
            <w:tcW w:w="1680" w:type="dxa"/>
            <w:tcBorders>
              <w:left w:val="single" w:sz="4" w:space="0" w:color="4A4D56" w:themeColor="text1"/>
              <w:bottom w:val="single" w:sz="4" w:space="0" w:color="4A4D56" w:themeColor="text1"/>
              <w:right w:val="single" w:sz="4" w:space="0" w:color="4A4D56" w:themeColor="text1"/>
            </w:tcBorders>
          </w:tcPr>
          <w:p w14:paraId="1C493AC0" w14:textId="322234C6"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Ex Ante Gross Savings (MWh)</w:t>
            </w:r>
          </w:p>
        </w:tc>
        <w:tc>
          <w:tcPr>
            <w:tcW w:w="0" w:type="auto"/>
            <w:tcBorders>
              <w:left w:val="single" w:sz="4" w:space="0" w:color="4A4D56" w:themeColor="text1"/>
              <w:bottom w:val="single" w:sz="4" w:space="0" w:color="4A4D56" w:themeColor="text1"/>
              <w:right w:val="single" w:sz="4" w:space="0" w:color="4A4D56" w:themeColor="text1"/>
            </w:tcBorders>
          </w:tcPr>
          <w:p w14:paraId="405FA4A0" w14:textId="32D2F9A7"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Gross Realization Rate</w:t>
            </w:r>
          </w:p>
        </w:tc>
        <w:tc>
          <w:tcPr>
            <w:tcW w:w="0" w:type="auto"/>
            <w:tcBorders>
              <w:left w:val="single" w:sz="4" w:space="0" w:color="4A4D56" w:themeColor="text1"/>
              <w:bottom w:val="single" w:sz="4" w:space="0" w:color="4A4D56" w:themeColor="text1"/>
              <w:right w:val="single" w:sz="4" w:space="0" w:color="4A4D56" w:themeColor="text1"/>
            </w:tcBorders>
          </w:tcPr>
          <w:p w14:paraId="5AC00094" w14:textId="62C04F5C"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Verified Gross Savings (MWh)</w:t>
            </w:r>
          </w:p>
        </w:tc>
        <w:tc>
          <w:tcPr>
            <w:tcW w:w="0" w:type="auto"/>
            <w:tcBorders>
              <w:left w:val="single" w:sz="4" w:space="0" w:color="4A4D56" w:themeColor="text1"/>
              <w:bottom w:val="single" w:sz="4" w:space="0" w:color="4A4D56" w:themeColor="text1"/>
              <w:right w:val="single" w:sz="4" w:space="0" w:color="4A4D56" w:themeColor="text1"/>
            </w:tcBorders>
          </w:tcPr>
          <w:p w14:paraId="48FB937E" w14:textId="06B17882"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NTGR</w:t>
            </w:r>
          </w:p>
        </w:tc>
        <w:tc>
          <w:tcPr>
            <w:tcW w:w="0" w:type="auto"/>
            <w:tcBorders>
              <w:left w:val="single" w:sz="4" w:space="0" w:color="4A4D56" w:themeColor="text1"/>
              <w:bottom w:val="single" w:sz="4" w:space="0" w:color="4A4D56" w:themeColor="text1"/>
              <w:right w:val="single" w:sz="4" w:space="0" w:color="4A4D56" w:themeColor="text1"/>
            </w:tcBorders>
          </w:tcPr>
          <w:p w14:paraId="72B149E0" w14:textId="6168BEE8"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Verified Net Savings (MWh)</w:t>
            </w:r>
          </w:p>
        </w:tc>
      </w:tr>
      <w:tr w:rsidR="002F3C1E" w14:paraId="5AE7EADA" w14:textId="166C1468" w:rsidTr="002F3C1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4A4D56" w:themeColor="text1"/>
            </w:tcBorders>
            <w:vAlign w:val="top"/>
          </w:tcPr>
          <w:p w14:paraId="7426E858" w14:textId="7379AEBA" w:rsidR="002F3C1E" w:rsidRPr="00625570" w:rsidRDefault="002F3C1E" w:rsidP="002F3C1E">
            <w:pPr>
              <w:pStyle w:val="TableLeftText"/>
            </w:pPr>
            <w:r w:rsidRPr="00FB1827">
              <w:t>N</w:t>
            </w:r>
            <w:r>
              <w:t xml:space="preserve">ew </w:t>
            </w:r>
            <w:r w:rsidRPr="00FB1827">
              <w:t>C</w:t>
            </w:r>
            <w:r>
              <w:t xml:space="preserve">onstruction </w:t>
            </w:r>
            <w:r w:rsidRPr="00FB1827">
              <w:t>L</w:t>
            </w:r>
            <w:r>
              <w:t>ighting</w:t>
            </w:r>
          </w:p>
        </w:tc>
        <w:tc>
          <w:tcPr>
            <w:tcW w:w="1680" w:type="dxa"/>
            <w:tcBorders>
              <w:top w:val="single" w:sz="4" w:space="0" w:color="4A4D56" w:themeColor="text1"/>
            </w:tcBorders>
          </w:tcPr>
          <w:p w14:paraId="13AC7879" w14:textId="2DF97547"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934062">
              <w:t>1,474</w:t>
            </w:r>
          </w:p>
        </w:tc>
        <w:tc>
          <w:tcPr>
            <w:tcW w:w="0" w:type="auto"/>
            <w:tcBorders>
              <w:top w:val="single" w:sz="4" w:space="0" w:color="4A4D56" w:themeColor="text1"/>
            </w:tcBorders>
          </w:tcPr>
          <w:p w14:paraId="5A968136" w14:textId="7B997FA1"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94</w:t>
            </w:r>
            <w:r w:rsidRPr="00FB1827">
              <w:t>%</w:t>
            </w:r>
          </w:p>
        </w:tc>
        <w:tc>
          <w:tcPr>
            <w:tcW w:w="0" w:type="auto"/>
            <w:tcBorders>
              <w:top w:val="single" w:sz="4" w:space="0" w:color="4A4D56" w:themeColor="text1"/>
            </w:tcBorders>
          </w:tcPr>
          <w:p w14:paraId="2E426479" w14:textId="4AC2300F"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1,388</w:t>
            </w:r>
          </w:p>
        </w:tc>
        <w:tc>
          <w:tcPr>
            <w:tcW w:w="0" w:type="auto"/>
            <w:tcBorders>
              <w:top w:val="single" w:sz="4" w:space="0" w:color="4A4D56" w:themeColor="text1"/>
            </w:tcBorders>
          </w:tcPr>
          <w:p w14:paraId="6401759B" w14:textId="16BA90EF"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0.791</w:t>
            </w:r>
          </w:p>
        </w:tc>
        <w:tc>
          <w:tcPr>
            <w:tcW w:w="0" w:type="auto"/>
            <w:tcBorders>
              <w:top w:val="single" w:sz="4" w:space="0" w:color="4A4D56" w:themeColor="text1"/>
            </w:tcBorders>
          </w:tcPr>
          <w:p w14:paraId="4B57A156" w14:textId="0E56E05E"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1,098</w:t>
            </w:r>
          </w:p>
        </w:tc>
      </w:tr>
    </w:tbl>
    <w:p w14:paraId="1AB1C61E" w14:textId="3ECBDFC4" w:rsidR="00324528" w:rsidRDefault="00324528" w:rsidP="00881B1B">
      <w:pPr>
        <w:pStyle w:val="Caption"/>
      </w:pPr>
      <w:bookmarkStart w:id="164" w:name="_Ref187246690"/>
      <w:bookmarkStart w:id="165" w:name="_Toc191992558"/>
      <w:bookmarkStart w:id="166" w:name="_Toc192766971"/>
      <w:r>
        <w:t xml:space="preserve">Table </w:t>
      </w:r>
      <w:r w:rsidR="009B4C9A">
        <w:fldChar w:fldCharType="begin"/>
      </w:r>
      <w:r w:rsidR="009B4C9A">
        <w:instrText xml:space="preserve"> SEQ Table \* ARABIC </w:instrText>
      </w:r>
      <w:r w:rsidR="009B4C9A">
        <w:fldChar w:fldCharType="separate"/>
      </w:r>
      <w:r w:rsidR="00AA10F4">
        <w:rPr>
          <w:noProof/>
        </w:rPr>
        <w:t>37</w:t>
      </w:r>
      <w:r w:rsidR="009B4C9A">
        <w:rPr>
          <w:noProof/>
        </w:rPr>
        <w:fldChar w:fldCharType="end"/>
      </w:r>
      <w:bookmarkEnd w:id="164"/>
      <w:r>
        <w:t>. 2024 New Construction Lighting Channel Electric Demand Savings</w:t>
      </w:r>
      <w:bookmarkEnd w:id="165"/>
      <w:bookmarkEnd w:id="166"/>
    </w:p>
    <w:tbl>
      <w:tblPr>
        <w:tblStyle w:val="ODCBasic-1"/>
        <w:tblW w:w="0" w:type="auto"/>
        <w:tblCellMar>
          <w:top w:w="0" w:type="dxa"/>
          <w:bottom w:w="14" w:type="dxa"/>
        </w:tblCellMar>
        <w:tblLook w:val="04A0" w:firstRow="1" w:lastRow="0" w:firstColumn="1" w:lastColumn="0" w:noHBand="0" w:noVBand="1"/>
      </w:tblPr>
      <w:tblGrid>
        <w:gridCol w:w="2605"/>
        <w:gridCol w:w="1680"/>
        <w:gridCol w:w="1894"/>
        <w:gridCol w:w="2200"/>
        <w:gridCol w:w="664"/>
        <w:gridCol w:w="2053"/>
      </w:tblGrid>
      <w:tr w:rsidR="002F3C1E" w14:paraId="5BE9FDB4"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605" w:type="dxa"/>
            <w:tcBorders>
              <w:bottom w:val="single" w:sz="4" w:space="0" w:color="4A4D56" w:themeColor="text1"/>
              <w:right w:val="single" w:sz="4" w:space="0" w:color="4A4D56" w:themeColor="text1"/>
            </w:tcBorders>
          </w:tcPr>
          <w:p w14:paraId="691D42C0" w14:textId="77777777" w:rsidR="002F3C1E" w:rsidRPr="00625570" w:rsidRDefault="002F3C1E" w:rsidP="002F3C1E">
            <w:pPr>
              <w:pStyle w:val="TableHeadingLeft"/>
            </w:pPr>
            <w:r w:rsidRPr="00FB1827">
              <w:t>Wave</w:t>
            </w:r>
          </w:p>
        </w:tc>
        <w:tc>
          <w:tcPr>
            <w:tcW w:w="1680" w:type="dxa"/>
            <w:tcBorders>
              <w:left w:val="single" w:sz="4" w:space="0" w:color="4A4D56" w:themeColor="text1"/>
              <w:bottom w:val="single" w:sz="4" w:space="0" w:color="4A4D56" w:themeColor="text1"/>
              <w:right w:val="single" w:sz="4" w:space="0" w:color="4A4D56" w:themeColor="text1"/>
            </w:tcBorders>
          </w:tcPr>
          <w:p w14:paraId="2296A67B" w14:textId="698A7D50"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Ex Ante Gross Savings (MW)</w:t>
            </w:r>
          </w:p>
        </w:tc>
        <w:tc>
          <w:tcPr>
            <w:tcW w:w="0" w:type="auto"/>
            <w:tcBorders>
              <w:left w:val="single" w:sz="4" w:space="0" w:color="4A4D56" w:themeColor="text1"/>
              <w:bottom w:val="single" w:sz="4" w:space="0" w:color="4A4D56" w:themeColor="text1"/>
              <w:right w:val="single" w:sz="4" w:space="0" w:color="4A4D56" w:themeColor="text1"/>
            </w:tcBorders>
          </w:tcPr>
          <w:p w14:paraId="087D7149" w14:textId="049EF455" w:rsidR="002F3C1E" w:rsidRPr="00625570"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Gross Realization Rate</w:t>
            </w:r>
          </w:p>
        </w:tc>
        <w:tc>
          <w:tcPr>
            <w:tcW w:w="0" w:type="auto"/>
            <w:tcBorders>
              <w:left w:val="single" w:sz="4" w:space="0" w:color="4A4D56" w:themeColor="text1"/>
              <w:bottom w:val="single" w:sz="4" w:space="0" w:color="4A4D56" w:themeColor="text1"/>
              <w:right w:val="single" w:sz="4" w:space="0" w:color="4A4D56" w:themeColor="text1"/>
            </w:tcBorders>
          </w:tcPr>
          <w:p w14:paraId="4F6FC4A0" w14:textId="400F4E0E"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Verified Gross Savings (MW)</w:t>
            </w:r>
          </w:p>
        </w:tc>
        <w:tc>
          <w:tcPr>
            <w:tcW w:w="0" w:type="auto"/>
            <w:tcBorders>
              <w:left w:val="single" w:sz="4" w:space="0" w:color="4A4D56" w:themeColor="text1"/>
              <w:bottom w:val="single" w:sz="4" w:space="0" w:color="4A4D56" w:themeColor="text1"/>
              <w:right w:val="single" w:sz="4" w:space="0" w:color="4A4D56" w:themeColor="text1"/>
            </w:tcBorders>
          </w:tcPr>
          <w:p w14:paraId="0DD7166E" w14:textId="7412E786"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NTGR</w:t>
            </w:r>
          </w:p>
        </w:tc>
        <w:tc>
          <w:tcPr>
            <w:tcW w:w="0" w:type="auto"/>
            <w:tcBorders>
              <w:left w:val="single" w:sz="4" w:space="0" w:color="4A4D56" w:themeColor="text1"/>
              <w:bottom w:val="single" w:sz="4" w:space="0" w:color="4A4D56" w:themeColor="text1"/>
              <w:right w:val="single" w:sz="4" w:space="0" w:color="4A4D56" w:themeColor="text1"/>
            </w:tcBorders>
          </w:tcPr>
          <w:p w14:paraId="0F842772" w14:textId="4CBEB32E" w:rsidR="002F3C1E" w:rsidRDefault="002F3C1E" w:rsidP="002F3C1E">
            <w:pPr>
              <w:pStyle w:val="TableHeadingCentered"/>
              <w:cnfStyle w:val="100000000000" w:firstRow="1" w:lastRow="0" w:firstColumn="0" w:lastColumn="0" w:oddVBand="0" w:evenVBand="0" w:oddHBand="0" w:evenHBand="0" w:firstRowFirstColumn="0" w:firstRowLastColumn="0" w:lastRowFirstColumn="0" w:lastRowLastColumn="0"/>
            </w:pPr>
            <w:r w:rsidRPr="00FB1827">
              <w:t>Verified Net Savings (MW)</w:t>
            </w:r>
          </w:p>
        </w:tc>
      </w:tr>
      <w:tr w:rsidR="002F3C1E" w14:paraId="756CE7FA"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605" w:type="dxa"/>
            <w:tcBorders>
              <w:top w:val="single" w:sz="4" w:space="0" w:color="4A4D56" w:themeColor="text1"/>
            </w:tcBorders>
            <w:vAlign w:val="top"/>
          </w:tcPr>
          <w:p w14:paraId="3AB6D28F" w14:textId="77777777" w:rsidR="002F3C1E" w:rsidRPr="00625570" w:rsidRDefault="002F3C1E" w:rsidP="002F3C1E">
            <w:pPr>
              <w:pStyle w:val="TableLeftText"/>
            </w:pPr>
            <w:r w:rsidRPr="00FB1827">
              <w:t>N</w:t>
            </w:r>
            <w:r>
              <w:t xml:space="preserve">ew </w:t>
            </w:r>
            <w:r w:rsidRPr="00FB1827">
              <w:t>C</w:t>
            </w:r>
            <w:r>
              <w:t xml:space="preserve">onstruction </w:t>
            </w:r>
            <w:r w:rsidRPr="00FB1827">
              <w:t>L</w:t>
            </w:r>
            <w:r>
              <w:t>ighting</w:t>
            </w:r>
          </w:p>
        </w:tc>
        <w:tc>
          <w:tcPr>
            <w:tcW w:w="1680" w:type="dxa"/>
            <w:tcBorders>
              <w:top w:val="single" w:sz="4" w:space="0" w:color="4A4D56" w:themeColor="text1"/>
            </w:tcBorders>
          </w:tcPr>
          <w:p w14:paraId="12B88E92" w14:textId="7888E236"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0.28</w:t>
            </w:r>
          </w:p>
        </w:tc>
        <w:tc>
          <w:tcPr>
            <w:tcW w:w="0" w:type="auto"/>
            <w:tcBorders>
              <w:top w:val="single" w:sz="4" w:space="0" w:color="4A4D56" w:themeColor="text1"/>
            </w:tcBorders>
          </w:tcPr>
          <w:p w14:paraId="4D42299D" w14:textId="613A5223"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99%</w:t>
            </w:r>
          </w:p>
        </w:tc>
        <w:tc>
          <w:tcPr>
            <w:tcW w:w="0" w:type="auto"/>
            <w:tcBorders>
              <w:top w:val="single" w:sz="4" w:space="0" w:color="4A4D56" w:themeColor="text1"/>
            </w:tcBorders>
          </w:tcPr>
          <w:p w14:paraId="7E435D2C" w14:textId="38369E1B"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0.28</w:t>
            </w:r>
          </w:p>
        </w:tc>
        <w:tc>
          <w:tcPr>
            <w:tcW w:w="0" w:type="auto"/>
            <w:tcBorders>
              <w:top w:val="single" w:sz="4" w:space="0" w:color="4A4D56" w:themeColor="text1"/>
            </w:tcBorders>
          </w:tcPr>
          <w:p w14:paraId="795A6BD3" w14:textId="48E05BB6"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0.792</w:t>
            </w:r>
          </w:p>
        </w:tc>
        <w:tc>
          <w:tcPr>
            <w:tcW w:w="0" w:type="auto"/>
            <w:tcBorders>
              <w:top w:val="single" w:sz="4" w:space="0" w:color="4A4D56" w:themeColor="text1"/>
            </w:tcBorders>
          </w:tcPr>
          <w:p w14:paraId="1CE76DD3" w14:textId="2D286504" w:rsidR="002F3C1E"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0.22</w:t>
            </w:r>
          </w:p>
        </w:tc>
      </w:tr>
    </w:tbl>
    <w:p w14:paraId="36728DD0" w14:textId="77777777" w:rsidR="00324528" w:rsidRDefault="00324528" w:rsidP="002F3C1E">
      <w:pPr>
        <w:sectPr w:rsidR="00324528" w:rsidSect="00B45EFD">
          <w:pgSz w:w="12240" w:h="15840" w:code="1"/>
          <w:pgMar w:top="567" w:right="567" w:bottom="567" w:left="567" w:header="567" w:footer="340" w:gutter="0"/>
          <w:cols w:space="708"/>
          <w:docGrid w:linePitch="360"/>
        </w:sectPr>
      </w:pPr>
    </w:p>
    <w:p w14:paraId="33008355" w14:textId="464F4092" w:rsidR="00637A7B" w:rsidRDefault="00637A7B" w:rsidP="00F33E55">
      <w:pPr>
        <w:pStyle w:val="Heading3"/>
        <w:tabs>
          <w:tab w:val="left" w:pos="1080"/>
        </w:tabs>
        <w:ind w:left="0"/>
      </w:pPr>
      <w:bookmarkStart w:id="167" w:name="_Toc191992424"/>
      <w:r>
        <w:lastRenderedPageBreak/>
        <w:t>Cumulative Persisting Annual Savings</w:t>
      </w:r>
      <w:bookmarkEnd w:id="167"/>
    </w:p>
    <w:p w14:paraId="255C6689" w14:textId="39404182" w:rsidR="00587337" w:rsidRPr="00C055A3" w:rsidRDefault="00587337" w:rsidP="00587337">
      <w:r>
        <w:fldChar w:fldCharType="begin"/>
      </w:r>
      <w:r>
        <w:instrText xml:space="preserve"> REF _Ref187247099 \h </w:instrText>
      </w:r>
      <w:r>
        <w:fldChar w:fldCharType="separate"/>
      </w:r>
      <w:r w:rsidR="00AA10F4">
        <w:t xml:space="preserve">Table </w:t>
      </w:r>
      <w:r w:rsidR="00AA10F4">
        <w:rPr>
          <w:noProof/>
        </w:rPr>
        <w:t>38</w:t>
      </w:r>
      <w:r>
        <w:fldChar w:fldCharType="end"/>
      </w:r>
      <w:r>
        <w:t xml:space="preserve"> presents CPAS and WAM</w:t>
      </w:r>
      <w:r w:rsidR="000B04B2">
        <w:t>L</w:t>
      </w:r>
      <w:r>
        <w:t xml:space="preserve"> for the 2024 Custom Initiative by channel. The table also include</w:t>
      </w:r>
      <w:r w:rsidR="009E5D48">
        <w:t>s</w:t>
      </w:r>
      <w:r>
        <w:t xml:space="preserve"> a summary of the total verified gross savings for the Initiative and channels, as well as CPAS in each year from 2024</w:t>
      </w:r>
      <w:r w:rsidR="007903C8">
        <w:t xml:space="preserve"> to </w:t>
      </w:r>
      <w:r>
        <w:t>2027.</w:t>
      </w:r>
      <w:r>
        <w:rPr>
          <w:rStyle w:val="FootnoteReference"/>
        </w:rPr>
        <w:footnoteReference w:id="27"/>
      </w:r>
      <w:r>
        <w:t xml:space="preserve"> The WAML for the </w:t>
      </w:r>
      <w:r w:rsidR="009E5D48">
        <w:t>Custom</w:t>
      </w:r>
      <w:r>
        <w:t xml:space="preserve"> Initiative is </w:t>
      </w:r>
      <w:r w:rsidR="00D3469D">
        <w:t>18.3</w:t>
      </w:r>
      <w:r>
        <w:t xml:space="preserve"> years</w:t>
      </w:r>
      <w:r w:rsidR="007903C8">
        <w:t>,</w:t>
      </w:r>
      <w:r>
        <w:t xml:space="preserve"> and the WAML for the </w:t>
      </w:r>
      <w:r w:rsidR="009E5D48">
        <w:t>Custom Incentives and New Construction Lighting</w:t>
      </w:r>
      <w:r>
        <w:t xml:space="preserve"> channels are </w:t>
      </w:r>
      <w:r w:rsidR="00D3469D">
        <w:t>18.6</w:t>
      </w:r>
      <w:r>
        <w:t xml:space="preserve"> years and </w:t>
      </w:r>
      <w:r w:rsidR="00215499">
        <w:t>12.8</w:t>
      </w:r>
      <w:r>
        <w:t xml:space="preserve"> years, respectively. </w:t>
      </w:r>
    </w:p>
    <w:p w14:paraId="166B4C5C" w14:textId="203D178C" w:rsidR="00587337" w:rsidRDefault="00587337" w:rsidP="00881B1B">
      <w:pPr>
        <w:pStyle w:val="Caption"/>
      </w:pPr>
      <w:bookmarkStart w:id="168" w:name="_Ref187247099"/>
      <w:bookmarkStart w:id="169" w:name="_Toc191992559"/>
      <w:bookmarkStart w:id="170" w:name="_Toc192766972"/>
      <w:r>
        <w:t xml:space="preserve">Table </w:t>
      </w:r>
      <w:r w:rsidR="009B4C9A">
        <w:fldChar w:fldCharType="begin"/>
      </w:r>
      <w:r w:rsidR="009B4C9A">
        <w:instrText xml:space="preserve"> SEQ Table \* ARABIC </w:instrText>
      </w:r>
      <w:r w:rsidR="009B4C9A">
        <w:fldChar w:fldCharType="separate"/>
      </w:r>
      <w:r w:rsidR="00AA10F4">
        <w:rPr>
          <w:noProof/>
        </w:rPr>
        <w:t>38</w:t>
      </w:r>
      <w:r w:rsidR="009B4C9A">
        <w:rPr>
          <w:noProof/>
        </w:rPr>
        <w:fldChar w:fldCharType="end"/>
      </w:r>
      <w:bookmarkEnd w:id="168"/>
      <w:r>
        <w:t>. 2024 Custom Initiative CPAS and WAML</w:t>
      </w:r>
      <w:bookmarkEnd w:id="169"/>
      <w:bookmarkEnd w:id="170"/>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325"/>
        <w:gridCol w:w="1260"/>
        <w:gridCol w:w="2584"/>
        <w:gridCol w:w="664"/>
        <w:gridCol w:w="899"/>
        <w:gridCol w:w="45"/>
        <w:gridCol w:w="854"/>
        <w:gridCol w:w="90"/>
        <w:gridCol w:w="899"/>
        <w:gridCol w:w="45"/>
        <w:gridCol w:w="944"/>
        <w:gridCol w:w="485"/>
        <w:gridCol w:w="781"/>
        <w:gridCol w:w="359"/>
        <w:gridCol w:w="1472"/>
      </w:tblGrid>
      <w:tr w:rsidR="00587337" w14:paraId="27D027B0" w14:textId="77777777" w:rsidTr="002F3C1E">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25" w:type="dxa"/>
            <w:vMerge w:val="restart"/>
            <w:tcBorders>
              <w:top w:val="none" w:sz="0" w:space="0" w:color="auto"/>
              <w:left w:val="none" w:sz="0" w:space="0" w:color="auto"/>
              <w:bottom w:val="none" w:sz="0" w:space="0" w:color="auto"/>
              <w:right w:val="none" w:sz="0" w:space="0" w:color="auto"/>
            </w:tcBorders>
          </w:tcPr>
          <w:p w14:paraId="01B66AD7" w14:textId="2AF6DC45" w:rsidR="00587337" w:rsidRDefault="000B1B6F" w:rsidP="008700F8">
            <w:pPr>
              <w:pStyle w:val="TableHeadingLeft"/>
            </w:pPr>
            <w:r>
              <w:t>Channel</w:t>
            </w:r>
          </w:p>
        </w:tc>
        <w:tc>
          <w:tcPr>
            <w:tcW w:w="1260" w:type="dxa"/>
            <w:vMerge w:val="restart"/>
            <w:tcBorders>
              <w:bottom w:val="none" w:sz="0" w:space="0" w:color="auto"/>
            </w:tcBorders>
          </w:tcPr>
          <w:p w14:paraId="4E2D76CC" w14:textId="77777777" w:rsidR="00587337" w:rsidRDefault="00587337" w:rsidP="008700F8">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2584" w:type="dxa"/>
            <w:vMerge w:val="restart"/>
            <w:tcBorders>
              <w:bottom w:val="none" w:sz="0" w:space="0" w:color="auto"/>
            </w:tcBorders>
          </w:tcPr>
          <w:p w14:paraId="41334EE5" w14:textId="77777777" w:rsidR="00587337" w:rsidRDefault="00587337"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664" w:type="dxa"/>
            <w:vMerge w:val="restart"/>
            <w:tcBorders>
              <w:bottom w:val="none" w:sz="0" w:space="0" w:color="auto"/>
            </w:tcBorders>
          </w:tcPr>
          <w:p w14:paraId="68668F6A" w14:textId="77777777" w:rsidR="00587337" w:rsidRDefault="00587337"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401" w:type="dxa"/>
            <w:gridSpan w:val="10"/>
            <w:tcBorders>
              <w:bottom w:val="none" w:sz="0" w:space="0" w:color="auto"/>
            </w:tcBorders>
          </w:tcPr>
          <w:p w14:paraId="4198C8BF" w14:textId="77777777" w:rsidR="00587337" w:rsidRDefault="00587337"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72" w:type="dxa"/>
            <w:vMerge w:val="restart"/>
            <w:tcBorders>
              <w:bottom w:val="none" w:sz="0" w:space="0" w:color="auto"/>
            </w:tcBorders>
          </w:tcPr>
          <w:p w14:paraId="1D5A2F2A" w14:textId="77777777" w:rsidR="00587337" w:rsidRDefault="00587337"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2F3C1E" w14:paraId="38307444" w14:textId="77777777" w:rsidTr="002F3C1E">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325" w:type="dxa"/>
            <w:vMerge/>
          </w:tcPr>
          <w:p w14:paraId="778F6513" w14:textId="77777777" w:rsidR="00587337" w:rsidRDefault="00587337" w:rsidP="008700F8"/>
        </w:tc>
        <w:tc>
          <w:tcPr>
            <w:tcW w:w="1260" w:type="dxa"/>
            <w:vMerge/>
          </w:tcPr>
          <w:p w14:paraId="53257772" w14:textId="77777777" w:rsidR="00587337" w:rsidRDefault="00587337" w:rsidP="008700F8">
            <w:pPr>
              <w:cnfStyle w:val="000000100000" w:firstRow="0" w:lastRow="0" w:firstColumn="0" w:lastColumn="0" w:oddVBand="0" w:evenVBand="0" w:oddHBand="1" w:evenHBand="0" w:firstRowFirstColumn="0" w:firstRowLastColumn="0" w:lastRowFirstColumn="0" w:lastRowLastColumn="0"/>
            </w:pPr>
          </w:p>
        </w:tc>
        <w:tc>
          <w:tcPr>
            <w:tcW w:w="2584" w:type="dxa"/>
            <w:vMerge/>
          </w:tcPr>
          <w:p w14:paraId="5F643FD5" w14:textId="77777777" w:rsidR="00587337" w:rsidRDefault="00587337" w:rsidP="008700F8">
            <w:pPr>
              <w:cnfStyle w:val="000000100000" w:firstRow="0" w:lastRow="0" w:firstColumn="0" w:lastColumn="0" w:oddVBand="0" w:evenVBand="0" w:oddHBand="1" w:evenHBand="0" w:firstRowFirstColumn="0" w:firstRowLastColumn="0" w:lastRowFirstColumn="0" w:lastRowLastColumn="0"/>
            </w:pPr>
          </w:p>
        </w:tc>
        <w:tc>
          <w:tcPr>
            <w:tcW w:w="664" w:type="dxa"/>
            <w:vMerge/>
          </w:tcPr>
          <w:p w14:paraId="23F1AC0B" w14:textId="77777777" w:rsidR="00587337" w:rsidRDefault="00587337" w:rsidP="008700F8">
            <w:pPr>
              <w:cnfStyle w:val="000000100000" w:firstRow="0" w:lastRow="0" w:firstColumn="0" w:lastColumn="0" w:oddVBand="0" w:evenVBand="0" w:oddHBand="1" w:evenHBand="0" w:firstRowFirstColumn="0" w:firstRowLastColumn="0" w:lastRowFirstColumn="0" w:lastRowLastColumn="0"/>
            </w:pPr>
          </w:p>
        </w:tc>
        <w:tc>
          <w:tcPr>
            <w:tcW w:w="944" w:type="dxa"/>
            <w:gridSpan w:val="2"/>
            <w:shd w:val="clear" w:color="auto" w:fill="053572" w:themeFill="text2"/>
          </w:tcPr>
          <w:p w14:paraId="0961D76C" w14:textId="77777777" w:rsidR="00587337" w:rsidRDefault="00587337"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944" w:type="dxa"/>
            <w:gridSpan w:val="2"/>
            <w:shd w:val="clear" w:color="auto" w:fill="053572" w:themeFill="text2"/>
          </w:tcPr>
          <w:p w14:paraId="09921145" w14:textId="77777777" w:rsidR="00587337" w:rsidRDefault="00587337"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944" w:type="dxa"/>
            <w:gridSpan w:val="2"/>
            <w:shd w:val="clear" w:color="auto" w:fill="053572" w:themeFill="text2"/>
          </w:tcPr>
          <w:p w14:paraId="43AD3F09" w14:textId="77777777" w:rsidR="00587337" w:rsidRDefault="00587337"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944" w:type="dxa"/>
            <w:shd w:val="clear" w:color="auto" w:fill="053572" w:themeFill="text2"/>
          </w:tcPr>
          <w:p w14:paraId="6858143C" w14:textId="77777777" w:rsidR="00587337" w:rsidRDefault="00587337"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485" w:type="dxa"/>
            <w:shd w:val="clear" w:color="auto" w:fill="053572" w:themeFill="text2"/>
          </w:tcPr>
          <w:p w14:paraId="160D2514" w14:textId="77777777" w:rsidR="00587337" w:rsidRDefault="00587337"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781" w:type="dxa"/>
            <w:shd w:val="clear" w:color="auto" w:fill="053572" w:themeFill="text2"/>
          </w:tcPr>
          <w:p w14:paraId="11543D98" w14:textId="77777777" w:rsidR="00587337" w:rsidRDefault="00587337"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59" w:type="dxa"/>
            <w:shd w:val="clear" w:color="auto" w:fill="053572" w:themeFill="text2"/>
          </w:tcPr>
          <w:p w14:paraId="67CBB513" w14:textId="77777777" w:rsidR="00587337" w:rsidRDefault="00587337" w:rsidP="002F3C1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72" w:type="dxa"/>
            <w:vMerge/>
          </w:tcPr>
          <w:p w14:paraId="0CEE9756" w14:textId="77777777" w:rsidR="00587337" w:rsidRDefault="00587337" w:rsidP="008700F8">
            <w:pPr>
              <w:cnfStyle w:val="000000100000" w:firstRow="0" w:lastRow="0" w:firstColumn="0" w:lastColumn="0" w:oddVBand="0" w:evenVBand="0" w:oddHBand="1" w:evenHBand="0" w:firstRowFirstColumn="0" w:firstRowLastColumn="0" w:lastRowFirstColumn="0" w:lastRowLastColumn="0"/>
            </w:pPr>
          </w:p>
        </w:tc>
      </w:tr>
      <w:tr w:rsidR="002F3C1E" w14:paraId="57B55D3C"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top"/>
          </w:tcPr>
          <w:p w14:paraId="35E92D1F" w14:textId="679D70E0" w:rsidR="00D3469D" w:rsidRDefault="00D3469D" w:rsidP="00D3469D">
            <w:r>
              <w:t>Custom Incentives</w:t>
            </w:r>
          </w:p>
        </w:tc>
        <w:tc>
          <w:tcPr>
            <w:tcW w:w="1260" w:type="dxa"/>
          </w:tcPr>
          <w:p w14:paraId="4D74BEA0" w14:textId="5E300F97"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t>18.6</w:t>
            </w:r>
          </w:p>
        </w:tc>
        <w:tc>
          <w:tcPr>
            <w:tcW w:w="2584" w:type="dxa"/>
          </w:tcPr>
          <w:p w14:paraId="12C1DB17" w14:textId="033EE674"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 xml:space="preserve"> 35,</w:t>
            </w:r>
            <w:r w:rsidR="00CC443F" w:rsidRPr="00D3469D">
              <w:t>64</w:t>
            </w:r>
            <w:r w:rsidR="00CC443F">
              <w:t>6</w:t>
            </w:r>
            <w:r w:rsidR="00CC443F" w:rsidRPr="00D3469D">
              <w:t xml:space="preserve"> </w:t>
            </w:r>
          </w:p>
        </w:tc>
        <w:tc>
          <w:tcPr>
            <w:tcW w:w="664" w:type="dxa"/>
          </w:tcPr>
          <w:p w14:paraId="31FEC877" w14:textId="5E926F2C"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0.814</w:t>
            </w:r>
          </w:p>
        </w:tc>
        <w:tc>
          <w:tcPr>
            <w:tcW w:w="944" w:type="dxa"/>
            <w:gridSpan w:val="2"/>
          </w:tcPr>
          <w:p w14:paraId="165D3F2C" w14:textId="020AE4E1"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29,</w:t>
            </w:r>
            <w:r w:rsidR="00CC443F" w:rsidRPr="00D3469D">
              <w:t>02</w:t>
            </w:r>
            <w:r w:rsidR="00CC443F">
              <w:t>1</w:t>
            </w:r>
          </w:p>
        </w:tc>
        <w:tc>
          <w:tcPr>
            <w:tcW w:w="944" w:type="dxa"/>
            <w:gridSpan w:val="2"/>
          </w:tcPr>
          <w:p w14:paraId="124D2878" w14:textId="216F9EBE"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29,02</w:t>
            </w:r>
            <w:r w:rsidR="00CC443F">
              <w:t>1</w:t>
            </w:r>
          </w:p>
        </w:tc>
        <w:tc>
          <w:tcPr>
            <w:tcW w:w="944" w:type="dxa"/>
            <w:gridSpan w:val="2"/>
          </w:tcPr>
          <w:p w14:paraId="351640E3" w14:textId="202B0712"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29,02</w:t>
            </w:r>
            <w:r w:rsidR="00CC443F">
              <w:t>1</w:t>
            </w:r>
          </w:p>
        </w:tc>
        <w:tc>
          <w:tcPr>
            <w:tcW w:w="944" w:type="dxa"/>
          </w:tcPr>
          <w:p w14:paraId="31C40E45" w14:textId="7A189CF7"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29,02</w:t>
            </w:r>
            <w:r w:rsidR="00CC443F">
              <w:t>1</w:t>
            </w:r>
          </w:p>
        </w:tc>
        <w:tc>
          <w:tcPr>
            <w:tcW w:w="485" w:type="dxa"/>
          </w:tcPr>
          <w:p w14:paraId="496443AF" w14:textId="77777777" w:rsidR="00D3469D" w:rsidRDefault="00D3469D" w:rsidP="002F3C1E">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781" w:type="dxa"/>
          </w:tcPr>
          <w:p w14:paraId="26856984" w14:textId="5EF957B6"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28,46</w:t>
            </w:r>
            <w:r w:rsidR="00CC443F">
              <w:t>0</w:t>
            </w:r>
            <w:r w:rsidRPr="00D3469D">
              <w:t xml:space="preserve"> </w:t>
            </w:r>
          </w:p>
        </w:tc>
        <w:tc>
          <w:tcPr>
            <w:tcW w:w="359" w:type="dxa"/>
          </w:tcPr>
          <w:p w14:paraId="672DB7BB" w14:textId="77777777" w:rsidR="00D3469D" w:rsidRDefault="00D3469D" w:rsidP="002F3C1E">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72" w:type="dxa"/>
          </w:tcPr>
          <w:p w14:paraId="5FEE6569" w14:textId="318FF466" w:rsidR="00D3469D" w:rsidRDefault="00D3469D" w:rsidP="007A5BA2">
            <w:pPr>
              <w:jc w:val="right"/>
              <w:cnfStyle w:val="000000010000" w:firstRow="0" w:lastRow="0" w:firstColumn="0" w:lastColumn="0" w:oddVBand="0" w:evenVBand="0" w:oddHBand="0" w:evenHBand="1" w:firstRowFirstColumn="0" w:firstRowLastColumn="0" w:lastRowFirstColumn="0" w:lastRowLastColumn="0"/>
            </w:pPr>
            <w:r w:rsidRPr="00D3469D">
              <w:t xml:space="preserve"> 537,</w:t>
            </w:r>
            <w:r w:rsidR="00CC443F">
              <w:t>478</w:t>
            </w:r>
            <w:r w:rsidR="00CC443F" w:rsidRPr="00D3469D">
              <w:t xml:space="preserve"> </w:t>
            </w:r>
          </w:p>
        </w:tc>
      </w:tr>
      <w:tr w:rsidR="002F3C1E" w14:paraId="0E9E1B1A"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vAlign w:val="top"/>
          </w:tcPr>
          <w:p w14:paraId="63C6BCCF" w14:textId="12C5860D" w:rsidR="00587337" w:rsidRDefault="00587337" w:rsidP="008700F8">
            <w:r>
              <w:t>New Construction Lighting</w:t>
            </w:r>
          </w:p>
        </w:tc>
        <w:tc>
          <w:tcPr>
            <w:tcW w:w="1260" w:type="dxa"/>
          </w:tcPr>
          <w:p w14:paraId="5A462E42" w14:textId="276A4EED"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12.8</w:t>
            </w:r>
          </w:p>
        </w:tc>
        <w:tc>
          <w:tcPr>
            <w:tcW w:w="2584" w:type="dxa"/>
          </w:tcPr>
          <w:p w14:paraId="51698ABE" w14:textId="60B16E26"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1,388</w:t>
            </w:r>
          </w:p>
        </w:tc>
        <w:tc>
          <w:tcPr>
            <w:tcW w:w="664" w:type="dxa"/>
          </w:tcPr>
          <w:p w14:paraId="58FC8306" w14:textId="594B9427"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0.791</w:t>
            </w:r>
          </w:p>
        </w:tc>
        <w:tc>
          <w:tcPr>
            <w:tcW w:w="944" w:type="dxa"/>
            <w:gridSpan w:val="2"/>
          </w:tcPr>
          <w:p w14:paraId="6A3B5B83" w14:textId="7913DAE4"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1,098</w:t>
            </w:r>
          </w:p>
        </w:tc>
        <w:tc>
          <w:tcPr>
            <w:tcW w:w="944" w:type="dxa"/>
            <w:gridSpan w:val="2"/>
          </w:tcPr>
          <w:p w14:paraId="0232A4BC" w14:textId="564741BC"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1,098</w:t>
            </w:r>
          </w:p>
        </w:tc>
        <w:tc>
          <w:tcPr>
            <w:tcW w:w="944" w:type="dxa"/>
            <w:gridSpan w:val="2"/>
          </w:tcPr>
          <w:p w14:paraId="6BE6623D" w14:textId="28181C1D"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1,098</w:t>
            </w:r>
          </w:p>
        </w:tc>
        <w:tc>
          <w:tcPr>
            <w:tcW w:w="944" w:type="dxa"/>
          </w:tcPr>
          <w:p w14:paraId="0053A2DF" w14:textId="5ADE029D"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1,098</w:t>
            </w:r>
          </w:p>
        </w:tc>
        <w:tc>
          <w:tcPr>
            <w:tcW w:w="485" w:type="dxa"/>
          </w:tcPr>
          <w:p w14:paraId="239BEE00" w14:textId="77777777" w:rsidR="00587337" w:rsidRDefault="00587337" w:rsidP="002F3C1E">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781" w:type="dxa"/>
          </w:tcPr>
          <w:p w14:paraId="30063731" w14:textId="7159B861"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1,098</w:t>
            </w:r>
          </w:p>
        </w:tc>
        <w:tc>
          <w:tcPr>
            <w:tcW w:w="359" w:type="dxa"/>
          </w:tcPr>
          <w:p w14:paraId="798015B5" w14:textId="77777777" w:rsidR="00587337" w:rsidRDefault="00587337" w:rsidP="002F3C1E">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1472" w:type="dxa"/>
          </w:tcPr>
          <w:p w14:paraId="41CDC8D3" w14:textId="109195EC" w:rsidR="00587337" w:rsidRDefault="00215499" w:rsidP="007A5BA2">
            <w:pPr>
              <w:jc w:val="right"/>
              <w:cnfStyle w:val="000000100000" w:firstRow="0" w:lastRow="0" w:firstColumn="0" w:lastColumn="0" w:oddVBand="0" w:evenVBand="0" w:oddHBand="1" w:evenHBand="0" w:firstRowFirstColumn="0" w:firstRowLastColumn="0" w:lastRowFirstColumn="0" w:lastRowLastColumn="0"/>
            </w:pPr>
            <w:r>
              <w:t>14,003</w:t>
            </w:r>
          </w:p>
        </w:tc>
      </w:tr>
      <w:tr w:rsidR="002F3C1E" w14:paraId="2566A9AC"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gridSpan w:val="2"/>
            <w:shd w:val="clear" w:color="auto" w:fill="D9D9D9" w:themeFill="background1" w:themeFillShade="D9"/>
            <w:vAlign w:val="top"/>
          </w:tcPr>
          <w:p w14:paraId="078663B5" w14:textId="1791D788" w:rsidR="00D3469D" w:rsidRPr="00881B1B" w:rsidRDefault="00D3469D" w:rsidP="00D3469D">
            <w:pPr>
              <w:rPr>
                <w:rFonts w:ascii="Franklin Gothic Medium" w:hAnsi="Franklin Gothic Medium"/>
              </w:rPr>
            </w:pPr>
            <w:r w:rsidRPr="00881B1B">
              <w:rPr>
                <w:rFonts w:ascii="Franklin Gothic Medium" w:hAnsi="Franklin Gothic Medium"/>
              </w:rPr>
              <w:t>2024 CPAS</w:t>
            </w:r>
          </w:p>
        </w:tc>
        <w:tc>
          <w:tcPr>
            <w:tcW w:w="2584" w:type="dxa"/>
            <w:shd w:val="clear" w:color="auto" w:fill="D9D9D9" w:themeFill="background1" w:themeFillShade="D9"/>
          </w:tcPr>
          <w:p w14:paraId="49ABD129" w14:textId="6A97BEAD"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37,</w:t>
            </w:r>
            <w:r w:rsidR="00CC443F" w:rsidRPr="00881B1B">
              <w:rPr>
                <w:rFonts w:ascii="Franklin Gothic Medium" w:hAnsi="Franklin Gothic Medium"/>
              </w:rPr>
              <w:t>03</w:t>
            </w:r>
            <w:r w:rsidR="00CC443F">
              <w:rPr>
                <w:rFonts w:ascii="Franklin Gothic Medium" w:hAnsi="Franklin Gothic Medium"/>
              </w:rPr>
              <w:t>4</w:t>
            </w:r>
            <w:r w:rsidR="00CC443F" w:rsidRPr="00881B1B">
              <w:rPr>
                <w:rFonts w:ascii="Franklin Gothic Medium" w:hAnsi="Franklin Gothic Medium"/>
              </w:rPr>
              <w:t xml:space="preserve"> </w:t>
            </w:r>
          </w:p>
        </w:tc>
        <w:tc>
          <w:tcPr>
            <w:tcW w:w="664" w:type="dxa"/>
            <w:shd w:val="clear" w:color="auto" w:fill="D9D9D9" w:themeFill="background1" w:themeFillShade="D9"/>
          </w:tcPr>
          <w:p w14:paraId="5F83EF24" w14:textId="2EC54C05"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0.813</w:t>
            </w:r>
          </w:p>
        </w:tc>
        <w:tc>
          <w:tcPr>
            <w:tcW w:w="944" w:type="dxa"/>
            <w:gridSpan w:val="2"/>
            <w:shd w:val="clear" w:color="auto" w:fill="D9D9D9" w:themeFill="background1" w:themeFillShade="D9"/>
          </w:tcPr>
          <w:p w14:paraId="637A271F" w14:textId="5BFCA0AD"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30,</w:t>
            </w:r>
            <w:r w:rsidR="00CC443F" w:rsidRPr="00881B1B">
              <w:rPr>
                <w:rFonts w:ascii="Franklin Gothic Medium" w:hAnsi="Franklin Gothic Medium"/>
              </w:rPr>
              <w:t>1</w:t>
            </w:r>
            <w:r w:rsidR="00CC443F">
              <w:rPr>
                <w:rFonts w:ascii="Franklin Gothic Medium" w:hAnsi="Franklin Gothic Medium"/>
              </w:rPr>
              <w:t>18</w:t>
            </w:r>
            <w:r w:rsidR="00CC443F" w:rsidRPr="00881B1B">
              <w:rPr>
                <w:rFonts w:ascii="Franklin Gothic Medium" w:hAnsi="Franklin Gothic Medium"/>
              </w:rPr>
              <w:t xml:space="preserve"> </w:t>
            </w:r>
          </w:p>
        </w:tc>
        <w:tc>
          <w:tcPr>
            <w:tcW w:w="944" w:type="dxa"/>
            <w:gridSpan w:val="2"/>
            <w:shd w:val="clear" w:color="auto" w:fill="D9D9D9" w:themeFill="background1" w:themeFillShade="D9"/>
          </w:tcPr>
          <w:p w14:paraId="603BB171" w14:textId="5204DB55"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30,1</w:t>
            </w:r>
            <w:r w:rsidR="00CC443F">
              <w:rPr>
                <w:rFonts w:ascii="Franklin Gothic Medium" w:hAnsi="Franklin Gothic Medium"/>
              </w:rPr>
              <w:t>18</w:t>
            </w:r>
          </w:p>
        </w:tc>
        <w:tc>
          <w:tcPr>
            <w:tcW w:w="944" w:type="dxa"/>
            <w:gridSpan w:val="2"/>
            <w:shd w:val="clear" w:color="auto" w:fill="D9D9D9" w:themeFill="background1" w:themeFillShade="D9"/>
          </w:tcPr>
          <w:p w14:paraId="6D132C71" w14:textId="234D51F4"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30,1</w:t>
            </w:r>
            <w:r w:rsidR="00CC443F">
              <w:rPr>
                <w:rFonts w:ascii="Franklin Gothic Medium" w:hAnsi="Franklin Gothic Medium"/>
              </w:rPr>
              <w:t>18</w:t>
            </w:r>
          </w:p>
        </w:tc>
        <w:tc>
          <w:tcPr>
            <w:tcW w:w="944" w:type="dxa"/>
            <w:shd w:val="clear" w:color="auto" w:fill="D9D9D9" w:themeFill="background1" w:themeFillShade="D9"/>
          </w:tcPr>
          <w:p w14:paraId="139CD693" w14:textId="0A22DFF5"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30,1</w:t>
            </w:r>
            <w:r w:rsidR="00CC443F">
              <w:rPr>
                <w:rFonts w:ascii="Franklin Gothic Medium" w:hAnsi="Franklin Gothic Medium"/>
              </w:rPr>
              <w:t>18</w:t>
            </w:r>
          </w:p>
        </w:tc>
        <w:tc>
          <w:tcPr>
            <w:tcW w:w="485" w:type="dxa"/>
            <w:shd w:val="clear" w:color="auto" w:fill="D9D9D9" w:themeFill="background1" w:themeFillShade="D9"/>
          </w:tcPr>
          <w:p w14:paraId="02E0920F" w14:textId="77777777" w:rsidR="00D3469D" w:rsidRPr="00881B1B" w:rsidRDefault="00D3469D"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81" w:type="dxa"/>
            <w:shd w:val="clear" w:color="auto" w:fill="D9D9D9" w:themeFill="background1" w:themeFillShade="D9"/>
          </w:tcPr>
          <w:p w14:paraId="7C4FF5F4" w14:textId="76F67C63"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29,5</w:t>
            </w:r>
            <w:r w:rsidR="00CC443F">
              <w:rPr>
                <w:rFonts w:ascii="Franklin Gothic Medium" w:hAnsi="Franklin Gothic Medium"/>
              </w:rPr>
              <w:t>58</w:t>
            </w:r>
          </w:p>
        </w:tc>
        <w:tc>
          <w:tcPr>
            <w:tcW w:w="359" w:type="dxa"/>
            <w:shd w:val="clear" w:color="auto" w:fill="D9D9D9" w:themeFill="background1" w:themeFillShade="D9"/>
          </w:tcPr>
          <w:p w14:paraId="229B8DCD" w14:textId="77777777" w:rsidR="00D3469D" w:rsidRPr="00881B1B" w:rsidRDefault="00D3469D"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1472" w:type="dxa"/>
            <w:shd w:val="clear" w:color="auto" w:fill="D9D9D9" w:themeFill="background1" w:themeFillShade="D9"/>
          </w:tcPr>
          <w:p w14:paraId="449BBB21" w14:textId="74EFAE85"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 xml:space="preserve"> 551,</w:t>
            </w:r>
            <w:r w:rsidR="00CC443F">
              <w:rPr>
                <w:rFonts w:ascii="Franklin Gothic Medium" w:hAnsi="Franklin Gothic Medium"/>
              </w:rPr>
              <w:t>481</w:t>
            </w:r>
            <w:r w:rsidRPr="00881B1B">
              <w:rPr>
                <w:rFonts w:ascii="Franklin Gothic Medium" w:hAnsi="Franklin Gothic Medium"/>
              </w:rPr>
              <w:t xml:space="preserve"> </w:t>
            </w:r>
          </w:p>
        </w:tc>
      </w:tr>
      <w:tr w:rsidR="002F3C1E" w14:paraId="105C59A3"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3" w:type="dxa"/>
            <w:gridSpan w:val="4"/>
            <w:shd w:val="clear" w:color="auto" w:fill="D9D9D9" w:themeFill="background1" w:themeFillShade="D9"/>
            <w:vAlign w:val="top"/>
          </w:tcPr>
          <w:p w14:paraId="34FD7A5A" w14:textId="0BCC878C" w:rsidR="00D3469D" w:rsidRPr="00881B1B" w:rsidRDefault="00D3469D" w:rsidP="00D3469D">
            <w:pPr>
              <w:rPr>
                <w:rFonts w:ascii="Franklin Gothic Medium" w:hAnsi="Franklin Gothic Medium"/>
              </w:rPr>
            </w:pPr>
            <w:r w:rsidRPr="00881B1B">
              <w:rPr>
                <w:rFonts w:ascii="Franklin Gothic Medium" w:hAnsi="Franklin Gothic Medium"/>
              </w:rPr>
              <w:t>Expiring 2024 CPAS</w:t>
            </w:r>
          </w:p>
        </w:tc>
        <w:tc>
          <w:tcPr>
            <w:tcW w:w="944" w:type="dxa"/>
            <w:gridSpan w:val="2"/>
            <w:shd w:val="clear" w:color="auto" w:fill="D9D9D9" w:themeFill="background1" w:themeFillShade="D9"/>
          </w:tcPr>
          <w:p w14:paraId="7B4BA190" w14:textId="5FF1D9FD" w:rsidR="00D3469D"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gridSpan w:val="2"/>
            <w:shd w:val="clear" w:color="auto" w:fill="D9D9D9" w:themeFill="background1" w:themeFillShade="D9"/>
          </w:tcPr>
          <w:p w14:paraId="1F820D79" w14:textId="2B5BE72E" w:rsidR="00D3469D"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gridSpan w:val="2"/>
            <w:shd w:val="clear" w:color="auto" w:fill="D9D9D9" w:themeFill="background1" w:themeFillShade="D9"/>
          </w:tcPr>
          <w:p w14:paraId="5B4B8DAF" w14:textId="0421694B" w:rsidR="00D3469D"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shd w:val="clear" w:color="auto" w:fill="D9D9D9" w:themeFill="background1" w:themeFillShade="D9"/>
          </w:tcPr>
          <w:p w14:paraId="7C874B49" w14:textId="03594755" w:rsidR="00D3469D"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485" w:type="dxa"/>
            <w:shd w:val="clear" w:color="auto" w:fill="D9D9D9" w:themeFill="background1" w:themeFillShade="D9"/>
          </w:tcPr>
          <w:p w14:paraId="6D60321E" w14:textId="65447365" w:rsidR="00D3469D" w:rsidRPr="00881B1B" w:rsidRDefault="00D3469D"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81" w:type="dxa"/>
            <w:shd w:val="clear" w:color="auto" w:fill="D9D9D9" w:themeFill="background1" w:themeFillShade="D9"/>
          </w:tcPr>
          <w:p w14:paraId="1E6F99D1" w14:textId="35F94294" w:rsidR="00D3469D"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59" w:type="dxa"/>
            <w:shd w:val="clear" w:color="auto" w:fill="D9D9D9" w:themeFill="background1" w:themeFillShade="D9"/>
          </w:tcPr>
          <w:p w14:paraId="3A6CB693" w14:textId="77777777" w:rsidR="00D3469D" w:rsidRPr="00881B1B" w:rsidRDefault="00D3469D" w:rsidP="002F3C1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1472" w:type="dxa"/>
            <w:tcBorders>
              <w:bottom w:val="nil"/>
              <w:right w:val="nil"/>
            </w:tcBorders>
            <w:shd w:val="clear" w:color="auto" w:fill="FFFFFF" w:themeFill="background1"/>
            <w:vAlign w:val="top"/>
          </w:tcPr>
          <w:p w14:paraId="77A50276" w14:textId="77777777" w:rsidR="00D3469D" w:rsidRPr="00881B1B" w:rsidRDefault="00D3469D" w:rsidP="00D3469D">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2F3C1E" w14:paraId="6DF4E394" w14:textId="77777777" w:rsidTr="002F3C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3" w:type="dxa"/>
            <w:gridSpan w:val="4"/>
            <w:shd w:val="clear" w:color="auto" w:fill="D9D9D9" w:themeFill="background1" w:themeFillShade="D9"/>
            <w:vAlign w:val="top"/>
          </w:tcPr>
          <w:p w14:paraId="332B5695" w14:textId="218B56EB" w:rsidR="00D3469D" w:rsidRPr="00881B1B" w:rsidRDefault="00D3469D" w:rsidP="00D3469D">
            <w:pPr>
              <w:rPr>
                <w:rFonts w:ascii="Franklin Gothic Medium" w:hAnsi="Franklin Gothic Medium"/>
              </w:rPr>
            </w:pPr>
            <w:r w:rsidRPr="00881B1B">
              <w:rPr>
                <w:rFonts w:ascii="Franklin Gothic Medium" w:hAnsi="Franklin Gothic Medium"/>
              </w:rPr>
              <w:t>Expired 2024 CPAS</w:t>
            </w:r>
          </w:p>
        </w:tc>
        <w:tc>
          <w:tcPr>
            <w:tcW w:w="944" w:type="dxa"/>
            <w:gridSpan w:val="2"/>
            <w:shd w:val="clear" w:color="auto" w:fill="D9D9D9" w:themeFill="background1" w:themeFillShade="D9"/>
          </w:tcPr>
          <w:p w14:paraId="20A57350" w14:textId="5353797E"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gridSpan w:val="2"/>
            <w:shd w:val="clear" w:color="auto" w:fill="D9D9D9" w:themeFill="background1" w:themeFillShade="D9"/>
          </w:tcPr>
          <w:p w14:paraId="06458E18" w14:textId="191F06F9"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gridSpan w:val="2"/>
            <w:shd w:val="clear" w:color="auto" w:fill="D9D9D9" w:themeFill="background1" w:themeFillShade="D9"/>
          </w:tcPr>
          <w:p w14:paraId="3568F3E1" w14:textId="3F43F700"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944" w:type="dxa"/>
            <w:shd w:val="clear" w:color="auto" w:fill="D9D9D9" w:themeFill="background1" w:themeFillShade="D9"/>
          </w:tcPr>
          <w:p w14:paraId="1660CB51" w14:textId="3E42464E"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485" w:type="dxa"/>
            <w:shd w:val="clear" w:color="auto" w:fill="D9D9D9" w:themeFill="background1" w:themeFillShade="D9"/>
          </w:tcPr>
          <w:p w14:paraId="1A64AE55" w14:textId="754D5F15" w:rsidR="00D3469D" w:rsidRPr="00881B1B" w:rsidRDefault="00D3469D"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781" w:type="dxa"/>
            <w:shd w:val="clear" w:color="auto" w:fill="D9D9D9" w:themeFill="background1" w:themeFillShade="D9"/>
          </w:tcPr>
          <w:p w14:paraId="2380A66E" w14:textId="4EE342A5" w:rsidR="00D3469D" w:rsidRPr="00881B1B" w:rsidRDefault="00D3469D"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0</w:t>
            </w:r>
          </w:p>
        </w:tc>
        <w:tc>
          <w:tcPr>
            <w:tcW w:w="359" w:type="dxa"/>
            <w:shd w:val="clear" w:color="auto" w:fill="D9D9D9" w:themeFill="background1" w:themeFillShade="D9"/>
          </w:tcPr>
          <w:p w14:paraId="197DA29B" w14:textId="77777777" w:rsidR="00D3469D" w:rsidRPr="00881B1B" w:rsidRDefault="00D3469D" w:rsidP="002F3C1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w:t>
            </w:r>
          </w:p>
        </w:tc>
        <w:tc>
          <w:tcPr>
            <w:tcW w:w="1472" w:type="dxa"/>
            <w:tcBorders>
              <w:top w:val="nil"/>
              <w:bottom w:val="nil"/>
              <w:right w:val="nil"/>
            </w:tcBorders>
            <w:shd w:val="clear" w:color="auto" w:fill="FFFFFF" w:themeFill="background1"/>
            <w:vAlign w:val="top"/>
          </w:tcPr>
          <w:p w14:paraId="03D3C338" w14:textId="77777777" w:rsidR="00D3469D" w:rsidRPr="00881B1B" w:rsidRDefault="00D3469D" w:rsidP="00D3469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F3C1E" w14:paraId="23E65C28" w14:textId="77777777" w:rsidTr="002F3C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shd w:val="clear" w:color="auto" w:fill="D9D9D9" w:themeFill="background1" w:themeFillShade="D9"/>
            <w:vAlign w:val="top"/>
          </w:tcPr>
          <w:p w14:paraId="66CB935C" w14:textId="77777777" w:rsidR="00587337" w:rsidRPr="00881B1B" w:rsidRDefault="00587337" w:rsidP="008700F8">
            <w:pPr>
              <w:rPr>
                <w:rFonts w:ascii="Franklin Gothic Medium" w:hAnsi="Franklin Gothic Medium"/>
              </w:rPr>
            </w:pPr>
            <w:r w:rsidRPr="00881B1B">
              <w:rPr>
                <w:rFonts w:ascii="Franklin Gothic Medium" w:hAnsi="Franklin Gothic Medium"/>
              </w:rPr>
              <w:t>WAML</w:t>
            </w:r>
          </w:p>
        </w:tc>
        <w:tc>
          <w:tcPr>
            <w:tcW w:w="1260" w:type="dxa"/>
            <w:shd w:val="clear" w:color="auto" w:fill="D9D9D9" w:themeFill="background1" w:themeFillShade="D9"/>
          </w:tcPr>
          <w:p w14:paraId="2AE10E29" w14:textId="7436B825" w:rsidR="00587337" w:rsidRPr="00881B1B" w:rsidRDefault="00D3469D"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18.3</w:t>
            </w:r>
          </w:p>
        </w:tc>
        <w:tc>
          <w:tcPr>
            <w:tcW w:w="2584" w:type="dxa"/>
            <w:tcBorders>
              <w:bottom w:val="nil"/>
              <w:right w:val="nil"/>
            </w:tcBorders>
            <w:shd w:val="clear" w:color="auto" w:fill="FFFFFF" w:themeFill="background1"/>
          </w:tcPr>
          <w:p w14:paraId="16E8F74A" w14:textId="77777777" w:rsidR="00587337" w:rsidRPr="00881B1B" w:rsidRDefault="00587337"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664" w:type="dxa"/>
            <w:tcBorders>
              <w:left w:val="nil"/>
              <w:bottom w:val="nil"/>
              <w:right w:val="nil"/>
            </w:tcBorders>
            <w:shd w:val="clear" w:color="auto" w:fill="FFFFFF" w:themeFill="background1"/>
            <w:vAlign w:val="top"/>
          </w:tcPr>
          <w:p w14:paraId="026394CC"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99" w:type="dxa"/>
            <w:tcBorders>
              <w:left w:val="nil"/>
              <w:bottom w:val="nil"/>
              <w:right w:val="nil"/>
            </w:tcBorders>
            <w:shd w:val="clear" w:color="auto" w:fill="FFFFFF" w:themeFill="background1"/>
            <w:vAlign w:val="top"/>
          </w:tcPr>
          <w:p w14:paraId="41501174"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99" w:type="dxa"/>
            <w:gridSpan w:val="2"/>
            <w:tcBorders>
              <w:left w:val="nil"/>
              <w:bottom w:val="nil"/>
              <w:right w:val="nil"/>
            </w:tcBorders>
            <w:shd w:val="clear" w:color="auto" w:fill="FFFFFF" w:themeFill="background1"/>
            <w:vAlign w:val="top"/>
          </w:tcPr>
          <w:p w14:paraId="37BA6397"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89" w:type="dxa"/>
            <w:gridSpan w:val="2"/>
            <w:tcBorders>
              <w:left w:val="nil"/>
              <w:bottom w:val="nil"/>
              <w:right w:val="nil"/>
            </w:tcBorders>
            <w:shd w:val="clear" w:color="auto" w:fill="FFFFFF" w:themeFill="background1"/>
            <w:vAlign w:val="top"/>
          </w:tcPr>
          <w:p w14:paraId="048B572D"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89" w:type="dxa"/>
            <w:gridSpan w:val="2"/>
            <w:tcBorders>
              <w:left w:val="nil"/>
              <w:bottom w:val="nil"/>
              <w:right w:val="nil"/>
            </w:tcBorders>
            <w:shd w:val="clear" w:color="auto" w:fill="FFFFFF" w:themeFill="background1"/>
            <w:vAlign w:val="top"/>
          </w:tcPr>
          <w:p w14:paraId="709BF91D"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85" w:type="dxa"/>
            <w:tcBorders>
              <w:left w:val="nil"/>
              <w:bottom w:val="nil"/>
              <w:right w:val="nil"/>
            </w:tcBorders>
            <w:shd w:val="clear" w:color="auto" w:fill="FFFFFF" w:themeFill="background1"/>
            <w:vAlign w:val="top"/>
          </w:tcPr>
          <w:p w14:paraId="2AB0CE57"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781" w:type="dxa"/>
            <w:tcBorders>
              <w:left w:val="nil"/>
              <w:bottom w:val="nil"/>
              <w:right w:val="nil"/>
            </w:tcBorders>
            <w:shd w:val="clear" w:color="auto" w:fill="FFFFFF" w:themeFill="background1"/>
            <w:vAlign w:val="top"/>
          </w:tcPr>
          <w:p w14:paraId="5BE89C5F"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59" w:type="dxa"/>
            <w:tcBorders>
              <w:left w:val="nil"/>
              <w:bottom w:val="nil"/>
              <w:right w:val="nil"/>
            </w:tcBorders>
            <w:shd w:val="clear" w:color="auto" w:fill="FFFFFF" w:themeFill="background1"/>
            <w:vAlign w:val="top"/>
          </w:tcPr>
          <w:p w14:paraId="05C3CE45"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72" w:type="dxa"/>
            <w:tcBorders>
              <w:top w:val="nil"/>
              <w:left w:val="nil"/>
              <w:bottom w:val="nil"/>
              <w:right w:val="nil"/>
            </w:tcBorders>
            <w:shd w:val="clear" w:color="auto" w:fill="FFFFFF" w:themeFill="background1"/>
            <w:vAlign w:val="top"/>
          </w:tcPr>
          <w:p w14:paraId="43CCD3CE" w14:textId="77777777" w:rsidR="00587337" w:rsidRPr="00881B1B" w:rsidRDefault="00587337"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63B72C6B" w14:textId="29C300C9" w:rsidR="00324528" w:rsidRDefault="00324528" w:rsidP="00324528">
      <w:pPr>
        <w:sectPr w:rsidR="00324528" w:rsidSect="00324528">
          <w:pgSz w:w="15840" w:h="12240" w:orient="landscape" w:code="1"/>
          <w:pgMar w:top="562" w:right="562" w:bottom="562" w:left="562" w:header="562" w:footer="346" w:gutter="0"/>
          <w:cols w:space="708"/>
          <w:docGrid w:linePitch="360"/>
        </w:sectPr>
      </w:pPr>
      <w:r>
        <w:br w:type="page"/>
      </w:r>
    </w:p>
    <w:p w14:paraId="15B8F1B7" w14:textId="7CBC4D52" w:rsidR="00637A7B" w:rsidRDefault="00637A7B" w:rsidP="00F33E55">
      <w:pPr>
        <w:pStyle w:val="Heading3"/>
        <w:tabs>
          <w:tab w:val="clear" w:pos="2160"/>
          <w:tab w:val="num" w:pos="1080"/>
        </w:tabs>
        <w:ind w:left="0"/>
      </w:pPr>
      <w:bookmarkStart w:id="171" w:name="_Ref188339906"/>
      <w:bookmarkStart w:id="172" w:name="_Toc191992425"/>
      <w:r>
        <w:lastRenderedPageBreak/>
        <w:t>Conclusions and Recommendations</w:t>
      </w:r>
      <w:bookmarkEnd w:id="171"/>
      <w:bookmarkEnd w:id="172"/>
    </w:p>
    <w:p w14:paraId="0BD916FE" w14:textId="06BB10B9" w:rsidR="00D93890" w:rsidRPr="00D93890" w:rsidRDefault="00D93890" w:rsidP="00D93890">
      <w:r w:rsidRPr="0024670D">
        <w:t xml:space="preserve">Based on the results of this evaluation, the evaluation team offers the following key findings and recommendations for the </w:t>
      </w:r>
      <w:r>
        <w:t>Custom</w:t>
      </w:r>
      <w:r w:rsidRPr="0024670D">
        <w:t xml:space="preserve"> Initiative moving forward:</w:t>
      </w:r>
    </w:p>
    <w:p w14:paraId="19323B52" w14:textId="0CBC45E5" w:rsidR="00637A7B" w:rsidRDefault="00637A7B" w:rsidP="00637A7B">
      <w:pPr>
        <w:pStyle w:val="Heading4"/>
      </w:pPr>
      <w:r>
        <w:t>Custom Incentives Channel</w:t>
      </w:r>
    </w:p>
    <w:p w14:paraId="6E570125" w14:textId="3294EAF2" w:rsidR="00637A7B" w:rsidRPr="00637A7B" w:rsidRDefault="00637A7B" w:rsidP="00637A7B">
      <w:pPr>
        <w:pStyle w:val="ListBullet"/>
      </w:pPr>
      <w:r>
        <w:rPr>
          <w:b/>
          <w:bCs/>
        </w:rPr>
        <w:t xml:space="preserve">Finding #1: </w:t>
      </w:r>
      <w:r w:rsidR="0003416C">
        <w:t>Several</w:t>
      </w:r>
      <w:r w:rsidR="0003416C" w:rsidRPr="0003416C">
        <w:t xml:space="preserve"> fuel-switching projects were completed in 2024. The evaluation team separated these projects into their own sample frame</w:t>
      </w:r>
      <w:r w:rsidR="0003416C">
        <w:t xml:space="preserve"> </w:t>
      </w:r>
      <w:r w:rsidR="0003416C" w:rsidRPr="0003416C">
        <w:t>to account for the unique characteristics of these projects.</w:t>
      </w:r>
    </w:p>
    <w:p w14:paraId="16C41474" w14:textId="6AFC46C8" w:rsidR="004C217D" w:rsidRDefault="00637A7B" w:rsidP="00637A7B">
      <w:pPr>
        <w:pStyle w:val="ListBullet2"/>
      </w:pPr>
      <w:r>
        <w:rPr>
          <w:b/>
          <w:bCs/>
        </w:rPr>
        <w:t>Recommendation:</w:t>
      </w:r>
      <w:r w:rsidR="00F7132B">
        <w:rPr>
          <w:b/>
          <w:bCs/>
        </w:rPr>
        <w:t xml:space="preserve"> </w:t>
      </w:r>
      <w:r w:rsidR="00F7132B" w:rsidRPr="00F7132B">
        <w:t xml:space="preserve">We recommend that the implementation and evaluation teams continue to coordinate on potential fuel-switching projects </w:t>
      </w:r>
      <w:r w:rsidR="00F7132B">
        <w:t>prior to the next evaluation</w:t>
      </w:r>
      <w:r w:rsidR="00F7132B" w:rsidRPr="00F7132B">
        <w:t xml:space="preserve"> to ensure these projects are accounted for properly during the evaluation team’s sampling activities, and to discuss how to appropriately estimate savings for these types of projects. In addition, the implementation and evaluation teams should collaborate to ensure discussions are brought to the Illinois Technical Advisory Committee, as applicable, and that any updates that may be needed to the IL-TRM are submitted for review as part of the V14.0 development process.</w:t>
      </w:r>
    </w:p>
    <w:p w14:paraId="52963FD6" w14:textId="79D756E4" w:rsidR="003722F0" w:rsidRPr="00637A7B" w:rsidRDefault="003722F0" w:rsidP="003722F0">
      <w:pPr>
        <w:pStyle w:val="ListBullet"/>
      </w:pPr>
      <w:r>
        <w:rPr>
          <w:b/>
          <w:bCs/>
        </w:rPr>
        <w:t>Finding #</w:t>
      </w:r>
      <w:r w:rsidR="00FF5654">
        <w:rPr>
          <w:b/>
          <w:bCs/>
        </w:rPr>
        <w:t>2</w:t>
      </w:r>
      <w:r>
        <w:rPr>
          <w:b/>
          <w:bCs/>
        </w:rPr>
        <w:t xml:space="preserve">: </w:t>
      </w:r>
      <w:r w:rsidR="00FF5654" w:rsidRPr="00FF5654">
        <w:t>For several projects, we observed differences between the expected performance and scheduling of equipment and controls, and the actual performance and operation. While these discrepancies can result in increased savings in some cases and reduced savings in others, they consistently represent an evaluation risk.</w:t>
      </w:r>
    </w:p>
    <w:p w14:paraId="691BC630" w14:textId="4B6D63AE" w:rsidR="003722F0" w:rsidRPr="00637A7B" w:rsidRDefault="003722F0" w:rsidP="003722F0">
      <w:pPr>
        <w:pStyle w:val="ListBullet2"/>
      </w:pPr>
      <w:r>
        <w:rPr>
          <w:b/>
          <w:bCs/>
        </w:rPr>
        <w:t>Recommendation:</w:t>
      </w:r>
      <w:r w:rsidR="00FF5654">
        <w:rPr>
          <w:b/>
          <w:bCs/>
        </w:rPr>
        <w:t xml:space="preserve"> </w:t>
      </w:r>
      <w:r w:rsidR="00FF5654" w:rsidRPr="00FF5654">
        <w:t>We recommend that the implementation team follow-up with customers two or three months after a project is completed to gather information about any changes the customer has made since completing the project, such as changes to occupancy schedules or control setpoints. We also recommend that post-installation metering activities are conducted at that time to confirm operating conditions and equipment performance metrics. For process-related projects, it may only take two to three weeks of metering to gather sufficient data, while HVAC projects may require several months of metering to capture seasonal variation. While the evaluation team recognizes these steps may not always be feasible, they would reduce evaluation risk. In addition, if savings should be observable at the meter level, the evaluation team recommends the implementation team review utility billing data from before and after the project to validate the magnitude of the ex ante savings</w:t>
      </w:r>
      <w:r w:rsidR="00FF5654" w:rsidRPr="00FF5654">
        <w:rPr>
          <w:b/>
          <w:bCs/>
        </w:rPr>
        <w:t xml:space="preserve">. </w:t>
      </w:r>
    </w:p>
    <w:p w14:paraId="348E0532" w14:textId="7D424F4D" w:rsidR="003722F0" w:rsidRPr="00637A7B" w:rsidRDefault="003722F0" w:rsidP="003722F0">
      <w:pPr>
        <w:pStyle w:val="ListBullet"/>
      </w:pPr>
      <w:r>
        <w:rPr>
          <w:b/>
          <w:bCs/>
        </w:rPr>
        <w:t>Finding #</w:t>
      </w:r>
      <w:r w:rsidR="00E907F9">
        <w:rPr>
          <w:b/>
          <w:bCs/>
        </w:rPr>
        <w:t>3</w:t>
      </w:r>
      <w:r>
        <w:rPr>
          <w:b/>
          <w:bCs/>
        </w:rPr>
        <w:t xml:space="preserve">: </w:t>
      </w:r>
      <w:r w:rsidR="00E907F9" w:rsidRPr="00E907F9">
        <w:t>The evaluation team continued to perform early reviews of larger or more complex Custom Initiative projects in 2024. Early reviews produce key findings and recommendations relating to potential risk to the estimated savings for a project. Some recommendations are minor, such as corrections to formulas, while others are more challenging to address, such as installing metering equipment to verify baseline operating characteristics. As observed in 2023, projects where the implementation team addressed the findings and recommendations presented in the early review typically achieved realization rates near 100%; while projects where recommendations from the early review were not fully addressed achieved lower realization rates.</w:t>
      </w:r>
    </w:p>
    <w:p w14:paraId="476A221C" w14:textId="4FA76116" w:rsidR="003722F0" w:rsidRPr="00637A7B" w:rsidRDefault="003722F0" w:rsidP="003722F0">
      <w:pPr>
        <w:pStyle w:val="ListBullet2"/>
      </w:pPr>
      <w:r>
        <w:rPr>
          <w:b/>
          <w:bCs/>
        </w:rPr>
        <w:t>Recommendation:</w:t>
      </w:r>
      <w:r w:rsidR="00E907F9">
        <w:rPr>
          <w:b/>
          <w:bCs/>
        </w:rPr>
        <w:t xml:space="preserve"> </w:t>
      </w:r>
      <w:r w:rsidR="00E907F9" w:rsidRPr="00E907F9">
        <w:t>We recommend continuing to address early review findings and recommendations whenever possible, and for the more challenging recommendations, working with the evaluation team to prioritize recommendations and data needs ahead of the annual impact evaluation.</w:t>
      </w:r>
    </w:p>
    <w:p w14:paraId="77761E69" w14:textId="094994BD" w:rsidR="003722F0" w:rsidRPr="00637A7B" w:rsidRDefault="003722F0" w:rsidP="003722F0">
      <w:pPr>
        <w:pStyle w:val="ListBullet"/>
      </w:pPr>
      <w:r>
        <w:rPr>
          <w:b/>
          <w:bCs/>
        </w:rPr>
        <w:t xml:space="preserve">Finding #4: </w:t>
      </w:r>
      <w:r>
        <w:t>The</w:t>
      </w:r>
      <w:r w:rsidRPr="00C64734">
        <w:t xml:space="preserve"> most common correction</w:t>
      </w:r>
      <w:r>
        <w:t xml:space="preserve"> the evaluation team made</w:t>
      </w:r>
      <w:r w:rsidRPr="00C64734">
        <w:t xml:space="preserve"> to demand savings was to account for the peak period as defined in the IL</w:t>
      </w:r>
      <w:r>
        <w:t>-</w:t>
      </w:r>
      <w:r w:rsidRPr="00C64734">
        <w:t>TRM.</w:t>
      </w:r>
      <w:r>
        <w:rPr>
          <w:b/>
          <w:bCs/>
        </w:rPr>
        <w:t xml:space="preserve"> </w:t>
      </w:r>
    </w:p>
    <w:p w14:paraId="09799098" w14:textId="0D38FE1D" w:rsidR="003722F0" w:rsidRPr="00637A7B" w:rsidRDefault="003722F0" w:rsidP="003722F0">
      <w:pPr>
        <w:pStyle w:val="ListBullet2"/>
      </w:pPr>
      <w:r>
        <w:rPr>
          <w:b/>
          <w:bCs/>
        </w:rPr>
        <w:t xml:space="preserve">Recommendation: </w:t>
      </w:r>
      <w:r w:rsidRPr="00C64734">
        <w:t xml:space="preserve">While the evaluation team has </w:t>
      </w:r>
      <w:r w:rsidR="00C64734">
        <w:t>observed</w:t>
      </w:r>
      <w:r w:rsidRPr="00C64734">
        <w:t xml:space="preserve"> a marked improvement in </w:t>
      </w:r>
      <w:r w:rsidR="00C64734">
        <w:t xml:space="preserve">the incorporation of </w:t>
      </w:r>
      <w:r w:rsidRPr="00C64734">
        <w:t>peak hours in</w:t>
      </w:r>
      <w:r w:rsidR="00C64734">
        <w:t>to</w:t>
      </w:r>
      <w:r w:rsidRPr="00C64734">
        <w:t xml:space="preserve"> </w:t>
      </w:r>
      <w:r w:rsidR="00C64734">
        <w:t xml:space="preserve">ex ante demand savings calculations in </w:t>
      </w:r>
      <w:r w:rsidRPr="00C64734">
        <w:t>recent years, the team encourages the implementation team to continue to use energy savings during peak hours to determine demand savings.</w:t>
      </w:r>
    </w:p>
    <w:p w14:paraId="717535D9" w14:textId="5DF8E3D0" w:rsidR="003722F0" w:rsidRPr="003722F0" w:rsidRDefault="003722F0" w:rsidP="003722F0">
      <w:pPr>
        <w:pStyle w:val="ListBullet"/>
      </w:pPr>
      <w:r>
        <w:rPr>
          <w:b/>
          <w:bCs/>
        </w:rPr>
        <w:lastRenderedPageBreak/>
        <w:t xml:space="preserve">Finding #5: </w:t>
      </w:r>
      <w:r w:rsidRPr="003722F0">
        <w:t>The implementation team accepted vendor energy models from external proprietary interfaces with DOE-2 modeling software to calculate the savings for several HVAC projects.</w:t>
      </w:r>
    </w:p>
    <w:p w14:paraId="24296821" w14:textId="5A48B28C" w:rsidR="003722F0" w:rsidRPr="003722F0" w:rsidRDefault="003722F0" w:rsidP="003722F0">
      <w:pPr>
        <w:pStyle w:val="ListBullet2"/>
        <w:rPr>
          <w:b/>
          <w:bCs/>
        </w:rPr>
      </w:pPr>
      <w:r>
        <w:rPr>
          <w:b/>
          <w:bCs/>
        </w:rPr>
        <w:t xml:space="preserve">Recommendation: </w:t>
      </w:r>
      <w:r w:rsidRPr="003722F0">
        <w:t>The evaluation team recommends requiring vendors and participants to submit energy modeling files in specific standardized formatting as part of the application process. The key modeling files are the baseline and proposed input data files, which are .IDF file extensions for EnergyPlus and .INP file extensions for DOE-2. These are not always the primary modelling files depending on the front-end simulation software (e.g., Trane 3D, DesignBuilder), but these files can typically be exported from the software, providing a uniform and non-proprietary set of files for documentation and evaluation. In conjunction with a detailed review of the modeling files, this will reaffirm the project scope, ensure claimed savings are reasonable and well-documented, and reduce evaluation risk.</w:t>
      </w:r>
    </w:p>
    <w:p w14:paraId="6A22EB80" w14:textId="35D2D49F" w:rsidR="00637A7B" w:rsidRDefault="00637A7B" w:rsidP="00637A7B">
      <w:pPr>
        <w:pStyle w:val="Heading4"/>
      </w:pPr>
      <w:r>
        <w:t>New Construction Lighting Channel</w:t>
      </w:r>
    </w:p>
    <w:p w14:paraId="70518827" w14:textId="7FAF2718" w:rsidR="00637A7B" w:rsidRPr="00637A7B" w:rsidRDefault="00637A7B" w:rsidP="00637A7B">
      <w:pPr>
        <w:pStyle w:val="ListBullet"/>
      </w:pPr>
      <w:r>
        <w:rPr>
          <w:b/>
          <w:bCs/>
        </w:rPr>
        <w:t xml:space="preserve">Finding #1: </w:t>
      </w:r>
      <w:r w:rsidR="00550024" w:rsidRPr="00550024">
        <w:t xml:space="preserve">The evaluation team identified several types of discrepancies in the ex ante savings for </w:t>
      </w:r>
      <w:r w:rsidR="009C043B">
        <w:t>NCL</w:t>
      </w:r>
      <w:r w:rsidR="00550024" w:rsidRPr="00550024">
        <w:t xml:space="preserve"> projects. These discrepancies included the total floor area impacted by the incentivized lighting, building type, efficient lighting wattages, and eligible fixtures. While some discrepancies led to large differences between the ex ante and verified savings estimates, none of the discrepancies were systemic in nature</w:t>
      </w:r>
      <w:r w:rsidR="007C64E1">
        <w:t>.</w:t>
      </w:r>
    </w:p>
    <w:p w14:paraId="02E1367C" w14:textId="384D7FEF" w:rsidR="00637A7B" w:rsidRDefault="00637A7B" w:rsidP="00637A7B">
      <w:pPr>
        <w:pStyle w:val="ListBullet2"/>
      </w:pPr>
      <w:r>
        <w:rPr>
          <w:b/>
          <w:bCs/>
        </w:rPr>
        <w:t>Recommendation:</w:t>
      </w:r>
      <w:r w:rsidR="00550024">
        <w:rPr>
          <w:b/>
          <w:bCs/>
        </w:rPr>
        <w:t xml:space="preserve"> </w:t>
      </w:r>
      <w:r w:rsidR="00550024" w:rsidRPr="00550024">
        <w:t xml:space="preserve">Recognizing that projects may change over time, we recommend taking additional QA/QC steps to ensure the final ex ante savings reflect the final scope of the project. This will reduce the evaluation risk for the </w:t>
      </w:r>
      <w:r w:rsidR="007C64E1">
        <w:t>NCL</w:t>
      </w:r>
      <w:r w:rsidR="00550024" w:rsidRPr="00550024">
        <w:t xml:space="preserve"> channel moving forward</w:t>
      </w:r>
      <w:r w:rsidR="00550024">
        <w:t>.</w:t>
      </w:r>
    </w:p>
    <w:p w14:paraId="5DBB9203" w14:textId="2884AF09" w:rsidR="00550024" w:rsidRPr="00550024" w:rsidRDefault="00550024" w:rsidP="00550024">
      <w:pPr>
        <w:pStyle w:val="ListBullet"/>
      </w:pPr>
      <w:r>
        <w:rPr>
          <w:b/>
          <w:bCs/>
        </w:rPr>
        <w:t xml:space="preserve">Finding #2: </w:t>
      </w:r>
      <w:r w:rsidR="007C64E1" w:rsidRPr="008C30CC">
        <w:t xml:space="preserve">The backup documentation for </w:t>
      </w:r>
      <w:r w:rsidR="007C64E1">
        <w:t>m</w:t>
      </w:r>
      <w:r w:rsidRPr="007C64E1">
        <w:t>ost</w:t>
      </w:r>
      <w:r w:rsidRPr="00550024">
        <w:t xml:space="preserve"> of </w:t>
      </w:r>
      <w:r w:rsidR="007C64E1">
        <w:t>the NCL</w:t>
      </w:r>
      <w:r w:rsidRPr="00550024">
        <w:t xml:space="preserve"> projects </w:t>
      </w:r>
      <w:r w:rsidR="007C64E1">
        <w:t xml:space="preserve">reviewed by the evaluation team </w:t>
      </w:r>
      <w:r w:rsidRPr="00550024">
        <w:t>included hard-coded values for inputs</w:t>
      </w:r>
      <w:r w:rsidR="007C64E1">
        <w:t xml:space="preserve"> and ex ante savings</w:t>
      </w:r>
      <w:r w:rsidRPr="00550024">
        <w:t xml:space="preserve">. In past years, the </w:t>
      </w:r>
      <w:r w:rsidR="007C64E1">
        <w:t>backup documentation has</w:t>
      </w:r>
      <w:r w:rsidR="007C64E1" w:rsidRPr="00550024">
        <w:t xml:space="preserve"> </w:t>
      </w:r>
      <w:r w:rsidR="007C64E1">
        <w:t xml:space="preserve">included </w:t>
      </w:r>
      <w:r w:rsidRPr="00550024">
        <w:t xml:space="preserve">a standardized lighting application </w:t>
      </w:r>
      <w:r w:rsidR="007C64E1">
        <w:t xml:space="preserve">with </w:t>
      </w:r>
      <w:r w:rsidRPr="00550024">
        <w:t>traceable calculations</w:t>
      </w:r>
      <w:r>
        <w:t>.</w:t>
      </w:r>
    </w:p>
    <w:p w14:paraId="64305347" w14:textId="76CE57E2" w:rsidR="00550024" w:rsidRPr="00637A7B" w:rsidRDefault="00550024" w:rsidP="00550024">
      <w:pPr>
        <w:pStyle w:val="ListBullet2"/>
      </w:pPr>
      <w:r>
        <w:rPr>
          <w:b/>
          <w:bCs/>
        </w:rPr>
        <w:t xml:space="preserve">Recommendation: </w:t>
      </w:r>
      <w:r w:rsidRPr="00550024">
        <w:t xml:space="preserve">The evaluation team recommends </w:t>
      </w:r>
      <w:r w:rsidR="007C64E1">
        <w:t xml:space="preserve">that the implementation team </w:t>
      </w:r>
      <w:r w:rsidRPr="00550024">
        <w:t>return to using the standardized application</w:t>
      </w:r>
      <w:r w:rsidR="007C64E1">
        <w:t xml:space="preserve"> </w:t>
      </w:r>
      <w:bookmarkStart w:id="173" w:name="_Hlk192694199"/>
      <w:r w:rsidR="007C64E1">
        <w:t>or include other backup documentation containing the detailed ex ante savings calculations. This will streamline evaluation activities and communication</w:t>
      </w:r>
      <w:r w:rsidR="0090266A">
        <w:t xml:space="preserve"> and </w:t>
      </w:r>
      <w:r w:rsidR="007C64E1">
        <w:t>reduce evaluation risk for the NCL channel in future years</w:t>
      </w:r>
      <w:bookmarkEnd w:id="173"/>
      <w:r w:rsidRPr="00550024">
        <w:t>.</w:t>
      </w:r>
    </w:p>
    <w:p w14:paraId="2A77240B" w14:textId="2C2A2292" w:rsidR="00381AEE" w:rsidRPr="00381AEE" w:rsidRDefault="00637A7B" w:rsidP="00381AEE">
      <w:pPr>
        <w:pStyle w:val="Heading2"/>
      </w:pPr>
      <w:bookmarkStart w:id="174" w:name="_Toc191992426"/>
      <w:bookmarkStart w:id="175" w:name="_Toc192766907"/>
      <w:r>
        <w:t>Retro-Commissioning Initiative</w:t>
      </w:r>
      <w:bookmarkEnd w:id="174"/>
      <w:bookmarkEnd w:id="175"/>
    </w:p>
    <w:p w14:paraId="63E255C0" w14:textId="1DA81CF0" w:rsidR="00637A7B" w:rsidRDefault="00637A7B" w:rsidP="00F33E55">
      <w:pPr>
        <w:pStyle w:val="Heading3"/>
        <w:tabs>
          <w:tab w:val="clear" w:pos="2160"/>
          <w:tab w:val="num" w:pos="1080"/>
        </w:tabs>
        <w:ind w:left="0"/>
      </w:pPr>
      <w:bookmarkStart w:id="176" w:name="_Toc191992427"/>
      <w:r>
        <w:t>Initiative Description</w:t>
      </w:r>
      <w:bookmarkEnd w:id="176"/>
    </w:p>
    <w:p w14:paraId="4021A0C1" w14:textId="5A172EAF" w:rsidR="00381AEE" w:rsidRDefault="00381AEE" w:rsidP="00381AEE">
      <w:r>
        <w:t xml:space="preserve">The RCx Initiative helps AIC business customers evaluate their existing mechanical equipment, energy management, and industrial compressed air systems to identify no-cost and low-cost efficiency measures to optimize existing energy-using systems. </w:t>
      </w:r>
    </w:p>
    <w:p w14:paraId="737A1473" w14:textId="49C11A00" w:rsidR="00381AEE" w:rsidRDefault="00381AEE" w:rsidP="00381AEE">
      <w:r>
        <w:t>Over time, deferred maintenance and changing operating directives and practices can lead to inefficient operation of building systems. Retro-commissioning is a process that examines current equipment operations relative to the needs of equipment owners and those served by the equipment and then determines opportunities for increasing equipment efficiency through maintenance, system tune-ups, scheduling, and optimization of operations. Most of the identified improvement opportunities require little, if any</w:t>
      </w:r>
      <w:r w:rsidR="0054546B">
        <w:t>, capital funds to implement.</w:t>
      </w:r>
    </w:p>
    <w:p w14:paraId="1E325C5D" w14:textId="15156C1B" w:rsidR="0054546B" w:rsidRDefault="0054546B" w:rsidP="00381AEE">
      <w:r>
        <w:t>Major market barriers to RCx include a lack of awareness of improvement opportunities and the cost of the detailed engineering studies required to identify these opportunities. Additionally, customer apathy can inhibit the implementation of recommendations</w:t>
      </w:r>
      <w:r w:rsidR="007903C8">
        <w:t>, even when no cost is involved.</w:t>
      </w:r>
      <w:r>
        <w:t xml:space="preserve"> To address these barriers, the RCx Initiative </w:t>
      </w:r>
      <w:r>
        <w:lastRenderedPageBreak/>
        <w:t>subsidizes Retro-Commissioning Service Provider (RSP) studies and publicizes the benefits of retro-commissioning to foster a market for the services, with utility-certified RSPs providing the marketing outreach.</w:t>
      </w:r>
    </w:p>
    <w:p w14:paraId="72FBA00C" w14:textId="33CA28BE" w:rsidR="0054546B" w:rsidRDefault="0054546B" w:rsidP="00381AEE">
      <w:r>
        <w:t>The RCx Initiative is grouped into three offerings: the RCx Core channel, the VCx channel, an</w:t>
      </w:r>
      <w:r w:rsidR="007B7779">
        <w:t>d</w:t>
      </w:r>
      <w:r>
        <w:t xml:space="preserve"> the Virtual SEM </w:t>
      </w:r>
      <w:r w:rsidR="007B7779">
        <w:t>channel</w:t>
      </w:r>
      <w:r>
        <w:t xml:space="preserve">. Details on the services provided through the </w:t>
      </w:r>
      <w:r w:rsidR="00AB7531">
        <w:t xml:space="preserve">RCx Core, </w:t>
      </w:r>
      <w:r>
        <w:t>VCx</w:t>
      </w:r>
      <w:r w:rsidR="00AB7531">
        <w:t>,</w:t>
      </w:r>
      <w:r>
        <w:t xml:space="preserve"> and Virtual SEM </w:t>
      </w:r>
      <w:r w:rsidR="007B7779">
        <w:t>channels</w:t>
      </w:r>
      <w:r>
        <w:t xml:space="preserve"> are provided in </w:t>
      </w:r>
      <w:r w:rsidR="007903C8">
        <w:t>S</w:t>
      </w:r>
      <w:r>
        <w:t>ection</w:t>
      </w:r>
      <w:r w:rsidR="00AB7531">
        <w:t xml:space="preserve"> </w:t>
      </w:r>
      <w:r w:rsidR="00AB7531">
        <w:fldChar w:fldCharType="begin"/>
      </w:r>
      <w:r w:rsidR="00AB7531">
        <w:instrText xml:space="preserve"> REF _Ref188530617 \n \h </w:instrText>
      </w:r>
      <w:r w:rsidR="00AB7531">
        <w:fldChar w:fldCharType="separate"/>
      </w:r>
      <w:r w:rsidR="00AA10F4">
        <w:t>3.3.3</w:t>
      </w:r>
      <w:r w:rsidR="00AB7531">
        <w:fldChar w:fldCharType="end"/>
      </w:r>
      <w:r w:rsidR="00AB7531">
        <w:t>,</w:t>
      </w:r>
      <w:r>
        <w:t xml:space="preserve"> </w:t>
      </w:r>
      <w:r w:rsidR="007903C8">
        <w:t xml:space="preserve">Section </w:t>
      </w:r>
      <w:r>
        <w:fldChar w:fldCharType="begin"/>
      </w:r>
      <w:r>
        <w:instrText xml:space="preserve"> REF _Ref188530623 \r \h </w:instrText>
      </w:r>
      <w:r>
        <w:fldChar w:fldCharType="separate"/>
      </w:r>
      <w:r w:rsidR="00AA10F4">
        <w:t>3.3.4</w:t>
      </w:r>
      <w:r>
        <w:fldChar w:fldCharType="end"/>
      </w:r>
      <w:r w:rsidR="00AB7531">
        <w:t>,</w:t>
      </w:r>
      <w:r w:rsidR="00A85972">
        <w:t xml:space="preserve"> and </w:t>
      </w:r>
      <w:r w:rsidR="007903C8">
        <w:t xml:space="preserve">Section </w:t>
      </w:r>
      <w:r w:rsidR="007903C8">
        <w:fldChar w:fldCharType="begin"/>
      </w:r>
      <w:r w:rsidR="007903C8">
        <w:instrText xml:space="preserve"> REF _Ref192509981 \r \h </w:instrText>
      </w:r>
      <w:r w:rsidR="007903C8">
        <w:fldChar w:fldCharType="separate"/>
      </w:r>
      <w:r w:rsidR="00AA10F4">
        <w:t>3.3.5</w:t>
      </w:r>
      <w:r w:rsidR="007903C8">
        <w:fldChar w:fldCharType="end"/>
      </w:r>
      <w:r w:rsidR="007903C8">
        <w:t xml:space="preserve">, </w:t>
      </w:r>
      <w:r>
        <w:t xml:space="preserve">respectively. </w:t>
      </w:r>
    </w:p>
    <w:p w14:paraId="1011967A" w14:textId="234F1A00" w:rsidR="0054546B" w:rsidRPr="00381AEE" w:rsidRDefault="0054546B" w:rsidP="00381AEE">
      <w:r>
        <w:t xml:space="preserve">Overall, the implementation team set a goal of achieving </w:t>
      </w:r>
      <w:r w:rsidR="00693107">
        <w:t>6,039</w:t>
      </w:r>
      <w:r w:rsidR="007071B6">
        <w:t xml:space="preserve"> </w:t>
      </w:r>
      <w:r>
        <w:t xml:space="preserve">MWh and </w:t>
      </w:r>
      <w:r w:rsidR="007071B6">
        <w:t>20,605</w:t>
      </w:r>
      <w:r w:rsidR="00693107">
        <w:t xml:space="preserve"> </w:t>
      </w:r>
      <w:r>
        <w:t xml:space="preserve">therms of savings through the RCx Initiative in 2024. </w:t>
      </w:r>
    </w:p>
    <w:p w14:paraId="03435530" w14:textId="2BA21E96" w:rsidR="00637A7B" w:rsidRDefault="00637A7B" w:rsidP="00F33E55">
      <w:pPr>
        <w:pStyle w:val="Heading3"/>
        <w:tabs>
          <w:tab w:val="left" w:pos="1080"/>
        </w:tabs>
        <w:ind w:left="0"/>
      </w:pPr>
      <w:bookmarkStart w:id="177" w:name="_Toc191992428"/>
      <w:r>
        <w:t>Initiative Annual Savings Summary</w:t>
      </w:r>
      <w:bookmarkEnd w:id="177"/>
    </w:p>
    <w:p w14:paraId="3AE3FBD8" w14:textId="2EE25C17" w:rsidR="006953B1" w:rsidRPr="006953B1" w:rsidRDefault="006953B1" w:rsidP="006953B1">
      <w:r>
        <w:fldChar w:fldCharType="begin"/>
      </w:r>
      <w:r>
        <w:instrText xml:space="preserve"> REF _Ref187316447 \h </w:instrText>
      </w:r>
      <w:r>
        <w:fldChar w:fldCharType="separate"/>
      </w:r>
      <w:r w:rsidR="00AA10F4">
        <w:t xml:space="preserve">Table </w:t>
      </w:r>
      <w:r w:rsidR="00AA10F4">
        <w:rPr>
          <w:noProof/>
        </w:rPr>
        <w:t>39</w:t>
      </w:r>
      <w:r>
        <w:fldChar w:fldCharType="end"/>
      </w:r>
      <w:r>
        <w:t xml:space="preserve"> presents the Retro-Commissioning Initiative annual savings achieved in 2024. The 2024 Retro-Commissioning Initiative achieved </w:t>
      </w:r>
      <w:r w:rsidR="00387017">
        <w:t>7,</w:t>
      </w:r>
      <w:r w:rsidR="00BC69D4">
        <w:t>203</w:t>
      </w:r>
      <w:r>
        <w:t xml:space="preserve"> MWh </w:t>
      </w:r>
      <w:r w:rsidR="00480EB8">
        <w:t xml:space="preserve">and 0.04 MW </w:t>
      </w:r>
      <w:r>
        <w:t>in verified net savings.</w:t>
      </w:r>
    </w:p>
    <w:p w14:paraId="2E816E83" w14:textId="06553422" w:rsidR="006953B1" w:rsidRDefault="006953B1" w:rsidP="00881B1B">
      <w:pPr>
        <w:pStyle w:val="Caption"/>
      </w:pPr>
      <w:bookmarkStart w:id="178" w:name="_Ref187316447"/>
      <w:bookmarkStart w:id="179" w:name="_Toc191992560"/>
      <w:bookmarkStart w:id="180" w:name="_Toc192766973"/>
      <w:r>
        <w:t xml:space="preserve">Table </w:t>
      </w:r>
      <w:r w:rsidR="009B4C9A">
        <w:fldChar w:fldCharType="begin"/>
      </w:r>
      <w:r w:rsidR="009B4C9A">
        <w:instrText xml:space="preserve"> SEQ Table \* ARABIC </w:instrText>
      </w:r>
      <w:r w:rsidR="009B4C9A">
        <w:fldChar w:fldCharType="separate"/>
      </w:r>
      <w:r w:rsidR="00AA10F4">
        <w:rPr>
          <w:noProof/>
        </w:rPr>
        <w:t>39</w:t>
      </w:r>
      <w:r w:rsidR="009B4C9A">
        <w:rPr>
          <w:noProof/>
        </w:rPr>
        <w:fldChar w:fldCharType="end"/>
      </w:r>
      <w:bookmarkEnd w:id="178"/>
      <w:r>
        <w:t>. 2024 Retro-Commissioning Initiative Annual Savings</w:t>
      </w:r>
      <w:bookmarkEnd w:id="179"/>
      <w:bookmarkEnd w:id="180"/>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2F3C1E" w14:paraId="11427C02"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3EA9C46" w14:textId="77777777" w:rsidR="002F3C1E" w:rsidRPr="00625570" w:rsidRDefault="002F3C1E" w:rsidP="0070599E">
            <w:pPr>
              <w:pStyle w:val="TableHeadingLeft"/>
            </w:pPr>
          </w:p>
        </w:tc>
        <w:tc>
          <w:tcPr>
            <w:tcW w:w="0" w:type="auto"/>
            <w:tcBorders>
              <w:left w:val="single" w:sz="4" w:space="0" w:color="4A4D56" w:themeColor="text1"/>
              <w:bottom w:val="single" w:sz="4" w:space="0" w:color="4A4D56" w:themeColor="text1"/>
              <w:right w:val="single" w:sz="4" w:space="0" w:color="4A4D56" w:themeColor="text1"/>
            </w:tcBorders>
          </w:tcPr>
          <w:p w14:paraId="1A79F483" w14:textId="77777777" w:rsidR="002F3C1E" w:rsidRPr="00625570" w:rsidRDefault="002F3C1E"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53A5F937" w14:textId="77777777" w:rsidR="002F3C1E" w:rsidRPr="00625570" w:rsidRDefault="002F3C1E"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21569297" w14:textId="77777777" w:rsidR="002F3C1E" w:rsidRPr="00625570" w:rsidRDefault="002F3C1E"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2F3C1E" w14:paraId="46094BA6"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3E9C0157" w14:textId="12A499D5" w:rsidR="002F3C1E" w:rsidRPr="00625570" w:rsidRDefault="002F3C1E" w:rsidP="002F3C1E">
            <w:pPr>
              <w:pStyle w:val="TableLeftText"/>
            </w:pPr>
            <w:r w:rsidRPr="00AA0CA7">
              <w:t>Ex Ante Gross Savings</w:t>
            </w:r>
          </w:p>
        </w:tc>
        <w:tc>
          <w:tcPr>
            <w:tcW w:w="0" w:type="auto"/>
            <w:tcBorders>
              <w:top w:val="single" w:sz="4" w:space="0" w:color="4A4D56" w:themeColor="text1"/>
            </w:tcBorders>
          </w:tcPr>
          <w:p w14:paraId="01EC2B52" w14:textId="6AFF3399"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2451AD">
              <w:t>7,214</w:t>
            </w:r>
          </w:p>
        </w:tc>
        <w:tc>
          <w:tcPr>
            <w:tcW w:w="0" w:type="auto"/>
            <w:tcBorders>
              <w:top w:val="single" w:sz="4" w:space="0" w:color="4A4D56" w:themeColor="text1"/>
            </w:tcBorders>
          </w:tcPr>
          <w:p w14:paraId="5C468B8E" w14:textId="3FC32A5D"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0.05</w:t>
            </w:r>
          </w:p>
        </w:tc>
        <w:tc>
          <w:tcPr>
            <w:tcW w:w="0" w:type="auto"/>
            <w:tcBorders>
              <w:top w:val="single" w:sz="4" w:space="0" w:color="4A4D56" w:themeColor="text1"/>
            </w:tcBorders>
          </w:tcPr>
          <w:p w14:paraId="1964AB38" w14:textId="67788760"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B12E68">
              <w:t>0</w:t>
            </w:r>
          </w:p>
        </w:tc>
      </w:tr>
      <w:tr w:rsidR="002F3C1E" w14:paraId="1A34FF4E"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DA80401" w14:textId="757238E9" w:rsidR="002F3C1E" w:rsidRPr="00625570" w:rsidRDefault="002F3C1E" w:rsidP="002F3C1E">
            <w:pPr>
              <w:pStyle w:val="TableLeftText"/>
            </w:pPr>
            <w:r w:rsidRPr="00AA0CA7">
              <w:t>Gross Realization Rate</w:t>
            </w:r>
          </w:p>
        </w:tc>
        <w:tc>
          <w:tcPr>
            <w:tcW w:w="0" w:type="auto"/>
          </w:tcPr>
          <w:p w14:paraId="61AE9F5C" w14:textId="69E175F4"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2451AD">
              <w:t>10</w:t>
            </w:r>
            <w:r>
              <w:t>6</w:t>
            </w:r>
            <w:r w:rsidRPr="002451AD">
              <w:t>%</w:t>
            </w:r>
          </w:p>
        </w:tc>
        <w:tc>
          <w:tcPr>
            <w:tcW w:w="0" w:type="auto"/>
          </w:tcPr>
          <w:p w14:paraId="03247626" w14:textId="368D0D4F"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t>79%</w:t>
            </w:r>
          </w:p>
        </w:tc>
        <w:tc>
          <w:tcPr>
            <w:tcW w:w="0" w:type="auto"/>
          </w:tcPr>
          <w:p w14:paraId="28D54E99" w14:textId="44362B79"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B12E68">
              <w:t>N/A</w:t>
            </w:r>
          </w:p>
        </w:tc>
      </w:tr>
      <w:tr w:rsidR="002F3C1E" w14:paraId="2C658BAA"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E3314E5" w14:textId="30936EAB" w:rsidR="002F3C1E" w:rsidRPr="00625570" w:rsidRDefault="002F3C1E" w:rsidP="002F3C1E">
            <w:pPr>
              <w:pStyle w:val="TableLeftText"/>
            </w:pPr>
            <w:r w:rsidRPr="00AA0CA7">
              <w:t>Verified Gross Savings</w:t>
            </w:r>
          </w:p>
        </w:tc>
        <w:tc>
          <w:tcPr>
            <w:tcW w:w="0" w:type="auto"/>
          </w:tcPr>
          <w:p w14:paraId="08B592ED" w14:textId="3C91BC9C"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2451AD">
              <w:t>7,</w:t>
            </w:r>
            <w:r>
              <w:t>618</w:t>
            </w:r>
          </w:p>
        </w:tc>
        <w:tc>
          <w:tcPr>
            <w:tcW w:w="0" w:type="auto"/>
          </w:tcPr>
          <w:p w14:paraId="38D239C8" w14:textId="3F1BC3EC"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0.04</w:t>
            </w:r>
          </w:p>
        </w:tc>
        <w:tc>
          <w:tcPr>
            <w:tcW w:w="0" w:type="auto"/>
          </w:tcPr>
          <w:p w14:paraId="73FF8385" w14:textId="2B4C3DD2"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B12E68">
              <w:t>0</w:t>
            </w:r>
          </w:p>
        </w:tc>
      </w:tr>
      <w:tr w:rsidR="002F3C1E" w14:paraId="422E82D5"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EABC675" w14:textId="54D5A55B" w:rsidR="002F3C1E" w:rsidRPr="00625570" w:rsidRDefault="002F3C1E" w:rsidP="002F3C1E">
            <w:pPr>
              <w:pStyle w:val="TableLeftText"/>
            </w:pPr>
            <w:r w:rsidRPr="00AA0CA7">
              <w:t>NTGR</w:t>
            </w:r>
          </w:p>
        </w:tc>
        <w:tc>
          <w:tcPr>
            <w:tcW w:w="0" w:type="auto"/>
          </w:tcPr>
          <w:p w14:paraId="2EE95E35" w14:textId="54559BC2"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2451AD">
              <w:t>0.945</w:t>
            </w:r>
          </w:p>
        </w:tc>
        <w:tc>
          <w:tcPr>
            <w:tcW w:w="0" w:type="auto"/>
          </w:tcPr>
          <w:p w14:paraId="49CFD9B7" w14:textId="458DBB3B"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t>0.945</w:t>
            </w:r>
          </w:p>
        </w:tc>
        <w:tc>
          <w:tcPr>
            <w:tcW w:w="0" w:type="auto"/>
          </w:tcPr>
          <w:p w14:paraId="45E01FBD" w14:textId="6EDA6BFF" w:rsidR="002F3C1E" w:rsidRPr="000B7901" w:rsidRDefault="002F3C1E" w:rsidP="002F3C1E">
            <w:pPr>
              <w:pStyle w:val="TableCenterText"/>
              <w:cnfStyle w:val="000000010000" w:firstRow="0" w:lastRow="0" w:firstColumn="0" w:lastColumn="0" w:oddVBand="0" w:evenVBand="0" w:oddHBand="0" w:evenHBand="1" w:firstRowFirstColumn="0" w:firstRowLastColumn="0" w:lastRowFirstColumn="0" w:lastRowLastColumn="0"/>
            </w:pPr>
            <w:r w:rsidRPr="00B12E68">
              <w:t>N/A</w:t>
            </w:r>
          </w:p>
        </w:tc>
      </w:tr>
      <w:tr w:rsidR="002F3C1E" w14:paraId="7C4A9C5D"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D5DF1CF" w14:textId="32E491E9" w:rsidR="002F3C1E" w:rsidRPr="00625570" w:rsidRDefault="002F3C1E" w:rsidP="002F3C1E">
            <w:pPr>
              <w:pStyle w:val="TableLeftText"/>
            </w:pPr>
            <w:r w:rsidRPr="00AA0CA7">
              <w:t>Verified Net Savings</w:t>
            </w:r>
          </w:p>
        </w:tc>
        <w:tc>
          <w:tcPr>
            <w:tcW w:w="0" w:type="auto"/>
          </w:tcPr>
          <w:p w14:paraId="6812502A" w14:textId="73D86D74"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2451AD">
              <w:t>7,</w:t>
            </w:r>
            <w:r>
              <w:t>203</w:t>
            </w:r>
          </w:p>
        </w:tc>
        <w:tc>
          <w:tcPr>
            <w:tcW w:w="0" w:type="auto"/>
          </w:tcPr>
          <w:p w14:paraId="219A3D6B" w14:textId="046FFAD3"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t>0.04</w:t>
            </w:r>
          </w:p>
        </w:tc>
        <w:tc>
          <w:tcPr>
            <w:tcW w:w="0" w:type="auto"/>
          </w:tcPr>
          <w:p w14:paraId="3532E366" w14:textId="3D58E634" w:rsidR="002F3C1E" w:rsidRPr="000B7901" w:rsidRDefault="002F3C1E" w:rsidP="002F3C1E">
            <w:pPr>
              <w:pStyle w:val="TableCenterText"/>
              <w:cnfStyle w:val="000000100000" w:firstRow="0" w:lastRow="0" w:firstColumn="0" w:lastColumn="0" w:oddVBand="0" w:evenVBand="0" w:oddHBand="1" w:evenHBand="0" w:firstRowFirstColumn="0" w:firstRowLastColumn="0" w:lastRowFirstColumn="0" w:lastRowLastColumn="0"/>
            </w:pPr>
            <w:r w:rsidRPr="00B12E68">
              <w:t>0</w:t>
            </w:r>
          </w:p>
        </w:tc>
      </w:tr>
    </w:tbl>
    <w:p w14:paraId="24959900" w14:textId="66E536BB" w:rsidR="00960F83" w:rsidRDefault="00960F83" w:rsidP="00F33E55">
      <w:pPr>
        <w:pStyle w:val="Heading3"/>
        <w:tabs>
          <w:tab w:val="clear" w:pos="2160"/>
          <w:tab w:val="num" w:pos="1080"/>
        </w:tabs>
        <w:ind w:left="0"/>
      </w:pPr>
      <w:bookmarkStart w:id="181" w:name="_Ref188530617"/>
      <w:bookmarkStart w:id="182" w:name="_Toc191992429"/>
      <w:r>
        <w:t>Retro-Commissioning Core Channel</w:t>
      </w:r>
      <w:bookmarkEnd w:id="181"/>
      <w:bookmarkEnd w:id="182"/>
    </w:p>
    <w:p w14:paraId="1BF7CB35" w14:textId="6C4A4F35" w:rsidR="001A45D4" w:rsidRPr="001A45D4" w:rsidRDefault="001A45D4" w:rsidP="001A45D4">
      <w:r>
        <w:t xml:space="preserve">The following sections present the impact evaluation results for the 2024 RCx Core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4C1735F0" w14:textId="77777777" w:rsidR="00960F83" w:rsidRDefault="00960F83" w:rsidP="00960F83">
      <w:pPr>
        <w:pStyle w:val="Heading4"/>
      </w:pPr>
      <w:r>
        <w:t>Channel Description</w:t>
      </w:r>
    </w:p>
    <w:p w14:paraId="317D11F4" w14:textId="09F3FC13" w:rsidR="00960F83" w:rsidRDefault="00C27CE9" w:rsidP="00960F83">
      <w:r>
        <w:t>The RCx Core channel includes three sets of offerings, each targeted at different customer segments:</w:t>
      </w:r>
    </w:p>
    <w:p w14:paraId="31D8CD6C" w14:textId="0CE7501D" w:rsidR="00C27CE9" w:rsidRDefault="00C27CE9" w:rsidP="00C27CE9">
      <w:pPr>
        <w:pStyle w:val="ListBullet"/>
      </w:pPr>
      <w:r>
        <w:rPr>
          <w:b/>
          <w:bCs/>
        </w:rPr>
        <w:t xml:space="preserve">Industrial Refrigeration Retro-Commissioning: </w:t>
      </w:r>
      <w:r>
        <w:t>The Industrial Refrigeration offering provides incentives to defray the cost of a retro-commissioning study of industrial refrigeration equipment, leading to the implementation of low- and no-cost energy efficiency measures for existing industrial refrigeration systems. Typical measures include optimizing condensing pressure, suction pressure, evaporator fan controls, evaporator defrost settings, and compressor sequencing.</w:t>
      </w:r>
    </w:p>
    <w:p w14:paraId="53C6CC72" w14:textId="76460BAF" w:rsidR="008A7EA0" w:rsidRDefault="00275FB0" w:rsidP="00C27CE9">
      <w:pPr>
        <w:pStyle w:val="ListBullet"/>
      </w:pPr>
      <w:r>
        <w:rPr>
          <w:b/>
          <w:bCs/>
        </w:rPr>
        <w:t xml:space="preserve">Large Facilities Retro-Commissioning: </w:t>
      </w:r>
      <w:r>
        <w:t>The Large Facilities offering has historically targeted two separate types of facilities: healthcare and large commercial facilities (primarily office buildings). Healthcare facilities represent a major opportunity for energy savings in AIC’s service territory and</w:t>
      </w:r>
      <w:r w:rsidR="007903C8">
        <w:t xml:space="preserve"> have</w:t>
      </w:r>
      <w:r>
        <w:t xml:space="preserve"> historically driven this offering. Most savings achieved through this offering are from adjusting EMS settings to optimize the operation of HVAC systems, as well as other HVAC and lighting optimization activities. </w:t>
      </w:r>
    </w:p>
    <w:p w14:paraId="382E4992" w14:textId="1962F1D9" w:rsidR="00275FB0" w:rsidRDefault="00275FB0" w:rsidP="00275FB0">
      <w:pPr>
        <w:pStyle w:val="ListBullet"/>
        <w:numPr>
          <w:ilvl w:val="0"/>
          <w:numId w:val="0"/>
        </w:numPr>
        <w:ind w:left="465"/>
      </w:pPr>
      <w:r>
        <w:t xml:space="preserve">Large Facilities retro-commissioning projects </w:t>
      </w:r>
      <w:r w:rsidR="007903C8">
        <w:t>undergo</w:t>
      </w:r>
      <w:r>
        <w:t xml:space="preserve"> a screening phase that examines the feasibility of retro-commissioning at the facility. If the RSP determines that the site has good savings potential, the customer is eligible to apply to the Initiative. RSPs commit resources to this deliverable, which may or may not result in a viable retro-commissioning project. To defray potential financial risk to RSPs and </w:t>
      </w:r>
      <w:r w:rsidR="007903C8">
        <w:t xml:space="preserve">encourage them to market the Initiative </w:t>
      </w:r>
      <w:r w:rsidR="007903C8">
        <w:lastRenderedPageBreak/>
        <w:t xml:space="preserve">more aggressively, AIC pays a screening stipend of </w:t>
      </w:r>
      <w:r>
        <w:t>5%</w:t>
      </w:r>
      <w:r w:rsidR="007903C8">
        <w:t>–</w:t>
      </w:r>
      <w:r>
        <w:t xml:space="preserve">10% of the retro-commissioning study cost to the RSP for complex projects. This stipend does not require a commitment to implement a project and does not necessarily mean that energy savings will be achieved in future years. </w:t>
      </w:r>
    </w:p>
    <w:p w14:paraId="1B4665FD" w14:textId="02C7F078" w:rsidR="00275FB0" w:rsidRDefault="00275FB0" w:rsidP="00275FB0">
      <w:pPr>
        <w:pStyle w:val="ListBullet"/>
      </w:pPr>
      <w:r>
        <w:rPr>
          <w:b/>
          <w:bCs/>
        </w:rPr>
        <w:t xml:space="preserve">Retro-Commissioning Lite: </w:t>
      </w:r>
      <w:r>
        <w:t xml:space="preserve">This offering is an option for smaller facilities that do not qualify for the Large Facilities channel. </w:t>
      </w:r>
    </w:p>
    <w:p w14:paraId="386EB9A4" w14:textId="34A1C44F" w:rsidR="00C7500B" w:rsidRDefault="00F57D26" w:rsidP="00C7500B">
      <w:r>
        <w:fldChar w:fldCharType="begin"/>
      </w:r>
      <w:r>
        <w:instrText xml:space="preserve"> REF _Ref189050224 \h </w:instrText>
      </w:r>
      <w:r>
        <w:fldChar w:fldCharType="separate"/>
      </w:r>
      <w:r w:rsidR="00AA10F4">
        <w:t xml:space="preserve">Table </w:t>
      </w:r>
      <w:r w:rsidR="00AA10F4">
        <w:rPr>
          <w:noProof/>
        </w:rPr>
        <w:t>40</w:t>
      </w:r>
      <w:r>
        <w:fldChar w:fldCharType="end"/>
      </w:r>
      <w:r w:rsidR="00C7500B">
        <w:t xml:space="preserve"> includes a summary of incentives provided through each offering.</w:t>
      </w:r>
    </w:p>
    <w:p w14:paraId="58DE65C5" w14:textId="0B7C2D80" w:rsidR="00C7500B" w:rsidRDefault="00C7500B" w:rsidP="007A5BA2">
      <w:pPr>
        <w:pStyle w:val="Caption"/>
      </w:pPr>
      <w:bookmarkStart w:id="183" w:name="_Ref189050224"/>
      <w:bookmarkStart w:id="184" w:name="_Toc191992561"/>
      <w:bookmarkStart w:id="185" w:name="_Toc192766974"/>
      <w:r>
        <w:t xml:space="preserve">Table </w:t>
      </w:r>
      <w:r w:rsidR="009B4C9A">
        <w:fldChar w:fldCharType="begin"/>
      </w:r>
      <w:r w:rsidR="009B4C9A">
        <w:instrText xml:space="preserve"> SEQ Table \* ARABIC </w:instrText>
      </w:r>
      <w:r w:rsidR="009B4C9A">
        <w:fldChar w:fldCharType="separate"/>
      </w:r>
      <w:r w:rsidR="00AA10F4">
        <w:rPr>
          <w:noProof/>
        </w:rPr>
        <w:t>40</w:t>
      </w:r>
      <w:r w:rsidR="009B4C9A">
        <w:rPr>
          <w:noProof/>
        </w:rPr>
        <w:fldChar w:fldCharType="end"/>
      </w:r>
      <w:bookmarkEnd w:id="183"/>
      <w:r>
        <w:t>. 2024 Retro-Commissioning Core Channel Incentive Structure</w:t>
      </w:r>
      <w:bookmarkEnd w:id="184"/>
      <w:bookmarkEnd w:id="18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155"/>
        <w:gridCol w:w="3600"/>
        <w:gridCol w:w="2430"/>
        <w:gridCol w:w="2911"/>
      </w:tblGrid>
      <w:tr w:rsidR="00275FB0" w14:paraId="4AC2CC6F" w14:textId="77777777" w:rsidTr="007A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1D7BD484" w14:textId="4319F4C7" w:rsidR="00275FB0" w:rsidRDefault="00275FB0" w:rsidP="007A5BA2">
            <w:pPr>
              <w:pStyle w:val="TableHeadingLeft"/>
              <w:keepNext/>
              <w:keepLines/>
            </w:pPr>
            <w:r>
              <w:t>Offering</w:t>
            </w:r>
          </w:p>
        </w:tc>
        <w:tc>
          <w:tcPr>
            <w:tcW w:w="3600" w:type="dxa"/>
            <w:tcBorders>
              <w:bottom w:val="none" w:sz="0" w:space="0" w:color="auto"/>
            </w:tcBorders>
          </w:tcPr>
          <w:p w14:paraId="32948C9E" w14:textId="633731E8" w:rsidR="00275FB0" w:rsidRDefault="00275FB0"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Survey Incentive</w:t>
            </w:r>
          </w:p>
        </w:tc>
        <w:tc>
          <w:tcPr>
            <w:tcW w:w="2430" w:type="dxa"/>
            <w:tcBorders>
              <w:bottom w:val="none" w:sz="0" w:space="0" w:color="auto"/>
            </w:tcBorders>
          </w:tcPr>
          <w:p w14:paraId="07E359E0" w14:textId="208764CC" w:rsidR="00275FB0" w:rsidRDefault="00275FB0"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Customer Implementation Incentive</w:t>
            </w:r>
          </w:p>
        </w:tc>
        <w:tc>
          <w:tcPr>
            <w:tcW w:w="2911" w:type="dxa"/>
            <w:tcBorders>
              <w:bottom w:val="none" w:sz="0" w:space="0" w:color="auto"/>
            </w:tcBorders>
          </w:tcPr>
          <w:p w14:paraId="37FB9D00" w14:textId="66476885" w:rsidR="00275FB0" w:rsidRDefault="00275FB0" w:rsidP="007A5BA2">
            <w:pPr>
              <w:pStyle w:val="TableHeadingCentered"/>
              <w:keepNext/>
              <w:keepLines/>
              <w:cnfStyle w:val="100000000000" w:firstRow="1" w:lastRow="0" w:firstColumn="0" w:lastColumn="0" w:oddVBand="0" w:evenVBand="0" w:oddHBand="0" w:evenHBand="0" w:firstRowFirstColumn="0" w:firstRowLastColumn="0" w:lastRowFirstColumn="0" w:lastRowLastColumn="0"/>
            </w:pPr>
            <w:r>
              <w:t>Incentive Requirements</w:t>
            </w:r>
          </w:p>
        </w:tc>
      </w:tr>
      <w:tr w:rsidR="00275FB0" w14:paraId="680FB505"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2E29AA72" w14:textId="7F86A226" w:rsidR="00275FB0" w:rsidRDefault="00275FB0" w:rsidP="007A5BA2">
            <w:pPr>
              <w:keepNext/>
              <w:keepLines/>
            </w:pPr>
            <w:r>
              <w:t xml:space="preserve">Industrial Refrigeration </w:t>
            </w:r>
          </w:p>
        </w:tc>
        <w:tc>
          <w:tcPr>
            <w:tcW w:w="3600" w:type="dxa"/>
            <w:tcBorders>
              <w:top w:val="none" w:sz="0" w:space="0" w:color="auto"/>
              <w:left w:val="none" w:sz="0" w:space="0" w:color="auto"/>
              <w:bottom w:val="none" w:sz="0" w:space="0" w:color="auto"/>
              <w:right w:val="none" w:sz="0" w:space="0" w:color="auto"/>
            </w:tcBorders>
          </w:tcPr>
          <w:p w14:paraId="0F7CB561" w14:textId="1DB5267F" w:rsidR="00275FB0" w:rsidRDefault="00275FB0"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9</w:t>
            </w:r>
            <w:r w:rsidR="007B3833">
              <w:t>5</w:t>
            </w:r>
            <w:r>
              <w:t>% of survey cost</w:t>
            </w:r>
          </w:p>
        </w:tc>
        <w:tc>
          <w:tcPr>
            <w:tcW w:w="2430" w:type="dxa"/>
            <w:tcBorders>
              <w:top w:val="none" w:sz="0" w:space="0" w:color="auto"/>
              <w:left w:val="none" w:sz="0" w:space="0" w:color="auto"/>
              <w:bottom w:val="none" w:sz="0" w:space="0" w:color="auto"/>
              <w:right w:val="none" w:sz="0" w:space="0" w:color="auto"/>
            </w:tcBorders>
          </w:tcPr>
          <w:p w14:paraId="3E46F52C" w14:textId="165156BA" w:rsidR="00275FB0" w:rsidRDefault="00275FB0"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$0.0</w:t>
            </w:r>
            <w:r w:rsidR="007B3833">
              <w:t>4</w:t>
            </w:r>
            <w:r>
              <w:t>/kWh saved</w:t>
            </w:r>
          </w:p>
        </w:tc>
        <w:tc>
          <w:tcPr>
            <w:tcW w:w="2911" w:type="dxa"/>
            <w:tcBorders>
              <w:top w:val="none" w:sz="0" w:space="0" w:color="auto"/>
              <w:left w:val="none" w:sz="0" w:space="0" w:color="auto"/>
              <w:bottom w:val="none" w:sz="0" w:space="0" w:color="auto"/>
              <w:right w:val="none" w:sz="0" w:space="0" w:color="auto"/>
            </w:tcBorders>
          </w:tcPr>
          <w:p w14:paraId="1ED1F7B3" w14:textId="1B553326" w:rsidR="00275FB0"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Payback period of 0</w:t>
            </w:r>
            <w:r w:rsidR="007903C8">
              <w:t>–</w:t>
            </w:r>
            <w:r w:rsidR="007423DC">
              <w:t>2</w:t>
            </w:r>
            <w:r>
              <w:t xml:space="preserve"> year</w:t>
            </w:r>
            <w:r w:rsidR="007903C8">
              <w:t>s</w:t>
            </w:r>
            <w:r>
              <w:t xml:space="preserve"> </w:t>
            </w:r>
          </w:p>
          <w:p w14:paraId="433875E5" w14:textId="3C763F08" w:rsidR="00C7500B"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 xml:space="preserve">Measure must be completed before </w:t>
            </w:r>
            <w:r w:rsidR="007903C8">
              <w:t xml:space="preserve">the </w:t>
            </w:r>
            <w:r>
              <w:t>incentive is paid</w:t>
            </w:r>
          </w:p>
        </w:tc>
      </w:tr>
      <w:tr w:rsidR="00275FB0" w14:paraId="1B937530"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3DA0710F" w14:textId="6B73CE63" w:rsidR="00275FB0" w:rsidRDefault="00275FB0" w:rsidP="007A5BA2">
            <w:pPr>
              <w:keepNext/>
              <w:keepLines/>
            </w:pPr>
            <w:r>
              <w:t>Large Facilities</w:t>
            </w:r>
          </w:p>
        </w:tc>
        <w:tc>
          <w:tcPr>
            <w:tcW w:w="3600" w:type="dxa"/>
            <w:tcBorders>
              <w:top w:val="none" w:sz="0" w:space="0" w:color="auto"/>
              <w:left w:val="none" w:sz="0" w:space="0" w:color="auto"/>
              <w:bottom w:val="none" w:sz="0" w:space="0" w:color="auto"/>
              <w:right w:val="none" w:sz="0" w:space="0" w:color="auto"/>
            </w:tcBorders>
          </w:tcPr>
          <w:p w14:paraId="6D2364DF" w14:textId="1E1FE6A1" w:rsidR="00275FB0" w:rsidRDefault="00275FB0"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9</w:t>
            </w:r>
            <w:r w:rsidR="007B3833">
              <w:t>5</w:t>
            </w:r>
            <w:r>
              <w:t xml:space="preserve">% of survey cost for facilities where AIC provides both electric and gas service; </w:t>
            </w:r>
            <w:r w:rsidR="007423DC">
              <w:t>50</w:t>
            </w:r>
            <w:r>
              <w:t>% for facilities where AIC provides only one fuel source</w:t>
            </w:r>
          </w:p>
          <w:p w14:paraId="4F1E2A09" w14:textId="6F13663D" w:rsidR="00275FB0" w:rsidRDefault="007423DC"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5</w:t>
            </w:r>
            <w:r w:rsidR="007903C8">
              <w:t>%–</w:t>
            </w:r>
            <w:r w:rsidR="00275FB0">
              <w:t xml:space="preserve">10% of survey cost as </w:t>
            </w:r>
            <w:r w:rsidR="007903C8">
              <w:t xml:space="preserve">a </w:t>
            </w:r>
            <w:r w:rsidR="00275FB0">
              <w:t>“stipend” to RSPs for complex projects</w:t>
            </w:r>
          </w:p>
        </w:tc>
        <w:tc>
          <w:tcPr>
            <w:tcW w:w="2430" w:type="dxa"/>
            <w:tcBorders>
              <w:top w:val="none" w:sz="0" w:space="0" w:color="auto"/>
              <w:left w:val="none" w:sz="0" w:space="0" w:color="auto"/>
              <w:bottom w:val="none" w:sz="0" w:space="0" w:color="auto"/>
              <w:right w:val="none" w:sz="0" w:space="0" w:color="auto"/>
            </w:tcBorders>
          </w:tcPr>
          <w:p w14:paraId="109F5311" w14:textId="31D385FF" w:rsidR="00275FB0" w:rsidRDefault="00275FB0"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$0.0</w:t>
            </w:r>
            <w:r w:rsidR="007423DC">
              <w:t>4</w:t>
            </w:r>
            <w:r>
              <w:t>/kWh saved</w:t>
            </w:r>
          </w:p>
          <w:p w14:paraId="533F7016" w14:textId="146FF593" w:rsidR="00275FB0" w:rsidRDefault="00275FB0"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$0.1</w:t>
            </w:r>
            <w:r w:rsidR="007423DC">
              <w:t>5</w:t>
            </w:r>
            <w:r>
              <w:t>/therm saved</w:t>
            </w:r>
          </w:p>
        </w:tc>
        <w:tc>
          <w:tcPr>
            <w:tcW w:w="2911" w:type="dxa"/>
            <w:tcBorders>
              <w:top w:val="none" w:sz="0" w:space="0" w:color="auto"/>
              <w:left w:val="none" w:sz="0" w:space="0" w:color="auto"/>
              <w:bottom w:val="none" w:sz="0" w:space="0" w:color="auto"/>
              <w:right w:val="none" w:sz="0" w:space="0" w:color="auto"/>
            </w:tcBorders>
          </w:tcPr>
          <w:p w14:paraId="7CCEB39A" w14:textId="65411884" w:rsidR="00275FB0" w:rsidRDefault="00C7500B"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Payback period of 0</w:t>
            </w:r>
            <w:r w:rsidR="007903C8">
              <w:t>–</w:t>
            </w:r>
            <w:r w:rsidR="007423DC">
              <w:t>2</w:t>
            </w:r>
            <w:r>
              <w:t xml:space="preserve"> year</w:t>
            </w:r>
            <w:r w:rsidR="007903C8">
              <w:t>s</w:t>
            </w:r>
          </w:p>
          <w:p w14:paraId="6EAAB854" w14:textId="15C9EDD3" w:rsidR="00C7500B" w:rsidRDefault="00C7500B"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 xml:space="preserve">Measure must be completed before </w:t>
            </w:r>
            <w:r w:rsidR="007903C8">
              <w:t xml:space="preserve">the </w:t>
            </w:r>
            <w:r>
              <w:t>incentive is paid</w:t>
            </w:r>
          </w:p>
          <w:p w14:paraId="43BBED82" w14:textId="7E931901" w:rsidR="00C7500B" w:rsidRDefault="00C7500B" w:rsidP="007A5BA2">
            <w:pPr>
              <w:pStyle w:val="TableBullet"/>
              <w:keepNext/>
              <w:keepLines/>
              <w:cnfStyle w:val="000000010000" w:firstRow="0" w:lastRow="0" w:firstColumn="0" w:lastColumn="0" w:oddVBand="0" w:evenVBand="0" w:oddHBand="0" w:evenHBand="1" w:firstRowFirstColumn="0" w:firstRowLastColumn="0" w:lastRowFirstColumn="0" w:lastRowLastColumn="0"/>
            </w:pPr>
            <w:r>
              <w:t xml:space="preserve">Measures do not need to be completed for </w:t>
            </w:r>
            <w:r w:rsidR="007903C8">
              <w:t xml:space="preserve">the </w:t>
            </w:r>
            <w:r>
              <w:t>stipend to be paid</w:t>
            </w:r>
          </w:p>
        </w:tc>
      </w:tr>
      <w:tr w:rsidR="00275FB0" w14:paraId="2BA0A327"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03036791" w14:textId="40EBF800" w:rsidR="00275FB0" w:rsidRDefault="00275FB0" w:rsidP="007A5BA2">
            <w:pPr>
              <w:keepNext/>
              <w:keepLines/>
            </w:pPr>
            <w:r>
              <w:t>Lite</w:t>
            </w:r>
          </w:p>
        </w:tc>
        <w:tc>
          <w:tcPr>
            <w:tcW w:w="3600" w:type="dxa"/>
            <w:tcBorders>
              <w:top w:val="none" w:sz="0" w:space="0" w:color="auto"/>
              <w:left w:val="none" w:sz="0" w:space="0" w:color="auto"/>
              <w:bottom w:val="none" w:sz="0" w:space="0" w:color="auto"/>
              <w:right w:val="none" w:sz="0" w:space="0" w:color="auto"/>
            </w:tcBorders>
          </w:tcPr>
          <w:p w14:paraId="34A8D0D6" w14:textId="435C98E1" w:rsidR="00275FB0" w:rsidRDefault="00275FB0"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100% of survey cost, capped at $</w:t>
            </w:r>
            <w:r w:rsidR="007423DC">
              <w:t>20</w:t>
            </w:r>
            <w:r>
              <w:t>,000; 50% for facilities where AIC provides only one fuel source</w:t>
            </w:r>
          </w:p>
        </w:tc>
        <w:tc>
          <w:tcPr>
            <w:tcW w:w="2430" w:type="dxa"/>
            <w:tcBorders>
              <w:top w:val="none" w:sz="0" w:space="0" w:color="auto"/>
              <w:left w:val="none" w:sz="0" w:space="0" w:color="auto"/>
              <w:bottom w:val="none" w:sz="0" w:space="0" w:color="auto"/>
              <w:right w:val="none" w:sz="0" w:space="0" w:color="auto"/>
            </w:tcBorders>
          </w:tcPr>
          <w:p w14:paraId="4DEC80A9" w14:textId="50EADA0D" w:rsidR="00275FB0"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$0.0</w:t>
            </w:r>
            <w:r w:rsidR="007423DC">
              <w:t>4</w:t>
            </w:r>
            <w:r>
              <w:t>/kWh saved</w:t>
            </w:r>
          </w:p>
          <w:p w14:paraId="4B606D32" w14:textId="362F88CF" w:rsidR="00C7500B"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$0.1</w:t>
            </w:r>
            <w:r w:rsidR="007423DC">
              <w:t>5</w:t>
            </w:r>
            <w:r>
              <w:t>/therm saved</w:t>
            </w:r>
          </w:p>
        </w:tc>
        <w:tc>
          <w:tcPr>
            <w:tcW w:w="2911" w:type="dxa"/>
            <w:tcBorders>
              <w:top w:val="none" w:sz="0" w:space="0" w:color="auto"/>
              <w:left w:val="none" w:sz="0" w:space="0" w:color="auto"/>
              <w:bottom w:val="none" w:sz="0" w:space="0" w:color="auto"/>
              <w:right w:val="none" w:sz="0" w:space="0" w:color="auto"/>
            </w:tcBorders>
          </w:tcPr>
          <w:p w14:paraId="5BF9189B" w14:textId="0C000B5E" w:rsidR="00275FB0"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Payback period of 0</w:t>
            </w:r>
            <w:r w:rsidR="007903C8">
              <w:t>–</w:t>
            </w:r>
            <w:r w:rsidR="007423DC">
              <w:t>2</w:t>
            </w:r>
            <w:r>
              <w:t xml:space="preserve"> year</w:t>
            </w:r>
            <w:r w:rsidR="007903C8">
              <w:t>s</w:t>
            </w:r>
          </w:p>
          <w:p w14:paraId="4D4A04A2" w14:textId="10AF9A1F" w:rsidR="00C7500B" w:rsidRDefault="00C7500B" w:rsidP="007A5BA2">
            <w:pPr>
              <w:pStyle w:val="TableBullet"/>
              <w:keepNext/>
              <w:keepLines/>
              <w:cnfStyle w:val="000000100000" w:firstRow="0" w:lastRow="0" w:firstColumn="0" w:lastColumn="0" w:oddVBand="0" w:evenVBand="0" w:oddHBand="1" w:evenHBand="0" w:firstRowFirstColumn="0" w:firstRowLastColumn="0" w:lastRowFirstColumn="0" w:lastRowLastColumn="0"/>
            </w:pPr>
            <w:r>
              <w:t xml:space="preserve">Measure must be completed before </w:t>
            </w:r>
            <w:r w:rsidR="007903C8">
              <w:t xml:space="preserve">the </w:t>
            </w:r>
            <w:r>
              <w:t>incentive is paid</w:t>
            </w:r>
          </w:p>
        </w:tc>
      </w:tr>
    </w:tbl>
    <w:p w14:paraId="2F49757B" w14:textId="77777777" w:rsidR="00960F83" w:rsidRDefault="00960F83" w:rsidP="00960F83">
      <w:pPr>
        <w:pStyle w:val="Heading4"/>
      </w:pPr>
      <w:r>
        <w:t>Participation Summary</w:t>
      </w:r>
    </w:p>
    <w:p w14:paraId="15BD86AE" w14:textId="2C5B81A8" w:rsidR="005F0C2A" w:rsidRDefault="001779CF" w:rsidP="00140F50">
      <w:r>
        <w:fldChar w:fldCharType="begin"/>
      </w:r>
      <w:r>
        <w:instrText xml:space="preserve"> REF _Ref189128174 \h </w:instrText>
      </w:r>
      <w:r>
        <w:fldChar w:fldCharType="separate"/>
      </w:r>
      <w:r w:rsidR="00AA10F4">
        <w:t xml:space="preserve">Table </w:t>
      </w:r>
      <w:r w:rsidR="00AA10F4">
        <w:rPr>
          <w:noProof/>
        </w:rPr>
        <w:t>41</w:t>
      </w:r>
      <w:r>
        <w:fldChar w:fldCharType="end"/>
      </w:r>
      <w:r w:rsidR="00F57D26">
        <w:t xml:space="preserve"> presents RCx Core channel participation during </w:t>
      </w:r>
      <w:r w:rsidR="001B763E">
        <w:t>2024</w:t>
      </w:r>
      <w:r w:rsidR="00F57D26">
        <w:t xml:space="preserve">. </w:t>
      </w:r>
      <w:r w:rsidR="00C73426">
        <w:t>Four</w:t>
      </w:r>
      <w:r w:rsidR="00F57D26">
        <w:t xml:space="preserve"> projects were completed through the </w:t>
      </w:r>
      <w:r w:rsidR="001B763E">
        <w:t xml:space="preserve">Large Facilities </w:t>
      </w:r>
      <w:r w:rsidR="00F57D26">
        <w:t>offering</w:t>
      </w:r>
      <w:r w:rsidR="007903C8">
        <w:t xml:space="preserve">, </w:t>
      </w:r>
      <w:r w:rsidR="00E96D15">
        <w:t>all by private sector customers</w:t>
      </w:r>
      <w:r w:rsidR="001B763E">
        <w:t>.</w:t>
      </w:r>
      <w:r w:rsidR="00B975E1">
        <w:t xml:space="preserve"> </w:t>
      </w:r>
      <w:r w:rsidR="00B975E1" w:rsidRPr="00B975E1">
        <w:t>The RCx Core channel has existed since the inception of the AIC portfolio in 2008. Historically, the channel has maintained consistent</w:t>
      </w:r>
      <w:r w:rsidR="00292BA3">
        <w:t xml:space="preserve"> but relatively low</w:t>
      </w:r>
      <w:r w:rsidR="00B975E1" w:rsidRPr="00B975E1">
        <w:t xml:space="preserve"> participation</w:t>
      </w:r>
      <w:r w:rsidR="00B975E1">
        <w:t>. However, no projects were completed in 2023. Activity in 2024 reflects a return to levels seen from 2020 to 2022.</w:t>
      </w:r>
    </w:p>
    <w:p w14:paraId="0A375D82" w14:textId="009E2037" w:rsidR="00F57D26" w:rsidRDefault="00F57D26" w:rsidP="00881B1B">
      <w:pPr>
        <w:pStyle w:val="Caption"/>
      </w:pPr>
      <w:bookmarkStart w:id="186" w:name="_Ref189128174"/>
      <w:bookmarkStart w:id="187" w:name="_Toc191992562"/>
      <w:bookmarkStart w:id="188" w:name="_Toc192766975"/>
      <w:r>
        <w:t xml:space="preserve">Table </w:t>
      </w:r>
      <w:r w:rsidR="009B4C9A">
        <w:fldChar w:fldCharType="begin"/>
      </w:r>
      <w:r w:rsidR="009B4C9A">
        <w:instrText xml:space="preserve"> SEQ Table \* ARABIC </w:instrText>
      </w:r>
      <w:r w:rsidR="009B4C9A">
        <w:fldChar w:fldCharType="separate"/>
      </w:r>
      <w:r w:rsidR="00AA10F4">
        <w:rPr>
          <w:noProof/>
        </w:rPr>
        <w:t>41</w:t>
      </w:r>
      <w:r w:rsidR="009B4C9A">
        <w:rPr>
          <w:noProof/>
        </w:rPr>
        <w:fldChar w:fldCharType="end"/>
      </w:r>
      <w:bookmarkEnd w:id="186"/>
      <w:r>
        <w:t>. 2024 Retro-Commissioning Core Channel Participation Summary</w:t>
      </w:r>
      <w:bookmarkEnd w:id="187"/>
      <w:bookmarkEnd w:id="18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3698"/>
        <w:gridCol w:w="2777"/>
        <w:gridCol w:w="1155"/>
        <w:gridCol w:w="1155"/>
      </w:tblGrid>
      <w:tr w:rsidR="00B975E1" w14:paraId="68521D47" w14:textId="77777777" w:rsidTr="007A5BA2">
        <w:trPr>
          <w:cnfStyle w:val="100000000000" w:firstRow="1" w:lastRow="0" w:firstColumn="0" w:lastColumn="0" w:oddVBand="0" w:evenVBand="0" w:oddHBand="0" w:evenHBand="0" w:firstRowFirstColumn="0" w:firstRowLastColumn="0" w:lastRowFirstColumn="0" w:lastRowLastColumn="0"/>
          <w:trHeight w:val="113"/>
        </w:trPr>
        <w:tc>
          <w:tcPr>
            <w:cnfStyle w:val="001000000000" w:firstRow="0" w:lastRow="0" w:firstColumn="1" w:lastColumn="0" w:oddVBand="0" w:evenVBand="0" w:oddHBand="0" w:evenHBand="0" w:firstRowFirstColumn="0" w:firstRowLastColumn="0" w:lastRowFirstColumn="0" w:lastRowLastColumn="0"/>
            <w:tcW w:w="3698" w:type="dxa"/>
            <w:vMerge w:val="restart"/>
            <w:tcBorders>
              <w:top w:val="none" w:sz="0" w:space="0" w:color="auto"/>
              <w:left w:val="none" w:sz="0" w:space="0" w:color="auto"/>
              <w:bottom w:val="none" w:sz="0" w:space="0" w:color="auto"/>
              <w:right w:val="none" w:sz="0" w:space="0" w:color="auto"/>
            </w:tcBorders>
          </w:tcPr>
          <w:p w14:paraId="4CEAB10E" w14:textId="1C9FCBD4" w:rsidR="00B975E1" w:rsidRDefault="00B975E1" w:rsidP="00F57D26">
            <w:pPr>
              <w:pStyle w:val="TableHeadingLeft"/>
            </w:pPr>
            <w:r>
              <w:t>Offering</w:t>
            </w:r>
          </w:p>
        </w:tc>
        <w:tc>
          <w:tcPr>
            <w:tcW w:w="2777" w:type="dxa"/>
            <w:vMerge w:val="restart"/>
            <w:tcBorders>
              <w:bottom w:val="none" w:sz="0" w:space="0" w:color="auto"/>
            </w:tcBorders>
          </w:tcPr>
          <w:p w14:paraId="62975700" w14:textId="7B68A313" w:rsidR="00B975E1" w:rsidRDefault="00B975E1" w:rsidP="00F57D26">
            <w:pPr>
              <w:pStyle w:val="TableHeadingCentered"/>
              <w:cnfStyle w:val="100000000000" w:firstRow="1" w:lastRow="0" w:firstColumn="0" w:lastColumn="0" w:oddVBand="0" w:evenVBand="0" w:oddHBand="0" w:evenHBand="0" w:firstRowFirstColumn="0" w:firstRowLastColumn="0" w:lastRowFirstColumn="0" w:lastRowLastColumn="0"/>
            </w:pPr>
            <w:r>
              <w:t>Project Number</w:t>
            </w:r>
          </w:p>
        </w:tc>
        <w:tc>
          <w:tcPr>
            <w:tcW w:w="2310" w:type="dxa"/>
            <w:gridSpan w:val="2"/>
            <w:tcBorders>
              <w:bottom w:val="none" w:sz="0" w:space="0" w:color="auto"/>
            </w:tcBorders>
          </w:tcPr>
          <w:p w14:paraId="55A3A0DB" w14:textId="53B3ECE6" w:rsidR="00B975E1" w:rsidRDefault="00B975E1" w:rsidP="00F57D26">
            <w:pPr>
              <w:pStyle w:val="TableHeadingCentered"/>
              <w:cnfStyle w:val="100000000000" w:firstRow="1" w:lastRow="0" w:firstColumn="0" w:lastColumn="0" w:oddVBand="0" w:evenVBand="0" w:oddHBand="0" w:evenHBand="0" w:firstRowFirstColumn="0" w:firstRowLastColumn="0" w:lastRowFirstColumn="0" w:lastRowLastColumn="0"/>
            </w:pPr>
            <w:r>
              <w:t>Ex Ante Gross Savings</w:t>
            </w:r>
          </w:p>
        </w:tc>
      </w:tr>
      <w:tr w:rsidR="00B975E1" w14:paraId="482EF3BE" w14:textId="77777777" w:rsidTr="007A5BA2">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3892EC9B" w14:textId="77777777" w:rsidR="00B975E1" w:rsidRDefault="00B975E1" w:rsidP="00F93E47"/>
        </w:tc>
        <w:tc>
          <w:tcPr>
            <w:tcW w:w="2777" w:type="dxa"/>
            <w:vMerge/>
            <w:tcBorders>
              <w:top w:val="none" w:sz="0" w:space="0" w:color="auto"/>
              <w:left w:val="none" w:sz="0" w:space="0" w:color="auto"/>
              <w:bottom w:val="none" w:sz="0" w:space="0" w:color="auto"/>
              <w:right w:val="none" w:sz="0" w:space="0" w:color="auto"/>
            </w:tcBorders>
          </w:tcPr>
          <w:p w14:paraId="778BD64A" w14:textId="77777777" w:rsidR="00B975E1" w:rsidRDefault="00B975E1" w:rsidP="00F57D26">
            <w:pPr>
              <w:pStyle w:val="TableHeadingCentered"/>
              <w:cnfStyle w:val="000000100000" w:firstRow="0" w:lastRow="0" w:firstColumn="0" w:lastColumn="0" w:oddVBand="0" w:evenVBand="0" w:oddHBand="1" w:evenHBand="0" w:firstRowFirstColumn="0" w:firstRowLastColumn="0" w:lastRowFirstColumn="0" w:lastRowLastColumn="0"/>
            </w:pPr>
          </w:p>
        </w:tc>
        <w:tc>
          <w:tcPr>
            <w:tcW w:w="1155" w:type="dxa"/>
            <w:tcBorders>
              <w:top w:val="none" w:sz="0" w:space="0" w:color="auto"/>
              <w:left w:val="none" w:sz="0" w:space="0" w:color="auto"/>
              <w:bottom w:val="none" w:sz="0" w:space="0" w:color="auto"/>
              <w:right w:val="none" w:sz="0" w:space="0" w:color="auto"/>
            </w:tcBorders>
            <w:shd w:val="clear" w:color="auto" w:fill="053572"/>
          </w:tcPr>
          <w:p w14:paraId="47F08559" w14:textId="7A355FBD" w:rsidR="00B975E1" w:rsidRDefault="00B975E1" w:rsidP="00F57D26">
            <w:pPr>
              <w:pStyle w:val="TableHeadingCentered"/>
              <w:cnfStyle w:val="000000100000" w:firstRow="0" w:lastRow="0" w:firstColumn="0" w:lastColumn="0" w:oddVBand="0" w:evenVBand="0" w:oddHBand="1" w:evenHBand="0" w:firstRowFirstColumn="0" w:firstRowLastColumn="0" w:lastRowFirstColumn="0" w:lastRowLastColumn="0"/>
            </w:pPr>
            <w:r>
              <w:t>MWh</w:t>
            </w:r>
          </w:p>
        </w:tc>
        <w:tc>
          <w:tcPr>
            <w:tcW w:w="1155" w:type="dxa"/>
            <w:tcBorders>
              <w:top w:val="none" w:sz="0" w:space="0" w:color="auto"/>
              <w:left w:val="none" w:sz="0" w:space="0" w:color="auto"/>
              <w:bottom w:val="none" w:sz="0" w:space="0" w:color="auto"/>
              <w:right w:val="none" w:sz="0" w:space="0" w:color="auto"/>
            </w:tcBorders>
            <w:shd w:val="clear" w:color="auto" w:fill="053572"/>
          </w:tcPr>
          <w:p w14:paraId="713881B1" w14:textId="082E8FC6" w:rsidR="00B975E1" w:rsidRDefault="00B975E1" w:rsidP="00F57D26">
            <w:pPr>
              <w:pStyle w:val="TableHeadingCentered"/>
              <w:cnfStyle w:val="000000100000" w:firstRow="0" w:lastRow="0" w:firstColumn="0" w:lastColumn="0" w:oddVBand="0" w:evenVBand="0" w:oddHBand="1" w:evenHBand="0" w:firstRowFirstColumn="0" w:firstRowLastColumn="0" w:lastRowFirstColumn="0" w:lastRowLastColumn="0"/>
            </w:pPr>
            <w:r>
              <w:t>% of Total</w:t>
            </w:r>
          </w:p>
        </w:tc>
      </w:tr>
      <w:tr w:rsidR="00B975E1" w14:paraId="2FA69DE0" w14:textId="77777777" w:rsidTr="007A5BA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vAlign w:val="top"/>
          </w:tcPr>
          <w:p w14:paraId="2D5DFD8B" w14:textId="4EF2A9B0" w:rsidR="00B975E1" w:rsidRDefault="00B975E1" w:rsidP="001B763E">
            <w:r w:rsidRPr="00E05937">
              <w:t>Large Facilities</w:t>
            </w:r>
          </w:p>
        </w:tc>
        <w:tc>
          <w:tcPr>
            <w:tcW w:w="2777" w:type="dxa"/>
            <w:tcBorders>
              <w:top w:val="none" w:sz="0" w:space="0" w:color="auto"/>
              <w:left w:val="none" w:sz="0" w:space="0" w:color="auto"/>
              <w:bottom w:val="none" w:sz="0" w:space="0" w:color="auto"/>
              <w:right w:val="none" w:sz="0" w:space="0" w:color="auto"/>
            </w:tcBorders>
          </w:tcPr>
          <w:p w14:paraId="09D48B20" w14:textId="4E64B6E7" w:rsidR="00B975E1" w:rsidRPr="00C73426"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rsidRPr="002D6F4F">
              <w:t>2300290</w:t>
            </w:r>
          </w:p>
        </w:tc>
        <w:tc>
          <w:tcPr>
            <w:tcW w:w="1155" w:type="dxa"/>
            <w:tcBorders>
              <w:top w:val="none" w:sz="0" w:space="0" w:color="auto"/>
              <w:left w:val="none" w:sz="0" w:space="0" w:color="auto"/>
              <w:bottom w:val="none" w:sz="0" w:space="0" w:color="auto"/>
              <w:right w:val="none" w:sz="0" w:space="0" w:color="auto"/>
            </w:tcBorders>
          </w:tcPr>
          <w:p w14:paraId="39EA04FF" w14:textId="08C9A053" w:rsidR="00B975E1"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t>652</w:t>
            </w:r>
          </w:p>
        </w:tc>
        <w:tc>
          <w:tcPr>
            <w:tcW w:w="1155" w:type="dxa"/>
            <w:tcBorders>
              <w:top w:val="none" w:sz="0" w:space="0" w:color="auto"/>
              <w:left w:val="none" w:sz="0" w:space="0" w:color="auto"/>
              <w:bottom w:val="none" w:sz="0" w:space="0" w:color="auto"/>
              <w:right w:val="none" w:sz="0" w:space="0" w:color="auto"/>
            </w:tcBorders>
          </w:tcPr>
          <w:p w14:paraId="61CE7138" w14:textId="3A1852EA" w:rsidR="00B975E1"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t>35%</w:t>
            </w:r>
          </w:p>
        </w:tc>
      </w:tr>
      <w:tr w:rsidR="00B975E1" w14:paraId="4F61328A" w14:textId="77777777" w:rsidTr="007A5BA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vAlign w:val="top"/>
          </w:tcPr>
          <w:p w14:paraId="148C2A59" w14:textId="59D302F1" w:rsidR="00B975E1" w:rsidRPr="00E05937" w:rsidRDefault="00B975E1" w:rsidP="001B763E">
            <w:r>
              <w:t>Large Facilities</w:t>
            </w:r>
          </w:p>
        </w:tc>
        <w:tc>
          <w:tcPr>
            <w:tcW w:w="2777" w:type="dxa"/>
            <w:tcBorders>
              <w:top w:val="none" w:sz="0" w:space="0" w:color="auto"/>
              <w:left w:val="none" w:sz="0" w:space="0" w:color="auto"/>
              <w:bottom w:val="none" w:sz="0" w:space="0" w:color="auto"/>
              <w:right w:val="none" w:sz="0" w:space="0" w:color="auto"/>
            </w:tcBorders>
          </w:tcPr>
          <w:p w14:paraId="60414B22" w14:textId="77CD5DD4" w:rsidR="00B975E1" w:rsidRPr="002D6F4F"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t>2000048</w:t>
            </w:r>
          </w:p>
        </w:tc>
        <w:tc>
          <w:tcPr>
            <w:tcW w:w="1155" w:type="dxa"/>
            <w:tcBorders>
              <w:top w:val="none" w:sz="0" w:space="0" w:color="auto"/>
              <w:left w:val="none" w:sz="0" w:space="0" w:color="auto"/>
              <w:bottom w:val="none" w:sz="0" w:space="0" w:color="auto"/>
              <w:right w:val="none" w:sz="0" w:space="0" w:color="auto"/>
            </w:tcBorders>
          </w:tcPr>
          <w:p w14:paraId="43EC4567" w14:textId="1C958BAC" w:rsidR="00B975E1"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t>458</w:t>
            </w:r>
          </w:p>
        </w:tc>
        <w:tc>
          <w:tcPr>
            <w:tcW w:w="1155" w:type="dxa"/>
            <w:tcBorders>
              <w:top w:val="none" w:sz="0" w:space="0" w:color="auto"/>
              <w:left w:val="none" w:sz="0" w:space="0" w:color="auto"/>
              <w:bottom w:val="none" w:sz="0" w:space="0" w:color="auto"/>
              <w:right w:val="none" w:sz="0" w:space="0" w:color="auto"/>
            </w:tcBorders>
          </w:tcPr>
          <w:p w14:paraId="5A2F5B9B" w14:textId="301C107D" w:rsidR="00B975E1"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t>25%</w:t>
            </w:r>
          </w:p>
        </w:tc>
      </w:tr>
      <w:tr w:rsidR="00B975E1" w14:paraId="22ADE672" w14:textId="77777777" w:rsidTr="007A5BA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vAlign w:val="top"/>
          </w:tcPr>
          <w:p w14:paraId="790A5067" w14:textId="0F24C686" w:rsidR="00B975E1" w:rsidRPr="00E05937" w:rsidRDefault="00B975E1" w:rsidP="001B763E">
            <w:r>
              <w:t>Large Facilities</w:t>
            </w:r>
          </w:p>
        </w:tc>
        <w:tc>
          <w:tcPr>
            <w:tcW w:w="2777" w:type="dxa"/>
            <w:tcBorders>
              <w:top w:val="none" w:sz="0" w:space="0" w:color="auto"/>
              <w:left w:val="none" w:sz="0" w:space="0" w:color="auto"/>
              <w:bottom w:val="none" w:sz="0" w:space="0" w:color="auto"/>
              <w:right w:val="none" w:sz="0" w:space="0" w:color="auto"/>
            </w:tcBorders>
          </w:tcPr>
          <w:p w14:paraId="1BBB79DA" w14:textId="509678C5" w:rsidR="00B975E1" w:rsidRPr="002D6F4F"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rsidRPr="00C73426">
              <w:t>2000017</w:t>
            </w:r>
          </w:p>
        </w:tc>
        <w:tc>
          <w:tcPr>
            <w:tcW w:w="1155" w:type="dxa"/>
            <w:tcBorders>
              <w:top w:val="none" w:sz="0" w:space="0" w:color="auto"/>
              <w:left w:val="none" w:sz="0" w:space="0" w:color="auto"/>
              <w:bottom w:val="none" w:sz="0" w:space="0" w:color="auto"/>
              <w:right w:val="none" w:sz="0" w:space="0" w:color="auto"/>
            </w:tcBorders>
          </w:tcPr>
          <w:p w14:paraId="023E728C" w14:textId="37A405B8" w:rsidR="00B975E1"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t>439</w:t>
            </w:r>
          </w:p>
        </w:tc>
        <w:tc>
          <w:tcPr>
            <w:tcW w:w="1155" w:type="dxa"/>
            <w:tcBorders>
              <w:top w:val="none" w:sz="0" w:space="0" w:color="auto"/>
              <w:left w:val="none" w:sz="0" w:space="0" w:color="auto"/>
              <w:bottom w:val="none" w:sz="0" w:space="0" w:color="auto"/>
              <w:right w:val="none" w:sz="0" w:space="0" w:color="auto"/>
            </w:tcBorders>
          </w:tcPr>
          <w:p w14:paraId="30BD09E0" w14:textId="2A7C29C1" w:rsidR="00B975E1" w:rsidRDefault="00B975E1" w:rsidP="007A5BA2">
            <w:pPr>
              <w:pStyle w:val="TableRightText"/>
              <w:cnfStyle w:val="000000010000" w:firstRow="0" w:lastRow="0" w:firstColumn="0" w:lastColumn="0" w:oddVBand="0" w:evenVBand="0" w:oddHBand="0" w:evenHBand="1" w:firstRowFirstColumn="0" w:firstRowLastColumn="0" w:lastRowFirstColumn="0" w:lastRowLastColumn="0"/>
            </w:pPr>
            <w:r>
              <w:t>24%</w:t>
            </w:r>
          </w:p>
        </w:tc>
      </w:tr>
      <w:tr w:rsidR="00B975E1" w14:paraId="6B25E023" w14:textId="77777777" w:rsidTr="007A5BA2">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vAlign w:val="top"/>
          </w:tcPr>
          <w:p w14:paraId="576E9B3D" w14:textId="10030FCC" w:rsidR="00B975E1" w:rsidRDefault="00B975E1" w:rsidP="001B763E">
            <w:r w:rsidRPr="00E05937">
              <w:t>Large Facilities</w:t>
            </w:r>
          </w:p>
        </w:tc>
        <w:tc>
          <w:tcPr>
            <w:tcW w:w="2777" w:type="dxa"/>
            <w:tcBorders>
              <w:top w:val="none" w:sz="0" w:space="0" w:color="auto"/>
              <w:left w:val="none" w:sz="0" w:space="0" w:color="auto"/>
              <w:bottom w:val="none" w:sz="0" w:space="0" w:color="auto"/>
              <w:right w:val="none" w:sz="0" w:space="0" w:color="auto"/>
            </w:tcBorders>
          </w:tcPr>
          <w:p w14:paraId="49464A14" w14:textId="6F354194" w:rsidR="00B975E1"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rsidRPr="002D6F4F">
              <w:t>2200874</w:t>
            </w:r>
          </w:p>
        </w:tc>
        <w:tc>
          <w:tcPr>
            <w:tcW w:w="1155" w:type="dxa"/>
            <w:tcBorders>
              <w:top w:val="none" w:sz="0" w:space="0" w:color="auto"/>
              <w:left w:val="none" w:sz="0" w:space="0" w:color="auto"/>
              <w:bottom w:val="none" w:sz="0" w:space="0" w:color="auto"/>
              <w:right w:val="none" w:sz="0" w:space="0" w:color="auto"/>
            </w:tcBorders>
          </w:tcPr>
          <w:p w14:paraId="210EE3C8" w14:textId="182D1E58" w:rsidR="00B975E1"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t>291</w:t>
            </w:r>
          </w:p>
        </w:tc>
        <w:tc>
          <w:tcPr>
            <w:tcW w:w="1155" w:type="dxa"/>
            <w:tcBorders>
              <w:top w:val="none" w:sz="0" w:space="0" w:color="auto"/>
              <w:left w:val="none" w:sz="0" w:space="0" w:color="auto"/>
              <w:bottom w:val="none" w:sz="0" w:space="0" w:color="auto"/>
              <w:right w:val="none" w:sz="0" w:space="0" w:color="auto"/>
            </w:tcBorders>
          </w:tcPr>
          <w:p w14:paraId="534537A9" w14:textId="7860466F" w:rsidR="00B975E1" w:rsidRDefault="00B975E1" w:rsidP="007A5BA2">
            <w:pPr>
              <w:pStyle w:val="TableRightText"/>
              <w:cnfStyle w:val="000000100000" w:firstRow="0" w:lastRow="0" w:firstColumn="0" w:lastColumn="0" w:oddVBand="0" w:evenVBand="0" w:oddHBand="1" w:evenHBand="0" w:firstRowFirstColumn="0" w:firstRowLastColumn="0" w:lastRowFirstColumn="0" w:lastRowLastColumn="0"/>
            </w:pPr>
            <w:r>
              <w:t>16%</w:t>
            </w:r>
          </w:p>
        </w:tc>
      </w:tr>
      <w:tr w:rsidR="00B975E1" w14:paraId="17D36742" w14:textId="77777777" w:rsidTr="007A5BA2">
        <w:trPr>
          <w:cnfStyle w:val="000000010000" w:firstRow="0" w:lastRow="0" w:firstColumn="0" w:lastColumn="0" w:oddVBand="0" w:evenVBand="0" w:oddHBand="0" w:evenHBand="1"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vAlign w:val="top"/>
          </w:tcPr>
          <w:p w14:paraId="2DF5E615" w14:textId="144D92BD" w:rsidR="00B975E1" w:rsidRPr="00881B1B" w:rsidRDefault="00B975E1" w:rsidP="001B763E">
            <w:pPr>
              <w:rPr>
                <w:rFonts w:ascii="Franklin Gothic Medium" w:hAnsi="Franklin Gothic Medium"/>
              </w:rPr>
            </w:pPr>
            <w:r w:rsidRPr="00881B1B">
              <w:rPr>
                <w:rFonts w:ascii="Franklin Gothic Medium" w:hAnsi="Franklin Gothic Medium"/>
              </w:rPr>
              <w:t>Total</w:t>
            </w:r>
          </w:p>
        </w:tc>
        <w:tc>
          <w:tcPr>
            <w:tcW w:w="2777" w:type="dxa"/>
            <w:tcBorders>
              <w:top w:val="none" w:sz="0" w:space="0" w:color="auto"/>
              <w:left w:val="none" w:sz="0" w:space="0" w:color="auto"/>
              <w:bottom w:val="none" w:sz="0" w:space="0" w:color="auto"/>
              <w:right w:val="none" w:sz="0" w:space="0" w:color="auto"/>
            </w:tcBorders>
          </w:tcPr>
          <w:p w14:paraId="4D888E24" w14:textId="1082FEE9" w:rsidR="00B975E1" w:rsidRPr="00881B1B" w:rsidRDefault="00B975E1" w:rsidP="007A5BA2">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4</w:t>
            </w:r>
          </w:p>
        </w:tc>
        <w:tc>
          <w:tcPr>
            <w:tcW w:w="1155" w:type="dxa"/>
            <w:tcBorders>
              <w:top w:val="none" w:sz="0" w:space="0" w:color="auto"/>
              <w:left w:val="none" w:sz="0" w:space="0" w:color="auto"/>
              <w:bottom w:val="none" w:sz="0" w:space="0" w:color="auto"/>
              <w:right w:val="none" w:sz="0" w:space="0" w:color="auto"/>
            </w:tcBorders>
          </w:tcPr>
          <w:p w14:paraId="0AC1E51B" w14:textId="6921BC34" w:rsidR="00B975E1" w:rsidRPr="00881B1B" w:rsidRDefault="00B975E1" w:rsidP="007A5BA2">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1,841</w:t>
            </w:r>
          </w:p>
        </w:tc>
        <w:tc>
          <w:tcPr>
            <w:tcW w:w="1155" w:type="dxa"/>
            <w:tcBorders>
              <w:top w:val="none" w:sz="0" w:space="0" w:color="auto"/>
              <w:left w:val="none" w:sz="0" w:space="0" w:color="auto"/>
              <w:bottom w:val="none" w:sz="0" w:space="0" w:color="auto"/>
              <w:right w:val="none" w:sz="0" w:space="0" w:color="auto"/>
            </w:tcBorders>
          </w:tcPr>
          <w:p w14:paraId="4B7EF11C" w14:textId="7ECEF588" w:rsidR="00B975E1" w:rsidRPr="00881B1B" w:rsidRDefault="00B975E1" w:rsidP="007A5BA2">
            <w:pPr>
              <w:pStyle w:val="TableRightTex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881B1B">
              <w:rPr>
                <w:rFonts w:ascii="Franklin Gothic Medium" w:hAnsi="Franklin Gothic Medium"/>
              </w:rPr>
              <w:t>100%</w:t>
            </w:r>
          </w:p>
        </w:tc>
      </w:tr>
    </w:tbl>
    <w:p w14:paraId="302CBD89" w14:textId="77777777" w:rsidR="00960F83" w:rsidRDefault="00960F83" w:rsidP="00960F83">
      <w:pPr>
        <w:pStyle w:val="Heading4"/>
      </w:pPr>
      <w:r>
        <w:t>Savings Detail</w:t>
      </w:r>
    </w:p>
    <w:p w14:paraId="3F70000B" w14:textId="40B82106" w:rsidR="00960F83" w:rsidRDefault="001779CF" w:rsidP="00960F83">
      <w:pPr>
        <w:pStyle w:val="NoSpacing"/>
      </w:pPr>
      <w:r>
        <w:fldChar w:fldCharType="begin"/>
      </w:r>
      <w:r>
        <w:instrText xml:space="preserve"> REF _Ref189050142 \h </w:instrText>
      </w:r>
      <w:r>
        <w:fldChar w:fldCharType="separate"/>
      </w:r>
      <w:r w:rsidR="00AA10F4">
        <w:t xml:space="preserve">Table </w:t>
      </w:r>
      <w:r w:rsidR="00AA10F4">
        <w:rPr>
          <w:noProof/>
        </w:rPr>
        <w:t>42</w:t>
      </w:r>
      <w:r>
        <w:fldChar w:fldCharType="end"/>
      </w:r>
      <w:r w:rsidR="00960F83">
        <w:t xml:space="preserve"> </w:t>
      </w:r>
      <w:r w:rsidR="00960F83" w:rsidRPr="00EE3D49">
        <w:t xml:space="preserve">presents the ex ante, verified gross, and verified net electric energy savings achieved through the </w:t>
      </w:r>
      <w:r w:rsidR="00960F83">
        <w:t>RCx</w:t>
      </w:r>
      <w:r w:rsidR="00960F83" w:rsidRPr="00EE3D49">
        <w:t xml:space="preserve"> Core channel in 2024.</w:t>
      </w:r>
    </w:p>
    <w:p w14:paraId="46BE8694" w14:textId="0EE292AF" w:rsidR="00960F83" w:rsidRDefault="00960F83" w:rsidP="00881B1B">
      <w:pPr>
        <w:pStyle w:val="Caption"/>
      </w:pPr>
      <w:bookmarkStart w:id="189" w:name="_Ref189050142"/>
      <w:bookmarkStart w:id="190" w:name="_Toc191992563"/>
      <w:bookmarkStart w:id="191" w:name="_Toc192766976"/>
      <w:r>
        <w:lastRenderedPageBreak/>
        <w:t xml:space="preserve">Table </w:t>
      </w:r>
      <w:r w:rsidR="009B4C9A">
        <w:fldChar w:fldCharType="begin"/>
      </w:r>
      <w:r w:rsidR="009B4C9A">
        <w:instrText xml:space="preserve"> SEQ Table \* ARABIC </w:instrText>
      </w:r>
      <w:r w:rsidR="009B4C9A">
        <w:fldChar w:fldCharType="separate"/>
      </w:r>
      <w:r w:rsidR="00AA10F4">
        <w:rPr>
          <w:noProof/>
        </w:rPr>
        <w:t>42</w:t>
      </w:r>
      <w:r w:rsidR="009B4C9A">
        <w:rPr>
          <w:noProof/>
        </w:rPr>
        <w:fldChar w:fldCharType="end"/>
      </w:r>
      <w:bookmarkEnd w:id="189"/>
      <w:r>
        <w:t>. 2024 RCx Core Channel Electric Energy Savings by Measure</w:t>
      </w:r>
      <w:bookmarkEnd w:id="190"/>
      <w:bookmarkEnd w:id="19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960F83" w14:paraId="05867F1E" w14:textId="77777777" w:rsidTr="007A5B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63DBAC7" w14:textId="297DA2CF" w:rsidR="00960F83" w:rsidRDefault="00447552" w:rsidP="00D97405">
            <w:pPr>
              <w:pStyle w:val="TableHeadingLeft"/>
            </w:pPr>
            <w:r>
              <w:t>Project ID</w:t>
            </w:r>
          </w:p>
        </w:tc>
        <w:tc>
          <w:tcPr>
            <w:tcW w:w="1849" w:type="dxa"/>
            <w:tcBorders>
              <w:bottom w:val="none" w:sz="0" w:space="0" w:color="auto"/>
            </w:tcBorders>
          </w:tcPr>
          <w:p w14:paraId="5933240E"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49" w:type="dxa"/>
            <w:tcBorders>
              <w:bottom w:val="none" w:sz="0" w:space="0" w:color="auto"/>
            </w:tcBorders>
          </w:tcPr>
          <w:p w14:paraId="19FB1D08"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51957D9E"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850" w:type="dxa"/>
            <w:tcBorders>
              <w:bottom w:val="none" w:sz="0" w:space="0" w:color="auto"/>
            </w:tcBorders>
          </w:tcPr>
          <w:p w14:paraId="6F00FBB3"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13C4F20C"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9C21BA" w14:paraId="3F03BC1F"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3C763B0" w14:textId="2F0DBE70" w:rsidR="009C21BA" w:rsidRDefault="009C21BA" w:rsidP="009C21BA">
            <w:pPr>
              <w:pStyle w:val="TableLeftText"/>
            </w:pPr>
            <w:r w:rsidRPr="00640B42">
              <w:t>2300290</w:t>
            </w:r>
          </w:p>
        </w:tc>
        <w:tc>
          <w:tcPr>
            <w:tcW w:w="1849" w:type="dxa"/>
            <w:tcBorders>
              <w:top w:val="none" w:sz="0" w:space="0" w:color="auto"/>
              <w:left w:val="none" w:sz="0" w:space="0" w:color="auto"/>
              <w:bottom w:val="none" w:sz="0" w:space="0" w:color="auto"/>
              <w:right w:val="none" w:sz="0" w:space="0" w:color="auto"/>
            </w:tcBorders>
          </w:tcPr>
          <w:p w14:paraId="63481CD8" w14:textId="35C762B2"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652</w:t>
            </w:r>
          </w:p>
        </w:tc>
        <w:tc>
          <w:tcPr>
            <w:tcW w:w="1849" w:type="dxa"/>
            <w:tcBorders>
              <w:top w:val="none" w:sz="0" w:space="0" w:color="auto"/>
              <w:left w:val="none" w:sz="0" w:space="0" w:color="auto"/>
              <w:bottom w:val="none" w:sz="0" w:space="0" w:color="auto"/>
              <w:right w:val="none" w:sz="0" w:space="0" w:color="auto"/>
            </w:tcBorders>
          </w:tcPr>
          <w:p w14:paraId="6087765D" w14:textId="605A1123"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104%</w:t>
            </w:r>
          </w:p>
        </w:tc>
        <w:tc>
          <w:tcPr>
            <w:tcW w:w="1849" w:type="dxa"/>
            <w:tcBorders>
              <w:top w:val="none" w:sz="0" w:space="0" w:color="auto"/>
              <w:left w:val="none" w:sz="0" w:space="0" w:color="auto"/>
              <w:bottom w:val="none" w:sz="0" w:space="0" w:color="auto"/>
              <w:right w:val="none" w:sz="0" w:space="0" w:color="auto"/>
            </w:tcBorders>
          </w:tcPr>
          <w:p w14:paraId="47D4BD34" w14:textId="791DF57D"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680</w:t>
            </w:r>
          </w:p>
        </w:tc>
        <w:tc>
          <w:tcPr>
            <w:tcW w:w="1850" w:type="dxa"/>
            <w:tcBorders>
              <w:top w:val="none" w:sz="0" w:space="0" w:color="auto"/>
              <w:left w:val="none" w:sz="0" w:space="0" w:color="auto"/>
              <w:bottom w:val="none" w:sz="0" w:space="0" w:color="auto"/>
              <w:right w:val="none" w:sz="0" w:space="0" w:color="auto"/>
            </w:tcBorders>
          </w:tcPr>
          <w:p w14:paraId="476B518D" w14:textId="2DC519EC"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0.945</w:t>
            </w:r>
          </w:p>
        </w:tc>
        <w:tc>
          <w:tcPr>
            <w:tcW w:w="1850" w:type="dxa"/>
            <w:tcBorders>
              <w:top w:val="none" w:sz="0" w:space="0" w:color="auto"/>
              <w:left w:val="none" w:sz="0" w:space="0" w:color="auto"/>
              <w:bottom w:val="none" w:sz="0" w:space="0" w:color="auto"/>
              <w:right w:val="none" w:sz="0" w:space="0" w:color="auto"/>
            </w:tcBorders>
          </w:tcPr>
          <w:p w14:paraId="7B246A02" w14:textId="391E4D97"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642</w:t>
            </w:r>
          </w:p>
        </w:tc>
      </w:tr>
      <w:tr w:rsidR="009C21BA" w14:paraId="2EBD0D3B"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0D54D299" w14:textId="51268033" w:rsidR="009C21BA" w:rsidRDefault="009C21BA" w:rsidP="009C21BA">
            <w:pPr>
              <w:pStyle w:val="TableLeftText"/>
            </w:pPr>
            <w:r w:rsidRPr="00640B42">
              <w:t>2000048</w:t>
            </w:r>
          </w:p>
        </w:tc>
        <w:tc>
          <w:tcPr>
            <w:tcW w:w="1849" w:type="dxa"/>
            <w:tcBorders>
              <w:top w:val="none" w:sz="0" w:space="0" w:color="auto"/>
              <w:left w:val="none" w:sz="0" w:space="0" w:color="auto"/>
              <w:bottom w:val="none" w:sz="0" w:space="0" w:color="auto"/>
              <w:right w:val="none" w:sz="0" w:space="0" w:color="auto"/>
            </w:tcBorders>
          </w:tcPr>
          <w:p w14:paraId="0A1FE930" w14:textId="656889BB"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458</w:t>
            </w:r>
          </w:p>
        </w:tc>
        <w:tc>
          <w:tcPr>
            <w:tcW w:w="1849" w:type="dxa"/>
            <w:tcBorders>
              <w:top w:val="none" w:sz="0" w:space="0" w:color="auto"/>
              <w:left w:val="none" w:sz="0" w:space="0" w:color="auto"/>
              <w:bottom w:val="none" w:sz="0" w:space="0" w:color="auto"/>
              <w:right w:val="none" w:sz="0" w:space="0" w:color="auto"/>
            </w:tcBorders>
          </w:tcPr>
          <w:p w14:paraId="0541935C" w14:textId="1104E730"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100%</w:t>
            </w:r>
          </w:p>
        </w:tc>
        <w:tc>
          <w:tcPr>
            <w:tcW w:w="1849" w:type="dxa"/>
            <w:tcBorders>
              <w:top w:val="none" w:sz="0" w:space="0" w:color="auto"/>
              <w:left w:val="none" w:sz="0" w:space="0" w:color="auto"/>
              <w:bottom w:val="none" w:sz="0" w:space="0" w:color="auto"/>
              <w:right w:val="none" w:sz="0" w:space="0" w:color="auto"/>
            </w:tcBorders>
          </w:tcPr>
          <w:p w14:paraId="3FBED763" w14:textId="3841A5B8"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458</w:t>
            </w:r>
          </w:p>
        </w:tc>
        <w:tc>
          <w:tcPr>
            <w:tcW w:w="1850" w:type="dxa"/>
            <w:tcBorders>
              <w:top w:val="none" w:sz="0" w:space="0" w:color="auto"/>
              <w:left w:val="none" w:sz="0" w:space="0" w:color="auto"/>
              <w:bottom w:val="none" w:sz="0" w:space="0" w:color="auto"/>
              <w:right w:val="none" w:sz="0" w:space="0" w:color="auto"/>
            </w:tcBorders>
          </w:tcPr>
          <w:p w14:paraId="1759B5D4" w14:textId="32404207"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0.945</w:t>
            </w:r>
          </w:p>
        </w:tc>
        <w:tc>
          <w:tcPr>
            <w:tcW w:w="1850" w:type="dxa"/>
            <w:tcBorders>
              <w:top w:val="none" w:sz="0" w:space="0" w:color="auto"/>
              <w:left w:val="none" w:sz="0" w:space="0" w:color="auto"/>
              <w:bottom w:val="none" w:sz="0" w:space="0" w:color="auto"/>
              <w:right w:val="none" w:sz="0" w:space="0" w:color="auto"/>
            </w:tcBorders>
          </w:tcPr>
          <w:p w14:paraId="67A136B8" w14:textId="2290E03E"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432</w:t>
            </w:r>
          </w:p>
        </w:tc>
      </w:tr>
      <w:tr w:rsidR="009C21BA" w14:paraId="5C530625"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25B168DA" w14:textId="56C1669B" w:rsidR="009C21BA" w:rsidRDefault="009C21BA" w:rsidP="009C21BA">
            <w:pPr>
              <w:pStyle w:val="TableLeftText"/>
            </w:pPr>
            <w:r w:rsidRPr="00640B42">
              <w:t>2000017</w:t>
            </w:r>
          </w:p>
        </w:tc>
        <w:tc>
          <w:tcPr>
            <w:tcW w:w="1849" w:type="dxa"/>
            <w:tcBorders>
              <w:top w:val="none" w:sz="0" w:space="0" w:color="auto"/>
              <w:left w:val="none" w:sz="0" w:space="0" w:color="auto"/>
              <w:bottom w:val="none" w:sz="0" w:space="0" w:color="auto"/>
              <w:right w:val="none" w:sz="0" w:space="0" w:color="auto"/>
            </w:tcBorders>
          </w:tcPr>
          <w:p w14:paraId="22103390" w14:textId="6F9BAF22"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439</w:t>
            </w:r>
          </w:p>
        </w:tc>
        <w:tc>
          <w:tcPr>
            <w:tcW w:w="1849" w:type="dxa"/>
            <w:tcBorders>
              <w:top w:val="none" w:sz="0" w:space="0" w:color="auto"/>
              <w:left w:val="none" w:sz="0" w:space="0" w:color="auto"/>
              <w:bottom w:val="none" w:sz="0" w:space="0" w:color="auto"/>
              <w:right w:val="none" w:sz="0" w:space="0" w:color="auto"/>
            </w:tcBorders>
          </w:tcPr>
          <w:p w14:paraId="6296CFE9" w14:textId="421EBF0F"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92%</w:t>
            </w:r>
          </w:p>
        </w:tc>
        <w:tc>
          <w:tcPr>
            <w:tcW w:w="1849" w:type="dxa"/>
            <w:tcBorders>
              <w:top w:val="none" w:sz="0" w:space="0" w:color="auto"/>
              <w:left w:val="none" w:sz="0" w:space="0" w:color="auto"/>
              <w:bottom w:val="none" w:sz="0" w:space="0" w:color="auto"/>
              <w:right w:val="none" w:sz="0" w:space="0" w:color="auto"/>
            </w:tcBorders>
          </w:tcPr>
          <w:p w14:paraId="4EB30B1D" w14:textId="4A09A4B8"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403</w:t>
            </w:r>
          </w:p>
        </w:tc>
        <w:tc>
          <w:tcPr>
            <w:tcW w:w="1850" w:type="dxa"/>
            <w:tcBorders>
              <w:top w:val="none" w:sz="0" w:space="0" w:color="auto"/>
              <w:left w:val="none" w:sz="0" w:space="0" w:color="auto"/>
              <w:bottom w:val="none" w:sz="0" w:space="0" w:color="auto"/>
              <w:right w:val="none" w:sz="0" w:space="0" w:color="auto"/>
            </w:tcBorders>
          </w:tcPr>
          <w:p w14:paraId="45BE3FD6" w14:textId="16E84FB4"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0.945</w:t>
            </w:r>
          </w:p>
        </w:tc>
        <w:tc>
          <w:tcPr>
            <w:tcW w:w="1850" w:type="dxa"/>
            <w:tcBorders>
              <w:top w:val="none" w:sz="0" w:space="0" w:color="auto"/>
              <w:left w:val="none" w:sz="0" w:space="0" w:color="auto"/>
              <w:bottom w:val="none" w:sz="0" w:space="0" w:color="auto"/>
              <w:right w:val="none" w:sz="0" w:space="0" w:color="auto"/>
            </w:tcBorders>
          </w:tcPr>
          <w:p w14:paraId="2EA3C897" w14:textId="4C799214" w:rsidR="009C21BA"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F809CF">
              <w:t>381</w:t>
            </w:r>
          </w:p>
        </w:tc>
      </w:tr>
      <w:tr w:rsidR="009C21BA" w14:paraId="3C74A840"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vAlign w:val="top"/>
          </w:tcPr>
          <w:p w14:paraId="781FA99B" w14:textId="50AC3053" w:rsidR="009C21BA" w:rsidRDefault="009C21BA" w:rsidP="009C21BA">
            <w:pPr>
              <w:pStyle w:val="TableLeftText"/>
            </w:pPr>
            <w:r w:rsidRPr="00640B42">
              <w:t>2200874</w:t>
            </w:r>
          </w:p>
        </w:tc>
        <w:tc>
          <w:tcPr>
            <w:tcW w:w="0" w:type="dxa"/>
            <w:tcBorders>
              <w:top w:val="none" w:sz="0" w:space="0" w:color="auto"/>
              <w:left w:val="none" w:sz="0" w:space="0" w:color="auto"/>
              <w:bottom w:val="none" w:sz="0" w:space="0" w:color="auto"/>
              <w:right w:val="none" w:sz="0" w:space="0" w:color="auto"/>
            </w:tcBorders>
          </w:tcPr>
          <w:p w14:paraId="71BA9C49" w14:textId="041E164C"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291</w:t>
            </w:r>
          </w:p>
        </w:tc>
        <w:tc>
          <w:tcPr>
            <w:tcW w:w="0" w:type="dxa"/>
            <w:tcBorders>
              <w:top w:val="none" w:sz="0" w:space="0" w:color="auto"/>
              <w:left w:val="none" w:sz="0" w:space="0" w:color="auto"/>
              <w:bottom w:val="none" w:sz="0" w:space="0" w:color="auto"/>
              <w:right w:val="none" w:sz="0" w:space="0" w:color="auto"/>
            </w:tcBorders>
          </w:tcPr>
          <w:p w14:paraId="1F0A9BD3" w14:textId="469D372C" w:rsidR="009C21BA" w:rsidRDefault="003A71F0" w:rsidP="007A5BA2">
            <w:pPr>
              <w:pStyle w:val="TableLeftText"/>
              <w:jc w:val="right"/>
              <w:cnfStyle w:val="000000010000" w:firstRow="0" w:lastRow="0" w:firstColumn="0" w:lastColumn="0" w:oddVBand="0" w:evenVBand="0" w:oddHBand="0" w:evenHBand="1" w:firstRowFirstColumn="0" w:firstRowLastColumn="0" w:lastRowFirstColumn="0" w:lastRowLastColumn="0"/>
            </w:pPr>
            <w:r>
              <w:t>10</w:t>
            </w:r>
            <w:r w:rsidR="009C21BA" w:rsidRPr="00F809CF">
              <w:t>0%</w:t>
            </w:r>
          </w:p>
        </w:tc>
        <w:tc>
          <w:tcPr>
            <w:tcW w:w="0" w:type="dxa"/>
            <w:tcBorders>
              <w:top w:val="none" w:sz="0" w:space="0" w:color="auto"/>
              <w:left w:val="none" w:sz="0" w:space="0" w:color="auto"/>
              <w:bottom w:val="none" w:sz="0" w:space="0" w:color="auto"/>
              <w:right w:val="none" w:sz="0" w:space="0" w:color="auto"/>
            </w:tcBorders>
          </w:tcPr>
          <w:p w14:paraId="7508B881" w14:textId="7DADF2E8" w:rsidR="009C21BA" w:rsidRDefault="003A71F0" w:rsidP="007A5BA2">
            <w:pPr>
              <w:pStyle w:val="TableLeftText"/>
              <w:jc w:val="right"/>
              <w:cnfStyle w:val="000000010000" w:firstRow="0" w:lastRow="0" w:firstColumn="0" w:lastColumn="0" w:oddVBand="0" w:evenVBand="0" w:oddHBand="0" w:evenHBand="1" w:firstRowFirstColumn="0" w:firstRowLastColumn="0" w:lastRowFirstColumn="0" w:lastRowLastColumn="0"/>
            </w:pPr>
            <w:r>
              <w:t>290</w:t>
            </w:r>
          </w:p>
        </w:tc>
        <w:tc>
          <w:tcPr>
            <w:tcW w:w="0" w:type="dxa"/>
            <w:tcBorders>
              <w:top w:val="none" w:sz="0" w:space="0" w:color="auto"/>
              <w:left w:val="none" w:sz="0" w:space="0" w:color="auto"/>
              <w:bottom w:val="none" w:sz="0" w:space="0" w:color="auto"/>
              <w:right w:val="none" w:sz="0" w:space="0" w:color="auto"/>
            </w:tcBorders>
          </w:tcPr>
          <w:p w14:paraId="6A9B184F" w14:textId="2985AEB3"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0.945</w:t>
            </w:r>
          </w:p>
        </w:tc>
        <w:tc>
          <w:tcPr>
            <w:tcW w:w="0" w:type="dxa"/>
            <w:tcBorders>
              <w:top w:val="none" w:sz="0" w:space="0" w:color="auto"/>
              <w:left w:val="none" w:sz="0" w:space="0" w:color="auto"/>
              <w:bottom w:val="none" w:sz="0" w:space="0" w:color="auto"/>
              <w:right w:val="none" w:sz="0" w:space="0" w:color="auto"/>
            </w:tcBorders>
          </w:tcPr>
          <w:p w14:paraId="5B007AD2" w14:textId="0EEEF623" w:rsidR="009C21BA"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F809CF">
              <w:t>2</w:t>
            </w:r>
            <w:r w:rsidR="003A71F0">
              <w:t>75</w:t>
            </w:r>
          </w:p>
        </w:tc>
      </w:tr>
      <w:tr w:rsidR="009C21BA" w14:paraId="480610F6"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6267708C" w14:textId="5B8A37EB" w:rsidR="009C21BA" w:rsidRPr="00881B1B" w:rsidRDefault="009C21BA" w:rsidP="009C21BA">
            <w:pPr>
              <w:pStyle w:val="TableLeftText"/>
              <w:rPr>
                <w:rFonts w:ascii="Franklin Gothic Medium" w:hAnsi="Franklin Gothic Medium"/>
              </w:rPr>
            </w:pPr>
            <w:r w:rsidRPr="00881B1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355587C5" w14:textId="748F115B"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1,841</w:t>
            </w:r>
          </w:p>
        </w:tc>
        <w:tc>
          <w:tcPr>
            <w:tcW w:w="1849" w:type="dxa"/>
            <w:tcBorders>
              <w:top w:val="none" w:sz="0" w:space="0" w:color="auto"/>
              <w:left w:val="none" w:sz="0" w:space="0" w:color="auto"/>
              <w:bottom w:val="none" w:sz="0" w:space="0" w:color="auto"/>
              <w:right w:val="none" w:sz="0" w:space="0" w:color="auto"/>
            </w:tcBorders>
          </w:tcPr>
          <w:p w14:paraId="2D467366" w14:textId="78963243" w:rsidR="009C21BA" w:rsidRPr="00881B1B" w:rsidRDefault="003A71F0"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100</w:t>
            </w:r>
            <w:r w:rsidR="009C21BA" w:rsidRPr="00881B1B">
              <w:rPr>
                <w:rFonts w:ascii="Franklin Gothic Medium" w:hAnsi="Franklin Gothic Medium"/>
              </w:rPr>
              <w:t>%</w:t>
            </w:r>
          </w:p>
        </w:tc>
        <w:tc>
          <w:tcPr>
            <w:tcW w:w="1849" w:type="dxa"/>
            <w:tcBorders>
              <w:top w:val="none" w:sz="0" w:space="0" w:color="auto"/>
              <w:left w:val="none" w:sz="0" w:space="0" w:color="auto"/>
              <w:bottom w:val="none" w:sz="0" w:space="0" w:color="auto"/>
              <w:right w:val="none" w:sz="0" w:space="0" w:color="auto"/>
            </w:tcBorders>
          </w:tcPr>
          <w:p w14:paraId="02C5D9F0" w14:textId="39CE9CCB"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1,8</w:t>
            </w:r>
            <w:r w:rsidR="003A71F0" w:rsidRPr="00881B1B">
              <w:rPr>
                <w:rFonts w:ascii="Franklin Gothic Medium" w:hAnsi="Franklin Gothic Medium"/>
              </w:rPr>
              <w:t>3</w:t>
            </w:r>
            <w:r w:rsidRPr="00881B1B">
              <w:rPr>
                <w:rFonts w:ascii="Franklin Gothic Medium" w:hAnsi="Franklin Gothic Medium"/>
              </w:rPr>
              <w:t>2</w:t>
            </w:r>
          </w:p>
        </w:tc>
        <w:tc>
          <w:tcPr>
            <w:tcW w:w="1850" w:type="dxa"/>
            <w:tcBorders>
              <w:top w:val="none" w:sz="0" w:space="0" w:color="auto"/>
              <w:left w:val="none" w:sz="0" w:space="0" w:color="auto"/>
              <w:bottom w:val="none" w:sz="0" w:space="0" w:color="auto"/>
              <w:right w:val="none" w:sz="0" w:space="0" w:color="auto"/>
            </w:tcBorders>
          </w:tcPr>
          <w:p w14:paraId="7B468368" w14:textId="1FF6E887"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0.945</w:t>
            </w:r>
          </w:p>
        </w:tc>
        <w:tc>
          <w:tcPr>
            <w:tcW w:w="1850" w:type="dxa"/>
            <w:tcBorders>
              <w:top w:val="none" w:sz="0" w:space="0" w:color="auto"/>
              <w:left w:val="none" w:sz="0" w:space="0" w:color="auto"/>
              <w:bottom w:val="none" w:sz="0" w:space="0" w:color="auto"/>
              <w:right w:val="none" w:sz="0" w:space="0" w:color="auto"/>
            </w:tcBorders>
          </w:tcPr>
          <w:p w14:paraId="5B2C27F7" w14:textId="582781BC"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1,7</w:t>
            </w:r>
            <w:r w:rsidR="003A71F0" w:rsidRPr="00881B1B">
              <w:rPr>
                <w:rFonts w:ascii="Franklin Gothic Medium" w:hAnsi="Franklin Gothic Medium"/>
              </w:rPr>
              <w:t>30</w:t>
            </w:r>
          </w:p>
        </w:tc>
      </w:tr>
    </w:tbl>
    <w:p w14:paraId="2BC58C3A" w14:textId="36238577" w:rsidR="00960F83" w:rsidRDefault="001779CF" w:rsidP="00960F83">
      <w:pPr>
        <w:pStyle w:val="NoSpacing"/>
        <w:spacing w:before="240"/>
      </w:pPr>
      <w:r>
        <w:fldChar w:fldCharType="begin"/>
      </w:r>
      <w:r>
        <w:instrText xml:space="preserve"> REF _Ref189048378 \h </w:instrText>
      </w:r>
      <w:r>
        <w:fldChar w:fldCharType="separate"/>
      </w:r>
      <w:r w:rsidR="00AA10F4">
        <w:t xml:space="preserve">Table </w:t>
      </w:r>
      <w:r w:rsidR="00AA10F4">
        <w:rPr>
          <w:noProof/>
        </w:rPr>
        <w:t>43</w:t>
      </w:r>
      <w:r>
        <w:fldChar w:fldCharType="end"/>
      </w:r>
      <w:r w:rsidR="00960F83">
        <w:t xml:space="preserve"> presents the ex ante, verified gross, and verified net electric demand savings achieved through the RCx Core channel in 2024.</w:t>
      </w:r>
    </w:p>
    <w:p w14:paraId="54A16543" w14:textId="54460062" w:rsidR="00960F83" w:rsidRDefault="00960F83" w:rsidP="00881B1B">
      <w:pPr>
        <w:pStyle w:val="Caption"/>
      </w:pPr>
      <w:bookmarkStart w:id="192" w:name="_Ref189048378"/>
      <w:bookmarkStart w:id="193" w:name="_Toc191992564"/>
      <w:bookmarkStart w:id="194" w:name="_Toc192766977"/>
      <w:r>
        <w:t xml:space="preserve">Table </w:t>
      </w:r>
      <w:r w:rsidR="009B4C9A">
        <w:fldChar w:fldCharType="begin"/>
      </w:r>
      <w:r w:rsidR="009B4C9A">
        <w:instrText xml:space="preserve"> SEQ Table \* ARABIC </w:instrText>
      </w:r>
      <w:r w:rsidR="009B4C9A">
        <w:fldChar w:fldCharType="separate"/>
      </w:r>
      <w:r w:rsidR="00AA10F4">
        <w:rPr>
          <w:noProof/>
        </w:rPr>
        <w:t>43</w:t>
      </w:r>
      <w:r w:rsidR="009B4C9A">
        <w:rPr>
          <w:noProof/>
        </w:rPr>
        <w:fldChar w:fldCharType="end"/>
      </w:r>
      <w:bookmarkEnd w:id="192"/>
      <w:r>
        <w:t>. 2024 RCx Core Channel Electric Demand Savings by Measure</w:t>
      </w:r>
      <w:bookmarkEnd w:id="193"/>
      <w:bookmarkEnd w:id="194"/>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1849"/>
        <w:gridCol w:w="1849"/>
        <w:gridCol w:w="1849"/>
        <w:gridCol w:w="1849"/>
        <w:gridCol w:w="1850"/>
        <w:gridCol w:w="1850"/>
      </w:tblGrid>
      <w:tr w:rsidR="00960F83" w14:paraId="6C16A935" w14:textId="77777777" w:rsidTr="00881B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4EB68D29" w14:textId="2579C845" w:rsidR="00960F83" w:rsidRDefault="00447552" w:rsidP="00D97405">
            <w:pPr>
              <w:pStyle w:val="TableHeadingLeft"/>
            </w:pPr>
            <w:r>
              <w:t>Project ID</w:t>
            </w:r>
          </w:p>
        </w:tc>
        <w:tc>
          <w:tcPr>
            <w:tcW w:w="1849" w:type="dxa"/>
            <w:tcBorders>
              <w:bottom w:val="none" w:sz="0" w:space="0" w:color="auto"/>
            </w:tcBorders>
          </w:tcPr>
          <w:p w14:paraId="4C524538"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  </w:t>
            </w:r>
          </w:p>
        </w:tc>
        <w:tc>
          <w:tcPr>
            <w:tcW w:w="1849" w:type="dxa"/>
            <w:tcBorders>
              <w:bottom w:val="none" w:sz="0" w:space="0" w:color="auto"/>
            </w:tcBorders>
          </w:tcPr>
          <w:p w14:paraId="0B3661B2"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49" w:type="dxa"/>
            <w:tcBorders>
              <w:bottom w:val="none" w:sz="0" w:space="0" w:color="auto"/>
            </w:tcBorders>
          </w:tcPr>
          <w:p w14:paraId="404E8FCE"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  </w:t>
            </w:r>
          </w:p>
        </w:tc>
        <w:tc>
          <w:tcPr>
            <w:tcW w:w="1850" w:type="dxa"/>
            <w:tcBorders>
              <w:bottom w:val="none" w:sz="0" w:space="0" w:color="auto"/>
            </w:tcBorders>
          </w:tcPr>
          <w:p w14:paraId="20EF96C6"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2277E19B" w14:textId="77777777" w:rsidR="00960F83" w:rsidRDefault="00960F83" w:rsidP="00D97405">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  </w:t>
            </w:r>
          </w:p>
        </w:tc>
      </w:tr>
      <w:tr w:rsidR="009C21BA" w14:paraId="6C230A28"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C665568" w14:textId="4DF9CB64" w:rsidR="009C21BA" w:rsidRDefault="009C21BA" w:rsidP="009C21BA">
            <w:pPr>
              <w:pStyle w:val="TableLeftText"/>
            </w:pPr>
            <w:r w:rsidRPr="001E34DF">
              <w:t>2300290</w:t>
            </w:r>
          </w:p>
        </w:tc>
        <w:tc>
          <w:tcPr>
            <w:tcW w:w="1849" w:type="dxa"/>
            <w:tcBorders>
              <w:top w:val="none" w:sz="0" w:space="0" w:color="auto"/>
              <w:left w:val="none" w:sz="0" w:space="0" w:color="auto"/>
              <w:bottom w:val="none" w:sz="0" w:space="0" w:color="auto"/>
              <w:right w:val="none" w:sz="0" w:space="0" w:color="auto"/>
            </w:tcBorders>
          </w:tcPr>
          <w:p w14:paraId="3CE75A10" w14:textId="6B669DE3" w:rsidR="009C21BA" w:rsidRPr="00EE3D49"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684894">
              <w:t>0.02</w:t>
            </w:r>
          </w:p>
        </w:tc>
        <w:tc>
          <w:tcPr>
            <w:tcW w:w="1849" w:type="dxa"/>
            <w:tcBorders>
              <w:top w:val="none" w:sz="0" w:space="0" w:color="auto"/>
              <w:left w:val="none" w:sz="0" w:space="0" w:color="auto"/>
              <w:bottom w:val="none" w:sz="0" w:space="0" w:color="auto"/>
              <w:right w:val="none" w:sz="0" w:space="0" w:color="auto"/>
            </w:tcBorders>
          </w:tcPr>
          <w:p w14:paraId="1276E524" w14:textId="67851435" w:rsidR="009C21BA" w:rsidRPr="00EE3D49" w:rsidRDefault="00480EB8" w:rsidP="007A5BA2">
            <w:pPr>
              <w:pStyle w:val="TableLeftText"/>
              <w:jc w:val="right"/>
              <w:cnfStyle w:val="000000100000" w:firstRow="0" w:lastRow="0" w:firstColumn="0" w:lastColumn="0" w:oddVBand="0" w:evenVBand="0" w:oddHBand="1" w:evenHBand="0" w:firstRowFirstColumn="0" w:firstRowLastColumn="0" w:lastRowFirstColumn="0" w:lastRowLastColumn="0"/>
            </w:pPr>
            <w:r>
              <w:t>87</w:t>
            </w:r>
            <w:r w:rsidR="009C21BA" w:rsidRPr="00684894">
              <w:t>%</w:t>
            </w:r>
          </w:p>
        </w:tc>
        <w:tc>
          <w:tcPr>
            <w:tcW w:w="1849" w:type="dxa"/>
            <w:tcBorders>
              <w:top w:val="none" w:sz="0" w:space="0" w:color="auto"/>
              <w:left w:val="none" w:sz="0" w:space="0" w:color="auto"/>
              <w:bottom w:val="none" w:sz="0" w:space="0" w:color="auto"/>
              <w:right w:val="none" w:sz="0" w:space="0" w:color="auto"/>
            </w:tcBorders>
          </w:tcPr>
          <w:p w14:paraId="76415AEF" w14:textId="052944B3" w:rsidR="009C21BA" w:rsidRPr="00EE3D49"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684894">
              <w:t>0.0</w:t>
            </w:r>
            <w:r w:rsidR="00480EB8">
              <w:t>2</w:t>
            </w:r>
          </w:p>
        </w:tc>
        <w:tc>
          <w:tcPr>
            <w:tcW w:w="1850" w:type="dxa"/>
            <w:tcBorders>
              <w:top w:val="none" w:sz="0" w:space="0" w:color="auto"/>
              <w:left w:val="none" w:sz="0" w:space="0" w:color="auto"/>
              <w:bottom w:val="none" w:sz="0" w:space="0" w:color="auto"/>
              <w:right w:val="none" w:sz="0" w:space="0" w:color="auto"/>
            </w:tcBorders>
          </w:tcPr>
          <w:p w14:paraId="444A8041" w14:textId="6316FFA9" w:rsidR="009C21BA" w:rsidRPr="00EE3D49"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684894">
              <w:t>0.945</w:t>
            </w:r>
          </w:p>
        </w:tc>
        <w:tc>
          <w:tcPr>
            <w:tcW w:w="1850" w:type="dxa"/>
            <w:tcBorders>
              <w:top w:val="none" w:sz="0" w:space="0" w:color="auto"/>
              <w:left w:val="none" w:sz="0" w:space="0" w:color="auto"/>
              <w:bottom w:val="none" w:sz="0" w:space="0" w:color="auto"/>
              <w:right w:val="none" w:sz="0" w:space="0" w:color="auto"/>
            </w:tcBorders>
          </w:tcPr>
          <w:p w14:paraId="79271A26" w14:textId="1DD43503" w:rsidR="009C21BA" w:rsidRPr="00EE3D49"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pPr>
            <w:r w:rsidRPr="00684894">
              <w:t>0.0</w:t>
            </w:r>
            <w:r w:rsidR="00480EB8">
              <w:t>2</w:t>
            </w:r>
          </w:p>
        </w:tc>
      </w:tr>
      <w:tr w:rsidR="009C21BA" w14:paraId="5EECFAB1" w14:textId="77777777" w:rsidTr="007A5BA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4AA1BD1B" w14:textId="14AC0A32" w:rsidR="009C21BA" w:rsidRDefault="009C21BA" w:rsidP="009C21BA">
            <w:pPr>
              <w:pStyle w:val="TableLeftText"/>
            </w:pPr>
            <w:r w:rsidRPr="001E34DF">
              <w:t>2200874</w:t>
            </w:r>
          </w:p>
        </w:tc>
        <w:tc>
          <w:tcPr>
            <w:tcW w:w="1849" w:type="dxa"/>
            <w:tcBorders>
              <w:top w:val="none" w:sz="0" w:space="0" w:color="auto"/>
              <w:left w:val="none" w:sz="0" w:space="0" w:color="auto"/>
              <w:bottom w:val="none" w:sz="0" w:space="0" w:color="auto"/>
              <w:right w:val="none" w:sz="0" w:space="0" w:color="auto"/>
            </w:tcBorders>
          </w:tcPr>
          <w:p w14:paraId="39E09DDC" w14:textId="64A4BC2F" w:rsidR="009C21BA" w:rsidRPr="00EE3D49"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684894">
              <w:t>0.03</w:t>
            </w:r>
          </w:p>
        </w:tc>
        <w:tc>
          <w:tcPr>
            <w:tcW w:w="1849" w:type="dxa"/>
            <w:tcBorders>
              <w:top w:val="none" w:sz="0" w:space="0" w:color="auto"/>
              <w:left w:val="none" w:sz="0" w:space="0" w:color="auto"/>
              <w:bottom w:val="none" w:sz="0" w:space="0" w:color="auto"/>
              <w:right w:val="none" w:sz="0" w:space="0" w:color="auto"/>
            </w:tcBorders>
          </w:tcPr>
          <w:p w14:paraId="7914CDB8" w14:textId="296CE104" w:rsidR="009C21BA" w:rsidRPr="00EE3D49" w:rsidRDefault="00480EB8" w:rsidP="007A5BA2">
            <w:pPr>
              <w:pStyle w:val="TableLeftText"/>
              <w:jc w:val="right"/>
              <w:cnfStyle w:val="000000010000" w:firstRow="0" w:lastRow="0" w:firstColumn="0" w:lastColumn="0" w:oddVBand="0" w:evenVBand="0" w:oddHBand="0" w:evenHBand="1" w:firstRowFirstColumn="0" w:firstRowLastColumn="0" w:lastRowFirstColumn="0" w:lastRowLastColumn="0"/>
            </w:pPr>
            <w:r>
              <w:t>74</w:t>
            </w:r>
            <w:r w:rsidR="009C21BA" w:rsidRPr="00684894">
              <w:t>%</w:t>
            </w:r>
          </w:p>
        </w:tc>
        <w:tc>
          <w:tcPr>
            <w:tcW w:w="1849" w:type="dxa"/>
            <w:tcBorders>
              <w:top w:val="none" w:sz="0" w:space="0" w:color="auto"/>
              <w:left w:val="none" w:sz="0" w:space="0" w:color="auto"/>
              <w:bottom w:val="none" w:sz="0" w:space="0" w:color="auto"/>
              <w:right w:val="none" w:sz="0" w:space="0" w:color="auto"/>
            </w:tcBorders>
          </w:tcPr>
          <w:p w14:paraId="2E251304" w14:textId="558DFC52" w:rsidR="009C21BA" w:rsidRPr="00EE3D49"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684894">
              <w:t>0.0</w:t>
            </w:r>
            <w:r w:rsidR="00480EB8">
              <w:t>2</w:t>
            </w:r>
          </w:p>
        </w:tc>
        <w:tc>
          <w:tcPr>
            <w:tcW w:w="1850" w:type="dxa"/>
            <w:tcBorders>
              <w:top w:val="none" w:sz="0" w:space="0" w:color="auto"/>
              <w:left w:val="none" w:sz="0" w:space="0" w:color="auto"/>
              <w:bottom w:val="none" w:sz="0" w:space="0" w:color="auto"/>
              <w:right w:val="none" w:sz="0" w:space="0" w:color="auto"/>
            </w:tcBorders>
          </w:tcPr>
          <w:p w14:paraId="5F574E01" w14:textId="4E23E60B" w:rsidR="009C21BA" w:rsidRPr="00EE3D49"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684894">
              <w:t>0.945</w:t>
            </w:r>
          </w:p>
        </w:tc>
        <w:tc>
          <w:tcPr>
            <w:tcW w:w="1850" w:type="dxa"/>
            <w:tcBorders>
              <w:top w:val="none" w:sz="0" w:space="0" w:color="auto"/>
              <w:left w:val="none" w:sz="0" w:space="0" w:color="auto"/>
              <w:bottom w:val="none" w:sz="0" w:space="0" w:color="auto"/>
              <w:right w:val="none" w:sz="0" w:space="0" w:color="auto"/>
            </w:tcBorders>
          </w:tcPr>
          <w:p w14:paraId="33585621" w14:textId="03CA9D2C" w:rsidR="009C21BA" w:rsidRPr="00EE3D49" w:rsidRDefault="009C21BA" w:rsidP="007A5BA2">
            <w:pPr>
              <w:pStyle w:val="TableLeftText"/>
              <w:jc w:val="right"/>
              <w:cnfStyle w:val="000000010000" w:firstRow="0" w:lastRow="0" w:firstColumn="0" w:lastColumn="0" w:oddVBand="0" w:evenVBand="0" w:oddHBand="0" w:evenHBand="1" w:firstRowFirstColumn="0" w:firstRowLastColumn="0" w:lastRowFirstColumn="0" w:lastRowLastColumn="0"/>
            </w:pPr>
            <w:r w:rsidRPr="00684894">
              <w:t>0.0</w:t>
            </w:r>
            <w:r w:rsidR="00480EB8">
              <w:t>2</w:t>
            </w:r>
          </w:p>
        </w:tc>
      </w:tr>
      <w:tr w:rsidR="009C21BA" w14:paraId="6D0BF554" w14:textId="77777777" w:rsidTr="007A5B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445A35D0" w14:textId="77777777" w:rsidR="009C21BA" w:rsidRPr="00881B1B" w:rsidRDefault="009C21BA" w:rsidP="009C21BA">
            <w:pPr>
              <w:pStyle w:val="TableLeftText"/>
              <w:rPr>
                <w:rFonts w:ascii="Franklin Gothic Medium" w:hAnsi="Franklin Gothic Medium"/>
              </w:rPr>
            </w:pPr>
            <w:r w:rsidRPr="00881B1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53CF3A6A" w14:textId="06FEA7E1"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0.05</w:t>
            </w:r>
          </w:p>
        </w:tc>
        <w:tc>
          <w:tcPr>
            <w:tcW w:w="1849" w:type="dxa"/>
            <w:tcBorders>
              <w:top w:val="none" w:sz="0" w:space="0" w:color="auto"/>
              <w:left w:val="none" w:sz="0" w:space="0" w:color="auto"/>
              <w:bottom w:val="none" w:sz="0" w:space="0" w:color="auto"/>
              <w:right w:val="none" w:sz="0" w:space="0" w:color="auto"/>
            </w:tcBorders>
          </w:tcPr>
          <w:p w14:paraId="5000C3C8" w14:textId="7F737E6E" w:rsidR="009C21BA" w:rsidRPr="00881B1B" w:rsidRDefault="00480EB8"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79</w:t>
            </w:r>
            <w:r w:rsidR="009C21BA" w:rsidRPr="00881B1B">
              <w:rPr>
                <w:rFonts w:ascii="Franklin Gothic Medium" w:hAnsi="Franklin Gothic Medium"/>
              </w:rPr>
              <w:t>%</w:t>
            </w:r>
          </w:p>
        </w:tc>
        <w:tc>
          <w:tcPr>
            <w:tcW w:w="1849" w:type="dxa"/>
            <w:tcBorders>
              <w:top w:val="none" w:sz="0" w:space="0" w:color="auto"/>
              <w:left w:val="none" w:sz="0" w:space="0" w:color="auto"/>
              <w:bottom w:val="none" w:sz="0" w:space="0" w:color="auto"/>
              <w:right w:val="none" w:sz="0" w:space="0" w:color="auto"/>
            </w:tcBorders>
          </w:tcPr>
          <w:p w14:paraId="4863B03D" w14:textId="331098E0"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0.0</w:t>
            </w:r>
            <w:r w:rsidR="00480EB8" w:rsidRPr="00881B1B">
              <w:rPr>
                <w:rFonts w:ascii="Franklin Gothic Medium" w:hAnsi="Franklin Gothic Medium"/>
              </w:rPr>
              <w:t>4</w:t>
            </w:r>
          </w:p>
        </w:tc>
        <w:tc>
          <w:tcPr>
            <w:tcW w:w="1850" w:type="dxa"/>
            <w:tcBorders>
              <w:top w:val="none" w:sz="0" w:space="0" w:color="auto"/>
              <w:left w:val="none" w:sz="0" w:space="0" w:color="auto"/>
              <w:bottom w:val="none" w:sz="0" w:space="0" w:color="auto"/>
              <w:right w:val="none" w:sz="0" w:space="0" w:color="auto"/>
            </w:tcBorders>
          </w:tcPr>
          <w:p w14:paraId="336CF32C" w14:textId="1949FE47" w:rsidR="009C21BA" w:rsidRPr="00881B1B" w:rsidRDefault="00C22186"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0.945</w:t>
            </w:r>
          </w:p>
        </w:tc>
        <w:tc>
          <w:tcPr>
            <w:tcW w:w="1850" w:type="dxa"/>
            <w:tcBorders>
              <w:top w:val="none" w:sz="0" w:space="0" w:color="auto"/>
              <w:left w:val="none" w:sz="0" w:space="0" w:color="auto"/>
              <w:bottom w:val="none" w:sz="0" w:space="0" w:color="auto"/>
              <w:right w:val="none" w:sz="0" w:space="0" w:color="auto"/>
            </w:tcBorders>
          </w:tcPr>
          <w:p w14:paraId="75B99EBF" w14:textId="003E502F" w:rsidR="009C21BA" w:rsidRPr="00881B1B" w:rsidRDefault="009C21BA" w:rsidP="007A5BA2">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881B1B">
              <w:rPr>
                <w:rFonts w:ascii="Franklin Gothic Medium" w:hAnsi="Franklin Gothic Medium"/>
              </w:rPr>
              <w:t>0.0</w:t>
            </w:r>
            <w:r w:rsidR="00480EB8" w:rsidRPr="00881B1B">
              <w:rPr>
                <w:rFonts w:ascii="Franklin Gothic Medium" w:hAnsi="Franklin Gothic Medium"/>
              </w:rPr>
              <w:t>4</w:t>
            </w:r>
          </w:p>
        </w:tc>
      </w:tr>
    </w:tbl>
    <w:p w14:paraId="7123292E" w14:textId="0D0ACB39" w:rsidR="00960F83" w:rsidRDefault="00960F83" w:rsidP="00960F83">
      <w:pPr>
        <w:spacing w:before="240"/>
      </w:pPr>
      <w:r>
        <w:t xml:space="preserve">We discuss </w:t>
      </w:r>
      <w:r w:rsidR="00292BA3">
        <w:t xml:space="preserve">significant </w:t>
      </w:r>
      <w:r>
        <w:t>discrepancies between ex ante claims and the verified analysis below.</w:t>
      </w:r>
    </w:p>
    <w:p w14:paraId="5E19AECA" w14:textId="004520F2" w:rsidR="006F1233" w:rsidRDefault="006F1233" w:rsidP="006F1233">
      <w:pPr>
        <w:pStyle w:val="ListBullet"/>
      </w:pPr>
      <w:r w:rsidRPr="006F1233">
        <w:rPr>
          <w:b/>
          <w:bCs/>
        </w:rPr>
        <w:t>Project 2300290</w:t>
      </w:r>
      <w:r>
        <w:t xml:space="preserve"> (35% of ex ante electric energy and 36% of ex ante demand savings): The gross realization rates for project 2300290 are 104% for electric energy savings and </w:t>
      </w:r>
      <w:r w:rsidR="00480EB8">
        <w:t>87</w:t>
      </w:r>
      <w:r>
        <w:t>% for demand savings.</w:t>
      </w:r>
    </w:p>
    <w:p w14:paraId="1A536F26" w14:textId="193F4C69" w:rsidR="006F1233" w:rsidRDefault="006F1233" w:rsidP="006F1233">
      <w:pPr>
        <w:pStyle w:val="ListBullet2"/>
      </w:pPr>
      <w:r>
        <w:t>The evaluation team adjusted the maximum fan speeds to 92.2% for all evaporators in the verified savings calculations based on observations during the on</w:t>
      </w:r>
      <w:r w:rsidR="00292BA3">
        <w:t>-</w:t>
      </w:r>
      <w:r>
        <w:t>site visit. This adjustment increased verified electric energy savings. It also affected the savings estimates for the VFD settings on the evaporator fans. While setting the baseline fan speed to 92.2% in the verified calculations led to a decrease in verified electric energy savings for that specific adjustment, the overall impact of all changes resulted in increased verified electric energy savings.</w:t>
      </w:r>
    </w:p>
    <w:p w14:paraId="44DFA9CC" w14:textId="77777777" w:rsidR="006F1233" w:rsidRDefault="006F1233" w:rsidP="006F1233">
      <w:pPr>
        <w:pStyle w:val="ListBullet"/>
      </w:pPr>
      <w:r w:rsidRPr="006F1233">
        <w:rPr>
          <w:b/>
          <w:bCs/>
        </w:rPr>
        <w:t>Project</w:t>
      </w:r>
      <w:r>
        <w:t xml:space="preserve"> </w:t>
      </w:r>
      <w:r w:rsidRPr="006F1233">
        <w:rPr>
          <w:b/>
          <w:bCs/>
        </w:rPr>
        <w:t>2000017</w:t>
      </w:r>
      <w:r>
        <w:t xml:space="preserve"> (24% of ex ante electric energy savings): The gross realization rate for project 2000017 is 92% for electric energy savings.</w:t>
      </w:r>
    </w:p>
    <w:p w14:paraId="5381D3DF" w14:textId="6BF1D40F" w:rsidR="006F1233" w:rsidRDefault="006F1233" w:rsidP="006F1233">
      <w:pPr>
        <w:pStyle w:val="ListBullet2"/>
      </w:pPr>
      <w:r>
        <w:t xml:space="preserve">The evaluation team updated the schedules for the </w:t>
      </w:r>
      <w:r w:rsidR="00292BA3">
        <w:t>rooftop units (</w:t>
      </w:r>
      <w:r>
        <w:t>RTUs</w:t>
      </w:r>
      <w:r w:rsidR="00292BA3">
        <w:t>)</w:t>
      </w:r>
      <w:r>
        <w:t xml:space="preserve"> based on findings during the desk review </w:t>
      </w:r>
      <w:r w:rsidR="0028512B">
        <w:t xml:space="preserve">and </w:t>
      </w:r>
      <w:r>
        <w:t>on</w:t>
      </w:r>
      <w:r w:rsidR="00292BA3">
        <w:t>-</w:t>
      </w:r>
      <w:r>
        <w:t xml:space="preserve">site visit, resulting in increased verified electric energy savings. </w:t>
      </w:r>
    </w:p>
    <w:p w14:paraId="36A9E6E8" w14:textId="5CE1CE16" w:rsidR="006F1233" w:rsidRDefault="006F1233" w:rsidP="006F1233">
      <w:pPr>
        <w:pStyle w:val="ListBullet2"/>
      </w:pPr>
      <w:r>
        <w:t>The scheduling revisions mentioned above impacted the savings estimate</w:t>
      </w:r>
      <w:r w:rsidR="0028512B">
        <w:t>s</w:t>
      </w:r>
      <w:r>
        <w:t xml:space="preserve"> associated with the discharge air temperature reset programming implemented as part of the project, resulting in lower verified electric energy savings.</w:t>
      </w:r>
    </w:p>
    <w:p w14:paraId="2F0C2467" w14:textId="5DB7BA92" w:rsidR="006F1233" w:rsidRDefault="006F1233" w:rsidP="006F1233">
      <w:pPr>
        <w:pStyle w:val="ListBullet2"/>
      </w:pPr>
      <w:r>
        <w:t>The evaluation team eliminated savings associated with static pressure resets programmed for two RTUs based on observations during the on</w:t>
      </w:r>
      <w:r w:rsidR="00292BA3">
        <w:t>-</w:t>
      </w:r>
      <w:r>
        <w:t xml:space="preserve">site visit, resulting in lower verified electric energy savings. </w:t>
      </w:r>
    </w:p>
    <w:p w14:paraId="7FDD6040" w14:textId="7A690E37" w:rsidR="006F1233" w:rsidRDefault="006F1233" w:rsidP="006F1233">
      <w:pPr>
        <w:pStyle w:val="ListBullet2"/>
      </w:pPr>
      <w:r>
        <w:t xml:space="preserve">The evaluation team revised the economizer set points in the verified savings calculations based on </w:t>
      </w:r>
      <w:r w:rsidR="00292BA3">
        <w:t>the desk review and on-site visit findings</w:t>
      </w:r>
      <w:r>
        <w:t xml:space="preserve">, resulting in lower verified electric energy savings. </w:t>
      </w:r>
    </w:p>
    <w:p w14:paraId="6AC27979" w14:textId="1CCB77F5" w:rsidR="006F1233" w:rsidRDefault="006F1233" w:rsidP="006F1233">
      <w:pPr>
        <w:pStyle w:val="ListBullet"/>
      </w:pPr>
      <w:r w:rsidRPr="006F1233">
        <w:rPr>
          <w:b/>
          <w:bCs/>
        </w:rPr>
        <w:t>Project 2200874</w:t>
      </w:r>
      <w:r>
        <w:t xml:space="preserve"> (16% of ex ante electric energy and 64% of ex ante demand savings): The gross realization rates for project 2200874 are </w:t>
      </w:r>
      <w:r w:rsidR="003A71F0">
        <w:t>10</w:t>
      </w:r>
      <w:r>
        <w:t xml:space="preserve">0% for electric energy savings and </w:t>
      </w:r>
      <w:r w:rsidR="00480EB8">
        <w:t>74</w:t>
      </w:r>
      <w:r>
        <w:t>% for demand savings.</w:t>
      </w:r>
    </w:p>
    <w:p w14:paraId="43165DBF" w14:textId="11C6BD93" w:rsidR="00960F83" w:rsidRPr="00960F83" w:rsidRDefault="008C0411" w:rsidP="006F1233">
      <w:pPr>
        <w:pStyle w:val="ListBullet2"/>
      </w:pPr>
      <w:r>
        <w:t>T</w:t>
      </w:r>
      <w:r w:rsidR="006F1233">
        <w:t xml:space="preserve">he evaluation team determined that </w:t>
      </w:r>
      <w:r>
        <w:t>two</w:t>
      </w:r>
      <w:r w:rsidR="006F1233">
        <w:t xml:space="preserve"> of the implemented measures </w:t>
      </w:r>
      <w:r>
        <w:t>did not impact</w:t>
      </w:r>
      <w:r w:rsidR="006F1233">
        <w:t xml:space="preserve"> energy usage during the peak hours </w:t>
      </w:r>
      <w:r w:rsidR="00292BA3">
        <w:t xml:space="preserve">defined in the IL-TRM </w:t>
      </w:r>
      <w:r w:rsidR="006F1233">
        <w:t>and</w:t>
      </w:r>
      <w:r>
        <w:t>,</w:t>
      </w:r>
      <w:r w:rsidR="006F1233">
        <w:t xml:space="preserve"> therefore</w:t>
      </w:r>
      <w:r>
        <w:t>,</w:t>
      </w:r>
      <w:r w:rsidR="006F1233">
        <w:t xml:space="preserve"> did not calculate verified demand savings</w:t>
      </w:r>
      <w:r>
        <w:t xml:space="preserve"> for these measures</w:t>
      </w:r>
      <w:r w:rsidR="00960F83" w:rsidRPr="009A6175">
        <w:t>.</w:t>
      </w:r>
    </w:p>
    <w:p w14:paraId="0791FAAE" w14:textId="6D309B1D" w:rsidR="00637A7B" w:rsidRDefault="00637A7B" w:rsidP="00F33E55">
      <w:pPr>
        <w:pStyle w:val="Heading3"/>
        <w:tabs>
          <w:tab w:val="clear" w:pos="2160"/>
          <w:tab w:val="num" w:pos="1080"/>
        </w:tabs>
        <w:ind w:left="0"/>
      </w:pPr>
      <w:bookmarkStart w:id="195" w:name="_Ref188530623"/>
      <w:bookmarkStart w:id="196" w:name="_Toc191992430"/>
      <w:r>
        <w:lastRenderedPageBreak/>
        <w:t>Virtual</w:t>
      </w:r>
      <w:r w:rsidR="00E644D5">
        <w:t xml:space="preserve"> </w:t>
      </w:r>
      <w:r>
        <w:t>Commissioning Channel</w:t>
      </w:r>
      <w:bookmarkEnd w:id="195"/>
      <w:bookmarkEnd w:id="196"/>
    </w:p>
    <w:p w14:paraId="53E7B9CF" w14:textId="77831862" w:rsidR="001A45D4" w:rsidRPr="001A45D4" w:rsidRDefault="001A45D4" w:rsidP="001A45D4">
      <w:r>
        <w:t xml:space="preserve">The following sections present the impact evaluation results for the 2024 VCx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4CE1ED44" w14:textId="03FA6558" w:rsidR="00637A7B" w:rsidRDefault="00637A7B" w:rsidP="00637A7B">
      <w:pPr>
        <w:pStyle w:val="Heading4"/>
      </w:pPr>
      <w:r>
        <w:t>Channel Description</w:t>
      </w:r>
    </w:p>
    <w:p w14:paraId="5D9298BB" w14:textId="50A17407" w:rsidR="00C83112" w:rsidRDefault="00227DD5" w:rsidP="00C83112">
      <w:r>
        <w:t>Virtual Commissioning is an approach that remotely targets the traditionally hard-to-reach customer segment of small and medium business</w:t>
      </w:r>
      <w:r w:rsidR="001B035A">
        <w:t xml:space="preserve"> (SMB)</w:t>
      </w:r>
      <w:r>
        <w:t xml:space="preserve"> customers</w:t>
      </w:r>
      <w:r w:rsidR="001B035A">
        <w:t>, as well as public sector customers,</w:t>
      </w:r>
      <w:r>
        <w:t xml:space="preserve"> to support low- and no-cost energy-saving measur</w:t>
      </w:r>
      <w:r w:rsidR="000C10BF">
        <w:t>e</w:t>
      </w:r>
      <w:r>
        <w:t xml:space="preserve">s. The VCx approach leverages Advanced Metering Infrastructure (AMI) data to support targeted insights for </w:t>
      </w:r>
      <w:r w:rsidR="001B035A">
        <w:t>these</w:t>
      </w:r>
      <w:r>
        <w:t xml:space="preserve"> customers through the design, implementation, and evaluation phases of the channel. </w:t>
      </w:r>
    </w:p>
    <w:p w14:paraId="628E645A" w14:textId="28B400E8" w:rsidR="00227DD5" w:rsidRDefault="001B035A" w:rsidP="00227DD5">
      <w:r>
        <w:t>The implementation team</w:t>
      </w:r>
      <w:r w:rsidR="00227DD5">
        <w:t xml:space="preserve"> uses </w:t>
      </w:r>
      <w:r w:rsidR="001056E0">
        <w:t>internal</w:t>
      </w:r>
      <w:r w:rsidR="00227DD5">
        <w:t xml:space="preserve"> software to complete an initial analysis of AMI data </w:t>
      </w:r>
      <w:r w:rsidR="001056E0">
        <w:t>for</w:t>
      </w:r>
      <w:r w:rsidR="00227DD5">
        <w:t xml:space="preserve"> AIC’s </w:t>
      </w:r>
      <w:r>
        <w:t>SMB and</w:t>
      </w:r>
      <w:r w:rsidR="001056E0">
        <w:t xml:space="preserve"> </w:t>
      </w:r>
      <w:r w:rsidR="008D2B6A">
        <w:t xml:space="preserve">public sector </w:t>
      </w:r>
      <w:r>
        <w:t>customers</w:t>
      </w:r>
      <w:r w:rsidR="00227DD5">
        <w:t xml:space="preserve"> to identify prospective participants. </w:t>
      </w:r>
      <w:r>
        <w:t>They</w:t>
      </w:r>
      <w:r w:rsidR="00227DD5">
        <w:t xml:space="preserve"> then use the outcomes of this analysis to</w:t>
      </w:r>
      <w:r w:rsidR="00292BA3">
        <w:t xml:space="preserve"> </w:t>
      </w:r>
      <w:r w:rsidR="00227DD5">
        <w:t>identify opportunities for low- and no-cost energy-saving improvements at prospective participants’ facilities</w:t>
      </w:r>
      <w:r w:rsidR="00292BA3">
        <w:t xml:space="preserve"> remotely</w:t>
      </w:r>
      <w:r w:rsidR="00227DD5">
        <w:t xml:space="preserve">. These opportunities commonly include </w:t>
      </w:r>
      <w:r w:rsidR="00292BA3">
        <w:t xml:space="preserve">modifications to HVAC system settings </w:t>
      </w:r>
      <w:r w:rsidR="00227DD5">
        <w:t xml:space="preserve">and lighting scheduling adjustments. </w:t>
      </w:r>
    </w:p>
    <w:p w14:paraId="42C575A7" w14:textId="391D6441" w:rsidR="00227DD5" w:rsidRDefault="001B035A" w:rsidP="00227DD5">
      <w:r>
        <w:t>E</w:t>
      </w:r>
      <w:r w:rsidR="00227DD5">
        <w:t xml:space="preserve">nergy advisors </w:t>
      </w:r>
      <w:r>
        <w:t xml:space="preserve">from the implementation team </w:t>
      </w:r>
      <w:r w:rsidR="00227DD5">
        <w:t xml:space="preserve">then contact potential participants to share the </w:t>
      </w:r>
      <w:r w:rsidR="00292BA3">
        <w:t>analysis results</w:t>
      </w:r>
      <w:r w:rsidR="00227DD5">
        <w:t xml:space="preserve">, confirm the energy-saving opportunities, and verify facility characteristics. After participants implement the recommended changes, </w:t>
      </w:r>
      <w:r>
        <w:t>the implementation team</w:t>
      </w:r>
      <w:r w:rsidR="00227DD5">
        <w:t xml:space="preserve"> develops individual facility-level regression models using the participants’ pre- and post-participation energy consumption to estimate savings. The models must meet certain criteria for robustness </w:t>
      </w:r>
      <w:r w:rsidR="00292BA3">
        <w:t>for</w:t>
      </w:r>
      <w:r w:rsidR="00227DD5">
        <w:t xml:space="preserve"> savings to be claimed.</w:t>
      </w:r>
      <w:r w:rsidR="00227DD5">
        <w:rPr>
          <w:rStyle w:val="FootnoteReference"/>
        </w:rPr>
        <w:footnoteReference w:id="28"/>
      </w:r>
    </w:p>
    <w:p w14:paraId="741A3534" w14:textId="6F1A940A" w:rsidR="00C83112" w:rsidRDefault="00637A7B" w:rsidP="00C83112">
      <w:pPr>
        <w:pStyle w:val="Heading4"/>
      </w:pPr>
      <w:bookmarkStart w:id="197" w:name="_Hlk187065244"/>
      <w:r>
        <w:t>Participation Summary</w:t>
      </w:r>
    </w:p>
    <w:p w14:paraId="1E1B4B2A" w14:textId="03BB112F" w:rsidR="00E00491" w:rsidRDefault="00E00491" w:rsidP="00E00491">
      <w:r>
        <w:t>The V</w:t>
      </w:r>
      <w:r w:rsidR="00A6401A">
        <w:t>C</w:t>
      </w:r>
      <w:r>
        <w:t xml:space="preserve">x channel served </w:t>
      </w:r>
      <w:r w:rsidR="00C140A0">
        <w:t xml:space="preserve">20 </w:t>
      </w:r>
      <w:r>
        <w:t xml:space="preserve">participants (i.e., unique sites) across </w:t>
      </w:r>
      <w:r w:rsidR="00060FF5">
        <w:t xml:space="preserve">14 </w:t>
      </w:r>
      <w:r>
        <w:t>unique organizations in 2024.</w:t>
      </w:r>
      <w:r w:rsidR="007B7779">
        <w:rPr>
          <w:rStyle w:val="FootnoteReference"/>
        </w:rPr>
        <w:footnoteReference w:id="29"/>
      </w:r>
      <w:r>
        <w:t xml:space="preserve"> </w:t>
      </w:r>
      <w:r w:rsidR="008D2B6A" w:rsidRPr="008D2B6A">
        <w:t xml:space="preserve">This represents a </w:t>
      </w:r>
      <w:r w:rsidR="001056E0">
        <w:t xml:space="preserve">35% </w:t>
      </w:r>
      <w:r w:rsidR="008D2B6A" w:rsidRPr="008D2B6A">
        <w:t xml:space="preserve">decrease in participating sites compared to 2023; however, we did not find a commensurate decrease in verified electric energy savings. VCx participants commonly adjusted their lighting system scheduling, HVAC system setpoints, </w:t>
      </w:r>
      <w:r w:rsidR="001056E0">
        <w:t xml:space="preserve">and </w:t>
      </w:r>
      <w:r w:rsidR="008D2B6A" w:rsidRPr="008D2B6A">
        <w:t xml:space="preserve">HVAC </w:t>
      </w:r>
      <w:r w:rsidR="001056E0">
        <w:t>e</w:t>
      </w:r>
      <w:r w:rsidR="008D2B6A" w:rsidRPr="008D2B6A">
        <w:t>quipment and/or HVAC system scheduling</w:t>
      </w:r>
      <w:r>
        <w:t xml:space="preserve">. In 2024, the most common facility types served through the VCx channel were </w:t>
      </w:r>
      <w:r w:rsidR="00861813">
        <w:t>education</w:t>
      </w:r>
      <w:r>
        <w:t xml:space="preserve"> and </w:t>
      </w:r>
      <w:r w:rsidR="00861813">
        <w:t>retail</w:t>
      </w:r>
      <w:r>
        <w:t xml:space="preserve"> (</w:t>
      </w:r>
      <w:r w:rsidR="00861813">
        <w:fldChar w:fldCharType="begin"/>
      </w:r>
      <w:r w:rsidR="00861813">
        <w:instrText xml:space="preserve"> REF _Ref190422434 \h </w:instrText>
      </w:r>
      <w:r w:rsidR="00861813">
        <w:fldChar w:fldCharType="separate"/>
      </w:r>
      <w:r w:rsidR="00AA10F4">
        <w:t xml:space="preserve">Figure </w:t>
      </w:r>
      <w:r w:rsidR="00AA10F4">
        <w:rPr>
          <w:noProof/>
        </w:rPr>
        <w:t>2</w:t>
      </w:r>
      <w:r w:rsidR="00861813">
        <w:fldChar w:fldCharType="end"/>
      </w:r>
      <w:r>
        <w:t>).</w:t>
      </w:r>
    </w:p>
    <w:p w14:paraId="6D3A58C8" w14:textId="2011C207" w:rsidR="00332B7E" w:rsidRDefault="00332B7E" w:rsidP="00881B1B">
      <w:pPr>
        <w:pStyle w:val="Caption"/>
      </w:pPr>
      <w:bookmarkStart w:id="198" w:name="_Ref190422434"/>
      <w:bookmarkStart w:id="199" w:name="_Toc191992648"/>
      <w:bookmarkStart w:id="200" w:name="_Toc192767064"/>
      <w:r>
        <w:lastRenderedPageBreak/>
        <w:t xml:space="preserve">Figure </w:t>
      </w:r>
      <w:r>
        <w:fldChar w:fldCharType="begin"/>
      </w:r>
      <w:r>
        <w:instrText xml:space="preserve"> SEQ Figure \* ARABIC </w:instrText>
      </w:r>
      <w:r>
        <w:fldChar w:fldCharType="separate"/>
      </w:r>
      <w:r w:rsidR="00AA10F4">
        <w:rPr>
          <w:noProof/>
        </w:rPr>
        <w:t>2</w:t>
      </w:r>
      <w:r>
        <w:fldChar w:fldCharType="end"/>
      </w:r>
      <w:bookmarkEnd w:id="198"/>
      <w:r>
        <w:t>. 2024 Virtual Commissioning Participation by Facility Type</w:t>
      </w:r>
      <w:bookmarkEnd w:id="199"/>
      <w:bookmarkEnd w:id="200"/>
    </w:p>
    <w:p w14:paraId="31436469" w14:textId="71D2621B" w:rsidR="00332B7E" w:rsidRDefault="0068148B" w:rsidP="0068148B">
      <w:pPr>
        <w:jc w:val="center"/>
      </w:pPr>
      <w:r>
        <w:rPr>
          <w:noProof/>
        </w:rPr>
        <w:drawing>
          <wp:inline distT="0" distB="0" distL="0" distR="0" wp14:anchorId="5CF61925" wp14:editId="603B00BF">
            <wp:extent cx="5308804" cy="2781300"/>
            <wp:effectExtent l="0" t="0" r="0" b="0"/>
            <wp:docPr id="10045112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18121" cy="2786181"/>
                    </a:xfrm>
                    <a:prstGeom prst="rect">
                      <a:avLst/>
                    </a:prstGeom>
                    <a:noFill/>
                  </pic:spPr>
                </pic:pic>
              </a:graphicData>
            </a:graphic>
          </wp:inline>
        </w:drawing>
      </w:r>
    </w:p>
    <w:p w14:paraId="2084808E" w14:textId="19A03A54" w:rsidR="00637A7B" w:rsidRDefault="00637A7B" w:rsidP="00637A7B">
      <w:pPr>
        <w:pStyle w:val="Heading4"/>
      </w:pPr>
      <w:r>
        <w:t>Savings Detail</w:t>
      </w:r>
      <w:bookmarkEnd w:id="197"/>
    </w:p>
    <w:p w14:paraId="03BD8232" w14:textId="4EA420D4" w:rsidR="008D2B6A" w:rsidRPr="008D2B6A" w:rsidRDefault="006953B1" w:rsidP="008D2B6A">
      <w:pPr>
        <w:rPr>
          <w:rStyle w:val="SubtleEmphasis"/>
          <w:b w:val="0"/>
          <w:bCs/>
        </w:rPr>
      </w:pPr>
      <w:r>
        <w:rPr>
          <w:rStyle w:val="SubtleEmphasis"/>
          <w:b w:val="0"/>
          <w:bCs/>
        </w:rPr>
        <w:fldChar w:fldCharType="begin"/>
      </w:r>
      <w:r>
        <w:rPr>
          <w:rStyle w:val="SubtleEmphasis"/>
          <w:b w:val="0"/>
          <w:bCs/>
        </w:rPr>
        <w:instrText xml:space="preserve"> REF _Ref187316568 \h </w:instrText>
      </w:r>
      <w:r>
        <w:rPr>
          <w:rStyle w:val="SubtleEmphasis"/>
          <w:b w:val="0"/>
          <w:bCs/>
        </w:rPr>
      </w:r>
      <w:r>
        <w:rPr>
          <w:rStyle w:val="SubtleEmphasis"/>
          <w:b w:val="0"/>
          <w:bCs/>
        </w:rPr>
        <w:fldChar w:fldCharType="separate"/>
      </w:r>
      <w:r w:rsidR="00AA10F4">
        <w:t xml:space="preserve">Table </w:t>
      </w:r>
      <w:r w:rsidR="00AA10F4">
        <w:rPr>
          <w:noProof/>
        </w:rPr>
        <w:t>44</w:t>
      </w:r>
      <w:r>
        <w:rPr>
          <w:rStyle w:val="SubtleEmphasis"/>
          <w:b w:val="0"/>
          <w:bCs/>
        </w:rPr>
        <w:fldChar w:fldCharType="end"/>
      </w:r>
      <w:r>
        <w:rPr>
          <w:rStyle w:val="SubtleEmphasis"/>
          <w:b w:val="0"/>
          <w:bCs/>
        </w:rPr>
        <w:t xml:space="preserve"> </w:t>
      </w:r>
      <w:r w:rsidR="008D2B6A" w:rsidRPr="008D2B6A">
        <w:rPr>
          <w:rStyle w:val="SubtleEmphasis"/>
          <w:b w:val="0"/>
          <w:bCs/>
        </w:rPr>
        <w:t>presents the ex ante, verified gross, and verified net electric energy savings achieved through the VCx channel in 2024. The 2024 VCx channel achieved 4,642 MWh in verified net electric energy savings after adjusting for cross-participation and free ridership</w:t>
      </w:r>
      <w:r w:rsidR="001056E0">
        <w:rPr>
          <w:rStyle w:val="SubtleEmphasis"/>
          <w:b w:val="0"/>
          <w:bCs/>
        </w:rPr>
        <w:t>.</w:t>
      </w:r>
      <w:r w:rsidR="008D2B6A" w:rsidRPr="008D2B6A">
        <w:rPr>
          <w:rStyle w:val="SubtleEmphasis"/>
          <w:b w:val="0"/>
          <w:bCs/>
        </w:rPr>
        <w:t xml:space="preserve"> </w:t>
      </w:r>
      <w:r w:rsidR="00292BA3">
        <w:rPr>
          <w:rStyle w:val="SubtleEmphasis"/>
          <w:b w:val="0"/>
          <w:bCs/>
        </w:rPr>
        <w:t xml:space="preserve">When comparing the implementation and evaluation teams’ estimated savings, the gross realization rate </w:t>
      </w:r>
      <w:r w:rsidR="008D2B6A" w:rsidRPr="008D2B6A">
        <w:rPr>
          <w:rStyle w:val="SubtleEmphasis"/>
          <w:b w:val="0"/>
          <w:bCs/>
        </w:rPr>
        <w:t xml:space="preserve">was 108%. AIC did not claim demand savings or gas savings from VCx in 2024. Savings are </w:t>
      </w:r>
      <w:r w:rsidR="00292BA3">
        <w:rPr>
          <w:rStyle w:val="SubtleEmphasis"/>
          <w:b w:val="0"/>
          <w:bCs/>
        </w:rPr>
        <w:t>only presented at the channel level</w:t>
      </w:r>
      <w:r w:rsidR="001056E0">
        <w:rPr>
          <w:rStyle w:val="SubtleEmphasis"/>
          <w:b w:val="0"/>
          <w:bCs/>
        </w:rPr>
        <w:t>,</w:t>
      </w:r>
      <w:r w:rsidR="008D2B6A" w:rsidRPr="008D2B6A">
        <w:rPr>
          <w:rStyle w:val="SubtleEmphasis"/>
          <w:b w:val="0"/>
          <w:bCs/>
        </w:rPr>
        <w:t xml:space="preserve"> as </w:t>
      </w:r>
      <w:r w:rsidR="00292BA3">
        <w:rPr>
          <w:rStyle w:val="SubtleEmphasis"/>
          <w:b w:val="0"/>
          <w:bCs/>
        </w:rPr>
        <w:t>VCx</w:t>
      </w:r>
      <w:r w:rsidR="008D2B6A" w:rsidRPr="008D2B6A">
        <w:rPr>
          <w:rStyle w:val="SubtleEmphasis"/>
          <w:b w:val="0"/>
          <w:bCs/>
        </w:rPr>
        <w:t xml:space="preserve"> is a single-measure channel. </w:t>
      </w:r>
    </w:p>
    <w:p w14:paraId="4087F290" w14:textId="3F4D5337" w:rsidR="006953B1" w:rsidRDefault="006953B1" w:rsidP="00176989">
      <w:pPr>
        <w:jc w:val="center"/>
      </w:pPr>
      <w:bookmarkStart w:id="201" w:name="_Ref187316568"/>
      <w:bookmarkStart w:id="202" w:name="_Toc191992565"/>
      <w:bookmarkStart w:id="203" w:name="_Toc192766978"/>
      <w:r>
        <w:t xml:space="preserve">Table </w:t>
      </w:r>
      <w:r w:rsidR="009B4C9A">
        <w:fldChar w:fldCharType="begin"/>
      </w:r>
      <w:r w:rsidR="009B4C9A">
        <w:instrText xml:space="preserve"> SEQ Table \* ARABIC </w:instrText>
      </w:r>
      <w:r w:rsidR="009B4C9A">
        <w:fldChar w:fldCharType="separate"/>
      </w:r>
      <w:r w:rsidR="00AA10F4">
        <w:rPr>
          <w:noProof/>
        </w:rPr>
        <w:t>44</w:t>
      </w:r>
      <w:r w:rsidR="009B4C9A">
        <w:rPr>
          <w:noProof/>
        </w:rPr>
        <w:fldChar w:fldCharType="end"/>
      </w:r>
      <w:bookmarkEnd w:id="201"/>
      <w:r>
        <w:t>. 2024 Virtual Commissioning Cha</w:t>
      </w:r>
      <w:r w:rsidR="00E644D5">
        <w:t>n</w:t>
      </w:r>
      <w:r>
        <w:t>nel Annual Savings</w:t>
      </w:r>
      <w:bookmarkEnd w:id="202"/>
      <w:bookmarkEnd w:id="203"/>
    </w:p>
    <w:tbl>
      <w:tblPr>
        <w:tblStyle w:val="ODCBasic-1"/>
        <w:tblW w:w="0" w:type="auto"/>
        <w:tblCellMar>
          <w:top w:w="0" w:type="dxa"/>
          <w:bottom w:w="14" w:type="dxa"/>
        </w:tblCellMar>
        <w:tblLook w:val="04A0" w:firstRow="1" w:lastRow="0" w:firstColumn="1" w:lastColumn="0" w:noHBand="0" w:noVBand="1"/>
      </w:tblPr>
      <w:tblGrid>
        <w:gridCol w:w="2058"/>
        <w:gridCol w:w="3047"/>
      </w:tblGrid>
      <w:tr w:rsidR="00E644D5" w14:paraId="5C033E5F" w14:textId="77777777" w:rsidTr="00E644D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1B85D6DB" w14:textId="0BCFA036" w:rsidR="00E644D5" w:rsidRPr="00625570" w:rsidRDefault="00E644D5" w:rsidP="001A2AF7">
            <w:pPr>
              <w:pStyle w:val="TableHeadingLeft"/>
            </w:pPr>
            <w:bookmarkStart w:id="204" w:name="_Ref191649638"/>
          </w:p>
        </w:tc>
        <w:tc>
          <w:tcPr>
            <w:tcW w:w="3047" w:type="dxa"/>
            <w:tcBorders>
              <w:left w:val="single" w:sz="4" w:space="0" w:color="4A4D56" w:themeColor="text1"/>
              <w:bottom w:val="single" w:sz="4" w:space="0" w:color="4A4D56" w:themeColor="text1"/>
              <w:right w:val="single" w:sz="4" w:space="0" w:color="4A4D56" w:themeColor="text1"/>
            </w:tcBorders>
          </w:tcPr>
          <w:p w14:paraId="78905730" w14:textId="02CD4BF7" w:rsidR="00E644D5" w:rsidRPr="00625570" w:rsidRDefault="00E644D5" w:rsidP="001A2AF7">
            <w:pPr>
              <w:pStyle w:val="TableHeadingCentered"/>
              <w:cnfStyle w:val="100000000000" w:firstRow="1" w:lastRow="0" w:firstColumn="0" w:lastColumn="0" w:oddVBand="0" w:evenVBand="0" w:oddHBand="0" w:evenHBand="0" w:firstRowFirstColumn="0" w:firstRowLastColumn="0" w:lastRowFirstColumn="0" w:lastRowLastColumn="0"/>
            </w:pPr>
            <w:r w:rsidRPr="00E644D5">
              <w:t>Electric Energy Savings (MWh)</w:t>
            </w:r>
          </w:p>
        </w:tc>
      </w:tr>
      <w:tr w:rsidR="00E644D5" w14:paraId="7A307EF3" w14:textId="77777777" w:rsidTr="00E644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037CA50C" w14:textId="461FAFD6" w:rsidR="00E644D5" w:rsidRPr="00625570" w:rsidRDefault="00E644D5" w:rsidP="00E644D5">
            <w:pPr>
              <w:pStyle w:val="TableLeftText"/>
            </w:pPr>
            <w:r w:rsidRPr="00452875">
              <w:t>Ex Ante Gross Savings</w:t>
            </w:r>
          </w:p>
        </w:tc>
        <w:tc>
          <w:tcPr>
            <w:tcW w:w="3047" w:type="dxa"/>
            <w:tcBorders>
              <w:top w:val="single" w:sz="4" w:space="0" w:color="4A4D56" w:themeColor="text1"/>
            </w:tcBorders>
          </w:tcPr>
          <w:p w14:paraId="5FD46B5D" w14:textId="4A4F3E8E"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452875">
              <w:t>4,571</w:t>
            </w:r>
          </w:p>
        </w:tc>
      </w:tr>
      <w:tr w:rsidR="00E644D5" w14:paraId="0C1F6D25" w14:textId="77777777" w:rsidTr="00E644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18321DF" w14:textId="320ECAC7" w:rsidR="00E644D5" w:rsidRPr="00625570" w:rsidRDefault="00E644D5" w:rsidP="00E644D5">
            <w:pPr>
              <w:pStyle w:val="TableLeftText"/>
            </w:pPr>
            <w:r w:rsidRPr="00452875">
              <w:t>Gross Realization Rate</w:t>
            </w:r>
          </w:p>
        </w:tc>
        <w:tc>
          <w:tcPr>
            <w:tcW w:w="3047" w:type="dxa"/>
          </w:tcPr>
          <w:p w14:paraId="0EB72994" w14:textId="7C860AE8" w:rsidR="00E644D5" w:rsidRPr="000B7901" w:rsidRDefault="00E644D5" w:rsidP="00E644D5">
            <w:pPr>
              <w:pStyle w:val="TableCenterText"/>
              <w:cnfStyle w:val="000000010000" w:firstRow="0" w:lastRow="0" w:firstColumn="0" w:lastColumn="0" w:oddVBand="0" w:evenVBand="0" w:oddHBand="0" w:evenHBand="1" w:firstRowFirstColumn="0" w:firstRowLastColumn="0" w:lastRowFirstColumn="0" w:lastRowLastColumn="0"/>
            </w:pPr>
            <w:r w:rsidRPr="00452875">
              <w:t>108%</w:t>
            </w:r>
          </w:p>
        </w:tc>
      </w:tr>
      <w:tr w:rsidR="00E644D5" w14:paraId="094CD850" w14:textId="77777777" w:rsidTr="00E644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CAADCCA" w14:textId="430EF658" w:rsidR="00E644D5" w:rsidRPr="00625570" w:rsidRDefault="00E644D5" w:rsidP="00E644D5">
            <w:pPr>
              <w:pStyle w:val="TableLeftText"/>
            </w:pPr>
            <w:r w:rsidRPr="00452875">
              <w:t>Verified Gross Savings</w:t>
            </w:r>
          </w:p>
        </w:tc>
        <w:tc>
          <w:tcPr>
            <w:tcW w:w="3047" w:type="dxa"/>
          </w:tcPr>
          <w:p w14:paraId="31E4FBA3" w14:textId="300D796B"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452875">
              <w:t>4,956</w:t>
            </w:r>
          </w:p>
        </w:tc>
      </w:tr>
      <w:tr w:rsidR="00E644D5" w14:paraId="77152E67" w14:textId="77777777" w:rsidTr="00E644D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41330A1" w14:textId="2F1315B5" w:rsidR="00E644D5" w:rsidRPr="00625570" w:rsidRDefault="00E644D5" w:rsidP="00E644D5">
            <w:pPr>
              <w:pStyle w:val="TableLeftText"/>
            </w:pPr>
            <w:r w:rsidRPr="00452875">
              <w:t xml:space="preserve">NTGR </w:t>
            </w:r>
          </w:p>
        </w:tc>
        <w:tc>
          <w:tcPr>
            <w:tcW w:w="3047" w:type="dxa"/>
          </w:tcPr>
          <w:p w14:paraId="4F3D79D6" w14:textId="0A349A4C" w:rsidR="00E644D5" w:rsidRPr="000B7901" w:rsidRDefault="00E644D5" w:rsidP="00E644D5">
            <w:pPr>
              <w:pStyle w:val="TableCenterText"/>
              <w:cnfStyle w:val="000000010000" w:firstRow="0" w:lastRow="0" w:firstColumn="0" w:lastColumn="0" w:oddVBand="0" w:evenVBand="0" w:oddHBand="0" w:evenHBand="1" w:firstRowFirstColumn="0" w:firstRowLastColumn="0" w:lastRowFirstColumn="0" w:lastRowLastColumn="0"/>
            </w:pPr>
            <w:r w:rsidRPr="00452875">
              <w:t>0.937</w:t>
            </w:r>
          </w:p>
        </w:tc>
      </w:tr>
      <w:tr w:rsidR="00E644D5" w14:paraId="59EC9AF4" w14:textId="77777777" w:rsidTr="00E644D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2A20A6D" w14:textId="45927EA8" w:rsidR="00E644D5" w:rsidRPr="00625570" w:rsidRDefault="00E644D5" w:rsidP="00E644D5">
            <w:pPr>
              <w:pStyle w:val="TableLeftText"/>
            </w:pPr>
            <w:r w:rsidRPr="00452875">
              <w:t>Verified Net Savings</w:t>
            </w:r>
          </w:p>
        </w:tc>
        <w:tc>
          <w:tcPr>
            <w:tcW w:w="3047" w:type="dxa"/>
          </w:tcPr>
          <w:p w14:paraId="1D76A562" w14:textId="2011BFC3"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452875">
              <w:t>4,642</w:t>
            </w:r>
          </w:p>
        </w:tc>
      </w:tr>
    </w:tbl>
    <w:p w14:paraId="70173EE7" w14:textId="04E66928" w:rsidR="001056E0" w:rsidRPr="001056E0" w:rsidRDefault="001056E0" w:rsidP="001056E0">
      <w:pPr>
        <w:spacing w:before="240"/>
        <w:rPr>
          <w:rStyle w:val="SubtleReference"/>
          <w:rFonts w:asciiTheme="minorHAnsi" w:hAnsiTheme="minorHAnsi"/>
          <w:bCs/>
          <w:iCs/>
          <w:smallCaps w:val="0"/>
          <w:color w:val="4A4D56" w:themeColor="text1"/>
        </w:rPr>
      </w:pPr>
      <w:r w:rsidRPr="008D2B6A">
        <w:rPr>
          <w:rStyle w:val="SubtleEmphasis"/>
          <w:b w:val="0"/>
          <w:bCs/>
        </w:rPr>
        <w:t xml:space="preserve">The main source of discrepancy </w:t>
      </w:r>
      <w:r w:rsidR="00DD3A42">
        <w:rPr>
          <w:rStyle w:val="SubtleEmphasis"/>
          <w:b w:val="0"/>
          <w:bCs/>
        </w:rPr>
        <w:t xml:space="preserve">between the </w:t>
      </w:r>
      <w:r w:rsidR="00DD3A42" w:rsidRPr="008D2B6A">
        <w:rPr>
          <w:rStyle w:val="SubtleEmphasis"/>
          <w:b w:val="0"/>
          <w:bCs/>
        </w:rPr>
        <w:t>ex ante and verified savings estimates</w:t>
      </w:r>
      <w:r w:rsidR="00DD3A42">
        <w:rPr>
          <w:rStyle w:val="SubtleEmphasis"/>
          <w:b w:val="0"/>
          <w:bCs/>
        </w:rPr>
        <w:t xml:space="preserve"> </w:t>
      </w:r>
      <w:r>
        <w:rPr>
          <w:rStyle w:val="SubtleEmphasis"/>
          <w:b w:val="0"/>
          <w:bCs/>
        </w:rPr>
        <w:t>was</w:t>
      </w:r>
      <w:r w:rsidRPr="008D2B6A">
        <w:rPr>
          <w:rStyle w:val="SubtleEmphasis"/>
          <w:b w:val="0"/>
          <w:bCs/>
        </w:rPr>
        <w:t xml:space="preserve"> that the evaluation team included weather interaction terms in eight relevant models</w:t>
      </w:r>
      <w:r w:rsidR="006F77B7">
        <w:rPr>
          <w:rStyle w:val="SubtleEmphasis"/>
          <w:b w:val="0"/>
          <w:bCs/>
        </w:rPr>
        <w:t>,</w:t>
      </w:r>
      <w:r w:rsidRPr="008D2B6A">
        <w:rPr>
          <w:rStyle w:val="SubtleEmphasis"/>
          <w:b w:val="0"/>
          <w:bCs/>
        </w:rPr>
        <w:t xml:space="preserve"> whereas the implementation team did not. The evaluation team included weather interaction terms in the models when: </w:t>
      </w:r>
      <w:r>
        <w:rPr>
          <w:rStyle w:val="SubtleEmphasis"/>
          <w:b w:val="0"/>
          <w:bCs/>
        </w:rPr>
        <w:t>(</w:t>
      </w:r>
      <w:r w:rsidRPr="008D2B6A">
        <w:rPr>
          <w:rStyle w:val="SubtleEmphasis"/>
          <w:b w:val="0"/>
          <w:bCs/>
        </w:rPr>
        <w:t xml:space="preserve">1) interventions were weather sensitive; </w:t>
      </w:r>
      <w:r>
        <w:rPr>
          <w:rStyle w:val="SubtleEmphasis"/>
          <w:b w:val="0"/>
          <w:bCs/>
        </w:rPr>
        <w:t>(</w:t>
      </w:r>
      <w:r w:rsidRPr="008D2B6A">
        <w:rPr>
          <w:rStyle w:val="SubtleEmphasis"/>
          <w:b w:val="0"/>
          <w:bCs/>
        </w:rPr>
        <w:t xml:space="preserve">2) there </w:t>
      </w:r>
      <w:r w:rsidR="006F77B7">
        <w:rPr>
          <w:rStyle w:val="SubtleEmphasis"/>
          <w:b w:val="0"/>
          <w:bCs/>
        </w:rPr>
        <w:t>were at least nine months of post-period data; and</w:t>
      </w:r>
      <w:r w:rsidRPr="008D2B6A">
        <w:rPr>
          <w:rStyle w:val="SubtleEmphasis"/>
          <w:b w:val="0"/>
          <w:bCs/>
        </w:rPr>
        <w:t xml:space="preserve"> </w:t>
      </w:r>
      <w:r>
        <w:rPr>
          <w:rStyle w:val="SubtleEmphasis"/>
          <w:b w:val="0"/>
          <w:bCs/>
        </w:rPr>
        <w:t>(</w:t>
      </w:r>
      <w:r w:rsidRPr="008D2B6A">
        <w:rPr>
          <w:rStyle w:val="SubtleEmphasis"/>
          <w:b w:val="0"/>
          <w:bCs/>
        </w:rPr>
        <w:t>3) the inclusion of weather added explanatory value to the model</w:t>
      </w:r>
      <w:r>
        <w:rPr>
          <w:rStyle w:val="SubtleEmphasis"/>
          <w:b w:val="0"/>
          <w:bCs/>
        </w:rPr>
        <w:t>,</w:t>
      </w:r>
      <w:r w:rsidRPr="008D2B6A">
        <w:rPr>
          <w:rStyle w:val="SubtleEmphasis"/>
          <w:b w:val="0"/>
          <w:bCs/>
        </w:rPr>
        <w:t xml:space="preserve"> per Analysis of Variance (ANOVA) tests. In addition, to minimize the need for cross-participation adjustments, we curtailed the post-period to one year for two projects</w:t>
      </w:r>
      <w:r>
        <w:rPr>
          <w:rStyle w:val="SubtleEmphasis"/>
          <w:b w:val="0"/>
          <w:bCs/>
        </w:rPr>
        <w:t>.</w:t>
      </w:r>
    </w:p>
    <w:p w14:paraId="2B6A6F86" w14:textId="4126299D" w:rsidR="00637A7B" w:rsidRDefault="00790696" w:rsidP="00F33E55">
      <w:pPr>
        <w:pStyle w:val="Heading3"/>
        <w:tabs>
          <w:tab w:val="clear" w:pos="2160"/>
          <w:tab w:val="num" w:pos="1080"/>
        </w:tabs>
        <w:ind w:left="0"/>
        <w:rPr>
          <w:rStyle w:val="SubtleReference"/>
          <w:smallCaps w:val="0"/>
          <w:color w:val="1FA9E1" w:themeColor="accent3"/>
        </w:rPr>
      </w:pPr>
      <w:bookmarkStart w:id="205" w:name="_Toc191992431"/>
      <w:bookmarkStart w:id="206" w:name="_Ref192509981"/>
      <w:r w:rsidRPr="00790696">
        <w:rPr>
          <w:rStyle w:val="SubtleReference"/>
          <w:smallCaps w:val="0"/>
          <w:color w:val="1FA9E1" w:themeColor="accent3"/>
        </w:rPr>
        <w:t>Virtual Strategic Energy Management Channel</w:t>
      </w:r>
      <w:bookmarkEnd w:id="204"/>
      <w:bookmarkEnd w:id="205"/>
      <w:bookmarkEnd w:id="206"/>
    </w:p>
    <w:p w14:paraId="1728880C" w14:textId="63EF8DC1" w:rsidR="001A45D4" w:rsidRPr="001A45D4" w:rsidRDefault="001A45D4" w:rsidP="001A45D4">
      <w:r>
        <w:t xml:space="preserve">The following sections present the impact evaluation results for the 2024 </w:t>
      </w:r>
      <w:r w:rsidR="009020B9">
        <w:t>Virtua</w:t>
      </w:r>
      <w:r w:rsidR="00ED0D28">
        <w:t>l</w:t>
      </w:r>
      <w:r w:rsidR="009020B9">
        <w:t xml:space="preserve"> SEM</w:t>
      </w:r>
      <w:r>
        <w:t xml:space="preserve">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31464A0F" w14:textId="3B986391" w:rsidR="00790696" w:rsidRDefault="00790696" w:rsidP="00790696">
      <w:pPr>
        <w:pStyle w:val="Heading4"/>
      </w:pPr>
      <w:r>
        <w:lastRenderedPageBreak/>
        <w:t>Channel Description</w:t>
      </w:r>
    </w:p>
    <w:p w14:paraId="41DE8204" w14:textId="1B201BFB" w:rsidR="00B12FF8" w:rsidRDefault="00B12FF8" w:rsidP="00B12FF8">
      <w:r>
        <w:t xml:space="preserve">AIC </w:t>
      </w:r>
      <w:r w:rsidR="00ED0D28">
        <w:t>l</w:t>
      </w:r>
      <w:r>
        <w:t>aunched Virtual SEM</w:t>
      </w:r>
      <w:r w:rsidR="00ED0D28">
        <w:t xml:space="preserve"> as a</w:t>
      </w:r>
      <w:r>
        <w:t xml:space="preserve"> pilot </w:t>
      </w:r>
      <w:r w:rsidR="00ED0D28">
        <w:t>in 2023 and continued its operation in 2024</w:t>
      </w:r>
      <w:r w:rsidRPr="00B12FF8">
        <w:t xml:space="preserve">. Virtual SEM is designed in accordance with the Consortium for Energy Efficiency’s minimum elements for effective </w:t>
      </w:r>
      <w:r w:rsidR="001056E0" w:rsidRPr="00B12FF8">
        <w:t>SEM and</w:t>
      </w:r>
      <w:r w:rsidRPr="00B12FF8">
        <w:t xml:space="preserve"> seeks to educate participants and enable them to manage their facility’s energy usage </w:t>
      </w:r>
      <w:r w:rsidR="006F77B7">
        <w:t>holistically</w:t>
      </w:r>
      <w:r w:rsidRPr="00B12FF8">
        <w:t xml:space="preserve">. </w:t>
      </w:r>
      <w:r w:rsidR="001B035A">
        <w:t>The implementation team</w:t>
      </w:r>
      <w:r w:rsidRPr="00B12FF8">
        <w:t xml:space="preserve"> target</w:t>
      </w:r>
      <w:r w:rsidR="001B035A">
        <w:t>s</w:t>
      </w:r>
      <w:r w:rsidRPr="00B12FF8">
        <w:t xml:space="preserve"> customers previously engaged </w:t>
      </w:r>
      <w:r w:rsidR="001B035A">
        <w:t>through</w:t>
      </w:r>
      <w:r w:rsidRPr="00B12FF8">
        <w:t xml:space="preserve"> the VCx channel </w:t>
      </w:r>
      <w:r w:rsidR="006F77B7">
        <w:t xml:space="preserve">that </w:t>
      </w:r>
      <w:r w:rsidRPr="00B12FF8">
        <w:t xml:space="preserve">withdrew before implementation. Once participants enroll in the </w:t>
      </w:r>
      <w:r w:rsidR="00ED0D28">
        <w:t>channel</w:t>
      </w:r>
      <w:r w:rsidRPr="00B12FF8">
        <w:t xml:space="preserve">, </w:t>
      </w:r>
      <w:r w:rsidR="001B035A">
        <w:t>the implementation team</w:t>
      </w:r>
      <w:r w:rsidRPr="00B12FF8">
        <w:t xml:space="preserve"> conducts an energy audit of the facility to identify all available low</w:t>
      </w:r>
      <w:r w:rsidR="006F77B7">
        <w:t>-</w:t>
      </w:r>
      <w:r w:rsidRPr="00B12FF8">
        <w:t xml:space="preserve"> and no-cost operational, maintenance, and behavioral improvement opportunities. They then work with the facility staff to develop an energy improvement plan. Participants receive the training, tools, and resources they need to develop and implement their continuous energy improvement plan.</w:t>
      </w:r>
    </w:p>
    <w:p w14:paraId="59D5205A" w14:textId="77777777" w:rsidR="00790696" w:rsidRDefault="00790696" w:rsidP="00790696">
      <w:pPr>
        <w:pStyle w:val="Heading4"/>
      </w:pPr>
      <w:r>
        <w:t>Participation Summary</w:t>
      </w:r>
    </w:p>
    <w:p w14:paraId="4642A5A4" w14:textId="5EC70DC1" w:rsidR="00176989" w:rsidRDefault="00176989" w:rsidP="00E644D5">
      <w:pPr>
        <w:rPr>
          <w:bCs/>
        </w:rPr>
      </w:pPr>
      <w:r w:rsidRPr="00176989">
        <w:t xml:space="preserve">Four participants completed energy-saving improvements through the Virtual SEM </w:t>
      </w:r>
      <w:r w:rsidR="008D2B6A">
        <w:t>channel</w:t>
      </w:r>
      <w:r w:rsidRPr="00176989">
        <w:t xml:space="preserve"> in 2024. These participants improved the operation of the HVAC systems at </w:t>
      </w:r>
      <w:r w:rsidR="008D2B6A">
        <w:t>public</w:t>
      </w:r>
      <w:r w:rsidRPr="00176989">
        <w:t xml:space="preserve"> schools, public libraries, and county buildings. In 2024, </w:t>
      </w:r>
      <w:r w:rsidR="006F77B7">
        <w:t xml:space="preserve">public school buildings were the most common facility type served through the Virtual SEM channel </w:t>
      </w:r>
      <w:r>
        <w:t>(n=2).</w:t>
      </w:r>
    </w:p>
    <w:p w14:paraId="42706C99" w14:textId="16DEB86C" w:rsidR="00947A7A" w:rsidRDefault="00790696" w:rsidP="00947A7A">
      <w:pPr>
        <w:pStyle w:val="Heading4"/>
      </w:pPr>
      <w:r>
        <w:t>Savings Detail</w:t>
      </w:r>
    </w:p>
    <w:p w14:paraId="27183B27" w14:textId="148748D3" w:rsidR="00A063BE" w:rsidRDefault="00947A7A" w:rsidP="00A063BE">
      <w:r>
        <w:fldChar w:fldCharType="begin"/>
      </w:r>
      <w:r>
        <w:instrText xml:space="preserve"> REF _Ref191803895 \h </w:instrText>
      </w:r>
      <w:r>
        <w:fldChar w:fldCharType="separate"/>
      </w:r>
      <w:r w:rsidR="00AA10F4">
        <w:t xml:space="preserve">Table </w:t>
      </w:r>
      <w:r w:rsidR="00AA10F4">
        <w:rPr>
          <w:noProof/>
        </w:rPr>
        <w:t>45</w:t>
      </w:r>
      <w:r>
        <w:fldChar w:fldCharType="end"/>
      </w:r>
      <w:r w:rsidR="00563FCD">
        <w:t xml:space="preserve"> presents </w:t>
      </w:r>
      <w:r w:rsidR="00A063BE">
        <w:t>the ex ante, verified gross, and verified net electric energy savings achieved through the Virtual SEM channel in 2024. The 2024 Virtual SEM channel achieved 831 MWh in verified net electric energy savings after adjusting for cross-participation</w:t>
      </w:r>
      <w:r w:rsidR="001056E0">
        <w:t>.</w:t>
      </w:r>
      <w:r w:rsidR="00A063BE">
        <w:t xml:space="preserve"> The gross realization rate, when comparing the implementation and evaluation teams’ estimated savings, was 103%. AIC did not claim demand savings or gas savings from Virtual SEM in 2024. Savings are </w:t>
      </w:r>
      <w:r w:rsidR="006F77B7">
        <w:t>only presented at the channel level</w:t>
      </w:r>
      <w:r w:rsidR="00A063BE">
        <w:t xml:space="preserve">, as Virtual SEM is a single-measure channel. </w:t>
      </w:r>
    </w:p>
    <w:p w14:paraId="1041B755" w14:textId="203CB3E6" w:rsidR="00563FCD" w:rsidRDefault="00563FCD" w:rsidP="00176989">
      <w:pPr>
        <w:jc w:val="center"/>
      </w:pPr>
      <w:bookmarkStart w:id="207" w:name="_Ref187316804"/>
      <w:bookmarkStart w:id="208" w:name="_Ref191803895"/>
      <w:bookmarkStart w:id="209" w:name="_Toc191992566"/>
      <w:bookmarkStart w:id="210" w:name="_Toc192766979"/>
      <w:r>
        <w:t xml:space="preserve">Table </w:t>
      </w:r>
      <w:r w:rsidR="009B4C9A">
        <w:fldChar w:fldCharType="begin"/>
      </w:r>
      <w:r w:rsidR="009B4C9A">
        <w:instrText xml:space="preserve"> SEQ Table \* ARABIC </w:instrText>
      </w:r>
      <w:r w:rsidR="009B4C9A">
        <w:fldChar w:fldCharType="separate"/>
      </w:r>
      <w:r w:rsidR="00AA10F4">
        <w:rPr>
          <w:noProof/>
        </w:rPr>
        <w:t>45</w:t>
      </w:r>
      <w:r w:rsidR="009B4C9A">
        <w:rPr>
          <w:noProof/>
        </w:rPr>
        <w:fldChar w:fldCharType="end"/>
      </w:r>
      <w:bookmarkEnd w:id="207"/>
      <w:bookmarkEnd w:id="208"/>
      <w:r>
        <w:t xml:space="preserve">. 2024 Virtual Strategic Energy Management </w:t>
      </w:r>
      <w:r w:rsidR="007B7779">
        <w:t>Channel</w:t>
      </w:r>
      <w:r>
        <w:t xml:space="preserve"> Annual Savings</w:t>
      </w:r>
      <w:bookmarkEnd w:id="209"/>
      <w:bookmarkEnd w:id="210"/>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058"/>
        <w:gridCol w:w="3407"/>
      </w:tblGrid>
      <w:tr w:rsidR="00E644D5" w14:paraId="06B49169" w14:textId="77777777" w:rsidTr="007A5BA2">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C172E92" w14:textId="77777777" w:rsidR="00E644D5" w:rsidRPr="00625570" w:rsidRDefault="00E644D5" w:rsidP="009A0939">
            <w:pPr>
              <w:pStyle w:val="TableHeadingLeft"/>
            </w:pPr>
          </w:p>
        </w:tc>
        <w:tc>
          <w:tcPr>
            <w:tcW w:w="3407" w:type="dxa"/>
            <w:tcBorders>
              <w:bottom w:val="none" w:sz="0" w:space="0" w:color="auto"/>
            </w:tcBorders>
          </w:tcPr>
          <w:p w14:paraId="7062506E" w14:textId="77777777" w:rsidR="00E644D5" w:rsidRPr="00625570" w:rsidRDefault="00E644D5" w:rsidP="009A0939">
            <w:pPr>
              <w:pStyle w:val="TableHeadingCentered"/>
              <w:cnfStyle w:val="100000000000" w:firstRow="1" w:lastRow="0" w:firstColumn="0" w:lastColumn="0" w:oddVBand="0" w:evenVBand="0" w:oddHBand="0" w:evenHBand="0" w:firstRowFirstColumn="0" w:firstRowLastColumn="0" w:lastRowFirstColumn="0" w:lastRowLastColumn="0"/>
            </w:pPr>
            <w:r w:rsidRPr="00E644D5">
              <w:t>Electric Energy Savings (MWh)</w:t>
            </w:r>
          </w:p>
        </w:tc>
      </w:tr>
      <w:tr w:rsidR="00E644D5" w14:paraId="58F72081" w14:textId="77777777" w:rsidTr="007A5BA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83B2FF3" w14:textId="13DF8BB0" w:rsidR="00E644D5" w:rsidRPr="00625570" w:rsidRDefault="00E644D5" w:rsidP="00E644D5">
            <w:pPr>
              <w:pStyle w:val="TableLeftText"/>
            </w:pPr>
            <w:r w:rsidRPr="00452875">
              <w:t>Ex Ante Gross Savings</w:t>
            </w:r>
          </w:p>
        </w:tc>
        <w:tc>
          <w:tcPr>
            <w:tcW w:w="3407" w:type="dxa"/>
            <w:tcBorders>
              <w:top w:val="none" w:sz="0" w:space="0" w:color="auto"/>
              <w:left w:val="none" w:sz="0" w:space="0" w:color="auto"/>
              <w:bottom w:val="none" w:sz="0" w:space="0" w:color="auto"/>
              <w:right w:val="none" w:sz="0" w:space="0" w:color="auto"/>
            </w:tcBorders>
          </w:tcPr>
          <w:p w14:paraId="71AB7011" w14:textId="0AA70E80"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F03456">
              <w:t>803</w:t>
            </w:r>
          </w:p>
        </w:tc>
      </w:tr>
      <w:tr w:rsidR="00E644D5" w14:paraId="2D820FF5" w14:textId="77777777" w:rsidTr="007A5BA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BA6D719" w14:textId="77777777" w:rsidR="00E644D5" w:rsidRPr="00625570" w:rsidRDefault="00E644D5" w:rsidP="00E644D5">
            <w:pPr>
              <w:pStyle w:val="TableLeftText"/>
            </w:pPr>
            <w:r w:rsidRPr="00452875">
              <w:t>Gross Realization Rate</w:t>
            </w:r>
          </w:p>
        </w:tc>
        <w:tc>
          <w:tcPr>
            <w:tcW w:w="3407" w:type="dxa"/>
            <w:tcBorders>
              <w:top w:val="none" w:sz="0" w:space="0" w:color="auto"/>
              <w:left w:val="none" w:sz="0" w:space="0" w:color="auto"/>
              <w:bottom w:val="none" w:sz="0" w:space="0" w:color="auto"/>
              <w:right w:val="none" w:sz="0" w:space="0" w:color="auto"/>
            </w:tcBorders>
          </w:tcPr>
          <w:p w14:paraId="6A969293" w14:textId="564DFC40" w:rsidR="00E644D5" w:rsidRPr="000B7901" w:rsidRDefault="00E644D5" w:rsidP="00E644D5">
            <w:pPr>
              <w:pStyle w:val="TableCenterText"/>
              <w:cnfStyle w:val="000000010000" w:firstRow="0" w:lastRow="0" w:firstColumn="0" w:lastColumn="0" w:oddVBand="0" w:evenVBand="0" w:oddHBand="0" w:evenHBand="1" w:firstRowFirstColumn="0" w:firstRowLastColumn="0" w:lastRowFirstColumn="0" w:lastRowLastColumn="0"/>
            </w:pPr>
            <w:r w:rsidRPr="00F03456">
              <w:t>103</w:t>
            </w:r>
            <w:r w:rsidRPr="00CF7E2F">
              <w:t>%</w:t>
            </w:r>
          </w:p>
        </w:tc>
      </w:tr>
      <w:tr w:rsidR="00E644D5" w14:paraId="55AAC73E" w14:textId="77777777" w:rsidTr="007A5BA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1AAFBD3" w14:textId="77777777" w:rsidR="00E644D5" w:rsidRPr="00625570" w:rsidRDefault="00E644D5" w:rsidP="00E644D5">
            <w:pPr>
              <w:pStyle w:val="TableLeftText"/>
            </w:pPr>
            <w:r w:rsidRPr="00452875">
              <w:t>Verified Gross Savings</w:t>
            </w:r>
          </w:p>
        </w:tc>
        <w:tc>
          <w:tcPr>
            <w:tcW w:w="3407" w:type="dxa"/>
            <w:tcBorders>
              <w:top w:val="none" w:sz="0" w:space="0" w:color="auto"/>
              <w:left w:val="none" w:sz="0" w:space="0" w:color="auto"/>
              <w:bottom w:val="none" w:sz="0" w:space="0" w:color="auto"/>
              <w:right w:val="none" w:sz="0" w:space="0" w:color="auto"/>
            </w:tcBorders>
          </w:tcPr>
          <w:p w14:paraId="478BB4FA" w14:textId="211BEED7"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F03456">
              <w:t>831</w:t>
            </w:r>
          </w:p>
        </w:tc>
      </w:tr>
      <w:tr w:rsidR="00E644D5" w14:paraId="64DF7D2F" w14:textId="77777777" w:rsidTr="007A5BA2">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3AA68FF" w14:textId="77777777" w:rsidR="00E644D5" w:rsidRPr="00625570" w:rsidRDefault="00E644D5" w:rsidP="00E644D5">
            <w:pPr>
              <w:pStyle w:val="TableLeftText"/>
            </w:pPr>
            <w:r w:rsidRPr="00452875">
              <w:t xml:space="preserve">NTGR </w:t>
            </w:r>
          </w:p>
        </w:tc>
        <w:tc>
          <w:tcPr>
            <w:tcW w:w="3407" w:type="dxa"/>
            <w:tcBorders>
              <w:top w:val="none" w:sz="0" w:space="0" w:color="auto"/>
              <w:left w:val="none" w:sz="0" w:space="0" w:color="auto"/>
              <w:bottom w:val="none" w:sz="0" w:space="0" w:color="auto"/>
              <w:right w:val="none" w:sz="0" w:space="0" w:color="auto"/>
            </w:tcBorders>
          </w:tcPr>
          <w:p w14:paraId="0B8ABF74" w14:textId="57CEC236" w:rsidR="00E644D5" w:rsidRPr="000B7901" w:rsidRDefault="00E644D5" w:rsidP="00E644D5">
            <w:pPr>
              <w:pStyle w:val="TableCenterText"/>
              <w:cnfStyle w:val="000000010000" w:firstRow="0" w:lastRow="0" w:firstColumn="0" w:lastColumn="0" w:oddVBand="0" w:evenVBand="0" w:oddHBand="0" w:evenHBand="1" w:firstRowFirstColumn="0" w:firstRowLastColumn="0" w:lastRowFirstColumn="0" w:lastRowLastColumn="0"/>
            </w:pPr>
            <w:r w:rsidRPr="00F03456">
              <w:t>1.000</w:t>
            </w:r>
          </w:p>
        </w:tc>
      </w:tr>
      <w:tr w:rsidR="00E644D5" w14:paraId="002F2335" w14:textId="77777777" w:rsidTr="007A5BA2">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6CD26F2E" w14:textId="77777777" w:rsidR="00E644D5" w:rsidRPr="00625570" w:rsidRDefault="00E644D5" w:rsidP="00E644D5">
            <w:pPr>
              <w:pStyle w:val="TableLeftText"/>
            </w:pPr>
            <w:r w:rsidRPr="00452875">
              <w:t>Verified Net Savings</w:t>
            </w:r>
          </w:p>
        </w:tc>
        <w:tc>
          <w:tcPr>
            <w:tcW w:w="3407" w:type="dxa"/>
            <w:tcBorders>
              <w:top w:val="none" w:sz="0" w:space="0" w:color="auto"/>
              <w:left w:val="none" w:sz="0" w:space="0" w:color="auto"/>
              <w:bottom w:val="none" w:sz="0" w:space="0" w:color="auto"/>
              <w:right w:val="none" w:sz="0" w:space="0" w:color="auto"/>
            </w:tcBorders>
          </w:tcPr>
          <w:p w14:paraId="60002242" w14:textId="61977E9B" w:rsidR="00E644D5" w:rsidRPr="000B7901" w:rsidRDefault="00E644D5" w:rsidP="00E644D5">
            <w:pPr>
              <w:pStyle w:val="TableCenterText"/>
              <w:cnfStyle w:val="000000100000" w:firstRow="0" w:lastRow="0" w:firstColumn="0" w:lastColumn="0" w:oddVBand="0" w:evenVBand="0" w:oddHBand="1" w:evenHBand="0" w:firstRowFirstColumn="0" w:firstRowLastColumn="0" w:lastRowFirstColumn="0" w:lastRowLastColumn="0"/>
            </w:pPr>
            <w:r w:rsidRPr="00F03456">
              <w:t>831</w:t>
            </w:r>
          </w:p>
        </w:tc>
      </w:tr>
    </w:tbl>
    <w:p w14:paraId="51727F37" w14:textId="5922441B" w:rsidR="001056E0" w:rsidRDefault="006F77B7" w:rsidP="001056E0">
      <w:pPr>
        <w:spacing w:before="240"/>
        <w:rPr>
          <w:rStyle w:val="SubtleEmphasis"/>
          <w:b w:val="0"/>
          <w:bCs/>
        </w:rPr>
      </w:pPr>
      <w:r>
        <w:t>We identified</w:t>
      </w:r>
      <w:r w:rsidR="001056E0">
        <w:t xml:space="preserve"> </w:t>
      </w:r>
      <w:r w:rsidR="001A03DD">
        <w:t xml:space="preserve">two </w:t>
      </w:r>
      <w:r w:rsidR="001056E0">
        <w:t>main sources of discrepancy between the ex ante verified savings estimates. The evaluation team included weather interaction terms in two relevant models</w:t>
      </w:r>
      <w:r>
        <w:t>,</w:t>
      </w:r>
      <w:r w:rsidR="001056E0">
        <w:t xml:space="preserve"> whereas the implementation team did not. The evaluation team included weather interaction terms in the models when: </w:t>
      </w:r>
      <w:r>
        <w:t>(</w:t>
      </w:r>
      <w:r w:rsidR="001056E0">
        <w:t xml:space="preserve">1) interventions were weather sensitive; (2) there </w:t>
      </w:r>
      <w:r>
        <w:t xml:space="preserve">were </w:t>
      </w:r>
      <w:r w:rsidR="001056E0">
        <w:t>at least nine months of post-period data; and (3) the inclusion of weather added explanatory value to the model, per ANOVA tests. In addition, for one project, the evaluation team set the post-period start date based on the date of the last intervention, while the implementation team used the first. This difference resulted in a 'ramp-up' phase in the ex ante post-period, during which interventions were implemented over several months. By excluding this ramp-up phase, the evaluation team ensured the post-period</w:t>
      </w:r>
      <w:r>
        <w:t xml:space="preserve"> only</w:t>
      </w:r>
      <w:r w:rsidR="001056E0">
        <w:t xml:space="preserve"> reflected when all interventions were in place, allowing for a more accurate estimate of total savings produced through the Virtual SEM project</w:t>
      </w:r>
      <w:r w:rsidR="001056E0">
        <w:rPr>
          <w:rStyle w:val="SubtleEmphasis"/>
          <w:b w:val="0"/>
          <w:bCs/>
        </w:rPr>
        <w:t>.</w:t>
      </w:r>
    </w:p>
    <w:p w14:paraId="351844B3" w14:textId="77777777" w:rsidR="00176989" w:rsidRDefault="00176989" w:rsidP="001056E0">
      <w:pPr>
        <w:pStyle w:val="ListBullet"/>
        <w:numPr>
          <w:ilvl w:val="0"/>
          <w:numId w:val="0"/>
        </w:numPr>
      </w:pPr>
    </w:p>
    <w:p w14:paraId="27342628" w14:textId="77777777" w:rsidR="00947A7A" w:rsidRDefault="00947A7A" w:rsidP="00947A7A">
      <w:pPr>
        <w:pStyle w:val="ListBullet"/>
        <w:numPr>
          <w:ilvl w:val="0"/>
          <w:numId w:val="0"/>
        </w:numPr>
        <w:ind w:left="465" w:hanging="285"/>
      </w:pPr>
    </w:p>
    <w:p w14:paraId="0A4B130A" w14:textId="20ACCFBB" w:rsidR="00947A7A" w:rsidRPr="00A72804" w:rsidRDefault="00947A7A" w:rsidP="00947A7A">
      <w:pPr>
        <w:pStyle w:val="ListBullet"/>
        <w:numPr>
          <w:ilvl w:val="0"/>
          <w:numId w:val="0"/>
        </w:numPr>
        <w:ind w:left="465" w:hanging="285"/>
        <w:sectPr w:rsidR="00947A7A" w:rsidRPr="00A72804" w:rsidSect="00B45EFD">
          <w:pgSz w:w="12240" w:h="15840" w:code="1"/>
          <w:pgMar w:top="567" w:right="567" w:bottom="567" w:left="567" w:header="567" w:footer="340" w:gutter="0"/>
          <w:cols w:space="708"/>
          <w:docGrid w:linePitch="360"/>
        </w:sectPr>
      </w:pPr>
    </w:p>
    <w:p w14:paraId="3925B764" w14:textId="161A16F5" w:rsidR="00790696" w:rsidRDefault="00790696" w:rsidP="00F33E55">
      <w:pPr>
        <w:pStyle w:val="Heading3"/>
        <w:tabs>
          <w:tab w:val="clear" w:pos="2160"/>
          <w:tab w:val="num" w:pos="1080"/>
        </w:tabs>
        <w:ind w:left="0"/>
      </w:pPr>
      <w:bookmarkStart w:id="211" w:name="_Toc191992432"/>
      <w:r>
        <w:lastRenderedPageBreak/>
        <w:t>Cumulative Annual Persisting Savings</w:t>
      </w:r>
      <w:bookmarkEnd w:id="211"/>
    </w:p>
    <w:p w14:paraId="0C5FEBB0" w14:textId="5F381F37" w:rsidR="00704706" w:rsidRPr="00704706" w:rsidRDefault="00704706" w:rsidP="00704706">
      <w:r>
        <w:fldChar w:fldCharType="begin"/>
      </w:r>
      <w:r>
        <w:instrText xml:space="preserve"> REF _Ref187317583 \h </w:instrText>
      </w:r>
      <w:r>
        <w:fldChar w:fldCharType="separate"/>
      </w:r>
      <w:r w:rsidR="00AA10F4">
        <w:t xml:space="preserve">Table </w:t>
      </w:r>
      <w:r w:rsidR="00AA10F4">
        <w:rPr>
          <w:noProof/>
        </w:rPr>
        <w:t>46</w:t>
      </w:r>
      <w:r>
        <w:fldChar w:fldCharType="end"/>
      </w:r>
      <w:r>
        <w:t xml:space="preserve"> presents CPAS and WAML for the 2024 Retro-Commissioning Initiative by channel. The table </w:t>
      </w:r>
      <w:r w:rsidR="006224ED">
        <w:t>summarizes</w:t>
      </w:r>
      <w:r>
        <w:t xml:space="preserve"> the total verified gross savings for the Initiative and channels</w:t>
      </w:r>
      <w:r w:rsidR="006224ED">
        <w:t xml:space="preserve"> as well as </w:t>
      </w:r>
      <w:r>
        <w:t>CPAS in each year from 2024</w:t>
      </w:r>
      <w:r w:rsidR="006F77B7">
        <w:t xml:space="preserve"> to </w:t>
      </w:r>
      <w:r>
        <w:t>2027.</w:t>
      </w:r>
      <w:r>
        <w:rPr>
          <w:rStyle w:val="FootnoteReference"/>
        </w:rPr>
        <w:footnoteReference w:id="30"/>
      </w:r>
      <w:r>
        <w:t xml:space="preserve"> The WAML for the Retro-Commissioning Initiative is </w:t>
      </w:r>
      <w:r w:rsidR="00B12D25">
        <w:t>7.6</w:t>
      </w:r>
      <w:r>
        <w:t xml:space="preserve"> years</w:t>
      </w:r>
      <w:r w:rsidR="006224ED">
        <w:t>,</w:t>
      </w:r>
      <w:r>
        <w:t xml:space="preserve"> and the WAML for the</w:t>
      </w:r>
      <w:r w:rsidR="00960F83">
        <w:t xml:space="preserve"> RCx Core,</w:t>
      </w:r>
      <w:r>
        <w:t xml:space="preserve"> VCx</w:t>
      </w:r>
      <w:r w:rsidR="00960F83">
        <w:t>,</w:t>
      </w:r>
      <w:r>
        <w:t xml:space="preserve"> and </w:t>
      </w:r>
      <w:r w:rsidR="00A05768">
        <w:t>Virtual SEM</w:t>
      </w:r>
      <w:r>
        <w:t xml:space="preserve"> channels are </w:t>
      </w:r>
      <w:r w:rsidR="001542B2">
        <w:t>8.</w:t>
      </w:r>
      <w:r w:rsidR="003A71F0">
        <w:t>6</w:t>
      </w:r>
      <w:r>
        <w:t xml:space="preserve"> years</w:t>
      </w:r>
      <w:r w:rsidR="00960F83">
        <w:t xml:space="preserve">, </w:t>
      </w:r>
      <w:r w:rsidR="005A1AC3">
        <w:t>7.3</w:t>
      </w:r>
      <w:r w:rsidR="00960F83">
        <w:t xml:space="preserve"> years,</w:t>
      </w:r>
      <w:r>
        <w:t xml:space="preserve"> and </w:t>
      </w:r>
      <w:r w:rsidR="005A1AC3">
        <w:t>7.0</w:t>
      </w:r>
      <w:r>
        <w:t xml:space="preserve"> years, respectively.</w:t>
      </w:r>
    </w:p>
    <w:p w14:paraId="603FCE45" w14:textId="5143ABF5" w:rsidR="00704706" w:rsidRDefault="00704706" w:rsidP="00881B1B">
      <w:pPr>
        <w:pStyle w:val="Caption"/>
      </w:pPr>
      <w:bookmarkStart w:id="212" w:name="_Ref187317583"/>
      <w:bookmarkStart w:id="213" w:name="_Toc191992567"/>
      <w:bookmarkStart w:id="214" w:name="_Toc192766980"/>
      <w:r>
        <w:t xml:space="preserve">Table </w:t>
      </w:r>
      <w:r w:rsidR="009B4C9A">
        <w:fldChar w:fldCharType="begin"/>
      </w:r>
      <w:r w:rsidR="009B4C9A">
        <w:instrText xml:space="preserve"> SEQ Table \* ARABIC </w:instrText>
      </w:r>
      <w:r w:rsidR="009B4C9A">
        <w:fldChar w:fldCharType="separate"/>
      </w:r>
      <w:r w:rsidR="00AA10F4">
        <w:rPr>
          <w:noProof/>
        </w:rPr>
        <w:t>46</w:t>
      </w:r>
      <w:r w:rsidR="009B4C9A">
        <w:rPr>
          <w:noProof/>
        </w:rPr>
        <w:fldChar w:fldCharType="end"/>
      </w:r>
      <w:bookmarkEnd w:id="212"/>
      <w:r>
        <w:t>. 2024 Retro-Commissioning Initiative CPAS and WAML</w:t>
      </w:r>
      <w:bookmarkEnd w:id="213"/>
      <w:bookmarkEnd w:id="214"/>
    </w:p>
    <w:tbl>
      <w:tblPr>
        <w:tblStyle w:val="TableGrid"/>
        <w:tblW w:w="0" w:type="auto"/>
        <w:tblLook w:val="04A0" w:firstRow="1" w:lastRow="0" w:firstColumn="1" w:lastColumn="0" w:noHBand="0" w:noVBand="1"/>
      </w:tblPr>
      <w:tblGrid>
        <w:gridCol w:w="2502"/>
        <w:gridCol w:w="1078"/>
        <w:gridCol w:w="1972"/>
        <w:gridCol w:w="1078"/>
        <w:gridCol w:w="936"/>
        <w:gridCol w:w="285"/>
        <w:gridCol w:w="652"/>
        <w:gridCol w:w="569"/>
        <w:gridCol w:w="367"/>
        <w:gridCol w:w="854"/>
        <w:gridCol w:w="1222"/>
        <w:gridCol w:w="360"/>
        <w:gridCol w:w="990"/>
        <w:gridCol w:w="364"/>
        <w:gridCol w:w="1477"/>
      </w:tblGrid>
      <w:tr w:rsidR="00704706" w14:paraId="0103D409"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2" w:type="dxa"/>
            <w:vMerge w:val="restart"/>
            <w:tcBorders>
              <w:bottom w:val="single" w:sz="4" w:space="0" w:color="4D4D4F"/>
            </w:tcBorders>
          </w:tcPr>
          <w:p w14:paraId="6FA7BB62" w14:textId="38452DB7" w:rsidR="00704706" w:rsidRDefault="000B1B6F" w:rsidP="008700F8">
            <w:pPr>
              <w:pStyle w:val="TableHeadingLeft"/>
            </w:pPr>
            <w:r>
              <w:t>Channel</w:t>
            </w:r>
          </w:p>
        </w:tc>
        <w:tc>
          <w:tcPr>
            <w:tcW w:w="1078" w:type="dxa"/>
            <w:vMerge w:val="restart"/>
            <w:tcBorders>
              <w:top w:val="single" w:sz="4" w:space="0" w:color="4D4D4F"/>
              <w:left w:val="single" w:sz="4" w:space="0" w:color="4D4D4F"/>
              <w:bottom w:val="single" w:sz="4" w:space="0" w:color="4D4D4F"/>
              <w:right w:val="single" w:sz="4" w:space="0" w:color="4D4D4F"/>
            </w:tcBorders>
          </w:tcPr>
          <w:p w14:paraId="10CC893A" w14:textId="6C5C255F" w:rsidR="00704706" w:rsidRDefault="000B1B6F" w:rsidP="008700F8">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72" w:type="dxa"/>
            <w:vMerge w:val="restart"/>
            <w:tcBorders>
              <w:top w:val="single" w:sz="4" w:space="0" w:color="4D4D4F"/>
              <w:left w:val="single" w:sz="4" w:space="0" w:color="4D4D4F"/>
              <w:bottom w:val="single" w:sz="4" w:space="0" w:color="4D4D4F"/>
              <w:right w:val="single" w:sz="4" w:space="0" w:color="4D4D4F"/>
            </w:tcBorders>
          </w:tcPr>
          <w:p w14:paraId="11B93BD5"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078" w:type="dxa"/>
            <w:vMerge w:val="restart"/>
            <w:tcBorders>
              <w:top w:val="single" w:sz="4" w:space="0" w:color="4D4D4F"/>
              <w:left w:val="single" w:sz="4" w:space="0" w:color="4D4D4F"/>
              <w:bottom w:val="single" w:sz="4" w:space="0" w:color="4D4D4F"/>
              <w:right w:val="single" w:sz="4" w:space="0" w:color="4D4D4F"/>
            </w:tcBorders>
          </w:tcPr>
          <w:p w14:paraId="0A3911FB"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6599" w:type="dxa"/>
            <w:gridSpan w:val="10"/>
            <w:tcBorders>
              <w:top w:val="single" w:sz="4" w:space="0" w:color="4D4D4F"/>
              <w:left w:val="single" w:sz="4" w:space="0" w:color="4D4D4F"/>
              <w:bottom w:val="single" w:sz="4" w:space="0" w:color="4D4D4F"/>
              <w:right w:val="single" w:sz="4" w:space="0" w:color="4D4D4F"/>
            </w:tcBorders>
          </w:tcPr>
          <w:p w14:paraId="4A73751E"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77" w:type="dxa"/>
            <w:vMerge w:val="restart"/>
            <w:tcBorders>
              <w:top w:val="single" w:sz="4" w:space="0" w:color="4D4D4F"/>
              <w:left w:val="single" w:sz="4" w:space="0" w:color="4D4D4F"/>
              <w:bottom w:val="single" w:sz="4" w:space="0" w:color="4D4D4F"/>
              <w:right w:val="single" w:sz="4" w:space="0" w:color="4D4D4F"/>
            </w:tcBorders>
          </w:tcPr>
          <w:p w14:paraId="4A60DCCF"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1471AC6C"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02" w:type="dxa"/>
            <w:vMerge/>
          </w:tcPr>
          <w:p w14:paraId="0AEA00CA" w14:textId="77777777" w:rsidR="00704706" w:rsidRDefault="00704706" w:rsidP="008700F8"/>
        </w:tc>
        <w:tc>
          <w:tcPr>
            <w:tcW w:w="1078" w:type="dxa"/>
            <w:vMerge/>
          </w:tcPr>
          <w:p w14:paraId="4E2CFC9B" w14:textId="77777777" w:rsidR="00704706" w:rsidRDefault="00704706" w:rsidP="008700F8">
            <w:pPr>
              <w:cnfStyle w:val="000000100000" w:firstRow="0" w:lastRow="0" w:firstColumn="0" w:lastColumn="0" w:oddVBand="0" w:evenVBand="0" w:oddHBand="1" w:evenHBand="0" w:firstRowFirstColumn="0" w:firstRowLastColumn="0" w:lastRowFirstColumn="0" w:lastRowLastColumn="0"/>
            </w:pPr>
          </w:p>
        </w:tc>
        <w:tc>
          <w:tcPr>
            <w:tcW w:w="1972" w:type="dxa"/>
            <w:vMerge/>
          </w:tcPr>
          <w:p w14:paraId="2EE3A6A1" w14:textId="77777777" w:rsidR="00704706" w:rsidRDefault="00704706" w:rsidP="008700F8">
            <w:pPr>
              <w:cnfStyle w:val="000000100000" w:firstRow="0" w:lastRow="0" w:firstColumn="0" w:lastColumn="0" w:oddVBand="0" w:evenVBand="0" w:oddHBand="1" w:evenHBand="0" w:firstRowFirstColumn="0" w:firstRowLastColumn="0" w:lastRowFirstColumn="0" w:lastRowLastColumn="0"/>
            </w:pPr>
          </w:p>
        </w:tc>
        <w:tc>
          <w:tcPr>
            <w:tcW w:w="1078" w:type="dxa"/>
            <w:vMerge/>
          </w:tcPr>
          <w:p w14:paraId="6E7C4840" w14:textId="77777777" w:rsidR="00704706" w:rsidRDefault="00704706" w:rsidP="008700F8">
            <w:pPr>
              <w:cnfStyle w:val="000000100000" w:firstRow="0" w:lastRow="0" w:firstColumn="0" w:lastColumn="0" w:oddVBand="0" w:evenVBand="0" w:oddHBand="1" w:evenHBand="0" w:firstRowFirstColumn="0" w:firstRowLastColumn="0" w:lastRowFirstColumn="0" w:lastRowLastColumn="0"/>
            </w:pPr>
          </w:p>
        </w:tc>
        <w:tc>
          <w:tcPr>
            <w:tcW w:w="1221" w:type="dxa"/>
            <w:gridSpan w:val="2"/>
            <w:shd w:val="clear" w:color="auto" w:fill="053572" w:themeFill="text2"/>
          </w:tcPr>
          <w:p w14:paraId="30ECB051" w14:textId="77777777" w:rsidR="00704706" w:rsidRDefault="00704706"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1221" w:type="dxa"/>
            <w:gridSpan w:val="2"/>
            <w:shd w:val="clear" w:color="auto" w:fill="053572" w:themeFill="text2"/>
          </w:tcPr>
          <w:p w14:paraId="0334F104" w14:textId="77777777" w:rsidR="00704706" w:rsidRDefault="00704706"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1221" w:type="dxa"/>
            <w:gridSpan w:val="2"/>
            <w:shd w:val="clear" w:color="auto" w:fill="053572" w:themeFill="text2"/>
          </w:tcPr>
          <w:p w14:paraId="210ED4E9" w14:textId="77777777" w:rsidR="00704706" w:rsidRDefault="00704706"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1222" w:type="dxa"/>
            <w:shd w:val="clear" w:color="auto" w:fill="053572" w:themeFill="text2"/>
          </w:tcPr>
          <w:p w14:paraId="510AB9CD" w14:textId="77777777" w:rsidR="00704706" w:rsidRDefault="00704706"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360" w:type="dxa"/>
            <w:shd w:val="clear" w:color="auto" w:fill="053572" w:themeFill="text2"/>
          </w:tcPr>
          <w:p w14:paraId="2386BF12" w14:textId="77777777" w:rsidR="00704706" w:rsidRDefault="00704706"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90" w:type="dxa"/>
            <w:shd w:val="clear" w:color="auto" w:fill="053572" w:themeFill="text2"/>
          </w:tcPr>
          <w:p w14:paraId="035CE7F7" w14:textId="77777777" w:rsidR="00704706" w:rsidRDefault="00704706"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64" w:type="dxa"/>
            <w:shd w:val="clear" w:color="auto" w:fill="053572" w:themeFill="text2"/>
          </w:tcPr>
          <w:p w14:paraId="1E3B9AB7" w14:textId="77777777" w:rsidR="00704706" w:rsidRDefault="00704706"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77" w:type="dxa"/>
            <w:vMerge/>
          </w:tcPr>
          <w:p w14:paraId="6FAB29DB" w14:textId="77777777" w:rsidR="00704706" w:rsidRDefault="00704706" w:rsidP="008700F8">
            <w:pPr>
              <w:cnfStyle w:val="000000100000" w:firstRow="0" w:lastRow="0" w:firstColumn="0" w:lastColumn="0" w:oddVBand="0" w:evenVBand="0" w:oddHBand="1" w:evenHBand="0" w:firstRowFirstColumn="0" w:firstRowLastColumn="0" w:lastRowFirstColumn="0" w:lastRowLastColumn="0"/>
            </w:pPr>
          </w:p>
        </w:tc>
      </w:tr>
      <w:tr w:rsidR="00BC69D4" w14:paraId="7F277B1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top"/>
          </w:tcPr>
          <w:p w14:paraId="67F07A6E" w14:textId="2F8DA902" w:rsidR="001542B2" w:rsidRDefault="001542B2" w:rsidP="001542B2">
            <w:r>
              <w:t>RCx Core</w:t>
            </w:r>
          </w:p>
        </w:tc>
        <w:tc>
          <w:tcPr>
            <w:tcW w:w="1078" w:type="dxa"/>
          </w:tcPr>
          <w:p w14:paraId="0F95CDF1" w14:textId="712C16E3"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8.6</w:t>
            </w:r>
          </w:p>
        </w:tc>
        <w:tc>
          <w:tcPr>
            <w:tcW w:w="1972" w:type="dxa"/>
          </w:tcPr>
          <w:p w14:paraId="010A5352" w14:textId="178BF3C9"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8F06A4">
              <w:t>1,8</w:t>
            </w:r>
            <w:r w:rsidR="003A71F0">
              <w:t>3</w:t>
            </w:r>
            <w:r w:rsidRPr="008F06A4">
              <w:t>2</w:t>
            </w:r>
          </w:p>
        </w:tc>
        <w:tc>
          <w:tcPr>
            <w:tcW w:w="1078" w:type="dxa"/>
          </w:tcPr>
          <w:p w14:paraId="042B302F" w14:textId="1A843D76"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8F06A4">
              <w:t>0.945</w:t>
            </w:r>
          </w:p>
        </w:tc>
        <w:tc>
          <w:tcPr>
            <w:tcW w:w="1221" w:type="dxa"/>
            <w:gridSpan w:val="2"/>
          </w:tcPr>
          <w:p w14:paraId="07E421D1" w14:textId="5051A047"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1,7</w:t>
            </w:r>
            <w:r w:rsidR="003A71F0">
              <w:t>30</w:t>
            </w:r>
          </w:p>
        </w:tc>
        <w:tc>
          <w:tcPr>
            <w:tcW w:w="1221" w:type="dxa"/>
            <w:gridSpan w:val="2"/>
          </w:tcPr>
          <w:p w14:paraId="55F20A60" w14:textId="588861C8"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1,7</w:t>
            </w:r>
            <w:r w:rsidR="003A71F0">
              <w:t>30</w:t>
            </w:r>
          </w:p>
        </w:tc>
        <w:tc>
          <w:tcPr>
            <w:tcW w:w="1221" w:type="dxa"/>
            <w:gridSpan w:val="2"/>
          </w:tcPr>
          <w:p w14:paraId="4184EF54" w14:textId="4B4D3F27"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1,7</w:t>
            </w:r>
            <w:r w:rsidR="003A71F0">
              <w:t>30</w:t>
            </w:r>
          </w:p>
        </w:tc>
        <w:tc>
          <w:tcPr>
            <w:tcW w:w="1222" w:type="dxa"/>
          </w:tcPr>
          <w:p w14:paraId="23DE4F7F" w14:textId="7D260597"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1,7</w:t>
            </w:r>
            <w:r w:rsidR="003A71F0">
              <w:t>30</w:t>
            </w:r>
          </w:p>
        </w:tc>
        <w:tc>
          <w:tcPr>
            <w:tcW w:w="360" w:type="dxa"/>
          </w:tcPr>
          <w:p w14:paraId="229C76C8" w14:textId="77777777" w:rsidR="001542B2" w:rsidRDefault="001542B2"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990" w:type="dxa"/>
          </w:tcPr>
          <w:p w14:paraId="6785A09C" w14:textId="01E7B7F7"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t>1,7</w:t>
            </w:r>
            <w:r w:rsidR="003A71F0">
              <w:t>30</w:t>
            </w:r>
          </w:p>
        </w:tc>
        <w:tc>
          <w:tcPr>
            <w:tcW w:w="364" w:type="dxa"/>
          </w:tcPr>
          <w:p w14:paraId="0C6F653B" w14:textId="77777777" w:rsidR="001542B2" w:rsidRDefault="001542B2"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77" w:type="dxa"/>
          </w:tcPr>
          <w:p w14:paraId="288B32C5" w14:textId="0C0B6E12" w:rsidR="001542B2" w:rsidRDefault="00A16B63" w:rsidP="007A5BA2">
            <w:pPr>
              <w:jc w:val="right"/>
              <w:cnfStyle w:val="000000010000" w:firstRow="0" w:lastRow="0" w:firstColumn="0" w:lastColumn="0" w:oddVBand="0" w:evenVBand="0" w:oddHBand="0" w:evenHBand="1" w:firstRowFirstColumn="0" w:firstRowLastColumn="0" w:lastRowFirstColumn="0" w:lastRowLastColumn="0"/>
            </w:pPr>
            <w:r>
              <w:t>14,880</w:t>
            </w:r>
          </w:p>
        </w:tc>
      </w:tr>
      <w:tr w:rsidR="00BC69D4" w14:paraId="4738A041"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top"/>
          </w:tcPr>
          <w:p w14:paraId="35A5E7CC" w14:textId="67FC1BAC" w:rsidR="001542B2" w:rsidRDefault="001542B2" w:rsidP="001542B2">
            <w:r>
              <w:t>VCx</w:t>
            </w:r>
          </w:p>
        </w:tc>
        <w:tc>
          <w:tcPr>
            <w:tcW w:w="1078" w:type="dxa"/>
          </w:tcPr>
          <w:p w14:paraId="38BA3F6C" w14:textId="5E4D1407"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7.3</w:t>
            </w:r>
          </w:p>
        </w:tc>
        <w:tc>
          <w:tcPr>
            <w:tcW w:w="1972" w:type="dxa"/>
          </w:tcPr>
          <w:p w14:paraId="5C1FE28E" w14:textId="5ED0F50C"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4,956</w:t>
            </w:r>
          </w:p>
        </w:tc>
        <w:tc>
          <w:tcPr>
            <w:tcW w:w="1078" w:type="dxa"/>
          </w:tcPr>
          <w:p w14:paraId="4E4356FF" w14:textId="1EF915D2"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0.937</w:t>
            </w:r>
          </w:p>
        </w:tc>
        <w:tc>
          <w:tcPr>
            <w:tcW w:w="1221" w:type="dxa"/>
            <w:gridSpan w:val="2"/>
          </w:tcPr>
          <w:p w14:paraId="086D66AE" w14:textId="6CBDE970"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4,642</w:t>
            </w:r>
          </w:p>
        </w:tc>
        <w:tc>
          <w:tcPr>
            <w:tcW w:w="1221" w:type="dxa"/>
            <w:gridSpan w:val="2"/>
          </w:tcPr>
          <w:p w14:paraId="6808E638" w14:textId="4B423310"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4,642</w:t>
            </w:r>
          </w:p>
        </w:tc>
        <w:tc>
          <w:tcPr>
            <w:tcW w:w="1221" w:type="dxa"/>
            <w:gridSpan w:val="2"/>
          </w:tcPr>
          <w:p w14:paraId="3874D759" w14:textId="34B97CB7"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4,642</w:t>
            </w:r>
          </w:p>
        </w:tc>
        <w:tc>
          <w:tcPr>
            <w:tcW w:w="1222" w:type="dxa"/>
          </w:tcPr>
          <w:p w14:paraId="75764579" w14:textId="4AD761C8"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4,642</w:t>
            </w:r>
          </w:p>
        </w:tc>
        <w:tc>
          <w:tcPr>
            <w:tcW w:w="360" w:type="dxa"/>
          </w:tcPr>
          <w:p w14:paraId="5554327C" w14:textId="7C864ACB" w:rsidR="001542B2" w:rsidRPr="00780204" w:rsidRDefault="001542B2" w:rsidP="00BC69D4">
            <w:pPr>
              <w:jc w:val="center"/>
              <w:cnfStyle w:val="000000100000" w:firstRow="0" w:lastRow="0" w:firstColumn="0" w:lastColumn="0" w:oddVBand="0" w:evenVBand="0" w:oddHBand="1" w:evenHBand="0" w:firstRowFirstColumn="0" w:firstRowLastColumn="0" w:lastRowFirstColumn="0" w:lastRowLastColumn="0"/>
            </w:pPr>
            <w:r w:rsidRPr="0024764F">
              <w:t>…</w:t>
            </w:r>
          </w:p>
        </w:tc>
        <w:tc>
          <w:tcPr>
            <w:tcW w:w="990" w:type="dxa"/>
          </w:tcPr>
          <w:p w14:paraId="1A219EE2" w14:textId="0A672669"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4,642</w:t>
            </w:r>
          </w:p>
        </w:tc>
        <w:tc>
          <w:tcPr>
            <w:tcW w:w="364" w:type="dxa"/>
          </w:tcPr>
          <w:p w14:paraId="16D903CB" w14:textId="5BCF4DF9" w:rsidR="001542B2" w:rsidRPr="00780204" w:rsidRDefault="001542B2" w:rsidP="00BC69D4">
            <w:pPr>
              <w:jc w:val="center"/>
              <w:cnfStyle w:val="000000100000" w:firstRow="0" w:lastRow="0" w:firstColumn="0" w:lastColumn="0" w:oddVBand="0" w:evenVBand="0" w:oddHBand="1" w:evenHBand="0" w:firstRowFirstColumn="0" w:firstRowLastColumn="0" w:lastRowFirstColumn="0" w:lastRowLastColumn="0"/>
            </w:pPr>
            <w:r w:rsidRPr="0024764F">
              <w:t>…</w:t>
            </w:r>
          </w:p>
        </w:tc>
        <w:tc>
          <w:tcPr>
            <w:tcW w:w="1477" w:type="dxa"/>
          </w:tcPr>
          <w:p w14:paraId="1E73455C" w14:textId="034F4A9B" w:rsidR="001542B2" w:rsidRPr="00780204" w:rsidRDefault="001542B2" w:rsidP="007A5BA2">
            <w:pPr>
              <w:jc w:val="right"/>
              <w:cnfStyle w:val="000000100000" w:firstRow="0" w:lastRow="0" w:firstColumn="0" w:lastColumn="0" w:oddVBand="0" w:evenVBand="0" w:oddHBand="1" w:evenHBand="0" w:firstRowFirstColumn="0" w:firstRowLastColumn="0" w:lastRowFirstColumn="0" w:lastRowLastColumn="0"/>
            </w:pPr>
            <w:r w:rsidRPr="0024764F">
              <w:t>33,887</w:t>
            </w:r>
          </w:p>
        </w:tc>
      </w:tr>
      <w:tr w:rsidR="00BC69D4" w14:paraId="0C347F22"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vAlign w:val="top"/>
          </w:tcPr>
          <w:p w14:paraId="28AA2528" w14:textId="3091C102" w:rsidR="001542B2" w:rsidRDefault="001542B2" w:rsidP="001542B2">
            <w:r>
              <w:t>Virtual SEM</w:t>
            </w:r>
          </w:p>
        </w:tc>
        <w:tc>
          <w:tcPr>
            <w:tcW w:w="1078" w:type="dxa"/>
          </w:tcPr>
          <w:p w14:paraId="2260367E" w14:textId="22F05EBA"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7.0</w:t>
            </w:r>
          </w:p>
        </w:tc>
        <w:tc>
          <w:tcPr>
            <w:tcW w:w="1972" w:type="dxa"/>
          </w:tcPr>
          <w:p w14:paraId="601733C6" w14:textId="04F75073"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1078" w:type="dxa"/>
          </w:tcPr>
          <w:p w14:paraId="752A0F03" w14:textId="11C83CA2"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1.000</w:t>
            </w:r>
          </w:p>
        </w:tc>
        <w:tc>
          <w:tcPr>
            <w:tcW w:w="1221" w:type="dxa"/>
            <w:gridSpan w:val="2"/>
          </w:tcPr>
          <w:p w14:paraId="698EEF5B" w14:textId="067FEFA7"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1221" w:type="dxa"/>
            <w:gridSpan w:val="2"/>
          </w:tcPr>
          <w:p w14:paraId="2B816D45" w14:textId="702617AA"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1221" w:type="dxa"/>
            <w:gridSpan w:val="2"/>
          </w:tcPr>
          <w:p w14:paraId="1F49C988" w14:textId="7FE2E2B4"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1222" w:type="dxa"/>
          </w:tcPr>
          <w:p w14:paraId="6CC53B99" w14:textId="6DE4C210"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360" w:type="dxa"/>
          </w:tcPr>
          <w:p w14:paraId="658C4A93" w14:textId="1E97D98E" w:rsidR="001542B2" w:rsidRDefault="001542B2" w:rsidP="00BC69D4">
            <w:pPr>
              <w:jc w:val="center"/>
              <w:cnfStyle w:val="000000010000" w:firstRow="0" w:lastRow="0" w:firstColumn="0" w:lastColumn="0" w:oddVBand="0" w:evenVBand="0" w:oddHBand="0" w:evenHBand="1" w:firstRowFirstColumn="0" w:firstRowLastColumn="0" w:lastRowFirstColumn="0" w:lastRowLastColumn="0"/>
            </w:pPr>
            <w:r w:rsidRPr="0024764F">
              <w:t>…</w:t>
            </w:r>
          </w:p>
        </w:tc>
        <w:tc>
          <w:tcPr>
            <w:tcW w:w="990" w:type="dxa"/>
          </w:tcPr>
          <w:p w14:paraId="5215DC1E" w14:textId="0C4822C2"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831</w:t>
            </w:r>
          </w:p>
        </w:tc>
        <w:tc>
          <w:tcPr>
            <w:tcW w:w="364" w:type="dxa"/>
          </w:tcPr>
          <w:p w14:paraId="2BAA4843" w14:textId="731BC57F" w:rsidR="001542B2" w:rsidRDefault="001542B2" w:rsidP="00BC69D4">
            <w:pPr>
              <w:jc w:val="center"/>
              <w:cnfStyle w:val="000000010000" w:firstRow="0" w:lastRow="0" w:firstColumn="0" w:lastColumn="0" w:oddVBand="0" w:evenVBand="0" w:oddHBand="0" w:evenHBand="1" w:firstRowFirstColumn="0" w:firstRowLastColumn="0" w:lastRowFirstColumn="0" w:lastRowLastColumn="0"/>
            </w:pPr>
            <w:r w:rsidRPr="0024764F">
              <w:t>…</w:t>
            </w:r>
          </w:p>
        </w:tc>
        <w:tc>
          <w:tcPr>
            <w:tcW w:w="1477" w:type="dxa"/>
          </w:tcPr>
          <w:p w14:paraId="3EA2F241" w14:textId="10A78D53" w:rsidR="001542B2" w:rsidRDefault="001542B2" w:rsidP="007A5BA2">
            <w:pPr>
              <w:jc w:val="right"/>
              <w:cnfStyle w:val="000000010000" w:firstRow="0" w:lastRow="0" w:firstColumn="0" w:lastColumn="0" w:oddVBand="0" w:evenVBand="0" w:oddHBand="0" w:evenHBand="1" w:firstRowFirstColumn="0" w:firstRowLastColumn="0" w:lastRowFirstColumn="0" w:lastRowLastColumn="0"/>
            </w:pPr>
            <w:r w:rsidRPr="0024764F">
              <w:t>5,814</w:t>
            </w:r>
          </w:p>
        </w:tc>
      </w:tr>
      <w:tr w:rsidR="00BC69D4" w14:paraId="2116B629"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0" w:type="dxa"/>
            <w:gridSpan w:val="2"/>
            <w:shd w:val="clear" w:color="auto" w:fill="D9D9D9" w:themeFill="background1" w:themeFillShade="D9"/>
            <w:vAlign w:val="top"/>
          </w:tcPr>
          <w:p w14:paraId="2DA60258" w14:textId="003E841A" w:rsidR="00B12D25" w:rsidRPr="00E644D5" w:rsidRDefault="00B12D25" w:rsidP="00B12D25">
            <w:pPr>
              <w:rPr>
                <w:rFonts w:ascii="Franklin Gothic Medium" w:hAnsi="Franklin Gothic Medium"/>
              </w:rPr>
            </w:pPr>
            <w:r w:rsidRPr="00E644D5">
              <w:rPr>
                <w:rFonts w:ascii="Franklin Gothic Medium" w:hAnsi="Franklin Gothic Medium"/>
              </w:rPr>
              <w:t>2024 CPAS</w:t>
            </w:r>
          </w:p>
        </w:tc>
        <w:tc>
          <w:tcPr>
            <w:tcW w:w="1972" w:type="dxa"/>
            <w:shd w:val="clear" w:color="auto" w:fill="D9D9D9" w:themeFill="background1" w:themeFillShade="D9"/>
          </w:tcPr>
          <w:p w14:paraId="54B4AC94" w14:textId="7FFB113C"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7,618</w:t>
            </w:r>
          </w:p>
        </w:tc>
        <w:tc>
          <w:tcPr>
            <w:tcW w:w="1078" w:type="dxa"/>
            <w:shd w:val="clear" w:color="auto" w:fill="D9D9D9" w:themeFill="background1" w:themeFillShade="D9"/>
          </w:tcPr>
          <w:p w14:paraId="324D95F7" w14:textId="3ED3E22A"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0.945</w:t>
            </w:r>
          </w:p>
        </w:tc>
        <w:tc>
          <w:tcPr>
            <w:tcW w:w="1221" w:type="dxa"/>
            <w:gridSpan w:val="2"/>
            <w:shd w:val="clear" w:color="auto" w:fill="D9D9D9" w:themeFill="background1" w:themeFillShade="D9"/>
          </w:tcPr>
          <w:p w14:paraId="657EE34B" w14:textId="1036F42E"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7,203</w:t>
            </w:r>
          </w:p>
        </w:tc>
        <w:tc>
          <w:tcPr>
            <w:tcW w:w="1221" w:type="dxa"/>
            <w:gridSpan w:val="2"/>
            <w:shd w:val="clear" w:color="auto" w:fill="D9D9D9" w:themeFill="background1" w:themeFillShade="D9"/>
          </w:tcPr>
          <w:p w14:paraId="4FE2A7C9" w14:textId="424C615C"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7,203</w:t>
            </w:r>
          </w:p>
        </w:tc>
        <w:tc>
          <w:tcPr>
            <w:tcW w:w="1221" w:type="dxa"/>
            <w:gridSpan w:val="2"/>
            <w:shd w:val="clear" w:color="auto" w:fill="D9D9D9" w:themeFill="background1" w:themeFillShade="D9"/>
          </w:tcPr>
          <w:p w14:paraId="454BA74E" w14:textId="3A0DDA95"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7,203</w:t>
            </w:r>
          </w:p>
        </w:tc>
        <w:tc>
          <w:tcPr>
            <w:tcW w:w="1222" w:type="dxa"/>
            <w:shd w:val="clear" w:color="auto" w:fill="D9D9D9" w:themeFill="background1" w:themeFillShade="D9"/>
          </w:tcPr>
          <w:p w14:paraId="025E3AA6" w14:textId="214EE33D"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7,203</w:t>
            </w:r>
          </w:p>
        </w:tc>
        <w:tc>
          <w:tcPr>
            <w:tcW w:w="360" w:type="dxa"/>
            <w:shd w:val="clear" w:color="auto" w:fill="D9D9D9" w:themeFill="background1" w:themeFillShade="D9"/>
          </w:tcPr>
          <w:p w14:paraId="73FCA793" w14:textId="77777777" w:rsidR="00B12D25" w:rsidRPr="00E644D5" w:rsidRDefault="00B12D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990" w:type="dxa"/>
            <w:shd w:val="clear" w:color="auto" w:fill="D9D9D9" w:themeFill="background1" w:themeFillShade="D9"/>
          </w:tcPr>
          <w:p w14:paraId="3EB5B83A" w14:textId="4E568C9C"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7,203</w:t>
            </w:r>
          </w:p>
        </w:tc>
        <w:tc>
          <w:tcPr>
            <w:tcW w:w="364" w:type="dxa"/>
            <w:shd w:val="clear" w:color="auto" w:fill="D9D9D9" w:themeFill="background1" w:themeFillShade="D9"/>
          </w:tcPr>
          <w:p w14:paraId="5C69635C" w14:textId="77777777" w:rsidR="00B12D25" w:rsidRPr="00E644D5" w:rsidRDefault="00B12D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1477" w:type="dxa"/>
            <w:shd w:val="clear" w:color="auto" w:fill="D9D9D9" w:themeFill="background1" w:themeFillShade="D9"/>
          </w:tcPr>
          <w:p w14:paraId="5215958A" w14:textId="341049A9"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54,581</w:t>
            </w:r>
          </w:p>
        </w:tc>
      </w:tr>
      <w:tr w:rsidR="00BC69D4" w14:paraId="201C244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0" w:type="dxa"/>
            <w:gridSpan w:val="4"/>
            <w:shd w:val="clear" w:color="auto" w:fill="D9D9D9" w:themeFill="background1" w:themeFillShade="D9"/>
            <w:vAlign w:val="top"/>
          </w:tcPr>
          <w:p w14:paraId="440761CC" w14:textId="6DF2DE64" w:rsidR="00B12D25" w:rsidRPr="00E644D5" w:rsidRDefault="00B12D25" w:rsidP="00B12D25">
            <w:pPr>
              <w:rPr>
                <w:rFonts w:ascii="Franklin Gothic Medium" w:hAnsi="Franklin Gothic Medium"/>
              </w:rPr>
            </w:pPr>
            <w:r w:rsidRPr="00E644D5">
              <w:rPr>
                <w:rFonts w:ascii="Franklin Gothic Medium" w:hAnsi="Franklin Gothic Medium"/>
              </w:rPr>
              <w:t>Expiring 2024 CPAS</w:t>
            </w:r>
          </w:p>
        </w:tc>
        <w:tc>
          <w:tcPr>
            <w:tcW w:w="1221" w:type="dxa"/>
            <w:gridSpan w:val="2"/>
            <w:shd w:val="clear" w:color="auto" w:fill="D9D9D9" w:themeFill="background1" w:themeFillShade="D9"/>
          </w:tcPr>
          <w:p w14:paraId="6A3FA8F2" w14:textId="0C64C092" w:rsidR="00B12D25"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1" w:type="dxa"/>
            <w:gridSpan w:val="2"/>
            <w:shd w:val="clear" w:color="auto" w:fill="D9D9D9" w:themeFill="background1" w:themeFillShade="D9"/>
          </w:tcPr>
          <w:p w14:paraId="274143F3" w14:textId="29DBD9D0" w:rsidR="00B12D25"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1" w:type="dxa"/>
            <w:gridSpan w:val="2"/>
            <w:shd w:val="clear" w:color="auto" w:fill="D9D9D9" w:themeFill="background1" w:themeFillShade="D9"/>
          </w:tcPr>
          <w:p w14:paraId="0DD89AAC" w14:textId="1062A468" w:rsidR="00B12D25"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2" w:type="dxa"/>
            <w:shd w:val="clear" w:color="auto" w:fill="D9D9D9" w:themeFill="background1" w:themeFillShade="D9"/>
          </w:tcPr>
          <w:p w14:paraId="49B26059" w14:textId="2EE14811" w:rsidR="00B12D25"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360" w:type="dxa"/>
            <w:shd w:val="clear" w:color="auto" w:fill="D9D9D9" w:themeFill="background1" w:themeFillShade="D9"/>
          </w:tcPr>
          <w:p w14:paraId="5B270215" w14:textId="77777777" w:rsidR="00B12D25" w:rsidRPr="00E644D5" w:rsidRDefault="00B12D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990" w:type="dxa"/>
            <w:shd w:val="clear" w:color="auto" w:fill="D9D9D9" w:themeFill="background1" w:themeFillShade="D9"/>
          </w:tcPr>
          <w:p w14:paraId="0287D1F9" w14:textId="0A0331D4" w:rsidR="00B12D25"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364" w:type="dxa"/>
            <w:shd w:val="clear" w:color="auto" w:fill="D9D9D9" w:themeFill="background1" w:themeFillShade="D9"/>
          </w:tcPr>
          <w:p w14:paraId="2F8EF7FA" w14:textId="77777777" w:rsidR="00B12D25" w:rsidRPr="00E644D5" w:rsidRDefault="00B12D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1477" w:type="dxa"/>
            <w:tcBorders>
              <w:top w:val="nil"/>
              <w:bottom w:val="nil"/>
              <w:right w:val="nil"/>
            </w:tcBorders>
            <w:shd w:val="clear" w:color="auto" w:fill="FFFFFF" w:themeFill="background1"/>
            <w:vAlign w:val="top"/>
          </w:tcPr>
          <w:p w14:paraId="1ACC0658" w14:textId="77777777" w:rsidR="00B12D25" w:rsidRPr="00E644D5" w:rsidRDefault="00B12D25" w:rsidP="00B12D2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C69D4" w14:paraId="0A487F0C"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30" w:type="dxa"/>
            <w:gridSpan w:val="4"/>
            <w:shd w:val="clear" w:color="auto" w:fill="D9D9D9" w:themeFill="background1" w:themeFillShade="D9"/>
            <w:vAlign w:val="top"/>
          </w:tcPr>
          <w:p w14:paraId="39369463" w14:textId="41A2A6CE" w:rsidR="00B12D25" w:rsidRPr="00E644D5" w:rsidRDefault="00B12D25" w:rsidP="00B12D25">
            <w:pPr>
              <w:rPr>
                <w:rFonts w:ascii="Franklin Gothic Medium" w:hAnsi="Franklin Gothic Medium"/>
              </w:rPr>
            </w:pPr>
            <w:r w:rsidRPr="00E644D5">
              <w:rPr>
                <w:rFonts w:ascii="Franklin Gothic Medium" w:hAnsi="Franklin Gothic Medium"/>
              </w:rPr>
              <w:t>Expired 2024 CPAS</w:t>
            </w:r>
          </w:p>
        </w:tc>
        <w:tc>
          <w:tcPr>
            <w:tcW w:w="1221" w:type="dxa"/>
            <w:gridSpan w:val="2"/>
            <w:shd w:val="clear" w:color="auto" w:fill="D9D9D9" w:themeFill="background1" w:themeFillShade="D9"/>
          </w:tcPr>
          <w:p w14:paraId="7DE76D0F" w14:textId="7896BA30"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1" w:type="dxa"/>
            <w:gridSpan w:val="2"/>
            <w:shd w:val="clear" w:color="auto" w:fill="D9D9D9" w:themeFill="background1" w:themeFillShade="D9"/>
          </w:tcPr>
          <w:p w14:paraId="324FC326" w14:textId="14B92977"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1" w:type="dxa"/>
            <w:gridSpan w:val="2"/>
            <w:shd w:val="clear" w:color="auto" w:fill="D9D9D9" w:themeFill="background1" w:themeFillShade="D9"/>
          </w:tcPr>
          <w:p w14:paraId="38FE5575" w14:textId="360FE3C0"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1222" w:type="dxa"/>
            <w:shd w:val="clear" w:color="auto" w:fill="D9D9D9" w:themeFill="background1" w:themeFillShade="D9"/>
          </w:tcPr>
          <w:p w14:paraId="10213C61" w14:textId="0F2C9FA6"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360" w:type="dxa"/>
            <w:shd w:val="clear" w:color="auto" w:fill="D9D9D9" w:themeFill="background1" w:themeFillShade="D9"/>
          </w:tcPr>
          <w:p w14:paraId="661604AA" w14:textId="77777777" w:rsidR="00B12D25" w:rsidRPr="00E644D5" w:rsidRDefault="00B12D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990" w:type="dxa"/>
            <w:shd w:val="clear" w:color="auto" w:fill="D9D9D9" w:themeFill="background1" w:themeFillShade="D9"/>
          </w:tcPr>
          <w:p w14:paraId="75BDED22" w14:textId="5C7AB0C9" w:rsidR="00B12D25" w:rsidRPr="00E644D5" w:rsidRDefault="00B12D25" w:rsidP="007A5BA2">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0</w:t>
            </w:r>
          </w:p>
        </w:tc>
        <w:tc>
          <w:tcPr>
            <w:tcW w:w="364" w:type="dxa"/>
            <w:shd w:val="clear" w:color="auto" w:fill="D9D9D9" w:themeFill="background1" w:themeFillShade="D9"/>
          </w:tcPr>
          <w:p w14:paraId="123F2977" w14:textId="77777777" w:rsidR="00B12D25" w:rsidRPr="00E644D5" w:rsidRDefault="00B12D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E644D5">
              <w:rPr>
                <w:rFonts w:ascii="Franklin Gothic Medium" w:hAnsi="Franklin Gothic Medium"/>
              </w:rPr>
              <w:t>…</w:t>
            </w:r>
          </w:p>
        </w:tc>
        <w:tc>
          <w:tcPr>
            <w:tcW w:w="1477" w:type="dxa"/>
            <w:tcBorders>
              <w:top w:val="nil"/>
              <w:bottom w:val="nil"/>
              <w:right w:val="nil"/>
            </w:tcBorders>
            <w:shd w:val="clear" w:color="auto" w:fill="FFFFFF" w:themeFill="background1"/>
            <w:vAlign w:val="top"/>
          </w:tcPr>
          <w:p w14:paraId="1C26744D" w14:textId="77777777" w:rsidR="00B12D25" w:rsidRPr="00E644D5" w:rsidRDefault="00B12D25" w:rsidP="00B12D25">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3E96216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dxa"/>
            <w:shd w:val="clear" w:color="auto" w:fill="D9D9D9" w:themeFill="background1" w:themeFillShade="D9"/>
            <w:vAlign w:val="top"/>
          </w:tcPr>
          <w:p w14:paraId="1A3EB75E" w14:textId="77777777" w:rsidR="00960F83" w:rsidRPr="00E644D5" w:rsidRDefault="00960F83" w:rsidP="00960F83">
            <w:pPr>
              <w:rPr>
                <w:rFonts w:ascii="Franklin Gothic Medium" w:hAnsi="Franklin Gothic Medium"/>
              </w:rPr>
            </w:pPr>
            <w:r w:rsidRPr="00E644D5">
              <w:rPr>
                <w:rFonts w:ascii="Franklin Gothic Medium" w:hAnsi="Franklin Gothic Medium"/>
              </w:rPr>
              <w:t>WAML</w:t>
            </w:r>
          </w:p>
        </w:tc>
        <w:tc>
          <w:tcPr>
            <w:tcW w:w="1078" w:type="dxa"/>
            <w:shd w:val="clear" w:color="auto" w:fill="D9D9D9" w:themeFill="background1" w:themeFillShade="D9"/>
          </w:tcPr>
          <w:p w14:paraId="730D59FA" w14:textId="57800FF4" w:rsidR="00960F83" w:rsidRPr="00E644D5" w:rsidRDefault="00B12D25"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E644D5">
              <w:rPr>
                <w:rFonts w:ascii="Franklin Gothic Medium" w:hAnsi="Franklin Gothic Medium"/>
              </w:rPr>
              <w:t>7.6</w:t>
            </w:r>
          </w:p>
        </w:tc>
        <w:tc>
          <w:tcPr>
            <w:tcW w:w="1972" w:type="dxa"/>
            <w:tcBorders>
              <w:top w:val="nil"/>
              <w:bottom w:val="nil"/>
              <w:right w:val="nil"/>
            </w:tcBorders>
            <w:shd w:val="clear" w:color="auto" w:fill="FFFFFF" w:themeFill="background1"/>
          </w:tcPr>
          <w:p w14:paraId="6241BAF0" w14:textId="77777777" w:rsidR="00960F83" w:rsidRPr="00E644D5" w:rsidRDefault="00960F83" w:rsidP="007A5BA2">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78" w:type="dxa"/>
            <w:tcBorders>
              <w:top w:val="nil"/>
              <w:left w:val="nil"/>
              <w:bottom w:val="nil"/>
              <w:right w:val="nil"/>
            </w:tcBorders>
            <w:shd w:val="clear" w:color="auto" w:fill="FFFFFF" w:themeFill="background1"/>
            <w:vAlign w:val="top"/>
          </w:tcPr>
          <w:p w14:paraId="0EAD716B"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6" w:type="dxa"/>
            <w:tcBorders>
              <w:top w:val="nil"/>
              <w:left w:val="nil"/>
              <w:bottom w:val="nil"/>
              <w:right w:val="nil"/>
            </w:tcBorders>
            <w:shd w:val="clear" w:color="auto" w:fill="FFFFFF" w:themeFill="background1"/>
            <w:vAlign w:val="top"/>
          </w:tcPr>
          <w:p w14:paraId="2EE4BC63"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7" w:type="dxa"/>
            <w:gridSpan w:val="2"/>
            <w:tcBorders>
              <w:top w:val="nil"/>
              <w:left w:val="nil"/>
              <w:bottom w:val="nil"/>
              <w:right w:val="nil"/>
            </w:tcBorders>
            <w:shd w:val="clear" w:color="auto" w:fill="FFFFFF" w:themeFill="background1"/>
            <w:vAlign w:val="top"/>
          </w:tcPr>
          <w:p w14:paraId="181BE361"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6" w:type="dxa"/>
            <w:gridSpan w:val="2"/>
            <w:tcBorders>
              <w:top w:val="nil"/>
              <w:left w:val="nil"/>
              <w:bottom w:val="nil"/>
              <w:right w:val="nil"/>
            </w:tcBorders>
            <w:shd w:val="clear" w:color="auto" w:fill="FFFFFF" w:themeFill="background1"/>
            <w:vAlign w:val="top"/>
          </w:tcPr>
          <w:p w14:paraId="00EEC9AC"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076" w:type="dxa"/>
            <w:gridSpan w:val="2"/>
            <w:tcBorders>
              <w:top w:val="nil"/>
              <w:left w:val="nil"/>
              <w:bottom w:val="nil"/>
              <w:right w:val="nil"/>
            </w:tcBorders>
            <w:shd w:val="clear" w:color="auto" w:fill="FFFFFF" w:themeFill="background1"/>
            <w:vAlign w:val="top"/>
          </w:tcPr>
          <w:p w14:paraId="63BB7F42"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0" w:type="dxa"/>
            <w:tcBorders>
              <w:top w:val="nil"/>
              <w:left w:val="nil"/>
              <w:bottom w:val="nil"/>
              <w:right w:val="nil"/>
            </w:tcBorders>
            <w:shd w:val="clear" w:color="auto" w:fill="FFFFFF" w:themeFill="background1"/>
            <w:vAlign w:val="top"/>
          </w:tcPr>
          <w:p w14:paraId="2B0DF486"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top w:val="nil"/>
              <w:left w:val="nil"/>
              <w:bottom w:val="nil"/>
              <w:right w:val="nil"/>
            </w:tcBorders>
            <w:shd w:val="clear" w:color="auto" w:fill="FFFFFF" w:themeFill="background1"/>
            <w:vAlign w:val="top"/>
          </w:tcPr>
          <w:p w14:paraId="516A8D0C"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64" w:type="dxa"/>
            <w:tcBorders>
              <w:top w:val="nil"/>
              <w:left w:val="nil"/>
              <w:bottom w:val="nil"/>
              <w:right w:val="nil"/>
            </w:tcBorders>
            <w:shd w:val="clear" w:color="auto" w:fill="FFFFFF" w:themeFill="background1"/>
            <w:vAlign w:val="top"/>
          </w:tcPr>
          <w:p w14:paraId="7FB1F36D"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77" w:type="dxa"/>
            <w:tcBorders>
              <w:top w:val="nil"/>
              <w:left w:val="nil"/>
              <w:bottom w:val="nil"/>
              <w:right w:val="nil"/>
            </w:tcBorders>
            <w:shd w:val="clear" w:color="auto" w:fill="FFFFFF" w:themeFill="background1"/>
            <w:vAlign w:val="top"/>
          </w:tcPr>
          <w:p w14:paraId="68D49647" w14:textId="77777777" w:rsidR="00960F83" w:rsidRPr="00E644D5" w:rsidRDefault="00960F83" w:rsidP="00960F83">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39DA4D1E" w14:textId="47C0F0AE" w:rsidR="00563FCD" w:rsidRDefault="00563FCD">
      <w:r>
        <w:br w:type="page"/>
      </w:r>
    </w:p>
    <w:p w14:paraId="7D261A7B" w14:textId="77777777" w:rsidR="00563FCD" w:rsidRDefault="00563FCD" w:rsidP="00563FCD">
      <w:pPr>
        <w:sectPr w:rsidR="00563FCD" w:rsidSect="00563FCD">
          <w:pgSz w:w="15840" w:h="12240" w:orient="landscape" w:code="1"/>
          <w:pgMar w:top="562" w:right="562" w:bottom="562" w:left="562" w:header="562" w:footer="346" w:gutter="0"/>
          <w:cols w:space="708"/>
          <w:docGrid w:linePitch="360"/>
        </w:sectPr>
      </w:pPr>
    </w:p>
    <w:p w14:paraId="58378BFA" w14:textId="7BE98475" w:rsidR="00790696" w:rsidRDefault="00790696" w:rsidP="00F33E55">
      <w:pPr>
        <w:pStyle w:val="Heading3"/>
        <w:tabs>
          <w:tab w:val="clear" w:pos="2160"/>
          <w:tab w:val="num" w:pos="1080"/>
        </w:tabs>
        <w:ind w:left="0"/>
      </w:pPr>
      <w:bookmarkStart w:id="215" w:name="_Toc191992433"/>
      <w:r>
        <w:lastRenderedPageBreak/>
        <w:t>Conclusions and Recommendations</w:t>
      </w:r>
      <w:bookmarkEnd w:id="215"/>
    </w:p>
    <w:p w14:paraId="285B1A4B" w14:textId="0792A2A1" w:rsidR="00704706" w:rsidRDefault="00704706" w:rsidP="00704706">
      <w:r>
        <w:t xml:space="preserve">Based on the </w:t>
      </w:r>
      <w:r w:rsidR="006224ED">
        <w:t>evaluation results</w:t>
      </w:r>
      <w:r>
        <w:t>, the evaluation team offers the following key findings and recommendations for the Retro-Commissioning Initiative</w:t>
      </w:r>
      <w:r w:rsidR="00E7685D">
        <w:t>:</w:t>
      </w:r>
      <w:r>
        <w:t xml:space="preserve"> </w:t>
      </w:r>
    </w:p>
    <w:p w14:paraId="40E06951" w14:textId="616AA79E" w:rsidR="00960F83" w:rsidRDefault="00960F83" w:rsidP="00960F83">
      <w:pPr>
        <w:pStyle w:val="Heading4"/>
      </w:pPr>
      <w:r>
        <w:t>Retro-Commissioning Core Channel</w:t>
      </w:r>
    </w:p>
    <w:p w14:paraId="7C3519A5" w14:textId="1E13CF02" w:rsidR="00960F83" w:rsidRPr="00637A7B" w:rsidRDefault="00960F83" w:rsidP="00960F83">
      <w:pPr>
        <w:pStyle w:val="ListBullet"/>
      </w:pPr>
      <w:r>
        <w:rPr>
          <w:b/>
          <w:bCs/>
        </w:rPr>
        <w:t xml:space="preserve">Finding #1: </w:t>
      </w:r>
      <w:r w:rsidR="006F1233" w:rsidRPr="006F1233">
        <w:t xml:space="preserve">The implementation team estimated ex ante electric demand savings for </w:t>
      </w:r>
      <w:r w:rsidR="0028512B">
        <w:t>one of the</w:t>
      </w:r>
      <w:r w:rsidR="006F1233" w:rsidRPr="006F1233">
        <w:t xml:space="preserve"> projects by dividing the ex ante electric energy savings by 8,760 hours. This approach assumes that the energy savings produced by </w:t>
      </w:r>
      <w:r w:rsidR="0028512B">
        <w:t>that</w:t>
      </w:r>
      <w:r w:rsidR="006F1233" w:rsidRPr="006F1233">
        <w:t xml:space="preserve"> project have a 100% coincidence factor with the peak hours defined in the IL-TRM.</w:t>
      </w:r>
    </w:p>
    <w:p w14:paraId="2B92FC29" w14:textId="5EAEABAD" w:rsidR="00960F83" w:rsidRPr="00704706" w:rsidRDefault="00960F83" w:rsidP="00704706">
      <w:pPr>
        <w:pStyle w:val="ListBullet2"/>
      </w:pPr>
      <w:r>
        <w:rPr>
          <w:b/>
          <w:bCs/>
        </w:rPr>
        <w:t>Recommendation:</w:t>
      </w:r>
      <w:r w:rsidR="006F1233">
        <w:rPr>
          <w:b/>
          <w:bCs/>
        </w:rPr>
        <w:t xml:space="preserve"> </w:t>
      </w:r>
      <w:r w:rsidR="006F1233" w:rsidRPr="006F1233">
        <w:t>We recommend that the implementation team review their approach to estimating ex ante demand savings for Large Facility RCx projects and limit savings claims to measures likely to impact the facility's energy usage during the peak hours</w:t>
      </w:r>
      <w:r w:rsidR="006224ED">
        <w:t xml:space="preserve"> defined in the IL-TRM</w:t>
      </w:r>
      <w:r w:rsidR="006F1233" w:rsidRPr="006F1233">
        <w:t>.</w:t>
      </w:r>
    </w:p>
    <w:p w14:paraId="2BC8ABA8" w14:textId="3D4ADEF7" w:rsidR="00790696" w:rsidRDefault="00790696" w:rsidP="00790696">
      <w:pPr>
        <w:pStyle w:val="Heading4"/>
      </w:pPr>
      <w:r>
        <w:t>Virtual Commissioning Channel</w:t>
      </w:r>
    </w:p>
    <w:p w14:paraId="0F3AB042" w14:textId="054D611C" w:rsidR="00790696" w:rsidRPr="00637A7B" w:rsidRDefault="00790696" w:rsidP="00790696">
      <w:pPr>
        <w:pStyle w:val="ListBullet"/>
      </w:pPr>
      <w:r>
        <w:rPr>
          <w:b/>
          <w:bCs/>
        </w:rPr>
        <w:t xml:space="preserve">Finding #1: </w:t>
      </w:r>
      <w:r w:rsidR="00A063BE" w:rsidRPr="00A063BE">
        <w:t xml:space="preserve">In 2023, the evaluation team noted that the implementation team did not include weather interaction terms in their ex ante models for projects that included weather-sensitive interventions. The implementation team expressed that including these terms in the ex ante models was not practical from an implementation perspective due to the need to provide timely savings estimates to participating facilities. The evaluation team acknowledges these considerations but continued to apply weather interactions in the 2024 verified models for projects that met the following criteria: </w:t>
      </w:r>
      <w:r w:rsidR="006224ED">
        <w:t>(</w:t>
      </w:r>
      <w:r w:rsidR="00A063BE" w:rsidRPr="00A063BE">
        <w:t>1) interventions were weather sensitive; (2) the post-period contained more than nine months of data covering all four seasons in a typical weather year; and, 3) inclusion of weather interactions added explanatory value to the model.</w:t>
      </w:r>
    </w:p>
    <w:p w14:paraId="59887C10" w14:textId="095726CB" w:rsidR="00790696" w:rsidRPr="00637A7B" w:rsidRDefault="00790696" w:rsidP="00790696">
      <w:pPr>
        <w:pStyle w:val="ListBullet2"/>
      </w:pPr>
      <w:r>
        <w:rPr>
          <w:b/>
          <w:bCs/>
        </w:rPr>
        <w:t>Recommendation:</w:t>
      </w:r>
      <w:r w:rsidR="00A063BE">
        <w:rPr>
          <w:b/>
          <w:bCs/>
        </w:rPr>
        <w:t xml:space="preserve"> </w:t>
      </w:r>
      <w:r w:rsidR="00A063BE" w:rsidRPr="00A063BE">
        <w:t>The evaluation team recognizes the implementation team’s desire to provide timely savings estimates to participating facilities and that the application of simplified models enables quick feedback due to the reduced post-period data requirements. However, if the implementation team wishes to reduce evaluation risk, we recommend applying the more robust model specifications when estimating ex ante savings for projects</w:t>
      </w:r>
      <w:r w:rsidR="006224ED">
        <w:t>,</w:t>
      </w:r>
      <w:r w:rsidR="00A063BE" w:rsidRPr="00A063BE">
        <w:t xml:space="preserve"> including weather-sensitive interventions</w:t>
      </w:r>
      <w:r w:rsidR="006224ED">
        <w:t>,</w:t>
      </w:r>
      <w:r w:rsidR="00A063BE" w:rsidRPr="00A063BE">
        <w:t xml:space="preserve"> whenever sufficient </w:t>
      </w:r>
      <w:r w:rsidR="006224ED">
        <w:t>data are</w:t>
      </w:r>
      <w:r w:rsidR="00A063BE" w:rsidRPr="00A063BE">
        <w:t xml:space="preserve"> available.</w:t>
      </w:r>
    </w:p>
    <w:p w14:paraId="6BADBED8" w14:textId="5CFFFDA4" w:rsidR="00790696" w:rsidRDefault="00790696" w:rsidP="00790696">
      <w:pPr>
        <w:pStyle w:val="Heading4"/>
      </w:pPr>
      <w:r>
        <w:t>Virtual Strategic Energy Management Channel</w:t>
      </w:r>
    </w:p>
    <w:p w14:paraId="7B551A0B" w14:textId="3EAD0885" w:rsidR="00FD6EB1" w:rsidRDefault="00790696" w:rsidP="00FD6EB1">
      <w:pPr>
        <w:pStyle w:val="ListBullet"/>
      </w:pPr>
      <w:r>
        <w:rPr>
          <w:b/>
          <w:bCs/>
        </w:rPr>
        <w:t xml:space="preserve">Finding #1: </w:t>
      </w:r>
      <w:r w:rsidR="00FD6EB1" w:rsidRPr="00FD6EB1">
        <w:t xml:space="preserve">Based </w:t>
      </w:r>
      <w:r w:rsidR="006476B1" w:rsidRPr="006476B1">
        <w:t>on a review of the implementation logs, it is clear that each Virtual SEM project includes a broad set of interventions.</w:t>
      </w:r>
      <w:r w:rsidR="0028512B">
        <w:t xml:space="preserve"> </w:t>
      </w:r>
      <w:r w:rsidR="0028512B" w:rsidRPr="0028512B">
        <w:t>The interventions are often implemented in multiple stages and over a long period</w:t>
      </w:r>
      <w:r w:rsidR="0028512B">
        <w:t xml:space="preserve"> of time.</w:t>
      </w:r>
      <w:r w:rsidR="006476B1" w:rsidRPr="006476B1">
        <w:t xml:space="preserve"> Individually, each </w:t>
      </w:r>
      <w:r w:rsidR="006224ED">
        <w:t>intervention is expected to produce different magnitudes of energy savings, accumulating</w:t>
      </w:r>
      <w:r w:rsidR="006476B1" w:rsidRPr="006476B1">
        <w:t xml:space="preserve"> over time as each intervention is implemented. In this context, defining an appropriate post-period is </w:t>
      </w:r>
      <w:r w:rsidR="006224ED">
        <w:t>challenging but</w:t>
      </w:r>
      <w:r w:rsidR="006224ED" w:rsidRPr="006476B1">
        <w:t xml:space="preserve"> </w:t>
      </w:r>
      <w:r w:rsidR="006476B1" w:rsidRPr="006476B1">
        <w:t xml:space="preserve">crucial. For example, the interventions included in project a1CTO000000MUnR2AW were implemented from May through October. However, the reporting date was set in May, which meant the ex ante post-period included a five-month period in which conditions at the site were still changing. Removing this </w:t>
      </w:r>
      <w:r w:rsidR="006224ED">
        <w:t>period</w:t>
      </w:r>
      <w:r w:rsidR="006476B1" w:rsidRPr="006476B1">
        <w:t xml:space="preserve"> from the verified analysis and setting the post-period to begin after the last intervention led to an unadjusted gross realization rate </w:t>
      </w:r>
      <w:r w:rsidR="00FD6EB1" w:rsidRPr="00FD6EB1">
        <w:t xml:space="preserve">of 140%. </w:t>
      </w:r>
    </w:p>
    <w:p w14:paraId="3F8FDC28" w14:textId="332B678D" w:rsidR="00FD6EB1" w:rsidRPr="0028512B" w:rsidRDefault="00FD6EB1" w:rsidP="00FD6EB1">
      <w:pPr>
        <w:pStyle w:val="ListBullet2"/>
      </w:pPr>
      <w:r>
        <w:rPr>
          <w:b/>
          <w:bCs/>
        </w:rPr>
        <w:t>Recommendation:</w:t>
      </w:r>
      <w:r w:rsidR="0028512B">
        <w:rPr>
          <w:b/>
          <w:bCs/>
        </w:rPr>
        <w:t xml:space="preserve"> </w:t>
      </w:r>
      <w:r w:rsidR="0028512B" w:rsidRPr="0028512B">
        <w:t>The evaluation team recognizes the trade-offs the implementation team faces between capturing savings of all interventions and providing timely savings estimates to participants and AIC</w:t>
      </w:r>
      <w:r w:rsidR="0028512B">
        <w:t>.</w:t>
      </w:r>
      <w:r w:rsidR="0028512B" w:rsidRPr="0028512B">
        <w:t xml:space="preserve"> However, to fully capture savings from all Virtual SEM interventions, the evaluation team recommends </w:t>
      </w:r>
      <w:r w:rsidR="006224ED">
        <w:t xml:space="preserve">removing implementation ramp-up periods from the analysis, and </w:t>
      </w:r>
      <w:r w:rsidR="0027445D">
        <w:t xml:space="preserve">starting </w:t>
      </w:r>
      <w:r w:rsidR="006224ED">
        <w:t xml:space="preserve">the post-period </w:t>
      </w:r>
      <w:r w:rsidR="0028512B" w:rsidRPr="0028512B">
        <w:t>after the last intervention is completed.</w:t>
      </w:r>
    </w:p>
    <w:p w14:paraId="4E6778FD" w14:textId="4B41BA98" w:rsidR="00790696" w:rsidRDefault="00790696" w:rsidP="001F01F9">
      <w:pPr>
        <w:pStyle w:val="Heading2"/>
      </w:pPr>
      <w:bookmarkStart w:id="216" w:name="_Toc191992434"/>
      <w:bookmarkStart w:id="217" w:name="_Toc192766908"/>
      <w:r>
        <w:lastRenderedPageBreak/>
        <w:t>Streetlighting Initiative</w:t>
      </w:r>
      <w:bookmarkEnd w:id="216"/>
      <w:bookmarkEnd w:id="217"/>
    </w:p>
    <w:p w14:paraId="50231101" w14:textId="793227D3" w:rsidR="00790696" w:rsidRDefault="00790696" w:rsidP="00526C94">
      <w:pPr>
        <w:pStyle w:val="Heading3"/>
        <w:tabs>
          <w:tab w:val="clear" w:pos="2160"/>
          <w:tab w:val="num" w:pos="1080"/>
        </w:tabs>
        <w:ind w:left="0"/>
      </w:pPr>
      <w:bookmarkStart w:id="218" w:name="_Toc191992435"/>
      <w:r>
        <w:t>Initiative Description</w:t>
      </w:r>
      <w:bookmarkEnd w:id="218"/>
    </w:p>
    <w:p w14:paraId="313AD568" w14:textId="580B9C74" w:rsidR="00C83112" w:rsidRDefault="00C83112" w:rsidP="00C83112">
      <w:r>
        <w:t xml:space="preserve">The AIC Streetlighting Initiative, launched in 2018, encourages </w:t>
      </w:r>
      <w:r w:rsidR="007816C7">
        <w:t>the replacement</w:t>
      </w:r>
      <w:r>
        <w:t xml:space="preserve"> of streetlighting using high-pressure sodium (HPS) and mercury vapor (MV) lighting with energy-efficient LED technology. High-intensity discharge lighting, specifically HPS, is still the standard technology used for streetlighting in the United States. The </w:t>
      </w:r>
      <w:r w:rsidR="00400102">
        <w:t>implementation team</w:t>
      </w:r>
      <w:r>
        <w:t xml:space="preserve"> targets streetlighting upgrades through </w:t>
      </w:r>
      <w:r w:rsidR="006224ED">
        <w:t>the</w:t>
      </w:r>
      <w:r>
        <w:t xml:space="preserve"> Municipality-Owned Streetlighting (MOSL) and Utility-Owned Streetlighting (UOSL)</w:t>
      </w:r>
      <w:r w:rsidR="006224ED">
        <w:t xml:space="preserve"> channels</w:t>
      </w:r>
      <w:r>
        <w:t xml:space="preserve">, described in more detail in subsequent sections. </w:t>
      </w:r>
    </w:p>
    <w:p w14:paraId="2BF1C6AA" w14:textId="3ECB3E23" w:rsidR="00C83112" w:rsidRPr="00C83112" w:rsidRDefault="00C83112" w:rsidP="00C83112">
      <w:r>
        <w:t xml:space="preserve">Overall, the implementation team set a goal of achieving </w:t>
      </w:r>
      <w:r w:rsidR="00BE6CD3">
        <w:t>14,130</w:t>
      </w:r>
      <w:r>
        <w:t xml:space="preserve"> MWh of savings through the Streetlighting Initiative in 2024. </w:t>
      </w:r>
    </w:p>
    <w:p w14:paraId="609598A7" w14:textId="27EC535E" w:rsidR="00790696" w:rsidRDefault="00790696" w:rsidP="00526C94">
      <w:pPr>
        <w:pStyle w:val="Heading3"/>
        <w:tabs>
          <w:tab w:val="clear" w:pos="2160"/>
          <w:tab w:val="num" w:pos="1080"/>
        </w:tabs>
        <w:ind w:left="0"/>
      </w:pPr>
      <w:bookmarkStart w:id="219" w:name="_Toc191992436"/>
      <w:r>
        <w:t>Initiative Annual Savings Summary</w:t>
      </w:r>
      <w:bookmarkEnd w:id="219"/>
    </w:p>
    <w:p w14:paraId="61C53CC6" w14:textId="56F5BC7F" w:rsidR="00704706" w:rsidRPr="00704706" w:rsidRDefault="00704706" w:rsidP="00704706">
      <w:r>
        <w:fldChar w:fldCharType="begin"/>
      </w:r>
      <w:r>
        <w:instrText xml:space="preserve"> REF _Ref187317774 \h </w:instrText>
      </w:r>
      <w:r>
        <w:fldChar w:fldCharType="separate"/>
      </w:r>
      <w:r w:rsidR="00AA10F4">
        <w:t xml:space="preserve">Table </w:t>
      </w:r>
      <w:r w:rsidR="00AA10F4">
        <w:rPr>
          <w:noProof/>
        </w:rPr>
        <w:t>47</w:t>
      </w:r>
      <w:r>
        <w:fldChar w:fldCharType="end"/>
      </w:r>
      <w:r>
        <w:t xml:space="preserve"> presents the Streetlighting Initiative annual savings achieved in 2024. The 2024 Streetlighting Initiative achieved</w:t>
      </w:r>
      <w:r w:rsidR="00C05880">
        <w:t xml:space="preserve"> 12,551 </w:t>
      </w:r>
      <w:r>
        <w:t>MWh in verified net savings.</w:t>
      </w:r>
      <w:r w:rsidR="00793621">
        <w:t xml:space="preserve"> Streetlighting with standard operating hours does not produce any demand savings. Therefore, AIC did not claim any demand savings for the Initiative</w:t>
      </w:r>
      <w:r w:rsidR="006224ED">
        <w:t>,</w:t>
      </w:r>
      <w:r w:rsidR="00793621">
        <w:t xml:space="preserve"> and the evaluation team did not calculate any verified demand savings.  </w:t>
      </w:r>
    </w:p>
    <w:p w14:paraId="3C3FF38F" w14:textId="7E3AE11C" w:rsidR="00704706" w:rsidRDefault="00704706" w:rsidP="00881B1B">
      <w:pPr>
        <w:pStyle w:val="Caption"/>
      </w:pPr>
      <w:bookmarkStart w:id="220" w:name="_Ref187317774"/>
      <w:bookmarkStart w:id="221" w:name="_Toc191992568"/>
      <w:bookmarkStart w:id="222" w:name="_Toc192766981"/>
      <w:r>
        <w:t xml:space="preserve">Table </w:t>
      </w:r>
      <w:r w:rsidR="009B4C9A">
        <w:fldChar w:fldCharType="begin"/>
      </w:r>
      <w:r w:rsidR="009B4C9A">
        <w:instrText xml:space="preserve"> SEQ Table \* ARABIC </w:instrText>
      </w:r>
      <w:r w:rsidR="009B4C9A">
        <w:fldChar w:fldCharType="separate"/>
      </w:r>
      <w:r w:rsidR="00AA10F4">
        <w:rPr>
          <w:noProof/>
        </w:rPr>
        <w:t>47</w:t>
      </w:r>
      <w:r w:rsidR="009B4C9A">
        <w:rPr>
          <w:noProof/>
        </w:rPr>
        <w:fldChar w:fldCharType="end"/>
      </w:r>
      <w:bookmarkEnd w:id="220"/>
      <w:r>
        <w:t>. 2024 Streetlighting Initiative Annual Savings</w:t>
      </w:r>
      <w:bookmarkEnd w:id="221"/>
      <w:bookmarkEnd w:id="222"/>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BC69D4" w14:paraId="08C1F553"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85A67A3" w14:textId="77777777" w:rsidR="00BC69D4" w:rsidRPr="00625570" w:rsidRDefault="00BC69D4" w:rsidP="0070599E">
            <w:pPr>
              <w:pStyle w:val="TableHeadingLeft"/>
            </w:pPr>
          </w:p>
        </w:tc>
        <w:tc>
          <w:tcPr>
            <w:tcW w:w="0" w:type="auto"/>
            <w:tcBorders>
              <w:left w:val="single" w:sz="4" w:space="0" w:color="4A4D56" w:themeColor="text1"/>
              <w:bottom w:val="single" w:sz="4" w:space="0" w:color="4A4D56" w:themeColor="text1"/>
              <w:right w:val="single" w:sz="4" w:space="0" w:color="4A4D56" w:themeColor="text1"/>
            </w:tcBorders>
          </w:tcPr>
          <w:p w14:paraId="1F46ABE9"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753DDF5C"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61AEC4D4"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BC69D4" w14:paraId="533F36B6"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3ED31BE" w14:textId="543C6352" w:rsidR="00BC69D4" w:rsidRPr="00625570" w:rsidRDefault="00BC69D4" w:rsidP="00BC69D4">
            <w:pPr>
              <w:pStyle w:val="TableLeftText"/>
            </w:pPr>
            <w:r w:rsidRPr="00652A05">
              <w:t>Ex Ante Gross Savings</w:t>
            </w:r>
          </w:p>
        </w:tc>
        <w:tc>
          <w:tcPr>
            <w:tcW w:w="0" w:type="auto"/>
            <w:tcBorders>
              <w:top w:val="single" w:sz="4" w:space="0" w:color="4A4D56" w:themeColor="text1"/>
            </w:tcBorders>
          </w:tcPr>
          <w:p w14:paraId="0D9A0F88" w14:textId="44891DB2"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12,566</w:t>
            </w:r>
          </w:p>
        </w:tc>
        <w:tc>
          <w:tcPr>
            <w:tcW w:w="0" w:type="auto"/>
            <w:tcBorders>
              <w:top w:val="single" w:sz="4" w:space="0" w:color="4A4D56" w:themeColor="text1"/>
            </w:tcBorders>
          </w:tcPr>
          <w:p w14:paraId="6A528F26" w14:textId="013D32E3"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c>
          <w:tcPr>
            <w:tcW w:w="0" w:type="auto"/>
            <w:tcBorders>
              <w:top w:val="single" w:sz="4" w:space="0" w:color="4A4D56" w:themeColor="text1"/>
            </w:tcBorders>
          </w:tcPr>
          <w:p w14:paraId="7C4A8E3A" w14:textId="5F88E961"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r>
      <w:tr w:rsidR="00BC69D4" w14:paraId="2BD6453A"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B22D6D5" w14:textId="71CA0DF4" w:rsidR="00BC69D4" w:rsidRPr="00625570" w:rsidRDefault="00BC69D4" w:rsidP="00BC69D4">
            <w:pPr>
              <w:pStyle w:val="TableLeftText"/>
            </w:pPr>
            <w:r w:rsidRPr="00652A05">
              <w:t>Gross Realization Rate</w:t>
            </w:r>
          </w:p>
        </w:tc>
        <w:tc>
          <w:tcPr>
            <w:tcW w:w="0" w:type="auto"/>
          </w:tcPr>
          <w:p w14:paraId="429886BD" w14:textId="09482935"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100%</w:t>
            </w:r>
          </w:p>
        </w:tc>
        <w:tc>
          <w:tcPr>
            <w:tcW w:w="0" w:type="auto"/>
          </w:tcPr>
          <w:p w14:paraId="7075E6EF" w14:textId="2AF8C512"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N/A</w:t>
            </w:r>
          </w:p>
        </w:tc>
        <w:tc>
          <w:tcPr>
            <w:tcW w:w="0" w:type="auto"/>
          </w:tcPr>
          <w:p w14:paraId="76295CB3" w14:textId="1D110929"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N/A</w:t>
            </w:r>
          </w:p>
        </w:tc>
      </w:tr>
      <w:tr w:rsidR="00BC69D4" w14:paraId="64D39282"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62A81D5" w14:textId="599B5C19" w:rsidR="00BC69D4" w:rsidRPr="00625570" w:rsidRDefault="00BC69D4" w:rsidP="00BC69D4">
            <w:pPr>
              <w:pStyle w:val="TableLeftText"/>
            </w:pPr>
            <w:r w:rsidRPr="00652A05">
              <w:t>Verified Gross Savings</w:t>
            </w:r>
          </w:p>
        </w:tc>
        <w:tc>
          <w:tcPr>
            <w:tcW w:w="0" w:type="auto"/>
          </w:tcPr>
          <w:p w14:paraId="37C3B853" w14:textId="19161EC1"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12,566</w:t>
            </w:r>
          </w:p>
        </w:tc>
        <w:tc>
          <w:tcPr>
            <w:tcW w:w="0" w:type="auto"/>
          </w:tcPr>
          <w:p w14:paraId="6A8309DD" w14:textId="1011FB83"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c>
          <w:tcPr>
            <w:tcW w:w="0" w:type="auto"/>
          </w:tcPr>
          <w:p w14:paraId="401E4897" w14:textId="6DBC479F"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r>
      <w:tr w:rsidR="00BC69D4" w14:paraId="5177D800"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23A87446" w14:textId="0D3F3854" w:rsidR="00BC69D4" w:rsidRPr="00625570" w:rsidRDefault="00BC69D4" w:rsidP="00BC69D4">
            <w:pPr>
              <w:pStyle w:val="TableLeftText"/>
            </w:pPr>
            <w:r w:rsidRPr="00652A05">
              <w:t>NTGR</w:t>
            </w:r>
          </w:p>
        </w:tc>
        <w:tc>
          <w:tcPr>
            <w:tcW w:w="0" w:type="auto"/>
          </w:tcPr>
          <w:p w14:paraId="10815C40" w14:textId="11FC3EE0"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0.999</w:t>
            </w:r>
          </w:p>
        </w:tc>
        <w:tc>
          <w:tcPr>
            <w:tcW w:w="0" w:type="auto"/>
          </w:tcPr>
          <w:p w14:paraId="4DBCCD47" w14:textId="75E687D8"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N/A</w:t>
            </w:r>
          </w:p>
        </w:tc>
        <w:tc>
          <w:tcPr>
            <w:tcW w:w="0" w:type="auto"/>
          </w:tcPr>
          <w:p w14:paraId="5F1C0850" w14:textId="327D4607"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652A05">
              <w:t>N/A</w:t>
            </w:r>
          </w:p>
        </w:tc>
      </w:tr>
      <w:tr w:rsidR="00BC69D4" w14:paraId="5F3FC276"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DA66A43" w14:textId="5750C810" w:rsidR="00BC69D4" w:rsidRPr="00625570" w:rsidRDefault="00BC69D4" w:rsidP="00BC69D4">
            <w:pPr>
              <w:pStyle w:val="TableLeftText"/>
            </w:pPr>
            <w:r w:rsidRPr="00652A05">
              <w:t>Verified Net Savings</w:t>
            </w:r>
          </w:p>
        </w:tc>
        <w:tc>
          <w:tcPr>
            <w:tcW w:w="0" w:type="auto"/>
          </w:tcPr>
          <w:p w14:paraId="74478C9D" w14:textId="1C752AF9"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12,551</w:t>
            </w:r>
          </w:p>
        </w:tc>
        <w:tc>
          <w:tcPr>
            <w:tcW w:w="0" w:type="auto"/>
          </w:tcPr>
          <w:p w14:paraId="77EA6209" w14:textId="18ADBDE7"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c>
          <w:tcPr>
            <w:tcW w:w="0" w:type="auto"/>
          </w:tcPr>
          <w:p w14:paraId="75BFEEF9" w14:textId="298CA322"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652A05">
              <w:t>0</w:t>
            </w:r>
          </w:p>
        </w:tc>
      </w:tr>
    </w:tbl>
    <w:p w14:paraId="2D8CB029" w14:textId="118498BA" w:rsidR="00790696" w:rsidRDefault="00421A1B" w:rsidP="00526C94">
      <w:pPr>
        <w:pStyle w:val="Heading3"/>
        <w:tabs>
          <w:tab w:val="clear" w:pos="2160"/>
          <w:tab w:val="num" w:pos="1080"/>
        </w:tabs>
        <w:ind w:left="0"/>
      </w:pPr>
      <w:bookmarkStart w:id="223" w:name="_Toc191992437"/>
      <w:r>
        <w:t>Muni</w:t>
      </w:r>
      <w:r w:rsidR="00790696">
        <w:t>cipality-Owned Streetlighting Channel</w:t>
      </w:r>
      <w:bookmarkEnd w:id="223"/>
    </w:p>
    <w:p w14:paraId="1DCEFD4A" w14:textId="2853FCB5" w:rsidR="001A45D4" w:rsidRPr="001A45D4" w:rsidRDefault="001A45D4" w:rsidP="001A45D4">
      <w:r>
        <w:t xml:space="preserve">The following sections present the impact evaluation results for the 2024 MOSL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03DF63F2" w14:textId="77777777" w:rsidR="00790696" w:rsidRDefault="00790696" w:rsidP="00790696">
      <w:pPr>
        <w:pStyle w:val="Heading4"/>
      </w:pPr>
      <w:r>
        <w:t>Channel Description</w:t>
      </w:r>
    </w:p>
    <w:p w14:paraId="153B848F" w14:textId="4EC00196" w:rsidR="0013670D" w:rsidRDefault="0013670D" w:rsidP="0013670D">
      <w:r>
        <w:t xml:space="preserve">Through the MOSL channel, AIC targets municipal customers who own their streetlighting fixtures. Incentives are provided to encourage these customers to replace existing streetlights (typically HPS and MV) with LED streetlights. </w:t>
      </w:r>
    </w:p>
    <w:p w14:paraId="37191345" w14:textId="77777777" w:rsidR="00790696" w:rsidRDefault="00790696" w:rsidP="00790696">
      <w:pPr>
        <w:pStyle w:val="Heading4"/>
      </w:pPr>
      <w:r>
        <w:t>Savings Detail</w:t>
      </w:r>
    </w:p>
    <w:p w14:paraId="783C7970" w14:textId="166CAA35" w:rsidR="00704706" w:rsidRDefault="005042E6" w:rsidP="00704706">
      <w:r w:rsidRPr="005042E6">
        <w:t xml:space="preserve">In total, </w:t>
      </w:r>
      <w:r w:rsidR="00793621">
        <w:t>the channel</w:t>
      </w:r>
      <w:r w:rsidRPr="005042E6">
        <w:t xml:space="preserve"> incentivized the installation of </w:t>
      </w:r>
      <w:r>
        <w:t>69</w:t>
      </w:r>
      <w:r w:rsidRPr="005042E6">
        <w:t xml:space="preserve"> measures </w:t>
      </w:r>
      <w:r>
        <w:t>in</w:t>
      </w:r>
      <w:r w:rsidRPr="005042E6">
        <w:t xml:space="preserve"> </w:t>
      </w:r>
      <w:r>
        <w:t>one</w:t>
      </w:r>
      <w:r w:rsidRPr="005042E6">
        <w:t xml:space="preserve"> municipalit</w:t>
      </w:r>
      <w:r>
        <w:t xml:space="preserve">y. </w:t>
      </w:r>
      <w:r w:rsidR="00704706">
        <w:fldChar w:fldCharType="begin"/>
      </w:r>
      <w:r w:rsidR="00704706">
        <w:instrText xml:space="preserve"> REF _Ref187317905 \h </w:instrText>
      </w:r>
      <w:r w:rsidR="00704706">
        <w:fldChar w:fldCharType="separate"/>
      </w:r>
      <w:r w:rsidR="00AA10F4">
        <w:t xml:space="preserve">Table </w:t>
      </w:r>
      <w:r w:rsidR="00AA10F4">
        <w:rPr>
          <w:noProof/>
        </w:rPr>
        <w:t>48</w:t>
      </w:r>
      <w:r w:rsidR="00704706">
        <w:fldChar w:fldCharType="end"/>
      </w:r>
      <w:r w:rsidR="00704706">
        <w:t xml:space="preserve"> presents the ex ante, verified gross, and verified net electric energy savings achieved through the MOSL channel in 2024.</w:t>
      </w:r>
      <w:r>
        <w:t xml:space="preserve"> </w:t>
      </w:r>
      <w:r w:rsidRPr="005042E6">
        <w:t xml:space="preserve">We did not observe any discrepancies between the ex ante and verified savings calculations for the </w:t>
      </w:r>
      <w:r>
        <w:t>M</w:t>
      </w:r>
      <w:r w:rsidRPr="005042E6">
        <w:t>OSL channel in 2024.</w:t>
      </w:r>
    </w:p>
    <w:p w14:paraId="5808640A" w14:textId="3F46C8FD" w:rsidR="00704706" w:rsidRDefault="00704706" w:rsidP="00881B1B">
      <w:pPr>
        <w:pStyle w:val="Caption"/>
      </w:pPr>
      <w:bookmarkStart w:id="224" w:name="_Ref187317905"/>
      <w:bookmarkStart w:id="225" w:name="_Toc191992569"/>
      <w:bookmarkStart w:id="226" w:name="_Toc192766982"/>
      <w:r>
        <w:lastRenderedPageBreak/>
        <w:t xml:space="preserve">Table </w:t>
      </w:r>
      <w:r w:rsidR="009B4C9A">
        <w:fldChar w:fldCharType="begin"/>
      </w:r>
      <w:r w:rsidR="009B4C9A">
        <w:instrText xml:space="preserve"> SEQ Table \* ARABIC </w:instrText>
      </w:r>
      <w:r w:rsidR="009B4C9A">
        <w:fldChar w:fldCharType="separate"/>
      </w:r>
      <w:r w:rsidR="00AA10F4">
        <w:rPr>
          <w:noProof/>
        </w:rPr>
        <w:t>48</w:t>
      </w:r>
      <w:r w:rsidR="009B4C9A">
        <w:rPr>
          <w:noProof/>
        </w:rPr>
        <w:fldChar w:fldCharType="end"/>
      </w:r>
      <w:bookmarkEnd w:id="224"/>
      <w:r>
        <w:t>. 2024 Municipality-Owned Streetlighting Channel Electric Energy Savings by Measure</w:t>
      </w:r>
      <w:bookmarkEnd w:id="225"/>
      <w:bookmarkEnd w:id="22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5"/>
        <w:gridCol w:w="1662"/>
        <w:gridCol w:w="1662"/>
        <w:gridCol w:w="1662"/>
        <w:gridCol w:w="1662"/>
        <w:gridCol w:w="1663"/>
      </w:tblGrid>
      <w:tr w:rsidR="00704706" w14:paraId="404064E8" w14:textId="77777777" w:rsidTr="00E46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400ECBFE" w14:textId="77777777" w:rsidR="00704706" w:rsidRDefault="00704706" w:rsidP="008700F8">
            <w:pPr>
              <w:pStyle w:val="TableHeadingLeft"/>
            </w:pPr>
            <w:r w:rsidRPr="00F87E60">
              <w:t>Measure Category</w:t>
            </w:r>
          </w:p>
        </w:tc>
        <w:tc>
          <w:tcPr>
            <w:tcW w:w="1662" w:type="dxa"/>
            <w:tcBorders>
              <w:bottom w:val="none" w:sz="0" w:space="0" w:color="auto"/>
            </w:tcBorders>
          </w:tcPr>
          <w:p w14:paraId="12B4B1E2"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662" w:type="dxa"/>
            <w:tcBorders>
              <w:bottom w:val="none" w:sz="0" w:space="0" w:color="auto"/>
            </w:tcBorders>
          </w:tcPr>
          <w:p w14:paraId="3918E014"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662" w:type="dxa"/>
            <w:tcBorders>
              <w:bottom w:val="none" w:sz="0" w:space="0" w:color="auto"/>
            </w:tcBorders>
          </w:tcPr>
          <w:p w14:paraId="0A5922DB"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662" w:type="dxa"/>
            <w:tcBorders>
              <w:bottom w:val="none" w:sz="0" w:space="0" w:color="auto"/>
            </w:tcBorders>
          </w:tcPr>
          <w:p w14:paraId="189AD8E5"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663" w:type="dxa"/>
            <w:tcBorders>
              <w:bottom w:val="none" w:sz="0" w:space="0" w:color="auto"/>
            </w:tcBorders>
          </w:tcPr>
          <w:p w14:paraId="077F788D" w14:textId="77777777" w:rsidR="00704706" w:rsidRDefault="00704706"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C05880" w14:paraId="41282C36" w14:textId="77777777" w:rsidTr="00E4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016BEE27" w14:textId="7C5FE312" w:rsidR="00C05880" w:rsidRDefault="00C05880" w:rsidP="00C05880">
            <w:pPr>
              <w:pStyle w:val="TableLeftText"/>
            </w:pPr>
            <w:r w:rsidRPr="005545D5">
              <w:t>MOSL (HPS Baseline)</w:t>
            </w:r>
          </w:p>
        </w:tc>
        <w:tc>
          <w:tcPr>
            <w:tcW w:w="1662" w:type="dxa"/>
            <w:tcBorders>
              <w:top w:val="none" w:sz="0" w:space="0" w:color="auto"/>
              <w:left w:val="none" w:sz="0" w:space="0" w:color="auto"/>
              <w:bottom w:val="none" w:sz="0" w:space="0" w:color="auto"/>
              <w:right w:val="none" w:sz="0" w:space="0" w:color="auto"/>
            </w:tcBorders>
          </w:tcPr>
          <w:p w14:paraId="249C07CA" w14:textId="0FCDB65E"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5545D5">
              <w:t>50</w:t>
            </w:r>
          </w:p>
        </w:tc>
        <w:tc>
          <w:tcPr>
            <w:tcW w:w="1662" w:type="dxa"/>
            <w:tcBorders>
              <w:top w:val="none" w:sz="0" w:space="0" w:color="auto"/>
              <w:left w:val="none" w:sz="0" w:space="0" w:color="auto"/>
              <w:bottom w:val="none" w:sz="0" w:space="0" w:color="auto"/>
              <w:right w:val="none" w:sz="0" w:space="0" w:color="auto"/>
            </w:tcBorders>
          </w:tcPr>
          <w:p w14:paraId="10E39E03" w14:textId="0035CFB0"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5545D5">
              <w:t>100%</w:t>
            </w:r>
          </w:p>
        </w:tc>
        <w:tc>
          <w:tcPr>
            <w:tcW w:w="1662" w:type="dxa"/>
            <w:tcBorders>
              <w:top w:val="none" w:sz="0" w:space="0" w:color="auto"/>
              <w:left w:val="none" w:sz="0" w:space="0" w:color="auto"/>
              <w:bottom w:val="none" w:sz="0" w:space="0" w:color="auto"/>
              <w:right w:val="none" w:sz="0" w:space="0" w:color="auto"/>
            </w:tcBorders>
          </w:tcPr>
          <w:p w14:paraId="07319EF7" w14:textId="1AA8FCE2"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5545D5">
              <w:t>50</w:t>
            </w:r>
          </w:p>
        </w:tc>
        <w:tc>
          <w:tcPr>
            <w:tcW w:w="1662" w:type="dxa"/>
            <w:tcBorders>
              <w:top w:val="none" w:sz="0" w:space="0" w:color="auto"/>
              <w:left w:val="none" w:sz="0" w:space="0" w:color="auto"/>
              <w:bottom w:val="none" w:sz="0" w:space="0" w:color="auto"/>
              <w:right w:val="none" w:sz="0" w:space="0" w:color="auto"/>
            </w:tcBorders>
          </w:tcPr>
          <w:p w14:paraId="15AC189A" w14:textId="19112B28"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5545D5">
              <w:t>0.690</w:t>
            </w:r>
          </w:p>
        </w:tc>
        <w:tc>
          <w:tcPr>
            <w:tcW w:w="1663" w:type="dxa"/>
            <w:tcBorders>
              <w:top w:val="none" w:sz="0" w:space="0" w:color="auto"/>
              <w:left w:val="none" w:sz="0" w:space="0" w:color="auto"/>
              <w:bottom w:val="none" w:sz="0" w:space="0" w:color="auto"/>
              <w:right w:val="none" w:sz="0" w:space="0" w:color="auto"/>
            </w:tcBorders>
          </w:tcPr>
          <w:p w14:paraId="063883E2" w14:textId="28E4DB3C"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5545D5">
              <w:t>35</w:t>
            </w:r>
          </w:p>
        </w:tc>
      </w:tr>
      <w:tr w:rsidR="00C05880" w14:paraId="7580F4ED" w14:textId="77777777" w:rsidTr="00E4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4861EF27" w14:textId="57F3B1DF" w:rsidR="00C05880" w:rsidRPr="002C70DA" w:rsidRDefault="00C05880" w:rsidP="00C05880">
            <w:pPr>
              <w:pStyle w:val="TableLeftText"/>
              <w:rPr>
                <w:rFonts w:ascii="Franklin Gothic Medium" w:hAnsi="Franklin Gothic Medium"/>
              </w:rPr>
            </w:pPr>
            <w:r w:rsidRPr="002C70DA">
              <w:rPr>
                <w:rFonts w:ascii="Franklin Gothic Medium" w:hAnsi="Franklin Gothic Medium"/>
              </w:rPr>
              <w:t>Total</w:t>
            </w:r>
          </w:p>
        </w:tc>
        <w:tc>
          <w:tcPr>
            <w:tcW w:w="1662" w:type="dxa"/>
            <w:tcBorders>
              <w:top w:val="none" w:sz="0" w:space="0" w:color="auto"/>
              <w:left w:val="none" w:sz="0" w:space="0" w:color="auto"/>
              <w:bottom w:val="none" w:sz="0" w:space="0" w:color="auto"/>
              <w:right w:val="none" w:sz="0" w:space="0" w:color="auto"/>
            </w:tcBorders>
          </w:tcPr>
          <w:p w14:paraId="702076B1" w14:textId="62CECA92"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50</w:t>
            </w:r>
          </w:p>
        </w:tc>
        <w:tc>
          <w:tcPr>
            <w:tcW w:w="1662" w:type="dxa"/>
            <w:tcBorders>
              <w:top w:val="none" w:sz="0" w:space="0" w:color="auto"/>
              <w:left w:val="none" w:sz="0" w:space="0" w:color="auto"/>
              <w:bottom w:val="none" w:sz="0" w:space="0" w:color="auto"/>
              <w:right w:val="none" w:sz="0" w:space="0" w:color="auto"/>
            </w:tcBorders>
          </w:tcPr>
          <w:p w14:paraId="2876681A" w14:textId="13DB35EE"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100%</w:t>
            </w:r>
          </w:p>
        </w:tc>
        <w:tc>
          <w:tcPr>
            <w:tcW w:w="1662" w:type="dxa"/>
            <w:tcBorders>
              <w:top w:val="none" w:sz="0" w:space="0" w:color="auto"/>
              <w:left w:val="none" w:sz="0" w:space="0" w:color="auto"/>
              <w:bottom w:val="none" w:sz="0" w:space="0" w:color="auto"/>
              <w:right w:val="none" w:sz="0" w:space="0" w:color="auto"/>
            </w:tcBorders>
          </w:tcPr>
          <w:p w14:paraId="61847467" w14:textId="24355330"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50</w:t>
            </w:r>
          </w:p>
        </w:tc>
        <w:tc>
          <w:tcPr>
            <w:tcW w:w="1662" w:type="dxa"/>
            <w:tcBorders>
              <w:top w:val="none" w:sz="0" w:space="0" w:color="auto"/>
              <w:left w:val="none" w:sz="0" w:space="0" w:color="auto"/>
              <w:bottom w:val="none" w:sz="0" w:space="0" w:color="auto"/>
              <w:right w:val="none" w:sz="0" w:space="0" w:color="auto"/>
            </w:tcBorders>
          </w:tcPr>
          <w:p w14:paraId="31726DC8" w14:textId="1E66E1AF"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0.690</w:t>
            </w:r>
          </w:p>
        </w:tc>
        <w:tc>
          <w:tcPr>
            <w:tcW w:w="1663" w:type="dxa"/>
            <w:tcBorders>
              <w:top w:val="none" w:sz="0" w:space="0" w:color="auto"/>
              <w:left w:val="none" w:sz="0" w:space="0" w:color="auto"/>
              <w:bottom w:val="none" w:sz="0" w:space="0" w:color="auto"/>
              <w:right w:val="none" w:sz="0" w:space="0" w:color="auto"/>
            </w:tcBorders>
          </w:tcPr>
          <w:p w14:paraId="0DEA6DBF" w14:textId="7133472B"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35</w:t>
            </w:r>
          </w:p>
        </w:tc>
      </w:tr>
    </w:tbl>
    <w:p w14:paraId="136A8BCF" w14:textId="1D2B09BC" w:rsidR="00790696" w:rsidRDefault="00790696" w:rsidP="00526C94">
      <w:pPr>
        <w:pStyle w:val="Heading3"/>
        <w:tabs>
          <w:tab w:val="clear" w:pos="2160"/>
          <w:tab w:val="num" w:pos="1080"/>
        </w:tabs>
        <w:ind w:left="0"/>
      </w:pPr>
      <w:bookmarkStart w:id="227" w:name="_Toc191992438"/>
      <w:r>
        <w:t>Utility-Owned Streetlighting Channel</w:t>
      </w:r>
      <w:bookmarkEnd w:id="227"/>
    </w:p>
    <w:p w14:paraId="1A305010" w14:textId="2DD0DA3A" w:rsidR="001A45D4" w:rsidRDefault="001A45D4" w:rsidP="001A45D4">
      <w:r>
        <w:t xml:space="preserve">The following sections present the impact evaluation results for the 2024 UOSL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6C3C1437" w14:textId="415B5717" w:rsidR="00400102" w:rsidRDefault="00400102" w:rsidP="00400102">
      <w:pPr>
        <w:pStyle w:val="Heading4"/>
      </w:pPr>
      <w:r>
        <w:t>Channel Description</w:t>
      </w:r>
    </w:p>
    <w:p w14:paraId="1045FF03" w14:textId="18FB911F" w:rsidR="0013670D" w:rsidRDefault="0013670D" w:rsidP="0013670D">
      <w:r>
        <w:t xml:space="preserve">Through the UOSL channel, AIC targets municipal customers with AIC-owned streetlighting fixtures. Early replacement of functioning HPS and MV streetlights with LED streetlights is available to customers through the Initiative for a per-fixture fee. The channel incentivizes customers to request early replacement of these fixtures and provides an </w:t>
      </w:r>
      <w:r w:rsidR="00400102">
        <w:t>incentive</w:t>
      </w:r>
      <w:r>
        <w:t xml:space="preserve"> to decrease the per-fixture cost of the replacement </w:t>
      </w:r>
      <w:r w:rsidR="00400102">
        <w:t>for</w:t>
      </w:r>
      <w:r>
        <w:t xml:space="preserve"> customers. In addition, through this channel, AIC claims savings from </w:t>
      </w:r>
      <w:r w:rsidR="00400102">
        <w:t xml:space="preserve">the </w:t>
      </w:r>
      <w:r>
        <w:t>ongoing replacement of existing AIC-owned HPS streetlighting with LED streetlights upon burnout</w:t>
      </w:r>
      <w:r w:rsidR="001A03DD">
        <w:t xml:space="preserve"> (ROB)</w:t>
      </w:r>
      <w:r>
        <w:t xml:space="preserve">. </w:t>
      </w:r>
    </w:p>
    <w:p w14:paraId="3182E070" w14:textId="77777777" w:rsidR="00790696" w:rsidRDefault="00790696" w:rsidP="00790696">
      <w:pPr>
        <w:pStyle w:val="Heading4"/>
      </w:pPr>
      <w:r>
        <w:t>Savings Detail</w:t>
      </w:r>
    </w:p>
    <w:p w14:paraId="20EBB3DD" w14:textId="58377152" w:rsidR="00C441A9" w:rsidRDefault="005042E6" w:rsidP="00C856E4">
      <w:r w:rsidRPr="005042E6">
        <w:t xml:space="preserve">In total, </w:t>
      </w:r>
      <w:r w:rsidR="00E202AB">
        <w:t>the channel</w:t>
      </w:r>
      <w:r w:rsidRPr="005042E6">
        <w:t xml:space="preserve"> incentivized the installation of </w:t>
      </w:r>
      <w:r>
        <w:t>18,007</w:t>
      </w:r>
      <w:r w:rsidRPr="005042E6">
        <w:t xml:space="preserve"> measures across </w:t>
      </w:r>
      <w:r>
        <w:t>164</w:t>
      </w:r>
      <w:r w:rsidRPr="005042E6">
        <w:t xml:space="preserve"> projects</w:t>
      </w:r>
      <w:r>
        <w:t xml:space="preserve">. </w:t>
      </w:r>
      <w:r w:rsidR="00C856E4">
        <w:fldChar w:fldCharType="begin"/>
      </w:r>
      <w:r w:rsidR="00C856E4">
        <w:instrText xml:space="preserve"> REF _Ref187318347 \h </w:instrText>
      </w:r>
      <w:r w:rsidR="00C856E4">
        <w:fldChar w:fldCharType="separate"/>
      </w:r>
      <w:r w:rsidR="00AA10F4">
        <w:t xml:space="preserve">Table </w:t>
      </w:r>
      <w:r w:rsidR="00AA10F4">
        <w:rPr>
          <w:noProof/>
        </w:rPr>
        <w:t>49</w:t>
      </w:r>
      <w:r w:rsidR="00C856E4">
        <w:fldChar w:fldCharType="end"/>
      </w:r>
      <w:r w:rsidR="00C856E4">
        <w:t xml:space="preserve"> presents the ex ante, verified gross, and verified net electric energy savings achieved through the UOSL channel in 2024. </w:t>
      </w:r>
      <w:r w:rsidRPr="005042E6">
        <w:t xml:space="preserve">We did not observe any discrepancies between the ex ante and verified savings calculations for the </w:t>
      </w:r>
      <w:r>
        <w:t>UOSL</w:t>
      </w:r>
      <w:r w:rsidRPr="005042E6">
        <w:t xml:space="preserve"> channel in 202</w:t>
      </w:r>
      <w:r>
        <w:t>4</w:t>
      </w:r>
      <w:r w:rsidRPr="005042E6">
        <w:t>.</w:t>
      </w:r>
    </w:p>
    <w:p w14:paraId="72276F5B" w14:textId="3A6F63F8" w:rsidR="00C441A9" w:rsidRDefault="00C441A9" w:rsidP="00881B1B">
      <w:pPr>
        <w:pStyle w:val="Caption"/>
      </w:pPr>
      <w:bookmarkStart w:id="228" w:name="_Ref187318347"/>
      <w:bookmarkStart w:id="229" w:name="_Toc191992570"/>
      <w:bookmarkStart w:id="230" w:name="_Toc192766983"/>
      <w:r>
        <w:t xml:space="preserve">Table </w:t>
      </w:r>
      <w:r w:rsidR="009B4C9A">
        <w:fldChar w:fldCharType="begin"/>
      </w:r>
      <w:r w:rsidR="009B4C9A">
        <w:instrText xml:space="preserve"> SEQ Table \* ARABIC </w:instrText>
      </w:r>
      <w:r w:rsidR="009B4C9A">
        <w:fldChar w:fldCharType="separate"/>
      </w:r>
      <w:r w:rsidR="00AA10F4">
        <w:rPr>
          <w:noProof/>
        </w:rPr>
        <w:t>49</w:t>
      </w:r>
      <w:r w:rsidR="009B4C9A">
        <w:rPr>
          <w:noProof/>
        </w:rPr>
        <w:fldChar w:fldCharType="end"/>
      </w:r>
      <w:bookmarkEnd w:id="228"/>
      <w:r>
        <w:t>. 2024 Utility-Owned Streetlighting Channel Electric Energy Savings by Measure</w:t>
      </w:r>
      <w:bookmarkEnd w:id="229"/>
      <w:bookmarkEnd w:id="230"/>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5"/>
        <w:gridCol w:w="1664"/>
        <w:gridCol w:w="1664"/>
        <w:gridCol w:w="1664"/>
        <w:gridCol w:w="1664"/>
        <w:gridCol w:w="1665"/>
      </w:tblGrid>
      <w:tr w:rsidR="00C441A9" w14:paraId="34441E6E" w14:textId="77777777" w:rsidTr="00E463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171DBFC6" w14:textId="77777777" w:rsidR="00C441A9" w:rsidRDefault="00C441A9" w:rsidP="008700F8">
            <w:pPr>
              <w:pStyle w:val="TableHeadingLeft"/>
            </w:pPr>
            <w:r w:rsidRPr="00F87E60">
              <w:t>Measure Category</w:t>
            </w:r>
          </w:p>
        </w:tc>
        <w:tc>
          <w:tcPr>
            <w:tcW w:w="1664" w:type="dxa"/>
            <w:tcBorders>
              <w:bottom w:val="none" w:sz="0" w:space="0" w:color="auto"/>
            </w:tcBorders>
          </w:tcPr>
          <w:p w14:paraId="6B52BD02" w14:textId="77777777" w:rsidR="00C441A9" w:rsidRDefault="00C441A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664" w:type="dxa"/>
            <w:tcBorders>
              <w:bottom w:val="none" w:sz="0" w:space="0" w:color="auto"/>
            </w:tcBorders>
          </w:tcPr>
          <w:p w14:paraId="6029EAC3" w14:textId="77777777" w:rsidR="00C441A9" w:rsidRDefault="00C441A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664" w:type="dxa"/>
            <w:tcBorders>
              <w:bottom w:val="none" w:sz="0" w:space="0" w:color="auto"/>
            </w:tcBorders>
          </w:tcPr>
          <w:p w14:paraId="4320308D" w14:textId="77777777" w:rsidR="00C441A9" w:rsidRDefault="00C441A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664" w:type="dxa"/>
            <w:tcBorders>
              <w:bottom w:val="none" w:sz="0" w:space="0" w:color="auto"/>
            </w:tcBorders>
          </w:tcPr>
          <w:p w14:paraId="44F378C6" w14:textId="77777777" w:rsidR="00C441A9" w:rsidRDefault="00C441A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665" w:type="dxa"/>
            <w:tcBorders>
              <w:bottom w:val="none" w:sz="0" w:space="0" w:color="auto"/>
            </w:tcBorders>
          </w:tcPr>
          <w:p w14:paraId="4B6D1ED1" w14:textId="77777777" w:rsidR="00C441A9" w:rsidRDefault="00C441A9" w:rsidP="008700F8">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C05880" w14:paraId="290275B2" w14:textId="77777777" w:rsidTr="00E4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34502805" w14:textId="28E30223" w:rsidR="00C05880" w:rsidRDefault="00C05880" w:rsidP="00C05880">
            <w:pPr>
              <w:pStyle w:val="TableLeftText"/>
            </w:pPr>
            <w:r w:rsidRPr="00676BBF">
              <w:t>UOSL (HPS Baseline, AIC ROB)</w:t>
            </w:r>
          </w:p>
        </w:tc>
        <w:tc>
          <w:tcPr>
            <w:tcW w:w="1664" w:type="dxa"/>
            <w:tcBorders>
              <w:top w:val="none" w:sz="0" w:space="0" w:color="auto"/>
              <w:left w:val="none" w:sz="0" w:space="0" w:color="auto"/>
              <w:bottom w:val="none" w:sz="0" w:space="0" w:color="auto"/>
              <w:right w:val="none" w:sz="0" w:space="0" w:color="auto"/>
            </w:tcBorders>
          </w:tcPr>
          <w:p w14:paraId="021C1B4A" w14:textId="4C6977E5"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8,732</w:t>
            </w:r>
          </w:p>
        </w:tc>
        <w:tc>
          <w:tcPr>
            <w:tcW w:w="1664" w:type="dxa"/>
            <w:tcBorders>
              <w:top w:val="none" w:sz="0" w:space="0" w:color="auto"/>
              <w:left w:val="none" w:sz="0" w:space="0" w:color="auto"/>
              <w:bottom w:val="none" w:sz="0" w:space="0" w:color="auto"/>
              <w:right w:val="none" w:sz="0" w:space="0" w:color="auto"/>
            </w:tcBorders>
          </w:tcPr>
          <w:p w14:paraId="0B4FA6B3" w14:textId="1E8FC5DA"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100%</w:t>
            </w:r>
          </w:p>
        </w:tc>
        <w:tc>
          <w:tcPr>
            <w:tcW w:w="1664" w:type="dxa"/>
            <w:tcBorders>
              <w:top w:val="none" w:sz="0" w:space="0" w:color="auto"/>
              <w:left w:val="none" w:sz="0" w:space="0" w:color="auto"/>
              <w:bottom w:val="none" w:sz="0" w:space="0" w:color="auto"/>
              <w:right w:val="none" w:sz="0" w:space="0" w:color="auto"/>
            </w:tcBorders>
          </w:tcPr>
          <w:p w14:paraId="09BAD914" w14:textId="54DFCB8B"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8,732</w:t>
            </w:r>
          </w:p>
        </w:tc>
        <w:tc>
          <w:tcPr>
            <w:tcW w:w="1664" w:type="dxa"/>
            <w:tcBorders>
              <w:top w:val="none" w:sz="0" w:space="0" w:color="auto"/>
              <w:left w:val="none" w:sz="0" w:space="0" w:color="auto"/>
              <w:bottom w:val="none" w:sz="0" w:space="0" w:color="auto"/>
              <w:right w:val="none" w:sz="0" w:space="0" w:color="auto"/>
            </w:tcBorders>
          </w:tcPr>
          <w:p w14:paraId="602699A3" w14:textId="4988595A"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1.000</w:t>
            </w:r>
          </w:p>
        </w:tc>
        <w:tc>
          <w:tcPr>
            <w:tcW w:w="1665" w:type="dxa"/>
            <w:tcBorders>
              <w:top w:val="none" w:sz="0" w:space="0" w:color="auto"/>
              <w:left w:val="none" w:sz="0" w:space="0" w:color="auto"/>
              <w:bottom w:val="none" w:sz="0" w:space="0" w:color="auto"/>
              <w:right w:val="none" w:sz="0" w:space="0" w:color="auto"/>
            </w:tcBorders>
          </w:tcPr>
          <w:p w14:paraId="43E0FACD" w14:textId="28B25E85"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8,732</w:t>
            </w:r>
          </w:p>
        </w:tc>
      </w:tr>
      <w:tr w:rsidR="00C05880" w14:paraId="60923804" w14:textId="77777777" w:rsidTr="00E4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5E6A04BB" w14:textId="1953E3C0" w:rsidR="00C05880" w:rsidRDefault="00C05880" w:rsidP="00C05880">
            <w:pPr>
              <w:pStyle w:val="TableLeftText"/>
            </w:pPr>
            <w:r w:rsidRPr="00676BBF">
              <w:t>UOSL (HPS Baseline)</w:t>
            </w:r>
          </w:p>
        </w:tc>
        <w:tc>
          <w:tcPr>
            <w:tcW w:w="1664" w:type="dxa"/>
            <w:tcBorders>
              <w:top w:val="none" w:sz="0" w:space="0" w:color="auto"/>
              <w:left w:val="none" w:sz="0" w:space="0" w:color="auto"/>
              <w:bottom w:val="none" w:sz="0" w:space="0" w:color="auto"/>
              <w:right w:val="none" w:sz="0" w:space="0" w:color="auto"/>
            </w:tcBorders>
          </w:tcPr>
          <w:p w14:paraId="24445652" w14:textId="4F43163C" w:rsidR="00C05880"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676BBF">
              <w:t>2,338</w:t>
            </w:r>
          </w:p>
        </w:tc>
        <w:tc>
          <w:tcPr>
            <w:tcW w:w="1664" w:type="dxa"/>
            <w:tcBorders>
              <w:top w:val="none" w:sz="0" w:space="0" w:color="auto"/>
              <w:left w:val="none" w:sz="0" w:space="0" w:color="auto"/>
              <w:bottom w:val="none" w:sz="0" w:space="0" w:color="auto"/>
              <w:right w:val="none" w:sz="0" w:space="0" w:color="auto"/>
            </w:tcBorders>
          </w:tcPr>
          <w:p w14:paraId="6CB06034" w14:textId="5C44C742" w:rsidR="00C05880"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676BBF">
              <w:t>100%</w:t>
            </w:r>
          </w:p>
        </w:tc>
        <w:tc>
          <w:tcPr>
            <w:tcW w:w="1664" w:type="dxa"/>
            <w:tcBorders>
              <w:top w:val="none" w:sz="0" w:space="0" w:color="auto"/>
              <w:left w:val="none" w:sz="0" w:space="0" w:color="auto"/>
              <w:bottom w:val="none" w:sz="0" w:space="0" w:color="auto"/>
              <w:right w:val="none" w:sz="0" w:space="0" w:color="auto"/>
            </w:tcBorders>
          </w:tcPr>
          <w:p w14:paraId="4567919E" w14:textId="050BE43B" w:rsidR="00C05880"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676BBF">
              <w:t>2,338</w:t>
            </w:r>
          </w:p>
        </w:tc>
        <w:tc>
          <w:tcPr>
            <w:tcW w:w="1664" w:type="dxa"/>
            <w:tcBorders>
              <w:top w:val="none" w:sz="0" w:space="0" w:color="auto"/>
              <w:left w:val="none" w:sz="0" w:space="0" w:color="auto"/>
              <w:bottom w:val="none" w:sz="0" w:space="0" w:color="auto"/>
              <w:right w:val="none" w:sz="0" w:space="0" w:color="auto"/>
            </w:tcBorders>
          </w:tcPr>
          <w:p w14:paraId="314A3570" w14:textId="7D628B3D" w:rsidR="00C05880"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676BBF">
              <w:t>1.000</w:t>
            </w:r>
          </w:p>
        </w:tc>
        <w:tc>
          <w:tcPr>
            <w:tcW w:w="1665" w:type="dxa"/>
            <w:tcBorders>
              <w:top w:val="none" w:sz="0" w:space="0" w:color="auto"/>
              <w:left w:val="none" w:sz="0" w:space="0" w:color="auto"/>
              <w:bottom w:val="none" w:sz="0" w:space="0" w:color="auto"/>
              <w:right w:val="none" w:sz="0" w:space="0" w:color="auto"/>
            </w:tcBorders>
          </w:tcPr>
          <w:p w14:paraId="06F0D7C4" w14:textId="2009802A" w:rsidR="00C05880"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676BBF">
              <w:t>2,338</w:t>
            </w:r>
          </w:p>
        </w:tc>
      </w:tr>
      <w:tr w:rsidR="00C05880" w14:paraId="29414BED" w14:textId="77777777" w:rsidTr="00E463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647BEC09" w14:textId="6D87E62A" w:rsidR="00C05880" w:rsidRDefault="00C05880" w:rsidP="00C05880">
            <w:pPr>
              <w:pStyle w:val="TableLeftText"/>
            </w:pPr>
            <w:r w:rsidRPr="00676BBF">
              <w:t>UOSL (MV Baseline)</w:t>
            </w:r>
          </w:p>
        </w:tc>
        <w:tc>
          <w:tcPr>
            <w:tcW w:w="1664" w:type="dxa"/>
            <w:tcBorders>
              <w:top w:val="none" w:sz="0" w:space="0" w:color="auto"/>
              <w:left w:val="none" w:sz="0" w:space="0" w:color="auto"/>
              <w:bottom w:val="none" w:sz="0" w:space="0" w:color="auto"/>
              <w:right w:val="none" w:sz="0" w:space="0" w:color="auto"/>
            </w:tcBorders>
          </w:tcPr>
          <w:p w14:paraId="011AF568" w14:textId="3BB341D3"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1,446</w:t>
            </w:r>
          </w:p>
        </w:tc>
        <w:tc>
          <w:tcPr>
            <w:tcW w:w="1664" w:type="dxa"/>
            <w:tcBorders>
              <w:top w:val="none" w:sz="0" w:space="0" w:color="auto"/>
              <w:left w:val="none" w:sz="0" w:space="0" w:color="auto"/>
              <w:bottom w:val="none" w:sz="0" w:space="0" w:color="auto"/>
              <w:right w:val="none" w:sz="0" w:space="0" w:color="auto"/>
            </w:tcBorders>
          </w:tcPr>
          <w:p w14:paraId="02454BFC" w14:textId="4AEEE7A4"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100%</w:t>
            </w:r>
          </w:p>
        </w:tc>
        <w:tc>
          <w:tcPr>
            <w:tcW w:w="1664" w:type="dxa"/>
            <w:tcBorders>
              <w:top w:val="none" w:sz="0" w:space="0" w:color="auto"/>
              <w:left w:val="none" w:sz="0" w:space="0" w:color="auto"/>
              <w:bottom w:val="none" w:sz="0" w:space="0" w:color="auto"/>
              <w:right w:val="none" w:sz="0" w:space="0" w:color="auto"/>
            </w:tcBorders>
          </w:tcPr>
          <w:p w14:paraId="3780B4AD" w14:textId="170A1B23"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1,446</w:t>
            </w:r>
          </w:p>
        </w:tc>
        <w:tc>
          <w:tcPr>
            <w:tcW w:w="1664" w:type="dxa"/>
            <w:tcBorders>
              <w:top w:val="none" w:sz="0" w:space="0" w:color="auto"/>
              <w:left w:val="none" w:sz="0" w:space="0" w:color="auto"/>
              <w:bottom w:val="none" w:sz="0" w:space="0" w:color="auto"/>
              <w:right w:val="none" w:sz="0" w:space="0" w:color="auto"/>
            </w:tcBorders>
          </w:tcPr>
          <w:p w14:paraId="5FA023AD" w14:textId="4F854264"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1.000</w:t>
            </w:r>
          </w:p>
        </w:tc>
        <w:tc>
          <w:tcPr>
            <w:tcW w:w="1665" w:type="dxa"/>
            <w:tcBorders>
              <w:top w:val="none" w:sz="0" w:space="0" w:color="auto"/>
              <w:left w:val="none" w:sz="0" w:space="0" w:color="auto"/>
              <w:bottom w:val="none" w:sz="0" w:space="0" w:color="auto"/>
              <w:right w:val="none" w:sz="0" w:space="0" w:color="auto"/>
            </w:tcBorders>
          </w:tcPr>
          <w:p w14:paraId="1D8598BD" w14:textId="256B9200" w:rsidR="00C05880" w:rsidRDefault="00C0588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676BBF">
              <w:t>1,446</w:t>
            </w:r>
          </w:p>
        </w:tc>
      </w:tr>
      <w:tr w:rsidR="00C05880" w14:paraId="7E411CDE" w14:textId="77777777" w:rsidTr="00E463A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490A7E97" w14:textId="10CF0679" w:rsidR="00C05880" w:rsidRPr="002C70DA" w:rsidRDefault="00C05880" w:rsidP="00C05880">
            <w:pPr>
              <w:pStyle w:val="TableLeftText"/>
              <w:rPr>
                <w:rFonts w:ascii="Franklin Gothic Medium" w:hAnsi="Franklin Gothic Medium"/>
              </w:rPr>
            </w:pPr>
            <w:r w:rsidRPr="002C70DA">
              <w:rPr>
                <w:rFonts w:ascii="Franklin Gothic Medium" w:hAnsi="Franklin Gothic Medium"/>
              </w:rPr>
              <w:t>Total</w:t>
            </w:r>
          </w:p>
        </w:tc>
        <w:tc>
          <w:tcPr>
            <w:tcW w:w="1664" w:type="dxa"/>
            <w:tcBorders>
              <w:top w:val="none" w:sz="0" w:space="0" w:color="auto"/>
              <w:left w:val="none" w:sz="0" w:space="0" w:color="auto"/>
              <w:bottom w:val="none" w:sz="0" w:space="0" w:color="auto"/>
              <w:right w:val="none" w:sz="0" w:space="0" w:color="auto"/>
            </w:tcBorders>
          </w:tcPr>
          <w:p w14:paraId="32A7493D" w14:textId="0B44DDE2"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12,516</w:t>
            </w:r>
          </w:p>
        </w:tc>
        <w:tc>
          <w:tcPr>
            <w:tcW w:w="1664" w:type="dxa"/>
            <w:tcBorders>
              <w:top w:val="none" w:sz="0" w:space="0" w:color="auto"/>
              <w:left w:val="none" w:sz="0" w:space="0" w:color="auto"/>
              <w:bottom w:val="none" w:sz="0" w:space="0" w:color="auto"/>
              <w:right w:val="none" w:sz="0" w:space="0" w:color="auto"/>
            </w:tcBorders>
          </w:tcPr>
          <w:p w14:paraId="56B16F97" w14:textId="75EB4729"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100%</w:t>
            </w:r>
          </w:p>
        </w:tc>
        <w:tc>
          <w:tcPr>
            <w:tcW w:w="1664" w:type="dxa"/>
            <w:tcBorders>
              <w:top w:val="none" w:sz="0" w:space="0" w:color="auto"/>
              <w:left w:val="none" w:sz="0" w:space="0" w:color="auto"/>
              <w:bottom w:val="none" w:sz="0" w:space="0" w:color="auto"/>
              <w:right w:val="none" w:sz="0" w:space="0" w:color="auto"/>
            </w:tcBorders>
          </w:tcPr>
          <w:p w14:paraId="7012EA2A" w14:textId="0AE23E3F"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12,516</w:t>
            </w:r>
          </w:p>
        </w:tc>
        <w:tc>
          <w:tcPr>
            <w:tcW w:w="1664" w:type="dxa"/>
            <w:tcBorders>
              <w:top w:val="none" w:sz="0" w:space="0" w:color="auto"/>
              <w:left w:val="none" w:sz="0" w:space="0" w:color="auto"/>
              <w:bottom w:val="none" w:sz="0" w:space="0" w:color="auto"/>
              <w:right w:val="none" w:sz="0" w:space="0" w:color="auto"/>
            </w:tcBorders>
          </w:tcPr>
          <w:p w14:paraId="20AE4632" w14:textId="1106220A"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1.000</w:t>
            </w:r>
          </w:p>
        </w:tc>
        <w:tc>
          <w:tcPr>
            <w:tcW w:w="1665" w:type="dxa"/>
            <w:tcBorders>
              <w:top w:val="none" w:sz="0" w:space="0" w:color="auto"/>
              <w:left w:val="none" w:sz="0" w:space="0" w:color="auto"/>
              <w:bottom w:val="none" w:sz="0" w:space="0" w:color="auto"/>
              <w:right w:val="none" w:sz="0" w:space="0" w:color="auto"/>
            </w:tcBorders>
          </w:tcPr>
          <w:p w14:paraId="58C7A63B" w14:textId="4C99A9A6" w:rsidR="00C05880" w:rsidRPr="002C70DA" w:rsidRDefault="00C05880" w:rsidP="002B5E4A">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12,516</w:t>
            </w:r>
          </w:p>
        </w:tc>
      </w:tr>
    </w:tbl>
    <w:p w14:paraId="1CDCE873" w14:textId="77777777" w:rsidR="001F01F9" w:rsidRDefault="001F01F9">
      <w:pPr>
        <w:sectPr w:rsidR="001F01F9" w:rsidSect="001F01F9">
          <w:pgSz w:w="12240" w:h="15840" w:code="1"/>
          <w:pgMar w:top="562" w:right="562" w:bottom="562" w:left="562" w:header="562" w:footer="346" w:gutter="0"/>
          <w:cols w:space="708"/>
          <w:docGrid w:linePitch="360"/>
        </w:sectPr>
      </w:pPr>
    </w:p>
    <w:p w14:paraId="715DE5A1" w14:textId="41D20C27" w:rsidR="00790696" w:rsidRDefault="00790696" w:rsidP="001F01F9">
      <w:pPr>
        <w:pStyle w:val="Heading3"/>
        <w:ind w:hanging="1080"/>
        <w:jc w:val="both"/>
      </w:pPr>
      <w:bookmarkStart w:id="231" w:name="_Toc191992439"/>
      <w:r>
        <w:lastRenderedPageBreak/>
        <w:t>Cumulative Persisting Annual Savings</w:t>
      </w:r>
      <w:bookmarkEnd w:id="231"/>
    </w:p>
    <w:p w14:paraId="616D0379" w14:textId="61ED3D54" w:rsidR="0065762E" w:rsidRDefault="0065762E" w:rsidP="0065762E">
      <w:r>
        <w:fldChar w:fldCharType="begin"/>
      </w:r>
      <w:r>
        <w:instrText xml:space="preserve"> REF _Ref187321565 \h </w:instrText>
      </w:r>
      <w:r>
        <w:fldChar w:fldCharType="separate"/>
      </w:r>
      <w:r w:rsidR="00AA10F4">
        <w:t xml:space="preserve">Table </w:t>
      </w:r>
      <w:r w:rsidR="00AA10F4">
        <w:rPr>
          <w:noProof/>
        </w:rPr>
        <w:t>50</w:t>
      </w:r>
      <w:r>
        <w:fldChar w:fldCharType="end"/>
      </w:r>
      <w:r>
        <w:t xml:space="preserve"> through </w:t>
      </w:r>
      <w:r>
        <w:fldChar w:fldCharType="begin"/>
      </w:r>
      <w:r>
        <w:instrText xml:space="preserve"> REF _Ref187321580 \h </w:instrText>
      </w:r>
      <w:r>
        <w:fldChar w:fldCharType="separate"/>
      </w:r>
      <w:r w:rsidR="00AA10F4">
        <w:t xml:space="preserve">Table </w:t>
      </w:r>
      <w:r w:rsidR="00AA10F4">
        <w:rPr>
          <w:noProof/>
        </w:rPr>
        <w:t>52</w:t>
      </w:r>
      <w:r>
        <w:fldChar w:fldCharType="end"/>
      </w:r>
      <w:r>
        <w:t xml:space="preserve"> present CPAS and WAM</w:t>
      </w:r>
      <w:r w:rsidR="00960F83">
        <w:t>L</w:t>
      </w:r>
      <w:r>
        <w:t xml:space="preserve"> for the 2024 Streetlighting Initiative by channel. The tables also include a summary of the measure-specific and total verified gross savings for the Initiative and respective channels, as well as CPAS in each year for 2024</w:t>
      </w:r>
      <w:r w:rsidR="00DC6BA8">
        <w:t>–</w:t>
      </w:r>
      <w:r>
        <w:t>2027.</w:t>
      </w:r>
      <w:r>
        <w:rPr>
          <w:rStyle w:val="FootnoteReference"/>
        </w:rPr>
        <w:footnoteReference w:id="31"/>
      </w:r>
      <w:r>
        <w:t xml:space="preserve"> The WAML for the Streetlighting Initiative is </w:t>
      </w:r>
      <w:r w:rsidR="004566ED">
        <w:t>20.0</w:t>
      </w:r>
      <w:r>
        <w:t xml:space="preserve"> years.</w:t>
      </w:r>
    </w:p>
    <w:p w14:paraId="37835946" w14:textId="04EAD80A" w:rsidR="0065762E" w:rsidRDefault="0065762E" w:rsidP="00881B1B">
      <w:pPr>
        <w:pStyle w:val="Caption"/>
      </w:pPr>
      <w:bookmarkStart w:id="232" w:name="_Ref187321565"/>
      <w:bookmarkStart w:id="233" w:name="_Toc191992571"/>
      <w:bookmarkStart w:id="234" w:name="_Toc192766984"/>
      <w:r>
        <w:t xml:space="preserve">Table </w:t>
      </w:r>
      <w:r w:rsidR="009B4C9A">
        <w:fldChar w:fldCharType="begin"/>
      </w:r>
      <w:r w:rsidR="009B4C9A">
        <w:instrText xml:space="preserve"> SEQ Table \* ARABIC </w:instrText>
      </w:r>
      <w:r w:rsidR="009B4C9A">
        <w:fldChar w:fldCharType="separate"/>
      </w:r>
      <w:r w:rsidR="00AA10F4">
        <w:rPr>
          <w:noProof/>
        </w:rPr>
        <w:t>50</w:t>
      </w:r>
      <w:r w:rsidR="009B4C9A">
        <w:rPr>
          <w:noProof/>
        </w:rPr>
        <w:fldChar w:fldCharType="end"/>
      </w:r>
      <w:bookmarkEnd w:id="232"/>
      <w:r>
        <w:t>. 2024 Streetlighting Initiative CPAS and WAML</w:t>
      </w:r>
      <w:bookmarkEnd w:id="233"/>
      <w:bookmarkEnd w:id="234"/>
    </w:p>
    <w:tbl>
      <w:tblPr>
        <w:tblStyle w:val="TableGrid"/>
        <w:tblW w:w="0" w:type="auto"/>
        <w:tblLook w:val="04A0" w:firstRow="1" w:lastRow="0" w:firstColumn="1" w:lastColumn="0" w:noHBand="0" w:noVBand="1"/>
      </w:tblPr>
      <w:tblGrid>
        <w:gridCol w:w="2515"/>
        <w:gridCol w:w="1080"/>
        <w:gridCol w:w="1980"/>
        <w:gridCol w:w="1080"/>
        <w:gridCol w:w="938"/>
        <w:gridCol w:w="939"/>
        <w:gridCol w:w="938"/>
        <w:gridCol w:w="939"/>
        <w:gridCol w:w="938"/>
        <w:gridCol w:w="939"/>
        <w:gridCol w:w="939"/>
        <w:gridCol w:w="1481"/>
      </w:tblGrid>
      <w:tr w:rsidR="0065762E" w14:paraId="3371C0C4" w14:textId="77777777" w:rsidTr="002C70D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15" w:type="dxa"/>
            <w:vMerge w:val="restart"/>
            <w:tcBorders>
              <w:bottom w:val="single" w:sz="4" w:space="0" w:color="4D4D4F"/>
            </w:tcBorders>
          </w:tcPr>
          <w:p w14:paraId="2E2B2395" w14:textId="4D939AB9" w:rsidR="0065762E" w:rsidRDefault="000B1B6F" w:rsidP="008700F8">
            <w:pPr>
              <w:pStyle w:val="TableHeadingLeft"/>
            </w:pPr>
            <w:r>
              <w:t>Channel</w:t>
            </w:r>
          </w:p>
        </w:tc>
        <w:tc>
          <w:tcPr>
            <w:tcW w:w="1080" w:type="dxa"/>
            <w:vMerge w:val="restart"/>
            <w:tcBorders>
              <w:top w:val="single" w:sz="4" w:space="0" w:color="4D4D4F"/>
              <w:left w:val="single" w:sz="4" w:space="0" w:color="4D4D4F"/>
              <w:bottom w:val="single" w:sz="4" w:space="0" w:color="4D4D4F"/>
              <w:right w:val="single" w:sz="4" w:space="0" w:color="4D4D4F"/>
            </w:tcBorders>
          </w:tcPr>
          <w:p w14:paraId="4800D0D0"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980" w:type="dxa"/>
            <w:vMerge w:val="restart"/>
            <w:tcBorders>
              <w:top w:val="single" w:sz="4" w:space="0" w:color="4D4D4F"/>
              <w:left w:val="single" w:sz="4" w:space="0" w:color="4D4D4F"/>
              <w:bottom w:val="single" w:sz="4" w:space="0" w:color="4D4D4F"/>
              <w:right w:val="single" w:sz="4" w:space="0" w:color="4D4D4F"/>
            </w:tcBorders>
          </w:tcPr>
          <w:p w14:paraId="6257928D"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080" w:type="dxa"/>
            <w:vMerge w:val="restart"/>
            <w:tcBorders>
              <w:top w:val="single" w:sz="4" w:space="0" w:color="4D4D4F"/>
              <w:left w:val="single" w:sz="4" w:space="0" w:color="4D4D4F"/>
              <w:bottom w:val="single" w:sz="4" w:space="0" w:color="4D4D4F"/>
              <w:right w:val="single" w:sz="4" w:space="0" w:color="4D4D4F"/>
            </w:tcBorders>
          </w:tcPr>
          <w:p w14:paraId="549E2701"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6570" w:type="dxa"/>
            <w:gridSpan w:val="7"/>
            <w:tcBorders>
              <w:top w:val="single" w:sz="4" w:space="0" w:color="4D4D4F"/>
              <w:left w:val="single" w:sz="4" w:space="0" w:color="4D4D4F"/>
              <w:bottom w:val="single" w:sz="4" w:space="0" w:color="4D4D4F"/>
              <w:right w:val="single" w:sz="4" w:space="0" w:color="4D4D4F"/>
            </w:tcBorders>
          </w:tcPr>
          <w:p w14:paraId="524B2DE6"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81" w:type="dxa"/>
            <w:vMerge w:val="restart"/>
            <w:tcBorders>
              <w:top w:val="single" w:sz="4" w:space="0" w:color="4D4D4F"/>
              <w:left w:val="single" w:sz="4" w:space="0" w:color="4D4D4F"/>
              <w:bottom w:val="single" w:sz="4" w:space="0" w:color="4D4D4F"/>
              <w:right w:val="single" w:sz="4" w:space="0" w:color="4D4D4F"/>
            </w:tcBorders>
          </w:tcPr>
          <w:p w14:paraId="292CB6E9"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65762E" w14:paraId="5082B4AF" w14:textId="77777777" w:rsidTr="002C70D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15" w:type="dxa"/>
            <w:vMerge/>
          </w:tcPr>
          <w:p w14:paraId="2DFCFAEB" w14:textId="77777777" w:rsidR="0065762E" w:rsidRDefault="0065762E" w:rsidP="008700F8"/>
        </w:tc>
        <w:tc>
          <w:tcPr>
            <w:tcW w:w="1080" w:type="dxa"/>
            <w:vMerge/>
          </w:tcPr>
          <w:p w14:paraId="5D32C96F"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c>
          <w:tcPr>
            <w:tcW w:w="1980" w:type="dxa"/>
            <w:vMerge/>
          </w:tcPr>
          <w:p w14:paraId="00668CC8"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c>
          <w:tcPr>
            <w:tcW w:w="1080" w:type="dxa"/>
            <w:vMerge/>
          </w:tcPr>
          <w:p w14:paraId="793385E2"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c>
          <w:tcPr>
            <w:tcW w:w="938" w:type="dxa"/>
            <w:shd w:val="clear" w:color="auto" w:fill="053572" w:themeFill="text2"/>
          </w:tcPr>
          <w:p w14:paraId="48A415E8"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939" w:type="dxa"/>
            <w:shd w:val="clear" w:color="auto" w:fill="053572" w:themeFill="text2"/>
          </w:tcPr>
          <w:p w14:paraId="59E92F3C"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938" w:type="dxa"/>
            <w:shd w:val="clear" w:color="auto" w:fill="053572" w:themeFill="text2"/>
          </w:tcPr>
          <w:p w14:paraId="61C5F559"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939" w:type="dxa"/>
            <w:shd w:val="clear" w:color="auto" w:fill="053572" w:themeFill="text2"/>
          </w:tcPr>
          <w:p w14:paraId="02624E66"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938" w:type="dxa"/>
            <w:shd w:val="clear" w:color="auto" w:fill="053572" w:themeFill="text2"/>
          </w:tcPr>
          <w:p w14:paraId="10664439"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39" w:type="dxa"/>
            <w:shd w:val="clear" w:color="auto" w:fill="053572" w:themeFill="text2"/>
          </w:tcPr>
          <w:p w14:paraId="3E53F5C8"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939" w:type="dxa"/>
            <w:shd w:val="clear" w:color="auto" w:fill="053572" w:themeFill="text2"/>
          </w:tcPr>
          <w:p w14:paraId="3608D78B"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81" w:type="dxa"/>
            <w:vMerge/>
          </w:tcPr>
          <w:p w14:paraId="0C41B9D4"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r>
      <w:tr w:rsidR="00AF4A67" w14:paraId="6AD1ED71"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top"/>
          </w:tcPr>
          <w:p w14:paraId="415A8008" w14:textId="033416C0" w:rsidR="00AF4A67" w:rsidRDefault="00AF4A67" w:rsidP="00AF4A67">
            <w:r>
              <w:t>MOSL</w:t>
            </w:r>
          </w:p>
        </w:tc>
        <w:tc>
          <w:tcPr>
            <w:tcW w:w="1080" w:type="dxa"/>
          </w:tcPr>
          <w:p w14:paraId="47EE804F" w14:textId="4F768B4E"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477711">
              <w:t>20.0</w:t>
            </w:r>
          </w:p>
        </w:tc>
        <w:tc>
          <w:tcPr>
            <w:tcW w:w="1980" w:type="dxa"/>
          </w:tcPr>
          <w:p w14:paraId="23BD2287" w14:textId="33BBE593"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477711">
              <w:t>12,516</w:t>
            </w:r>
          </w:p>
        </w:tc>
        <w:tc>
          <w:tcPr>
            <w:tcW w:w="1080" w:type="dxa"/>
          </w:tcPr>
          <w:p w14:paraId="29E267FE" w14:textId="543E7786"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477711">
              <w:t>1.000</w:t>
            </w:r>
          </w:p>
        </w:tc>
        <w:tc>
          <w:tcPr>
            <w:tcW w:w="938" w:type="dxa"/>
          </w:tcPr>
          <w:p w14:paraId="6DBC31AB" w14:textId="67850BA3"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F232EA">
              <w:t>12,516</w:t>
            </w:r>
          </w:p>
        </w:tc>
        <w:tc>
          <w:tcPr>
            <w:tcW w:w="939" w:type="dxa"/>
          </w:tcPr>
          <w:p w14:paraId="67CA6860" w14:textId="3B1C1AAF"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F232EA">
              <w:t>12,516</w:t>
            </w:r>
          </w:p>
        </w:tc>
        <w:tc>
          <w:tcPr>
            <w:tcW w:w="938" w:type="dxa"/>
          </w:tcPr>
          <w:p w14:paraId="5B13236F" w14:textId="501BAAF1"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F232EA">
              <w:t>12,516</w:t>
            </w:r>
          </w:p>
        </w:tc>
        <w:tc>
          <w:tcPr>
            <w:tcW w:w="939" w:type="dxa"/>
          </w:tcPr>
          <w:p w14:paraId="08433D22" w14:textId="6AD52B76"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F232EA">
              <w:t>11,816</w:t>
            </w:r>
          </w:p>
        </w:tc>
        <w:tc>
          <w:tcPr>
            <w:tcW w:w="938" w:type="dxa"/>
            <w:vAlign w:val="top"/>
          </w:tcPr>
          <w:p w14:paraId="168CF2BB" w14:textId="5710FF88" w:rsidR="00AF4A67" w:rsidRDefault="00AF4A67" w:rsidP="00AF4A67">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939" w:type="dxa"/>
          </w:tcPr>
          <w:p w14:paraId="3848BE4F" w14:textId="0F240173"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E843DA">
              <w:t>11,816</w:t>
            </w:r>
          </w:p>
        </w:tc>
        <w:tc>
          <w:tcPr>
            <w:tcW w:w="939" w:type="dxa"/>
            <w:vAlign w:val="top"/>
          </w:tcPr>
          <w:p w14:paraId="59B9B663" w14:textId="1DE805FC" w:rsidR="00AF4A67" w:rsidRDefault="00AF4A67" w:rsidP="00AF4A67">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81" w:type="dxa"/>
          </w:tcPr>
          <w:p w14:paraId="4496DE10" w14:textId="7F48390D" w:rsidR="00AF4A67" w:rsidRDefault="00AF4A67" w:rsidP="002C70DA">
            <w:pPr>
              <w:jc w:val="right"/>
              <w:cnfStyle w:val="000000010000" w:firstRow="0" w:lastRow="0" w:firstColumn="0" w:lastColumn="0" w:oddVBand="0" w:evenVBand="0" w:oddHBand="0" w:evenHBand="1" w:firstRowFirstColumn="0" w:firstRowLastColumn="0" w:lastRowFirstColumn="0" w:lastRowLastColumn="0"/>
            </w:pPr>
            <w:r w:rsidRPr="00A618D6">
              <w:t>2</w:t>
            </w:r>
            <w:r>
              <w:t>38,425</w:t>
            </w:r>
          </w:p>
        </w:tc>
      </w:tr>
      <w:tr w:rsidR="00AF4A67" w14:paraId="7D8D12E0"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Align w:val="top"/>
          </w:tcPr>
          <w:p w14:paraId="128EFBE5" w14:textId="0F49847B" w:rsidR="00AF4A67" w:rsidRDefault="00AF4A67" w:rsidP="00AF4A67">
            <w:r>
              <w:t>U</w:t>
            </w:r>
            <w:r w:rsidR="002C70DA">
              <w:t>O</w:t>
            </w:r>
            <w:r>
              <w:t>SL</w:t>
            </w:r>
          </w:p>
        </w:tc>
        <w:tc>
          <w:tcPr>
            <w:tcW w:w="1080" w:type="dxa"/>
          </w:tcPr>
          <w:p w14:paraId="12622CC7" w14:textId="6EF5509F" w:rsidR="00AF4A67" w:rsidRDefault="00AF4A67" w:rsidP="002B5E4A">
            <w:pPr>
              <w:jc w:val="right"/>
              <w:cnfStyle w:val="000000100000" w:firstRow="0" w:lastRow="0" w:firstColumn="0" w:lastColumn="0" w:oddVBand="0" w:evenVBand="0" w:oddHBand="1" w:evenHBand="0" w:firstRowFirstColumn="0" w:firstRowLastColumn="0" w:lastRowFirstColumn="0" w:lastRowLastColumn="0"/>
            </w:pPr>
            <w:r w:rsidRPr="00477711">
              <w:t>20.0</w:t>
            </w:r>
          </w:p>
        </w:tc>
        <w:tc>
          <w:tcPr>
            <w:tcW w:w="1980" w:type="dxa"/>
          </w:tcPr>
          <w:p w14:paraId="5B5C84B1" w14:textId="5565DC62"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477711">
              <w:t>50</w:t>
            </w:r>
          </w:p>
        </w:tc>
        <w:tc>
          <w:tcPr>
            <w:tcW w:w="1080" w:type="dxa"/>
          </w:tcPr>
          <w:p w14:paraId="075B4F33" w14:textId="6DF16C32"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477711">
              <w:t>0.690</w:t>
            </w:r>
          </w:p>
        </w:tc>
        <w:tc>
          <w:tcPr>
            <w:tcW w:w="938" w:type="dxa"/>
          </w:tcPr>
          <w:p w14:paraId="54FA0349" w14:textId="1DC16E63"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F232EA">
              <w:t>35</w:t>
            </w:r>
          </w:p>
        </w:tc>
        <w:tc>
          <w:tcPr>
            <w:tcW w:w="939" w:type="dxa"/>
          </w:tcPr>
          <w:p w14:paraId="165CE45C" w14:textId="47EE7F32"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F232EA">
              <w:t>35</w:t>
            </w:r>
          </w:p>
        </w:tc>
        <w:tc>
          <w:tcPr>
            <w:tcW w:w="938" w:type="dxa"/>
          </w:tcPr>
          <w:p w14:paraId="04B152ED" w14:textId="46D5F7E7"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F232EA">
              <w:t>35</w:t>
            </w:r>
          </w:p>
        </w:tc>
        <w:tc>
          <w:tcPr>
            <w:tcW w:w="939" w:type="dxa"/>
          </w:tcPr>
          <w:p w14:paraId="21C6F5BD" w14:textId="67D61257"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F232EA">
              <w:t>35</w:t>
            </w:r>
          </w:p>
        </w:tc>
        <w:tc>
          <w:tcPr>
            <w:tcW w:w="938" w:type="dxa"/>
            <w:vAlign w:val="top"/>
          </w:tcPr>
          <w:p w14:paraId="68CE0A81" w14:textId="50B724FC" w:rsidR="00AF4A67" w:rsidRDefault="00AF4A67" w:rsidP="00AF4A67">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939" w:type="dxa"/>
          </w:tcPr>
          <w:p w14:paraId="4375F591" w14:textId="70939B7D"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rsidRPr="00E843DA">
              <w:t>35</w:t>
            </w:r>
          </w:p>
        </w:tc>
        <w:tc>
          <w:tcPr>
            <w:tcW w:w="939" w:type="dxa"/>
            <w:vAlign w:val="top"/>
          </w:tcPr>
          <w:p w14:paraId="1F5A9B70" w14:textId="2BEC6FCA" w:rsidR="00AF4A67" w:rsidRDefault="00AF4A67" w:rsidP="00AF4A67">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1481" w:type="dxa"/>
          </w:tcPr>
          <w:p w14:paraId="7209D068" w14:textId="390D079E" w:rsidR="00AF4A67" w:rsidRDefault="00AF4A67" w:rsidP="002C70DA">
            <w:pPr>
              <w:jc w:val="right"/>
              <w:cnfStyle w:val="000000100000" w:firstRow="0" w:lastRow="0" w:firstColumn="0" w:lastColumn="0" w:oddVBand="0" w:evenVBand="0" w:oddHBand="1" w:evenHBand="0" w:firstRowFirstColumn="0" w:firstRowLastColumn="0" w:lastRowFirstColumn="0" w:lastRowLastColumn="0"/>
            </w:pPr>
            <w:r>
              <w:t>696</w:t>
            </w:r>
          </w:p>
        </w:tc>
      </w:tr>
      <w:tr w:rsidR="004566ED" w14:paraId="6F14F809" w14:textId="77777777" w:rsidTr="002C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gridSpan w:val="2"/>
            <w:shd w:val="clear" w:color="auto" w:fill="D9D9D9" w:themeFill="background1" w:themeFillShade="D9"/>
            <w:vAlign w:val="top"/>
          </w:tcPr>
          <w:p w14:paraId="0992F1B1" w14:textId="4774A157" w:rsidR="004566ED" w:rsidRPr="002C70DA" w:rsidRDefault="004566ED" w:rsidP="004566ED">
            <w:pPr>
              <w:rPr>
                <w:rFonts w:ascii="Franklin Gothic Medium" w:hAnsi="Franklin Gothic Medium"/>
              </w:rPr>
            </w:pPr>
            <w:r w:rsidRPr="002C70DA">
              <w:rPr>
                <w:rFonts w:ascii="Franklin Gothic Medium" w:hAnsi="Franklin Gothic Medium"/>
              </w:rPr>
              <w:t>2024 CPAS</w:t>
            </w:r>
          </w:p>
        </w:tc>
        <w:tc>
          <w:tcPr>
            <w:tcW w:w="1980" w:type="dxa"/>
            <w:shd w:val="clear" w:color="auto" w:fill="D9D9D9" w:themeFill="background1" w:themeFillShade="D9"/>
          </w:tcPr>
          <w:p w14:paraId="654ED5AF" w14:textId="78A6353B"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12,566</w:t>
            </w:r>
          </w:p>
        </w:tc>
        <w:tc>
          <w:tcPr>
            <w:tcW w:w="1080" w:type="dxa"/>
            <w:shd w:val="clear" w:color="auto" w:fill="D9D9D9" w:themeFill="background1" w:themeFillShade="D9"/>
          </w:tcPr>
          <w:p w14:paraId="1C68983B" w14:textId="29CA4089"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0.999</w:t>
            </w:r>
          </w:p>
        </w:tc>
        <w:tc>
          <w:tcPr>
            <w:tcW w:w="938" w:type="dxa"/>
            <w:shd w:val="clear" w:color="auto" w:fill="D9D9D9" w:themeFill="background1" w:themeFillShade="D9"/>
          </w:tcPr>
          <w:p w14:paraId="73A4DA5C" w14:textId="46A649AB"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12,551</w:t>
            </w:r>
          </w:p>
        </w:tc>
        <w:tc>
          <w:tcPr>
            <w:tcW w:w="939" w:type="dxa"/>
            <w:shd w:val="clear" w:color="auto" w:fill="D9D9D9" w:themeFill="background1" w:themeFillShade="D9"/>
          </w:tcPr>
          <w:p w14:paraId="1659EDD7" w14:textId="6416F833"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12,551</w:t>
            </w:r>
          </w:p>
        </w:tc>
        <w:tc>
          <w:tcPr>
            <w:tcW w:w="938" w:type="dxa"/>
            <w:shd w:val="clear" w:color="auto" w:fill="D9D9D9" w:themeFill="background1" w:themeFillShade="D9"/>
          </w:tcPr>
          <w:p w14:paraId="130612AC" w14:textId="0F95237F"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12,551</w:t>
            </w:r>
          </w:p>
        </w:tc>
        <w:tc>
          <w:tcPr>
            <w:tcW w:w="939" w:type="dxa"/>
            <w:shd w:val="clear" w:color="auto" w:fill="D9D9D9" w:themeFill="background1" w:themeFillShade="D9"/>
          </w:tcPr>
          <w:p w14:paraId="6B07017C" w14:textId="1FAD3F17"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11,851</w:t>
            </w:r>
          </w:p>
        </w:tc>
        <w:tc>
          <w:tcPr>
            <w:tcW w:w="938" w:type="dxa"/>
            <w:shd w:val="clear" w:color="auto" w:fill="D9D9D9" w:themeFill="background1" w:themeFillShade="D9"/>
            <w:vAlign w:val="top"/>
          </w:tcPr>
          <w:p w14:paraId="06D0EA50" w14:textId="1CF4E659" w:rsidR="004566ED" w:rsidRPr="002C70DA" w:rsidRDefault="004566ED" w:rsidP="004566E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939" w:type="dxa"/>
            <w:shd w:val="clear" w:color="auto" w:fill="D9D9D9" w:themeFill="background1" w:themeFillShade="D9"/>
          </w:tcPr>
          <w:p w14:paraId="17B9A0B5" w14:textId="7569ADBB"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11,851</w:t>
            </w:r>
          </w:p>
        </w:tc>
        <w:tc>
          <w:tcPr>
            <w:tcW w:w="939" w:type="dxa"/>
            <w:shd w:val="clear" w:color="auto" w:fill="D9D9D9" w:themeFill="background1" w:themeFillShade="D9"/>
            <w:vAlign w:val="top"/>
          </w:tcPr>
          <w:p w14:paraId="47570896" w14:textId="54FFB0F2" w:rsidR="004566ED" w:rsidRPr="002C70DA" w:rsidRDefault="004566ED" w:rsidP="004566E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1481" w:type="dxa"/>
            <w:shd w:val="clear" w:color="auto" w:fill="D9D9D9" w:themeFill="background1" w:themeFillShade="D9"/>
          </w:tcPr>
          <w:p w14:paraId="70F12B3F" w14:textId="1BD1CAD1"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239,121</w:t>
            </w:r>
          </w:p>
        </w:tc>
      </w:tr>
      <w:tr w:rsidR="004566ED" w14:paraId="505F82E7" w14:textId="77777777" w:rsidTr="002C70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4"/>
            <w:shd w:val="clear" w:color="auto" w:fill="D9D9D9" w:themeFill="background1" w:themeFillShade="D9"/>
          </w:tcPr>
          <w:p w14:paraId="2590AF53" w14:textId="48BE59F2" w:rsidR="004566ED" w:rsidRPr="002C70DA" w:rsidRDefault="004566ED" w:rsidP="002C70DA">
            <w:pPr>
              <w:rPr>
                <w:rFonts w:ascii="Franklin Gothic Medium" w:hAnsi="Franklin Gothic Medium"/>
              </w:rPr>
            </w:pPr>
            <w:r w:rsidRPr="002C70DA">
              <w:rPr>
                <w:rFonts w:ascii="Franklin Gothic Medium" w:hAnsi="Franklin Gothic Medium"/>
              </w:rPr>
              <w:t>Expiring 2024 CPAS</w:t>
            </w:r>
          </w:p>
        </w:tc>
        <w:tc>
          <w:tcPr>
            <w:tcW w:w="938" w:type="dxa"/>
            <w:shd w:val="clear" w:color="auto" w:fill="D9D9D9" w:themeFill="background1" w:themeFillShade="D9"/>
          </w:tcPr>
          <w:p w14:paraId="3AA2D846" w14:textId="2CD06043" w:rsidR="004566ED" w:rsidRPr="002C70DA" w:rsidRDefault="004566ED" w:rsidP="002C70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9" w:type="dxa"/>
            <w:shd w:val="clear" w:color="auto" w:fill="D9D9D9" w:themeFill="background1" w:themeFillShade="D9"/>
          </w:tcPr>
          <w:p w14:paraId="144FB619" w14:textId="7ECEE958" w:rsidR="004566ED" w:rsidRPr="002C70DA" w:rsidRDefault="004566ED" w:rsidP="002C70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8" w:type="dxa"/>
            <w:shd w:val="clear" w:color="auto" w:fill="D9D9D9" w:themeFill="background1" w:themeFillShade="D9"/>
          </w:tcPr>
          <w:p w14:paraId="51098731" w14:textId="00EE8233" w:rsidR="004566ED" w:rsidRPr="002C70DA" w:rsidRDefault="004566ED" w:rsidP="002C70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9" w:type="dxa"/>
            <w:shd w:val="clear" w:color="auto" w:fill="D9D9D9" w:themeFill="background1" w:themeFillShade="D9"/>
          </w:tcPr>
          <w:p w14:paraId="75943FC9" w14:textId="4634DCBC" w:rsidR="004566ED" w:rsidRPr="002C70DA" w:rsidRDefault="004566ED" w:rsidP="002C70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700</w:t>
            </w:r>
          </w:p>
        </w:tc>
        <w:tc>
          <w:tcPr>
            <w:tcW w:w="938" w:type="dxa"/>
            <w:shd w:val="clear" w:color="auto" w:fill="D9D9D9" w:themeFill="background1" w:themeFillShade="D9"/>
            <w:vAlign w:val="top"/>
          </w:tcPr>
          <w:p w14:paraId="535FEBD1" w14:textId="591D8225" w:rsidR="004566ED" w:rsidRPr="002C70DA" w:rsidRDefault="004566ED" w:rsidP="004566ED">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939" w:type="dxa"/>
            <w:shd w:val="clear" w:color="auto" w:fill="D9D9D9" w:themeFill="background1" w:themeFillShade="D9"/>
          </w:tcPr>
          <w:p w14:paraId="21E69D0D" w14:textId="6D6D41DB" w:rsidR="004566ED" w:rsidRPr="002C70DA" w:rsidRDefault="004566ED" w:rsidP="002C70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700</w:t>
            </w:r>
          </w:p>
        </w:tc>
        <w:tc>
          <w:tcPr>
            <w:tcW w:w="939" w:type="dxa"/>
            <w:shd w:val="clear" w:color="auto" w:fill="D9D9D9" w:themeFill="background1" w:themeFillShade="D9"/>
            <w:vAlign w:val="top"/>
          </w:tcPr>
          <w:p w14:paraId="2723B352" w14:textId="5A2CC580" w:rsidR="004566ED" w:rsidRPr="002C70DA" w:rsidRDefault="004566ED" w:rsidP="004566ED">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1481" w:type="dxa"/>
            <w:tcBorders>
              <w:bottom w:val="nil"/>
              <w:right w:val="nil"/>
            </w:tcBorders>
            <w:shd w:val="clear" w:color="auto" w:fill="FFFFFF" w:themeFill="background1"/>
            <w:vAlign w:val="top"/>
          </w:tcPr>
          <w:p w14:paraId="1FA32217" w14:textId="77777777" w:rsidR="004566ED" w:rsidRPr="002C70DA" w:rsidRDefault="004566ED" w:rsidP="004566ED">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4566ED" w14:paraId="5FB1CF84" w14:textId="77777777" w:rsidTr="002C70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4"/>
            <w:shd w:val="clear" w:color="auto" w:fill="D9D9D9" w:themeFill="background1" w:themeFillShade="D9"/>
          </w:tcPr>
          <w:p w14:paraId="17A29C77" w14:textId="0A8884D2" w:rsidR="004566ED" w:rsidRPr="002C70DA" w:rsidRDefault="004566ED" w:rsidP="002C70DA">
            <w:pPr>
              <w:rPr>
                <w:rFonts w:ascii="Franklin Gothic Medium" w:hAnsi="Franklin Gothic Medium"/>
              </w:rPr>
            </w:pPr>
            <w:r w:rsidRPr="002C70DA">
              <w:rPr>
                <w:rFonts w:ascii="Franklin Gothic Medium" w:hAnsi="Franklin Gothic Medium"/>
              </w:rPr>
              <w:t>Expired 2024 CPAS</w:t>
            </w:r>
          </w:p>
        </w:tc>
        <w:tc>
          <w:tcPr>
            <w:tcW w:w="938" w:type="dxa"/>
            <w:shd w:val="clear" w:color="auto" w:fill="D9D9D9" w:themeFill="background1" w:themeFillShade="D9"/>
          </w:tcPr>
          <w:p w14:paraId="54594424" w14:textId="0DF73F99"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9" w:type="dxa"/>
            <w:shd w:val="clear" w:color="auto" w:fill="D9D9D9" w:themeFill="background1" w:themeFillShade="D9"/>
          </w:tcPr>
          <w:p w14:paraId="7F97FAC8" w14:textId="434AB376"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8" w:type="dxa"/>
            <w:shd w:val="clear" w:color="auto" w:fill="D9D9D9" w:themeFill="background1" w:themeFillShade="D9"/>
          </w:tcPr>
          <w:p w14:paraId="047CC578" w14:textId="03AD81EB"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0</w:t>
            </w:r>
          </w:p>
        </w:tc>
        <w:tc>
          <w:tcPr>
            <w:tcW w:w="939" w:type="dxa"/>
            <w:shd w:val="clear" w:color="auto" w:fill="D9D9D9" w:themeFill="background1" w:themeFillShade="D9"/>
          </w:tcPr>
          <w:p w14:paraId="41B034FB" w14:textId="4FCC03E7"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700</w:t>
            </w:r>
          </w:p>
        </w:tc>
        <w:tc>
          <w:tcPr>
            <w:tcW w:w="938" w:type="dxa"/>
            <w:shd w:val="clear" w:color="auto" w:fill="D9D9D9" w:themeFill="background1" w:themeFillShade="D9"/>
            <w:vAlign w:val="top"/>
          </w:tcPr>
          <w:p w14:paraId="1FED575A" w14:textId="0CB354E8" w:rsidR="004566ED" w:rsidRPr="002C70DA" w:rsidRDefault="004566ED" w:rsidP="004566E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939" w:type="dxa"/>
            <w:shd w:val="clear" w:color="auto" w:fill="D9D9D9" w:themeFill="background1" w:themeFillShade="D9"/>
          </w:tcPr>
          <w:p w14:paraId="6F3CED30" w14:textId="112DCFCA" w:rsidR="004566ED" w:rsidRPr="002C70DA" w:rsidRDefault="004566ED" w:rsidP="002C70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700</w:t>
            </w:r>
          </w:p>
        </w:tc>
        <w:tc>
          <w:tcPr>
            <w:tcW w:w="939" w:type="dxa"/>
            <w:shd w:val="clear" w:color="auto" w:fill="D9D9D9" w:themeFill="background1" w:themeFillShade="D9"/>
            <w:vAlign w:val="top"/>
          </w:tcPr>
          <w:p w14:paraId="0F642DF2" w14:textId="1B83DBAA" w:rsidR="004566ED" w:rsidRPr="002C70DA" w:rsidRDefault="004566ED" w:rsidP="004566E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C70DA">
              <w:rPr>
                <w:rFonts w:ascii="Franklin Gothic Medium" w:hAnsi="Franklin Gothic Medium"/>
              </w:rPr>
              <w:t>…</w:t>
            </w:r>
          </w:p>
        </w:tc>
        <w:tc>
          <w:tcPr>
            <w:tcW w:w="1481" w:type="dxa"/>
            <w:tcBorders>
              <w:top w:val="nil"/>
              <w:bottom w:val="nil"/>
              <w:right w:val="nil"/>
            </w:tcBorders>
            <w:shd w:val="clear" w:color="auto" w:fill="FFFFFF" w:themeFill="background1"/>
            <w:vAlign w:val="top"/>
          </w:tcPr>
          <w:p w14:paraId="114358C9" w14:textId="77777777" w:rsidR="004566ED" w:rsidRPr="002C70DA" w:rsidRDefault="004566ED" w:rsidP="004566ED">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2C70DA" w14:paraId="2C0C61BC"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9D9D9" w:themeFill="background1" w:themeFillShade="D9"/>
            <w:vAlign w:val="top"/>
          </w:tcPr>
          <w:p w14:paraId="4372D325" w14:textId="77777777" w:rsidR="0065762E" w:rsidRPr="002C70DA" w:rsidRDefault="0065762E" w:rsidP="008700F8">
            <w:pPr>
              <w:rPr>
                <w:rFonts w:ascii="Franklin Gothic Medium" w:hAnsi="Franklin Gothic Medium"/>
              </w:rPr>
            </w:pPr>
            <w:r w:rsidRPr="002C70DA">
              <w:rPr>
                <w:rFonts w:ascii="Franklin Gothic Medium" w:hAnsi="Franklin Gothic Medium"/>
              </w:rPr>
              <w:t>WAML</w:t>
            </w:r>
          </w:p>
        </w:tc>
        <w:tc>
          <w:tcPr>
            <w:tcW w:w="1080" w:type="dxa"/>
            <w:shd w:val="clear" w:color="auto" w:fill="D9D9D9" w:themeFill="background1" w:themeFillShade="D9"/>
          </w:tcPr>
          <w:p w14:paraId="271B0444" w14:textId="0C7D7AE9" w:rsidR="0065762E" w:rsidRPr="002C70DA" w:rsidRDefault="004566ED"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C70DA">
              <w:rPr>
                <w:rFonts w:ascii="Franklin Gothic Medium" w:hAnsi="Franklin Gothic Medium"/>
              </w:rPr>
              <w:t>20.0</w:t>
            </w:r>
          </w:p>
        </w:tc>
        <w:tc>
          <w:tcPr>
            <w:tcW w:w="1980" w:type="dxa"/>
            <w:tcBorders>
              <w:top w:val="nil"/>
              <w:bottom w:val="nil"/>
              <w:right w:val="nil"/>
            </w:tcBorders>
            <w:shd w:val="clear" w:color="auto" w:fill="FFFFFF" w:themeFill="background1"/>
          </w:tcPr>
          <w:p w14:paraId="527F65AA" w14:textId="77777777" w:rsidR="0065762E" w:rsidRPr="002C70DA" w:rsidRDefault="0065762E"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0" w:type="dxa"/>
            <w:tcBorders>
              <w:top w:val="nil"/>
              <w:left w:val="nil"/>
              <w:bottom w:val="nil"/>
              <w:right w:val="nil"/>
            </w:tcBorders>
            <w:shd w:val="clear" w:color="auto" w:fill="FFFFFF" w:themeFill="background1"/>
            <w:vAlign w:val="top"/>
          </w:tcPr>
          <w:p w14:paraId="7C6C171A"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59BF334F"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17204913"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4CA01C8B"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3573D4A4"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37B170BE"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2D3F08B5"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663DDFDE"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81" w:type="dxa"/>
            <w:tcBorders>
              <w:top w:val="nil"/>
              <w:left w:val="nil"/>
              <w:bottom w:val="nil"/>
              <w:right w:val="nil"/>
            </w:tcBorders>
            <w:shd w:val="clear" w:color="auto" w:fill="FFFFFF" w:themeFill="background1"/>
            <w:vAlign w:val="top"/>
          </w:tcPr>
          <w:p w14:paraId="6EC238DD" w14:textId="77777777" w:rsidR="0065762E" w:rsidRPr="002C70DA" w:rsidRDefault="0065762E" w:rsidP="008700F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36BEC4B6" w14:textId="567CAC63" w:rsidR="0065762E" w:rsidRDefault="0065762E" w:rsidP="002B2717">
      <w:pPr>
        <w:pStyle w:val="NoSpacing"/>
        <w:spacing w:before="240"/>
        <w:jc w:val="center"/>
      </w:pPr>
      <w:bookmarkStart w:id="235" w:name="_Toc191992572"/>
      <w:bookmarkStart w:id="236" w:name="_Toc192766985"/>
      <w:r>
        <w:t xml:space="preserve">Table </w:t>
      </w:r>
      <w:r>
        <w:fldChar w:fldCharType="begin"/>
      </w:r>
      <w:r>
        <w:instrText xml:space="preserve"> SEQ Table \* ARABIC </w:instrText>
      </w:r>
      <w:r>
        <w:fldChar w:fldCharType="separate"/>
      </w:r>
      <w:r w:rsidR="00AA10F4">
        <w:rPr>
          <w:noProof/>
        </w:rPr>
        <w:t>51</w:t>
      </w:r>
      <w:r>
        <w:fldChar w:fldCharType="end"/>
      </w:r>
      <w:r>
        <w:t>. 2024 Municipality-Owned Streetlighting Channel CPAS and WAML</w:t>
      </w:r>
      <w:bookmarkEnd w:id="235"/>
      <w:bookmarkEnd w:id="236"/>
    </w:p>
    <w:p w14:paraId="729C2B1D" w14:textId="77777777" w:rsidR="0065762E" w:rsidRDefault="0065762E" w:rsidP="0065762E">
      <w:pPr>
        <w:pStyle w:val="NoSpacing"/>
        <w:jc w:val="center"/>
      </w:pPr>
    </w:p>
    <w:tbl>
      <w:tblPr>
        <w:tblStyle w:val="TableGrid"/>
        <w:tblW w:w="0" w:type="auto"/>
        <w:tblLook w:val="04A0" w:firstRow="1" w:lastRow="0" w:firstColumn="1" w:lastColumn="0" w:noHBand="0" w:noVBand="1"/>
      </w:tblPr>
      <w:tblGrid>
        <w:gridCol w:w="2515"/>
        <w:gridCol w:w="1080"/>
        <w:gridCol w:w="1980"/>
        <w:gridCol w:w="1080"/>
        <w:gridCol w:w="938"/>
        <w:gridCol w:w="939"/>
        <w:gridCol w:w="938"/>
        <w:gridCol w:w="939"/>
        <w:gridCol w:w="938"/>
        <w:gridCol w:w="939"/>
        <w:gridCol w:w="939"/>
        <w:gridCol w:w="1481"/>
      </w:tblGrid>
      <w:tr w:rsidR="0065762E" w14:paraId="6093ABDE" w14:textId="77777777" w:rsidTr="002B5E4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15" w:type="dxa"/>
            <w:vMerge w:val="restart"/>
            <w:tcBorders>
              <w:bottom w:val="single" w:sz="4" w:space="0" w:color="4D4D4F"/>
            </w:tcBorders>
          </w:tcPr>
          <w:p w14:paraId="446805E3" w14:textId="10FFF677" w:rsidR="0065762E" w:rsidRDefault="000B1B6F" w:rsidP="008700F8">
            <w:pPr>
              <w:pStyle w:val="TableHeadingLeft"/>
            </w:pPr>
            <w:r>
              <w:t>Measure</w:t>
            </w:r>
          </w:p>
        </w:tc>
        <w:tc>
          <w:tcPr>
            <w:tcW w:w="1080" w:type="dxa"/>
            <w:vMerge w:val="restart"/>
            <w:tcBorders>
              <w:top w:val="single" w:sz="4" w:space="0" w:color="4D4D4F"/>
              <w:left w:val="single" w:sz="4" w:space="0" w:color="4D4D4F"/>
              <w:bottom w:val="single" w:sz="4" w:space="0" w:color="4D4D4F"/>
              <w:right w:val="single" w:sz="4" w:space="0" w:color="4D4D4F"/>
            </w:tcBorders>
          </w:tcPr>
          <w:p w14:paraId="65B69C6C" w14:textId="49151CB2" w:rsidR="0065762E" w:rsidRDefault="000B1B6F" w:rsidP="002B5E4A">
            <w:pPr>
              <w:pStyle w:val="TableHeadingCentered"/>
              <w:jc w:val="right"/>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top w:val="single" w:sz="4" w:space="0" w:color="4D4D4F"/>
              <w:left w:val="single" w:sz="4" w:space="0" w:color="4D4D4F"/>
              <w:bottom w:val="single" w:sz="4" w:space="0" w:color="4D4D4F"/>
              <w:right w:val="single" w:sz="4" w:space="0" w:color="4D4D4F"/>
            </w:tcBorders>
          </w:tcPr>
          <w:p w14:paraId="299BB599"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1080" w:type="dxa"/>
            <w:vMerge w:val="restart"/>
            <w:tcBorders>
              <w:top w:val="single" w:sz="4" w:space="0" w:color="4D4D4F"/>
              <w:left w:val="single" w:sz="4" w:space="0" w:color="4D4D4F"/>
              <w:bottom w:val="single" w:sz="4" w:space="0" w:color="4D4D4F"/>
              <w:right w:val="single" w:sz="4" w:space="0" w:color="4D4D4F"/>
            </w:tcBorders>
          </w:tcPr>
          <w:p w14:paraId="55928AAB"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6570" w:type="dxa"/>
            <w:gridSpan w:val="7"/>
            <w:tcBorders>
              <w:top w:val="single" w:sz="4" w:space="0" w:color="4D4D4F"/>
              <w:left w:val="single" w:sz="4" w:space="0" w:color="4D4D4F"/>
              <w:bottom w:val="single" w:sz="4" w:space="0" w:color="4D4D4F"/>
              <w:right w:val="single" w:sz="4" w:space="0" w:color="4D4D4F"/>
            </w:tcBorders>
          </w:tcPr>
          <w:p w14:paraId="71DEA506"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81" w:type="dxa"/>
            <w:vMerge w:val="restart"/>
            <w:tcBorders>
              <w:top w:val="single" w:sz="4" w:space="0" w:color="4D4D4F"/>
              <w:left w:val="single" w:sz="4" w:space="0" w:color="4D4D4F"/>
              <w:bottom w:val="single" w:sz="4" w:space="0" w:color="4D4D4F"/>
              <w:right w:val="single" w:sz="4" w:space="0" w:color="4D4D4F"/>
            </w:tcBorders>
          </w:tcPr>
          <w:p w14:paraId="056DCE65" w14:textId="77777777" w:rsidR="0065762E" w:rsidRDefault="0065762E" w:rsidP="008700F8">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65762E" w14:paraId="0966096B"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2515" w:type="dxa"/>
            <w:vMerge/>
          </w:tcPr>
          <w:p w14:paraId="1C353FD0" w14:textId="77777777" w:rsidR="0065762E" w:rsidRDefault="0065762E" w:rsidP="008700F8"/>
        </w:tc>
        <w:tc>
          <w:tcPr>
            <w:tcW w:w="1080" w:type="dxa"/>
            <w:vMerge/>
          </w:tcPr>
          <w:p w14:paraId="41DDD213" w14:textId="77777777" w:rsidR="0065762E" w:rsidRDefault="0065762E" w:rsidP="002B5E4A">
            <w:pPr>
              <w:jc w:val="right"/>
              <w:cnfStyle w:val="000000100000" w:firstRow="0" w:lastRow="0" w:firstColumn="0" w:lastColumn="0" w:oddVBand="0" w:evenVBand="0" w:oddHBand="1" w:evenHBand="0" w:firstRowFirstColumn="0" w:firstRowLastColumn="0" w:lastRowFirstColumn="0" w:lastRowLastColumn="0"/>
            </w:pPr>
          </w:p>
        </w:tc>
        <w:tc>
          <w:tcPr>
            <w:tcW w:w="1980" w:type="dxa"/>
            <w:vMerge/>
          </w:tcPr>
          <w:p w14:paraId="75D0EFA0"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c>
          <w:tcPr>
            <w:tcW w:w="1080" w:type="dxa"/>
            <w:vMerge/>
          </w:tcPr>
          <w:p w14:paraId="6B85CD53"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c>
          <w:tcPr>
            <w:tcW w:w="938" w:type="dxa"/>
            <w:shd w:val="clear" w:color="auto" w:fill="053572" w:themeFill="text2"/>
          </w:tcPr>
          <w:p w14:paraId="0722E144"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939" w:type="dxa"/>
            <w:shd w:val="clear" w:color="auto" w:fill="053572" w:themeFill="text2"/>
          </w:tcPr>
          <w:p w14:paraId="6028A7C5"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938" w:type="dxa"/>
            <w:shd w:val="clear" w:color="auto" w:fill="053572" w:themeFill="text2"/>
          </w:tcPr>
          <w:p w14:paraId="12B92801"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939" w:type="dxa"/>
            <w:shd w:val="clear" w:color="auto" w:fill="053572" w:themeFill="text2"/>
          </w:tcPr>
          <w:p w14:paraId="6440765E"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938" w:type="dxa"/>
            <w:shd w:val="clear" w:color="auto" w:fill="053572" w:themeFill="text2"/>
          </w:tcPr>
          <w:p w14:paraId="1809E358" w14:textId="77777777" w:rsidR="0065762E" w:rsidRDefault="0065762E"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939" w:type="dxa"/>
            <w:shd w:val="clear" w:color="auto" w:fill="053572" w:themeFill="text2"/>
          </w:tcPr>
          <w:p w14:paraId="4E636FB9" w14:textId="77777777" w:rsidR="0065762E" w:rsidRDefault="0065762E" w:rsidP="008700F8">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939" w:type="dxa"/>
            <w:shd w:val="clear" w:color="auto" w:fill="053572" w:themeFill="text2"/>
          </w:tcPr>
          <w:p w14:paraId="57C1F45B" w14:textId="77777777" w:rsidR="0065762E" w:rsidRDefault="0065762E"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81" w:type="dxa"/>
            <w:vMerge/>
          </w:tcPr>
          <w:p w14:paraId="46C83354" w14:textId="77777777" w:rsidR="0065762E" w:rsidRDefault="0065762E" w:rsidP="008700F8">
            <w:pPr>
              <w:cnfStyle w:val="000000100000" w:firstRow="0" w:lastRow="0" w:firstColumn="0" w:lastColumn="0" w:oddVBand="0" w:evenVBand="0" w:oddHBand="1" w:evenHBand="0" w:firstRowFirstColumn="0" w:firstRowLastColumn="0" w:lastRowFirstColumn="0" w:lastRowLastColumn="0"/>
            </w:pPr>
          </w:p>
        </w:tc>
      </w:tr>
      <w:tr w:rsidR="00AF4A67" w14:paraId="7D007014"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Pr>
          <w:p w14:paraId="2A83F091" w14:textId="364C40CF" w:rsidR="00AF4A67" w:rsidRDefault="00727A20" w:rsidP="00C11F4E">
            <w:pPr>
              <w:pStyle w:val="TableLeftText"/>
            </w:pPr>
            <w:r>
              <w:t>MOSL (HPS Baseline)</w:t>
            </w:r>
          </w:p>
        </w:tc>
        <w:tc>
          <w:tcPr>
            <w:tcW w:w="1080" w:type="dxa"/>
          </w:tcPr>
          <w:p w14:paraId="22B0A1FA" w14:textId="7A45922D"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BB67C1">
              <w:t>20.0</w:t>
            </w:r>
          </w:p>
        </w:tc>
        <w:tc>
          <w:tcPr>
            <w:tcW w:w="1980" w:type="dxa"/>
          </w:tcPr>
          <w:p w14:paraId="6D42A93E" w14:textId="2B64558A"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BB67C1">
              <w:t>50</w:t>
            </w:r>
          </w:p>
        </w:tc>
        <w:tc>
          <w:tcPr>
            <w:tcW w:w="1080" w:type="dxa"/>
          </w:tcPr>
          <w:p w14:paraId="31639CEC" w14:textId="7DFAE0C2"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BB67C1">
              <w:t>0.690</w:t>
            </w:r>
          </w:p>
        </w:tc>
        <w:tc>
          <w:tcPr>
            <w:tcW w:w="938" w:type="dxa"/>
          </w:tcPr>
          <w:p w14:paraId="5587C4B4" w14:textId="783BFD20"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CA1A18">
              <w:t>35</w:t>
            </w:r>
          </w:p>
        </w:tc>
        <w:tc>
          <w:tcPr>
            <w:tcW w:w="939" w:type="dxa"/>
          </w:tcPr>
          <w:p w14:paraId="5492055B" w14:textId="090116D5"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CA1A18">
              <w:t>35</w:t>
            </w:r>
          </w:p>
        </w:tc>
        <w:tc>
          <w:tcPr>
            <w:tcW w:w="938" w:type="dxa"/>
          </w:tcPr>
          <w:p w14:paraId="00E45758" w14:textId="630EEDCE"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CA1A18">
              <w:t>35</w:t>
            </w:r>
          </w:p>
        </w:tc>
        <w:tc>
          <w:tcPr>
            <w:tcW w:w="939" w:type="dxa"/>
          </w:tcPr>
          <w:p w14:paraId="52F771EE" w14:textId="1AACD61C"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CA1A18">
              <w:t>35</w:t>
            </w:r>
          </w:p>
        </w:tc>
        <w:tc>
          <w:tcPr>
            <w:tcW w:w="938" w:type="dxa"/>
          </w:tcPr>
          <w:p w14:paraId="79DAA2AE" w14:textId="2B8DDFB9" w:rsidR="00AF4A67" w:rsidRDefault="00AF4A67"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939" w:type="dxa"/>
          </w:tcPr>
          <w:p w14:paraId="539FF61B" w14:textId="4E0CEE65"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rsidRPr="00B9630F">
              <w:t>35</w:t>
            </w:r>
          </w:p>
        </w:tc>
        <w:tc>
          <w:tcPr>
            <w:tcW w:w="939" w:type="dxa"/>
          </w:tcPr>
          <w:p w14:paraId="3AB13E41" w14:textId="02F50D0C" w:rsidR="00AF4A67" w:rsidRDefault="00AF4A67"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81" w:type="dxa"/>
          </w:tcPr>
          <w:p w14:paraId="3CAE124A" w14:textId="04629168" w:rsidR="00AF4A67" w:rsidRDefault="00AF4A67" w:rsidP="002B5E4A">
            <w:pPr>
              <w:jc w:val="right"/>
              <w:cnfStyle w:val="000000010000" w:firstRow="0" w:lastRow="0" w:firstColumn="0" w:lastColumn="0" w:oddVBand="0" w:evenVBand="0" w:oddHBand="0" w:evenHBand="1" w:firstRowFirstColumn="0" w:firstRowLastColumn="0" w:lastRowFirstColumn="0" w:lastRowLastColumn="0"/>
            </w:pPr>
            <w:r>
              <w:t>696</w:t>
            </w:r>
          </w:p>
        </w:tc>
      </w:tr>
      <w:tr w:rsidR="00AF4A67" w14:paraId="52E12683"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5" w:type="dxa"/>
            <w:gridSpan w:val="2"/>
            <w:shd w:val="clear" w:color="auto" w:fill="D9D9D9" w:themeFill="background1" w:themeFillShade="D9"/>
            <w:vAlign w:val="top"/>
          </w:tcPr>
          <w:p w14:paraId="10ED1368" w14:textId="3205E856" w:rsidR="00AF4A67" w:rsidRPr="00C11F4E" w:rsidRDefault="00AF4A67" w:rsidP="00AF4A67">
            <w:pPr>
              <w:rPr>
                <w:rFonts w:ascii="Franklin Gothic Medium" w:hAnsi="Franklin Gothic Medium"/>
              </w:rPr>
            </w:pPr>
            <w:r w:rsidRPr="00C11F4E">
              <w:rPr>
                <w:rFonts w:ascii="Franklin Gothic Medium" w:hAnsi="Franklin Gothic Medium"/>
              </w:rPr>
              <w:t>2024 CPAS</w:t>
            </w:r>
          </w:p>
        </w:tc>
        <w:tc>
          <w:tcPr>
            <w:tcW w:w="1980" w:type="dxa"/>
            <w:shd w:val="clear" w:color="auto" w:fill="D9D9D9" w:themeFill="background1" w:themeFillShade="D9"/>
          </w:tcPr>
          <w:p w14:paraId="720E3A4B" w14:textId="10E9C2AE"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50</w:t>
            </w:r>
          </w:p>
        </w:tc>
        <w:tc>
          <w:tcPr>
            <w:tcW w:w="1080" w:type="dxa"/>
            <w:shd w:val="clear" w:color="auto" w:fill="D9D9D9" w:themeFill="background1" w:themeFillShade="D9"/>
          </w:tcPr>
          <w:p w14:paraId="26DF5452" w14:textId="55B496F8"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0.690</w:t>
            </w:r>
          </w:p>
        </w:tc>
        <w:tc>
          <w:tcPr>
            <w:tcW w:w="938" w:type="dxa"/>
            <w:shd w:val="clear" w:color="auto" w:fill="D9D9D9" w:themeFill="background1" w:themeFillShade="D9"/>
          </w:tcPr>
          <w:p w14:paraId="60B2980B" w14:textId="6F8688CE"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w:t>
            </w:r>
          </w:p>
        </w:tc>
        <w:tc>
          <w:tcPr>
            <w:tcW w:w="939" w:type="dxa"/>
            <w:shd w:val="clear" w:color="auto" w:fill="D9D9D9" w:themeFill="background1" w:themeFillShade="D9"/>
          </w:tcPr>
          <w:p w14:paraId="3E7FB80F" w14:textId="5688EEBE"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w:t>
            </w:r>
          </w:p>
        </w:tc>
        <w:tc>
          <w:tcPr>
            <w:tcW w:w="938" w:type="dxa"/>
            <w:shd w:val="clear" w:color="auto" w:fill="D9D9D9" w:themeFill="background1" w:themeFillShade="D9"/>
          </w:tcPr>
          <w:p w14:paraId="44C4FE07" w14:textId="39055BE5"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w:t>
            </w:r>
          </w:p>
        </w:tc>
        <w:tc>
          <w:tcPr>
            <w:tcW w:w="939" w:type="dxa"/>
            <w:shd w:val="clear" w:color="auto" w:fill="D9D9D9" w:themeFill="background1" w:themeFillShade="D9"/>
          </w:tcPr>
          <w:p w14:paraId="54521F91" w14:textId="181BCBEB"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w:t>
            </w:r>
          </w:p>
        </w:tc>
        <w:tc>
          <w:tcPr>
            <w:tcW w:w="938" w:type="dxa"/>
            <w:shd w:val="clear" w:color="auto" w:fill="D9D9D9" w:themeFill="background1" w:themeFillShade="D9"/>
          </w:tcPr>
          <w:p w14:paraId="6D91F363" w14:textId="041BEC4E" w:rsidR="00AF4A67" w:rsidRPr="00C11F4E" w:rsidRDefault="00AF4A67"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939" w:type="dxa"/>
            <w:shd w:val="clear" w:color="auto" w:fill="D9D9D9" w:themeFill="background1" w:themeFillShade="D9"/>
          </w:tcPr>
          <w:p w14:paraId="13330485" w14:textId="7BA04EB7"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w:t>
            </w:r>
          </w:p>
        </w:tc>
        <w:tc>
          <w:tcPr>
            <w:tcW w:w="939" w:type="dxa"/>
            <w:shd w:val="clear" w:color="auto" w:fill="D9D9D9" w:themeFill="background1" w:themeFillShade="D9"/>
          </w:tcPr>
          <w:p w14:paraId="274116FE" w14:textId="156E4408" w:rsidR="00AF4A67" w:rsidRPr="00C11F4E" w:rsidRDefault="00AF4A67"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shd w:val="clear" w:color="auto" w:fill="D9D9D9" w:themeFill="background1" w:themeFillShade="D9"/>
          </w:tcPr>
          <w:p w14:paraId="071BDC5A" w14:textId="77A04CEF"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696</w:t>
            </w:r>
          </w:p>
        </w:tc>
      </w:tr>
      <w:tr w:rsidR="00AF4A67" w14:paraId="1171086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4"/>
            <w:shd w:val="clear" w:color="auto" w:fill="D9D9D9" w:themeFill="background1" w:themeFillShade="D9"/>
            <w:vAlign w:val="top"/>
          </w:tcPr>
          <w:p w14:paraId="2AA61BB1" w14:textId="6BA33839" w:rsidR="00AF4A67" w:rsidRPr="00C11F4E" w:rsidRDefault="00AF4A67" w:rsidP="00AF4A67">
            <w:pPr>
              <w:rPr>
                <w:rFonts w:ascii="Franklin Gothic Medium" w:hAnsi="Franklin Gothic Medium"/>
              </w:rPr>
            </w:pPr>
            <w:r w:rsidRPr="00C11F4E">
              <w:rPr>
                <w:rFonts w:ascii="Franklin Gothic Medium" w:hAnsi="Franklin Gothic Medium"/>
              </w:rPr>
              <w:t>Expiring 2024 CPAS</w:t>
            </w:r>
          </w:p>
        </w:tc>
        <w:tc>
          <w:tcPr>
            <w:tcW w:w="938" w:type="dxa"/>
            <w:shd w:val="clear" w:color="auto" w:fill="D9D9D9" w:themeFill="background1" w:themeFillShade="D9"/>
          </w:tcPr>
          <w:p w14:paraId="41812A92" w14:textId="52036123" w:rsidR="00AF4A67"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134AF1A4" w14:textId="6679ECDD" w:rsidR="00AF4A67"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8" w:type="dxa"/>
            <w:shd w:val="clear" w:color="auto" w:fill="D9D9D9" w:themeFill="background1" w:themeFillShade="D9"/>
          </w:tcPr>
          <w:p w14:paraId="3D24E8CF" w14:textId="5C2BCE8B" w:rsidR="00AF4A67"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4C042AEF" w14:textId="60060D7F" w:rsidR="00AF4A67"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8" w:type="dxa"/>
            <w:shd w:val="clear" w:color="auto" w:fill="D9D9D9" w:themeFill="background1" w:themeFillShade="D9"/>
          </w:tcPr>
          <w:p w14:paraId="56EFF594" w14:textId="41C26C44" w:rsidR="00AF4A67" w:rsidRPr="00C11F4E" w:rsidRDefault="00AF4A67"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939" w:type="dxa"/>
            <w:shd w:val="clear" w:color="auto" w:fill="D9D9D9" w:themeFill="background1" w:themeFillShade="D9"/>
          </w:tcPr>
          <w:p w14:paraId="4EAD180A" w14:textId="1E5C08CA" w:rsidR="00AF4A67"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61801956" w14:textId="77777777" w:rsidR="00AF4A67" w:rsidRPr="00C11F4E" w:rsidRDefault="00AF4A67"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tcBorders>
              <w:bottom w:val="nil"/>
              <w:right w:val="nil"/>
            </w:tcBorders>
            <w:shd w:val="clear" w:color="auto" w:fill="FFFFFF" w:themeFill="background1"/>
            <w:vAlign w:val="top"/>
          </w:tcPr>
          <w:p w14:paraId="0A58F30E" w14:textId="77777777" w:rsidR="00AF4A67" w:rsidRPr="00C11F4E" w:rsidRDefault="00AF4A67" w:rsidP="00AF4A67">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AF4A67" w14:paraId="66EA2AC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5" w:type="dxa"/>
            <w:gridSpan w:val="4"/>
            <w:shd w:val="clear" w:color="auto" w:fill="D9D9D9" w:themeFill="background1" w:themeFillShade="D9"/>
            <w:vAlign w:val="top"/>
          </w:tcPr>
          <w:p w14:paraId="3AE6DD48" w14:textId="49BC42D2" w:rsidR="00AF4A67" w:rsidRPr="00C11F4E" w:rsidRDefault="00AF4A67" w:rsidP="00AF4A67">
            <w:pPr>
              <w:rPr>
                <w:rFonts w:ascii="Franklin Gothic Medium" w:hAnsi="Franklin Gothic Medium"/>
              </w:rPr>
            </w:pPr>
            <w:r w:rsidRPr="00C11F4E">
              <w:rPr>
                <w:rFonts w:ascii="Franklin Gothic Medium" w:hAnsi="Franklin Gothic Medium"/>
              </w:rPr>
              <w:t>Expired 2024 CPAS</w:t>
            </w:r>
          </w:p>
        </w:tc>
        <w:tc>
          <w:tcPr>
            <w:tcW w:w="938" w:type="dxa"/>
            <w:shd w:val="clear" w:color="auto" w:fill="D9D9D9" w:themeFill="background1" w:themeFillShade="D9"/>
          </w:tcPr>
          <w:p w14:paraId="45C3E068" w14:textId="1DD7C629"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0684DA0A" w14:textId="35CC5775"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8" w:type="dxa"/>
            <w:shd w:val="clear" w:color="auto" w:fill="D9D9D9" w:themeFill="background1" w:themeFillShade="D9"/>
          </w:tcPr>
          <w:p w14:paraId="31AD6675" w14:textId="77640CC8"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64407284" w14:textId="6548F89A"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8" w:type="dxa"/>
            <w:shd w:val="clear" w:color="auto" w:fill="D9D9D9" w:themeFill="background1" w:themeFillShade="D9"/>
          </w:tcPr>
          <w:p w14:paraId="17760DE5" w14:textId="3E942A78" w:rsidR="00AF4A67" w:rsidRPr="00C11F4E" w:rsidRDefault="00AF4A67"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939" w:type="dxa"/>
            <w:shd w:val="clear" w:color="auto" w:fill="D9D9D9" w:themeFill="background1" w:themeFillShade="D9"/>
          </w:tcPr>
          <w:p w14:paraId="26FFB8CC" w14:textId="64F5271B" w:rsidR="00AF4A67" w:rsidRPr="00C11F4E" w:rsidRDefault="00AF4A67"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39" w:type="dxa"/>
            <w:shd w:val="clear" w:color="auto" w:fill="D9D9D9" w:themeFill="background1" w:themeFillShade="D9"/>
          </w:tcPr>
          <w:p w14:paraId="3B614333" w14:textId="77777777" w:rsidR="00AF4A67" w:rsidRPr="00C11F4E" w:rsidRDefault="00AF4A67"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tcBorders>
              <w:top w:val="nil"/>
              <w:bottom w:val="nil"/>
              <w:right w:val="nil"/>
            </w:tcBorders>
            <w:shd w:val="clear" w:color="auto" w:fill="FFFFFF" w:themeFill="background1"/>
            <w:vAlign w:val="top"/>
          </w:tcPr>
          <w:p w14:paraId="1D5BD43F" w14:textId="77777777" w:rsidR="00AF4A67" w:rsidRPr="00C11F4E" w:rsidRDefault="00AF4A67" w:rsidP="00AF4A67">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C11F4E" w14:paraId="3F3CF0E6"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shd w:val="clear" w:color="auto" w:fill="D9D9D9" w:themeFill="background1" w:themeFillShade="D9"/>
            <w:vAlign w:val="top"/>
          </w:tcPr>
          <w:p w14:paraId="40774552" w14:textId="77777777" w:rsidR="0065762E" w:rsidRPr="00C11F4E" w:rsidRDefault="0065762E" w:rsidP="008700F8">
            <w:pPr>
              <w:rPr>
                <w:rFonts w:ascii="Franklin Gothic Medium" w:hAnsi="Franklin Gothic Medium"/>
              </w:rPr>
            </w:pPr>
            <w:r w:rsidRPr="00C11F4E">
              <w:rPr>
                <w:rFonts w:ascii="Franklin Gothic Medium" w:hAnsi="Franklin Gothic Medium"/>
              </w:rPr>
              <w:t>WAML</w:t>
            </w:r>
          </w:p>
        </w:tc>
        <w:tc>
          <w:tcPr>
            <w:tcW w:w="1080" w:type="dxa"/>
            <w:shd w:val="clear" w:color="auto" w:fill="D9D9D9" w:themeFill="background1" w:themeFillShade="D9"/>
          </w:tcPr>
          <w:p w14:paraId="3AAB2365" w14:textId="2A9E5032" w:rsidR="0065762E" w:rsidRPr="00C11F4E" w:rsidRDefault="00AF4A67"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20.0</w:t>
            </w:r>
          </w:p>
        </w:tc>
        <w:tc>
          <w:tcPr>
            <w:tcW w:w="1980" w:type="dxa"/>
            <w:tcBorders>
              <w:top w:val="nil"/>
              <w:bottom w:val="nil"/>
              <w:right w:val="nil"/>
            </w:tcBorders>
            <w:shd w:val="clear" w:color="auto" w:fill="FFFFFF" w:themeFill="background1"/>
          </w:tcPr>
          <w:p w14:paraId="5279B3E7" w14:textId="77777777" w:rsidR="0065762E" w:rsidRPr="00C11F4E" w:rsidRDefault="0065762E"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080" w:type="dxa"/>
            <w:tcBorders>
              <w:top w:val="nil"/>
              <w:left w:val="nil"/>
              <w:bottom w:val="nil"/>
              <w:right w:val="nil"/>
            </w:tcBorders>
            <w:shd w:val="clear" w:color="auto" w:fill="FFFFFF" w:themeFill="background1"/>
            <w:vAlign w:val="top"/>
          </w:tcPr>
          <w:p w14:paraId="21F7996F"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32C5FC1C"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70658E45"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030FCD94"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104E5872"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8" w:type="dxa"/>
            <w:tcBorders>
              <w:top w:val="nil"/>
              <w:left w:val="nil"/>
              <w:bottom w:val="nil"/>
              <w:right w:val="nil"/>
            </w:tcBorders>
            <w:shd w:val="clear" w:color="auto" w:fill="FFFFFF" w:themeFill="background1"/>
            <w:vAlign w:val="top"/>
          </w:tcPr>
          <w:p w14:paraId="28A3D14E"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2FA1572F"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39" w:type="dxa"/>
            <w:tcBorders>
              <w:top w:val="nil"/>
              <w:left w:val="nil"/>
              <w:bottom w:val="nil"/>
              <w:right w:val="nil"/>
            </w:tcBorders>
            <w:shd w:val="clear" w:color="auto" w:fill="FFFFFF" w:themeFill="background1"/>
            <w:vAlign w:val="top"/>
          </w:tcPr>
          <w:p w14:paraId="5B9A623E"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81" w:type="dxa"/>
            <w:tcBorders>
              <w:top w:val="nil"/>
              <w:left w:val="nil"/>
              <w:bottom w:val="nil"/>
              <w:right w:val="nil"/>
            </w:tcBorders>
            <w:shd w:val="clear" w:color="auto" w:fill="FFFFFF" w:themeFill="background1"/>
            <w:vAlign w:val="top"/>
          </w:tcPr>
          <w:p w14:paraId="4CB7B8E4" w14:textId="77777777" w:rsidR="0065762E" w:rsidRPr="00C11F4E" w:rsidRDefault="0065762E" w:rsidP="008700F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DDA0F99" w14:textId="12A99BB8" w:rsidR="0065762E" w:rsidRDefault="0065762E" w:rsidP="00C11F4E">
      <w:pPr>
        <w:pStyle w:val="Caption"/>
      </w:pPr>
      <w:bookmarkStart w:id="237" w:name="_Ref187321580"/>
      <w:bookmarkStart w:id="238" w:name="_Toc191992573"/>
      <w:bookmarkStart w:id="239" w:name="_Toc192766986"/>
      <w:r>
        <w:lastRenderedPageBreak/>
        <w:t xml:space="preserve">Table </w:t>
      </w:r>
      <w:r>
        <w:fldChar w:fldCharType="begin"/>
      </w:r>
      <w:r>
        <w:instrText xml:space="preserve"> SEQ Table \* ARABIC </w:instrText>
      </w:r>
      <w:r>
        <w:fldChar w:fldCharType="separate"/>
      </w:r>
      <w:r w:rsidR="00AA10F4">
        <w:rPr>
          <w:noProof/>
        </w:rPr>
        <w:t>52</w:t>
      </w:r>
      <w:r>
        <w:fldChar w:fldCharType="end"/>
      </w:r>
      <w:bookmarkEnd w:id="237"/>
      <w:r>
        <w:t>. 2024 Utility-Owned Streetlighting Channel CPAS and WAML</w:t>
      </w:r>
      <w:bookmarkEnd w:id="238"/>
      <w:bookmarkEnd w:id="239"/>
    </w:p>
    <w:tbl>
      <w:tblPr>
        <w:tblStyle w:val="TableGrid"/>
        <w:tblW w:w="0" w:type="auto"/>
        <w:tblLook w:val="04A0" w:firstRow="1" w:lastRow="0" w:firstColumn="1" w:lastColumn="0" w:noHBand="0" w:noVBand="1"/>
      </w:tblPr>
      <w:tblGrid>
        <w:gridCol w:w="3775"/>
        <w:gridCol w:w="1260"/>
        <w:gridCol w:w="1980"/>
        <w:gridCol w:w="990"/>
        <w:gridCol w:w="900"/>
        <w:gridCol w:w="990"/>
        <w:gridCol w:w="810"/>
        <w:gridCol w:w="810"/>
        <w:gridCol w:w="450"/>
        <w:gridCol w:w="810"/>
        <w:gridCol w:w="450"/>
        <w:gridCol w:w="1481"/>
      </w:tblGrid>
      <w:tr w:rsidR="0065762E" w14:paraId="3A433AA8" w14:textId="77777777" w:rsidTr="00C11F4E">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775" w:type="dxa"/>
            <w:vMerge w:val="restart"/>
            <w:tcBorders>
              <w:bottom w:val="single" w:sz="4" w:space="0" w:color="4D4D4F"/>
            </w:tcBorders>
          </w:tcPr>
          <w:p w14:paraId="26B6C09A" w14:textId="405047DA" w:rsidR="0065762E" w:rsidRDefault="000B1B6F" w:rsidP="00C11F4E">
            <w:pPr>
              <w:pStyle w:val="TableHeadingLeft"/>
              <w:keepNext/>
              <w:keepLines/>
            </w:pPr>
            <w:r>
              <w:t>Measure</w:t>
            </w:r>
          </w:p>
        </w:tc>
        <w:tc>
          <w:tcPr>
            <w:tcW w:w="1260" w:type="dxa"/>
            <w:vMerge w:val="restart"/>
            <w:tcBorders>
              <w:top w:val="single" w:sz="4" w:space="0" w:color="4D4D4F"/>
              <w:left w:val="single" w:sz="4" w:space="0" w:color="4D4D4F"/>
              <w:bottom w:val="single" w:sz="4" w:space="0" w:color="4D4D4F"/>
              <w:right w:val="single" w:sz="4" w:space="0" w:color="4D4D4F"/>
            </w:tcBorders>
          </w:tcPr>
          <w:p w14:paraId="4C079881" w14:textId="7C1E6CBB" w:rsidR="0065762E" w:rsidRDefault="000B1B6F" w:rsidP="00C11F4E">
            <w:pPr>
              <w:pStyle w:val="TableHeadingCentered"/>
              <w:keepNext/>
              <w:keepLines/>
              <w:cnfStyle w:val="100000000000" w:firstRow="1" w:lastRow="0" w:firstColumn="0" w:lastColumn="0" w:oddVBand="0" w:evenVBand="0" w:oddHBand="0" w:evenHBand="0" w:firstRowFirstColumn="0" w:firstRowLastColumn="0" w:lastRowFirstColumn="0" w:lastRowLastColumn="0"/>
            </w:pPr>
            <w:r>
              <w:t>Measure Life</w:t>
            </w:r>
          </w:p>
        </w:tc>
        <w:tc>
          <w:tcPr>
            <w:tcW w:w="1980" w:type="dxa"/>
            <w:vMerge w:val="restart"/>
            <w:tcBorders>
              <w:top w:val="single" w:sz="4" w:space="0" w:color="4D4D4F"/>
              <w:left w:val="single" w:sz="4" w:space="0" w:color="4D4D4F"/>
              <w:bottom w:val="single" w:sz="4" w:space="0" w:color="4D4D4F"/>
              <w:right w:val="single" w:sz="4" w:space="0" w:color="4D4D4F"/>
            </w:tcBorders>
          </w:tcPr>
          <w:p w14:paraId="5A726E6B" w14:textId="77777777" w:rsidR="0065762E" w:rsidRDefault="0065762E" w:rsidP="00C11F4E">
            <w:pPr>
              <w:pStyle w:val="TableHeadingCentered"/>
              <w:keepNext/>
              <w:keepLines/>
              <w:cnfStyle w:val="100000000000" w:firstRow="1" w:lastRow="0" w:firstColumn="0" w:lastColumn="0" w:oddVBand="0" w:evenVBand="0" w:oddHBand="0" w:evenHBand="0" w:firstRowFirstColumn="0" w:firstRowLastColumn="0" w:lastRowFirstColumn="0" w:lastRowLastColumn="0"/>
            </w:pPr>
            <w:r>
              <w:t>Annual Verified Gross Savings (MWh)</w:t>
            </w:r>
          </w:p>
        </w:tc>
        <w:tc>
          <w:tcPr>
            <w:tcW w:w="990" w:type="dxa"/>
            <w:vMerge w:val="restart"/>
            <w:tcBorders>
              <w:top w:val="single" w:sz="4" w:space="0" w:color="4D4D4F"/>
              <w:left w:val="single" w:sz="4" w:space="0" w:color="4D4D4F"/>
              <w:bottom w:val="single" w:sz="4" w:space="0" w:color="4D4D4F"/>
              <w:right w:val="single" w:sz="4" w:space="0" w:color="4D4D4F"/>
            </w:tcBorders>
          </w:tcPr>
          <w:p w14:paraId="7302EBBD" w14:textId="77777777" w:rsidR="0065762E" w:rsidRDefault="0065762E" w:rsidP="00C11F4E">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5220" w:type="dxa"/>
            <w:gridSpan w:val="7"/>
            <w:tcBorders>
              <w:top w:val="single" w:sz="4" w:space="0" w:color="4D4D4F"/>
              <w:left w:val="single" w:sz="4" w:space="0" w:color="4D4D4F"/>
              <w:bottom w:val="single" w:sz="4" w:space="0" w:color="4D4D4F"/>
              <w:right w:val="single" w:sz="4" w:space="0" w:color="4D4D4F"/>
            </w:tcBorders>
          </w:tcPr>
          <w:p w14:paraId="521AAEF1" w14:textId="77777777" w:rsidR="0065762E" w:rsidRDefault="0065762E" w:rsidP="00C11F4E">
            <w:pPr>
              <w:pStyle w:val="TableHeadingCentered"/>
              <w:keepNext/>
              <w:keepLines/>
              <w:cnfStyle w:val="100000000000" w:firstRow="1" w:lastRow="0" w:firstColumn="0" w:lastColumn="0" w:oddVBand="0" w:evenVBand="0" w:oddHBand="0" w:evenHBand="0" w:firstRowFirstColumn="0" w:firstRowLastColumn="0" w:lastRowFirstColumn="0" w:lastRowLastColumn="0"/>
            </w:pPr>
            <w:r>
              <w:t>CPAS – Verified Net Savings (MWh)</w:t>
            </w:r>
          </w:p>
        </w:tc>
        <w:tc>
          <w:tcPr>
            <w:tcW w:w="1481" w:type="dxa"/>
            <w:vMerge w:val="restart"/>
            <w:tcBorders>
              <w:top w:val="single" w:sz="4" w:space="0" w:color="4D4D4F"/>
              <w:left w:val="single" w:sz="4" w:space="0" w:color="4D4D4F"/>
              <w:bottom w:val="single" w:sz="4" w:space="0" w:color="4D4D4F"/>
              <w:right w:val="single" w:sz="4" w:space="0" w:color="4D4D4F"/>
            </w:tcBorders>
          </w:tcPr>
          <w:p w14:paraId="64B62200" w14:textId="77777777" w:rsidR="0065762E" w:rsidRDefault="0065762E" w:rsidP="00C11F4E">
            <w:pPr>
              <w:pStyle w:val="TableHeadingCentered"/>
              <w:keepNext/>
              <w:keepLines/>
              <w:cnfStyle w:val="100000000000" w:firstRow="1" w:lastRow="0" w:firstColumn="0" w:lastColumn="0" w:oddVBand="0" w:evenVBand="0" w:oddHBand="0" w:evenHBand="0" w:firstRowFirstColumn="0" w:firstRowLastColumn="0" w:lastRowFirstColumn="0" w:lastRowLastColumn="0"/>
            </w:pPr>
            <w:r>
              <w:t>Lifetime Savings (MWh)</w:t>
            </w:r>
          </w:p>
        </w:tc>
      </w:tr>
      <w:tr w:rsidR="00C11F4E" w14:paraId="1BEC1C23"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3775" w:type="dxa"/>
            <w:vMerge/>
          </w:tcPr>
          <w:p w14:paraId="402E2502" w14:textId="77777777" w:rsidR="0065762E" w:rsidRDefault="0065762E" w:rsidP="00C11F4E">
            <w:pPr>
              <w:keepNext/>
              <w:keepLines/>
            </w:pPr>
          </w:p>
        </w:tc>
        <w:tc>
          <w:tcPr>
            <w:tcW w:w="1260" w:type="dxa"/>
            <w:vMerge/>
          </w:tcPr>
          <w:p w14:paraId="454E9FBC" w14:textId="77777777" w:rsidR="0065762E" w:rsidRDefault="0065762E" w:rsidP="00C11F4E">
            <w:pPr>
              <w:keepNext/>
              <w:keepLines/>
              <w:cnfStyle w:val="000000100000" w:firstRow="0" w:lastRow="0" w:firstColumn="0" w:lastColumn="0" w:oddVBand="0" w:evenVBand="0" w:oddHBand="1" w:evenHBand="0" w:firstRowFirstColumn="0" w:firstRowLastColumn="0" w:lastRowFirstColumn="0" w:lastRowLastColumn="0"/>
            </w:pPr>
          </w:p>
        </w:tc>
        <w:tc>
          <w:tcPr>
            <w:tcW w:w="1980" w:type="dxa"/>
            <w:vMerge/>
          </w:tcPr>
          <w:p w14:paraId="7452B940" w14:textId="77777777" w:rsidR="0065762E" w:rsidRDefault="0065762E" w:rsidP="00C11F4E">
            <w:pPr>
              <w:keepNext/>
              <w:keepLines/>
              <w:cnfStyle w:val="000000100000" w:firstRow="0" w:lastRow="0" w:firstColumn="0" w:lastColumn="0" w:oddVBand="0" w:evenVBand="0" w:oddHBand="1" w:evenHBand="0" w:firstRowFirstColumn="0" w:firstRowLastColumn="0" w:lastRowFirstColumn="0" w:lastRowLastColumn="0"/>
            </w:pPr>
          </w:p>
        </w:tc>
        <w:tc>
          <w:tcPr>
            <w:tcW w:w="990" w:type="dxa"/>
            <w:vMerge/>
          </w:tcPr>
          <w:p w14:paraId="2499B0CE" w14:textId="77777777" w:rsidR="0065762E" w:rsidRDefault="0065762E" w:rsidP="00C11F4E">
            <w:pPr>
              <w:keepNext/>
              <w:keepLines/>
              <w:cnfStyle w:val="000000100000" w:firstRow="0" w:lastRow="0" w:firstColumn="0" w:lastColumn="0" w:oddVBand="0" w:evenVBand="0" w:oddHBand="1" w:evenHBand="0" w:firstRowFirstColumn="0" w:firstRowLastColumn="0" w:lastRowFirstColumn="0" w:lastRowLastColumn="0"/>
            </w:pPr>
          </w:p>
        </w:tc>
        <w:tc>
          <w:tcPr>
            <w:tcW w:w="900" w:type="dxa"/>
            <w:shd w:val="clear" w:color="auto" w:fill="053572" w:themeFill="text2"/>
          </w:tcPr>
          <w:p w14:paraId="37209FAF" w14:textId="77777777" w:rsidR="0065762E" w:rsidRDefault="0065762E" w:rsidP="00C11F4E">
            <w:pPr>
              <w:pStyle w:val="TableHeadingCentered"/>
              <w:keepNext/>
              <w:keepLines/>
              <w:cnfStyle w:val="000000100000" w:firstRow="0" w:lastRow="0" w:firstColumn="0" w:lastColumn="0" w:oddVBand="0" w:evenVBand="0" w:oddHBand="1" w:evenHBand="0" w:firstRowFirstColumn="0" w:firstRowLastColumn="0" w:lastRowFirstColumn="0" w:lastRowLastColumn="0"/>
            </w:pPr>
            <w:r>
              <w:t>2024</w:t>
            </w:r>
          </w:p>
        </w:tc>
        <w:tc>
          <w:tcPr>
            <w:tcW w:w="990" w:type="dxa"/>
            <w:shd w:val="clear" w:color="auto" w:fill="053572" w:themeFill="text2"/>
          </w:tcPr>
          <w:p w14:paraId="799AD609" w14:textId="77777777" w:rsidR="0065762E" w:rsidRDefault="0065762E" w:rsidP="00C11F4E">
            <w:pPr>
              <w:pStyle w:val="TableHeadingCentered"/>
              <w:keepNext/>
              <w:keepLines/>
              <w:cnfStyle w:val="000000100000" w:firstRow="0" w:lastRow="0" w:firstColumn="0" w:lastColumn="0" w:oddVBand="0" w:evenVBand="0" w:oddHBand="1" w:evenHBand="0" w:firstRowFirstColumn="0" w:firstRowLastColumn="0" w:lastRowFirstColumn="0" w:lastRowLastColumn="0"/>
            </w:pPr>
            <w:r>
              <w:t>2025</w:t>
            </w:r>
          </w:p>
        </w:tc>
        <w:tc>
          <w:tcPr>
            <w:tcW w:w="810" w:type="dxa"/>
            <w:shd w:val="clear" w:color="auto" w:fill="053572" w:themeFill="text2"/>
          </w:tcPr>
          <w:p w14:paraId="441212D4" w14:textId="77777777" w:rsidR="0065762E" w:rsidRDefault="0065762E" w:rsidP="00C11F4E">
            <w:pPr>
              <w:pStyle w:val="TableHeadingCentered"/>
              <w:keepNext/>
              <w:keepLines/>
              <w:cnfStyle w:val="000000100000" w:firstRow="0" w:lastRow="0" w:firstColumn="0" w:lastColumn="0" w:oddVBand="0" w:evenVBand="0" w:oddHBand="1" w:evenHBand="0" w:firstRowFirstColumn="0" w:firstRowLastColumn="0" w:lastRowFirstColumn="0" w:lastRowLastColumn="0"/>
            </w:pPr>
            <w:r>
              <w:t>2026</w:t>
            </w:r>
          </w:p>
        </w:tc>
        <w:tc>
          <w:tcPr>
            <w:tcW w:w="810" w:type="dxa"/>
            <w:shd w:val="clear" w:color="auto" w:fill="053572" w:themeFill="text2"/>
          </w:tcPr>
          <w:p w14:paraId="046916BA" w14:textId="77777777" w:rsidR="0065762E" w:rsidRDefault="0065762E" w:rsidP="00C11F4E">
            <w:pPr>
              <w:pStyle w:val="TableHeadingCentered"/>
              <w:keepNext/>
              <w:keepLines/>
              <w:cnfStyle w:val="000000100000" w:firstRow="0" w:lastRow="0" w:firstColumn="0" w:lastColumn="0" w:oddVBand="0" w:evenVBand="0" w:oddHBand="1" w:evenHBand="0" w:firstRowFirstColumn="0" w:firstRowLastColumn="0" w:lastRowFirstColumn="0" w:lastRowLastColumn="0"/>
            </w:pPr>
            <w:r>
              <w:t>2027</w:t>
            </w:r>
          </w:p>
        </w:tc>
        <w:tc>
          <w:tcPr>
            <w:tcW w:w="450" w:type="dxa"/>
            <w:shd w:val="clear" w:color="auto" w:fill="053572" w:themeFill="text2"/>
          </w:tcPr>
          <w:p w14:paraId="4E998A87" w14:textId="77777777" w:rsidR="0065762E" w:rsidRDefault="0065762E" w:rsidP="00BC69D4">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810" w:type="dxa"/>
            <w:shd w:val="clear" w:color="auto" w:fill="053572" w:themeFill="text2"/>
          </w:tcPr>
          <w:p w14:paraId="73643648" w14:textId="77777777" w:rsidR="0065762E" w:rsidRDefault="0065762E" w:rsidP="00C11F4E">
            <w:pPr>
              <w:pStyle w:val="TableHeadingCentered"/>
              <w:keepNext/>
              <w:keepLines/>
              <w:cnfStyle w:val="000000100000" w:firstRow="0" w:lastRow="0" w:firstColumn="0" w:lastColumn="0" w:oddVBand="0" w:evenVBand="0" w:oddHBand="1" w:evenHBand="0" w:firstRowFirstColumn="0" w:firstRowLastColumn="0" w:lastRowFirstColumn="0" w:lastRowLastColumn="0"/>
            </w:pPr>
            <w:r>
              <w:t>2030</w:t>
            </w:r>
          </w:p>
        </w:tc>
        <w:tc>
          <w:tcPr>
            <w:tcW w:w="450" w:type="dxa"/>
            <w:shd w:val="clear" w:color="auto" w:fill="053572" w:themeFill="text2"/>
          </w:tcPr>
          <w:p w14:paraId="66834ECE" w14:textId="77777777" w:rsidR="0065762E" w:rsidRDefault="0065762E" w:rsidP="00BC69D4">
            <w:pPr>
              <w:pStyle w:val="TableHeadingCentered"/>
              <w:keepNext/>
              <w:keepLines/>
              <w:cnfStyle w:val="000000100000" w:firstRow="0" w:lastRow="0" w:firstColumn="0" w:lastColumn="0" w:oddVBand="0" w:evenVBand="0" w:oddHBand="1" w:evenHBand="0" w:firstRowFirstColumn="0" w:firstRowLastColumn="0" w:lastRowFirstColumn="0" w:lastRowLastColumn="0"/>
            </w:pPr>
            <w:r>
              <w:t>…</w:t>
            </w:r>
          </w:p>
        </w:tc>
        <w:tc>
          <w:tcPr>
            <w:tcW w:w="1481" w:type="dxa"/>
            <w:vMerge/>
          </w:tcPr>
          <w:p w14:paraId="56732F58" w14:textId="77777777" w:rsidR="0065762E" w:rsidRDefault="0065762E" w:rsidP="00C11F4E">
            <w:pPr>
              <w:keepNext/>
              <w:keepLines/>
              <w:cnfStyle w:val="000000100000" w:firstRow="0" w:lastRow="0" w:firstColumn="0" w:lastColumn="0" w:oddVBand="0" w:evenVBand="0" w:oddHBand="1" w:evenHBand="0" w:firstRowFirstColumn="0" w:firstRowLastColumn="0" w:lastRowFirstColumn="0" w:lastRowLastColumn="0"/>
            </w:pPr>
          </w:p>
        </w:tc>
      </w:tr>
      <w:tr w:rsidR="00460B2D" w14:paraId="68175F0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top"/>
          </w:tcPr>
          <w:p w14:paraId="4C002409" w14:textId="0737F466" w:rsidR="00460B2D" w:rsidRDefault="00460B2D" w:rsidP="00C11F4E">
            <w:pPr>
              <w:keepNext/>
              <w:keepLines/>
            </w:pPr>
            <w:r w:rsidRPr="007E4A00">
              <w:t>UOSL (HPS Baseline, AIC ROB)</w:t>
            </w:r>
          </w:p>
        </w:tc>
        <w:tc>
          <w:tcPr>
            <w:tcW w:w="1260" w:type="dxa"/>
          </w:tcPr>
          <w:p w14:paraId="3C734563" w14:textId="236CE012"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7E4A00">
              <w:t>20.0</w:t>
            </w:r>
          </w:p>
        </w:tc>
        <w:tc>
          <w:tcPr>
            <w:tcW w:w="1980" w:type="dxa"/>
          </w:tcPr>
          <w:p w14:paraId="2D39B1D2" w14:textId="0BC7AC11"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7E4A00">
              <w:t>8,732</w:t>
            </w:r>
          </w:p>
        </w:tc>
        <w:tc>
          <w:tcPr>
            <w:tcW w:w="990" w:type="dxa"/>
          </w:tcPr>
          <w:p w14:paraId="19678A60" w14:textId="3197DE29"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7E4A00">
              <w:t>1.000</w:t>
            </w:r>
          </w:p>
        </w:tc>
        <w:tc>
          <w:tcPr>
            <w:tcW w:w="900" w:type="dxa"/>
          </w:tcPr>
          <w:p w14:paraId="34344A7C" w14:textId="703A9C41"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1E46F6">
              <w:t>8,732</w:t>
            </w:r>
          </w:p>
        </w:tc>
        <w:tc>
          <w:tcPr>
            <w:tcW w:w="990" w:type="dxa"/>
          </w:tcPr>
          <w:p w14:paraId="551A4712" w14:textId="1A56E11F"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1E46F6">
              <w:t>8,732</w:t>
            </w:r>
          </w:p>
        </w:tc>
        <w:tc>
          <w:tcPr>
            <w:tcW w:w="810" w:type="dxa"/>
          </w:tcPr>
          <w:p w14:paraId="6C255713" w14:textId="34EDE46D"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1E46F6">
              <w:t>8,732</w:t>
            </w:r>
          </w:p>
        </w:tc>
        <w:tc>
          <w:tcPr>
            <w:tcW w:w="810" w:type="dxa"/>
          </w:tcPr>
          <w:p w14:paraId="6F8A766D" w14:textId="172981B7"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1E46F6">
              <w:t>8,732</w:t>
            </w:r>
          </w:p>
        </w:tc>
        <w:tc>
          <w:tcPr>
            <w:tcW w:w="450" w:type="dxa"/>
          </w:tcPr>
          <w:p w14:paraId="2DEE1D9F" w14:textId="0023B554" w:rsidR="00460B2D" w:rsidRDefault="00460B2D" w:rsidP="00BC69D4">
            <w:pPr>
              <w:keepNext/>
              <w:keepLines/>
              <w:jc w:val="center"/>
              <w:cnfStyle w:val="000000010000" w:firstRow="0" w:lastRow="0" w:firstColumn="0" w:lastColumn="0" w:oddVBand="0" w:evenVBand="0" w:oddHBand="0" w:evenHBand="1" w:firstRowFirstColumn="0" w:firstRowLastColumn="0" w:lastRowFirstColumn="0" w:lastRowLastColumn="0"/>
            </w:pPr>
            <w:r w:rsidRPr="00780204">
              <w:t>…</w:t>
            </w:r>
          </w:p>
        </w:tc>
        <w:tc>
          <w:tcPr>
            <w:tcW w:w="810" w:type="dxa"/>
          </w:tcPr>
          <w:p w14:paraId="22F33781" w14:textId="35280360"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rsidRPr="00083D88">
              <w:t>8,732</w:t>
            </w:r>
          </w:p>
        </w:tc>
        <w:tc>
          <w:tcPr>
            <w:tcW w:w="450" w:type="dxa"/>
          </w:tcPr>
          <w:p w14:paraId="67A50210" w14:textId="7F888853" w:rsidR="00460B2D" w:rsidRDefault="00460B2D" w:rsidP="00BC69D4">
            <w:pPr>
              <w:keepNext/>
              <w:keepLines/>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81" w:type="dxa"/>
          </w:tcPr>
          <w:p w14:paraId="404D147A" w14:textId="21C39F19" w:rsidR="00460B2D" w:rsidRDefault="00460B2D" w:rsidP="002B5E4A">
            <w:pPr>
              <w:keepNext/>
              <w:keepLines/>
              <w:jc w:val="right"/>
              <w:cnfStyle w:val="000000010000" w:firstRow="0" w:lastRow="0" w:firstColumn="0" w:lastColumn="0" w:oddVBand="0" w:evenVBand="0" w:oddHBand="0" w:evenHBand="1" w:firstRowFirstColumn="0" w:firstRowLastColumn="0" w:lastRowFirstColumn="0" w:lastRowLastColumn="0"/>
            </w:pPr>
            <w:r>
              <w:t>174,633</w:t>
            </w:r>
          </w:p>
        </w:tc>
      </w:tr>
      <w:tr w:rsidR="00460B2D" w14:paraId="778A1789"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top"/>
          </w:tcPr>
          <w:p w14:paraId="63A5F0DA" w14:textId="68BB539A" w:rsidR="00460B2D" w:rsidRDefault="00460B2D" w:rsidP="00C11F4E">
            <w:pPr>
              <w:keepNext/>
              <w:keepLines/>
            </w:pPr>
            <w:r w:rsidRPr="007E4A00">
              <w:t>UOSL (HPS Baseline)</w:t>
            </w:r>
          </w:p>
        </w:tc>
        <w:tc>
          <w:tcPr>
            <w:tcW w:w="1260" w:type="dxa"/>
          </w:tcPr>
          <w:p w14:paraId="7015BC73" w14:textId="44590B4F"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7E4A00">
              <w:t>20.0</w:t>
            </w:r>
          </w:p>
        </w:tc>
        <w:tc>
          <w:tcPr>
            <w:tcW w:w="1980" w:type="dxa"/>
          </w:tcPr>
          <w:p w14:paraId="0CEB7F24" w14:textId="370EAC27"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7E4A00">
              <w:t>2,338</w:t>
            </w:r>
          </w:p>
        </w:tc>
        <w:tc>
          <w:tcPr>
            <w:tcW w:w="990" w:type="dxa"/>
          </w:tcPr>
          <w:p w14:paraId="41794931" w14:textId="1B04118E"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7E4A00">
              <w:t>1.000</w:t>
            </w:r>
          </w:p>
        </w:tc>
        <w:tc>
          <w:tcPr>
            <w:tcW w:w="900" w:type="dxa"/>
          </w:tcPr>
          <w:p w14:paraId="64F9B0B8" w14:textId="6AFF9619"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1E46F6">
              <w:t>2,338</w:t>
            </w:r>
          </w:p>
        </w:tc>
        <w:tc>
          <w:tcPr>
            <w:tcW w:w="990" w:type="dxa"/>
          </w:tcPr>
          <w:p w14:paraId="59FD6D77" w14:textId="08B8C4E0"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1E46F6">
              <w:t>2,338</w:t>
            </w:r>
          </w:p>
        </w:tc>
        <w:tc>
          <w:tcPr>
            <w:tcW w:w="810" w:type="dxa"/>
          </w:tcPr>
          <w:p w14:paraId="6A5D5A46" w14:textId="5960D7C5"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1E46F6">
              <w:t>2,338</w:t>
            </w:r>
          </w:p>
        </w:tc>
        <w:tc>
          <w:tcPr>
            <w:tcW w:w="810" w:type="dxa"/>
          </w:tcPr>
          <w:p w14:paraId="1A5D2CCA" w14:textId="5753657B"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1E46F6">
              <w:t>2,338</w:t>
            </w:r>
          </w:p>
        </w:tc>
        <w:tc>
          <w:tcPr>
            <w:tcW w:w="450" w:type="dxa"/>
          </w:tcPr>
          <w:p w14:paraId="038BF071" w14:textId="171C9CA6" w:rsidR="00460B2D" w:rsidRDefault="00460B2D" w:rsidP="00BC69D4">
            <w:pPr>
              <w:keepNext/>
              <w:keepLines/>
              <w:jc w:val="center"/>
              <w:cnfStyle w:val="000000100000" w:firstRow="0" w:lastRow="0" w:firstColumn="0" w:lastColumn="0" w:oddVBand="0" w:evenVBand="0" w:oddHBand="1" w:evenHBand="0" w:firstRowFirstColumn="0" w:firstRowLastColumn="0" w:lastRowFirstColumn="0" w:lastRowLastColumn="0"/>
            </w:pPr>
            <w:r w:rsidRPr="00780204">
              <w:t>…</w:t>
            </w:r>
          </w:p>
        </w:tc>
        <w:tc>
          <w:tcPr>
            <w:tcW w:w="810" w:type="dxa"/>
          </w:tcPr>
          <w:p w14:paraId="2A93D53A" w14:textId="34A1A931"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083D88">
              <w:t>2,338</w:t>
            </w:r>
          </w:p>
        </w:tc>
        <w:tc>
          <w:tcPr>
            <w:tcW w:w="450" w:type="dxa"/>
          </w:tcPr>
          <w:p w14:paraId="0467D210" w14:textId="31DEC0FF" w:rsidR="00460B2D" w:rsidRDefault="00460B2D" w:rsidP="00BC69D4">
            <w:pPr>
              <w:keepNext/>
              <w:keepLines/>
              <w:jc w:val="center"/>
              <w:cnfStyle w:val="000000100000" w:firstRow="0" w:lastRow="0" w:firstColumn="0" w:lastColumn="0" w:oddVBand="0" w:evenVBand="0" w:oddHBand="1" w:evenHBand="0" w:firstRowFirstColumn="0" w:firstRowLastColumn="0" w:lastRowFirstColumn="0" w:lastRowLastColumn="0"/>
            </w:pPr>
            <w:r w:rsidRPr="00780204">
              <w:t>…</w:t>
            </w:r>
          </w:p>
        </w:tc>
        <w:tc>
          <w:tcPr>
            <w:tcW w:w="1481" w:type="dxa"/>
          </w:tcPr>
          <w:p w14:paraId="1DF267F0" w14:textId="6AF03E2A" w:rsidR="00460B2D" w:rsidRDefault="00460B2D" w:rsidP="002B5E4A">
            <w:pPr>
              <w:keepNext/>
              <w:keepLines/>
              <w:jc w:val="right"/>
              <w:cnfStyle w:val="000000100000" w:firstRow="0" w:lastRow="0" w:firstColumn="0" w:lastColumn="0" w:oddVBand="0" w:evenVBand="0" w:oddHBand="1" w:evenHBand="0" w:firstRowFirstColumn="0" w:firstRowLastColumn="0" w:lastRowFirstColumn="0" w:lastRowLastColumn="0"/>
            </w:pPr>
            <w:r w:rsidRPr="00683083">
              <w:t>4</w:t>
            </w:r>
            <w:r>
              <w:t>6,768</w:t>
            </w:r>
          </w:p>
        </w:tc>
      </w:tr>
      <w:tr w:rsidR="00BC69D4" w14:paraId="324E4D1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vAlign w:val="top"/>
          </w:tcPr>
          <w:p w14:paraId="3A5267AE" w14:textId="1D8DC7B9" w:rsidR="00BC69D4" w:rsidRDefault="00BC69D4" w:rsidP="00BC69D4">
            <w:pPr>
              <w:keepNext/>
              <w:keepLines/>
            </w:pPr>
            <w:r w:rsidRPr="007E4A00">
              <w:t>UOSL (MV Baseline)</w:t>
            </w:r>
          </w:p>
        </w:tc>
        <w:tc>
          <w:tcPr>
            <w:tcW w:w="1260" w:type="dxa"/>
          </w:tcPr>
          <w:p w14:paraId="06605A60" w14:textId="6333BE6D"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7E4A00">
              <w:t>20.0</w:t>
            </w:r>
          </w:p>
        </w:tc>
        <w:tc>
          <w:tcPr>
            <w:tcW w:w="1980" w:type="dxa"/>
          </w:tcPr>
          <w:p w14:paraId="3977D863" w14:textId="531D3A9B"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7E4A00">
              <w:t>1,446</w:t>
            </w:r>
          </w:p>
        </w:tc>
        <w:tc>
          <w:tcPr>
            <w:tcW w:w="990" w:type="dxa"/>
          </w:tcPr>
          <w:p w14:paraId="45B51AB1" w14:textId="235E3270"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7E4A00">
              <w:t>1.000</w:t>
            </w:r>
          </w:p>
        </w:tc>
        <w:tc>
          <w:tcPr>
            <w:tcW w:w="900" w:type="dxa"/>
          </w:tcPr>
          <w:p w14:paraId="4FCDD224" w14:textId="6FC1BC44"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1E46F6">
              <w:t>1,446</w:t>
            </w:r>
          </w:p>
        </w:tc>
        <w:tc>
          <w:tcPr>
            <w:tcW w:w="990" w:type="dxa"/>
          </w:tcPr>
          <w:p w14:paraId="260380C0" w14:textId="766064C7"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1E46F6">
              <w:t>1,446</w:t>
            </w:r>
          </w:p>
        </w:tc>
        <w:tc>
          <w:tcPr>
            <w:tcW w:w="810" w:type="dxa"/>
          </w:tcPr>
          <w:p w14:paraId="6F6F1F23" w14:textId="6B070BAB"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1E46F6">
              <w:t>1,446</w:t>
            </w:r>
          </w:p>
        </w:tc>
        <w:tc>
          <w:tcPr>
            <w:tcW w:w="810" w:type="dxa"/>
          </w:tcPr>
          <w:p w14:paraId="150A764E" w14:textId="08579630"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1E46F6">
              <w:t>746</w:t>
            </w:r>
          </w:p>
        </w:tc>
        <w:tc>
          <w:tcPr>
            <w:tcW w:w="450" w:type="dxa"/>
          </w:tcPr>
          <w:p w14:paraId="4D695A17" w14:textId="4C9D8E7E" w:rsidR="00BC69D4" w:rsidRPr="00780204" w:rsidRDefault="00BC69D4" w:rsidP="00BC69D4">
            <w:pPr>
              <w:keepNext/>
              <w:keepLines/>
              <w:jc w:val="center"/>
              <w:cnfStyle w:val="000000010000" w:firstRow="0" w:lastRow="0" w:firstColumn="0" w:lastColumn="0" w:oddVBand="0" w:evenVBand="0" w:oddHBand="0" w:evenHBand="1" w:firstRowFirstColumn="0" w:firstRowLastColumn="0" w:lastRowFirstColumn="0" w:lastRowLastColumn="0"/>
            </w:pPr>
            <w:r w:rsidRPr="00780204">
              <w:t>…</w:t>
            </w:r>
          </w:p>
        </w:tc>
        <w:tc>
          <w:tcPr>
            <w:tcW w:w="810" w:type="dxa"/>
          </w:tcPr>
          <w:p w14:paraId="5DB1F055" w14:textId="232954AE"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083D88">
              <w:t>746</w:t>
            </w:r>
          </w:p>
        </w:tc>
        <w:tc>
          <w:tcPr>
            <w:tcW w:w="450" w:type="dxa"/>
          </w:tcPr>
          <w:p w14:paraId="0E5DCDC4" w14:textId="1C1675D0" w:rsidR="00BC69D4" w:rsidRPr="00780204" w:rsidRDefault="00BC69D4" w:rsidP="00BC69D4">
            <w:pPr>
              <w:keepNext/>
              <w:keepLines/>
              <w:jc w:val="center"/>
              <w:cnfStyle w:val="000000010000" w:firstRow="0" w:lastRow="0" w:firstColumn="0" w:lastColumn="0" w:oddVBand="0" w:evenVBand="0" w:oddHBand="0" w:evenHBand="1" w:firstRowFirstColumn="0" w:firstRowLastColumn="0" w:lastRowFirstColumn="0" w:lastRowLastColumn="0"/>
            </w:pPr>
            <w:r w:rsidRPr="00780204">
              <w:t>…</w:t>
            </w:r>
          </w:p>
        </w:tc>
        <w:tc>
          <w:tcPr>
            <w:tcW w:w="1481" w:type="dxa"/>
          </w:tcPr>
          <w:p w14:paraId="3FAB865C" w14:textId="03A25541" w:rsidR="00BC69D4" w:rsidRPr="00780204"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pPr>
            <w:r w:rsidRPr="00683083">
              <w:t>17,</w:t>
            </w:r>
            <w:r>
              <w:t>025</w:t>
            </w:r>
          </w:p>
        </w:tc>
      </w:tr>
      <w:tr w:rsidR="00BC69D4" w14:paraId="7D3AAC5B"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gridSpan w:val="2"/>
            <w:shd w:val="clear" w:color="auto" w:fill="D9D9D9" w:themeFill="background1" w:themeFillShade="D9"/>
            <w:vAlign w:val="top"/>
          </w:tcPr>
          <w:p w14:paraId="63F468B1" w14:textId="7DEB6AB0" w:rsidR="00BC69D4" w:rsidRPr="00C11F4E" w:rsidRDefault="00BC69D4" w:rsidP="00BC69D4">
            <w:pPr>
              <w:keepNext/>
              <w:keepLines/>
              <w:rPr>
                <w:rFonts w:ascii="Franklin Gothic Medium" w:hAnsi="Franklin Gothic Medium"/>
              </w:rPr>
            </w:pPr>
            <w:r w:rsidRPr="00C11F4E">
              <w:rPr>
                <w:rFonts w:ascii="Franklin Gothic Medium" w:hAnsi="Franklin Gothic Medium"/>
              </w:rPr>
              <w:t>2024 CPAS</w:t>
            </w:r>
          </w:p>
        </w:tc>
        <w:tc>
          <w:tcPr>
            <w:tcW w:w="1980" w:type="dxa"/>
            <w:shd w:val="clear" w:color="auto" w:fill="D9D9D9" w:themeFill="background1" w:themeFillShade="D9"/>
          </w:tcPr>
          <w:p w14:paraId="32612CDD" w14:textId="5C561D1A"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12,516</w:t>
            </w:r>
          </w:p>
        </w:tc>
        <w:tc>
          <w:tcPr>
            <w:tcW w:w="990" w:type="dxa"/>
            <w:shd w:val="clear" w:color="auto" w:fill="D9D9D9" w:themeFill="background1" w:themeFillShade="D9"/>
          </w:tcPr>
          <w:p w14:paraId="5502D69A" w14:textId="2458D580"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1.000</w:t>
            </w:r>
          </w:p>
        </w:tc>
        <w:tc>
          <w:tcPr>
            <w:tcW w:w="900" w:type="dxa"/>
            <w:shd w:val="clear" w:color="auto" w:fill="D9D9D9" w:themeFill="background1" w:themeFillShade="D9"/>
          </w:tcPr>
          <w:p w14:paraId="68EFB440" w14:textId="3FCD8D36"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12,516</w:t>
            </w:r>
          </w:p>
        </w:tc>
        <w:tc>
          <w:tcPr>
            <w:tcW w:w="990" w:type="dxa"/>
            <w:shd w:val="clear" w:color="auto" w:fill="D9D9D9" w:themeFill="background1" w:themeFillShade="D9"/>
          </w:tcPr>
          <w:p w14:paraId="4EE2E114" w14:textId="1875ADC4"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12,516</w:t>
            </w:r>
          </w:p>
        </w:tc>
        <w:tc>
          <w:tcPr>
            <w:tcW w:w="810" w:type="dxa"/>
            <w:shd w:val="clear" w:color="auto" w:fill="D9D9D9" w:themeFill="background1" w:themeFillShade="D9"/>
          </w:tcPr>
          <w:p w14:paraId="70E19055" w14:textId="63A8DC4F"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12,516</w:t>
            </w:r>
          </w:p>
        </w:tc>
        <w:tc>
          <w:tcPr>
            <w:tcW w:w="810" w:type="dxa"/>
            <w:shd w:val="clear" w:color="auto" w:fill="D9D9D9" w:themeFill="background1" w:themeFillShade="D9"/>
          </w:tcPr>
          <w:p w14:paraId="186B0571" w14:textId="2BE6A40C"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11,816</w:t>
            </w:r>
          </w:p>
        </w:tc>
        <w:tc>
          <w:tcPr>
            <w:tcW w:w="450" w:type="dxa"/>
            <w:shd w:val="clear" w:color="auto" w:fill="D9D9D9" w:themeFill="background1" w:themeFillShade="D9"/>
          </w:tcPr>
          <w:p w14:paraId="5CBC7D91" w14:textId="3494E676" w:rsidR="00BC69D4" w:rsidRPr="00C11F4E" w:rsidRDefault="00BC69D4" w:rsidP="00BC69D4">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810" w:type="dxa"/>
            <w:shd w:val="clear" w:color="auto" w:fill="D9D9D9" w:themeFill="background1" w:themeFillShade="D9"/>
          </w:tcPr>
          <w:p w14:paraId="462A0263" w14:textId="4EDDE726"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11,816</w:t>
            </w:r>
          </w:p>
        </w:tc>
        <w:tc>
          <w:tcPr>
            <w:tcW w:w="450" w:type="dxa"/>
            <w:shd w:val="clear" w:color="auto" w:fill="D9D9D9" w:themeFill="background1" w:themeFillShade="D9"/>
          </w:tcPr>
          <w:p w14:paraId="54AA5A38" w14:textId="4AF0221D" w:rsidR="00BC69D4" w:rsidRPr="00C11F4E" w:rsidRDefault="00BC69D4" w:rsidP="00BC69D4">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shd w:val="clear" w:color="auto" w:fill="D9D9D9" w:themeFill="background1" w:themeFillShade="D9"/>
          </w:tcPr>
          <w:p w14:paraId="2653F069" w14:textId="7A06A094"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238,425</w:t>
            </w:r>
          </w:p>
        </w:tc>
      </w:tr>
      <w:tr w:rsidR="00BC69D4" w14:paraId="74BAB0A8"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4"/>
            <w:shd w:val="clear" w:color="auto" w:fill="D9D9D9" w:themeFill="background1" w:themeFillShade="D9"/>
            <w:vAlign w:val="top"/>
          </w:tcPr>
          <w:p w14:paraId="05989D3D" w14:textId="475B1561" w:rsidR="00BC69D4" w:rsidRPr="00C11F4E" w:rsidRDefault="00BC69D4" w:rsidP="00BC69D4">
            <w:pPr>
              <w:keepNext/>
              <w:keepLines/>
              <w:rPr>
                <w:rFonts w:ascii="Franklin Gothic Medium" w:hAnsi="Franklin Gothic Medium"/>
              </w:rPr>
            </w:pPr>
            <w:r w:rsidRPr="00C11F4E">
              <w:rPr>
                <w:rFonts w:ascii="Franklin Gothic Medium" w:hAnsi="Franklin Gothic Medium"/>
              </w:rPr>
              <w:t>Expiring 2024 CPAS</w:t>
            </w:r>
          </w:p>
        </w:tc>
        <w:tc>
          <w:tcPr>
            <w:tcW w:w="900" w:type="dxa"/>
            <w:shd w:val="clear" w:color="auto" w:fill="D9D9D9" w:themeFill="background1" w:themeFillShade="D9"/>
          </w:tcPr>
          <w:p w14:paraId="4AD4ED4C" w14:textId="447B0B3E" w:rsidR="00BC69D4" w:rsidRPr="00C11F4E"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90" w:type="dxa"/>
            <w:shd w:val="clear" w:color="auto" w:fill="D9D9D9" w:themeFill="background1" w:themeFillShade="D9"/>
          </w:tcPr>
          <w:p w14:paraId="65A06907" w14:textId="0E4F2068" w:rsidR="00BC69D4" w:rsidRPr="00C11F4E"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810" w:type="dxa"/>
            <w:shd w:val="clear" w:color="auto" w:fill="D9D9D9" w:themeFill="background1" w:themeFillShade="D9"/>
          </w:tcPr>
          <w:p w14:paraId="55EA2B60" w14:textId="2DFEDA22" w:rsidR="00BC69D4" w:rsidRPr="00C11F4E"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810" w:type="dxa"/>
            <w:shd w:val="clear" w:color="auto" w:fill="D9D9D9" w:themeFill="background1" w:themeFillShade="D9"/>
          </w:tcPr>
          <w:p w14:paraId="138EE90E" w14:textId="02069AB4" w:rsidR="00BC69D4" w:rsidRPr="00C11F4E"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700</w:t>
            </w:r>
          </w:p>
        </w:tc>
        <w:tc>
          <w:tcPr>
            <w:tcW w:w="450" w:type="dxa"/>
            <w:shd w:val="clear" w:color="auto" w:fill="D9D9D9" w:themeFill="background1" w:themeFillShade="D9"/>
          </w:tcPr>
          <w:p w14:paraId="6C8F7621" w14:textId="3A876ABC" w:rsidR="00BC69D4" w:rsidRPr="00C11F4E" w:rsidRDefault="00BC69D4" w:rsidP="00BC69D4">
            <w:pPr>
              <w:keepNext/>
              <w:keepLines/>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810" w:type="dxa"/>
            <w:shd w:val="clear" w:color="auto" w:fill="D9D9D9" w:themeFill="background1" w:themeFillShade="D9"/>
          </w:tcPr>
          <w:p w14:paraId="56B3CB18" w14:textId="1351D9D0" w:rsidR="00BC69D4" w:rsidRPr="00C11F4E" w:rsidRDefault="00BC69D4" w:rsidP="00BC69D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450" w:type="dxa"/>
            <w:shd w:val="clear" w:color="auto" w:fill="D9D9D9" w:themeFill="background1" w:themeFillShade="D9"/>
          </w:tcPr>
          <w:p w14:paraId="4A834257" w14:textId="1D602E02" w:rsidR="00BC69D4" w:rsidRPr="00C11F4E" w:rsidRDefault="00BC69D4" w:rsidP="00BC69D4">
            <w:pPr>
              <w:keepNext/>
              <w:keepLines/>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tcBorders>
              <w:top w:val="nil"/>
              <w:left w:val="single" w:sz="4" w:space="0" w:color="auto"/>
              <w:bottom w:val="nil"/>
              <w:right w:val="nil"/>
            </w:tcBorders>
            <w:shd w:val="clear" w:color="auto" w:fill="FFFFFF" w:themeFill="background1"/>
            <w:vAlign w:val="top"/>
          </w:tcPr>
          <w:p w14:paraId="2894EFA7" w14:textId="77777777" w:rsidR="00BC69D4" w:rsidRPr="00C11F4E" w:rsidRDefault="00BC69D4" w:rsidP="00BC69D4">
            <w:pPr>
              <w:keepNext/>
              <w:keepLines/>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C69D4" w14:paraId="52F8A1F9"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05" w:type="dxa"/>
            <w:gridSpan w:val="4"/>
            <w:shd w:val="clear" w:color="auto" w:fill="D9D9D9" w:themeFill="background1" w:themeFillShade="D9"/>
            <w:vAlign w:val="top"/>
          </w:tcPr>
          <w:p w14:paraId="705A31F5" w14:textId="679A9CDF" w:rsidR="00BC69D4" w:rsidRPr="00C11F4E" w:rsidRDefault="00BC69D4" w:rsidP="00BC69D4">
            <w:pPr>
              <w:keepNext/>
              <w:keepLines/>
              <w:rPr>
                <w:rFonts w:ascii="Franklin Gothic Medium" w:hAnsi="Franklin Gothic Medium"/>
              </w:rPr>
            </w:pPr>
            <w:r w:rsidRPr="00C11F4E">
              <w:rPr>
                <w:rFonts w:ascii="Franklin Gothic Medium" w:hAnsi="Franklin Gothic Medium"/>
              </w:rPr>
              <w:t>Expired 2024 CPAS</w:t>
            </w:r>
          </w:p>
        </w:tc>
        <w:tc>
          <w:tcPr>
            <w:tcW w:w="900" w:type="dxa"/>
            <w:shd w:val="clear" w:color="auto" w:fill="D9D9D9" w:themeFill="background1" w:themeFillShade="D9"/>
          </w:tcPr>
          <w:p w14:paraId="4F3B6DA7" w14:textId="7D8DA9EC"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990" w:type="dxa"/>
            <w:shd w:val="clear" w:color="auto" w:fill="D9D9D9" w:themeFill="background1" w:themeFillShade="D9"/>
          </w:tcPr>
          <w:p w14:paraId="35EA7E01" w14:textId="67E321B6"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810" w:type="dxa"/>
            <w:shd w:val="clear" w:color="auto" w:fill="D9D9D9" w:themeFill="background1" w:themeFillShade="D9"/>
          </w:tcPr>
          <w:p w14:paraId="7FF0BA23" w14:textId="514C63EB"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0</w:t>
            </w:r>
          </w:p>
        </w:tc>
        <w:tc>
          <w:tcPr>
            <w:tcW w:w="810" w:type="dxa"/>
            <w:shd w:val="clear" w:color="auto" w:fill="D9D9D9" w:themeFill="background1" w:themeFillShade="D9"/>
          </w:tcPr>
          <w:p w14:paraId="5121BF62" w14:textId="37F350D4"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700</w:t>
            </w:r>
          </w:p>
        </w:tc>
        <w:tc>
          <w:tcPr>
            <w:tcW w:w="450" w:type="dxa"/>
            <w:shd w:val="clear" w:color="auto" w:fill="D9D9D9" w:themeFill="background1" w:themeFillShade="D9"/>
          </w:tcPr>
          <w:p w14:paraId="16B7F762" w14:textId="5A19176B" w:rsidR="00BC69D4" w:rsidRPr="00C11F4E" w:rsidRDefault="00BC69D4" w:rsidP="00BC69D4">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810" w:type="dxa"/>
            <w:shd w:val="clear" w:color="auto" w:fill="D9D9D9" w:themeFill="background1" w:themeFillShade="D9"/>
          </w:tcPr>
          <w:p w14:paraId="2A9A29D8" w14:textId="2DA920B8" w:rsidR="00BC69D4" w:rsidRPr="00C11F4E" w:rsidRDefault="00BC69D4" w:rsidP="00BC69D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700</w:t>
            </w:r>
          </w:p>
        </w:tc>
        <w:tc>
          <w:tcPr>
            <w:tcW w:w="450" w:type="dxa"/>
            <w:shd w:val="clear" w:color="auto" w:fill="D9D9D9" w:themeFill="background1" w:themeFillShade="D9"/>
          </w:tcPr>
          <w:p w14:paraId="774402A1" w14:textId="417E581B" w:rsidR="00BC69D4" w:rsidRPr="00C11F4E" w:rsidRDefault="00BC69D4" w:rsidP="00BC69D4">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w:t>
            </w:r>
          </w:p>
        </w:tc>
        <w:tc>
          <w:tcPr>
            <w:tcW w:w="1481" w:type="dxa"/>
            <w:tcBorders>
              <w:top w:val="nil"/>
              <w:left w:val="single" w:sz="4" w:space="0" w:color="auto"/>
              <w:bottom w:val="nil"/>
              <w:right w:val="nil"/>
            </w:tcBorders>
            <w:shd w:val="clear" w:color="auto" w:fill="FFFFFF" w:themeFill="background1"/>
            <w:vAlign w:val="top"/>
          </w:tcPr>
          <w:p w14:paraId="0725DF6A" w14:textId="77777777" w:rsidR="00BC69D4" w:rsidRPr="00C11F4E" w:rsidRDefault="00BC69D4" w:rsidP="00BC69D4">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3F2FD8B5"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5" w:type="dxa"/>
            <w:shd w:val="clear" w:color="auto" w:fill="D9D9D9" w:themeFill="background1" w:themeFillShade="D9"/>
            <w:vAlign w:val="top"/>
          </w:tcPr>
          <w:p w14:paraId="276ABDB4" w14:textId="77777777" w:rsidR="00BC69D4" w:rsidRPr="00C11F4E" w:rsidRDefault="00BC69D4" w:rsidP="00BC69D4">
            <w:pPr>
              <w:rPr>
                <w:rFonts w:ascii="Franklin Gothic Medium" w:hAnsi="Franklin Gothic Medium"/>
              </w:rPr>
            </w:pPr>
            <w:r w:rsidRPr="00C11F4E">
              <w:rPr>
                <w:rFonts w:ascii="Franklin Gothic Medium" w:hAnsi="Franklin Gothic Medium"/>
              </w:rPr>
              <w:t>WAML</w:t>
            </w:r>
          </w:p>
        </w:tc>
        <w:tc>
          <w:tcPr>
            <w:tcW w:w="1260" w:type="dxa"/>
            <w:shd w:val="clear" w:color="auto" w:fill="D9D9D9" w:themeFill="background1" w:themeFillShade="D9"/>
          </w:tcPr>
          <w:p w14:paraId="44FC599D" w14:textId="12276715" w:rsidR="00BC69D4" w:rsidRPr="00C11F4E"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C11F4E">
              <w:rPr>
                <w:rFonts w:ascii="Franklin Gothic Medium" w:hAnsi="Franklin Gothic Medium"/>
              </w:rPr>
              <w:t>20.0</w:t>
            </w:r>
          </w:p>
        </w:tc>
        <w:tc>
          <w:tcPr>
            <w:tcW w:w="1980" w:type="dxa"/>
            <w:tcBorders>
              <w:top w:val="nil"/>
              <w:bottom w:val="nil"/>
              <w:right w:val="nil"/>
            </w:tcBorders>
            <w:shd w:val="clear" w:color="auto" w:fill="FFFFFF" w:themeFill="background1"/>
          </w:tcPr>
          <w:p w14:paraId="2006B0DB" w14:textId="77777777" w:rsidR="00BC69D4" w:rsidRPr="00C11F4E"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top w:val="nil"/>
              <w:left w:val="nil"/>
              <w:bottom w:val="nil"/>
              <w:right w:val="nil"/>
            </w:tcBorders>
            <w:shd w:val="clear" w:color="auto" w:fill="FFFFFF" w:themeFill="background1"/>
            <w:vAlign w:val="top"/>
          </w:tcPr>
          <w:p w14:paraId="3BBB8CB6"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00" w:type="dxa"/>
            <w:tcBorders>
              <w:top w:val="nil"/>
              <w:left w:val="nil"/>
              <w:bottom w:val="nil"/>
              <w:right w:val="nil"/>
            </w:tcBorders>
            <w:shd w:val="clear" w:color="auto" w:fill="FFFFFF" w:themeFill="background1"/>
            <w:vAlign w:val="top"/>
          </w:tcPr>
          <w:p w14:paraId="25120314"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990" w:type="dxa"/>
            <w:tcBorders>
              <w:top w:val="nil"/>
              <w:left w:val="nil"/>
              <w:bottom w:val="nil"/>
              <w:right w:val="nil"/>
            </w:tcBorders>
            <w:shd w:val="clear" w:color="auto" w:fill="FFFFFF" w:themeFill="background1"/>
            <w:vAlign w:val="top"/>
          </w:tcPr>
          <w:p w14:paraId="3F0CCB64"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68E38CD9"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7C9F52A5"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50" w:type="dxa"/>
            <w:tcBorders>
              <w:top w:val="nil"/>
              <w:left w:val="nil"/>
              <w:bottom w:val="nil"/>
              <w:right w:val="nil"/>
            </w:tcBorders>
            <w:shd w:val="clear" w:color="auto" w:fill="FFFFFF" w:themeFill="background1"/>
            <w:vAlign w:val="top"/>
          </w:tcPr>
          <w:p w14:paraId="073280C7"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3782F715"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50" w:type="dxa"/>
            <w:tcBorders>
              <w:top w:val="nil"/>
              <w:left w:val="nil"/>
              <w:bottom w:val="nil"/>
              <w:right w:val="nil"/>
            </w:tcBorders>
            <w:shd w:val="clear" w:color="auto" w:fill="FFFFFF" w:themeFill="background1"/>
            <w:vAlign w:val="top"/>
          </w:tcPr>
          <w:p w14:paraId="364DC196"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81" w:type="dxa"/>
            <w:tcBorders>
              <w:top w:val="nil"/>
              <w:left w:val="nil"/>
              <w:bottom w:val="nil"/>
              <w:right w:val="nil"/>
            </w:tcBorders>
            <w:shd w:val="clear" w:color="auto" w:fill="FFFFFF" w:themeFill="background1"/>
            <w:vAlign w:val="top"/>
          </w:tcPr>
          <w:p w14:paraId="600872FA" w14:textId="77777777" w:rsidR="00BC69D4" w:rsidRPr="00C11F4E"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2B78AC30" w14:textId="77777777" w:rsidR="0065762E" w:rsidRPr="0065762E" w:rsidRDefault="0065762E" w:rsidP="0065762E">
      <w:pPr>
        <w:sectPr w:rsidR="0065762E" w:rsidRPr="0065762E" w:rsidSect="00C856E4">
          <w:pgSz w:w="15840" w:h="12240" w:orient="landscape" w:code="1"/>
          <w:pgMar w:top="562" w:right="562" w:bottom="562" w:left="562" w:header="562" w:footer="346" w:gutter="0"/>
          <w:cols w:space="708"/>
          <w:docGrid w:linePitch="360"/>
        </w:sectPr>
      </w:pPr>
    </w:p>
    <w:p w14:paraId="19B0F06A" w14:textId="6D3ECC35" w:rsidR="00790696" w:rsidRDefault="00790696" w:rsidP="00526C94">
      <w:pPr>
        <w:pStyle w:val="Heading3"/>
        <w:tabs>
          <w:tab w:val="clear" w:pos="2160"/>
          <w:tab w:val="num" w:pos="1080"/>
        </w:tabs>
        <w:ind w:left="0"/>
      </w:pPr>
      <w:bookmarkStart w:id="240" w:name="_Toc191992440"/>
      <w:r>
        <w:lastRenderedPageBreak/>
        <w:t>Conclusions And Recommendations</w:t>
      </w:r>
      <w:bookmarkEnd w:id="240"/>
    </w:p>
    <w:p w14:paraId="71F4206F" w14:textId="2BA4F711" w:rsidR="008A615B" w:rsidRPr="008A615B" w:rsidRDefault="008A615B" w:rsidP="008A615B">
      <w:r w:rsidRPr="0024670D">
        <w:t>Based on the results of this evaluation, the evaluation team offers the following key finding</w:t>
      </w:r>
      <w:r w:rsidR="003527F2">
        <w:t xml:space="preserve"> </w:t>
      </w:r>
      <w:r w:rsidRPr="0024670D">
        <w:t xml:space="preserve">for the </w:t>
      </w:r>
      <w:r>
        <w:t>Streetlighting</w:t>
      </w:r>
      <w:r w:rsidRPr="0024670D">
        <w:t xml:space="preserve"> Initiative:</w:t>
      </w:r>
    </w:p>
    <w:p w14:paraId="3369A688" w14:textId="75632228" w:rsidR="00AA4D22" w:rsidRPr="00637A7B" w:rsidRDefault="00AA4D22" w:rsidP="00AA4D22">
      <w:pPr>
        <w:pStyle w:val="ListBullet"/>
      </w:pPr>
      <w:r>
        <w:rPr>
          <w:b/>
          <w:bCs/>
        </w:rPr>
        <w:t xml:space="preserve">Finding #1: </w:t>
      </w:r>
      <w:r w:rsidR="003527F2">
        <w:t>The evaluation team observed that all ex ante savings calculations were performed correctly</w:t>
      </w:r>
      <w:r w:rsidR="00DC6BA8">
        <w:t>,</w:t>
      </w:r>
      <w:r w:rsidR="003527F2">
        <w:t xml:space="preserve"> and the implementation team provided the necessary backup documentation to support the verification of these savings. As such, the realization rate for the Initiative is 100%. </w:t>
      </w:r>
    </w:p>
    <w:p w14:paraId="777C3B9C" w14:textId="33155CDF" w:rsidR="00AA4D22" w:rsidRDefault="00B47754" w:rsidP="00B47754">
      <w:pPr>
        <w:pStyle w:val="Heading2"/>
      </w:pPr>
      <w:bookmarkStart w:id="241" w:name="_Toc191992441"/>
      <w:bookmarkStart w:id="242" w:name="_Toc192766909"/>
      <w:r>
        <w:t>Small Business Initiative</w:t>
      </w:r>
      <w:bookmarkEnd w:id="241"/>
      <w:bookmarkEnd w:id="242"/>
    </w:p>
    <w:p w14:paraId="5B27AB00" w14:textId="36EE89CF" w:rsidR="00B47754" w:rsidRDefault="00B47754" w:rsidP="00526C94">
      <w:pPr>
        <w:pStyle w:val="Heading3"/>
        <w:tabs>
          <w:tab w:val="clear" w:pos="2160"/>
          <w:tab w:val="num" w:pos="1080"/>
        </w:tabs>
        <w:ind w:left="0"/>
      </w:pPr>
      <w:bookmarkStart w:id="243" w:name="_Toc191992442"/>
      <w:r>
        <w:t>Initiative Description</w:t>
      </w:r>
      <w:bookmarkEnd w:id="243"/>
    </w:p>
    <w:p w14:paraId="27A55CC2" w14:textId="4A5A516E" w:rsidR="00DD36E7" w:rsidRDefault="00DD36E7" w:rsidP="00DD36E7">
      <w:r>
        <w:t xml:space="preserve">The primary objective of the Small Business Initiative is to deliver energy savings to small commercial and industrial customers by increasing access to </w:t>
      </w:r>
      <w:r w:rsidR="004B45E5">
        <w:t>energy-efficient</w:t>
      </w:r>
      <w:r>
        <w:t xml:space="preserve"> products through financial and technical support. The Initiative targets private and public facilities through two channels that work in tandem to provide a comprehensive suite of offerings: </w:t>
      </w:r>
    </w:p>
    <w:p w14:paraId="0F46E16C" w14:textId="5777F672" w:rsidR="00DD36E7" w:rsidRDefault="00DD36E7" w:rsidP="00DD36E7">
      <w:pPr>
        <w:pStyle w:val="ListBullet"/>
      </w:pPr>
      <w:r>
        <w:rPr>
          <w:b/>
          <w:bCs/>
        </w:rPr>
        <w:t xml:space="preserve">Small Business Direct Install (SBDI) channel: </w:t>
      </w:r>
      <w:r>
        <w:t>The SBDI channel is available to all small nonresidential facilities in AIC’s service territory and focuses on rapidly deployable lighting and refrigeration measures. The SBDI channel is the primary driver of the Small Business Initiative electric savings.</w:t>
      </w:r>
    </w:p>
    <w:p w14:paraId="315DA455" w14:textId="2EB6C6DC" w:rsidR="00DD36E7" w:rsidRDefault="00DD36E7" w:rsidP="00DD36E7">
      <w:pPr>
        <w:pStyle w:val="ListBullet"/>
      </w:pPr>
      <w:r>
        <w:rPr>
          <w:b/>
          <w:bCs/>
        </w:rPr>
        <w:t>Small Business Energy Performance (SBEP) channel:</w:t>
      </w:r>
      <w:r>
        <w:t xml:space="preserve"> The SBEP channel targets facilities located in Empower Communities</w:t>
      </w:r>
      <w:r w:rsidR="00DC6BA8">
        <w:t>.</w:t>
      </w:r>
      <w:r>
        <w:rPr>
          <w:rStyle w:val="FootnoteReference"/>
        </w:rPr>
        <w:footnoteReference w:id="32"/>
      </w:r>
      <w:r>
        <w:t xml:space="preserve"> </w:t>
      </w:r>
      <w:r w:rsidR="00DC6BA8">
        <w:t xml:space="preserve">This channel </w:t>
      </w:r>
      <w:r>
        <w:t xml:space="preserve">focuses on building envelope upgrades, HVAC improvements, and other non-SBDI measures supported by participating </w:t>
      </w:r>
      <w:r w:rsidR="00DC6BA8">
        <w:t>Program Allies</w:t>
      </w:r>
      <w:r>
        <w:t xml:space="preserve">. </w:t>
      </w:r>
    </w:p>
    <w:p w14:paraId="23A51790" w14:textId="540D634B" w:rsidR="00DD36E7" w:rsidRDefault="00DD36E7" w:rsidP="00DD36E7">
      <w:r>
        <w:t xml:space="preserve">Both channels leverage a network of </w:t>
      </w:r>
      <w:r w:rsidR="00DC6BA8">
        <w:t xml:space="preserve">Program Allies </w:t>
      </w:r>
      <w:r>
        <w:t xml:space="preserve">to coordinate and install the incentivized measures in participating facilities. These </w:t>
      </w:r>
      <w:r w:rsidR="00DC6BA8">
        <w:t xml:space="preserve">Program Allies </w:t>
      </w:r>
      <w:r>
        <w:t>specialize in serving small businesses, nonprofit</w:t>
      </w:r>
      <w:r w:rsidR="00DC6BA8">
        <w:t xml:space="preserve"> organizations</w:t>
      </w:r>
      <w:r>
        <w:t>, schools, and local government</w:t>
      </w:r>
      <w:r w:rsidR="005D4CCB">
        <w:t>s</w:t>
      </w:r>
      <w:r>
        <w:t>. Many projects are fully funded through channel incentives and require no out-of-pocket contribution from the customer. The low-touch, high-impact measures incentivized through the SBDI channel, combined with the customized, deeper retrofits incentivized through the SBEP channel</w:t>
      </w:r>
      <w:r w:rsidR="00DC6BA8">
        <w:t>,</w:t>
      </w:r>
      <w:r>
        <w:t xml:space="preserve"> offer customers in this segment an opportunity to comprehensively upgrade their facilities. </w:t>
      </w:r>
    </w:p>
    <w:p w14:paraId="2A649560" w14:textId="272EDC11" w:rsidR="00DD36E7" w:rsidRPr="00DD36E7" w:rsidRDefault="00DD36E7" w:rsidP="00DD36E7">
      <w:r>
        <w:t xml:space="preserve">Overall, the implementation team set a goal of achieving </w:t>
      </w:r>
      <w:r w:rsidR="0094112A" w:rsidRPr="0094112A">
        <w:t>4</w:t>
      </w:r>
      <w:r w:rsidR="00894381">
        <w:t>2</w:t>
      </w:r>
      <w:r w:rsidRPr="0094112A">
        <w:t>,</w:t>
      </w:r>
      <w:r w:rsidR="00894381">
        <w:t>494</w:t>
      </w:r>
      <w:r>
        <w:t xml:space="preserve"> MWh and </w:t>
      </w:r>
      <w:r w:rsidR="00894381">
        <w:t>7</w:t>
      </w:r>
      <w:r w:rsidR="0094112A">
        <w:t>0,36</w:t>
      </w:r>
      <w:r w:rsidR="00894381">
        <w:t>7</w:t>
      </w:r>
      <w:r>
        <w:t xml:space="preserve"> therms of savings through the Small Business Initiative in 2024. </w:t>
      </w:r>
    </w:p>
    <w:p w14:paraId="6FF16C07" w14:textId="60661FBE" w:rsidR="00B47754" w:rsidRDefault="00B47754" w:rsidP="00526C94">
      <w:pPr>
        <w:pStyle w:val="Heading3"/>
        <w:tabs>
          <w:tab w:val="clear" w:pos="2160"/>
          <w:tab w:val="num" w:pos="1080"/>
        </w:tabs>
        <w:ind w:left="0"/>
      </w:pPr>
      <w:bookmarkStart w:id="244" w:name="_Toc191992443"/>
      <w:r>
        <w:t xml:space="preserve">Initiative Annual </w:t>
      </w:r>
      <w:r w:rsidR="00E644D5">
        <w:t>S</w:t>
      </w:r>
      <w:r>
        <w:t>avings Summary</w:t>
      </w:r>
      <w:bookmarkEnd w:id="244"/>
    </w:p>
    <w:p w14:paraId="53516C1E" w14:textId="0CE877C0" w:rsidR="00645BC9" w:rsidRPr="00645BC9" w:rsidRDefault="00645BC9" w:rsidP="00645BC9">
      <w:r w:rsidRPr="00645BC9">
        <w:rPr>
          <w:rStyle w:val="NoSpacingChar"/>
        </w:rPr>
        <w:fldChar w:fldCharType="begin"/>
      </w:r>
      <w:r w:rsidRPr="00645BC9">
        <w:rPr>
          <w:rStyle w:val="NoSpacingChar"/>
        </w:rPr>
        <w:instrText xml:space="preserve"> REF _Ref187324652 \h  \* MERGEFORMAT </w:instrText>
      </w:r>
      <w:r w:rsidRPr="00645BC9">
        <w:rPr>
          <w:rStyle w:val="NoSpacingChar"/>
        </w:rPr>
      </w:r>
      <w:r w:rsidRPr="00645BC9">
        <w:rPr>
          <w:rStyle w:val="NoSpacingChar"/>
        </w:rPr>
        <w:fldChar w:fldCharType="separate"/>
      </w:r>
      <w:r w:rsidR="00AA10F4" w:rsidRPr="00AA10F4">
        <w:rPr>
          <w:rStyle w:val="NoSpacingChar"/>
        </w:rPr>
        <w:t>Table 53</w:t>
      </w:r>
      <w:r w:rsidRPr="00645BC9">
        <w:rPr>
          <w:rStyle w:val="NoSpacingChar"/>
        </w:rPr>
        <w:fldChar w:fldCharType="end"/>
      </w:r>
      <w:r w:rsidRPr="00645BC9">
        <w:rPr>
          <w:rStyle w:val="NoSpacingChar"/>
        </w:rPr>
        <w:t xml:space="preserve"> presents the Small Business Initiative annual savings achieved in 2024. The 2024 Small Business Initiative achieved </w:t>
      </w:r>
      <w:r w:rsidR="00A7609D">
        <w:rPr>
          <w:rStyle w:val="NoSpacingChar"/>
        </w:rPr>
        <w:t xml:space="preserve">32,322 </w:t>
      </w:r>
      <w:r w:rsidRPr="00645BC9">
        <w:rPr>
          <w:rStyle w:val="NoSpacingChar"/>
        </w:rPr>
        <w:t xml:space="preserve">MWh, </w:t>
      </w:r>
      <w:r w:rsidR="00A7609D">
        <w:rPr>
          <w:rStyle w:val="NoSpacingChar"/>
        </w:rPr>
        <w:t>5.35</w:t>
      </w:r>
      <w:r w:rsidRPr="00645BC9">
        <w:rPr>
          <w:rStyle w:val="NoSpacingChar"/>
        </w:rPr>
        <w:t xml:space="preserve"> MW, and </w:t>
      </w:r>
      <w:r w:rsidR="00A7609D">
        <w:rPr>
          <w:rStyle w:val="NoSpacingChar"/>
        </w:rPr>
        <w:t>19,319</w:t>
      </w:r>
      <w:r w:rsidRPr="00645BC9">
        <w:rPr>
          <w:rStyle w:val="NoSpacingChar"/>
        </w:rPr>
        <w:t xml:space="preserve"> therms in verified net savings</w:t>
      </w:r>
      <w:r>
        <w:t>.</w:t>
      </w:r>
      <w:r w:rsidR="001A45D4">
        <w:t xml:space="preserve"> </w:t>
      </w:r>
      <w:r w:rsidR="001A45D4" w:rsidRPr="001A45D4">
        <w:t xml:space="preserve">The Initiative also produced </w:t>
      </w:r>
      <w:r w:rsidR="00A7609D">
        <w:t>2,325</w:t>
      </w:r>
      <w:r w:rsidR="001A45D4" w:rsidRPr="001A45D4">
        <w:t xml:space="preserve"> therms in verified net gas savings in 202</w:t>
      </w:r>
      <w:r w:rsidR="001A45D4">
        <w:t>4</w:t>
      </w:r>
      <w:r w:rsidR="001A45D4" w:rsidRPr="001A45D4">
        <w:t xml:space="preserve"> that are not directly claimable by AIC because the customers do not receive gas service from AIC. These savings are detailed further in </w:t>
      </w:r>
      <w:r w:rsidR="00F264FA">
        <w:fldChar w:fldCharType="begin"/>
      </w:r>
      <w:r w:rsidR="00F264FA">
        <w:instrText xml:space="preserve"> REF _Ref187069776 \n \h </w:instrText>
      </w:r>
      <w:r w:rsidR="00F264FA">
        <w:fldChar w:fldCharType="separate"/>
      </w:r>
      <w:r w:rsidR="00AA10F4">
        <w:t>Appendix B</w:t>
      </w:r>
      <w:r w:rsidR="00F264FA">
        <w:fldChar w:fldCharType="end"/>
      </w:r>
      <w:r w:rsidR="001A45D4" w:rsidRPr="001A45D4">
        <w:t>.</w:t>
      </w:r>
    </w:p>
    <w:p w14:paraId="62E03473" w14:textId="293763CE" w:rsidR="00645BC9" w:rsidRDefault="00645BC9" w:rsidP="002B5E4A">
      <w:pPr>
        <w:pStyle w:val="Caption"/>
      </w:pPr>
      <w:bookmarkStart w:id="245" w:name="_Ref187324652"/>
      <w:bookmarkStart w:id="246" w:name="_Toc191992574"/>
      <w:bookmarkStart w:id="247" w:name="_Toc192766987"/>
      <w:r>
        <w:lastRenderedPageBreak/>
        <w:t xml:space="preserve">Table </w:t>
      </w:r>
      <w:r w:rsidR="009B4C9A">
        <w:fldChar w:fldCharType="begin"/>
      </w:r>
      <w:r w:rsidR="009B4C9A">
        <w:instrText xml:space="preserve"> SEQ Table \* ARABIC </w:instrText>
      </w:r>
      <w:r w:rsidR="009B4C9A">
        <w:fldChar w:fldCharType="separate"/>
      </w:r>
      <w:r w:rsidR="00AA10F4">
        <w:rPr>
          <w:noProof/>
        </w:rPr>
        <w:t>53</w:t>
      </w:r>
      <w:r w:rsidR="009B4C9A">
        <w:rPr>
          <w:noProof/>
        </w:rPr>
        <w:fldChar w:fldCharType="end"/>
      </w:r>
      <w:bookmarkEnd w:id="245"/>
      <w:r>
        <w:t>. 2024 Small Business Initiative Annual Savings</w:t>
      </w:r>
      <w:bookmarkEnd w:id="246"/>
      <w:bookmarkEnd w:id="247"/>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BC69D4" w14:paraId="047312B7"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4CE2718" w14:textId="77777777" w:rsidR="00BC69D4" w:rsidRPr="00625570" w:rsidRDefault="00BC69D4" w:rsidP="0070599E">
            <w:pPr>
              <w:pStyle w:val="TableHeadingLeft"/>
            </w:pPr>
          </w:p>
        </w:tc>
        <w:tc>
          <w:tcPr>
            <w:tcW w:w="0" w:type="auto"/>
            <w:tcBorders>
              <w:left w:val="single" w:sz="4" w:space="0" w:color="4A4D56" w:themeColor="text1"/>
              <w:bottom w:val="single" w:sz="4" w:space="0" w:color="4A4D56" w:themeColor="text1"/>
              <w:right w:val="single" w:sz="4" w:space="0" w:color="4A4D56" w:themeColor="text1"/>
            </w:tcBorders>
          </w:tcPr>
          <w:p w14:paraId="33BE95EB"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318A15D0"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1973A44E"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BC69D4" w14:paraId="308FF3FB"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DA1A9CE" w14:textId="33FDE5E3" w:rsidR="00BC69D4" w:rsidRPr="00625570" w:rsidRDefault="00BC69D4" w:rsidP="00BC69D4">
            <w:pPr>
              <w:pStyle w:val="TableLeftText"/>
            </w:pPr>
            <w:r w:rsidRPr="00AA0CA7">
              <w:t>Ex Ante Gross Savings</w:t>
            </w:r>
          </w:p>
        </w:tc>
        <w:tc>
          <w:tcPr>
            <w:tcW w:w="0" w:type="auto"/>
            <w:tcBorders>
              <w:top w:val="single" w:sz="4" w:space="0" w:color="4A4D56" w:themeColor="text1"/>
            </w:tcBorders>
          </w:tcPr>
          <w:p w14:paraId="4DFC2DEF" w14:textId="109F47F3"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35,359</w:t>
            </w:r>
          </w:p>
        </w:tc>
        <w:tc>
          <w:tcPr>
            <w:tcW w:w="0" w:type="auto"/>
            <w:tcBorders>
              <w:top w:val="single" w:sz="4" w:space="0" w:color="4A4D56" w:themeColor="text1"/>
            </w:tcBorders>
          </w:tcPr>
          <w:p w14:paraId="5E7B0B74" w14:textId="64951C9A"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5.86</w:t>
            </w:r>
          </w:p>
        </w:tc>
        <w:tc>
          <w:tcPr>
            <w:tcW w:w="0" w:type="auto"/>
            <w:tcBorders>
              <w:top w:val="single" w:sz="4" w:space="0" w:color="4A4D56" w:themeColor="text1"/>
            </w:tcBorders>
          </w:tcPr>
          <w:p w14:paraId="317354FB" w14:textId="4138CDC4"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18,280</w:t>
            </w:r>
          </w:p>
        </w:tc>
      </w:tr>
      <w:tr w:rsidR="00BC69D4" w14:paraId="1D87305B"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D8FB303" w14:textId="5676BA09" w:rsidR="00BC69D4" w:rsidRPr="00625570" w:rsidRDefault="00BC69D4" w:rsidP="00BC69D4">
            <w:pPr>
              <w:pStyle w:val="TableLeftText"/>
            </w:pPr>
            <w:r w:rsidRPr="00AA0CA7">
              <w:t>Gross Realization Rate</w:t>
            </w:r>
          </w:p>
        </w:tc>
        <w:tc>
          <w:tcPr>
            <w:tcW w:w="0" w:type="auto"/>
          </w:tcPr>
          <w:p w14:paraId="2CD330DD" w14:textId="5F12C9C7"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9A6DB7">
              <w:t>100%</w:t>
            </w:r>
          </w:p>
        </w:tc>
        <w:tc>
          <w:tcPr>
            <w:tcW w:w="0" w:type="auto"/>
          </w:tcPr>
          <w:p w14:paraId="3D065FA8" w14:textId="4B7E48AB"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t>99</w:t>
            </w:r>
            <w:r w:rsidRPr="009A6DB7">
              <w:t>%</w:t>
            </w:r>
          </w:p>
        </w:tc>
        <w:tc>
          <w:tcPr>
            <w:tcW w:w="0" w:type="auto"/>
          </w:tcPr>
          <w:p w14:paraId="389093E9" w14:textId="67D1E7A4"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9A6DB7">
              <w:t>106%</w:t>
            </w:r>
          </w:p>
        </w:tc>
      </w:tr>
      <w:tr w:rsidR="00BC69D4" w14:paraId="63AD43B8"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656DD4F" w14:textId="5C2B3C4C" w:rsidR="00BC69D4" w:rsidRPr="00625570" w:rsidRDefault="00BC69D4" w:rsidP="00BC69D4">
            <w:pPr>
              <w:pStyle w:val="TableLeftText"/>
            </w:pPr>
            <w:r w:rsidRPr="00AA0CA7">
              <w:t>Verified Gross Savings</w:t>
            </w:r>
          </w:p>
        </w:tc>
        <w:tc>
          <w:tcPr>
            <w:tcW w:w="0" w:type="auto"/>
          </w:tcPr>
          <w:p w14:paraId="2D752021" w14:textId="1C2F304F"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35,240</w:t>
            </w:r>
          </w:p>
        </w:tc>
        <w:tc>
          <w:tcPr>
            <w:tcW w:w="0" w:type="auto"/>
          </w:tcPr>
          <w:p w14:paraId="015E5235" w14:textId="62940F61"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5.8</w:t>
            </w:r>
            <w:r>
              <w:t>2</w:t>
            </w:r>
          </w:p>
        </w:tc>
        <w:tc>
          <w:tcPr>
            <w:tcW w:w="0" w:type="auto"/>
          </w:tcPr>
          <w:p w14:paraId="1A8461EB" w14:textId="6BF62433"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19,319</w:t>
            </w:r>
          </w:p>
        </w:tc>
      </w:tr>
      <w:tr w:rsidR="00BC69D4" w14:paraId="68CF6948"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90BDCE6" w14:textId="5B410AD2" w:rsidR="00BC69D4" w:rsidRPr="00625570" w:rsidRDefault="00BC69D4" w:rsidP="00BC69D4">
            <w:pPr>
              <w:pStyle w:val="TableLeftText"/>
            </w:pPr>
            <w:r w:rsidRPr="00AA0CA7">
              <w:t>NTGR</w:t>
            </w:r>
          </w:p>
        </w:tc>
        <w:tc>
          <w:tcPr>
            <w:tcW w:w="0" w:type="auto"/>
          </w:tcPr>
          <w:p w14:paraId="272626B1" w14:textId="2EDE86C2"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9A6DB7">
              <w:t>0.91</w:t>
            </w:r>
            <w:r>
              <w:t>7</w:t>
            </w:r>
          </w:p>
        </w:tc>
        <w:tc>
          <w:tcPr>
            <w:tcW w:w="0" w:type="auto"/>
          </w:tcPr>
          <w:p w14:paraId="7DA7248C" w14:textId="3D9CF9AA"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9A6DB7">
              <w:t>0.9</w:t>
            </w:r>
            <w:r>
              <w:t>20</w:t>
            </w:r>
          </w:p>
        </w:tc>
        <w:tc>
          <w:tcPr>
            <w:tcW w:w="0" w:type="auto"/>
          </w:tcPr>
          <w:p w14:paraId="1031FD4F" w14:textId="336807E7"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9A6DB7">
              <w:t>1.000</w:t>
            </w:r>
          </w:p>
        </w:tc>
      </w:tr>
      <w:tr w:rsidR="00BC69D4" w14:paraId="0D208BE9"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806E816" w14:textId="67301D93" w:rsidR="00BC69D4" w:rsidRPr="00625570" w:rsidRDefault="00BC69D4" w:rsidP="00BC69D4">
            <w:pPr>
              <w:pStyle w:val="TableLeftText"/>
            </w:pPr>
            <w:r w:rsidRPr="00AA0CA7">
              <w:t>Verified Net Savings</w:t>
            </w:r>
          </w:p>
        </w:tc>
        <w:tc>
          <w:tcPr>
            <w:tcW w:w="0" w:type="auto"/>
          </w:tcPr>
          <w:p w14:paraId="3C029AA4" w14:textId="51DEB81E"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32,322</w:t>
            </w:r>
          </w:p>
        </w:tc>
        <w:tc>
          <w:tcPr>
            <w:tcW w:w="0" w:type="auto"/>
          </w:tcPr>
          <w:p w14:paraId="4AF348CA" w14:textId="00E37858"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5.35</w:t>
            </w:r>
          </w:p>
        </w:tc>
        <w:tc>
          <w:tcPr>
            <w:tcW w:w="0" w:type="auto"/>
          </w:tcPr>
          <w:p w14:paraId="723C4499" w14:textId="773D2101"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9A6DB7">
              <w:t>19,319</w:t>
            </w:r>
          </w:p>
        </w:tc>
      </w:tr>
    </w:tbl>
    <w:p w14:paraId="519C5E60" w14:textId="0CEA7C16" w:rsidR="00B47754" w:rsidRDefault="00B47754" w:rsidP="00526C94">
      <w:pPr>
        <w:pStyle w:val="Heading3"/>
        <w:tabs>
          <w:tab w:val="clear" w:pos="2160"/>
          <w:tab w:val="num" w:pos="1080"/>
        </w:tabs>
        <w:ind w:left="0"/>
      </w:pPr>
      <w:bookmarkStart w:id="248" w:name="_Toc191992444"/>
      <w:r>
        <w:t>Small Business Direct Install Channel</w:t>
      </w:r>
      <w:bookmarkEnd w:id="248"/>
    </w:p>
    <w:p w14:paraId="13C0CB9E" w14:textId="2D2C3EDB" w:rsidR="001A45D4" w:rsidRPr="001A45D4" w:rsidRDefault="001A45D4" w:rsidP="001A45D4">
      <w:r>
        <w:t xml:space="preserve">The following sections present the impact evaluation results for the 2024 SBDI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63EEB48E" w14:textId="77777777" w:rsidR="00B47754" w:rsidRDefault="00B47754" w:rsidP="00B47754">
      <w:pPr>
        <w:pStyle w:val="Heading4"/>
      </w:pPr>
      <w:r>
        <w:t>Channel Description</w:t>
      </w:r>
    </w:p>
    <w:p w14:paraId="22C08B83" w14:textId="2E1C9437" w:rsidR="00A96174" w:rsidRDefault="009673AE" w:rsidP="009673AE">
      <w:r>
        <w:t xml:space="preserve">The SBDI channel provides small nonresidential customers with electric energy savings opportunities by offering a free energy assessment and </w:t>
      </w:r>
      <w:r w:rsidR="00DC6BA8">
        <w:t xml:space="preserve">a </w:t>
      </w:r>
      <w:r w:rsidR="00320E3F">
        <w:t>streamlined process for installing incentivized measures. Eligible customers receive an on-site assessment and report</w:t>
      </w:r>
      <w:r>
        <w:t xml:space="preserve"> outlining recommended measures, </w:t>
      </w:r>
      <w:r w:rsidR="00320E3F">
        <w:t xml:space="preserve">estimated </w:t>
      </w:r>
      <w:r>
        <w:t xml:space="preserve">project costs, estimated energy savings, and estimated bill savings. The customer then selects the package of measures they wish to have installed. All measures must be installed by qualified </w:t>
      </w:r>
      <w:r w:rsidR="00DC6BA8">
        <w:t xml:space="preserve">Program Allies, </w:t>
      </w:r>
      <w:r>
        <w:t xml:space="preserve">and incentives are paid directly to </w:t>
      </w:r>
      <w:r w:rsidR="00DC6BA8">
        <w:t>Program Allies</w:t>
      </w:r>
      <w:r w:rsidR="00320E3F">
        <w:t>,</w:t>
      </w:r>
      <w:r>
        <w:t xml:space="preserve"> enabling a streamlin</w:t>
      </w:r>
      <w:r w:rsidR="00ED0D28">
        <w:t>e</w:t>
      </w:r>
      <w:r>
        <w:t>d transaction at the time of installation with zero or minimal out-of-pocket costs</w:t>
      </w:r>
      <w:r w:rsidR="004B45E5">
        <w:t xml:space="preserve"> for customers</w:t>
      </w:r>
      <w:r>
        <w:t xml:space="preserve">. </w:t>
      </w:r>
    </w:p>
    <w:p w14:paraId="5F531026" w14:textId="77735172" w:rsidR="009673AE" w:rsidRDefault="009673AE" w:rsidP="009673AE">
      <w:r>
        <w:t xml:space="preserve">Program </w:t>
      </w:r>
      <w:r w:rsidR="00DC6BA8">
        <w:t xml:space="preserve">Allies </w:t>
      </w:r>
      <w:r>
        <w:t xml:space="preserve">conduct most of the customer outreach activities for the channel, either through their own marketing efforts or direct conversations with prospective participants. Initiative staff support the allies through co-branding marketing materials, hosting community events and webinars, targeted customer outreach through email/mailer campaigns, partnerships with local chambers of commerce and other </w:t>
      </w:r>
      <w:r w:rsidR="0074531F">
        <w:t>community-based organizations</w:t>
      </w:r>
      <w:r>
        <w:t xml:space="preserve">, and </w:t>
      </w:r>
      <w:r w:rsidR="0074531F">
        <w:t>maintaining</w:t>
      </w:r>
      <w:r>
        <w:t xml:space="preserve"> a Small Business landing page on the AIC Energy Efficiency website. The Business Program Energy Advisors contribute to recruitment efforts by conducting ad</w:t>
      </w:r>
      <w:r w:rsidR="0074531F">
        <w:t xml:space="preserve"> </w:t>
      </w:r>
      <w:r>
        <w:t>hoc outreach</w:t>
      </w:r>
      <w:r w:rsidR="0074531F">
        <w:t xml:space="preserve">, including </w:t>
      </w:r>
      <w:r>
        <w:t>visiting organizations in their region that have not participated in the Initiative.</w:t>
      </w:r>
    </w:p>
    <w:p w14:paraId="2E4299AA" w14:textId="4254CC21" w:rsidR="009673AE" w:rsidRDefault="009673AE" w:rsidP="009673AE">
      <w:r>
        <w:t xml:space="preserve">Small Business Initiative staff continue to partner with AIC Market Development Initiative staff to identify diverse contractors and train them to participate in the SBDI channel. Initiative staff provide allies with training and documentation for best practices for completing projects. In addition, Initiative staff engage </w:t>
      </w:r>
      <w:r w:rsidR="0074531F">
        <w:t xml:space="preserve">Program Allies </w:t>
      </w:r>
      <w:r>
        <w:t xml:space="preserve">on their workforce development needs to help them expand their services and overall business through job placements, scholarships, seasonal employment, and training. </w:t>
      </w:r>
    </w:p>
    <w:p w14:paraId="5791977B" w14:textId="77777777" w:rsidR="00B47754" w:rsidRDefault="00B47754" w:rsidP="00F33E55">
      <w:pPr>
        <w:pStyle w:val="Heading5"/>
      </w:pPr>
      <w:r>
        <w:t>Summary of Key Implementation Changes</w:t>
      </w:r>
    </w:p>
    <w:p w14:paraId="60F8AB74" w14:textId="486DFC97" w:rsidR="00577109" w:rsidRDefault="00577109" w:rsidP="00577109">
      <w:r>
        <w:t>Initiative staff instituted the following design and implementation changes to the SBDI channel in 2024:</w:t>
      </w:r>
    </w:p>
    <w:p w14:paraId="7B49F128" w14:textId="588469A9" w:rsidR="00431A11" w:rsidRDefault="00CB479C" w:rsidP="00650101">
      <w:pPr>
        <w:pStyle w:val="ListBullet"/>
      </w:pPr>
      <w:r>
        <w:t>The implementation team</w:t>
      </w:r>
      <w:r w:rsidR="00577109">
        <w:t xml:space="preserve"> </w:t>
      </w:r>
      <w:r>
        <w:t>dedicated</w:t>
      </w:r>
      <w:r w:rsidR="00577109">
        <w:t xml:space="preserve"> specific resources to </w:t>
      </w:r>
      <w:r w:rsidR="003F3F47">
        <w:t>Program Ally</w:t>
      </w:r>
      <w:r w:rsidR="00577109">
        <w:t xml:space="preserve"> management</w:t>
      </w:r>
      <w:r w:rsidR="004B45E5">
        <w:t xml:space="preserve"> and</w:t>
      </w:r>
      <w:r w:rsidR="00431A11">
        <w:t xml:space="preserve"> implemented a strategy to re-engage Program Allies </w:t>
      </w:r>
      <w:r>
        <w:t>who had not completed a project in 2024</w:t>
      </w:r>
      <w:r w:rsidR="004B45E5">
        <w:t>.</w:t>
      </w:r>
    </w:p>
    <w:p w14:paraId="13E706F5" w14:textId="58CC793D" w:rsidR="00781DD0" w:rsidRDefault="00781DD0" w:rsidP="00781DD0">
      <w:pPr>
        <w:pStyle w:val="ListBullet"/>
      </w:pPr>
      <w:r>
        <w:t>In partnership with AIC’s Market Development Initiative, implementation staff introduced co</w:t>
      </w:r>
      <w:r w:rsidR="0074531F">
        <w:t>-</w:t>
      </w:r>
      <w:r>
        <w:t>pay</w:t>
      </w:r>
      <w:r w:rsidR="0074531F">
        <w:t>ment</w:t>
      </w:r>
      <w:r>
        <w:t xml:space="preserve"> assistance for customers located in disadvantaged communities to reduce customer out-of-pocket costs. The implementation team also increased incentive levels for SBDI </w:t>
      </w:r>
      <w:r w:rsidR="00CB479C">
        <w:t xml:space="preserve">for all customers </w:t>
      </w:r>
      <w:r>
        <w:t xml:space="preserve">to encourage participation and limit customer upfront costs. </w:t>
      </w:r>
    </w:p>
    <w:p w14:paraId="076D391B" w14:textId="77777777" w:rsidR="00B47754" w:rsidRDefault="00B47754" w:rsidP="00B47754">
      <w:pPr>
        <w:pStyle w:val="Heading4"/>
      </w:pPr>
      <w:r>
        <w:lastRenderedPageBreak/>
        <w:t>Participation Summary</w:t>
      </w:r>
    </w:p>
    <w:p w14:paraId="252CC4AF" w14:textId="0BEF2E17" w:rsidR="007367A8" w:rsidRDefault="000F414B" w:rsidP="007367A8">
      <w:r>
        <w:fldChar w:fldCharType="begin"/>
      </w:r>
      <w:r>
        <w:instrText xml:space="preserve"> REF _Ref189128467 \h </w:instrText>
      </w:r>
      <w:r>
        <w:fldChar w:fldCharType="separate"/>
      </w:r>
      <w:r w:rsidR="00AA10F4">
        <w:t xml:space="preserve">Table </w:t>
      </w:r>
      <w:r w:rsidR="00AA10F4">
        <w:rPr>
          <w:noProof/>
        </w:rPr>
        <w:t>54</w:t>
      </w:r>
      <w:r>
        <w:fldChar w:fldCharType="end"/>
      </w:r>
      <w:r w:rsidR="007367A8">
        <w:t xml:space="preserve"> presents a summary of participation in the SBDI channel in 2024. We present these data separated by public and private sector</w:t>
      </w:r>
      <w:r w:rsidR="004B45E5">
        <w:t xml:space="preserve"> customer</w:t>
      </w:r>
      <w:r w:rsidR="007367A8">
        <w:t xml:space="preserve">s to provide context as to the primary drivers of participation. AIC customers completed </w:t>
      </w:r>
      <w:r w:rsidR="0078163B">
        <w:t>1,285</w:t>
      </w:r>
      <w:r w:rsidR="007367A8">
        <w:t xml:space="preserve"> unique projects through the channel, encompassing </w:t>
      </w:r>
      <w:r w:rsidR="0078163B">
        <w:t>137,640</w:t>
      </w:r>
      <w:r w:rsidR="007367A8">
        <w:t xml:space="preserve"> incentivized measures. </w:t>
      </w:r>
      <w:r w:rsidR="007367A8" w:rsidRPr="0078163B">
        <w:t>LED bulbs and fixtures</w:t>
      </w:r>
      <w:r w:rsidR="007367A8">
        <w:t xml:space="preserve"> continued to dominate channel activity, accounting for</w:t>
      </w:r>
      <w:r w:rsidR="0078163B">
        <w:t xml:space="preserve"> 88% </w:t>
      </w:r>
      <w:r w:rsidR="007367A8">
        <w:t xml:space="preserve">of total measures incentivized in 2024. </w:t>
      </w:r>
      <w:r w:rsidR="007367A8" w:rsidRPr="0078163B">
        <w:t>Lighting controls</w:t>
      </w:r>
      <w:r w:rsidR="007367A8">
        <w:t xml:space="preserve"> and </w:t>
      </w:r>
      <w:r w:rsidR="007367A8" w:rsidRPr="0078163B">
        <w:t>fluorescent delamping</w:t>
      </w:r>
      <w:r w:rsidR="007367A8">
        <w:t xml:space="preserve"> accounted for the next largest </w:t>
      </w:r>
      <w:r w:rsidR="004B45E5">
        <w:t>share</w:t>
      </w:r>
      <w:r w:rsidR="007367A8">
        <w:t xml:space="preserve"> of incentivized measures at </w:t>
      </w:r>
      <w:r w:rsidR="0078163B">
        <w:t>11</w:t>
      </w:r>
      <w:r w:rsidR="007367A8">
        <w:t xml:space="preserve">% and </w:t>
      </w:r>
      <w:r w:rsidR="0078163B">
        <w:t>1</w:t>
      </w:r>
      <w:r w:rsidR="007367A8">
        <w:t xml:space="preserve">%, respectively. </w:t>
      </w:r>
    </w:p>
    <w:p w14:paraId="5B149D1B" w14:textId="4DF557FE" w:rsidR="000F414B" w:rsidRDefault="000F414B" w:rsidP="00881B1B">
      <w:pPr>
        <w:pStyle w:val="Caption"/>
      </w:pPr>
      <w:bookmarkStart w:id="249" w:name="_Ref189128467"/>
      <w:bookmarkStart w:id="250" w:name="_Toc191992575"/>
      <w:bookmarkStart w:id="251" w:name="_Toc192766988"/>
      <w:r>
        <w:t xml:space="preserve">Table </w:t>
      </w:r>
      <w:r w:rsidR="009B4C9A">
        <w:fldChar w:fldCharType="begin"/>
      </w:r>
      <w:r w:rsidR="009B4C9A">
        <w:instrText xml:space="preserve"> SEQ Table \* ARABIC </w:instrText>
      </w:r>
      <w:r w:rsidR="009B4C9A">
        <w:fldChar w:fldCharType="separate"/>
      </w:r>
      <w:r w:rsidR="00AA10F4">
        <w:rPr>
          <w:noProof/>
        </w:rPr>
        <w:t>54</w:t>
      </w:r>
      <w:r w:rsidR="009B4C9A">
        <w:rPr>
          <w:noProof/>
        </w:rPr>
        <w:fldChar w:fldCharType="end"/>
      </w:r>
      <w:bookmarkEnd w:id="249"/>
      <w:r>
        <w:t xml:space="preserve">. </w:t>
      </w:r>
      <w:r w:rsidRPr="000F414B">
        <w:t>202</w:t>
      </w:r>
      <w:r>
        <w:t>4</w:t>
      </w:r>
      <w:r w:rsidRPr="000F414B">
        <w:t xml:space="preserve"> Small Business Direct Install Channel Participation Summary by Measure</w:t>
      </w:r>
      <w:bookmarkEnd w:id="250"/>
      <w:bookmarkEnd w:id="251"/>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5685"/>
        <w:gridCol w:w="1687"/>
        <w:gridCol w:w="2002"/>
        <w:gridCol w:w="1722"/>
      </w:tblGrid>
      <w:tr w:rsidR="005A472F" w14:paraId="7A0C0812" w14:textId="77777777" w:rsidTr="00BC69D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07BB6E42" w14:textId="77777777" w:rsidR="005A472F" w:rsidRDefault="005A472F" w:rsidP="00454053">
            <w:pPr>
              <w:pStyle w:val="TableHeadingLeft"/>
            </w:pPr>
            <w:r>
              <w:t>Measure Category</w:t>
            </w:r>
          </w:p>
        </w:tc>
        <w:tc>
          <w:tcPr>
            <w:tcW w:w="760" w:type="pct"/>
            <w:tcBorders>
              <w:bottom w:val="none" w:sz="0" w:space="0" w:color="auto"/>
            </w:tcBorders>
          </w:tcPr>
          <w:p w14:paraId="508CB347" w14:textId="77777777" w:rsidR="005A472F" w:rsidRDefault="005A472F" w:rsidP="00454053">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902" w:type="pct"/>
            <w:tcBorders>
              <w:bottom w:val="none" w:sz="0" w:space="0" w:color="auto"/>
            </w:tcBorders>
          </w:tcPr>
          <w:p w14:paraId="40C6926B" w14:textId="77777777" w:rsidR="005A472F" w:rsidRDefault="005A472F" w:rsidP="00454053">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776" w:type="pct"/>
            <w:tcBorders>
              <w:bottom w:val="none" w:sz="0" w:space="0" w:color="auto"/>
            </w:tcBorders>
          </w:tcPr>
          <w:p w14:paraId="1CEBF4BB" w14:textId="77777777" w:rsidR="005A472F" w:rsidRDefault="005A472F" w:rsidP="00454053">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r>
      <w:tr w:rsidR="005A472F" w14:paraId="2EE25458"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1FA9E1" w:themeFill="accent3"/>
          </w:tcPr>
          <w:p w14:paraId="25865E74" w14:textId="3E8B8772" w:rsidR="005A472F" w:rsidRPr="005A472F" w:rsidRDefault="005A472F" w:rsidP="00454053">
            <w:pPr>
              <w:rPr>
                <w:rFonts w:asciiTheme="majorHAnsi" w:hAnsiTheme="majorHAnsi"/>
              </w:rPr>
            </w:pPr>
            <w:r w:rsidRPr="005A472F">
              <w:rPr>
                <w:rFonts w:asciiTheme="majorHAnsi" w:hAnsiTheme="majorHAnsi"/>
                <w:color w:val="FFFFFF" w:themeColor="background1"/>
              </w:rPr>
              <w:t>Private Sector</w:t>
            </w:r>
          </w:p>
        </w:tc>
      </w:tr>
      <w:tr w:rsidR="005A472F" w14:paraId="26A4853B"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4210985B" w14:textId="46087A82" w:rsidR="005A472F" w:rsidRDefault="005A472F" w:rsidP="005A472F">
            <w:r>
              <w:t>LED Bulbs &amp; Fixtures</w:t>
            </w:r>
          </w:p>
        </w:tc>
        <w:tc>
          <w:tcPr>
            <w:tcW w:w="760" w:type="pct"/>
            <w:tcBorders>
              <w:top w:val="none" w:sz="0" w:space="0" w:color="auto"/>
              <w:left w:val="none" w:sz="0" w:space="0" w:color="auto"/>
              <w:bottom w:val="none" w:sz="0" w:space="0" w:color="auto"/>
              <w:right w:val="none" w:sz="0" w:space="0" w:color="auto"/>
            </w:tcBorders>
          </w:tcPr>
          <w:p w14:paraId="6B36190D" w14:textId="5BD74A2E"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8862DB">
              <w:t>100</w:t>
            </w:r>
            <w:r w:rsidR="0078163B">
              <w:t>,</w:t>
            </w:r>
            <w:r w:rsidRPr="008862DB">
              <w:t>145</w:t>
            </w:r>
          </w:p>
        </w:tc>
        <w:tc>
          <w:tcPr>
            <w:tcW w:w="902" w:type="pct"/>
            <w:tcBorders>
              <w:top w:val="none" w:sz="0" w:space="0" w:color="auto"/>
              <w:left w:val="none" w:sz="0" w:space="0" w:color="auto"/>
              <w:bottom w:val="none" w:sz="0" w:space="0" w:color="auto"/>
              <w:right w:val="none" w:sz="0" w:space="0" w:color="auto"/>
            </w:tcBorders>
          </w:tcPr>
          <w:p w14:paraId="156BEA68" w14:textId="0AA16129"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8862DB">
              <w:t>28</w:t>
            </w:r>
            <w:r w:rsidR="0078163B">
              <w:t>,</w:t>
            </w:r>
            <w:r w:rsidRPr="008862DB">
              <w:t>169</w:t>
            </w:r>
          </w:p>
        </w:tc>
        <w:tc>
          <w:tcPr>
            <w:tcW w:w="776" w:type="pct"/>
            <w:tcBorders>
              <w:top w:val="none" w:sz="0" w:space="0" w:color="auto"/>
              <w:left w:val="none" w:sz="0" w:space="0" w:color="auto"/>
              <w:bottom w:val="none" w:sz="0" w:space="0" w:color="auto"/>
              <w:right w:val="none" w:sz="0" w:space="0" w:color="auto"/>
            </w:tcBorders>
          </w:tcPr>
          <w:p w14:paraId="680C53CC" w14:textId="539D097B"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8862DB">
              <w:t>4.40</w:t>
            </w:r>
          </w:p>
        </w:tc>
      </w:tr>
      <w:tr w:rsidR="005A472F" w14:paraId="2005521A"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1097FB02" w14:textId="6858DC9C" w:rsidR="005A472F" w:rsidRDefault="005A472F" w:rsidP="005A472F">
            <w:r>
              <w:t>Lighting Controls</w:t>
            </w:r>
          </w:p>
        </w:tc>
        <w:tc>
          <w:tcPr>
            <w:tcW w:w="760" w:type="pct"/>
            <w:tcBorders>
              <w:top w:val="none" w:sz="0" w:space="0" w:color="auto"/>
              <w:left w:val="none" w:sz="0" w:space="0" w:color="auto"/>
              <w:bottom w:val="none" w:sz="0" w:space="0" w:color="auto"/>
              <w:right w:val="none" w:sz="0" w:space="0" w:color="auto"/>
            </w:tcBorders>
          </w:tcPr>
          <w:p w14:paraId="5E67E470" w14:textId="6D45B647"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422581">
              <w:t>11</w:t>
            </w:r>
            <w:r w:rsidR="0078163B">
              <w:t>,</w:t>
            </w:r>
            <w:r w:rsidRPr="00422581">
              <w:t>848</w:t>
            </w:r>
          </w:p>
        </w:tc>
        <w:tc>
          <w:tcPr>
            <w:tcW w:w="902" w:type="pct"/>
            <w:tcBorders>
              <w:top w:val="none" w:sz="0" w:space="0" w:color="auto"/>
              <w:left w:val="none" w:sz="0" w:space="0" w:color="auto"/>
              <w:bottom w:val="none" w:sz="0" w:space="0" w:color="auto"/>
              <w:right w:val="none" w:sz="0" w:space="0" w:color="auto"/>
            </w:tcBorders>
          </w:tcPr>
          <w:p w14:paraId="52B3934C" w14:textId="6C1915F8"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422581">
              <w:t>2</w:t>
            </w:r>
            <w:r w:rsidR="0078163B">
              <w:t>,</w:t>
            </w:r>
            <w:r w:rsidRPr="00422581">
              <w:t>604</w:t>
            </w:r>
          </w:p>
        </w:tc>
        <w:tc>
          <w:tcPr>
            <w:tcW w:w="776" w:type="pct"/>
            <w:tcBorders>
              <w:top w:val="none" w:sz="0" w:space="0" w:color="auto"/>
              <w:left w:val="none" w:sz="0" w:space="0" w:color="auto"/>
              <w:bottom w:val="none" w:sz="0" w:space="0" w:color="auto"/>
              <w:right w:val="none" w:sz="0" w:space="0" w:color="auto"/>
            </w:tcBorders>
          </w:tcPr>
          <w:p w14:paraId="4E26B90E" w14:textId="6DB997E8"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422581">
              <w:t>0.55</w:t>
            </w:r>
          </w:p>
        </w:tc>
      </w:tr>
      <w:tr w:rsidR="005A472F" w14:paraId="4FF16F83"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072B719C" w14:textId="29FF97AF" w:rsidR="005A472F" w:rsidRDefault="005A472F" w:rsidP="005A472F">
            <w:r>
              <w:t>ECMs for Walk-in and Reach-in Coolers/Freezers</w:t>
            </w:r>
          </w:p>
        </w:tc>
        <w:tc>
          <w:tcPr>
            <w:tcW w:w="760" w:type="pct"/>
            <w:tcBorders>
              <w:top w:val="none" w:sz="0" w:space="0" w:color="auto"/>
              <w:left w:val="none" w:sz="0" w:space="0" w:color="auto"/>
              <w:bottom w:val="none" w:sz="0" w:space="0" w:color="auto"/>
              <w:right w:val="none" w:sz="0" w:space="0" w:color="auto"/>
            </w:tcBorders>
          </w:tcPr>
          <w:p w14:paraId="56EA86BD" w14:textId="1BAFFD09"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2F6F7B">
              <w:t>475</w:t>
            </w:r>
          </w:p>
        </w:tc>
        <w:tc>
          <w:tcPr>
            <w:tcW w:w="902" w:type="pct"/>
            <w:tcBorders>
              <w:top w:val="none" w:sz="0" w:space="0" w:color="auto"/>
              <w:left w:val="none" w:sz="0" w:space="0" w:color="auto"/>
              <w:bottom w:val="none" w:sz="0" w:space="0" w:color="auto"/>
              <w:right w:val="none" w:sz="0" w:space="0" w:color="auto"/>
            </w:tcBorders>
          </w:tcPr>
          <w:p w14:paraId="7E3FF1F3" w14:textId="498B06AE"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2F6F7B">
              <w:t>568</w:t>
            </w:r>
          </w:p>
        </w:tc>
        <w:tc>
          <w:tcPr>
            <w:tcW w:w="776" w:type="pct"/>
            <w:tcBorders>
              <w:top w:val="none" w:sz="0" w:space="0" w:color="auto"/>
              <w:left w:val="none" w:sz="0" w:space="0" w:color="auto"/>
              <w:bottom w:val="none" w:sz="0" w:space="0" w:color="auto"/>
              <w:right w:val="none" w:sz="0" w:space="0" w:color="auto"/>
            </w:tcBorders>
          </w:tcPr>
          <w:p w14:paraId="7631E9B1" w14:textId="758C14D4" w:rsidR="005A472F" w:rsidRDefault="005A472F" w:rsidP="002B5E4A">
            <w:pPr>
              <w:jc w:val="right"/>
              <w:cnfStyle w:val="000000010000" w:firstRow="0" w:lastRow="0" w:firstColumn="0" w:lastColumn="0" w:oddVBand="0" w:evenVBand="0" w:oddHBand="0" w:evenHBand="1" w:firstRowFirstColumn="0" w:firstRowLastColumn="0" w:lastRowFirstColumn="0" w:lastRowLastColumn="0"/>
            </w:pPr>
            <w:r w:rsidRPr="002F6F7B">
              <w:t>0.06</w:t>
            </w:r>
          </w:p>
        </w:tc>
      </w:tr>
      <w:tr w:rsidR="005A472F" w14:paraId="56C63DDF"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7C4FCD87" w14:textId="4BFA7151" w:rsidR="005A472F" w:rsidRDefault="005A472F" w:rsidP="005A472F">
            <w:r>
              <w:t>Fluorescent Delamping</w:t>
            </w:r>
          </w:p>
        </w:tc>
        <w:tc>
          <w:tcPr>
            <w:tcW w:w="760" w:type="pct"/>
            <w:tcBorders>
              <w:top w:val="none" w:sz="0" w:space="0" w:color="auto"/>
              <w:left w:val="none" w:sz="0" w:space="0" w:color="auto"/>
              <w:bottom w:val="none" w:sz="0" w:space="0" w:color="auto"/>
              <w:right w:val="none" w:sz="0" w:space="0" w:color="auto"/>
            </w:tcBorders>
          </w:tcPr>
          <w:p w14:paraId="5AA9E0B4" w14:textId="2E221BBC"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504239">
              <w:t>819</w:t>
            </w:r>
          </w:p>
        </w:tc>
        <w:tc>
          <w:tcPr>
            <w:tcW w:w="902" w:type="pct"/>
            <w:tcBorders>
              <w:top w:val="none" w:sz="0" w:space="0" w:color="auto"/>
              <w:left w:val="none" w:sz="0" w:space="0" w:color="auto"/>
              <w:bottom w:val="none" w:sz="0" w:space="0" w:color="auto"/>
              <w:right w:val="none" w:sz="0" w:space="0" w:color="auto"/>
            </w:tcBorders>
          </w:tcPr>
          <w:p w14:paraId="421E310F" w14:textId="6D8ED210"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504239">
              <w:t>107</w:t>
            </w:r>
          </w:p>
        </w:tc>
        <w:tc>
          <w:tcPr>
            <w:tcW w:w="776" w:type="pct"/>
            <w:tcBorders>
              <w:top w:val="none" w:sz="0" w:space="0" w:color="auto"/>
              <w:left w:val="none" w:sz="0" w:space="0" w:color="auto"/>
              <w:bottom w:val="none" w:sz="0" w:space="0" w:color="auto"/>
              <w:right w:val="none" w:sz="0" w:space="0" w:color="auto"/>
            </w:tcBorders>
          </w:tcPr>
          <w:p w14:paraId="1B4CD3DC" w14:textId="1B1D96B1" w:rsidR="005A472F" w:rsidRDefault="005A472F" w:rsidP="002B5E4A">
            <w:pPr>
              <w:jc w:val="right"/>
              <w:cnfStyle w:val="000000100000" w:firstRow="0" w:lastRow="0" w:firstColumn="0" w:lastColumn="0" w:oddVBand="0" w:evenVBand="0" w:oddHBand="1" w:evenHBand="0" w:firstRowFirstColumn="0" w:firstRowLastColumn="0" w:lastRowFirstColumn="0" w:lastRowLastColumn="0"/>
            </w:pPr>
            <w:r w:rsidRPr="00504239">
              <w:t>0.02</w:t>
            </w:r>
          </w:p>
        </w:tc>
      </w:tr>
      <w:tr w:rsidR="002C4108" w14:paraId="5814C63B"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6C008A5B" w14:textId="4801F0F4" w:rsidR="002C4108" w:rsidRDefault="002C4108" w:rsidP="002C4108">
            <w:r>
              <w:t>Evaporator Fan Control for ECMs</w:t>
            </w:r>
          </w:p>
        </w:tc>
        <w:tc>
          <w:tcPr>
            <w:tcW w:w="760" w:type="pct"/>
            <w:tcBorders>
              <w:top w:val="none" w:sz="0" w:space="0" w:color="auto"/>
              <w:left w:val="none" w:sz="0" w:space="0" w:color="auto"/>
              <w:bottom w:val="none" w:sz="0" w:space="0" w:color="auto"/>
              <w:right w:val="none" w:sz="0" w:space="0" w:color="auto"/>
            </w:tcBorders>
          </w:tcPr>
          <w:p w14:paraId="6BC8BED1" w14:textId="0D8597A3" w:rsidR="002C4108" w:rsidRPr="00504239"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1D7871">
              <w:t>51</w:t>
            </w:r>
          </w:p>
        </w:tc>
        <w:tc>
          <w:tcPr>
            <w:tcW w:w="902" w:type="pct"/>
            <w:tcBorders>
              <w:top w:val="none" w:sz="0" w:space="0" w:color="auto"/>
              <w:left w:val="none" w:sz="0" w:space="0" w:color="auto"/>
              <w:bottom w:val="none" w:sz="0" w:space="0" w:color="auto"/>
              <w:right w:val="none" w:sz="0" w:space="0" w:color="auto"/>
            </w:tcBorders>
          </w:tcPr>
          <w:p w14:paraId="0F4D3836" w14:textId="5916F745" w:rsidR="002C4108" w:rsidRPr="00504239"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1D7871">
              <w:t>47</w:t>
            </w:r>
          </w:p>
        </w:tc>
        <w:tc>
          <w:tcPr>
            <w:tcW w:w="776" w:type="pct"/>
            <w:tcBorders>
              <w:top w:val="none" w:sz="0" w:space="0" w:color="auto"/>
              <w:left w:val="none" w:sz="0" w:space="0" w:color="auto"/>
              <w:bottom w:val="none" w:sz="0" w:space="0" w:color="auto"/>
              <w:right w:val="none" w:sz="0" w:space="0" w:color="auto"/>
            </w:tcBorders>
          </w:tcPr>
          <w:p w14:paraId="207232D5" w14:textId="6118EE9A" w:rsidR="002C4108" w:rsidRPr="00504239"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1D7871">
              <w:t>0.01</w:t>
            </w:r>
          </w:p>
        </w:tc>
      </w:tr>
      <w:tr w:rsidR="002C4108" w14:paraId="2F54350F"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4F6E229A" w14:textId="6F107AA4" w:rsidR="002C4108" w:rsidRDefault="002C4108" w:rsidP="002C4108">
            <w:r>
              <w:t>LED Exit Signs</w:t>
            </w:r>
          </w:p>
        </w:tc>
        <w:tc>
          <w:tcPr>
            <w:tcW w:w="760" w:type="pct"/>
            <w:tcBorders>
              <w:top w:val="none" w:sz="0" w:space="0" w:color="auto"/>
              <w:left w:val="none" w:sz="0" w:space="0" w:color="auto"/>
              <w:bottom w:val="none" w:sz="0" w:space="0" w:color="auto"/>
              <w:right w:val="none" w:sz="0" w:space="0" w:color="auto"/>
            </w:tcBorders>
          </w:tcPr>
          <w:p w14:paraId="552CD062" w14:textId="71A889BF" w:rsidR="002C4108"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A0126B">
              <w:t>189</w:t>
            </w:r>
          </w:p>
        </w:tc>
        <w:tc>
          <w:tcPr>
            <w:tcW w:w="902" w:type="pct"/>
            <w:tcBorders>
              <w:top w:val="none" w:sz="0" w:space="0" w:color="auto"/>
              <w:left w:val="none" w:sz="0" w:space="0" w:color="auto"/>
              <w:bottom w:val="none" w:sz="0" w:space="0" w:color="auto"/>
              <w:right w:val="none" w:sz="0" w:space="0" w:color="auto"/>
            </w:tcBorders>
          </w:tcPr>
          <w:p w14:paraId="3343202F" w14:textId="69B94BDC" w:rsidR="002C4108"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A0126B">
              <w:t>38</w:t>
            </w:r>
          </w:p>
        </w:tc>
        <w:tc>
          <w:tcPr>
            <w:tcW w:w="776" w:type="pct"/>
            <w:tcBorders>
              <w:top w:val="none" w:sz="0" w:space="0" w:color="auto"/>
              <w:left w:val="none" w:sz="0" w:space="0" w:color="auto"/>
              <w:bottom w:val="none" w:sz="0" w:space="0" w:color="auto"/>
              <w:right w:val="none" w:sz="0" w:space="0" w:color="auto"/>
            </w:tcBorders>
          </w:tcPr>
          <w:p w14:paraId="31368A16" w14:textId="04A03149" w:rsidR="002C4108"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A0126B">
              <w:t>0.01</w:t>
            </w:r>
          </w:p>
        </w:tc>
      </w:tr>
      <w:tr w:rsidR="002C4108" w14:paraId="53278725"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22C509EE" w14:textId="6DD8E58E" w:rsidR="002C4108" w:rsidRDefault="002C4108" w:rsidP="002C4108">
            <w:r>
              <w:t>Automatic Door Closer for Walk-in Coolers and Freezers</w:t>
            </w:r>
          </w:p>
        </w:tc>
        <w:tc>
          <w:tcPr>
            <w:tcW w:w="760" w:type="pct"/>
            <w:tcBorders>
              <w:top w:val="none" w:sz="0" w:space="0" w:color="auto"/>
              <w:left w:val="none" w:sz="0" w:space="0" w:color="auto"/>
              <w:bottom w:val="none" w:sz="0" w:space="0" w:color="auto"/>
              <w:right w:val="none" w:sz="0" w:space="0" w:color="auto"/>
            </w:tcBorders>
          </w:tcPr>
          <w:p w14:paraId="25E0D7BD" w14:textId="7313DE7E" w:rsidR="002C4108"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E376B1">
              <w:t>6</w:t>
            </w:r>
          </w:p>
        </w:tc>
        <w:tc>
          <w:tcPr>
            <w:tcW w:w="902" w:type="pct"/>
            <w:tcBorders>
              <w:top w:val="none" w:sz="0" w:space="0" w:color="auto"/>
              <w:left w:val="none" w:sz="0" w:space="0" w:color="auto"/>
              <w:bottom w:val="none" w:sz="0" w:space="0" w:color="auto"/>
              <w:right w:val="none" w:sz="0" w:space="0" w:color="auto"/>
            </w:tcBorders>
          </w:tcPr>
          <w:p w14:paraId="3DC13DE9" w14:textId="5C4B8E7E" w:rsidR="002C4108"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E376B1">
              <w:t>14</w:t>
            </w:r>
          </w:p>
        </w:tc>
        <w:tc>
          <w:tcPr>
            <w:tcW w:w="776" w:type="pct"/>
            <w:tcBorders>
              <w:top w:val="none" w:sz="0" w:space="0" w:color="auto"/>
              <w:left w:val="none" w:sz="0" w:space="0" w:color="auto"/>
              <w:bottom w:val="none" w:sz="0" w:space="0" w:color="auto"/>
              <w:right w:val="none" w:sz="0" w:space="0" w:color="auto"/>
            </w:tcBorders>
          </w:tcPr>
          <w:p w14:paraId="3970DBBA" w14:textId="59A66864" w:rsidR="002C4108"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E376B1">
              <w:t>0.00</w:t>
            </w:r>
          </w:p>
        </w:tc>
      </w:tr>
      <w:tr w:rsidR="002C4108" w14:paraId="3E77279C"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4C844229" w14:textId="1F7CD3E5" w:rsidR="002C4108" w:rsidRPr="004E14E5" w:rsidRDefault="002C4108" w:rsidP="002C4108">
            <w:r>
              <w:rPr>
                <w:i/>
                <w:iCs/>
              </w:rPr>
              <w:t>Private Sector Subtotal</w:t>
            </w:r>
          </w:p>
        </w:tc>
        <w:tc>
          <w:tcPr>
            <w:tcW w:w="760" w:type="pct"/>
            <w:tcBorders>
              <w:top w:val="none" w:sz="0" w:space="0" w:color="auto"/>
              <w:left w:val="none" w:sz="0" w:space="0" w:color="auto"/>
              <w:bottom w:val="none" w:sz="0" w:space="0" w:color="auto"/>
              <w:right w:val="none" w:sz="0" w:space="0" w:color="auto"/>
            </w:tcBorders>
          </w:tcPr>
          <w:p w14:paraId="3B0CE22F" w14:textId="5D6B670D"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113,533</w:t>
            </w:r>
          </w:p>
        </w:tc>
        <w:tc>
          <w:tcPr>
            <w:tcW w:w="902" w:type="pct"/>
            <w:tcBorders>
              <w:top w:val="none" w:sz="0" w:space="0" w:color="auto"/>
              <w:left w:val="none" w:sz="0" w:space="0" w:color="auto"/>
              <w:bottom w:val="none" w:sz="0" w:space="0" w:color="auto"/>
              <w:right w:val="none" w:sz="0" w:space="0" w:color="auto"/>
            </w:tcBorders>
          </w:tcPr>
          <w:p w14:paraId="784DEDC0" w14:textId="3C2887A2"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31,548</w:t>
            </w:r>
          </w:p>
        </w:tc>
        <w:tc>
          <w:tcPr>
            <w:tcW w:w="776" w:type="pct"/>
            <w:tcBorders>
              <w:top w:val="none" w:sz="0" w:space="0" w:color="auto"/>
              <w:left w:val="none" w:sz="0" w:space="0" w:color="auto"/>
              <w:bottom w:val="none" w:sz="0" w:space="0" w:color="auto"/>
              <w:right w:val="none" w:sz="0" w:space="0" w:color="auto"/>
            </w:tcBorders>
          </w:tcPr>
          <w:p w14:paraId="60A6E64B" w14:textId="3B7E762B"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5.05</w:t>
            </w:r>
          </w:p>
        </w:tc>
      </w:tr>
      <w:tr w:rsidR="002C4108" w14:paraId="1527DAB0"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1FA9E1" w:themeFill="accent3"/>
          </w:tcPr>
          <w:p w14:paraId="3223740D" w14:textId="60C94C17" w:rsidR="002C4108" w:rsidRPr="005A472F" w:rsidRDefault="002C4108" w:rsidP="002C4108">
            <w:pPr>
              <w:rPr>
                <w:rFonts w:asciiTheme="majorHAnsi" w:hAnsiTheme="majorHAnsi"/>
                <w:color w:val="FFFFFF" w:themeColor="background1"/>
                <w:vertAlign w:val="superscript"/>
              </w:rPr>
            </w:pPr>
            <w:r w:rsidRPr="005A472F">
              <w:rPr>
                <w:rFonts w:asciiTheme="majorHAnsi" w:hAnsiTheme="majorHAnsi"/>
                <w:color w:val="FFFFFF" w:themeColor="background1"/>
              </w:rPr>
              <w:t>Public Sector</w:t>
            </w:r>
            <w:r>
              <w:rPr>
                <w:rFonts w:asciiTheme="majorHAnsi" w:hAnsiTheme="majorHAnsi"/>
                <w:color w:val="FFFFFF" w:themeColor="background1"/>
                <w:vertAlign w:val="superscript"/>
              </w:rPr>
              <w:t>a</w:t>
            </w:r>
          </w:p>
        </w:tc>
      </w:tr>
      <w:tr w:rsidR="002C4108" w14:paraId="6A426F84"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126FE43A" w14:textId="78871313" w:rsidR="002C4108" w:rsidRPr="007367A8" w:rsidRDefault="002C4108" w:rsidP="002C4108">
            <w:r>
              <w:t>LED Bulbs &amp; Fixtures</w:t>
            </w:r>
          </w:p>
        </w:tc>
        <w:tc>
          <w:tcPr>
            <w:tcW w:w="760" w:type="pct"/>
            <w:tcBorders>
              <w:top w:val="none" w:sz="0" w:space="0" w:color="auto"/>
              <w:left w:val="none" w:sz="0" w:space="0" w:color="auto"/>
              <w:bottom w:val="none" w:sz="0" w:space="0" w:color="auto"/>
              <w:right w:val="none" w:sz="0" w:space="0" w:color="auto"/>
            </w:tcBorders>
          </w:tcPr>
          <w:p w14:paraId="4FE1A50C" w14:textId="266EAD64" w:rsidR="002C4108" w:rsidRPr="005A472F"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5C6149">
              <w:t>21</w:t>
            </w:r>
            <w:r>
              <w:t>,</w:t>
            </w:r>
            <w:r w:rsidRPr="005C6149">
              <w:t>243</w:t>
            </w:r>
          </w:p>
        </w:tc>
        <w:tc>
          <w:tcPr>
            <w:tcW w:w="902" w:type="pct"/>
            <w:tcBorders>
              <w:top w:val="none" w:sz="0" w:space="0" w:color="auto"/>
              <w:left w:val="none" w:sz="0" w:space="0" w:color="auto"/>
              <w:bottom w:val="none" w:sz="0" w:space="0" w:color="auto"/>
              <w:right w:val="none" w:sz="0" w:space="0" w:color="auto"/>
            </w:tcBorders>
          </w:tcPr>
          <w:p w14:paraId="1E85A73C" w14:textId="196CAE27" w:rsidR="002C4108" w:rsidRPr="005A472F"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5C6149">
              <w:t>3</w:t>
            </w:r>
            <w:r>
              <w:t>,</w:t>
            </w:r>
            <w:r w:rsidRPr="005C6149">
              <w:t>082</w:t>
            </w:r>
          </w:p>
        </w:tc>
        <w:tc>
          <w:tcPr>
            <w:tcW w:w="776" w:type="pct"/>
            <w:tcBorders>
              <w:top w:val="none" w:sz="0" w:space="0" w:color="auto"/>
              <w:left w:val="none" w:sz="0" w:space="0" w:color="auto"/>
              <w:bottom w:val="none" w:sz="0" w:space="0" w:color="auto"/>
              <w:right w:val="none" w:sz="0" w:space="0" w:color="auto"/>
            </w:tcBorders>
          </w:tcPr>
          <w:p w14:paraId="086D7587" w14:textId="5B21DA86" w:rsidR="002C4108" w:rsidRPr="005A472F"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5C6149">
              <w:t>0.60</w:t>
            </w:r>
          </w:p>
        </w:tc>
      </w:tr>
      <w:tr w:rsidR="002C4108" w14:paraId="7307DC1A"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11BD12FE" w14:textId="7DECB3B9" w:rsidR="002C4108" w:rsidRPr="007367A8" w:rsidRDefault="002C4108" w:rsidP="002C4108">
            <w:r>
              <w:t>Lighting Controls</w:t>
            </w:r>
          </w:p>
        </w:tc>
        <w:tc>
          <w:tcPr>
            <w:tcW w:w="760" w:type="pct"/>
            <w:tcBorders>
              <w:top w:val="none" w:sz="0" w:space="0" w:color="auto"/>
              <w:left w:val="none" w:sz="0" w:space="0" w:color="auto"/>
              <w:bottom w:val="none" w:sz="0" w:space="0" w:color="auto"/>
              <w:right w:val="none" w:sz="0" w:space="0" w:color="auto"/>
            </w:tcBorders>
          </w:tcPr>
          <w:p w14:paraId="77385132" w14:textId="7EFEA8DF" w:rsidR="002C4108" w:rsidRPr="005A472F"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9863B2">
              <w:t>2</w:t>
            </w:r>
            <w:r>
              <w:t>,</w:t>
            </w:r>
            <w:r w:rsidRPr="009863B2">
              <w:t>750</w:t>
            </w:r>
          </w:p>
        </w:tc>
        <w:tc>
          <w:tcPr>
            <w:tcW w:w="902" w:type="pct"/>
            <w:tcBorders>
              <w:top w:val="none" w:sz="0" w:space="0" w:color="auto"/>
              <w:left w:val="none" w:sz="0" w:space="0" w:color="auto"/>
              <w:bottom w:val="none" w:sz="0" w:space="0" w:color="auto"/>
              <w:right w:val="none" w:sz="0" w:space="0" w:color="auto"/>
            </w:tcBorders>
          </w:tcPr>
          <w:p w14:paraId="468FDD48" w14:textId="39FD72D6" w:rsidR="002C4108" w:rsidRPr="005A472F"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9863B2">
              <w:t>388</w:t>
            </w:r>
          </w:p>
        </w:tc>
        <w:tc>
          <w:tcPr>
            <w:tcW w:w="776" w:type="pct"/>
            <w:tcBorders>
              <w:top w:val="none" w:sz="0" w:space="0" w:color="auto"/>
              <w:left w:val="none" w:sz="0" w:space="0" w:color="auto"/>
              <w:bottom w:val="none" w:sz="0" w:space="0" w:color="auto"/>
              <w:right w:val="none" w:sz="0" w:space="0" w:color="auto"/>
            </w:tcBorders>
          </w:tcPr>
          <w:p w14:paraId="1828DF36" w14:textId="4B2B5CC6" w:rsidR="002C4108" w:rsidRPr="005A472F"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9863B2">
              <w:t>0.10</w:t>
            </w:r>
          </w:p>
        </w:tc>
      </w:tr>
      <w:tr w:rsidR="002C4108" w14:paraId="298121A7"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330727E8" w14:textId="1877D7D7" w:rsidR="002C4108" w:rsidRPr="007367A8" w:rsidRDefault="002C4108" w:rsidP="002C4108">
            <w:r>
              <w:t>LED Exit Signs</w:t>
            </w:r>
          </w:p>
        </w:tc>
        <w:tc>
          <w:tcPr>
            <w:tcW w:w="760" w:type="pct"/>
            <w:tcBorders>
              <w:top w:val="none" w:sz="0" w:space="0" w:color="auto"/>
              <w:left w:val="none" w:sz="0" w:space="0" w:color="auto"/>
              <w:bottom w:val="none" w:sz="0" w:space="0" w:color="auto"/>
              <w:right w:val="none" w:sz="0" w:space="0" w:color="auto"/>
            </w:tcBorders>
          </w:tcPr>
          <w:p w14:paraId="7B633CA6" w14:textId="28E73792" w:rsidR="002C4108" w:rsidRPr="005A472F"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2D608C">
              <w:t>114</w:t>
            </w:r>
          </w:p>
        </w:tc>
        <w:tc>
          <w:tcPr>
            <w:tcW w:w="902" w:type="pct"/>
            <w:tcBorders>
              <w:top w:val="none" w:sz="0" w:space="0" w:color="auto"/>
              <w:left w:val="none" w:sz="0" w:space="0" w:color="auto"/>
              <w:bottom w:val="none" w:sz="0" w:space="0" w:color="auto"/>
              <w:right w:val="none" w:sz="0" w:space="0" w:color="auto"/>
            </w:tcBorders>
          </w:tcPr>
          <w:p w14:paraId="291AB2E1" w14:textId="494B98A8" w:rsidR="002C4108" w:rsidRPr="005A472F"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2D608C">
              <w:t>9</w:t>
            </w:r>
          </w:p>
        </w:tc>
        <w:tc>
          <w:tcPr>
            <w:tcW w:w="776" w:type="pct"/>
            <w:tcBorders>
              <w:top w:val="none" w:sz="0" w:space="0" w:color="auto"/>
              <w:left w:val="none" w:sz="0" w:space="0" w:color="auto"/>
              <w:bottom w:val="none" w:sz="0" w:space="0" w:color="auto"/>
              <w:right w:val="none" w:sz="0" w:space="0" w:color="auto"/>
            </w:tcBorders>
          </w:tcPr>
          <w:p w14:paraId="004D1DE9" w14:textId="6D3D0363" w:rsidR="002C4108" w:rsidRPr="005A472F" w:rsidRDefault="005C3EDE" w:rsidP="002B5E4A">
            <w:pPr>
              <w:jc w:val="right"/>
              <w:cnfStyle w:val="000000100000" w:firstRow="0" w:lastRow="0" w:firstColumn="0" w:lastColumn="0" w:oddVBand="0" w:evenVBand="0" w:oddHBand="1" w:evenHBand="0" w:firstRowFirstColumn="0" w:firstRowLastColumn="0" w:lastRowFirstColumn="0" w:lastRowLastColumn="0"/>
            </w:pPr>
            <w:r>
              <w:t>&lt;</w:t>
            </w:r>
            <w:r w:rsidR="002C4108" w:rsidRPr="002D608C">
              <w:t>0.0</w:t>
            </w:r>
            <w:r>
              <w:t>1</w:t>
            </w:r>
          </w:p>
        </w:tc>
      </w:tr>
      <w:tr w:rsidR="002C4108" w14:paraId="100AC5D9"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59F4CB60" w14:textId="40901233" w:rsidR="002C4108" w:rsidRPr="007367A8" w:rsidRDefault="002C4108" w:rsidP="002C4108">
            <w:pPr>
              <w:rPr>
                <w:i/>
                <w:iCs/>
              </w:rPr>
            </w:pPr>
            <w:r>
              <w:rPr>
                <w:i/>
                <w:iCs/>
              </w:rPr>
              <w:t>Public Sector Subtotal</w:t>
            </w:r>
          </w:p>
        </w:tc>
        <w:tc>
          <w:tcPr>
            <w:tcW w:w="760" w:type="pct"/>
            <w:tcBorders>
              <w:top w:val="none" w:sz="0" w:space="0" w:color="auto"/>
              <w:left w:val="none" w:sz="0" w:space="0" w:color="auto"/>
              <w:bottom w:val="none" w:sz="0" w:space="0" w:color="auto"/>
              <w:right w:val="none" w:sz="0" w:space="0" w:color="auto"/>
            </w:tcBorders>
          </w:tcPr>
          <w:p w14:paraId="50353F93" w14:textId="4276044D"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24,107</w:t>
            </w:r>
          </w:p>
        </w:tc>
        <w:tc>
          <w:tcPr>
            <w:tcW w:w="902" w:type="pct"/>
            <w:tcBorders>
              <w:top w:val="none" w:sz="0" w:space="0" w:color="auto"/>
              <w:left w:val="none" w:sz="0" w:space="0" w:color="auto"/>
              <w:bottom w:val="none" w:sz="0" w:space="0" w:color="auto"/>
              <w:right w:val="none" w:sz="0" w:space="0" w:color="auto"/>
            </w:tcBorders>
          </w:tcPr>
          <w:p w14:paraId="25D4B914" w14:textId="1493ED1F"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3,479</w:t>
            </w:r>
          </w:p>
        </w:tc>
        <w:tc>
          <w:tcPr>
            <w:tcW w:w="776" w:type="pct"/>
            <w:tcBorders>
              <w:top w:val="none" w:sz="0" w:space="0" w:color="auto"/>
              <w:left w:val="none" w:sz="0" w:space="0" w:color="auto"/>
              <w:bottom w:val="none" w:sz="0" w:space="0" w:color="auto"/>
              <w:right w:val="none" w:sz="0" w:space="0" w:color="auto"/>
            </w:tcBorders>
          </w:tcPr>
          <w:p w14:paraId="6CCD0376" w14:textId="3DB90650"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0.70</w:t>
            </w:r>
          </w:p>
        </w:tc>
      </w:tr>
      <w:tr w:rsidR="002C4108" w14:paraId="6A5DDA06"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62" w:type="pct"/>
            <w:tcBorders>
              <w:top w:val="none" w:sz="0" w:space="0" w:color="auto"/>
              <w:left w:val="none" w:sz="0" w:space="0" w:color="auto"/>
              <w:bottom w:val="none" w:sz="0" w:space="0" w:color="auto"/>
              <w:right w:val="none" w:sz="0" w:space="0" w:color="auto"/>
            </w:tcBorders>
          </w:tcPr>
          <w:p w14:paraId="5A4D34A0" w14:textId="77777777" w:rsidR="002C4108" w:rsidRPr="00C11F4E" w:rsidRDefault="002C4108" w:rsidP="002C4108">
            <w:pPr>
              <w:rPr>
                <w:rFonts w:ascii="Franklin Gothic Medium" w:hAnsi="Franklin Gothic Medium"/>
              </w:rPr>
            </w:pPr>
            <w:r w:rsidRPr="00C11F4E">
              <w:rPr>
                <w:rFonts w:ascii="Franklin Gothic Medium" w:hAnsi="Franklin Gothic Medium"/>
              </w:rPr>
              <w:t>Total</w:t>
            </w:r>
          </w:p>
        </w:tc>
        <w:tc>
          <w:tcPr>
            <w:tcW w:w="760" w:type="pct"/>
            <w:tcBorders>
              <w:top w:val="none" w:sz="0" w:space="0" w:color="auto"/>
              <w:left w:val="none" w:sz="0" w:space="0" w:color="auto"/>
              <w:bottom w:val="none" w:sz="0" w:space="0" w:color="auto"/>
              <w:right w:val="none" w:sz="0" w:space="0" w:color="auto"/>
            </w:tcBorders>
          </w:tcPr>
          <w:p w14:paraId="21566B5C" w14:textId="532DF68C" w:rsidR="002C4108" w:rsidRPr="00C11F4E"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137,640</w:t>
            </w:r>
          </w:p>
        </w:tc>
        <w:tc>
          <w:tcPr>
            <w:tcW w:w="902" w:type="pct"/>
            <w:tcBorders>
              <w:top w:val="none" w:sz="0" w:space="0" w:color="auto"/>
              <w:left w:val="none" w:sz="0" w:space="0" w:color="auto"/>
              <w:bottom w:val="none" w:sz="0" w:space="0" w:color="auto"/>
              <w:right w:val="none" w:sz="0" w:space="0" w:color="auto"/>
            </w:tcBorders>
          </w:tcPr>
          <w:p w14:paraId="0B617A8C" w14:textId="057A2290" w:rsidR="002C4108" w:rsidRPr="00C11F4E"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35,027</w:t>
            </w:r>
          </w:p>
        </w:tc>
        <w:tc>
          <w:tcPr>
            <w:tcW w:w="776" w:type="pct"/>
            <w:tcBorders>
              <w:top w:val="none" w:sz="0" w:space="0" w:color="auto"/>
              <w:left w:val="none" w:sz="0" w:space="0" w:color="auto"/>
              <w:bottom w:val="none" w:sz="0" w:space="0" w:color="auto"/>
              <w:right w:val="none" w:sz="0" w:space="0" w:color="auto"/>
            </w:tcBorders>
          </w:tcPr>
          <w:p w14:paraId="35A70355" w14:textId="5181511C" w:rsidR="002C4108" w:rsidRPr="00C11F4E"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C11F4E">
              <w:rPr>
                <w:rFonts w:ascii="Franklin Gothic Medium" w:hAnsi="Franklin Gothic Medium"/>
              </w:rPr>
              <w:t>5.75</w:t>
            </w:r>
          </w:p>
        </w:tc>
      </w:tr>
    </w:tbl>
    <w:p w14:paraId="7055237E" w14:textId="0F632505" w:rsidR="007367A8" w:rsidRDefault="007367A8" w:rsidP="00BC69D4">
      <w:pPr>
        <w:pStyle w:val="Source"/>
        <w:keepNext w:val="0"/>
        <w:keepLines w:val="0"/>
      </w:pPr>
      <w:r>
        <w:rPr>
          <w:vertAlign w:val="superscript"/>
        </w:rPr>
        <w:t>a</w:t>
      </w:r>
      <w:r w:rsidR="004B45E5">
        <w:rPr>
          <w:vertAlign w:val="superscript"/>
        </w:rPr>
        <w:t xml:space="preserve"> </w:t>
      </w:r>
      <w:r>
        <w:t xml:space="preserve">The project counts, measure counts, and ex ante savings values presented in the </w:t>
      </w:r>
      <w:r w:rsidR="00875F07">
        <w:t>Private Sector subsection of this table include State and Federal facilities</w:t>
      </w:r>
      <w:r w:rsidR="0074531F">
        <w:t>,</w:t>
      </w:r>
      <w:r w:rsidR="00875F07">
        <w:t xml:space="preserve"> as these facility types are not </w:t>
      </w:r>
      <w:r>
        <w:t>included in the list of customer types covered in the public sector minimum funding requirements in subsection (c) of 220 ILCS 5/8-103B and subsection (e) of 220 ILCS 5/8-104.</w:t>
      </w:r>
    </w:p>
    <w:p w14:paraId="5ABEF3A6" w14:textId="45E1ACF4" w:rsidR="007367A8" w:rsidRDefault="00756541" w:rsidP="00BC69D4">
      <w:pPr>
        <w:keepNext/>
        <w:keepLines/>
        <w:spacing w:before="240"/>
      </w:pPr>
      <w:r>
        <w:lastRenderedPageBreak/>
        <w:fldChar w:fldCharType="begin"/>
      </w:r>
      <w:r>
        <w:instrText xml:space="preserve"> REF _Ref190342479 \h </w:instrText>
      </w:r>
      <w:r>
        <w:fldChar w:fldCharType="separate"/>
      </w:r>
      <w:r w:rsidR="00AA10F4">
        <w:t xml:space="preserve">Figure </w:t>
      </w:r>
      <w:r w:rsidR="00AA10F4">
        <w:rPr>
          <w:noProof/>
        </w:rPr>
        <w:t>3</w:t>
      </w:r>
      <w:r>
        <w:fldChar w:fldCharType="end"/>
      </w:r>
      <w:r w:rsidR="007367A8">
        <w:t xml:space="preserve"> shows the distribution of SBD</w:t>
      </w:r>
      <w:r w:rsidR="000F414B">
        <w:t>I</w:t>
      </w:r>
      <w:r w:rsidR="007367A8">
        <w:t xml:space="preserve"> projects by facility type. </w:t>
      </w:r>
      <w:r w:rsidR="0074531F">
        <w:t>In 2024, r</w:t>
      </w:r>
      <w:r w:rsidR="007367A8" w:rsidRPr="00190EA3">
        <w:t>etail, office, and</w:t>
      </w:r>
      <w:r w:rsidR="00190EA3">
        <w:t xml:space="preserve"> religious </w:t>
      </w:r>
      <w:r w:rsidR="007367A8">
        <w:t xml:space="preserve">facilities were the most common </w:t>
      </w:r>
      <w:r w:rsidR="0074531F">
        <w:t>facility types</w:t>
      </w:r>
      <w:r w:rsidR="007367A8">
        <w:t xml:space="preserve"> treated </w:t>
      </w:r>
      <w:r w:rsidR="00882AB1">
        <w:t>through the</w:t>
      </w:r>
      <w:r w:rsidR="007367A8">
        <w:t xml:space="preserve"> channel. </w:t>
      </w:r>
    </w:p>
    <w:p w14:paraId="29EDC1FA" w14:textId="71C0277F" w:rsidR="00190EA3" w:rsidRDefault="00190EA3" w:rsidP="00881B1B">
      <w:pPr>
        <w:pStyle w:val="Caption"/>
      </w:pPr>
      <w:bookmarkStart w:id="252" w:name="_Ref190342479"/>
      <w:bookmarkStart w:id="253" w:name="_Toc191992649"/>
      <w:bookmarkStart w:id="254" w:name="_Toc192767065"/>
      <w:r>
        <w:t xml:space="preserve">Figure </w:t>
      </w:r>
      <w:r>
        <w:fldChar w:fldCharType="begin"/>
      </w:r>
      <w:r>
        <w:instrText xml:space="preserve"> SEQ Figure \* ARABIC </w:instrText>
      </w:r>
      <w:r>
        <w:fldChar w:fldCharType="separate"/>
      </w:r>
      <w:r w:rsidR="00AA10F4">
        <w:rPr>
          <w:noProof/>
        </w:rPr>
        <w:t>3</w:t>
      </w:r>
      <w:r>
        <w:fldChar w:fldCharType="end"/>
      </w:r>
      <w:bookmarkEnd w:id="252"/>
      <w:r>
        <w:t>. 2024 Small Business Direct Install Participation by Facility Type</w:t>
      </w:r>
      <w:bookmarkEnd w:id="253"/>
      <w:bookmarkEnd w:id="254"/>
    </w:p>
    <w:p w14:paraId="5BDA224A" w14:textId="7458B324" w:rsidR="00F12CF9" w:rsidRDefault="00F12CF9" w:rsidP="00F12CF9">
      <w:pPr>
        <w:pStyle w:val="Caption"/>
      </w:pPr>
      <w:r>
        <w:rPr>
          <w:noProof/>
        </w:rPr>
        <w:drawing>
          <wp:inline distT="0" distB="0" distL="0" distR="0" wp14:anchorId="0660F0D2" wp14:editId="7A77703F">
            <wp:extent cx="6952615" cy="3295538"/>
            <wp:effectExtent l="0" t="0" r="635" b="635"/>
            <wp:docPr id="15187532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a:extLst>
                        <a:ext uri="{28A0092B-C50C-407E-A947-70E740481C1C}">
                          <a14:useLocalDpi xmlns:a14="http://schemas.microsoft.com/office/drawing/2010/main" val="0"/>
                        </a:ext>
                      </a:extLst>
                    </a:blip>
                    <a:srcRect t="1914" b="3464"/>
                    <a:stretch/>
                  </pic:blipFill>
                  <pic:spPr bwMode="auto">
                    <a:xfrm>
                      <a:off x="0" y="0"/>
                      <a:ext cx="6960545" cy="3299297"/>
                    </a:xfrm>
                    <a:prstGeom prst="rect">
                      <a:avLst/>
                    </a:prstGeom>
                    <a:noFill/>
                    <a:ln>
                      <a:noFill/>
                    </a:ln>
                    <a:extLst>
                      <a:ext uri="{53640926-AAD7-44D8-BBD7-CCE9431645EC}">
                        <a14:shadowObscured xmlns:a14="http://schemas.microsoft.com/office/drawing/2010/main"/>
                      </a:ext>
                    </a:extLst>
                  </pic:spPr>
                </pic:pic>
              </a:graphicData>
            </a:graphic>
          </wp:inline>
        </w:drawing>
      </w:r>
    </w:p>
    <w:p w14:paraId="47C5087F" w14:textId="2FB8D5EF" w:rsidR="00882AB1" w:rsidRDefault="003D6449" w:rsidP="00C11F4E">
      <w:r>
        <w:fldChar w:fldCharType="begin"/>
      </w:r>
      <w:r>
        <w:instrText xml:space="preserve"> REF _Ref189128735 \h </w:instrText>
      </w:r>
      <w:r>
        <w:fldChar w:fldCharType="separate"/>
      </w:r>
      <w:r w:rsidR="00AA10F4">
        <w:t xml:space="preserve">Table </w:t>
      </w:r>
      <w:r w:rsidR="00AA10F4">
        <w:rPr>
          <w:noProof/>
        </w:rPr>
        <w:t>55</w:t>
      </w:r>
      <w:r>
        <w:fldChar w:fldCharType="end"/>
      </w:r>
      <w:r w:rsidR="00882AB1">
        <w:t xml:space="preserve"> presents information on </w:t>
      </w:r>
      <w:r w:rsidR="003F3F47">
        <w:t>Program Ally</w:t>
      </w:r>
      <w:r w:rsidR="00882AB1">
        <w:t xml:space="preserve"> participation in the channel. In total, </w:t>
      </w:r>
      <w:r w:rsidR="00180954">
        <w:t>94</w:t>
      </w:r>
      <w:r w:rsidR="00882AB1">
        <w:t xml:space="preserve"> </w:t>
      </w:r>
      <w:r w:rsidR="0074531F">
        <w:t xml:space="preserve">Program Allies </w:t>
      </w:r>
      <w:r w:rsidR="00882AB1">
        <w:t xml:space="preserve">participated in the channel in 2024, a </w:t>
      </w:r>
      <w:r w:rsidR="0097056A">
        <w:t>1</w:t>
      </w:r>
      <w:r w:rsidR="000F48C9">
        <w:t>4</w:t>
      </w:r>
      <w:r w:rsidR="00882AB1">
        <w:t xml:space="preserve">% decrease compared to the 107 program allies that participated in 2023. </w:t>
      </w:r>
      <w:r>
        <w:fldChar w:fldCharType="begin"/>
      </w:r>
      <w:r>
        <w:instrText xml:space="preserve"> REF _Ref189128735 \h </w:instrText>
      </w:r>
      <w:r>
        <w:fldChar w:fldCharType="separate"/>
      </w:r>
      <w:r w:rsidR="00AA10F4">
        <w:t xml:space="preserve">Table </w:t>
      </w:r>
      <w:r w:rsidR="00AA10F4">
        <w:rPr>
          <w:noProof/>
        </w:rPr>
        <w:t>55</w:t>
      </w:r>
      <w:r>
        <w:fldChar w:fldCharType="end"/>
      </w:r>
      <w:r w:rsidR="00882AB1">
        <w:t xml:space="preserve"> presents information on the </w:t>
      </w:r>
      <w:r w:rsidR="0097056A">
        <w:t>five</w:t>
      </w:r>
      <w:r w:rsidR="00882AB1">
        <w:t xml:space="preserve"> program allies most active in the channel in 2024. </w:t>
      </w:r>
    </w:p>
    <w:p w14:paraId="1ECDFF12" w14:textId="2D0FA851" w:rsidR="000F414B" w:rsidRDefault="000F414B" w:rsidP="00881B1B">
      <w:pPr>
        <w:pStyle w:val="Caption"/>
      </w:pPr>
      <w:bookmarkStart w:id="255" w:name="_Ref189128735"/>
      <w:bookmarkStart w:id="256" w:name="_Toc191992576"/>
      <w:bookmarkStart w:id="257" w:name="_Toc192766989"/>
      <w:r>
        <w:t xml:space="preserve">Table </w:t>
      </w:r>
      <w:r w:rsidR="009B4C9A">
        <w:fldChar w:fldCharType="begin"/>
      </w:r>
      <w:r w:rsidR="009B4C9A">
        <w:instrText xml:space="preserve"> SEQ Table \* ARABIC </w:instrText>
      </w:r>
      <w:r w:rsidR="009B4C9A">
        <w:fldChar w:fldCharType="separate"/>
      </w:r>
      <w:r w:rsidR="00AA10F4">
        <w:rPr>
          <w:noProof/>
        </w:rPr>
        <w:t>55</w:t>
      </w:r>
      <w:r w:rsidR="009B4C9A">
        <w:rPr>
          <w:noProof/>
        </w:rPr>
        <w:fldChar w:fldCharType="end"/>
      </w:r>
      <w:bookmarkEnd w:id="255"/>
      <w:r>
        <w:t>.</w:t>
      </w:r>
      <w:r w:rsidR="003D6449">
        <w:t xml:space="preserve"> 2024 Small Business Direct Install Channel Program Ally Participation Summary</w:t>
      </w:r>
      <w:bookmarkEnd w:id="256"/>
      <w:bookmarkEnd w:id="257"/>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tblGrid>
      <w:tr w:rsidR="000F414B" w14:paraId="1BE229A4" w14:textId="77777777" w:rsidTr="002B5E4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FBF0903" w14:textId="07CE601D" w:rsidR="000F414B" w:rsidRPr="00625570" w:rsidRDefault="003D6449" w:rsidP="001A2AF7">
            <w:pPr>
              <w:pStyle w:val="TableHeadingLeft"/>
            </w:pPr>
            <w:r>
              <w:t>Program Ally</w:t>
            </w:r>
          </w:p>
        </w:tc>
        <w:tc>
          <w:tcPr>
            <w:tcW w:w="1644" w:type="dxa"/>
            <w:tcBorders>
              <w:bottom w:val="none" w:sz="0" w:space="0" w:color="auto"/>
            </w:tcBorders>
          </w:tcPr>
          <w:p w14:paraId="3EC9B020" w14:textId="379173E6" w:rsidR="000F414B" w:rsidRPr="00625570" w:rsidRDefault="003D6449"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1644" w:type="dxa"/>
            <w:tcBorders>
              <w:bottom w:val="none" w:sz="0" w:space="0" w:color="auto"/>
            </w:tcBorders>
          </w:tcPr>
          <w:p w14:paraId="5A769503" w14:textId="10D21B9D" w:rsidR="000F414B" w:rsidRPr="00625570" w:rsidRDefault="003D6449"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 (n=</w:t>
            </w:r>
            <w:r w:rsidR="00180954">
              <w:t>1,285</w:t>
            </w:r>
            <w:r>
              <w:t>)</w:t>
            </w:r>
          </w:p>
        </w:tc>
      </w:tr>
      <w:tr w:rsidR="00180954" w14:paraId="1E4C7B15"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vAlign w:val="top"/>
          </w:tcPr>
          <w:p w14:paraId="4E6426CF" w14:textId="69B902D1" w:rsidR="00180954" w:rsidRPr="00625570" w:rsidRDefault="00180954" w:rsidP="00180954">
            <w:pPr>
              <w:pStyle w:val="TableLeftText"/>
            </w:pPr>
            <w:r w:rsidRPr="00B0138B">
              <w:t>Ally 1</w:t>
            </w:r>
            <w:r w:rsidR="000F48C9">
              <w:t>8</w:t>
            </w:r>
          </w:p>
        </w:tc>
        <w:tc>
          <w:tcPr>
            <w:tcW w:w="1644" w:type="dxa"/>
            <w:tcBorders>
              <w:top w:val="none" w:sz="0" w:space="0" w:color="auto"/>
              <w:left w:val="none" w:sz="0" w:space="0" w:color="auto"/>
              <w:bottom w:val="none" w:sz="0" w:space="0" w:color="auto"/>
              <w:right w:val="none" w:sz="0" w:space="0" w:color="auto"/>
            </w:tcBorders>
            <w:vAlign w:val="top"/>
          </w:tcPr>
          <w:p w14:paraId="7331AFCF" w14:textId="01983448"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263E92">
              <w:t>234</w:t>
            </w:r>
          </w:p>
        </w:tc>
        <w:tc>
          <w:tcPr>
            <w:tcW w:w="1644" w:type="dxa"/>
            <w:tcBorders>
              <w:top w:val="none" w:sz="0" w:space="0" w:color="auto"/>
              <w:left w:val="none" w:sz="0" w:space="0" w:color="auto"/>
              <w:bottom w:val="none" w:sz="0" w:space="0" w:color="auto"/>
              <w:right w:val="none" w:sz="0" w:space="0" w:color="auto"/>
            </w:tcBorders>
            <w:vAlign w:val="top"/>
          </w:tcPr>
          <w:p w14:paraId="54328585" w14:textId="20231EE7"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6F7ACC">
              <w:t>18%</w:t>
            </w:r>
          </w:p>
        </w:tc>
      </w:tr>
      <w:tr w:rsidR="00180954" w14:paraId="52FAE095"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vAlign w:val="top"/>
          </w:tcPr>
          <w:p w14:paraId="771A8B2C" w14:textId="23597394" w:rsidR="00180954" w:rsidRPr="00625570" w:rsidRDefault="00180954" w:rsidP="00180954">
            <w:pPr>
              <w:pStyle w:val="TableLeftText"/>
            </w:pPr>
            <w:r w:rsidRPr="00B0138B">
              <w:t xml:space="preserve">Ally </w:t>
            </w:r>
            <w:r w:rsidR="009B32D3">
              <w:t>1</w:t>
            </w:r>
            <w:r w:rsidR="000F48C9">
              <w:t>9</w:t>
            </w:r>
          </w:p>
        </w:tc>
        <w:tc>
          <w:tcPr>
            <w:tcW w:w="1644" w:type="dxa"/>
            <w:tcBorders>
              <w:top w:val="none" w:sz="0" w:space="0" w:color="auto"/>
              <w:left w:val="none" w:sz="0" w:space="0" w:color="auto"/>
              <w:bottom w:val="none" w:sz="0" w:space="0" w:color="auto"/>
              <w:right w:val="none" w:sz="0" w:space="0" w:color="auto"/>
            </w:tcBorders>
            <w:vAlign w:val="top"/>
          </w:tcPr>
          <w:p w14:paraId="505A202D" w14:textId="471A5186" w:rsidR="00180954" w:rsidRPr="000B7901" w:rsidRDefault="00180954" w:rsidP="00180954">
            <w:pPr>
              <w:pStyle w:val="TableCenterText"/>
              <w:cnfStyle w:val="000000010000" w:firstRow="0" w:lastRow="0" w:firstColumn="0" w:lastColumn="0" w:oddVBand="0" w:evenVBand="0" w:oddHBand="0" w:evenHBand="1" w:firstRowFirstColumn="0" w:firstRowLastColumn="0" w:lastRowFirstColumn="0" w:lastRowLastColumn="0"/>
            </w:pPr>
            <w:r w:rsidRPr="00263E92">
              <w:t>146</w:t>
            </w:r>
          </w:p>
        </w:tc>
        <w:tc>
          <w:tcPr>
            <w:tcW w:w="1644" w:type="dxa"/>
            <w:tcBorders>
              <w:top w:val="none" w:sz="0" w:space="0" w:color="auto"/>
              <w:left w:val="none" w:sz="0" w:space="0" w:color="auto"/>
              <w:bottom w:val="none" w:sz="0" w:space="0" w:color="auto"/>
              <w:right w:val="none" w:sz="0" w:space="0" w:color="auto"/>
            </w:tcBorders>
            <w:vAlign w:val="top"/>
          </w:tcPr>
          <w:p w14:paraId="2C914EAB" w14:textId="7E65440E" w:rsidR="00180954" w:rsidRPr="000B7901" w:rsidRDefault="00180954" w:rsidP="00180954">
            <w:pPr>
              <w:pStyle w:val="TableCenterText"/>
              <w:cnfStyle w:val="000000010000" w:firstRow="0" w:lastRow="0" w:firstColumn="0" w:lastColumn="0" w:oddVBand="0" w:evenVBand="0" w:oddHBand="0" w:evenHBand="1" w:firstRowFirstColumn="0" w:firstRowLastColumn="0" w:lastRowFirstColumn="0" w:lastRowLastColumn="0"/>
            </w:pPr>
            <w:r w:rsidRPr="006F7ACC">
              <w:t>11%</w:t>
            </w:r>
          </w:p>
        </w:tc>
      </w:tr>
      <w:tr w:rsidR="00180954" w14:paraId="2FC7A4D7"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vAlign w:val="top"/>
          </w:tcPr>
          <w:p w14:paraId="7D86A15F" w14:textId="664F2BF6" w:rsidR="00180954" w:rsidRPr="00625570" w:rsidRDefault="00180954" w:rsidP="00180954">
            <w:pPr>
              <w:pStyle w:val="TableLeftText"/>
            </w:pPr>
            <w:r w:rsidRPr="00B0138B">
              <w:t xml:space="preserve">Ally </w:t>
            </w:r>
            <w:r w:rsidR="000F48C9">
              <w:t>20</w:t>
            </w:r>
          </w:p>
        </w:tc>
        <w:tc>
          <w:tcPr>
            <w:tcW w:w="1644" w:type="dxa"/>
            <w:tcBorders>
              <w:top w:val="none" w:sz="0" w:space="0" w:color="auto"/>
              <w:left w:val="none" w:sz="0" w:space="0" w:color="auto"/>
              <w:bottom w:val="none" w:sz="0" w:space="0" w:color="auto"/>
              <w:right w:val="none" w:sz="0" w:space="0" w:color="auto"/>
            </w:tcBorders>
            <w:vAlign w:val="top"/>
          </w:tcPr>
          <w:p w14:paraId="30E9B345" w14:textId="57B65154"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263E92">
              <w:t>127</w:t>
            </w:r>
          </w:p>
        </w:tc>
        <w:tc>
          <w:tcPr>
            <w:tcW w:w="1644" w:type="dxa"/>
            <w:tcBorders>
              <w:top w:val="none" w:sz="0" w:space="0" w:color="auto"/>
              <w:left w:val="none" w:sz="0" w:space="0" w:color="auto"/>
              <w:bottom w:val="none" w:sz="0" w:space="0" w:color="auto"/>
              <w:right w:val="none" w:sz="0" w:space="0" w:color="auto"/>
            </w:tcBorders>
            <w:vAlign w:val="top"/>
          </w:tcPr>
          <w:p w14:paraId="108F3E5A" w14:textId="0DF0B983"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6F7ACC">
              <w:t>10%</w:t>
            </w:r>
          </w:p>
        </w:tc>
      </w:tr>
      <w:tr w:rsidR="00180954" w14:paraId="1A2D1193"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vAlign w:val="top"/>
          </w:tcPr>
          <w:p w14:paraId="190B90BE" w14:textId="543FD793" w:rsidR="00180954" w:rsidRPr="00625570" w:rsidRDefault="00180954" w:rsidP="00180954">
            <w:pPr>
              <w:pStyle w:val="TableLeftText"/>
            </w:pPr>
            <w:r w:rsidRPr="00B0138B">
              <w:t xml:space="preserve">Ally </w:t>
            </w:r>
            <w:r w:rsidR="000F48C9">
              <w:t>21</w:t>
            </w:r>
          </w:p>
        </w:tc>
        <w:tc>
          <w:tcPr>
            <w:tcW w:w="1644" w:type="dxa"/>
            <w:tcBorders>
              <w:top w:val="none" w:sz="0" w:space="0" w:color="auto"/>
              <w:left w:val="none" w:sz="0" w:space="0" w:color="auto"/>
              <w:bottom w:val="none" w:sz="0" w:space="0" w:color="auto"/>
              <w:right w:val="none" w:sz="0" w:space="0" w:color="auto"/>
            </w:tcBorders>
            <w:vAlign w:val="top"/>
          </w:tcPr>
          <w:p w14:paraId="6BBC8B2F" w14:textId="085AEC0B" w:rsidR="00180954" w:rsidRPr="000B7901" w:rsidRDefault="00180954" w:rsidP="00180954">
            <w:pPr>
              <w:pStyle w:val="TableCenterText"/>
              <w:cnfStyle w:val="000000010000" w:firstRow="0" w:lastRow="0" w:firstColumn="0" w:lastColumn="0" w:oddVBand="0" w:evenVBand="0" w:oddHBand="0" w:evenHBand="1" w:firstRowFirstColumn="0" w:firstRowLastColumn="0" w:lastRowFirstColumn="0" w:lastRowLastColumn="0"/>
            </w:pPr>
            <w:r w:rsidRPr="00263E92">
              <w:t>72</w:t>
            </w:r>
          </w:p>
        </w:tc>
        <w:tc>
          <w:tcPr>
            <w:tcW w:w="1644" w:type="dxa"/>
            <w:tcBorders>
              <w:top w:val="none" w:sz="0" w:space="0" w:color="auto"/>
              <w:left w:val="none" w:sz="0" w:space="0" w:color="auto"/>
              <w:bottom w:val="none" w:sz="0" w:space="0" w:color="auto"/>
              <w:right w:val="none" w:sz="0" w:space="0" w:color="auto"/>
            </w:tcBorders>
            <w:vAlign w:val="top"/>
          </w:tcPr>
          <w:p w14:paraId="3B3472D3" w14:textId="670983C5" w:rsidR="00180954" w:rsidRPr="000B7901" w:rsidRDefault="00180954" w:rsidP="00180954">
            <w:pPr>
              <w:pStyle w:val="TableCenterText"/>
              <w:cnfStyle w:val="000000010000" w:firstRow="0" w:lastRow="0" w:firstColumn="0" w:lastColumn="0" w:oddVBand="0" w:evenVBand="0" w:oddHBand="0" w:evenHBand="1" w:firstRowFirstColumn="0" w:firstRowLastColumn="0" w:lastRowFirstColumn="0" w:lastRowLastColumn="0"/>
            </w:pPr>
            <w:r w:rsidRPr="006F7ACC">
              <w:t>6%</w:t>
            </w:r>
          </w:p>
        </w:tc>
      </w:tr>
      <w:tr w:rsidR="00180954" w14:paraId="5E928A30"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vAlign w:val="top"/>
          </w:tcPr>
          <w:p w14:paraId="4E07FDC2" w14:textId="4BF1449C" w:rsidR="00180954" w:rsidRPr="00625570" w:rsidRDefault="00180954" w:rsidP="00180954">
            <w:pPr>
              <w:pStyle w:val="TableLeftText"/>
            </w:pPr>
            <w:r w:rsidRPr="00B0138B">
              <w:t xml:space="preserve">Ally </w:t>
            </w:r>
            <w:r w:rsidR="000F48C9">
              <w:t>22</w:t>
            </w:r>
          </w:p>
        </w:tc>
        <w:tc>
          <w:tcPr>
            <w:tcW w:w="1644" w:type="dxa"/>
            <w:tcBorders>
              <w:top w:val="none" w:sz="0" w:space="0" w:color="auto"/>
              <w:left w:val="none" w:sz="0" w:space="0" w:color="auto"/>
              <w:bottom w:val="none" w:sz="0" w:space="0" w:color="auto"/>
              <w:right w:val="none" w:sz="0" w:space="0" w:color="auto"/>
            </w:tcBorders>
            <w:vAlign w:val="top"/>
          </w:tcPr>
          <w:p w14:paraId="239ECEA6" w14:textId="231E2462"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263E92">
              <w:t>64</w:t>
            </w:r>
          </w:p>
        </w:tc>
        <w:tc>
          <w:tcPr>
            <w:tcW w:w="1644" w:type="dxa"/>
            <w:tcBorders>
              <w:top w:val="none" w:sz="0" w:space="0" w:color="auto"/>
              <w:left w:val="none" w:sz="0" w:space="0" w:color="auto"/>
              <w:bottom w:val="none" w:sz="0" w:space="0" w:color="auto"/>
              <w:right w:val="none" w:sz="0" w:space="0" w:color="auto"/>
            </w:tcBorders>
            <w:vAlign w:val="top"/>
          </w:tcPr>
          <w:p w14:paraId="1E6A819C" w14:textId="73110AB5" w:rsidR="00180954" w:rsidRPr="000B7901" w:rsidRDefault="00180954" w:rsidP="00180954">
            <w:pPr>
              <w:pStyle w:val="TableCenterText"/>
              <w:cnfStyle w:val="000000100000" w:firstRow="0" w:lastRow="0" w:firstColumn="0" w:lastColumn="0" w:oddVBand="0" w:evenVBand="0" w:oddHBand="1" w:evenHBand="0" w:firstRowFirstColumn="0" w:firstRowLastColumn="0" w:lastRowFirstColumn="0" w:lastRowLastColumn="0"/>
            </w:pPr>
            <w:r w:rsidRPr="006F7ACC">
              <w:t>5%</w:t>
            </w:r>
          </w:p>
        </w:tc>
      </w:tr>
    </w:tbl>
    <w:p w14:paraId="0434781C" w14:textId="77777777" w:rsidR="00B47754" w:rsidRDefault="00B47754" w:rsidP="00B47754">
      <w:pPr>
        <w:pStyle w:val="Heading4"/>
      </w:pPr>
      <w:r>
        <w:t>Savings Detail</w:t>
      </w:r>
    </w:p>
    <w:p w14:paraId="5D9A8E7E" w14:textId="4775110F" w:rsidR="00C83D59" w:rsidRDefault="00C83D59" w:rsidP="00C83D59">
      <w:r>
        <w:fldChar w:fldCharType="begin"/>
      </w:r>
      <w:r>
        <w:instrText xml:space="preserve"> REF _Ref187324824 \h </w:instrText>
      </w:r>
      <w:r>
        <w:fldChar w:fldCharType="separate"/>
      </w:r>
      <w:r w:rsidR="00AA10F4">
        <w:t xml:space="preserve">Table </w:t>
      </w:r>
      <w:r w:rsidR="00AA10F4">
        <w:rPr>
          <w:noProof/>
        </w:rPr>
        <w:t>56</w:t>
      </w:r>
      <w:r>
        <w:fldChar w:fldCharType="end"/>
      </w:r>
      <w:r>
        <w:t xml:space="preserve"> presents the ex ante, verified gross, and verified net electric energy savings achieved through the SBDI channel in 2024.</w:t>
      </w:r>
      <w:r w:rsidR="00A83E7D">
        <w:t xml:space="preserve"> </w:t>
      </w:r>
      <w:r w:rsidR="00A83E7D" w:rsidRPr="00A83E7D">
        <w:t>The SBDI channel achieved a 100% realization rate for gross electric energy savings. The channel's performance is primarily driven by lighting measures</w:t>
      </w:r>
      <w:r w:rsidR="0074531F">
        <w:t>, with 89% of the verified net electric energy savings for the channel produced through the installation of LED bulbs and fixtures</w:t>
      </w:r>
      <w:r w:rsidR="00A83E7D" w:rsidRPr="00A83E7D">
        <w:t xml:space="preserve"> and </w:t>
      </w:r>
      <w:r w:rsidR="00A83E7D">
        <w:t>8</w:t>
      </w:r>
      <w:r w:rsidR="00A83E7D" w:rsidRPr="00A83E7D">
        <w:t>% produced through the installation of lighting controls. Electronically commutated motors (ECMs) for walk-in and reach-in coolers and freezers</w:t>
      </w:r>
      <w:r w:rsidR="00A83E7D">
        <w:t xml:space="preserve"> </w:t>
      </w:r>
      <w:r w:rsidR="004316BA" w:rsidRPr="00A83E7D">
        <w:t>w</w:t>
      </w:r>
      <w:r w:rsidR="004316BA">
        <w:t>ere</w:t>
      </w:r>
      <w:r w:rsidR="00A83E7D" w:rsidRPr="00A83E7D">
        <w:t xml:space="preserve"> the next largest contributor </w:t>
      </w:r>
      <w:r w:rsidR="0074531F">
        <w:t>to</w:t>
      </w:r>
      <w:r w:rsidR="0074531F" w:rsidRPr="00A83E7D">
        <w:t xml:space="preserve"> </w:t>
      </w:r>
      <w:r w:rsidR="00A83E7D" w:rsidRPr="00A83E7D">
        <w:t xml:space="preserve">electric energy savings at 2% </w:t>
      </w:r>
      <w:r w:rsidR="00A83E7D">
        <w:t xml:space="preserve">of </w:t>
      </w:r>
      <w:r w:rsidR="00A83E7D" w:rsidRPr="00A83E7D">
        <w:t xml:space="preserve">verified net </w:t>
      </w:r>
      <w:r w:rsidR="00A969A6">
        <w:t xml:space="preserve">electric </w:t>
      </w:r>
      <w:r w:rsidR="00A83E7D" w:rsidRPr="00A83E7D">
        <w:t>energy savings</w:t>
      </w:r>
      <w:r w:rsidR="008F54D8">
        <w:t xml:space="preserve">. </w:t>
      </w:r>
      <w:r w:rsidR="00A83E7D" w:rsidRPr="00A83E7D">
        <w:t>Overall, the channel experienced a</w:t>
      </w:r>
      <w:r w:rsidR="008F54D8">
        <w:t xml:space="preserve"> 4</w:t>
      </w:r>
      <w:r w:rsidR="00A969A6">
        <w:t>2</w:t>
      </w:r>
      <w:r w:rsidR="00A83E7D" w:rsidRPr="00A83E7D">
        <w:t xml:space="preserve">% decrease in verified net </w:t>
      </w:r>
      <w:r w:rsidR="00A969A6">
        <w:t xml:space="preserve">electric </w:t>
      </w:r>
      <w:r w:rsidR="00A83E7D" w:rsidRPr="00A83E7D">
        <w:t>energy savings compared to 202</w:t>
      </w:r>
      <w:r w:rsidR="008F54D8">
        <w:t>3</w:t>
      </w:r>
      <w:r w:rsidR="00A969A6">
        <w:t>.</w:t>
      </w:r>
    </w:p>
    <w:p w14:paraId="36CC541C" w14:textId="1D29F192" w:rsidR="00C83D59" w:rsidRDefault="00C83D59" w:rsidP="00881B1B">
      <w:pPr>
        <w:pStyle w:val="Caption"/>
      </w:pPr>
      <w:bookmarkStart w:id="258" w:name="_Ref187324824"/>
      <w:bookmarkStart w:id="259" w:name="_Toc191992577"/>
      <w:bookmarkStart w:id="260" w:name="_Toc192766990"/>
      <w:r>
        <w:lastRenderedPageBreak/>
        <w:t xml:space="preserve">Table </w:t>
      </w:r>
      <w:r w:rsidR="009B4C9A">
        <w:fldChar w:fldCharType="begin"/>
      </w:r>
      <w:r w:rsidR="009B4C9A">
        <w:instrText xml:space="preserve"> SEQ Table \* ARABIC </w:instrText>
      </w:r>
      <w:r w:rsidR="009B4C9A">
        <w:fldChar w:fldCharType="separate"/>
      </w:r>
      <w:r w:rsidR="00AA10F4">
        <w:rPr>
          <w:noProof/>
        </w:rPr>
        <w:t>56</w:t>
      </w:r>
      <w:r w:rsidR="009B4C9A">
        <w:rPr>
          <w:noProof/>
        </w:rPr>
        <w:fldChar w:fldCharType="end"/>
      </w:r>
      <w:bookmarkEnd w:id="258"/>
      <w:r>
        <w:t>. 2024 Small Business Direct Install Channel Electric Energy Savings by Measure</w:t>
      </w:r>
      <w:bookmarkEnd w:id="259"/>
      <w:bookmarkEnd w:id="260"/>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4045"/>
        <w:gridCol w:w="1620"/>
        <w:gridCol w:w="1710"/>
        <w:gridCol w:w="1440"/>
        <w:gridCol w:w="720"/>
        <w:gridCol w:w="1522"/>
      </w:tblGrid>
      <w:tr w:rsidR="00D924DA" w14:paraId="3059182E" w14:textId="77777777" w:rsidTr="002B5E4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2DFF441" w14:textId="77777777" w:rsidR="00D924DA" w:rsidRPr="00625570" w:rsidRDefault="00D924DA" w:rsidP="009A0939">
            <w:pPr>
              <w:pStyle w:val="TableHeadingLeft"/>
            </w:pPr>
            <w:r>
              <w:t>Measure Category</w:t>
            </w:r>
          </w:p>
        </w:tc>
        <w:tc>
          <w:tcPr>
            <w:tcW w:w="1620" w:type="dxa"/>
            <w:tcBorders>
              <w:bottom w:val="none" w:sz="0" w:space="0" w:color="auto"/>
            </w:tcBorders>
          </w:tcPr>
          <w:p w14:paraId="04AA329D" w14:textId="49EB97ED" w:rsidR="00D924DA" w:rsidRPr="00625570" w:rsidRDefault="00D924DA" w:rsidP="009A0939">
            <w:pPr>
              <w:pStyle w:val="TableHeadingCentered"/>
              <w:cnfStyle w:val="100000000000" w:firstRow="1" w:lastRow="0" w:firstColumn="0" w:lastColumn="0" w:oddVBand="0" w:evenVBand="0" w:oddHBand="0" w:evenHBand="0" w:firstRowFirstColumn="0" w:firstRowLastColumn="0" w:lastRowFirstColumn="0" w:lastRowLastColumn="0"/>
            </w:pPr>
            <w:r>
              <w:t>Ex Ante Gross Savings (MWh)</w:t>
            </w:r>
          </w:p>
        </w:tc>
        <w:tc>
          <w:tcPr>
            <w:tcW w:w="1710" w:type="dxa"/>
            <w:tcBorders>
              <w:bottom w:val="none" w:sz="0" w:space="0" w:color="auto"/>
            </w:tcBorders>
          </w:tcPr>
          <w:p w14:paraId="10647213" w14:textId="77777777" w:rsidR="00D924DA" w:rsidRPr="00625570" w:rsidRDefault="00D924DA" w:rsidP="009A0939">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bottom w:val="none" w:sz="0" w:space="0" w:color="auto"/>
            </w:tcBorders>
          </w:tcPr>
          <w:p w14:paraId="78790FDA" w14:textId="33F80793" w:rsidR="00D924DA" w:rsidRPr="00625570" w:rsidRDefault="00D924DA" w:rsidP="009A0939">
            <w:pPr>
              <w:pStyle w:val="TableHeadingCentered"/>
              <w:cnfStyle w:val="100000000000" w:firstRow="1" w:lastRow="0" w:firstColumn="0" w:lastColumn="0" w:oddVBand="0" w:evenVBand="0" w:oddHBand="0" w:evenHBand="0" w:firstRowFirstColumn="0" w:firstRowLastColumn="0" w:lastRowFirstColumn="0" w:lastRowLastColumn="0"/>
            </w:pPr>
            <w:r>
              <w:t>Verified Gross Savings (MWh)</w:t>
            </w:r>
          </w:p>
        </w:tc>
        <w:tc>
          <w:tcPr>
            <w:tcW w:w="720" w:type="dxa"/>
            <w:tcBorders>
              <w:bottom w:val="none" w:sz="0" w:space="0" w:color="auto"/>
            </w:tcBorders>
          </w:tcPr>
          <w:p w14:paraId="57620CF0" w14:textId="77777777" w:rsidR="00D924DA" w:rsidRPr="00625570" w:rsidRDefault="00D924DA" w:rsidP="009A0939">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522" w:type="dxa"/>
            <w:tcBorders>
              <w:bottom w:val="none" w:sz="0" w:space="0" w:color="auto"/>
            </w:tcBorders>
          </w:tcPr>
          <w:p w14:paraId="67973F02" w14:textId="0502616C" w:rsidR="00D924DA" w:rsidRPr="00625570" w:rsidRDefault="00D924DA" w:rsidP="009A0939">
            <w:pPr>
              <w:pStyle w:val="TableHeadingCentered"/>
              <w:cnfStyle w:val="100000000000" w:firstRow="1" w:lastRow="0" w:firstColumn="0" w:lastColumn="0" w:oddVBand="0" w:evenVBand="0" w:oddHBand="0" w:evenHBand="0" w:firstRowFirstColumn="0" w:firstRowLastColumn="0" w:lastRowFirstColumn="0" w:lastRowLastColumn="0"/>
            </w:pPr>
            <w:r>
              <w:t>Verified Net Savings (MWh)</w:t>
            </w:r>
          </w:p>
        </w:tc>
      </w:tr>
      <w:tr w:rsidR="00D924DA" w14:paraId="7CEEBD94"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5015821" w14:textId="2ED4BF3A" w:rsidR="00D924DA" w:rsidRPr="00625570" w:rsidRDefault="00D924DA" w:rsidP="00D924DA">
            <w:pPr>
              <w:pStyle w:val="TableLeftText"/>
            </w:pPr>
            <w:r w:rsidRPr="008B0001">
              <w:t>LED Bulbs and Fixtures</w:t>
            </w:r>
          </w:p>
        </w:tc>
        <w:tc>
          <w:tcPr>
            <w:tcW w:w="1620" w:type="dxa"/>
            <w:tcBorders>
              <w:top w:val="none" w:sz="0" w:space="0" w:color="auto"/>
              <w:left w:val="none" w:sz="0" w:space="0" w:color="auto"/>
              <w:bottom w:val="none" w:sz="0" w:space="0" w:color="auto"/>
              <w:right w:val="none" w:sz="0" w:space="0" w:color="auto"/>
            </w:tcBorders>
          </w:tcPr>
          <w:p w14:paraId="7F9EC566" w14:textId="793E8FD3"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31,252</w:t>
            </w:r>
          </w:p>
        </w:tc>
        <w:tc>
          <w:tcPr>
            <w:tcW w:w="1710" w:type="dxa"/>
            <w:tcBorders>
              <w:top w:val="none" w:sz="0" w:space="0" w:color="auto"/>
              <w:left w:val="none" w:sz="0" w:space="0" w:color="auto"/>
              <w:bottom w:val="none" w:sz="0" w:space="0" w:color="auto"/>
              <w:right w:val="none" w:sz="0" w:space="0" w:color="auto"/>
            </w:tcBorders>
          </w:tcPr>
          <w:p w14:paraId="0907CAFA" w14:textId="2C96AF96"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0B02821C" w14:textId="04C49DC4"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31,239</w:t>
            </w:r>
          </w:p>
        </w:tc>
        <w:tc>
          <w:tcPr>
            <w:tcW w:w="720" w:type="dxa"/>
            <w:tcBorders>
              <w:top w:val="none" w:sz="0" w:space="0" w:color="auto"/>
              <w:left w:val="none" w:sz="0" w:space="0" w:color="auto"/>
              <w:bottom w:val="none" w:sz="0" w:space="0" w:color="auto"/>
              <w:right w:val="none" w:sz="0" w:space="0" w:color="auto"/>
            </w:tcBorders>
          </w:tcPr>
          <w:p w14:paraId="7A4622DE" w14:textId="41C56F7C"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0.918</w:t>
            </w:r>
          </w:p>
        </w:tc>
        <w:tc>
          <w:tcPr>
            <w:tcW w:w="1522" w:type="dxa"/>
            <w:tcBorders>
              <w:top w:val="none" w:sz="0" w:space="0" w:color="auto"/>
              <w:left w:val="none" w:sz="0" w:space="0" w:color="auto"/>
              <w:bottom w:val="none" w:sz="0" w:space="0" w:color="auto"/>
              <w:right w:val="none" w:sz="0" w:space="0" w:color="auto"/>
            </w:tcBorders>
          </w:tcPr>
          <w:p w14:paraId="6FB48F6A" w14:textId="59D35CE4"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28,680</w:t>
            </w:r>
          </w:p>
        </w:tc>
      </w:tr>
      <w:tr w:rsidR="00D924DA" w14:paraId="2EE21866"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6DEBE281" w14:textId="2EA33FE9" w:rsidR="00D924DA" w:rsidRPr="00625570" w:rsidRDefault="00D924DA" w:rsidP="00D924DA">
            <w:pPr>
              <w:pStyle w:val="TableLeftText"/>
            </w:pPr>
            <w:r w:rsidRPr="008B0001">
              <w:t>Lighting Controls</w:t>
            </w:r>
          </w:p>
        </w:tc>
        <w:tc>
          <w:tcPr>
            <w:tcW w:w="1620" w:type="dxa"/>
            <w:tcBorders>
              <w:top w:val="none" w:sz="0" w:space="0" w:color="auto"/>
              <w:left w:val="none" w:sz="0" w:space="0" w:color="auto"/>
              <w:bottom w:val="none" w:sz="0" w:space="0" w:color="auto"/>
              <w:right w:val="none" w:sz="0" w:space="0" w:color="auto"/>
            </w:tcBorders>
          </w:tcPr>
          <w:p w14:paraId="0D5D65EE" w14:textId="365B1C11"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2,992</w:t>
            </w:r>
          </w:p>
        </w:tc>
        <w:tc>
          <w:tcPr>
            <w:tcW w:w="1710" w:type="dxa"/>
            <w:tcBorders>
              <w:top w:val="none" w:sz="0" w:space="0" w:color="auto"/>
              <w:left w:val="none" w:sz="0" w:space="0" w:color="auto"/>
              <w:bottom w:val="none" w:sz="0" w:space="0" w:color="auto"/>
              <w:right w:val="none" w:sz="0" w:space="0" w:color="auto"/>
            </w:tcBorders>
          </w:tcPr>
          <w:p w14:paraId="531C00B3" w14:textId="0B9750CE"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B0001">
              <w:t>100%</w:t>
            </w:r>
          </w:p>
        </w:tc>
        <w:tc>
          <w:tcPr>
            <w:tcW w:w="1440" w:type="dxa"/>
            <w:tcBorders>
              <w:top w:val="none" w:sz="0" w:space="0" w:color="auto"/>
              <w:left w:val="none" w:sz="0" w:space="0" w:color="auto"/>
              <w:bottom w:val="none" w:sz="0" w:space="0" w:color="auto"/>
              <w:right w:val="none" w:sz="0" w:space="0" w:color="auto"/>
            </w:tcBorders>
          </w:tcPr>
          <w:p w14:paraId="7453B76E" w14:textId="71542A49"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B0001">
              <w:t>2,994</w:t>
            </w:r>
          </w:p>
        </w:tc>
        <w:tc>
          <w:tcPr>
            <w:tcW w:w="720" w:type="dxa"/>
            <w:tcBorders>
              <w:top w:val="none" w:sz="0" w:space="0" w:color="auto"/>
              <w:left w:val="none" w:sz="0" w:space="0" w:color="auto"/>
              <w:bottom w:val="none" w:sz="0" w:space="0" w:color="auto"/>
              <w:right w:val="none" w:sz="0" w:space="0" w:color="auto"/>
            </w:tcBorders>
          </w:tcPr>
          <w:p w14:paraId="4AB0E016" w14:textId="706A24CD"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0.906</w:t>
            </w:r>
          </w:p>
        </w:tc>
        <w:tc>
          <w:tcPr>
            <w:tcW w:w="1522" w:type="dxa"/>
            <w:tcBorders>
              <w:top w:val="none" w:sz="0" w:space="0" w:color="auto"/>
              <w:left w:val="none" w:sz="0" w:space="0" w:color="auto"/>
              <w:bottom w:val="none" w:sz="0" w:space="0" w:color="auto"/>
              <w:right w:val="none" w:sz="0" w:space="0" w:color="auto"/>
            </w:tcBorders>
          </w:tcPr>
          <w:p w14:paraId="7E917FD5" w14:textId="72C74014"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B0001">
              <w:t>2,714</w:t>
            </w:r>
          </w:p>
        </w:tc>
      </w:tr>
      <w:tr w:rsidR="00D924DA" w14:paraId="7BAA57DC"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32CECB03" w14:textId="4637EA69" w:rsidR="00D924DA" w:rsidRPr="00625570" w:rsidRDefault="00D924DA" w:rsidP="00D924DA">
            <w:pPr>
              <w:pStyle w:val="TableLeftText"/>
            </w:pPr>
            <w:r w:rsidRPr="008B0001">
              <w:t>ECMs for Coolers/Freezers</w:t>
            </w:r>
          </w:p>
        </w:tc>
        <w:tc>
          <w:tcPr>
            <w:tcW w:w="1620" w:type="dxa"/>
            <w:tcBorders>
              <w:top w:val="none" w:sz="0" w:space="0" w:color="auto"/>
              <w:left w:val="none" w:sz="0" w:space="0" w:color="auto"/>
              <w:bottom w:val="none" w:sz="0" w:space="0" w:color="auto"/>
              <w:right w:val="none" w:sz="0" w:space="0" w:color="auto"/>
            </w:tcBorders>
          </w:tcPr>
          <w:p w14:paraId="424EF048" w14:textId="320813F8"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568</w:t>
            </w:r>
          </w:p>
        </w:tc>
        <w:tc>
          <w:tcPr>
            <w:tcW w:w="1710" w:type="dxa"/>
            <w:tcBorders>
              <w:top w:val="none" w:sz="0" w:space="0" w:color="auto"/>
              <w:left w:val="none" w:sz="0" w:space="0" w:color="auto"/>
              <w:bottom w:val="none" w:sz="0" w:space="0" w:color="auto"/>
              <w:right w:val="none" w:sz="0" w:space="0" w:color="auto"/>
            </w:tcBorders>
          </w:tcPr>
          <w:p w14:paraId="6964CADA" w14:textId="54C3FDA4"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5AC6FF16" w14:textId="0A4304E4"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568</w:t>
            </w:r>
          </w:p>
        </w:tc>
        <w:tc>
          <w:tcPr>
            <w:tcW w:w="720" w:type="dxa"/>
            <w:tcBorders>
              <w:top w:val="none" w:sz="0" w:space="0" w:color="auto"/>
              <w:left w:val="none" w:sz="0" w:space="0" w:color="auto"/>
              <w:bottom w:val="none" w:sz="0" w:space="0" w:color="auto"/>
              <w:right w:val="none" w:sz="0" w:space="0" w:color="auto"/>
            </w:tcBorders>
          </w:tcPr>
          <w:p w14:paraId="1F34CC6E" w14:textId="72B6E240"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0.897</w:t>
            </w:r>
          </w:p>
        </w:tc>
        <w:tc>
          <w:tcPr>
            <w:tcW w:w="1522" w:type="dxa"/>
            <w:tcBorders>
              <w:top w:val="none" w:sz="0" w:space="0" w:color="auto"/>
              <w:left w:val="none" w:sz="0" w:space="0" w:color="auto"/>
              <w:bottom w:val="none" w:sz="0" w:space="0" w:color="auto"/>
              <w:right w:val="none" w:sz="0" w:space="0" w:color="auto"/>
            </w:tcBorders>
          </w:tcPr>
          <w:p w14:paraId="47935ED8" w14:textId="7E1AE452" w:rsidR="00D924DA" w:rsidRPr="00625570"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509</w:t>
            </w:r>
          </w:p>
        </w:tc>
      </w:tr>
      <w:tr w:rsidR="00D924DA" w14:paraId="29403380"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50F9997E" w14:textId="2B64C525" w:rsidR="00D924DA" w:rsidRPr="00625570" w:rsidRDefault="00D924DA" w:rsidP="00D924DA">
            <w:pPr>
              <w:pStyle w:val="TableLeftText"/>
            </w:pPr>
            <w:r w:rsidRPr="008B0001">
              <w:t>Fluorescent Delamping</w:t>
            </w:r>
          </w:p>
        </w:tc>
        <w:tc>
          <w:tcPr>
            <w:tcW w:w="1620" w:type="dxa"/>
            <w:tcBorders>
              <w:top w:val="none" w:sz="0" w:space="0" w:color="auto"/>
              <w:left w:val="none" w:sz="0" w:space="0" w:color="auto"/>
              <w:bottom w:val="none" w:sz="0" w:space="0" w:color="auto"/>
              <w:right w:val="none" w:sz="0" w:space="0" w:color="auto"/>
            </w:tcBorders>
          </w:tcPr>
          <w:p w14:paraId="1282594F" w14:textId="1D93627F"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107</w:t>
            </w:r>
          </w:p>
        </w:tc>
        <w:tc>
          <w:tcPr>
            <w:tcW w:w="1710" w:type="dxa"/>
            <w:tcBorders>
              <w:top w:val="none" w:sz="0" w:space="0" w:color="auto"/>
              <w:left w:val="none" w:sz="0" w:space="0" w:color="auto"/>
              <w:bottom w:val="none" w:sz="0" w:space="0" w:color="auto"/>
              <w:right w:val="none" w:sz="0" w:space="0" w:color="auto"/>
            </w:tcBorders>
          </w:tcPr>
          <w:p w14:paraId="2DA8D9B5" w14:textId="52904D6C"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41B4BC76" w14:textId="11D852EF"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107</w:t>
            </w:r>
          </w:p>
        </w:tc>
        <w:tc>
          <w:tcPr>
            <w:tcW w:w="720" w:type="dxa"/>
            <w:tcBorders>
              <w:top w:val="none" w:sz="0" w:space="0" w:color="auto"/>
              <w:left w:val="none" w:sz="0" w:space="0" w:color="auto"/>
              <w:bottom w:val="none" w:sz="0" w:space="0" w:color="auto"/>
              <w:right w:val="none" w:sz="0" w:space="0" w:color="auto"/>
            </w:tcBorders>
          </w:tcPr>
          <w:p w14:paraId="4DAECE30" w14:textId="14315778"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0.913</w:t>
            </w:r>
          </w:p>
        </w:tc>
        <w:tc>
          <w:tcPr>
            <w:tcW w:w="1522" w:type="dxa"/>
            <w:tcBorders>
              <w:top w:val="none" w:sz="0" w:space="0" w:color="auto"/>
              <w:left w:val="none" w:sz="0" w:space="0" w:color="auto"/>
              <w:bottom w:val="none" w:sz="0" w:space="0" w:color="auto"/>
              <w:right w:val="none" w:sz="0" w:space="0" w:color="auto"/>
            </w:tcBorders>
          </w:tcPr>
          <w:p w14:paraId="4628E0AD" w14:textId="3321D1FB" w:rsidR="00D924DA" w:rsidRPr="00625570"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98</w:t>
            </w:r>
          </w:p>
        </w:tc>
      </w:tr>
      <w:tr w:rsidR="00D924DA" w14:paraId="339C2BB3"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F04897F" w14:textId="048B3B81" w:rsidR="00D924DA" w:rsidRDefault="00D924DA" w:rsidP="00D924DA">
            <w:pPr>
              <w:pStyle w:val="TableLeftText"/>
            </w:pPr>
            <w:r w:rsidRPr="008B0001">
              <w:t>Evaporator Fan Control for ECMs</w:t>
            </w:r>
          </w:p>
        </w:tc>
        <w:tc>
          <w:tcPr>
            <w:tcW w:w="1620" w:type="dxa"/>
            <w:tcBorders>
              <w:top w:val="none" w:sz="0" w:space="0" w:color="auto"/>
              <w:left w:val="none" w:sz="0" w:space="0" w:color="auto"/>
              <w:bottom w:val="none" w:sz="0" w:space="0" w:color="auto"/>
              <w:right w:val="none" w:sz="0" w:space="0" w:color="auto"/>
            </w:tcBorders>
          </w:tcPr>
          <w:p w14:paraId="0C1B985E" w14:textId="17B8F72F"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47</w:t>
            </w:r>
          </w:p>
        </w:tc>
        <w:tc>
          <w:tcPr>
            <w:tcW w:w="1710" w:type="dxa"/>
            <w:tcBorders>
              <w:top w:val="none" w:sz="0" w:space="0" w:color="auto"/>
              <w:left w:val="none" w:sz="0" w:space="0" w:color="auto"/>
              <w:bottom w:val="none" w:sz="0" w:space="0" w:color="auto"/>
              <w:right w:val="none" w:sz="0" w:space="0" w:color="auto"/>
            </w:tcBorders>
          </w:tcPr>
          <w:p w14:paraId="19B10FB7" w14:textId="5B5B36C0" w:rsidR="00D924DA" w:rsidRPr="00987F21"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38B4907C" w14:textId="034ED069"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47</w:t>
            </w:r>
          </w:p>
        </w:tc>
        <w:tc>
          <w:tcPr>
            <w:tcW w:w="720" w:type="dxa"/>
            <w:tcBorders>
              <w:top w:val="none" w:sz="0" w:space="0" w:color="auto"/>
              <w:left w:val="none" w:sz="0" w:space="0" w:color="auto"/>
              <w:bottom w:val="none" w:sz="0" w:space="0" w:color="auto"/>
              <w:right w:val="none" w:sz="0" w:space="0" w:color="auto"/>
            </w:tcBorders>
          </w:tcPr>
          <w:p w14:paraId="0217B6F3" w14:textId="23F458FE" w:rsidR="00D924DA" w:rsidRPr="00987F21"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0.904</w:t>
            </w:r>
          </w:p>
        </w:tc>
        <w:tc>
          <w:tcPr>
            <w:tcW w:w="1522" w:type="dxa"/>
            <w:tcBorders>
              <w:top w:val="none" w:sz="0" w:space="0" w:color="auto"/>
              <w:left w:val="none" w:sz="0" w:space="0" w:color="auto"/>
              <w:bottom w:val="none" w:sz="0" w:space="0" w:color="auto"/>
              <w:right w:val="none" w:sz="0" w:space="0" w:color="auto"/>
            </w:tcBorders>
          </w:tcPr>
          <w:p w14:paraId="62D229D8" w14:textId="4F4E968A"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43</w:t>
            </w:r>
          </w:p>
        </w:tc>
      </w:tr>
      <w:tr w:rsidR="00D924DA" w14:paraId="76EE168A"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9452F8C" w14:textId="26B61248" w:rsidR="00D924DA" w:rsidRDefault="00D924DA" w:rsidP="00D924DA">
            <w:pPr>
              <w:pStyle w:val="TableLeftText"/>
            </w:pPr>
            <w:r w:rsidRPr="008B0001">
              <w:t>Exit Signs</w:t>
            </w:r>
          </w:p>
        </w:tc>
        <w:tc>
          <w:tcPr>
            <w:tcW w:w="1620" w:type="dxa"/>
            <w:tcBorders>
              <w:top w:val="none" w:sz="0" w:space="0" w:color="auto"/>
              <w:left w:val="none" w:sz="0" w:space="0" w:color="auto"/>
              <w:bottom w:val="none" w:sz="0" w:space="0" w:color="auto"/>
              <w:right w:val="none" w:sz="0" w:space="0" w:color="auto"/>
            </w:tcBorders>
          </w:tcPr>
          <w:p w14:paraId="3E3DC635" w14:textId="318474F8" w:rsid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47</w:t>
            </w:r>
          </w:p>
        </w:tc>
        <w:tc>
          <w:tcPr>
            <w:tcW w:w="1710" w:type="dxa"/>
            <w:tcBorders>
              <w:top w:val="none" w:sz="0" w:space="0" w:color="auto"/>
              <w:left w:val="none" w:sz="0" w:space="0" w:color="auto"/>
              <w:bottom w:val="none" w:sz="0" w:space="0" w:color="auto"/>
              <w:right w:val="none" w:sz="0" w:space="0" w:color="auto"/>
            </w:tcBorders>
          </w:tcPr>
          <w:p w14:paraId="62E9A982" w14:textId="1B82BAC3" w:rsidR="00D924DA" w:rsidRPr="00987F21"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3918BA4B" w14:textId="18B0144D" w:rsid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47</w:t>
            </w:r>
          </w:p>
        </w:tc>
        <w:tc>
          <w:tcPr>
            <w:tcW w:w="720" w:type="dxa"/>
            <w:tcBorders>
              <w:top w:val="none" w:sz="0" w:space="0" w:color="auto"/>
              <w:left w:val="none" w:sz="0" w:space="0" w:color="auto"/>
              <w:bottom w:val="none" w:sz="0" w:space="0" w:color="auto"/>
              <w:right w:val="none" w:sz="0" w:space="0" w:color="auto"/>
            </w:tcBorders>
          </w:tcPr>
          <w:p w14:paraId="04AF8F77" w14:textId="5D5F0383" w:rsidR="00D924DA" w:rsidRPr="00987F21"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0.911</w:t>
            </w:r>
          </w:p>
        </w:tc>
        <w:tc>
          <w:tcPr>
            <w:tcW w:w="1522" w:type="dxa"/>
            <w:tcBorders>
              <w:top w:val="none" w:sz="0" w:space="0" w:color="auto"/>
              <w:left w:val="none" w:sz="0" w:space="0" w:color="auto"/>
              <w:bottom w:val="none" w:sz="0" w:space="0" w:color="auto"/>
              <w:right w:val="none" w:sz="0" w:space="0" w:color="auto"/>
            </w:tcBorders>
          </w:tcPr>
          <w:p w14:paraId="5E1F6EE4" w14:textId="7CB6D834" w:rsid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B0001">
              <w:t>43</w:t>
            </w:r>
          </w:p>
        </w:tc>
      </w:tr>
      <w:tr w:rsidR="00D924DA" w14:paraId="562AB988"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6E393B0" w14:textId="181E2906" w:rsidR="00D924DA" w:rsidRDefault="00D924DA" w:rsidP="00D924DA">
            <w:pPr>
              <w:pStyle w:val="TableLeftText"/>
            </w:pPr>
            <w:r w:rsidRPr="008B0001">
              <w:t>Automatic Door Closer</w:t>
            </w:r>
          </w:p>
        </w:tc>
        <w:tc>
          <w:tcPr>
            <w:tcW w:w="1620" w:type="dxa"/>
            <w:tcBorders>
              <w:top w:val="none" w:sz="0" w:space="0" w:color="auto"/>
              <w:left w:val="none" w:sz="0" w:space="0" w:color="auto"/>
              <w:bottom w:val="none" w:sz="0" w:space="0" w:color="auto"/>
              <w:right w:val="none" w:sz="0" w:space="0" w:color="auto"/>
            </w:tcBorders>
          </w:tcPr>
          <w:p w14:paraId="03A57B9E" w14:textId="409FCF1B"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14</w:t>
            </w:r>
          </w:p>
        </w:tc>
        <w:tc>
          <w:tcPr>
            <w:tcW w:w="1710" w:type="dxa"/>
            <w:tcBorders>
              <w:top w:val="none" w:sz="0" w:space="0" w:color="auto"/>
              <w:left w:val="none" w:sz="0" w:space="0" w:color="auto"/>
              <w:bottom w:val="none" w:sz="0" w:space="0" w:color="auto"/>
              <w:right w:val="none" w:sz="0" w:space="0" w:color="auto"/>
            </w:tcBorders>
          </w:tcPr>
          <w:p w14:paraId="7E84041B" w14:textId="1CDB46BF" w:rsidR="00D924DA" w:rsidRPr="00987F21"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100%</w:t>
            </w:r>
          </w:p>
        </w:tc>
        <w:tc>
          <w:tcPr>
            <w:tcW w:w="1440" w:type="dxa"/>
            <w:tcBorders>
              <w:top w:val="none" w:sz="0" w:space="0" w:color="auto"/>
              <w:left w:val="none" w:sz="0" w:space="0" w:color="auto"/>
              <w:bottom w:val="none" w:sz="0" w:space="0" w:color="auto"/>
              <w:right w:val="none" w:sz="0" w:space="0" w:color="auto"/>
            </w:tcBorders>
          </w:tcPr>
          <w:p w14:paraId="299E8A5A" w14:textId="61F23BE9"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14</w:t>
            </w:r>
          </w:p>
        </w:tc>
        <w:tc>
          <w:tcPr>
            <w:tcW w:w="720" w:type="dxa"/>
            <w:tcBorders>
              <w:top w:val="none" w:sz="0" w:space="0" w:color="auto"/>
              <w:left w:val="none" w:sz="0" w:space="0" w:color="auto"/>
              <w:bottom w:val="none" w:sz="0" w:space="0" w:color="auto"/>
              <w:right w:val="none" w:sz="0" w:space="0" w:color="auto"/>
            </w:tcBorders>
          </w:tcPr>
          <w:p w14:paraId="422E72FD" w14:textId="56423758" w:rsidR="00D924DA" w:rsidRPr="00987F21"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0.891</w:t>
            </w:r>
          </w:p>
        </w:tc>
        <w:tc>
          <w:tcPr>
            <w:tcW w:w="1522" w:type="dxa"/>
            <w:tcBorders>
              <w:top w:val="none" w:sz="0" w:space="0" w:color="auto"/>
              <w:left w:val="none" w:sz="0" w:space="0" w:color="auto"/>
              <w:bottom w:val="none" w:sz="0" w:space="0" w:color="auto"/>
              <w:right w:val="none" w:sz="0" w:space="0" w:color="auto"/>
            </w:tcBorders>
          </w:tcPr>
          <w:p w14:paraId="0AFE3B04" w14:textId="78E25019" w:rsidR="00D924DA" w:rsidRDefault="00D924DA"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B0001">
              <w:t>13</w:t>
            </w:r>
          </w:p>
        </w:tc>
      </w:tr>
      <w:tr w:rsidR="00D924DA" w14:paraId="4E7A6C64"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401C6F46" w14:textId="19DAE59E" w:rsidR="00D924DA" w:rsidRPr="00D924DA" w:rsidRDefault="00D924DA" w:rsidP="00D924DA">
            <w:pPr>
              <w:pStyle w:val="TableTextLeftMedium"/>
            </w:pPr>
            <w:r w:rsidRPr="00D924DA">
              <w:t>Total</w:t>
            </w:r>
          </w:p>
        </w:tc>
        <w:tc>
          <w:tcPr>
            <w:tcW w:w="1620" w:type="dxa"/>
            <w:tcBorders>
              <w:top w:val="none" w:sz="0" w:space="0" w:color="auto"/>
              <w:left w:val="none" w:sz="0" w:space="0" w:color="auto"/>
              <w:bottom w:val="none" w:sz="0" w:space="0" w:color="auto"/>
              <w:right w:val="none" w:sz="0" w:space="0" w:color="auto"/>
            </w:tcBorders>
          </w:tcPr>
          <w:p w14:paraId="1DE5943E" w14:textId="24348647" w:rsidR="00D924DA" w:rsidRP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35,027</w:t>
            </w:r>
          </w:p>
        </w:tc>
        <w:tc>
          <w:tcPr>
            <w:tcW w:w="1710" w:type="dxa"/>
            <w:tcBorders>
              <w:top w:val="none" w:sz="0" w:space="0" w:color="auto"/>
              <w:left w:val="none" w:sz="0" w:space="0" w:color="auto"/>
              <w:bottom w:val="none" w:sz="0" w:space="0" w:color="auto"/>
              <w:right w:val="none" w:sz="0" w:space="0" w:color="auto"/>
            </w:tcBorders>
          </w:tcPr>
          <w:p w14:paraId="0B74D0C3" w14:textId="19562658" w:rsidR="00D924DA" w:rsidRP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100%</w:t>
            </w:r>
          </w:p>
        </w:tc>
        <w:tc>
          <w:tcPr>
            <w:tcW w:w="1440" w:type="dxa"/>
            <w:tcBorders>
              <w:top w:val="none" w:sz="0" w:space="0" w:color="auto"/>
              <w:left w:val="none" w:sz="0" w:space="0" w:color="auto"/>
              <w:bottom w:val="none" w:sz="0" w:space="0" w:color="auto"/>
              <w:right w:val="none" w:sz="0" w:space="0" w:color="auto"/>
            </w:tcBorders>
          </w:tcPr>
          <w:p w14:paraId="1B799232" w14:textId="23313C5D" w:rsidR="00D924DA" w:rsidRP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35,017</w:t>
            </w:r>
          </w:p>
        </w:tc>
        <w:tc>
          <w:tcPr>
            <w:tcW w:w="720" w:type="dxa"/>
            <w:tcBorders>
              <w:top w:val="none" w:sz="0" w:space="0" w:color="auto"/>
              <w:left w:val="none" w:sz="0" w:space="0" w:color="auto"/>
              <w:bottom w:val="none" w:sz="0" w:space="0" w:color="auto"/>
              <w:right w:val="none" w:sz="0" w:space="0" w:color="auto"/>
            </w:tcBorders>
          </w:tcPr>
          <w:p w14:paraId="21EA5B56" w14:textId="2BE0B5DA" w:rsidR="00D924DA" w:rsidRP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0.917</w:t>
            </w:r>
          </w:p>
        </w:tc>
        <w:tc>
          <w:tcPr>
            <w:tcW w:w="1522" w:type="dxa"/>
            <w:tcBorders>
              <w:top w:val="none" w:sz="0" w:space="0" w:color="auto"/>
              <w:left w:val="none" w:sz="0" w:space="0" w:color="auto"/>
              <w:bottom w:val="none" w:sz="0" w:space="0" w:color="auto"/>
              <w:right w:val="none" w:sz="0" w:space="0" w:color="auto"/>
            </w:tcBorders>
          </w:tcPr>
          <w:p w14:paraId="36BEBD8C" w14:textId="1D903989" w:rsidR="00D924DA" w:rsidRPr="00D924DA" w:rsidRDefault="00D924DA"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D924DA">
              <w:rPr>
                <w:rFonts w:ascii="Franklin Gothic Medium" w:hAnsi="Franklin Gothic Medium"/>
              </w:rPr>
              <w:t>32,099</w:t>
            </w:r>
          </w:p>
        </w:tc>
      </w:tr>
    </w:tbl>
    <w:p w14:paraId="69FCFE5F" w14:textId="72C13D7D" w:rsidR="00A15369" w:rsidRDefault="00A15369" w:rsidP="002B2717">
      <w:pPr>
        <w:spacing w:before="240"/>
      </w:pPr>
      <w:r>
        <w:fldChar w:fldCharType="begin"/>
      </w:r>
      <w:r>
        <w:instrText xml:space="preserve"> REF _Ref187325008 \h  \* MERGEFORMAT </w:instrText>
      </w:r>
      <w:r>
        <w:fldChar w:fldCharType="separate"/>
      </w:r>
      <w:r w:rsidR="00AA10F4">
        <w:t xml:space="preserve">Table </w:t>
      </w:r>
      <w:r w:rsidR="00AA10F4">
        <w:rPr>
          <w:noProof/>
        </w:rPr>
        <w:t>57</w:t>
      </w:r>
      <w:r>
        <w:fldChar w:fldCharType="end"/>
      </w:r>
      <w:r>
        <w:t xml:space="preserve"> presents the ex ante, verified gross, and verified net electric demand savings achieved through the SBDI channel </w:t>
      </w:r>
      <w:r w:rsidR="004316BA">
        <w:t xml:space="preserve">in </w:t>
      </w:r>
      <w:r>
        <w:t>2024.</w:t>
      </w:r>
      <w:r w:rsidR="00E41E92">
        <w:t xml:space="preserve"> </w:t>
      </w:r>
      <w:r w:rsidR="00E41E92" w:rsidRPr="00E41E92">
        <w:t xml:space="preserve">The SBDI channel achieved a </w:t>
      </w:r>
      <w:r w:rsidR="00E41E92">
        <w:t>99</w:t>
      </w:r>
      <w:r w:rsidR="00E41E92" w:rsidRPr="00E41E92">
        <w:t>% realization rate for gross demand savings. LED bulbs and fixtures produced 8</w:t>
      </w:r>
      <w:r w:rsidR="00E41E92">
        <w:t>8</w:t>
      </w:r>
      <w:r w:rsidR="00E41E92" w:rsidRPr="00E41E92">
        <w:t>% of the channel</w:t>
      </w:r>
      <w:r w:rsidR="0074531F">
        <w:t>’s</w:t>
      </w:r>
      <w:r w:rsidR="00E41E92" w:rsidRPr="00E41E92">
        <w:t xml:space="preserve"> verified net demand savings, followed by lighting controls</w:t>
      </w:r>
      <w:r w:rsidR="00E73D15">
        <w:t xml:space="preserve"> </w:t>
      </w:r>
      <w:r w:rsidR="00E41E92" w:rsidRPr="00E41E92">
        <w:t>and ECMs for walk-in and reach-in coolers and freezers (1</w:t>
      </w:r>
      <w:r w:rsidR="00E73D15">
        <w:t>0</w:t>
      </w:r>
      <w:r w:rsidR="00E41E92" w:rsidRPr="00E41E92">
        <w:t>%</w:t>
      </w:r>
      <w:r w:rsidR="00E73D15">
        <w:t xml:space="preserve"> and</w:t>
      </w:r>
      <w:r w:rsidR="00E41E92" w:rsidRPr="00E41E92">
        <w:t xml:space="preserve"> </w:t>
      </w:r>
      <w:r w:rsidR="00E73D15">
        <w:t>1</w:t>
      </w:r>
      <w:r w:rsidR="00E41E92" w:rsidRPr="00E41E92">
        <w:t>%</w:t>
      </w:r>
      <w:r w:rsidR="00E73D15">
        <w:t xml:space="preserve"> of savings</w:t>
      </w:r>
      <w:r w:rsidR="00E41E92" w:rsidRPr="00E41E92">
        <w:t xml:space="preserve">, respectively). Overall, the channel experienced a </w:t>
      </w:r>
      <w:r w:rsidR="00E73D15">
        <w:t>39</w:t>
      </w:r>
      <w:r w:rsidR="00E41E92" w:rsidRPr="00E41E92">
        <w:t>% decrease in verified net demand savings compared to 202</w:t>
      </w:r>
      <w:r w:rsidR="00E73D15">
        <w:t>3</w:t>
      </w:r>
      <w:r w:rsidR="00E41E92" w:rsidRPr="00E41E92">
        <w:t>.</w:t>
      </w:r>
    </w:p>
    <w:p w14:paraId="2956CAF4" w14:textId="78596975" w:rsidR="00A15369" w:rsidRDefault="00A15369" w:rsidP="00881B1B">
      <w:pPr>
        <w:pStyle w:val="Caption"/>
      </w:pPr>
      <w:bookmarkStart w:id="261" w:name="_Ref187325008"/>
      <w:bookmarkStart w:id="262" w:name="_Toc191992578"/>
      <w:bookmarkStart w:id="263" w:name="_Toc192766991"/>
      <w:r>
        <w:t xml:space="preserve">Table </w:t>
      </w:r>
      <w:r w:rsidR="009B4C9A">
        <w:fldChar w:fldCharType="begin"/>
      </w:r>
      <w:r w:rsidR="009B4C9A">
        <w:instrText xml:space="preserve"> SEQ Table \* ARABIC </w:instrText>
      </w:r>
      <w:r w:rsidR="009B4C9A">
        <w:fldChar w:fldCharType="separate"/>
      </w:r>
      <w:r w:rsidR="00AA10F4">
        <w:rPr>
          <w:noProof/>
        </w:rPr>
        <w:t>57</w:t>
      </w:r>
      <w:r w:rsidR="009B4C9A">
        <w:rPr>
          <w:noProof/>
        </w:rPr>
        <w:fldChar w:fldCharType="end"/>
      </w:r>
      <w:bookmarkEnd w:id="261"/>
      <w:r>
        <w:t>. 2024 Small Business Direct Install Channel Demand Energy Savings by Measure</w:t>
      </w:r>
      <w:bookmarkEnd w:id="262"/>
      <w:bookmarkEnd w:id="263"/>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4045"/>
        <w:gridCol w:w="1620"/>
        <w:gridCol w:w="1710"/>
        <w:gridCol w:w="1440"/>
        <w:gridCol w:w="900"/>
        <w:gridCol w:w="1342"/>
      </w:tblGrid>
      <w:tr w:rsidR="00A15369" w14:paraId="3AF325C2" w14:textId="77777777" w:rsidTr="002B5E4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C12E09B" w14:textId="77777777" w:rsidR="00A15369" w:rsidRPr="00625570" w:rsidRDefault="00A15369" w:rsidP="00D924DA">
            <w:pPr>
              <w:pStyle w:val="TableHeadingLeft"/>
            </w:pPr>
            <w:r>
              <w:t>Measure Category</w:t>
            </w:r>
          </w:p>
        </w:tc>
        <w:tc>
          <w:tcPr>
            <w:tcW w:w="1620" w:type="dxa"/>
            <w:tcBorders>
              <w:bottom w:val="none" w:sz="0" w:space="0" w:color="auto"/>
            </w:tcBorders>
          </w:tcPr>
          <w:p w14:paraId="4B3F47A4" w14:textId="77777777" w:rsidR="00A15369" w:rsidRPr="00625570" w:rsidRDefault="00A15369" w:rsidP="008C6FB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710" w:type="dxa"/>
            <w:tcBorders>
              <w:bottom w:val="none" w:sz="0" w:space="0" w:color="auto"/>
            </w:tcBorders>
          </w:tcPr>
          <w:p w14:paraId="55AC344C" w14:textId="77777777" w:rsidR="00A15369" w:rsidRPr="00625570" w:rsidRDefault="00A15369" w:rsidP="008C6FB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440" w:type="dxa"/>
            <w:tcBorders>
              <w:bottom w:val="none" w:sz="0" w:space="0" w:color="auto"/>
            </w:tcBorders>
          </w:tcPr>
          <w:p w14:paraId="4A5F19A8" w14:textId="77777777" w:rsidR="00A15369" w:rsidRPr="00625570" w:rsidRDefault="00A15369" w:rsidP="008C6FB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900" w:type="dxa"/>
            <w:tcBorders>
              <w:bottom w:val="none" w:sz="0" w:space="0" w:color="auto"/>
            </w:tcBorders>
          </w:tcPr>
          <w:p w14:paraId="3D6817E6" w14:textId="77777777" w:rsidR="00A15369" w:rsidRPr="00625570" w:rsidRDefault="00A15369"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42" w:type="dxa"/>
            <w:tcBorders>
              <w:bottom w:val="none" w:sz="0" w:space="0" w:color="auto"/>
            </w:tcBorders>
          </w:tcPr>
          <w:p w14:paraId="5D69B289" w14:textId="77777777" w:rsidR="00A15369" w:rsidRPr="00625570" w:rsidRDefault="00A15369" w:rsidP="008C6FB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1A5095" w14:paraId="4ED6E33C"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CFC6436" w14:textId="0B0F823B" w:rsidR="001A5095" w:rsidRPr="00625570" w:rsidRDefault="001A5095" w:rsidP="00D924DA">
            <w:pPr>
              <w:pStyle w:val="TableLeftText"/>
            </w:pPr>
            <w:r w:rsidRPr="008616C6">
              <w:t>LED Bulbs and Fixtures</w:t>
            </w:r>
          </w:p>
        </w:tc>
        <w:tc>
          <w:tcPr>
            <w:tcW w:w="1620" w:type="dxa"/>
            <w:tcBorders>
              <w:top w:val="none" w:sz="0" w:space="0" w:color="auto"/>
              <w:left w:val="none" w:sz="0" w:space="0" w:color="auto"/>
              <w:bottom w:val="none" w:sz="0" w:space="0" w:color="auto"/>
              <w:right w:val="none" w:sz="0" w:space="0" w:color="auto"/>
            </w:tcBorders>
          </w:tcPr>
          <w:p w14:paraId="199D3234" w14:textId="43CB7A25"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5.00</w:t>
            </w:r>
          </w:p>
        </w:tc>
        <w:tc>
          <w:tcPr>
            <w:tcW w:w="1710" w:type="dxa"/>
            <w:tcBorders>
              <w:top w:val="none" w:sz="0" w:space="0" w:color="auto"/>
              <w:left w:val="none" w:sz="0" w:space="0" w:color="auto"/>
              <w:bottom w:val="none" w:sz="0" w:space="0" w:color="auto"/>
              <w:right w:val="none" w:sz="0" w:space="0" w:color="auto"/>
            </w:tcBorders>
          </w:tcPr>
          <w:p w14:paraId="3E9BAC6A" w14:textId="267F0C7C"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753228D5" w14:textId="1614DFF9"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5.00</w:t>
            </w:r>
          </w:p>
        </w:tc>
        <w:tc>
          <w:tcPr>
            <w:tcW w:w="900" w:type="dxa"/>
            <w:tcBorders>
              <w:top w:val="none" w:sz="0" w:space="0" w:color="auto"/>
              <w:left w:val="none" w:sz="0" w:space="0" w:color="auto"/>
              <w:bottom w:val="none" w:sz="0" w:space="0" w:color="auto"/>
              <w:right w:val="none" w:sz="0" w:space="0" w:color="auto"/>
            </w:tcBorders>
          </w:tcPr>
          <w:p w14:paraId="20557AC7" w14:textId="0946CB54"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0.920</w:t>
            </w:r>
          </w:p>
        </w:tc>
        <w:tc>
          <w:tcPr>
            <w:tcW w:w="1342" w:type="dxa"/>
            <w:tcBorders>
              <w:top w:val="none" w:sz="0" w:space="0" w:color="auto"/>
              <w:left w:val="none" w:sz="0" w:space="0" w:color="auto"/>
              <w:bottom w:val="none" w:sz="0" w:space="0" w:color="auto"/>
              <w:right w:val="none" w:sz="0" w:space="0" w:color="auto"/>
            </w:tcBorders>
          </w:tcPr>
          <w:p w14:paraId="0A53E077" w14:textId="33E69E61"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4.60</w:t>
            </w:r>
          </w:p>
        </w:tc>
      </w:tr>
      <w:tr w:rsidR="001A5095" w14:paraId="136BAFBE"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4D862DE" w14:textId="69335886" w:rsidR="001A5095" w:rsidRPr="00625570" w:rsidRDefault="001A5095" w:rsidP="00D924DA">
            <w:pPr>
              <w:pStyle w:val="TableLeftText"/>
            </w:pPr>
            <w:r w:rsidRPr="008616C6">
              <w:t>Lighting Controls</w:t>
            </w:r>
          </w:p>
        </w:tc>
        <w:tc>
          <w:tcPr>
            <w:tcW w:w="1620" w:type="dxa"/>
            <w:tcBorders>
              <w:top w:val="none" w:sz="0" w:space="0" w:color="auto"/>
              <w:left w:val="none" w:sz="0" w:space="0" w:color="auto"/>
              <w:bottom w:val="none" w:sz="0" w:space="0" w:color="auto"/>
              <w:right w:val="none" w:sz="0" w:space="0" w:color="auto"/>
            </w:tcBorders>
          </w:tcPr>
          <w:p w14:paraId="1C55B1F9" w14:textId="037C84F1"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0.65</w:t>
            </w:r>
          </w:p>
        </w:tc>
        <w:tc>
          <w:tcPr>
            <w:tcW w:w="1710" w:type="dxa"/>
            <w:tcBorders>
              <w:top w:val="none" w:sz="0" w:space="0" w:color="auto"/>
              <w:left w:val="none" w:sz="0" w:space="0" w:color="auto"/>
              <w:bottom w:val="none" w:sz="0" w:space="0" w:color="auto"/>
              <w:right w:val="none" w:sz="0" w:space="0" w:color="auto"/>
            </w:tcBorders>
          </w:tcPr>
          <w:p w14:paraId="1E995056" w14:textId="5DF99264"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616C6">
              <w:t>94%</w:t>
            </w:r>
          </w:p>
        </w:tc>
        <w:tc>
          <w:tcPr>
            <w:tcW w:w="1440" w:type="dxa"/>
            <w:tcBorders>
              <w:top w:val="none" w:sz="0" w:space="0" w:color="auto"/>
              <w:left w:val="none" w:sz="0" w:space="0" w:color="auto"/>
              <w:bottom w:val="none" w:sz="0" w:space="0" w:color="auto"/>
              <w:right w:val="none" w:sz="0" w:space="0" w:color="auto"/>
            </w:tcBorders>
          </w:tcPr>
          <w:p w14:paraId="7AABB387" w14:textId="0EE25596"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616C6">
              <w:t>0.61</w:t>
            </w:r>
          </w:p>
        </w:tc>
        <w:tc>
          <w:tcPr>
            <w:tcW w:w="900" w:type="dxa"/>
            <w:tcBorders>
              <w:top w:val="none" w:sz="0" w:space="0" w:color="auto"/>
              <w:left w:val="none" w:sz="0" w:space="0" w:color="auto"/>
              <w:bottom w:val="none" w:sz="0" w:space="0" w:color="auto"/>
              <w:right w:val="none" w:sz="0" w:space="0" w:color="auto"/>
            </w:tcBorders>
          </w:tcPr>
          <w:p w14:paraId="28133C67" w14:textId="669269EE"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0.906</w:t>
            </w:r>
          </w:p>
        </w:tc>
        <w:tc>
          <w:tcPr>
            <w:tcW w:w="1342" w:type="dxa"/>
            <w:tcBorders>
              <w:top w:val="none" w:sz="0" w:space="0" w:color="auto"/>
              <w:left w:val="none" w:sz="0" w:space="0" w:color="auto"/>
              <w:bottom w:val="none" w:sz="0" w:space="0" w:color="auto"/>
              <w:right w:val="none" w:sz="0" w:space="0" w:color="auto"/>
            </w:tcBorders>
          </w:tcPr>
          <w:p w14:paraId="050106BA" w14:textId="2BF9C4E6"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616C6">
              <w:t>0.55</w:t>
            </w:r>
          </w:p>
        </w:tc>
      </w:tr>
      <w:tr w:rsidR="001A5095" w14:paraId="6934AE27"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541B8E8" w14:textId="26726FC9" w:rsidR="001A5095" w:rsidRPr="00625570" w:rsidRDefault="001A5095" w:rsidP="00D924DA">
            <w:pPr>
              <w:pStyle w:val="TableLeftText"/>
            </w:pPr>
            <w:r w:rsidRPr="008616C6">
              <w:t>ECMs for Coolers/Freezers</w:t>
            </w:r>
          </w:p>
        </w:tc>
        <w:tc>
          <w:tcPr>
            <w:tcW w:w="1620" w:type="dxa"/>
            <w:tcBorders>
              <w:top w:val="none" w:sz="0" w:space="0" w:color="auto"/>
              <w:left w:val="none" w:sz="0" w:space="0" w:color="auto"/>
              <w:bottom w:val="none" w:sz="0" w:space="0" w:color="auto"/>
              <w:right w:val="none" w:sz="0" w:space="0" w:color="auto"/>
            </w:tcBorders>
          </w:tcPr>
          <w:p w14:paraId="655F6E8D" w14:textId="52EDFC11"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0.06</w:t>
            </w:r>
          </w:p>
        </w:tc>
        <w:tc>
          <w:tcPr>
            <w:tcW w:w="1710" w:type="dxa"/>
            <w:tcBorders>
              <w:top w:val="none" w:sz="0" w:space="0" w:color="auto"/>
              <w:left w:val="none" w:sz="0" w:space="0" w:color="auto"/>
              <w:bottom w:val="none" w:sz="0" w:space="0" w:color="auto"/>
              <w:right w:val="none" w:sz="0" w:space="0" w:color="auto"/>
            </w:tcBorders>
          </w:tcPr>
          <w:p w14:paraId="19210200" w14:textId="0B34E633"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22566742" w14:textId="6BCEBAE9"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0.06</w:t>
            </w:r>
          </w:p>
        </w:tc>
        <w:tc>
          <w:tcPr>
            <w:tcW w:w="900" w:type="dxa"/>
            <w:tcBorders>
              <w:top w:val="none" w:sz="0" w:space="0" w:color="auto"/>
              <w:left w:val="none" w:sz="0" w:space="0" w:color="auto"/>
              <w:bottom w:val="none" w:sz="0" w:space="0" w:color="auto"/>
              <w:right w:val="none" w:sz="0" w:space="0" w:color="auto"/>
            </w:tcBorders>
          </w:tcPr>
          <w:p w14:paraId="67C41DB9" w14:textId="21837322"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0.897</w:t>
            </w:r>
          </w:p>
        </w:tc>
        <w:tc>
          <w:tcPr>
            <w:tcW w:w="1342" w:type="dxa"/>
            <w:tcBorders>
              <w:top w:val="none" w:sz="0" w:space="0" w:color="auto"/>
              <w:left w:val="none" w:sz="0" w:space="0" w:color="auto"/>
              <w:bottom w:val="none" w:sz="0" w:space="0" w:color="auto"/>
              <w:right w:val="none" w:sz="0" w:space="0" w:color="auto"/>
            </w:tcBorders>
          </w:tcPr>
          <w:p w14:paraId="69B53EBC" w14:textId="432E63A5" w:rsidR="001A5095" w:rsidRPr="00625570"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0.06</w:t>
            </w:r>
          </w:p>
        </w:tc>
      </w:tr>
      <w:tr w:rsidR="001A5095" w14:paraId="6B118E41"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2509F1AD" w14:textId="68C99972" w:rsidR="001A5095" w:rsidRPr="00625570" w:rsidRDefault="001A5095" w:rsidP="00D924DA">
            <w:pPr>
              <w:pStyle w:val="TableLeftText"/>
            </w:pPr>
            <w:r w:rsidRPr="008616C6">
              <w:t>Fluorescent Delamping</w:t>
            </w:r>
          </w:p>
        </w:tc>
        <w:tc>
          <w:tcPr>
            <w:tcW w:w="1620" w:type="dxa"/>
            <w:tcBorders>
              <w:top w:val="none" w:sz="0" w:space="0" w:color="auto"/>
              <w:left w:val="none" w:sz="0" w:space="0" w:color="auto"/>
              <w:bottom w:val="none" w:sz="0" w:space="0" w:color="auto"/>
              <w:right w:val="none" w:sz="0" w:space="0" w:color="auto"/>
            </w:tcBorders>
          </w:tcPr>
          <w:p w14:paraId="098935B8" w14:textId="2B6EEF1D"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0.02</w:t>
            </w:r>
          </w:p>
        </w:tc>
        <w:tc>
          <w:tcPr>
            <w:tcW w:w="1710" w:type="dxa"/>
            <w:tcBorders>
              <w:top w:val="none" w:sz="0" w:space="0" w:color="auto"/>
              <w:left w:val="none" w:sz="0" w:space="0" w:color="auto"/>
              <w:bottom w:val="none" w:sz="0" w:space="0" w:color="auto"/>
              <w:right w:val="none" w:sz="0" w:space="0" w:color="auto"/>
            </w:tcBorders>
          </w:tcPr>
          <w:p w14:paraId="6FDE8C56" w14:textId="4AE67880"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47BABDCC" w14:textId="3644E696"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0.02</w:t>
            </w:r>
          </w:p>
        </w:tc>
        <w:tc>
          <w:tcPr>
            <w:tcW w:w="900" w:type="dxa"/>
            <w:tcBorders>
              <w:top w:val="none" w:sz="0" w:space="0" w:color="auto"/>
              <w:left w:val="none" w:sz="0" w:space="0" w:color="auto"/>
              <w:bottom w:val="none" w:sz="0" w:space="0" w:color="auto"/>
              <w:right w:val="none" w:sz="0" w:space="0" w:color="auto"/>
            </w:tcBorders>
          </w:tcPr>
          <w:p w14:paraId="62100D01" w14:textId="482875BE"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0.912</w:t>
            </w:r>
          </w:p>
        </w:tc>
        <w:tc>
          <w:tcPr>
            <w:tcW w:w="1342" w:type="dxa"/>
            <w:tcBorders>
              <w:top w:val="none" w:sz="0" w:space="0" w:color="auto"/>
              <w:left w:val="none" w:sz="0" w:space="0" w:color="auto"/>
              <w:bottom w:val="none" w:sz="0" w:space="0" w:color="auto"/>
              <w:right w:val="none" w:sz="0" w:space="0" w:color="auto"/>
            </w:tcBorders>
          </w:tcPr>
          <w:p w14:paraId="1CCFCDA9" w14:textId="6C311A93" w:rsidR="001A5095" w:rsidRPr="00625570"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0.02</w:t>
            </w:r>
          </w:p>
        </w:tc>
      </w:tr>
      <w:tr w:rsidR="001A5095" w14:paraId="649D8D05"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77A4A8C2" w14:textId="32D57975" w:rsidR="001A5095" w:rsidRDefault="001A5095" w:rsidP="00D924DA">
            <w:pPr>
              <w:pStyle w:val="TableLeftText"/>
            </w:pPr>
            <w:r w:rsidRPr="008616C6">
              <w:t>Evaporator Fan Control for ECMs</w:t>
            </w:r>
          </w:p>
        </w:tc>
        <w:tc>
          <w:tcPr>
            <w:tcW w:w="1620" w:type="dxa"/>
            <w:tcBorders>
              <w:top w:val="none" w:sz="0" w:space="0" w:color="auto"/>
              <w:left w:val="none" w:sz="0" w:space="0" w:color="auto"/>
              <w:bottom w:val="none" w:sz="0" w:space="0" w:color="auto"/>
              <w:right w:val="none" w:sz="0" w:space="0" w:color="auto"/>
            </w:tcBorders>
          </w:tcPr>
          <w:p w14:paraId="02EB0CAC" w14:textId="42A14150"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0.01</w:t>
            </w:r>
          </w:p>
        </w:tc>
        <w:tc>
          <w:tcPr>
            <w:tcW w:w="1710" w:type="dxa"/>
            <w:tcBorders>
              <w:top w:val="none" w:sz="0" w:space="0" w:color="auto"/>
              <w:left w:val="none" w:sz="0" w:space="0" w:color="auto"/>
              <w:bottom w:val="none" w:sz="0" w:space="0" w:color="auto"/>
              <w:right w:val="none" w:sz="0" w:space="0" w:color="auto"/>
            </w:tcBorders>
          </w:tcPr>
          <w:p w14:paraId="0E51CF12" w14:textId="3F5382AA" w:rsidR="001A5095" w:rsidRPr="00987F21"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73819BF0" w14:textId="01C87D1E"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0.01</w:t>
            </w:r>
          </w:p>
        </w:tc>
        <w:tc>
          <w:tcPr>
            <w:tcW w:w="900" w:type="dxa"/>
            <w:tcBorders>
              <w:top w:val="none" w:sz="0" w:space="0" w:color="auto"/>
              <w:left w:val="none" w:sz="0" w:space="0" w:color="auto"/>
              <w:bottom w:val="none" w:sz="0" w:space="0" w:color="auto"/>
              <w:right w:val="none" w:sz="0" w:space="0" w:color="auto"/>
            </w:tcBorders>
          </w:tcPr>
          <w:p w14:paraId="4E483215" w14:textId="10967E15" w:rsidR="001A5095" w:rsidRPr="00987F21"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0.9</w:t>
            </w:r>
            <w:r w:rsidR="00F96B7E">
              <w:t>11</w:t>
            </w:r>
          </w:p>
        </w:tc>
        <w:tc>
          <w:tcPr>
            <w:tcW w:w="1342" w:type="dxa"/>
            <w:tcBorders>
              <w:top w:val="none" w:sz="0" w:space="0" w:color="auto"/>
              <w:left w:val="none" w:sz="0" w:space="0" w:color="auto"/>
              <w:bottom w:val="none" w:sz="0" w:space="0" w:color="auto"/>
              <w:right w:val="none" w:sz="0" w:space="0" w:color="auto"/>
            </w:tcBorders>
          </w:tcPr>
          <w:p w14:paraId="42B63F0C" w14:textId="3B84124F"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&lt;0.01</w:t>
            </w:r>
          </w:p>
        </w:tc>
      </w:tr>
      <w:tr w:rsidR="001A5095" w14:paraId="77912DB2"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0B37D49B" w14:textId="193DB1FA" w:rsidR="001A5095" w:rsidRDefault="001A5095" w:rsidP="00D924DA">
            <w:pPr>
              <w:pStyle w:val="TableLeftText"/>
            </w:pPr>
            <w:r w:rsidRPr="008616C6">
              <w:t xml:space="preserve">Exit Signs </w:t>
            </w:r>
          </w:p>
        </w:tc>
        <w:tc>
          <w:tcPr>
            <w:tcW w:w="1620" w:type="dxa"/>
            <w:tcBorders>
              <w:top w:val="none" w:sz="0" w:space="0" w:color="auto"/>
              <w:left w:val="none" w:sz="0" w:space="0" w:color="auto"/>
              <w:bottom w:val="none" w:sz="0" w:space="0" w:color="auto"/>
              <w:right w:val="none" w:sz="0" w:space="0" w:color="auto"/>
            </w:tcBorders>
          </w:tcPr>
          <w:p w14:paraId="77E40556" w14:textId="6EE17EC0" w:rsidR="001A5095"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0.01</w:t>
            </w:r>
          </w:p>
        </w:tc>
        <w:tc>
          <w:tcPr>
            <w:tcW w:w="1710" w:type="dxa"/>
            <w:tcBorders>
              <w:top w:val="none" w:sz="0" w:space="0" w:color="auto"/>
              <w:left w:val="none" w:sz="0" w:space="0" w:color="auto"/>
              <w:bottom w:val="none" w:sz="0" w:space="0" w:color="auto"/>
              <w:right w:val="none" w:sz="0" w:space="0" w:color="auto"/>
            </w:tcBorders>
          </w:tcPr>
          <w:p w14:paraId="01ADBBF1" w14:textId="5BC87369" w:rsidR="001A5095" w:rsidRPr="00987F21"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010FBE3B" w14:textId="34007BB5" w:rsidR="001A5095"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0.01</w:t>
            </w:r>
          </w:p>
        </w:tc>
        <w:tc>
          <w:tcPr>
            <w:tcW w:w="900" w:type="dxa"/>
            <w:tcBorders>
              <w:top w:val="none" w:sz="0" w:space="0" w:color="auto"/>
              <w:left w:val="none" w:sz="0" w:space="0" w:color="auto"/>
              <w:bottom w:val="none" w:sz="0" w:space="0" w:color="auto"/>
              <w:right w:val="none" w:sz="0" w:space="0" w:color="auto"/>
            </w:tcBorders>
          </w:tcPr>
          <w:p w14:paraId="5401A152" w14:textId="5ABB6F0B" w:rsidR="001A5095" w:rsidRPr="00987F21"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0.9</w:t>
            </w:r>
            <w:r w:rsidR="00F96B7E">
              <w:t>04</w:t>
            </w:r>
          </w:p>
        </w:tc>
        <w:tc>
          <w:tcPr>
            <w:tcW w:w="1342" w:type="dxa"/>
            <w:tcBorders>
              <w:top w:val="none" w:sz="0" w:space="0" w:color="auto"/>
              <w:left w:val="none" w:sz="0" w:space="0" w:color="auto"/>
              <w:bottom w:val="none" w:sz="0" w:space="0" w:color="auto"/>
              <w:right w:val="none" w:sz="0" w:space="0" w:color="auto"/>
            </w:tcBorders>
          </w:tcPr>
          <w:p w14:paraId="5D96A6FD" w14:textId="578D31E7" w:rsidR="001A5095"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8616C6">
              <w:t>0.01</w:t>
            </w:r>
          </w:p>
        </w:tc>
      </w:tr>
      <w:tr w:rsidR="001A5095" w14:paraId="286D23AE"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792F430" w14:textId="5EC05FA8" w:rsidR="001A5095" w:rsidRDefault="001A5095" w:rsidP="00D924DA">
            <w:pPr>
              <w:pStyle w:val="TableLeftText"/>
            </w:pPr>
            <w:r w:rsidRPr="008616C6">
              <w:t>Automatic Door Closer</w:t>
            </w:r>
          </w:p>
        </w:tc>
        <w:tc>
          <w:tcPr>
            <w:tcW w:w="1620" w:type="dxa"/>
            <w:tcBorders>
              <w:top w:val="none" w:sz="0" w:space="0" w:color="auto"/>
              <w:left w:val="none" w:sz="0" w:space="0" w:color="auto"/>
              <w:bottom w:val="none" w:sz="0" w:space="0" w:color="auto"/>
              <w:right w:val="none" w:sz="0" w:space="0" w:color="auto"/>
            </w:tcBorders>
          </w:tcPr>
          <w:p w14:paraId="7BAE85EA" w14:textId="63A4F0E7"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&lt;0.01</w:t>
            </w:r>
          </w:p>
        </w:tc>
        <w:tc>
          <w:tcPr>
            <w:tcW w:w="1710" w:type="dxa"/>
            <w:tcBorders>
              <w:top w:val="none" w:sz="0" w:space="0" w:color="auto"/>
              <w:left w:val="none" w:sz="0" w:space="0" w:color="auto"/>
              <w:bottom w:val="none" w:sz="0" w:space="0" w:color="auto"/>
              <w:right w:val="none" w:sz="0" w:space="0" w:color="auto"/>
            </w:tcBorders>
          </w:tcPr>
          <w:p w14:paraId="71544FDA" w14:textId="690A41F1" w:rsidR="001A5095" w:rsidRPr="00987F21"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100%</w:t>
            </w:r>
          </w:p>
        </w:tc>
        <w:tc>
          <w:tcPr>
            <w:tcW w:w="1440" w:type="dxa"/>
            <w:tcBorders>
              <w:top w:val="none" w:sz="0" w:space="0" w:color="auto"/>
              <w:left w:val="none" w:sz="0" w:space="0" w:color="auto"/>
              <w:bottom w:val="none" w:sz="0" w:space="0" w:color="auto"/>
              <w:right w:val="none" w:sz="0" w:space="0" w:color="auto"/>
            </w:tcBorders>
          </w:tcPr>
          <w:p w14:paraId="4A884320" w14:textId="45302915"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&lt;0.01</w:t>
            </w:r>
          </w:p>
        </w:tc>
        <w:tc>
          <w:tcPr>
            <w:tcW w:w="900" w:type="dxa"/>
            <w:tcBorders>
              <w:top w:val="none" w:sz="0" w:space="0" w:color="auto"/>
              <w:left w:val="none" w:sz="0" w:space="0" w:color="auto"/>
              <w:bottom w:val="none" w:sz="0" w:space="0" w:color="auto"/>
              <w:right w:val="none" w:sz="0" w:space="0" w:color="auto"/>
            </w:tcBorders>
          </w:tcPr>
          <w:p w14:paraId="6883EFE0" w14:textId="4BC4848D" w:rsidR="001A5095" w:rsidRPr="00987F21"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0.891</w:t>
            </w:r>
          </w:p>
        </w:tc>
        <w:tc>
          <w:tcPr>
            <w:tcW w:w="1342" w:type="dxa"/>
            <w:tcBorders>
              <w:top w:val="none" w:sz="0" w:space="0" w:color="auto"/>
              <w:left w:val="none" w:sz="0" w:space="0" w:color="auto"/>
              <w:bottom w:val="none" w:sz="0" w:space="0" w:color="auto"/>
              <w:right w:val="none" w:sz="0" w:space="0" w:color="auto"/>
            </w:tcBorders>
          </w:tcPr>
          <w:p w14:paraId="289648A1" w14:textId="54BF2D0D" w:rsidR="001A5095" w:rsidRDefault="001A5095"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8616C6">
              <w:t>&lt;0.01</w:t>
            </w:r>
          </w:p>
        </w:tc>
      </w:tr>
      <w:tr w:rsidR="001A5095" w14:paraId="7A2A1CA3"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4045" w:type="dxa"/>
            <w:tcBorders>
              <w:top w:val="none" w:sz="0" w:space="0" w:color="auto"/>
              <w:left w:val="none" w:sz="0" w:space="0" w:color="auto"/>
              <w:bottom w:val="none" w:sz="0" w:space="0" w:color="auto"/>
              <w:right w:val="none" w:sz="0" w:space="0" w:color="auto"/>
            </w:tcBorders>
          </w:tcPr>
          <w:p w14:paraId="1B8B46DB" w14:textId="77777777" w:rsidR="001A5095" w:rsidRPr="00D924DA" w:rsidRDefault="001A5095" w:rsidP="00D924DA">
            <w:pPr>
              <w:pStyle w:val="TableTextLeftMedium"/>
            </w:pPr>
            <w:r w:rsidRPr="00D924DA">
              <w:t>Total</w:t>
            </w:r>
          </w:p>
        </w:tc>
        <w:tc>
          <w:tcPr>
            <w:tcW w:w="1620" w:type="dxa"/>
            <w:tcBorders>
              <w:top w:val="none" w:sz="0" w:space="0" w:color="auto"/>
              <w:left w:val="none" w:sz="0" w:space="0" w:color="auto"/>
              <w:bottom w:val="none" w:sz="0" w:space="0" w:color="auto"/>
              <w:right w:val="none" w:sz="0" w:space="0" w:color="auto"/>
            </w:tcBorders>
          </w:tcPr>
          <w:p w14:paraId="492A011F" w14:textId="1186646E" w:rsidR="001A5095" w:rsidRPr="00D924DA"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5.75</w:t>
            </w:r>
          </w:p>
        </w:tc>
        <w:tc>
          <w:tcPr>
            <w:tcW w:w="1710" w:type="dxa"/>
            <w:tcBorders>
              <w:top w:val="none" w:sz="0" w:space="0" w:color="auto"/>
              <w:left w:val="none" w:sz="0" w:space="0" w:color="auto"/>
              <w:bottom w:val="none" w:sz="0" w:space="0" w:color="auto"/>
              <w:right w:val="none" w:sz="0" w:space="0" w:color="auto"/>
            </w:tcBorders>
          </w:tcPr>
          <w:p w14:paraId="6B79D9A0" w14:textId="639C483B" w:rsidR="001A5095" w:rsidRPr="00D924DA"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99%</w:t>
            </w:r>
          </w:p>
        </w:tc>
        <w:tc>
          <w:tcPr>
            <w:tcW w:w="1440" w:type="dxa"/>
            <w:tcBorders>
              <w:top w:val="none" w:sz="0" w:space="0" w:color="auto"/>
              <w:left w:val="none" w:sz="0" w:space="0" w:color="auto"/>
              <w:bottom w:val="none" w:sz="0" w:space="0" w:color="auto"/>
              <w:right w:val="none" w:sz="0" w:space="0" w:color="auto"/>
            </w:tcBorders>
          </w:tcPr>
          <w:p w14:paraId="3C9EC763" w14:textId="7DDDED44" w:rsidR="001A5095" w:rsidRPr="00D924DA"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5.71</w:t>
            </w:r>
          </w:p>
        </w:tc>
        <w:tc>
          <w:tcPr>
            <w:tcW w:w="900" w:type="dxa"/>
            <w:tcBorders>
              <w:top w:val="none" w:sz="0" w:space="0" w:color="auto"/>
              <w:left w:val="none" w:sz="0" w:space="0" w:color="auto"/>
              <w:bottom w:val="none" w:sz="0" w:space="0" w:color="auto"/>
              <w:right w:val="none" w:sz="0" w:space="0" w:color="auto"/>
            </w:tcBorders>
          </w:tcPr>
          <w:p w14:paraId="3253E8F9" w14:textId="5EC3BFC1" w:rsidR="001A5095" w:rsidRPr="00D924DA"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0.918</w:t>
            </w:r>
          </w:p>
        </w:tc>
        <w:tc>
          <w:tcPr>
            <w:tcW w:w="1342" w:type="dxa"/>
            <w:tcBorders>
              <w:top w:val="none" w:sz="0" w:space="0" w:color="auto"/>
              <w:left w:val="none" w:sz="0" w:space="0" w:color="auto"/>
              <w:bottom w:val="none" w:sz="0" w:space="0" w:color="auto"/>
              <w:right w:val="none" w:sz="0" w:space="0" w:color="auto"/>
            </w:tcBorders>
          </w:tcPr>
          <w:p w14:paraId="581D6149" w14:textId="1D355D70" w:rsidR="001A5095" w:rsidRPr="00D924DA" w:rsidRDefault="001A5095" w:rsidP="002B5E4A">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D924DA">
              <w:rPr>
                <w:rFonts w:ascii="Franklin Gothic Medium" w:hAnsi="Franklin Gothic Medium"/>
              </w:rPr>
              <w:t>5.25</w:t>
            </w:r>
          </w:p>
        </w:tc>
      </w:tr>
    </w:tbl>
    <w:p w14:paraId="3FC4ADA3" w14:textId="5C235FD7" w:rsidR="00307C26" w:rsidRDefault="00307C26" w:rsidP="002B2717">
      <w:pPr>
        <w:pStyle w:val="NoSpacing"/>
        <w:spacing w:before="240"/>
      </w:pPr>
      <w:r>
        <w:t xml:space="preserve">We discuss </w:t>
      </w:r>
      <w:r w:rsidR="0074531F">
        <w:t xml:space="preserve">significant </w:t>
      </w:r>
      <w:r>
        <w:t>discrepancies between ex ante claims and the verified analysis below.</w:t>
      </w:r>
    </w:p>
    <w:p w14:paraId="6457D409" w14:textId="77777777" w:rsidR="001A5095" w:rsidRDefault="001A5095" w:rsidP="001A5095">
      <w:pPr>
        <w:pStyle w:val="ListBullet"/>
        <w:ind w:left="540" w:hanging="360"/>
      </w:pPr>
      <w:r w:rsidRPr="00F96B7E">
        <w:rPr>
          <w:b/>
          <w:bCs/>
        </w:rPr>
        <w:t>LED Bulbs and Fixtures</w:t>
      </w:r>
      <w:r>
        <w:t xml:space="preserve"> (89% of ex ante energy savings and 87% of demand savings): The gross realization rates for LED Bulbs and Fixtures are 100% for electric energy savings and 100% for demand savings.</w:t>
      </w:r>
    </w:p>
    <w:p w14:paraId="186E524F" w14:textId="507066CC" w:rsidR="001A5095" w:rsidRDefault="001A5095" w:rsidP="00693C6B">
      <w:pPr>
        <w:pStyle w:val="ListBullet2"/>
      </w:pPr>
      <w:r w:rsidRPr="00AC4871">
        <w:t xml:space="preserve">For thirty records, the </w:t>
      </w:r>
      <w:r>
        <w:t>implementation team</w:t>
      </w:r>
      <w:r w:rsidRPr="00AC4871">
        <w:t xml:space="preserve"> </w:t>
      </w:r>
      <w:r>
        <w:t>applied</w:t>
      </w:r>
      <w:r w:rsidRPr="00AC4871">
        <w:t xml:space="preserve"> the coincidence factor for an uncooled building </w:t>
      </w:r>
      <w:r>
        <w:t xml:space="preserve">in the ex ante calculations </w:t>
      </w:r>
      <w:r w:rsidR="0074531F">
        <w:t>instead of</w:t>
      </w:r>
      <w:r w:rsidRPr="00AC4871">
        <w:t xml:space="preserve"> the garage</w:t>
      </w:r>
      <w:r>
        <w:t xml:space="preserve"> building type listed in the tracking data</w:t>
      </w:r>
      <w:r w:rsidRPr="00AC4871">
        <w:t xml:space="preserve">. The evaluation team </w:t>
      </w:r>
      <w:r>
        <w:t>applied</w:t>
      </w:r>
      <w:r w:rsidRPr="00AC4871">
        <w:t xml:space="preserve"> the coincidence factor for garage</w:t>
      </w:r>
      <w:r>
        <w:t>s in the verified calculations,</w:t>
      </w:r>
      <w:r w:rsidRPr="00AC4871">
        <w:t xml:space="preserve"> result</w:t>
      </w:r>
      <w:r>
        <w:t>ing</w:t>
      </w:r>
      <w:r w:rsidRPr="00AC4871">
        <w:t xml:space="preserve"> in higher verified </w:t>
      </w:r>
      <w:r>
        <w:t>demand</w:t>
      </w:r>
      <w:r w:rsidRPr="00AC4871">
        <w:t xml:space="preserve"> savings.</w:t>
      </w:r>
    </w:p>
    <w:p w14:paraId="5B586FE6" w14:textId="29B2792C" w:rsidR="001A5095" w:rsidRDefault="001A5095" w:rsidP="00693C6B">
      <w:pPr>
        <w:pStyle w:val="ListBullet2"/>
      </w:pPr>
      <w:r w:rsidRPr="00AC4871">
        <w:t xml:space="preserve">For three records, the </w:t>
      </w:r>
      <w:r>
        <w:t>implementation team</w:t>
      </w:r>
      <w:r w:rsidRPr="00AC4871">
        <w:t xml:space="preserve"> </w:t>
      </w:r>
      <w:r>
        <w:t>applied</w:t>
      </w:r>
      <w:r w:rsidRPr="00AC4871">
        <w:t xml:space="preserve"> the interactive effect factor for electrically heated facilities (IFkWh) and the waste heat factor for electric energy (WHFe) </w:t>
      </w:r>
      <w:r>
        <w:t>for</w:t>
      </w:r>
      <w:r w:rsidRPr="00AC4871">
        <w:t xml:space="preserve"> an uncooled building instead of </w:t>
      </w:r>
      <w:r>
        <w:t xml:space="preserve">a </w:t>
      </w:r>
      <w:r w:rsidRPr="00AC4871">
        <w:t xml:space="preserve">garage. </w:t>
      </w:r>
      <w:r>
        <w:t>The</w:t>
      </w:r>
      <w:r w:rsidRPr="00AC4871">
        <w:t xml:space="preserve"> evaluation team </w:t>
      </w:r>
      <w:r>
        <w:t>applied</w:t>
      </w:r>
      <w:r w:rsidRPr="00AC4871">
        <w:t xml:space="preserve"> all parameters for the garage building type </w:t>
      </w:r>
      <w:r>
        <w:t xml:space="preserve">in the verified calculations, </w:t>
      </w:r>
      <w:r w:rsidRPr="00AC4871">
        <w:t>result</w:t>
      </w:r>
      <w:r>
        <w:t>ing</w:t>
      </w:r>
      <w:r w:rsidRPr="00AC4871">
        <w:t xml:space="preserve"> in higher verified </w:t>
      </w:r>
      <w:r w:rsidR="00945306">
        <w:t xml:space="preserve">electric </w:t>
      </w:r>
      <w:r w:rsidRPr="00AC4871">
        <w:t>energy savings.</w:t>
      </w:r>
    </w:p>
    <w:p w14:paraId="6AC9A42B" w14:textId="611563DA" w:rsidR="001A5095" w:rsidRDefault="001A5095" w:rsidP="00693C6B">
      <w:pPr>
        <w:pStyle w:val="ListBullet2"/>
      </w:pPr>
      <w:r w:rsidRPr="00AC4871">
        <w:t xml:space="preserve">For one record, the </w:t>
      </w:r>
      <w:r>
        <w:t xml:space="preserve">building type listed in the </w:t>
      </w:r>
      <w:r w:rsidRPr="00AC4871">
        <w:t xml:space="preserve">tracking data was </w:t>
      </w:r>
      <w:r w:rsidR="0074531F">
        <w:t>“</w:t>
      </w:r>
      <w:r w:rsidRPr="00AC4871">
        <w:t>Office – Low Rise</w:t>
      </w:r>
      <w:r w:rsidR="0042014A">
        <w:t>”</w:t>
      </w:r>
      <w:r w:rsidR="00945306">
        <w:t xml:space="preserve"> with cooling</w:t>
      </w:r>
      <w:r w:rsidRPr="00AC4871">
        <w:t xml:space="preserve">. </w:t>
      </w:r>
      <w:r>
        <w:t>However, t</w:t>
      </w:r>
      <w:r w:rsidRPr="00AC4871">
        <w:t xml:space="preserve">he ex ante </w:t>
      </w:r>
      <w:r>
        <w:t>savings reflected the application of</w:t>
      </w:r>
      <w:r w:rsidRPr="00AC4871">
        <w:t xml:space="preserve"> the WHFe for </w:t>
      </w:r>
      <w:r w:rsidR="00945306">
        <w:t xml:space="preserve">an </w:t>
      </w:r>
      <w:r>
        <w:t>uncooled building.</w:t>
      </w:r>
      <w:r w:rsidRPr="00AC4871">
        <w:t xml:space="preserve"> The evaluation team applied all parameters </w:t>
      </w:r>
      <w:r>
        <w:t>consistent with</w:t>
      </w:r>
      <w:r w:rsidRPr="00AC4871">
        <w:t xml:space="preserve"> the building type </w:t>
      </w:r>
      <w:r>
        <w:t xml:space="preserve">listed in the tracking data </w:t>
      </w:r>
      <w:r w:rsidRPr="00AC4871">
        <w:t>(</w:t>
      </w:r>
      <w:r>
        <w:t xml:space="preserve">a cooled </w:t>
      </w:r>
      <w:r w:rsidRPr="00AC4871">
        <w:t>Office – Low Rise), resulting in higher verified energy savings.</w:t>
      </w:r>
    </w:p>
    <w:p w14:paraId="54ABE8C0" w14:textId="7BB657BE" w:rsidR="001A5095" w:rsidRPr="00AC4871" w:rsidRDefault="001A5095" w:rsidP="00693C6B">
      <w:pPr>
        <w:pStyle w:val="ListBullet2"/>
      </w:pPr>
      <w:r>
        <w:lastRenderedPageBreak/>
        <w:t>For one record, the implementation team inadvertently did not claim savings due to database programming</w:t>
      </w:r>
      <w:r w:rsidR="0042014A">
        <w:t>,</w:t>
      </w:r>
      <w:r>
        <w:t xml:space="preserve"> which drops ex ante electric</w:t>
      </w:r>
      <w:r w:rsidR="00945306">
        <w:t xml:space="preserve"> energy</w:t>
      </w:r>
      <w:r>
        <w:t xml:space="preserve"> savings claims for customers that do not have an AIC electric rate code listed in the data. However, the evaluation team verified that the customer associated with this record does receive electric service from AIC and</w:t>
      </w:r>
      <w:r w:rsidR="0042014A">
        <w:t>, therefore,</w:t>
      </w:r>
      <w:r>
        <w:t xml:space="preserve"> calculate</w:t>
      </w:r>
      <w:r w:rsidR="00945306">
        <w:t>d</w:t>
      </w:r>
      <w:r>
        <w:t xml:space="preserve"> verified savings for this measure, resulting in higher verified electric energy savings</w:t>
      </w:r>
      <w:r w:rsidR="00693C6B">
        <w:t>.</w:t>
      </w:r>
    </w:p>
    <w:p w14:paraId="620CF393" w14:textId="77777777" w:rsidR="001A5095" w:rsidRDefault="001A5095" w:rsidP="001A5095">
      <w:pPr>
        <w:pStyle w:val="ListBullet"/>
        <w:ind w:left="540" w:hanging="360"/>
      </w:pPr>
      <w:r w:rsidRPr="00F96B7E">
        <w:rPr>
          <w:b/>
          <w:bCs/>
        </w:rPr>
        <w:t>Lighting Controls</w:t>
      </w:r>
      <w:r>
        <w:t xml:space="preserve"> (9% of ex ante energy savings and 11% of demand savings): The gross realization rates for Lighting Controls are 100% for electric energy savings and 94% for demand savings.</w:t>
      </w:r>
    </w:p>
    <w:p w14:paraId="25E948D6" w14:textId="488F5C67" w:rsidR="001A5095" w:rsidRDefault="001A5095" w:rsidP="00693C6B">
      <w:pPr>
        <w:pStyle w:val="ListBullet2"/>
      </w:pPr>
      <w:r>
        <w:t xml:space="preserve">For forty-five records, the implementation team applied the coincidence factor for the building type listed in the tracking data </w:t>
      </w:r>
      <w:r w:rsidR="0042014A">
        <w:t>instead of</w:t>
      </w:r>
      <w:r>
        <w:t xml:space="preserve"> the uncooled building type. Based on the </w:t>
      </w:r>
      <w:r w:rsidR="0042014A">
        <w:t>buildings' uncooled status</w:t>
      </w:r>
      <w:r>
        <w:t xml:space="preserve">, as indicated in the tracking data, the evaluation team applied all parameters for </w:t>
      </w:r>
      <w:r w:rsidR="00945306">
        <w:t>an</w:t>
      </w:r>
      <w:r>
        <w:t xml:space="preserve"> uncooled building in the verified calculations, resulting in lower verified demand savings.</w:t>
      </w:r>
    </w:p>
    <w:p w14:paraId="019C0BF1" w14:textId="741EA34F" w:rsidR="001A5095" w:rsidRDefault="001A5095" w:rsidP="00693C6B">
      <w:pPr>
        <w:pStyle w:val="ListBullet2"/>
      </w:pPr>
      <w:r>
        <w:t xml:space="preserve">For sixteen records, the implementation team applied the IFkWh for the building type listed in the tracking data as opposed to the uncooled building type. Based on the uncooled status of the buildings, as indicated in the tracking data, the evaluation team applied all parameters for </w:t>
      </w:r>
      <w:r w:rsidR="00945306">
        <w:t>an</w:t>
      </w:r>
      <w:r>
        <w:t xml:space="preserve"> uncooled building in the verified calculations, resulting in higher verified </w:t>
      </w:r>
      <w:r w:rsidR="00945306">
        <w:t xml:space="preserve">electric </w:t>
      </w:r>
      <w:r>
        <w:t>energy savings.</w:t>
      </w:r>
    </w:p>
    <w:p w14:paraId="166CC0E3" w14:textId="536DFD5E" w:rsidR="00B47754" w:rsidRDefault="00B47754" w:rsidP="00526C94">
      <w:pPr>
        <w:pStyle w:val="Heading3"/>
        <w:tabs>
          <w:tab w:val="clear" w:pos="2160"/>
          <w:tab w:val="num" w:pos="1080"/>
        </w:tabs>
        <w:ind w:left="0"/>
      </w:pPr>
      <w:bookmarkStart w:id="264" w:name="_Toc191992445"/>
      <w:r>
        <w:t>Small Business Energy Performance Channel</w:t>
      </w:r>
      <w:bookmarkEnd w:id="264"/>
    </w:p>
    <w:p w14:paraId="22C02384" w14:textId="6DBFBFCA" w:rsidR="001A45D4" w:rsidRPr="001A45D4" w:rsidRDefault="001A45D4" w:rsidP="001A45D4">
      <w:r>
        <w:t xml:space="preserve">The following sections present the impact evaluation results for the 2024 SBEP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45892F32" w14:textId="77777777" w:rsidR="00B47754" w:rsidRDefault="00B47754" w:rsidP="00B47754">
      <w:pPr>
        <w:pStyle w:val="Heading4"/>
      </w:pPr>
      <w:r>
        <w:t>Channel Description</w:t>
      </w:r>
    </w:p>
    <w:p w14:paraId="11BAAFFA" w14:textId="2FFA8970" w:rsidR="00600CFF" w:rsidRDefault="00600CFF" w:rsidP="00600CFF">
      <w:r>
        <w:t xml:space="preserve">The SBEP channel targeted nonresidential customers in Empower Communities, including schools, municipal buildings, and other nonprofit organizations. The eligible measures included building envelope upgrades, HVAC improvements, and other non-SBDI measures. In 2024, most </w:t>
      </w:r>
      <w:r w:rsidR="0042014A">
        <w:t>completed projects comprised</w:t>
      </w:r>
      <w:r w:rsidR="00E24DBD">
        <w:t xml:space="preserve"> air-sealing facility building envelopes</w:t>
      </w:r>
      <w:r>
        <w:t xml:space="preserve">. Similar to the SBDI channel, the services delivered through the SBEP channel are provided at zero or minimal out-of-pocket cost to the customer, </w:t>
      </w:r>
      <w:r w:rsidR="0042014A">
        <w:t>qualified Program Allies must install all measures</w:t>
      </w:r>
      <w:r>
        <w:t xml:space="preserve">, and incentives are paid directly to the </w:t>
      </w:r>
      <w:r w:rsidR="0042014A">
        <w:t xml:space="preserve">Program Allies </w:t>
      </w:r>
      <w:r>
        <w:t xml:space="preserve">to enable a streamlined transaction at the time of installation. A key focus of channel staff continues to be building out the </w:t>
      </w:r>
      <w:r w:rsidR="003F3F47">
        <w:t>Program Ally</w:t>
      </w:r>
      <w:r>
        <w:t xml:space="preserve"> base for the channel</w:t>
      </w:r>
      <w:r w:rsidR="0042014A">
        <w:t xml:space="preserve">, </w:t>
      </w:r>
      <w:r>
        <w:t xml:space="preserve">particularly by adding contractors who can provide the HVAC and weatherization services offered through the program. </w:t>
      </w:r>
    </w:p>
    <w:p w14:paraId="3AE46EFA" w14:textId="77777777" w:rsidR="00B47754" w:rsidRDefault="00B47754" w:rsidP="00F33E55">
      <w:pPr>
        <w:pStyle w:val="Heading5"/>
      </w:pPr>
      <w:r>
        <w:t>Summary of Key Implementation Changes</w:t>
      </w:r>
    </w:p>
    <w:p w14:paraId="06EDCA1D" w14:textId="1925D22B" w:rsidR="00577109" w:rsidRDefault="00577109" w:rsidP="00577109">
      <w:r>
        <w:t>Initiative staff instituted the following design and implementation changes to the SBEP channel in 2024:</w:t>
      </w:r>
    </w:p>
    <w:p w14:paraId="062C9EEF" w14:textId="0C90CBBD" w:rsidR="00FD5400" w:rsidRDefault="00CB479C" w:rsidP="00662108">
      <w:pPr>
        <w:pStyle w:val="ListBullet"/>
      </w:pPr>
      <w:r>
        <w:t>The implementation team</w:t>
      </w:r>
      <w:r w:rsidR="00FD5400">
        <w:t xml:space="preserve"> added wall insulation </w:t>
      </w:r>
      <w:r>
        <w:t xml:space="preserve">to the list of eligible </w:t>
      </w:r>
      <w:r w:rsidR="00FD5400">
        <w:t>measure</w:t>
      </w:r>
      <w:r>
        <w:t>s in</w:t>
      </w:r>
      <w:r w:rsidR="00FD5400">
        <w:t xml:space="preserve"> 2024.</w:t>
      </w:r>
      <w:r w:rsidR="003F09CC">
        <w:t xml:space="preserve"> </w:t>
      </w:r>
    </w:p>
    <w:p w14:paraId="6C62F798" w14:textId="41C311BA" w:rsidR="003F09CC" w:rsidRDefault="003F09CC" w:rsidP="00D33C68">
      <w:pPr>
        <w:pStyle w:val="ListBullet"/>
      </w:pPr>
      <w:r>
        <w:t xml:space="preserve">Due to restrictions in the gas budget, </w:t>
      </w:r>
      <w:r w:rsidR="00CB479C">
        <w:t>Initiative staff focused</w:t>
      </w:r>
      <w:r>
        <w:t xml:space="preserve"> outreach and project development efforts toward </w:t>
      </w:r>
      <w:r w:rsidR="00CB479C">
        <w:t xml:space="preserve">the end of the year on </w:t>
      </w:r>
      <w:r>
        <w:t>all-electric customers</w:t>
      </w:r>
      <w:r w:rsidR="00CB479C">
        <w:t>, including f</w:t>
      </w:r>
      <w:r>
        <w:t xml:space="preserve">ormer participants </w:t>
      </w:r>
      <w:r w:rsidR="00CB479C">
        <w:t>known to have</w:t>
      </w:r>
      <w:r>
        <w:t xml:space="preserve"> electric resistance heat</w:t>
      </w:r>
      <w:r w:rsidR="00225E4D">
        <w:t>ing</w:t>
      </w:r>
      <w:r w:rsidR="00CB479C">
        <w:t>.</w:t>
      </w:r>
    </w:p>
    <w:p w14:paraId="6882302E" w14:textId="77777777" w:rsidR="00B47754" w:rsidRDefault="00B47754" w:rsidP="00225E4D">
      <w:pPr>
        <w:pStyle w:val="Heading4"/>
        <w:keepNext/>
      </w:pPr>
      <w:r>
        <w:t>Participation Summary</w:t>
      </w:r>
    </w:p>
    <w:p w14:paraId="303D4069" w14:textId="12BCDBFF" w:rsidR="00512EF9" w:rsidRDefault="00512EF9" w:rsidP="00512EF9">
      <w:r>
        <w:fldChar w:fldCharType="begin"/>
      </w:r>
      <w:r>
        <w:instrText xml:space="preserve"> REF _Ref189052414 \h </w:instrText>
      </w:r>
      <w:r>
        <w:fldChar w:fldCharType="separate"/>
      </w:r>
      <w:r w:rsidR="00AA10F4">
        <w:t xml:space="preserve">Table </w:t>
      </w:r>
      <w:r w:rsidR="00AA10F4">
        <w:rPr>
          <w:noProof/>
        </w:rPr>
        <w:t>58</w:t>
      </w:r>
      <w:r>
        <w:fldChar w:fldCharType="end"/>
      </w:r>
      <w:r>
        <w:t xml:space="preserve"> presents a summary of participation in the SBEP channel in 2024. We present these data separated by public and private sector</w:t>
      </w:r>
      <w:r w:rsidR="00225E4D">
        <w:t xml:space="preserve"> customer</w:t>
      </w:r>
      <w:r>
        <w:t>s to provide context as to the primary drivers of participation. A</w:t>
      </w:r>
      <w:r w:rsidR="009A7882">
        <w:t>I</w:t>
      </w:r>
      <w:r>
        <w:t xml:space="preserve">C customers completed </w:t>
      </w:r>
      <w:r w:rsidR="009A7882">
        <w:t>29</w:t>
      </w:r>
      <w:r>
        <w:t xml:space="preserve"> unique projects through the channel, with</w:t>
      </w:r>
      <w:r w:rsidR="0042014A">
        <w:t xml:space="preserve"> commercial and industrial (</w:t>
      </w:r>
      <w:r>
        <w:t>C&amp;I</w:t>
      </w:r>
      <w:r w:rsidR="0042014A">
        <w:t>)</w:t>
      </w:r>
      <w:r>
        <w:t xml:space="preserve"> </w:t>
      </w:r>
      <w:r w:rsidR="0042014A">
        <w:t xml:space="preserve">air sealing </w:t>
      </w:r>
      <w:r>
        <w:t>dominating channel activity</w:t>
      </w:r>
      <w:r w:rsidR="000E0719">
        <w:t>.</w:t>
      </w:r>
    </w:p>
    <w:p w14:paraId="79C925CA" w14:textId="4C754446" w:rsidR="00512EF9" w:rsidRDefault="00512EF9" w:rsidP="00881B1B">
      <w:pPr>
        <w:pStyle w:val="Caption"/>
      </w:pPr>
      <w:bookmarkStart w:id="265" w:name="_Ref189052414"/>
      <w:bookmarkStart w:id="266" w:name="_Toc191992579"/>
      <w:bookmarkStart w:id="267" w:name="_Toc192766992"/>
      <w:r>
        <w:lastRenderedPageBreak/>
        <w:t xml:space="preserve">Table </w:t>
      </w:r>
      <w:r w:rsidR="009B4C9A">
        <w:fldChar w:fldCharType="begin"/>
      </w:r>
      <w:r w:rsidR="009B4C9A">
        <w:instrText xml:space="preserve"> SEQ Table \* ARABIC </w:instrText>
      </w:r>
      <w:r w:rsidR="009B4C9A">
        <w:fldChar w:fldCharType="separate"/>
      </w:r>
      <w:r w:rsidR="00AA10F4">
        <w:rPr>
          <w:noProof/>
        </w:rPr>
        <w:t>58</w:t>
      </w:r>
      <w:r w:rsidR="009B4C9A">
        <w:rPr>
          <w:noProof/>
        </w:rPr>
        <w:fldChar w:fldCharType="end"/>
      </w:r>
      <w:bookmarkEnd w:id="265"/>
      <w:r>
        <w:t>. 2024 Small Business Energy Performance Channel Participation Summary by Measure</w:t>
      </w:r>
      <w:bookmarkEnd w:id="266"/>
      <w:bookmarkEnd w:id="267"/>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586"/>
        <w:gridCol w:w="1491"/>
        <w:gridCol w:w="1673"/>
        <w:gridCol w:w="1673"/>
        <w:gridCol w:w="1673"/>
      </w:tblGrid>
      <w:tr w:rsidR="00BC69D4" w14:paraId="0F29FDFC" w14:textId="77777777" w:rsidTr="00BC69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Pr>
          <w:p w14:paraId="2027AF6F" w14:textId="77777777" w:rsidR="00436164" w:rsidRDefault="00436164" w:rsidP="00454053">
            <w:pPr>
              <w:pStyle w:val="TableHeadingLeft"/>
            </w:pPr>
            <w:r>
              <w:t>Measure Category</w:t>
            </w:r>
          </w:p>
        </w:tc>
        <w:tc>
          <w:tcPr>
            <w:tcW w:w="672" w:type="pct"/>
          </w:tcPr>
          <w:p w14:paraId="6BB5D32D" w14:textId="00623146" w:rsidR="00436164" w:rsidRDefault="00436164" w:rsidP="00454053">
            <w:pPr>
              <w:pStyle w:val="TableHeadingCentered"/>
              <w:cnfStyle w:val="100000000000" w:firstRow="1" w:lastRow="0" w:firstColumn="0" w:lastColumn="0" w:oddVBand="0" w:evenVBand="0" w:oddHBand="0" w:evenHBand="0" w:firstRowFirstColumn="0" w:firstRowLastColumn="0" w:lastRowFirstColumn="0" w:lastRowLastColumn="0"/>
            </w:pPr>
            <w:r>
              <w:t>Measure Quantity</w:t>
            </w:r>
          </w:p>
        </w:tc>
        <w:tc>
          <w:tcPr>
            <w:tcW w:w="754" w:type="pct"/>
          </w:tcPr>
          <w:p w14:paraId="3D253B9E" w14:textId="264AD509" w:rsidR="00436164" w:rsidRDefault="00436164" w:rsidP="00454053">
            <w:pPr>
              <w:pStyle w:val="TableHeadingCentered"/>
              <w:cnfStyle w:val="100000000000" w:firstRow="1" w:lastRow="0" w:firstColumn="0" w:lastColumn="0" w:oddVBand="0" w:evenVBand="0" w:oddHBand="0" w:evenHBand="0" w:firstRowFirstColumn="0" w:firstRowLastColumn="0" w:lastRowFirstColumn="0" w:lastRowLastColumn="0"/>
            </w:pPr>
            <w:r>
              <w:t>Ex Ante Gross MWh</w:t>
            </w:r>
          </w:p>
        </w:tc>
        <w:tc>
          <w:tcPr>
            <w:tcW w:w="754" w:type="pct"/>
          </w:tcPr>
          <w:p w14:paraId="39735FB5" w14:textId="0955D6FC" w:rsidR="00436164" w:rsidRDefault="00436164" w:rsidP="00454053">
            <w:pPr>
              <w:pStyle w:val="TableHeadingCentered"/>
              <w:cnfStyle w:val="100000000000" w:firstRow="1" w:lastRow="0" w:firstColumn="0" w:lastColumn="0" w:oddVBand="0" w:evenVBand="0" w:oddHBand="0" w:evenHBand="0" w:firstRowFirstColumn="0" w:firstRowLastColumn="0" w:lastRowFirstColumn="0" w:lastRowLastColumn="0"/>
            </w:pPr>
            <w:r>
              <w:t>Ex Ante Gross MW</w:t>
            </w:r>
          </w:p>
        </w:tc>
        <w:tc>
          <w:tcPr>
            <w:tcW w:w="754" w:type="pct"/>
          </w:tcPr>
          <w:p w14:paraId="1A2B6E0F" w14:textId="170D95F6" w:rsidR="00436164" w:rsidRDefault="00436164" w:rsidP="00454053">
            <w:pPr>
              <w:pStyle w:val="TableHeadingCentered"/>
              <w:cnfStyle w:val="100000000000" w:firstRow="1" w:lastRow="0" w:firstColumn="0" w:lastColumn="0" w:oddVBand="0" w:evenVBand="0" w:oddHBand="0" w:evenHBand="0" w:firstRowFirstColumn="0" w:firstRowLastColumn="0" w:lastRowFirstColumn="0" w:lastRowLastColumn="0"/>
            </w:pPr>
            <w:r>
              <w:t>Ex Ante Gross Therms</w:t>
            </w:r>
          </w:p>
        </w:tc>
      </w:tr>
      <w:tr w:rsidR="00436164" w14:paraId="19D902CF"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tcPr>
          <w:p w14:paraId="47B22F9A" w14:textId="586CED78" w:rsidR="00436164" w:rsidRPr="00436164" w:rsidRDefault="00436164" w:rsidP="00454053">
            <w:pPr>
              <w:rPr>
                <w:rFonts w:asciiTheme="majorHAnsi" w:hAnsiTheme="majorHAnsi"/>
              </w:rPr>
            </w:pPr>
            <w:r w:rsidRPr="00436164">
              <w:rPr>
                <w:rFonts w:asciiTheme="majorHAnsi" w:hAnsiTheme="majorHAnsi"/>
                <w:color w:val="FFFFFF" w:themeColor="background1"/>
              </w:rPr>
              <w:t>Private Sector</w:t>
            </w:r>
          </w:p>
        </w:tc>
      </w:tr>
      <w:tr w:rsidR="00436164" w14:paraId="619266F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50608A31" w14:textId="07A30E49" w:rsidR="00436164" w:rsidRDefault="00436164" w:rsidP="00454053">
            <w:r>
              <w:t xml:space="preserve">C&amp;I Air Sealing </w:t>
            </w:r>
          </w:p>
        </w:tc>
        <w:tc>
          <w:tcPr>
            <w:tcW w:w="672" w:type="pct"/>
            <w:tcBorders>
              <w:top w:val="none" w:sz="0" w:space="0" w:color="auto"/>
              <w:left w:val="none" w:sz="0" w:space="0" w:color="auto"/>
              <w:bottom w:val="none" w:sz="0" w:space="0" w:color="auto"/>
              <w:right w:val="none" w:sz="0" w:space="0" w:color="auto"/>
            </w:tcBorders>
          </w:tcPr>
          <w:p w14:paraId="48A909AA" w14:textId="10B62D0A" w:rsidR="00436164" w:rsidRDefault="00436164" w:rsidP="002B5E4A">
            <w:pPr>
              <w:jc w:val="right"/>
              <w:cnfStyle w:val="000000010000" w:firstRow="0" w:lastRow="0" w:firstColumn="0" w:lastColumn="0" w:oddVBand="0" w:evenVBand="0" w:oddHBand="0" w:evenHBand="1" w:firstRowFirstColumn="0" w:firstRowLastColumn="0" w:lastRowFirstColumn="0" w:lastRowLastColumn="0"/>
            </w:pPr>
            <w:r w:rsidRPr="00436164">
              <w:t>234</w:t>
            </w:r>
          </w:p>
        </w:tc>
        <w:tc>
          <w:tcPr>
            <w:tcW w:w="754" w:type="pct"/>
            <w:tcBorders>
              <w:top w:val="none" w:sz="0" w:space="0" w:color="auto"/>
              <w:left w:val="none" w:sz="0" w:space="0" w:color="auto"/>
              <w:bottom w:val="none" w:sz="0" w:space="0" w:color="auto"/>
              <w:right w:val="none" w:sz="0" w:space="0" w:color="auto"/>
            </w:tcBorders>
          </w:tcPr>
          <w:p w14:paraId="02CA2394" w14:textId="6EAFF01C" w:rsidR="00436164" w:rsidRDefault="001022C3" w:rsidP="002B5E4A">
            <w:pPr>
              <w:jc w:val="right"/>
              <w:cnfStyle w:val="000000010000" w:firstRow="0" w:lastRow="0" w:firstColumn="0" w:lastColumn="0" w:oddVBand="0" w:evenVBand="0" w:oddHBand="0" w:evenHBand="1" w:firstRowFirstColumn="0" w:firstRowLastColumn="0" w:lastRowFirstColumn="0" w:lastRowLastColumn="0"/>
            </w:pPr>
            <w:r w:rsidRPr="001022C3">
              <w:t>210</w:t>
            </w:r>
          </w:p>
        </w:tc>
        <w:tc>
          <w:tcPr>
            <w:tcW w:w="754" w:type="pct"/>
            <w:tcBorders>
              <w:top w:val="none" w:sz="0" w:space="0" w:color="auto"/>
              <w:left w:val="none" w:sz="0" w:space="0" w:color="auto"/>
              <w:bottom w:val="none" w:sz="0" w:space="0" w:color="auto"/>
              <w:right w:val="none" w:sz="0" w:space="0" w:color="auto"/>
            </w:tcBorders>
          </w:tcPr>
          <w:p w14:paraId="17E49275" w14:textId="27AB4E96" w:rsidR="00436164" w:rsidRDefault="001022C3" w:rsidP="002B5E4A">
            <w:pPr>
              <w:jc w:val="right"/>
              <w:cnfStyle w:val="000000010000" w:firstRow="0" w:lastRow="0" w:firstColumn="0" w:lastColumn="0" w:oddVBand="0" w:evenVBand="0" w:oddHBand="0" w:evenHBand="1" w:firstRowFirstColumn="0" w:firstRowLastColumn="0" w:lastRowFirstColumn="0" w:lastRowLastColumn="0"/>
            </w:pPr>
            <w:r>
              <w:t>0.04</w:t>
            </w:r>
          </w:p>
        </w:tc>
        <w:tc>
          <w:tcPr>
            <w:tcW w:w="754" w:type="pct"/>
            <w:tcBorders>
              <w:top w:val="none" w:sz="0" w:space="0" w:color="auto"/>
              <w:left w:val="none" w:sz="0" w:space="0" w:color="auto"/>
              <w:bottom w:val="none" w:sz="0" w:space="0" w:color="auto"/>
              <w:right w:val="none" w:sz="0" w:space="0" w:color="auto"/>
            </w:tcBorders>
          </w:tcPr>
          <w:p w14:paraId="36D341DC" w14:textId="16AF54A2" w:rsidR="00436164" w:rsidRDefault="00D051F7" w:rsidP="002B5E4A">
            <w:pPr>
              <w:jc w:val="right"/>
              <w:cnfStyle w:val="000000010000" w:firstRow="0" w:lastRow="0" w:firstColumn="0" w:lastColumn="0" w:oddVBand="0" w:evenVBand="0" w:oddHBand="0" w:evenHBand="1" w:firstRowFirstColumn="0" w:firstRowLastColumn="0" w:lastRowFirstColumn="0" w:lastRowLastColumn="0"/>
            </w:pPr>
            <w:r w:rsidRPr="00D051F7">
              <w:t>5</w:t>
            </w:r>
            <w:r>
              <w:t>,</w:t>
            </w:r>
            <w:r w:rsidR="007E3F2C">
              <w:t>177</w:t>
            </w:r>
          </w:p>
        </w:tc>
      </w:tr>
      <w:tr w:rsidR="00436164" w14:paraId="67A90845"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2C2445B9" w14:textId="221623EA" w:rsidR="00436164" w:rsidRDefault="00436164" w:rsidP="00454053">
            <w:r>
              <w:t>Wall Insulation</w:t>
            </w:r>
          </w:p>
        </w:tc>
        <w:tc>
          <w:tcPr>
            <w:tcW w:w="672" w:type="pct"/>
            <w:tcBorders>
              <w:top w:val="none" w:sz="0" w:space="0" w:color="auto"/>
              <w:left w:val="none" w:sz="0" w:space="0" w:color="auto"/>
              <w:bottom w:val="none" w:sz="0" w:space="0" w:color="auto"/>
              <w:right w:val="none" w:sz="0" w:space="0" w:color="auto"/>
            </w:tcBorders>
          </w:tcPr>
          <w:p w14:paraId="68C15543" w14:textId="2AE6B969" w:rsidR="00436164" w:rsidRDefault="00436164" w:rsidP="002B5E4A">
            <w:pPr>
              <w:jc w:val="right"/>
              <w:cnfStyle w:val="000000100000" w:firstRow="0" w:lastRow="0" w:firstColumn="0" w:lastColumn="0" w:oddVBand="0" w:evenVBand="0" w:oddHBand="1" w:evenHBand="0" w:firstRowFirstColumn="0" w:firstRowLastColumn="0" w:lastRowFirstColumn="0" w:lastRowLastColumn="0"/>
            </w:pPr>
            <w:r w:rsidRPr="00436164">
              <w:t>1</w:t>
            </w:r>
          </w:p>
        </w:tc>
        <w:tc>
          <w:tcPr>
            <w:tcW w:w="754" w:type="pct"/>
            <w:tcBorders>
              <w:top w:val="none" w:sz="0" w:space="0" w:color="auto"/>
              <w:left w:val="none" w:sz="0" w:space="0" w:color="auto"/>
              <w:bottom w:val="none" w:sz="0" w:space="0" w:color="auto"/>
              <w:right w:val="none" w:sz="0" w:space="0" w:color="auto"/>
            </w:tcBorders>
          </w:tcPr>
          <w:p w14:paraId="2CBFFF31" w14:textId="162A6233" w:rsidR="00436164" w:rsidRDefault="001022C3" w:rsidP="002B5E4A">
            <w:pPr>
              <w:jc w:val="right"/>
              <w:cnfStyle w:val="000000100000" w:firstRow="0" w:lastRow="0" w:firstColumn="0" w:lastColumn="0" w:oddVBand="0" w:evenVBand="0" w:oddHBand="1" w:evenHBand="0" w:firstRowFirstColumn="0" w:firstRowLastColumn="0" w:lastRowFirstColumn="0" w:lastRowLastColumn="0"/>
            </w:pPr>
            <w:r w:rsidRPr="001022C3">
              <w:t>4</w:t>
            </w:r>
          </w:p>
        </w:tc>
        <w:tc>
          <w:tcPr>
            <w:tcW w:w="754" w:type="pct"/>
            <w:tcBorders>
              <w:top w:val="none" w:sz="0" w:space="0" w:color="auto"/>
              <w:left w:val="none" w:sz="0" w:space="0" w:color="auto"/>
              <w:bottom w:val="none" w:sz="0" w:space="0" w:color="auto"/>
              <w:right w:val="none" w:sz="0" w:space="0" w:color="auto"/>
            </w:tcBorders>
          </w:tcPr>
          <w:p w14:paraId="5BF0DF07" w14:textId="2D62749A" w:rsidR="00436164" w:rsidRDefault="002C4108" w:rsidP="002B5E4A">
            <w:pPr>
              <w:jc w:val="right"/>
              <w:cnfStyle w:val="000000100000" w:firstRow="0" w:lastRow="0" w:firstColumn="0" w:lastColumn="0" w:oddVBand="0" w:evenVBand="0" w:oddHBand="1" w:evenHBand="0" w:firstRowFirstColumn="0" w:firstRowLastColumn="0" w:lastRowFirstColumn="0" w:lastRowLastColumn="0"/>
            </w:pPr>
            <w:r>
              <w:t>&lt;</w:t>
            </w:r>
            <w:r w:rsidR="001022C3">
              <w:t>0.0</w:t>
            </w:r>
            <w:r>
              <w:t>1</w:t>
            </w:r>
          </w:p>
        </w:tc>
        <w:tc>
          <w:tcPr>
            <w:tcW w:w="754" w:type="pct"/>
            <w:tcBorders>
              <w:top w:val="none" w:sz="0" w:space="0" w:color="auto"/>
              <w:left w:val="none" w:sz="0" w:space="0" w:color="auto"/>
              <w:bottom w:val="none" w:sz="0" w:space="0" w:color="auto"/>
              <w:right w:val="none" w:sz="0" w:space="0" w:color="auto"/>
            </w:tcBorders>
          </w:tcPr>
          <w:p w14:paraId="42A8FAC4" w14:textId="4C52FE00" w:rsidR="00436164" w:rsidRDefault="00D051F7" w:rsidP="002B5E4A">
            <w:pPr>
              <w:jc w:val="right"/>
              <w:cnfStyle w:val="000000100000" w:firstRow="0" w:lastRow="0" w:firstColumn="0" w:lastColumn="0" w:oddVBand="0" w:evenVBand="0" w:oddHBand="1" w:evenHBand="0" w:firstRowFirstColumn="0" w:firstRowLastColumn="0" w:lastRowFirstColumn="0" w:lastRowLastColumn="0"/>
            </w:pPr>
            <w:r>
              <w:t>0</w:t>
            </w:r>
          </w:p>
        </w:tc>
      </w:tr>
      <w:tr w:rsidR="002C4108" w14:paraId="4B37FB59"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23E1603A" w14:textId="2E8F249E" w:rsidR="002C4108" w:rsidRDefault="002C4108" w:rsidP="002C4108">
            <w:r>
              <w:t>Covers and Gap Sealers for Room Air Conditioners</w:t>
            </w:r>
          </w:p>
        </w:tc>
        <w:tc>
          <w:tcPr>
            <w:tcW w:w="672" w:type="pct"/>
            <w:tcBorders>
              <w:top w:val="none" w:sz="0" w:space="0" w:color="auto"/>
              <w:left w:val="none" w:sz="0" w:space="0" w:color="auto"/>
              <w:bottom w:val="none" w:sz="0" w:space="0" w:color="auto"/>
              <w:right w:val="none" w:sz="0" w:space="0" w:color="auto"/>
            </w:tcBorders>
          </w:tcPr>
          <w:p w14:paraId="18355196" w14:textId="447C91CC" w:rsidR="002C4108" w:rsidRPr="00436164" w:rsidRDefault="002C4108" w:rsidP="002B5E4A">
            <w:pPr>
              <w:jc w:val="right"/>
              <w:cnfStyle w:val="000000010000" w:firstRow="0" w:lastRow="0" w:firstColumn="0" w:lastColumn="0" w:oddVBand="0" w:evenVBand="0" w:oddHBand="0" w:evenHBand="1" w:firstRowFirstColumn="0" w:firstRowLastColumn="0" w:lastRowFirstColumn="0" w:lastRowLastColumn="0"/>
            </w:pPr>
            <w:r>
              <w:t>10</w:t>
            </w:r>
          </w:p>
        </w:tc>
        <w:tc>
          <w:tcPr>
            <w:tcW w:w="754" w:type="pct"/>
            <w:tcBorders>
              <w:top w:val="none" w:sz="0" w:space="0" w:color="auto"/>
              <w:left w:val="none" w:sz="0" w:space="0" w:color="auto"/>
              <w:bottom w:val="none" w:sz="0" w:space="0" w:color="auto"/>
              <w:right w:val="none" w:sz="0" w:space="0" w:color="auto"/>
            </w:tcBorders>
          </w:tcPr>
          <w:p w14:paraId="5087AA07" w14:textId="79F21520" w:rsidR="002C4108" w:rsidRPr="001022C3" w:rsidRDefault="002C4108" w:rsidP="002B5E4A">
            <w:pPr>
              <w:jc w:val="right"/>
              <w:cnfStyle w:val="000000010000" w:firstRow="0" w:lastRow="0" w:firstColumn="0" w:lastColumn="0" w:oddVBand="0" w:evenVBand="0" w:oddHBand="0" w:evenHBand="1" w:firstRowFirstColumn="0" w:firstRowLastColumn="0" w:lastRowFirstColumn="0" w:lastRowLastColumn="0"/>
            </w:pPr>
            <w:r>
              <w:t>0</w:t>
            </w:r>
          </w:p>
        </w:tc>
        <w:tc>
          <w:tcPr>
            <w:tcW w:w="754" w:type="pct"/>
            <w:tcBorders>
              <w:top w:val="none" w:sz="0" w:space="0" w:color="auto"/>
              <w:left w:val="none" w:sz="0" w:space="0" w:color="auto"/>
              <w:bottom w:val="none" w:sz="0" w:space="0" w:color="auto"/>
              <w:right w:val="none" w:sz="0" w:space="0" w:color="auto"/>
            </w:tcBorders>
          </w:tcPr>
          <w:p w14:paraId="7F92B3C4" w14:textId="57215A8B" w:rsidR="002C4108" w:rsidRDefault="002C4108" w:rsidP="002B5E4A">
            <w:pPr>
              <w:jc w:val="right"/>
              <w:cnfStyle w:val="000000010000" w:firstRow="0" w:lastRow="0" w:firstColumn="0" w:lastColumn="0" w:oddVBand="0" w:evenVBand="0" w:oddHBand="0" w:evenHBand="1" w:firstRowFirstColumn="0" w:firstRowLastColumn="0" w:lastRowFirstColumn="0" w:lastRowLastColumn="0"/>
            </w:pPr>
            <w:r>
              <w:t>0.00</w:t>
            </w:r>
          </w:p>
        </w:tc>
        <w:tc>
          <w:tcPr>
            <w:tcW w:w="754" w:type="pct"/>
            <w:tcBorders>
              <w:top w:val="none" w:sz="0" w:space="0" w:color="auto"/>
              <w:left w:val="none" w:sz="0" w:space="0" w:color="auto"/>
              <w:bottom w:val="none" w:sz="0" w:space="0" w:color="auto"/>
              <w:right w:val="none" w:sz="0" w:space="0" w:color="auto"/>
            </w:tcBorders>
          </w:tcPr>
          <w:p w14:paraId="3A07759E" w14:textId="359B7252" w:rsidR="002C4108"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D051F7">
              <w:t>176</w:t>
            </w:r>
          </w:p>
        </w:tc>
      </w:tr>
      <w:tr w:rsidR="002C4108" w14:paraId="7B92CEB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5861E43D" w14:textId="3CA627CC" w:rsidR="002C4108" w:rsidRPr="004E14E5" w:rsidRDefault="002C4108" w:rsidP="002C4108">
            <w:pPr>
              <w:rPr>
                <w:i/>
                <w:iCs/>
              </w:rPr>
            </w:pPr>
            <w:r>
              <w:rPr>
                <w:i/>
                <w:iCs/>
              </w:rPr>
              <w:t>Private Sector Subtotal</w:t>
            </w:r>
          </w:p>
        </w:tc>
        <w:tc>
          <w:tcPr>
            <w:tcW w:w="672" w:type="pct"/>
            <w:tcBorders>
              <w:top w:val="none" w:sz="0" w:space="0" w:color="auto"/>
              <w:left w:val="none" w:sz="0" w:space="0" w:color="auto"/>
              <w:bottom w:val="none" w:sz="0" w:space="0" w:color="auto"/>
              <w:right w:val="none" w:sz="0" w:space="0" w:color="auto"/>
            </w:tcBorders>
          </w:tcPr>
          <w:p w14:paraId="7EF358E1" w14:textId="5DFD97CD"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245</w:t>
            </w:r>
          </w:p>
        </w:tc>
        <w:tc>
          <w:tcPr>
            <w:tcW w:w="754" w:type="pct"/>
            <w:tcBorders>
              <w:top w:val="none" w:sz="0" w:space="0" w:color="auto"/>
              <w:left w:val="none" w:sz="0" w:space="0" w:color="auto"/>
              <w:bottom w:val="none" w:sz="0" w:space="0" w:color="auto"/>
              <w:right w:val="none" w:sz="0" w:space="0" w:color="auto"/>
            </w:tcBorders>
          </w:tcPr>
          <w:p w14:paraId="12257BE0" w14:textId="1567AFE2"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215</w:t>
            </w:r>
          </w:p>
        </w:tc>
        <w:tc>
          <w:tcPr>
            <w:tcW w:w="754" w:type="pct"/>
            <w:tcBorders>
              <w:top w:val="none" w:sz="0" w:space="0" w:color="auto"/>
              <w:left w:val="none" w:sz="0" w:space="0" w:color="auto"/>
              <w:bottom w:val="none" w:sz="0" w:space="0" w:color="auto"/>
              <w:right w:val="none" w:sz="0" w:space="0" w:color="auto"/>
            </w:tcBorders>
          </w:tcPr>
          <w:p w14:paraId="58A5B376" w14:textId="49034DBA"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0.04</w:t>
            </w:r>
          </w:p>
        </w:tc>
        <w:tc>
          <w:tcPr>
            <w:tcW w:w="754" w:type="pct"/>
            <w:tcBorders>
              <w:top w:val="none" w:sz="0" w:space="0" w:color="auto"/>
              <w:left w:val="none" w:sz="0" w:space="0" w:color="auto"/>
              <w:bottom w:val="none" w:sz="0" w:space="0" w:color="auto"/>
              <w:right w:val="none" w:sz="0" w:space="0" w:color="auto"/>
            </w:tcBorders>
          </w:tcPr>
          <w:p w14:paraId="67E29C4B" w14:textId="73963366" w:rsidR="002C4108" w:rsidRPr="004E14E5" w:rsidRDefault="002C4108" w:rsidP="002B5E4A">
            <w:pPr>
              <w:jc w:val="right"/>
              <w:cnfStyle w:val="000000100000" w:firstRow="0" w:lastRow="0" w:firstColumn="0" w:lastColumn="0" w:oddVBand="0" w:evenVBand="0" w:oddHBand="1" w:evenHBand="0" w:firstRowFirstColumn="0" w:firstRowLastColumn="0" w:lastRowFirstColumn="0" w:lastRowLastColumn="0"/>
              <w:rPr>
                <w:i/>
                <w:iCs/>
              </w:rPr>
            </w:pPr>
            <w:r>
              <w:rPr>
                <w:i/>
                <w:iCs/>
              </w:rPr>
              <w:t>5,</w:t>
            </w:r>
            <w:r w:rsidR="00310B2F">
              <w:rPr>
                <w:i/>
                <w:iCs/>
              </w:rPr>
              <w:t>353</w:t>
            </w:r>
          </w:p>
        </w:tc>
      </w:tr>
      <w:tr w:rsidR="002C4108" w14:paraId="0C429EDC"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tcBorders>
              <w:top w:val="none" w:sz="0" w:space="0" w:color="auto"/>
              <w:left w:val="none" w:sz="0" w:space="0" w:color="auto"/>
              <w:bottom w:val="none" w:sz="0" w:space="0" w:color="auto"/>
              <w:right w:val="none" w:sz="0" w:space="0" w:color="auto"/>
            </w:tcBorders>
            <w:shd w:val="clear" w:color="auto" w:fill="1FA9E1" w:themeFill="accent3"/>
          </w:tcPr>
          <w:p w14:paraId="608C9525" w14:textId="570DA31D" w:rsidR="002C4108" w:rsidRPr="00436164" w:rsidRDefault="002C4108" w:rsidP="002C4108">
            <w:pPr>
              <w:rPr>
                <w:rFonts w:asciiTheme="majorHAnsi" w:hAnsiTheme="majorHAnsi"/>
                <w:i/>
                <w:iCs/>
                <w:color w:val="FFFFFF" w:themeColor="background1"/>
                <w:vertAlign w:val="superscript"/>
              </w:rPr>
            </w:pPr>
            <w:r w:rsidRPr="00436164">
              <w:rPr>
                <w:rFonts w:asciiTheme="majorHAnsi" w:hAnsiTheme="majorHAnsi"/>
                <w:color w:val="FFFFFF" w:themeColor="background1"/>
              </w:rPr>
              <w:t>Public Sector</w:t>
            </w:r>
            <w:r>
              <w:rPr>
                <w:rFonts w:asciiTheme="majorHAnsi" w:hAnsiTheme="majorHAnsi"/>
                <w:color w:val="FFFFFF" w:themeColor="background1"/>
                <w:vertAlign w:val="superscript"/>
              </w:rPr>
              <w:t>a</w:t>
            </w:r>
          </w:p>
        </w:tc>
      </w:tr>
      <w:tr w:rsidR="002C4108" w14:paraId="0E78BBDD"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3ACDAA54" w14:textId="116FC48B" w:rsidR="002C4108" w:rsidRPr="007367A8" w:rsidRDefault="002C4108" w:rsidP="002C4108">
            <w:r>
              <w:t>C&amp;I Air Sealing</w:t>
            </w:r>
          </w:p>
        </w:tc>
        <w:tc>
          <w:tcPr>
            <w:tcW w:w="672" w:type="pct"/>
            <w:tcBorders>
              <w:top w:val="none" w:sz="0" w:space="0" w:color="auto"/>
              <w:left w:val="none" w:sz="0" w:space="0" w:color="auto"/>
              <w:bottom w:val="none" w:sz="0" w:space="0" w:color="auto"/>
              <w:right w:val="none" w:sz="0" w:space="0" w:color="auto"/>
            </w:tcBorders>
          </w:tcPr>
          <w:p w14:paraId="13A98B13" w14:textId="4D3BC962" w:rsidR="002C4108" w:rsidRPr="00436164"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436164">
              <w:t>8</w:t>
            </w:r>
            <w:r>
              <w:t>,</w:t>
            </w:r>
            <w:r w:rsidRPr="00436164">
              <w:t>341</w:t>
            </w:r>
          </w:p>
        </w:tc>
        <w:tc>
          <w:tcPr>
            <w:tcW w:w="754" w:type="pct"/>
            <w:tcBorders>
              <w:top w:val="none" w:sz="0" w:space="0" w:color="auto"/>
              <w:left w:val="none" w:sz="0" w:space="0" w:color="auto"/>
              <w:bottom w:val="none" w:sz="0" w:space="0" w:color="auto"/>
              <w:right w:val="none" w:sz="0" w:space="0" w:color="auto"/>
            </w:tcBorders>
          </w:tcPr>
          <w:p w14:paraId="44649E4E" w14:textId="79896833" w:rsidR="002C4108" w:rsidRPr="001022C3"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1022C3">
              <w:t>117</w:t>
            </w:r>
          </w:p>
        </w:tc>
        <w:tc>
          <w:tcPr>
            <w:tcW w:w="754" w:type="pct"/>
            <w:tcBorders>
              <w:top w:val="none" w:sz="0" w:space="0" w:color="auto"/>
              <w:left w:val="none" w:sz="0" w:space="0" w:color="auto"/>
              <w:bottom w:val="none" w:sz="0" w:space="0" w:color="auto"/>
              <w:right w:val="none" w:sz="0" w:space="0" w:color="auto"/>
            </w:tcBorders>
          </w:tcPr>
          <w:p w14:paraId="6A4924DA" w14:textId="76875665" w:rsidR="002C4108" w:rsidRPr="001022C3"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1022C3">
              <w:t>0.07</w:t>
            </w:r>
          </w:p>
        </w:tc>
        <w:tc>
          <w:tcPr>
            <w:tcW w:w="754" w:type="pct"/>
            <w:tcBorders>
              <w:top w:val="none" w:sz="0" w:space="0" w:color="auto"/>
              <w:left w:val="none" w:sz="0" w:space="0" w:color="auto"/>
              <w:bottom w:val="none" w:sz="0" w:space="0" w:color="auto"/>
              <w:right w:val="none" w:sz="0" w:space="0" w:color="auto"/>
            </w:tcBorders>
          </w:tcPr>
          <w:p w14:paraId="1317ADF1" w14:textId="402EA719" w:rsidR="002C4108" w:rsidRPr="00D051F7" w:rsidRDefault="007E3F2C" w:rsidP="002B5E4A">
            <w:pPr>
              <w:jc w:val="right"/>
              <w:cnfStyle w:val="000000100000" w:firstRow="0" w:lastRow="0" w:firstColumn="0" w:lastColumn="0" w:oddVBand="0" w:evenVBand="0" w:oddHBand="1" w:evenHBand="0" w:firstRowFirstColumn="0" w:firstRowLastColumn="0" w:lastRowFirstColumn="0" w:lastRowLastColumn="0"/>
            </w:pPr>
            <w:r>
              <w:t>10,766</w:t>
            </w:r>
          </w:p>
        </w:tc>
      </w:tr>
      <w:tr w:rsidR="002C4108" w14:paraId="76B1D78F"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48CBC16F" w14:textId="6EF9D2D2" w:rsidR="002C4108" w:rsidRPr="007367A8" w:rsidRDefault="002C4108" w:rsidP="002C4108">
            <w:r>
              <w:t>Covers and Gap Sealers for Room ACs</w:t>
            </w:r>
          </w:p>
        </w:tc>
        <w:tc>
          <w:tcPr>
            <w:tcW w:w="672" w:type="pct"/>
            <w:tcBorders>
              <w:top w:val="none" w:sz="0" w:space="0" w:color="auto"/>
              <w:left w:val="none" w:sz="0" w:space="0" w:color="auto"/>
              <w:bottom w:val="none" w:sz="0" w:space="0" w:color="auto"/>
              <w:right w:val="none" w:sz="0" w:space="0" w:color="auto"/>
            </w:tcBorders>
          </w:tcPr>
          <w:p w14:paraId="6C1595FE" w14:textId="58AFD537" w:rsidR="002C4108" w:rsidRPr="00436164"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436164">
              <w:t>2</w:t>
            </w:r>
          </w:p>
        </w:tc>
        <w:tc>
          <w:tcPr>
            <w:tcW w:w="754" w:type="pct"/>
            <w:tcBorders>
              <w:top w:val="none" w:sz="0" w:space="0" w:color="auto"/>
              <w:left w:val="none" w:sz="0" w:space="0" w:color="auto"/>
              <w:bottom w:val="none" w:sz="0" w:space="0" w:color="auto"/>
              <w:right w:val="none" w:sz="0" w:space="0" w:color="auto"/>
            </w:tcBorders>
          </w:tcPr>
          <w:p w14:paraId="75FFF5EE" w14:textId="4210BCAA" w:rsidR="002C4108" w:rsidRPr="001022C3" w:rsidRDefault="002C4108" w:rsidP="002B5E4A">
            <w:pPr>
              <w:jc w:val="right"/>
              <w:cnfStyle w:val="000000010000" w:firstRow="0" w:lastRow="0" w:firstColumn="0" w:lastColumn="0" w:oddVBand="0" w:evenVBand="0" w:oddHBand="0" w:evenHBand="1" w:firstRowFirstColumn="0" w:firstRowLastColumn="0" w:lastRowFirstColumn="0" w:lastRowLastColumn="0"/>
            </w:pPr>
            <w:r>
              <w:t>0</w:t>
            </w:r>
          </w:p>
        </w:tc>
        <w:tc>
          <w:tcPr>
            <w:tcW w:w="754" w:type="pct"/>
            <w:tcBorders>
              <w:top w:val="none" w:sz="0" w:space="0" w:color="auto"/>
              <w:left w:val="none" w:sz="0" w:space="0" w:color="auto"/>
              <w:bottom w:val="none" w:sz="0" w:space="0" w:color="auto"/>
              <w:right w:val="none" w:sz="0" w:space="0" w:color="auto"/>
            </w:tcBorders>
          </w:tcPr>
          <w:p w14:paraId="1328293D" w14:textId="6D38C41D" w:rsidR="002C4108" w:rsidRPr="001022C3"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1022C3">
              <w:t>0.00</w:t>
            </w:r>
          </w:p>
        </w:tc>
        <w:tc>
          <w:tcPr>
            <w:tcW w:w="754" w:type="pct"/>
            <w:tcBorders>
              <w:top w:val="none" w:sz="0" w:space="0" w:color="auto"/>
              <w:left w:val="none" w:sz="0" w:space="0" w:color="auto"/>
              <w:bottom w:val="none" w:sz="0" w:space="0" w:color="auto"/>
              <w:right w:val="none" w:sz="0" w:space="0" w:color="auto"/>
            </w:tcBorders>
          </w:tcPr>
          <w:p w14:paraId="06C2B54C" w14:textId="662C1986" w:rsidR="002C4108" w:rsidRPr="00D051F7" w:rsidRDefault="002C4108" w:rsidP="002B5E4A">
            <w:pPr>
              <w:jc w:val="right"/>
              <w:cnfStyle w:val="000000010000" w:firstRow="0" w:lastRow="0" w:firstColumn="0" w:lastColumn="0" w:oddVBand="0" w:evenVBand="0" w:oddHBand="0" w:evenHBand="1" w:firstRowFirstColumn="0" w:firstRowLastColumn="0" w:lastRowFirstColumn="0" w:lastRowLastColumn="0"/>
            </w:pPr>
            <w:r w:rsidRPr="00D051F7">
              <w:t>21</w:t>
            </w:r>
          </w:p>
        </w:tc>
      </w:tr>
      <w:tr w:rsidR="002C4108" w14:paraId="0C3BA1C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169F78F5" w14:textId="1BFEECDF" w:rsidR="002C4108" w:rsidRDefault="002C4108" w:rsidP="002C4108">
            <w:r>
              <w:t>High Efficiency Boilers</w:t>
            </w:r>
          </w:p>
        </w:tc>
        <w:tc>
          <w:tcPr>
            <w:tcW w:w="672" w:type="pct"/>
            <w:tcBorders>
              <w:top w:val="none" w:sz="0" w:space="0" w:color="auto"/>
              <w:left w:val="none" w:sz="0" w:space="0" w:color="auto"/>
              <w:bottom w:val="none" w:sz="0" w:space="0" w:color="auto"/>
              <w:right w:val="none" w:sz="0" w:space="0" w:color="auto"/>
            </w:tcBorders>
          </w:tcPr>
          <w:p w14:paraId="59C12D2A" w14:textId="6C937585" w:rsidR="002C4108" w:rsidRPr="001022C3"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1022C3">
              <w:t>2</w:t>
            </w:r>
          </w:p>
        </w:tc>
        <w:tc>
          <w:tcPr>
            <w:tcW w:w="754" w:type="pct"/>
            <w:tcBorders>
              <w:top w:val="none" w:sz="0" w:space="0" w:color="auto"/>
              <w:left w:val="none" w:sz="0" w:space="0" w:color="auto"/>
              <w:bottom w:val="none" w:sz="0" w:space="0" w:color="auto"/>
              <w:right w:val="none" w:sz="0" w:space="0" w:color="auto"/>
            </w:tcBorders>
          </w:tcPr>
          <w:p w14:paraId="1BA9845F" w14:textId="1722ABBD" w:rsidR="002C4108" w:rsidRPr="001022C3"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1022C3">
              <w:t>0</w:t>
            </w:r>
          </w:p>
        </w:tc>
        <w:tc>
          <w:tcPr>
            <w:tcW w:w="754" w:type="pct"/>
            <w:tcBorders>
              <w:top w:val="none" w:sz="0" w:space="0" w:color="auto"/>
              <w:left w:val="none" w:sz="0" w:space="0" w:color="auto"/>
              <w:bottom w:val="none" w:sz="0" w:space="0" w:color="auto"/>
              <w:right w:val="none" w:sz="0" w:space="0" w:color="auto"/>
            </w:tcBorders>
          </w:tcPr>
          <w:p w14:paraId="62EE7F4B" w14:textId="15364105" w:rsidR="002C4108" w:rsidRPr="001022C3"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1022C3">
              <w:t>0.00</w:t>
            </w:r>
          </w:p>
        </w:tc>
        <w:tc>
          <w:tcPr>
            <w:tcW w:w="754" w:type="pct"/>
            <w:tcBorders>
              <w:top w:val="none" w:sz="0" w:space="0" w:color="auto"/>
              <w:left w:val="none" w:sz="0" w:space="0" w:color="auto"/>
              <w:bottom w:val="none" w:sz="0" w:space="0" w:color="auto"/>
              <w:right w:val="none" w:sz="0" w:space="0" w:color="auto"/>
            </w:tcBorders>
          </w:tcPr>
          <w:p w14:paraId="729654AF" w14:textId="7E5EE1BD" w:rsidR="002C4108" w:rsidRPr="00D051F7" w:rsidRDefault="002C4108" w:rsidP="002B5E4A">
            <w:pPr>
              <w:jc w:val="right"/>
              <w:cnfStyle w:val="000000100000" w:firstRow="0" w:lastRow="0" w:firstColumn="0" w:lastColumn="0" w:oddVBand="0" w:evenVBand="0" w:oddHBand="1" w:evenHBand="0" w:firstRowFirstColumn="0" w:firstRowLastColumn="0" w:lastRowFirstColumn="0" w:lastRowLastColumn="0"/>
            </w:pPr>
            <w:r w:rsidRPr="00D051F7">
              <w:t>2</w:t>
            </w:r>
            <w:r>
              <w:t>,</w:t>
            </w:r>
            <w:r w:rsidRPr="00D051F7">
              <w:t>139</w:t>
            </w:r>
          </w:p>
        </w:tc>
      </w:tr>
      <w:tr w:rsidR="002C4108" w14:paraId="1572117C"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03575389" w14:textId="77777777" w:rsidR="002C4108" w:rsidRPr="007367A8" w:rsidRDefault="002C4108" w:rsidP="002C4108">
            <w:pPr>
              <w:rPr>
                <w:i/>
                <w:iCs/>
              </w:rPr>
            </w:pPr>
            <w:r>
              <w:rPr>
                <w:i/>
                <w:iCs/>
              </w:rPr>
              <w:t>Public Sector Subtotal</w:t>
            </w:r>
          </w:p>
        </w:tc>
        <w:tc>
          <w:tcPr>
            <w:tcW w:w="672" w:type="pct"/>
            <w:tcBorders>
              <w:top w:val="none" w:sz="0" w:space="0" w:color="auto"/>
              <w:left w:val="none" w:sz="0" w:space="0" w:color="auto"/>
              <w:bottom w:val="none" w:sz="0" w:space="0" w:color="auto"/>
              <w:right w:val="none" w:sz="0" w:space="0" w:color="auto"/>
            </w:tcBorders>
          </w:tcPr>
          <w:p w14:paraId="68660C34" w14:textId="4BD88A3B"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8,345</w:t>
            </w:r>
          </w:p>
        </w:tc>
        <w:tc>
          <w:tcPr>
            <w:tcW w:w="754" w:type="pct"/>
            <w:tcBorders>
              <w:top w:val="none" w:sz="0" w:space="0" w:color="auto"/>
              <w:left w:val="none" w:sz="0" w:space="0" w:color="auto"/>
              <w:bottom w:val="none" w:sz="0" w:space="0" w:color="auto"/>
              <w:right w:val="none" w:sz="0" w:space="0" w:color="auto"/>
            </w:tcBorders>
          </w:tcPr>
          <w:p w14:paraId="51C80721" w14:textId="23EFA270"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117</w:t>
            </w:r>
          </w:p>
        </w:tc>
        <w:tc>
          <w:tcPr>
            <w:tcW w:w="754" w:type="pct"/>
            <w:tcBorders>
              <w:top w:val="none" w:sz="0" w:space="0" w:color="auto"/>
              <w:left w:val="none" w:sz="0" w:space="0" w:color="auto"/>
              <w:bottom w:val="none" w:sz="0" w:space="0" w:color="auto"/>
              <w:right w:val="none" w:sz="0" w:space="0" w:color="auto"/>
            </w:tcBorders>
          </w:tcPr>
          <w:p w14:paraId="2DEF2692" w14:textId="188BA942"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0.07</w:t>
            </w:r>
          </w:p>
        </w:tc>
        <w:tc>
          <w:tcPr>
            <w:tcW w:w="754" w:type="pct"/>
            <w:tcBorders>
              <w:top w:val="none" w:sz="0" w:space="0" w:color="auto"/>
              <w:left w:val="none" w:sz="0" w:space="0" w:color="auto"/>
              <w:bottom w:val="none" w:sz="0" w:space="0" w:color="auto"/>
              <w:right w:val="none" w:sz="0" w:space="0" w:color="auto"/>
            </w:tcBorders>
          </w:tcPr>
          <w:p w14:paraId="4AA7764C" w14:textId="38AC6578" w:rsidR="002C4108" w:rsidRPr="004E14E5" w:rsidRDefault="002C4108" w:rsidP="002B5E4A">
            <w:pPr>
              <w:jc w:val="right"/>
              <w:cnfStyle w:val="000000010000" w:firstRow="0" w:lastRow="0" w:firstColumn="0" w:lastColumn="0" w:oddVBand="0" w:evenVBand="0" w:oddHBand="0" w:evenHBand="1" w:firstRowFirstColumn="0" w:firstRowLastColumn="0" w:lastRowFirstColumn="0" w:lastRowLastColumn="0"/>
              <w:rPr>
                <w:i/>
                <w:iCs/>
              </w:rPr>
            </w:pPr>
            <w:r>
              <w:rPr>
                <w:i/>
                <w:iCs/>
              </w:rPr>
              <w:t>1</w:t>
            </w:r>
            <w:r w:rsidR="00310B2F">
              <w:rPr>
                <w:i/>
                <w:iCs/>
              </w:rPr>
              <w:t>2</w:t>
            </w:r>
            <w:r>
              <w:rPr>
                <w:i/>
                <w:iCs/>
              </w:rPr>
              <w:t>,</w:t>
            </w:r>
            <w:r w:rsidR="00310B2F">
              <w:rPr>
                <w:i/>
                <w:iCs/>
              </w:rPr>
              <w:t>927</w:t>
            </w:r>
          </w:p>
        </w:tc>
      </w:tr>
      <w:tr w:rsidR="002C4108" w14:paraId="6F3C51EE"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pct"/>
            <w:tcBorders>
              <w:top w:val="none" w:sz="0" w:space="0" w:color="auto"/>
              <w:left w:val="none" w:sz="0" w:space="0" w:color="auto"/>
              <w:bottom w:val="none" w:sz="0" w:space="0" w:color="auto"/>
              <w:right w:val="none" w:sz="0" w:space="0" w:color="auto"/>
            </w:tcBorders>
          </w:tcPr>
          <w:p w14:paraId="54158DA6" w14:textId="77777777" w:rsidR="002C4108" w:rsidRPr="00D924DA" w:rsidRDefault="002C4108" w:rsidP="002C4108">
            <w:pPr>
              <w:rPr>
                <w:rFonts w:ascii="Franklin Gothic Medium" w:hAnsi="Franklin Gothic Medium"/>
              </w:rPr>
            </w:pPr>
            <w:r w:rsidRPr="00D924DA">
              <w:rPr>
                <w:rFonts w:ascii="Franklin Gothic Medium" w:hAnsi="Franklin Gothic Medium"/>
              </w:rPr>
              <w:t>Total</w:t>
            </w:r>
          </w:p>
        </w:tc>
        <w:tc>
          <w:tcPr>
            <w:tcW w:w="672" w:type="pct"/>
            <w:tcBorders>
              <w:top w:val="none" w:sz="0" w:space="0" w:color="auto"/>
              <w:left w:val="none" w:sz="0" w:space="0" w:color="auto"/>
              <w:bottom w:val="none" w:sz="0" w:space="0" w:color="auto"/>
              <w:right w:val="none" w:sz="0" w:space="0" w:color="auto"/>
            </w:tcBorders>
          </w:tcPr>
          <w:p w14:paraId="33FCF1E1" w14:textId="57BF7528" w:rsidR="002C4108" w:rsidRPr="00D924DA"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8,590</w:t>
            </w:r>
          </w:p>
        </w:tc>
        <w:tc>
          <w:tcPr>
            <w:tcW w:w="754" w:type="pct"/>
            <w:tcBorders>
              <w:top w:val="none" w:sz="0" w:space="0" w:color="auto"/>
              <w:left w:val="none" w:sz="0" w:space="0" w:color="auto"/>
              <w:bottom w:val="none" w:sz="0" w:space="0" w:color="auto"/>
              <w:right w:val="none" w:sz="0" w:space="0" w:color="auto"/>
            </w:tcBorders>
          </w:tcPr>
          <w:p w14:paraId="30629BAC" w14:textId="45D32EC4" w:rsidR="002C4108" w:rsidRPr="00D924DA"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332</w:t>
            </w:r>
          </w:p>
        </w:tc>
        <w:tc>
          <w:tcPr>
            <w:tcW w:w="754" w:type="pct"/>
            <w:tcBorders>
              <w:top w:val="none" w:sz="0" w:space="0" w:color="auto"/>
              <w:left w:val="none" w:sz="0" w:space="0" w:color="auto"/>
              <w:bottom w:val="none" w:sz="0" w:space="0" w:color="auto"/>
              <w:right w:val="none" w:sz="0" w:space="0" w:color="auto"/>
            </w:tcBorders>
          </w:tcPr>
          <w:p w14:paraId="09D81883" w14:textId="29D2F8F2" w:rsidR="002C4108" w:rsidRPr="00D924DA" w:rsidRDefault="002C410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0.11</w:t>
            </w:r>
          </w:p>
        </w:tc>
        <w:tc>
          <w:tcPr>
            <w:tcW w:w="754" w:type="pct"/>
            <w:tcBorders>
              <w:top w:val="none" w:sz="0" w:space="0" w:color="auto"/>
              <w:left w:val="none" w:sz="0" w:space="0" w:color="auto"/>
              <w:bottom w:val="none" w:sz="0" w:space="0" w:color="auto"/>
              <w:right w:val="none" w:sz="0" w:space="0" w:color="auto"/>
            </w:tcBorders>
          </w:tcPr>
          <w:p w14:paraId="42310FEA" w14:textId="0806C8C8" w:rsidR="002C4108" w:rsidRPr="00D924DA" w:rsidRDefault="00310B2F"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18,280</w:t>
            </w:r>
          </w:p>
        </w:tc>
      </w:tr>
    </w:tbl>
    <w:p w14:paraId="4BDE4C9C" w14:textId="147F7C7F" w:rsidR="007B7779" w:rsidRPr="007B7779" w:rsidRDefault="007B7779" w:rsidP="00512EF9">
      <w:pPr>
        <w:keepNext/>
        <w:spacing w:before="40" w:after="60" w:line="240" w:lineRule="auto"/>
        <w:rPr>
          <w:bCs/>
          <w:sz w:val="18"/>
          <w:szCs w:val="20"/>
        </w:rPr>
      </w:pPr>
      <w:r w:rsidRPr="007B7779">
        <w:rPr>
          <w:bCs/>
          <w:sz w:val="18"/>
          <w:szCs w:val="20"/>
        </w:rPr>
        <w:t>Note: The ex ante therm savings presented in this table</w:t>
      </w:r>
      <w:r w:rsidR="0042014A">
        <w:rPr>
          <w:bCs/>
          <w:sz w:val="18"/>
          <w:szCs w:val="20"/>
        </w:rPr>
        <w:t xml:space="preserve"> only</w:t>
      </w:r>
      <w:r w:rsidRPr="007B7779">
        <w:rPr>
          <w:bCs/>
          <w:sz w:val="18"/>
          <w:szCs w:val="20"/>
        </w:rPr>
        <w:t xml:space="preserve"> reflec</w:t>
      </w:r>
      <w:r w:rsidR="0042014A">
        <w:rPr>
          <w:bCs/>
          <w:sz w:val="18"/>
          <w:szCs w:val="20"/>
        </w:rPr>
        <w:t xml:space="preserve">t </w:t>
      </w:r>
      <w:r w:rsidRPr="007B7779">
        <w:rPr>
          <w:bCs/>
          <w:sz w:val="18"/>
          <w:szCs w:val="20"/>
        </w:rPr>
        <w:t xml:space="preserve">AIC claimable gas savings. </w:t>
      </w:r>
      <w:r w:rsidR="00CF0028">
        <w:rPr>
          <w:bCs/>
          <w:sz w:val="18"/>
          <w:szCs w:val="20"/>
        </w:rPr>
        <w:t>Four</w:t>
      </w:r>
      <w:r w:rsidRPr="007B7779">
        <w:rPr>
          <w:bCs/>
          <w:sz w:val="18"/>
          <w:szCs w:val="20"/>
        </w:rPr>
        <w:t xml:space="preserve"> projects completed through the SBEP channel produced non-AIC gas savings. More information on the savings from these projects is presented in </w:t>
      </w:r>
      <w:r w:rsidR="00A85972">
        <w:rPr>
          <w:bCs/>
          <w:sz w:val="18"/>
          <w:szCs w:val="20"/>
        </w:rPr>
        <w:fldChar w:fldCharType="begin"/>
      </w:r>
      <w:r w:rsidR="00A85972">
        <w:rPr>
          <w:bCs/>
          <w:sz w:val="18"/>
          <w:szCs w:val="20"/>
        </w:rPr>
        <w:instrText xml:space="preserve"> REF _Ref187069776 \n \h </w:instrText>
      </w:r>
      <w:r w:rsidR="00A85972">
        <w:rPr>
          <w:bCs/>
          <w:sz w:val="18"/>
          <w:szCs w:val="20"/>
        </w:rPr>
      </w:r>
      <w:r w:rsidR="00A85972">
        <w:rPr>
          <w:bCs/>
          <w:sz w:val="18"/>
          <w:szCs w:val="20"/>
        </w:rPr>
        <w:fldChar w:fldCharType="separate"/>
      </w:r>
      <w:r w:rsidR="00AA10F4">
        <w:rPr>
          <w:bCs/>
          <w:sz w:val="18"/>
          <w:szCs w:val="20"/>
        </w:rPr>
        <w:t>Appendix B</w:t>
      </w:r>
      <w:r w:rsidR="00A85972">
        <w:rPr>
          <w:bCs/>
          <w:sz w:val="18"/>
          <w:szCs w:val="20"/>
        </w:rPr>
        <w:fldChar w:fldCharType="end"/>
      </w:r>
      <w:r w:rsidRPr="007B7779">
        <w:rPr>
          <w:bCs/>
          <w:sz w:val="18"/>
          <w:szCs w:val="20"/>
        </w:rPr>
        <w:t>.</w:t>
      </w:r>
    </w:p>
    <w:p w14:paraId="4C528E62" w14:textId="323FE665" w:rsidR="00512EF9" w:rsidRPr="00512EF9" w:rsidRDefault="00512EF9" w:rsidP="00512EF9">
      <w:pPr>
        <w:keepNext/>
        <w:spacing w:before="40" w:after="60" w:line="240" w:lineRule="auto"/>
        <w:rPr>
          <w:bCs/>
          <w:sz w:val="18"/>
          <w:szCs w:val="20"/>
        </w:rPr>
      </w:pPr>
      <w:r w:rsidRPr="00512EF9">
        <w:rPr>
          <w:bCs/>
          <w:sz w:val="18"/>
          <w:szCs w:val="20"/>
          <w:vertAlign w:val="superscript"/>
        </w:rPr>
        <w:t>a</w:t>
      </w:r>
      <w:r w:rsidR="007B7779">
        <w:rPr>
          <w:bCs/>
          <w:sz w:val="18"/>
          <w:szCs w:val="20"/>
          <w:vertAlign w:val="superscript"/>
        </w:rPr>
        <w:t xml:space="preserve"> </w:t>
      </w:r>
      <w:r w:rsidRPr="00512EF9">
        <w:rPr>
          <w:bCs/>
          <w:sz w:val="18"/>
          <w:szCs w:val="20"/>
        </w:rPr>
        <w:t xml:space="preserve">The project counts, measure counts, and ex ante savings values presented in the </w:t>
      </w:r>
      <w:r w:rsidR="00875F07" w:rsidRPr="00875F07">
        <w:rPr>
          <w:bCs/>
          <w:sz w:val="18"/>
          <w:szCs w:val="20"/>
        </w:rPr>
        <w:t>Private Sector subsection of this table include State and Federal facilities</w:t>
      </w:r>
      <w:r w:rsidR="0042014A">
        <w:rPr>
          <w:bCs/>
          <w:sz w:val="18"/>
          <w:szCs w:val="20"/>
        </w:rPr>
        <w:t>,</w:t>
      </w:r>
      <w:r w:rsidR="00875F07" w:rsidRPr="00875F07">
        <w:rPr>
          <w:bCs/>
          <w:sz w:val="18"/>
          <w:szCs w:val="20"/>
        </w:rPr>
        <w:t xml:space="preserve"> as these facility types are not </w:t>
      </w:r>
      <w:r w:rsidRPr="00512EF9">
        <w:rPr>
          <w:bCs/>
          <w:sz w:val="18"/>
          <w:szCs w:val="20"/>
        </w:rPr>
        <w:t>included in the list of customer types covered in the public sector minimum funding requirements in subsection (c) of 220 ILCS 5/8-103B and subsection (e) of 220 ILCS 5/8-104.</w:t>
      </w:r>
    </w:p>
    <w:p w14:paraId="07E62C25" w14:textId="197A94E6" w:rsidR="00512EF9" w:rsidRDefault="00756541" w:rsidP="00512EF9">
      <w:pPr>
        <w:spacing w:before="240"/>
      </w:pPr>
      <w:r>
        <w:fldChar w:fldCharType="begin"/>
      </w:r>
      <w:r>
        <w:instrText xml:space="preserve"> REF _Ref190425410 \h </w:instrText>
      </w:r>
      <w:r>
        <w:fldChar w:fldCharType="separate"/>
      </w:r>
      <w:r w:rsidR="00AA10F4">
        <w:t xml:space="preserve">Figure </w:t>
      </w:r>
      <w:r w:rsidR="00AA10F4">
        <w:rPr>
          <w:noProof/>
        </w:rPr>
        <w:t>4</w:t>
      </w:r>
      <w:r>
        <w:fldChar w:fldCharType="end"/>
      </w:r>
      <w:r w:rsidR="00512EF9">
        <w:t xml:space="preserve"> shows the distribution of SBEP projects by facility type. </w:t>
      </w:r>
      <w:r w:rsidR="00512EF9" w:rsidRPr="003B561E">
        <w:t xml:space="preserve">Educational facilities accounted for </w:t>
      </w:r>
      <w:r w:rsidR="003B561E">
        <w:t>41</w:t>
      </w:r>
      <w:r w:rsidR="00512EF9">
        <w:t>% of projects completed through the channel.</w:t>
      </w:r>
    </w:p>
    <w:p w14:paraId="518C8F09" w14:textId="6D38EDD4" w:rsidR="00330A57" w:rsidRDefault="00330A57" w:rsidP="00881B1B">
      <w:pPr>
        <w:pStyle w:val="Caption"/>
      </w:pPr>
      <w:bookmarkStart w:id="268" w:name="_Ref190425410"/>
      <w:bookmarkStart w:id="269" w:name="_Toc191992650"/>
      <w:bookmarkStart w:id="270" w:name="_Toc192767066"/>
      <w:r>
        <w:t xml:space="preserve">Figure </w:t>
      </w:r>
      <w:r>
        <w:fldChar w:fldCharType="begin"/>
      </w:r>
      <w:r>
        <w:instrText xml:space="preserve"> SEQ Figure \* ARABIC </w:instrText>
      </w:r>
      <w:r>
        <w:fldChar w:fldCharType="separate"/>
      </w:r>
      <w:r w:rsidR="00AA10F4">
        <w:rPr>
          <w:noProof/>
        </w:rPr>
        <w:t>4</w:t>
      </w:r>
      <w:r>
        <w:fldChar w:fldCharType="end"/>
      </w:r>
      <w:bookmarkEnd w:id="268"/>
      <w:r>
        <w:t>. 2024 Small Business Energy Performance Participation by Facility Type</w:t>
      </w:r>
      <w:bookmarkEnd w:id="269"/>
      <w:bookmarkEnd w:id="270"/>
    </w:p>
    <w:p w14:paraId="40DFB84B" w14:textId="26E8B875" w:rsidR="00F12CF9" w:rsidRDefault="00F12CF9" w:rsidP="00881B1B">
      <w:pPr>
        <w:pStyle w:val="Caption"/>
      </w:pPr>
      <w:r>
        <w:rPr>
          <w:noProof/>
        </w:rPr>
        <w:drawing>
          <wp:inline distT="0" distB="0" distL="0" distR="0" wp14:anchorId="1E6F8233" wp14:editId="6249F95A">
            <wp:extent cx="6800850" cy="3397055"/>
            <wp:effectExtent l="0" t="0" r="0" b="0"/>
            <wp:docPr id="15624412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814894" cy="3404070"/>
                    </a:xfrm>
                    <a:prstGeom prst="rect">
                      <a:avLst/>
                    </a:prstGeom>
                    <a:noFill/>
                  </pic:spPr>
                </pic:pic>
              </a:graphicData>
            </a:graphic>
          </wp:inline>
        </w:drawing>
      </w:r>
    </w:p>
    <w:p w14:paraId="352D6B64" w14:textId="3DCA248E" w:rsidR="00512EF9" w:rsidRDefault="000025D4" w:rsidP="00512EF9">
      <w:pPr>
        <w:spacing w:before="240"/>
      </w:pPr>
      <w:r>
        <w:fldChar w:fldCharType="begin"/>
      </w:r>
      <w:r>
        <w:instrText xml:space="preserve"> REF _Ref189052697 \h </w:instrText>
      </w:r>
      <w:r>
        <w:fldChar w:fldCharType="separate"/>
      </w:r>
      <w:r w:rsidR="00AA10F4">
        <w:t xml:space="preserve">Table </w:t>
      </w:r>
      <w:r w:rsidR="00AA10F4">
        <w:rPr>
          <w:noProof/>
        </w:rPr>
        <w:t>59</w:t>
      </w:r>
      <w:r>
        <w:fldChar w:fldCharType="end"/>
      </w:r>
      <w:r>
        <w:t xml:space="preserve"> presents information on </w:t>
      </w:r>
      <w:r w:rsidR="003F3F47">
        <w:t>Program Ally</w:t>
      </w:r>
      <w:r>
        <w:t xml:space="preserve"> participation in the channel. </w:t>
      </w:r>
      <w:r w:rsidR="0042014A">
        <w:t>Five</w:t>
      </w:r>
      <w:r>
        <w:t xml:space="preserve"> </w:t>
      </w:r>
      <w:r w:rsidR="0042014A">
        <w:t xml:space="preserve">Program Allies </w:t>
      </w:r>
      <w:r>
        <w:t>participated in the channel in 2024</w:t>
      </w:r>
      <w:r w:rsidR="0042014A">
        <w:t xml:space="preserve">, </w:t>
      </w:r>
      <w:r>
        <w:t>an increase</w:t>
      </w:r>
      <w:r w:rsidR="00330A57">
        <w:t xml:space="preserve"> </w:t>
      </w:r>
      <w:r>
        <w:t>from four in 2023. In total, these allies completed</w:t>
      </w:r>
      <w:r w:rsidR="00330A57">
        <w:t xml:space="preserve"> 29</w:t>
      </w:r>
      <w:r>
        <w:t xml:space="preserve"> projects compared to the 59 completed in 2023. In 2023, Ally </w:t>
      </w:r>
      <w:r w:rsidR="00934693">
        <w:t>23</w:t>
      </w:r>
      <w:r>
        <w:t xml:space="preserve"> completed 71% of </w:t>
      </w:r>
      <w:r w:rsidR="0042014A">
        <w:t xml:space="preserve">all SBEP </w:t>
      </w:r>
      <w:r>
        <w:t>projects; in 2024</w:t>
      </w:r>
      <w:r w:rsidR="0042014A">
        <w:t>,</w:t>
      </w:r>
      <w:r>
        <w:t xml:space="preserve"> they completed </w:t>
      </w:r>
      <w:r w:rsidR="00934693">
        <w:t>41</w:t>
      </w:r>
      <w:r>
        <w:t>%</w:t>
      </w:r>
      <w:r w:rsidR="00934693">
        <w:t>. Ally 24 increased their share of projects from 3% in 2023 to 31% in 2024.</w:t>
      </w:r>
    </w:p>
    <w:p w14:paraId="7DB63A1B" w14:textId="427D2336" w:rsidR="000025D4" w:rsidRDefault="000025D4" w:rsidP="00881B1B">
      <w:pPr>
        <w:pStyle w:val="Caption"/>
      </w:pPr>
      <w:bookmarkStart w:id="271" w:name="_Ref189052697"/>
      <w:bookmarkStart w:id="272" w:name="_Toc191992580"/>
      <w:bookmarkStart w:id="273" w:name="_Toc192766993"/>
      <w:r>
        <w:lastRenderedPageBreak/>
        <w:t xml:space="preserve">Table </w:t>
      </w:r>
      <w:r w:rsidR="009B4C9A">
        <w:fldChar w:fldCharType="begin"/>
      </w:r>
      <w:r w:rsidR="009B4C9A">
        <w:instrText xml:space="preserve"> SEQ Table \* ARABIC </w:instrText>
      </w:r>
      <w:r w:rsidR="009B4C9A">
        <w:fldChar w:fldCharType="separate"/>
      </w:r>
      <w:r w:rsidR="00AA10F4">
        <w:rPr>
          <w:noProof/>
        </w:rPr>
        <w:t>59</w:t>
      </w:r>
      <w:r w:rsidR="009B4C9A">
        <w:rPr>
          <w:noProof/>
        </w:rPr>
        <w:fldChar w:fldCharType="end"/>
      </w:r>
      <w:bookmarkEnd w:id="271"/>
      <w:r>
        <w:t>. 2024 Small Business Energy Performance Channel Program Ally Participation Summary</w:t>
      </w:r>
      <w:bookmarkEnd w:id="272"/>
      <w:bookmarkEnd w:id="273"/>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tblGrid>
      <w:tr w:rsidR="003D6449" w14:paraId="08D19926" w14:textId="77777777" w:rsidTr="002B5E4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4CD6EE9" w14:textId="77777777" w:rsidR="003D6449" w:rsidRPr="00625570" w:rsidRDefault="003D6449" w:rsidP="00485C4C">
            <w:pPr>
              <w:pStyle w:val="TableHeadingLeft"/>
            </w:pPr>
            <w:r>
              <w:t>Program Ally</w:t>
            </w:r>
          </w:p>
        </w:tc>
        <w:tc>
          <w:tcPr>
            <w:tcW w:w="1644" w:type="dxa"/>
            <w:tcBorders>
              <w:bottom w:val="none" w:sz="0" w:space="0" w:color="auto"/>
            </w:tcBorders>
          </w:tcPr>
          <w:p w14:paraId="3824C4D3" w14:textId="77777777" w:rsidR="003D6449" w:rsidRPr="00625570" w:rsidRDefault="003D6449" w:rsidP="00485C4C">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1644" w:type="dxa"/>
            <w:tcBorders>
              <w:bottom w:val="none" w:sz="0" w:space="0" w:color="auto"/>
            </w:tcBorders>
          </w:tcPr>
          <w:p w14:paraId="759FA6DE" w14:textId="1E56223C" w:rsidR="003D6449" w:rsidRPr="00625570" w:rsidRDefault="003D6449" w:rsidP="00485C4C">
            <w:pPr>
              <w:pStyle w:val="TableHeadingCentered"/>
              <w:cnfStyle w:val="100000000000" w:firstRow="1" w:lastRow="0" w:firstColumn="0" w:lastColumn="0" w:oddVBand="0" w:evenVBand="0" w:oddHBand="0" w:evenHBand="0" w:firstRowFirstColumn="0" w:firstRowLastColumn="0" w:lastRowFirstColumn="0" w:lastRowLastColumn="0"/>
            </w:pPr>
            <w:r>
              <w:t>Share of Total (n=</w:t>
            </w:r>
            <w:r w:rsidR="00330A57">
              <w:t>29</w:t>
            </w:r>
            <w:r>
              <w:t>)</w:t>
            </w:r>
          </w:p>
        </w:tc>
      </w:tr>
      <w:tr w:rsidR="00330A57" w14:paraId="0DDBA3B1"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BECFC14" w14:textId="77EE7D8F" w:rsidR="00330A57" w:rsidRPr="00625570" w:rsidRDefault="00330A57" w:rsidP="00330A57">
            <w:pPr>
              <w:pStyle w:val="TableLeftText"/>
            </w:pPr>
            <w:r>
              <w:t xml:space="preserve">Ally </w:t>
            </w:r>
            <w:r w:rsidR="009B32D3">
              <w:t>2</w:t>
            </w:r>
            <w:r w:rsidR="001043F6">
              <w:t>3</w:t>
            </w:r>
          </w:p>
        </w:tc>
        <w:tc>
          <w:tcPr>
            <w:tcW w:w="1644" w:type="dxa"/>
            <w:tcBorders>
              <w:top w:val="none" w:sz="0" w:space="0" w:color="auto"/>
              <w:left w:val="none" w:sz="0" w:space="0" w:color="auto"/>
              <w:bottom w:val="none" w:sz="0" w:space="0" w:color="auto"/>
              <w:right w:val="none" w:sz="0" w:space="0" w:color="auto"/>
            </w:tcBorders>
            <w:vAlign w:val="top"/>
          </w:tcPr>
          <w:p w14:paraId="7D8F6AB9" w14:textId="51DD7ADE" w:rsidR="00330A57" w:rsidRPr="000B7901" w:rsidRDefault="00330A57" w:rsidP="00330A57">
            <w:pPr>
              <w:pStyle w:val="TableCenterText"/>
              <w:cnfStyle w:val="000000100000" w:firstRow="0" w:lastRow="0" w:firstColumn="0" w:lastColumn="0" w:oddVBand="0" w:evenVBand="0" w:oddHBand="1" w:evenHBand="0" w:firstRowFirstColumn="0" w:firstRowLastColumn="0" w:lastRowFirstColumn="0" w:lastRowLastColumn="0"/>
            </w:pPr>
            <w:r w:rsidRPr="003115C3">
              <w:t>12</w:t>
            </w:r>
          </w:p>
        </w:tc>
        <w:tc>
          <w:tcPr>
            <w:tcW w:w="1644" w:type="dxa"/>
            <w:tcBorders>
              <w:top w:val="none" w:sz="0" w:space="0" w:color="auto"/>
              <w:left w:val="none" w:sz="0" w:space="0" w:color="auto"/>
              <w:bottom w:val="none" w:sz="0" w:space="0" w:color="auto"/>
              <w:right w:val="none" w:sz="0" w:space="0" w:color="auto"/>
            </w:tcBorders>
            <w:vAlign w:val="top"/>
          </w:tcPr>
          <w:p w14:paraId="01FE24EF" w14:textId="468A52B3" w:rsidR="00330A57" w:rsidRPr="000B7901" w:rsidRDefault="00330A57" w:rsidP="00330A57">
            <w:pPr>
              <w:pStyle w:val="TableCenterText"/>
              <w:cnfStyle w:val="000000100000" w:firstRow="0" w:lastRow="0" w:firstColumn="0" w:lastColumn="0" w:oddVBand="0" w:evenVBand="0" w:oddHBand="1" w:evenHBand="0" w:firstRowFirstColumn="0" w:firstRowLastColumn="0" w:lastRowFirstColumn="0" w:lastRowLastColumn="0"/>
            </w:pPr>
            <w:r w:rsidRPr="00760CF1">
              <w:t>41%</w:t>
            </w:r>
          </w:p>
        </w:tc>
      </w:tr>
      <w:tr w:rsidR="00330A57" w14:paraId="60F37D28"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E237FFD" w14:textId="10C8580F" w:rsidR="00330A57" w:rsidRPr="00625570" w:rsidRDefault="00330A57" w:rsidP="00330A57">
            <w:pPr>
              <w:pStyle w:val="TableLeftText"/>
            </w:pPr>
            <w:r>
              <w:t>Ally 2</w:t>
            </w:r>
            <w:r w:rsidR="001043F6">
              <w:t>4</w:t>
            </w:r>
          </w:p>
        </w:tc>
        <w:tc>
          <w:tcPr>
            <w:tcW w:w="1644" w:type="dxa"/>
            <w:tcBorders>
              <w:top w:val="none" w:sz="0" w:space="0" w:color="auto"/>
              <w:left w:val="none" w:sz="0" w:space="0" w:color="auto"/>
              <w:bottom w:val="none" w:sz="0" w:space="0" w:color="auto"/>
              <w:right w:val="none" w:sz="0" w:space="0" w:color="auto"/>
            </w:tcBorders>
            <w:vAlign w:val="top"/>
          </w:tcPr>
          <w:p w14:paraId="72F1F0B6" w14:textId="38BF76C8" w:rsidR="00330A57" w:rsidRPr="000B7901" w:rsidRDefault="00330A57" w:rsidP="00330A57">
            <w:pPr>
              <w:pStyle w:val="TableCenterText"/>
              <w:cnfStyle w:val="000000010000" w:firstRow="0" w:lastRow="0" w:firstColumn="0" w:lastColumn="0" w:oddVBand="0" w:evenVBand="0" w:oddHBand="0" w:evenHBand="1" w:firstRowFirstColumn="0" w:firstRowLastColumn="0" w:lastRowFirstColumn="0" w:lastRowLastColumn="0"/>
            </w:pPr>
            <w:r w:rsidRPr="003115C3">
              <w:t>9</w:t>
            </w:r>
          </w:p>
        </w:tc>
        <w:tc>
          <w:tcPr>
            <w:tcW w:w="1644" w:type="dxa"/>
            <w:tcBorders>
              <w:top w:val="none" w:sz="0" w:space="0" w:color="auto"/>
              <w:left w:val="none" w:sz="0" w:space="0" w:color="auto"/>
              <w:bottom w:val="none" w:sz="0" w:space="0" w:color="auto"/>
              <w:right w:val="none" w:sz="0" w:space="0" w:color="auto"/>
            </w:tcBorders>
            <w:vAlign w:val="top"/>
          </w:tcPr>
          <w:p w14:paraId="46AC7439" w14:textId="4393713F" w:rsidR="00330A57" w:rsidRPr="000B7901" w:rsidRDefault="00330A57" w:rsidP="00330A57">
            <w:pPr>
              <w:pStyle w:val="TableCenterText"/>
              <w:cnfStyle w:val="000000010000" w:firstRow="0" w:lastRow="0" w:firstColumn="0" w:lastColumn="0" w:oddVBand="0" w:evenVBand="0" w:oddHBand="0" w:evenHBand="1" w:firstRowFirstColumn="0" w:firstRowLastColumn="0" w:lastRowFirstColumn="0" w:lastRowLastColumn="0"/>
            </w:pPr>
            <w:r w:rsidRPr="00760CF1">
              <w:t>31%</w:t>
            </w:r>
          </w:p>
        </w:tc>
      </w:tr>
      <w:tr w:rsidR="00330A57" w14:paraId="2053962F"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3CEDEBA" w14:textId="2301D133" w:rsidR="00330A57" w:rsidRPr="00625570" w:rsidRDefault="00330A57" w:rsidP="00330A57">
            <w:pPr>
              <w:pStyle w:val="TableLeftText"/>
            </w:pPr>
            <w:r>
              <w:t xml:space="preserve">Ally </w:t>
            </w:r>
            <w:r w:rsidR="001043F6">
              <w:t>6</w:t>
            </w:r>
          </w:p>
        </w:tc>
        <w:tc>
          <w:tcPr>
            <w:tcW w:w="1644" w:type="dxa"/>
            <w:tcBorders>
              <w:top w:val="none" w:sz="0" w:space="0" w:color="auto"/>
              <w:left w:val="none" w:sz="0" w:space="0" w:color="auto"/>
              <w:bottom w:val="none" w:sz="0" w:space="0" w:color="auto"/>
              <w:right w:val="none" w:sz="0" w:space="0" w:color="auto"/>
            </w:tcBorders>
            <w:vAlign w:val="top"/>
          </w:tcPr>
          <w:p w14:paraId="724356A4" w14:textId="478DE6D5" w:rsidR="00330A57" w:rsidRPr="000B7901" w:rsidRDefault="00330A57" w:rsidP="00330A57">
            <w:pPr>
              <w:pStyle w:val="TableCenterText"/>
              <w:cnfStyle w:val="000000100000" w:firstRow="0" w:lastRow="0" w:firstColumn="0" w:lastColumn="0" w:oddVBand="0" w:evenVBand="0" w:oddHBand="1" w:evenHBand="0" w:firstRowFirstColumn="0" w:firstRowLastColumn="0" w:lastRowFirstColumn="0" w:lastRowLastColumn="0"/>
            </w:pPr>
            <w:r w:rsidRPr="003115C3">
              <w:t>2</w:t>
            </w:r>
          </w:p>
        </w:tc>
        <w:tc>
          <w:tcPr>
            <w:tcW w:w="1644" w:type="dxa"/>
            <w:tcBorders>
              <w:top w:val="none" w:sz="0" w:space="0" w:color="auto"/>
              <w:left w:val="none" w:sz="0" w:space="0" w:color="auto"/>
              <w:bottom w:val="none" w:sz="0" w:space="0" w:color="auto"/>
              <w:right w:val="none" w:sz="0" w:space="0" w:color="auto"/>
            </w:tcBorders>
            <w:vAlign w:val="top"/>
          </w:tcPr>
          <w:p w14:paraId="1C5FBFF3" w14:textId="7A5FC160" w:rsidR="00330A57" w:rsidRPr="000B7901" w:rsidRDefault="00330A57" w:rsidP="00330A57">
            <w:pPr>
              <w:pStyle w:val="TableCenterText"/>
              <w:cnfStyle w:val="000000100000" w:firstRow="0" w:lastRow="0" w:firstColumn="0" w:lastColumn="0" w:oddVBand="0" w:evenVBand="0" w:oddHBand="1" w:evenHBand="0" w:firstRowFirstColumn="0" w:firstRowLastColumn="0" w:lastRowFirstColumn="0" w:lastRowLastColumn="0"/>
            </w:pPr>
            <w:r w:rsidRPr="00760CF1">
              <w:t>7%</w:t>
            </w:r>
          </w:p>
        </w:tc>
      </w:tr>
    </w:tbl>
    <w:p w14:paraId="559716F0" w14:textId="4F17ECE7" w:rsidR="00307C26" w:rsidRDefault="00B47754" w:rsidP="00307C26">
      <w:pPr>
        <w:pStyle w:val="Heading4"/>
      </w:pPr>
      <w:r>
        <w:t>Savings Detail</w:t>
      </w:r>
    </w:p>
    <w:p w14:paraId="5ECE62DF" w14:textId="5DA8D63A" w:rsidR="00307C26" w:rsidRDefault="00307C26" w:rsidP="00307C26">
      <w:r>
        <w:fldChar w:fldCharType="begin"/>
      </w:r>
      <w:r>
        <w:instrText xml:space="preserve"> REF _Ref187325503 \h </w:instrText>
      </w:r>
      <w:r>
        <w:fldChar w:fldCharType="separate"/>
      </w:r>
      <w:r w:rsidR="00AA10F4">
        <w:t xml:space="preserve">Table </w:t>
      </w:r>
      <w:r w:rsidR="00AA10F4">
        <w:rPr>
          <w:noProof/>
        </w:rPr>
        <w:t>60</w:t>
      </w:r>
      <w:r>
        <w:fldChar w:fldCharType="end"/>
      </w:r>
      <w:r>
        <w:t xml:space="preserve"> presents the ex ante, verified gross, and verified net electric energy savings achieved through the SBEP channel in 2024.</w:t>
      </w:r>
      <w:r w:rsidR="00D924DA">
        <w:t xml:space="preserve"> </w:t>
      </w:r>
      <w:r w:rsidR="00DE3C94" w:rsidRPr="00DE3C94">
        <w:t xml:space="preserve">The SBEP channel achieved a </w:t>
      </w:r>
      <w:r w:rsidR="00DE3C94">
        <w:t>67</w:t>
      </w:r>
      <w:r w:rsidR="00DE3C94" w:rsidRPr="00DE3C94">
        <w:t xml:space="preserve">% realization rate for gross electric energy savings. The channel's performance is primarily driven by C&amp;I </w:t>
      </w:r>
      <w:r w:rsidR="00225E4D">
        <w:t>a</w:t>
      </w:r>
      <w:r w:rsidR="00DE3C94" w:rsidRPr="00DE3C94">
        <w:t xml:space="preserve">ir </w:t>
      </w:r>
      <w:r w:rsidR="00225E4D">
        <w:t>s</w:t>
      </w:r>
      <w:r w:rsidR="00DE3C94" w:rsidRPr="00DE3C94">
        <w:t>ealing measures, accounting for 9</w:t>
      </w:r>
      <w:r w:rsidR="00DE3C94">
        <w:t>8</w:t>
      </w:r>
      <w:r w:rsidR="00DE3C94" w:rsidRPr="00DE3C94">
        <w:t xml:space="preserve">% of the verified net electric </w:t>
      </w:r>
      <w:r w:rsidR="00A42F3F">
        <w:t xml:space="preserve">energy </w:t>
      </w:r>
      <w:r w:rsidR="00DE3C94" w:rsidRPr="00DE3C94">
        <w:t xml:space="preserve">savings for the channel. </w:t>
      </w:r>
      <w:r w:rsidR="00A51DD3">
        <w:t xml:space="preserve">Commercial </w:t>
      </w:r>
      <w:r w:rsidR="00A42F3F">
        <w:t>w</w:t>
      </w:r>
      <w:r w:rsidR="00A51DD3">
        <w:t xml:space="preserve">all </w:t>
      </w:r>
      <w:r w:rsidR="00A42F3F">
        <w:t>i</w:t>
      </w:r>
      <w:r w:rsidR="00A51DD3">
        <w:t>nsulation</w:t>
      </w:r>
      <w:r w:rsidR="00DE3C94" w:rsidRPr="00DE3C94">
        <w:t xml:space="preserve"> </w:t>
      </w:r>
      <w:r w:rsidR="00A42F3F">
        <w:t xml:space="preserve">accounted </w:t>
      </w:r>
      <w:r w:rsidR="00DE3C94" w:rsidRPr="00DE3C94">
        <w:t xml:space="preserve">for </w:t>
      </w:r>
      <w:r w:rsidR="00A51DD3">
        <w:t>2</w:t>
      </w:r>
      <w:r w:rsidR="00DE3C94" w:rsidRPr="00DE3C94">
        <w:t>% of verified net electric</w:t>
      </w:r>
      <w:r w:rsidR="00A42F3F">
        <w:t xml:space="preserve"> energy</w:t>
      </w:r>
      <w:r w:rsidR="00DE3C94" w:rsidRPr="00DE3C94">
        <w:t xml:space="preserve"> savings. Overall, the channel experienced a </w:t>
      </w:r>
      <w:r w:rsidR="00A51DD3">
        <w:t>23</w:t>
      </w:r>
      <w:r w:rsidR="00DE3C94" w:rsidRPr="00DE3C94">
        <w:t xml:space="preserve">% </w:t>
      </w:r>
      <w:r w:rsidR="00A51DD3">
        <w:t>de</w:t>
      </w:r>
      <w:r w:rsidR="00DE3C94" w:rsidRPr="00DE3C94">
        <w:t xml:space="preserve">crease in verified net </w:t>
      </w:r>
      <w:r w:rsidR="00A42F3F">
        <w:t xml:space="preserve">electric </w:t>
      </w:r>
      <w:r w:rsidR="00DE3C94" w:rsidRPr="00DE3C94">
        <w:t>energy savings compared to 202</w:t>
      </w:r>
      <w:r w:rsidR="00A51DD3">
        <w:t>3</w:t>
      </w:r>
      <w:r w:rsidR="00DE3C94" w:rsidRPr="00DE3C94">
        <w:t>.</w:t>
      </w:r>
    </w:p>
    <w:p w14:paraId="3F71C17B" w14:textId="69A92EAC" w:rsidR="00307C26" w:rsidRDefault="00307C26" w:rsidP="00881B1B">
      <w:pPr>
        <w:pStyle w:val="Caption"/>
      </w:pPr>
      <w:bookmarkStart w:id="274" w:name="_Ref187325503"/>
      <w:bookmarkStart w:id="275" w:name="_Toc191992581"/>
      <w:bookmarkStart w:id="276" w:name="_Toc192766994"/>
      <w:r>
        <w:t xml:space="preserve">Table </w:t>
      </w:r>
      <w:r w:rsidR="009B4C9A">
        <w:fldChar w:fldCharType="begin"/>
      </w:r>
      <w:r w:rsidR="009B4C9A">
        <w:instrText xml:space="preserve"> SEQ Table \* ARABIC </w:instrText>
      </w:r>
      <w:r w:rsidR="009B4C9A">
        <w:fldChar w:fldCharType="separate"/>
      </w:r>
      <w:r w:rsidR="00AA10F4">
        <w:rPr>
          <w:noProof/>
        </w:rPr>
        <w:t>60</w:t>
      </w:r>
      <w:r w:rsidR="009B4C9A">
        <w:rPr>
          <w:noProof/>
        </w:rPr>
        <w:fldChar w:fldCharType="end"/>
      </w:r>
      <w:bookmarkEnd w:id="274"/>
      <w:r>
        <w:t>. 2024 Small Business Energy Performance Channel Electric Energy Savings by Measure</w:t>
      </w:r>
      <w:bookmarkEnd w:id="275"/>
      <w:bookmarkEnd w:id="27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605"/>
        <w:gridCol w:w="1890"/>
        <w:gridCol w:w="1620"/>
        <w:gridCol w:w="1890"/>
        <w:gridCol w:w="1241"/>
        <w:gridCol w:w="1850"/>
      </w:tblGrid>
      <w:tr w:rsidR="00307C26" w14:paraId="141C6DC5" w14:textId="77777777" w:rsidTr="002B5E4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tcPr>
          <w:p w14:paraId="2057CDFB" w14:textId="77777777" w:rsidR="00307C26" w:rsidRDefault="00307C26" w:rsidP="008C6FBE">
            <w:pPr>
              <w:pStyle w:val="TableHeadingLeft"/>
            </w:pPr>
            <w:r w:rsidRPr="00F87E60">
              <w:t>Measure Category</w:t>
            </w:r>
          </w:p>
        </w:tc>
        <w:tc>
          <w:tcPr>
            <w:tcW w:w="1890" w:type="dxa"/>
            <w:tcBorders>
              <w:bottom w:val="none" w:sz="0" w:space="0" w:color="auto"/>
            </w:tcBorders>
          </w:tcPr>
          <w:p w14:paraId="6385D306" w14:textId="77777777" w:rsidR="00307C26"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620" w:type="dxa"/>
            <w:tcBorders>
              <w:bottom w:val="none" w:sz="0" w:space="0" w:color="auto"/>
            </w:tcBorders>
          </w:tcPr>
          <w:p w14:paraId="1FFD79E7" w14:textId="77777777" w:rsidR="00307C26"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90" w:type="dxa"/>
            <w:tcBorders>
              <w:bottom w:val="none" w:sz="0" w:space="0" w:color="auto"/>
            </w:tcBorders>
          </w:tcPr>
          <w:p w14:paraId="5A3A5BE6" w14:textId="77777777" w:rsidR="00307C26"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241" w:type="dxa"/>
            <w:tcBorders>
              <w:bottom w:val="none" w:sz="0" w:space="0" w:color="auto"/>
            </w:tcBorders>
          </w:tcPr>
          <w:p w14:paraId="0BE45D40" w14:textId="77777777" w:rsidR="00307C26"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52DA19CB" w14:textId="77777777" w:rsidR="00307C26"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6C4030" w14:paraId="20E4D207"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tcPr>
          <w:p w14:paraId="21ABDD0F" w14:textId="311B41DE" w:rsidR="006C4030" w:rsidRDefault="006C4030" w:rsidP="006C4030">
            <w:pPr>
              <w:pStyle w:val="TableLeftText"/>
            </w:pPr>
            <w:r w:rsidRPr="000C3AE0">
              <w:t>C&amp;I Air Sealing</w:t>
            </w:r>
          </w:p>
        </w:tc>
        <w:tc>
          <w:tcPr>
            <w:tcW w:w="1890" w:type="dxa"/>
            <w:tcBorders>
              <w:top w:val="none" w:sz="0" w:space="0" w:color="auto"/>
              <w:left w:val="none" w:sz="0" w:space="0" w:color="auto"/>
              <w:bottom w:val="none" w:sz="0" w:space="0" w:color="auto"/>
              <w:right w:val="none" w:sz="0" w:space="0" w:color="auto"/>
            </w:tcBorders>
          </w:tcPr>
          <w:p w14:paraId="594C4EA8" w14:textId="7EBA8776" w:rsidR="006C4030"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0C3AE0">
              <w:t>327</w:t>
            </w:r>
          </w:p>
        </w:tc>
        <w:tc>
          <w:tcPr>
            <w:tcW w:w="1620" w:type="dxa"/>
            <w:tcBorders>
              <w:top w:val="none" w:sz="0" w:space="0" w:color="auto"/>
              <w:left w:val="none" w:sz="0" w:space="0" w:color="auto"/>
              <w:bottom w:val="none" w:sz="0" w:space="0" w:color="auto"/>
              <w:right w:val="none" w:sz="0" w:space="0" w:color="auto"/>
            </w:tcBorders>
          </w:tcPr>
          <w:p w14:paraId="5F726470" w14:textId="6F1DBB03" w:rsidR="006C4030"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0C3AE0">
              <w:t>67%</w:t>
            </w:r>
          </w:p>
        </w:tc>
        <w:tc>
          <w:tcPr>
            <w:tcW w:w="1890" w:type="dxa"/>
            <w:tcBorders>
              <w:top w:val="none" w:sz="0" w:space="0" w:color="auto"/>
              <w:left w:val="none" w:sz="0" w:space="0" w:color="auto"/>
              <w:bottom w:val="none" w:sz="0" w:space="0" w:color="auto"/>
              <w:right w:val="none" w:sz="0" w:space="0" w:color="auto"/>
            </w:tcBorders>
          </w:tcPr>
          <w:p w14:paraId="4283FB9F" w14:textId="22995E69" w:rsidR="006C4030"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0C3AE0">
              <w:t>219</w:t>
            </w:r>
          </w:p>
        </w:tc>
        <w:tc>
          <w:tcPr>
            <w:tcW w:w="1241" w:type="dxa"/>
            <w:tcBorders>
              <w:top w:val="none" w:sz="0" w:space="0" w:color="auto"/>
              <w:left w:val="none" w:sz="0" w:space="0" w:color="auto"/>
              <w:bottom w:val="none" w:sz="0" w:space="0" w:color="auto"/>
              <w:right w:val="none" w:sz="0" w:space="0" w:color="auto"/>
            </w:tcBorders>
          </w:tcPr>
          <w:p w14:paraId="5C58E1EB" w14:textId="3433E164" w:rsidR="006C4030"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0C3AE0">
              <w:t>1</w:t>
            </w:r>
            <w:r>
              <w:t>.000</w:t>
            </w:r>
          </w:p>
        </w:tc>
        <w:tc>
          <w:tcPr>
            <w:tcW w:w="1850" w:type="dxa"/>
            <w:tcBorders>
              <w:top w:val="none" w:sz="0" w:space="0" w:color="auto"/>
              <w:left w:val="none" w:sz="0" w:space="0" w:color="auto"/>
              <w:bottom w:val="none" w:sz="0" w:space="0" w:color="auto"/>
              <w:right w:val="none" w:sz="0" w:space="0" w:color="auto"/>
            </w:tcBorders>
          </w:tcPr>
          <w:p w14:paraId="58DFE86F" w14:textId="3DA7777C" w:rsidR="006C4030"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pPr>
            <w:r w:rsidRPr="000C3AE0">
              <w:t>219</w:t>
            </w:r>
          </w:p>
        </w:tc>
      </w:tr>
      <w:tr w:rsidR="006C4030" w14:paraId="35DD81D4"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tcPr>
          <w:p w14:paraId="055A1902" w14:textId="73F4BEC1" w:rsidR="006C4030" w:rsidRDefault="006C4030" w:rsidP="006C4030">
            <w:pPr>
              <w:pStyle w:val="TableLeftText"/>
            </w:pPr>
            <w:r w:rsidRPr="000C3AE0">
              <w:t>Commercial Wall Insulation</w:t>
            </w:r>
          </w:p>
        </w:tc>
        <w:tc>
          <w:tcPr>
            <w:tcW w:w="1890" w:type="dxa"/>
            <w:tcBorders>
              <w:top w:val="none" w:sz="0" w:space="0" w:color="auto"/>
              <w:left w:val="none" w:sz="0" w:space="0" w:color="auto"/>
              <w:bottom w:val="none" w:sz="0" w:space="0" w:color="auto"/>
              <w:right w:val="none" w:sz="0" w:space="0" w:color="auto"/>
            </w:tcBorders>
          </w:tcPr>
          <w:p w14:paraId="6C7E199F" w14:textId="2FC51F6F" w:rsidR="006C4030" w:rsidRDefault="006C403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0C3AE0">
              <w:t>4</w:t>
            </w:r>
          </w:p>
        </w:tc>
        <w:tc>
          <w:tcPr>
            <w:tcW w:w="1620" w:type="dxa"/>
            <w:tcBorders>
              <w:top w:val="none" w:sz="0" w:space="0" w:color="auto"/>
              <w:left w:val="none" w:sz="0" w:space="0" w:color="auto"/>
              <w:bottom w:val="none" w:sz="0" w:space="0" w:color="auto"/>
              <w:right w:val="none" w:sz="0" w:space="0" w:color="auto"/>
            </w:tcBorders>
          </w:tcPr>
          <w:p w14:paraId="3CA9D5EF" w14:textId="7C5008AA" w:rsidR="006C4030" w:rsidRDefault="006C403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0C3AE0">
              <w:t>100%</w:t>
            </w:r>
          </w:p>
        </w:tc>
        <w:tc>
          <w:tcPr>
            <w:tcW w:w="1890" w:type="dxa"/>
            <w:tcBorders>
              <w:top w:val="none" w:sz="0" w:space="0" w:color="auto"/>
              <w:left w:val="none" w:sz="0" w:space="0" w:color="auto"/>
              <w:bottom w:val="none" w:sz="0" w:space="0" w:color="auto"/>
              <w:right w:val="none" w:sz="0" w:space="0" w:color="auto"/>
            </w:tcBorders>
          </w:tcPr>
          <w:p w14:paraId="5A80FE53" w14:textId="55E017B3" w:rsidR="006C4030" w:rsidRDefault="006C403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0C3AE0">
              <w:t>4</w:t>
            </w:r>
          </w:p>
        </w:tc>
        <w:tc>
          <w:tcPr>
            <w:tcW w:w="1241" w:type="dxa"/>
            <w:tcBorders>
              <w:top w:val="none" w:sz="0" w:space="0" w:color="auto"/>
              <w:left w:val="none" w:sz="0" w:space="0" w:color="auto"/>
              <w:bottom w:val="none" w:sz="0" w:space="0" w:color="auto"/>
              <w:right w:val="none" w:sz="0" w:space="0" w:color="auto"/>
            </w:tcBorders>
          </w:tcPr>
          <w:p w14:paraId="21A9A174" w14:textId="628B4723" w:rsidR="006C4030" w:rsidRDefault="006C403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0C3AE0">
              <w:t>1</w:t>
            </w:r>
            <w:r>
              <w:t>.000</w:t>
            </w:r>
          </w:p>
        </w:tc>
        <w:tc>
          <w:tcPr>
            <w:tcW w:w="1850" w:type="dxa"/>
            <w:tcBorders>
              <w:top w:val="none" w:sz="0" w:space="0" w:color="auto"/>
              <w:left w:val="none" w:sz="0" w:space="0" w:color="auto"/>
              <w:bottom w:val="none" w:sz="0" w:space="0" w:color="auto"/>
              <w:right w:val="none" w:sz="0" w:space="0" w:color="auto"/>
            </w:tcBorders>
          </w:tcPr>
          <w:p w14:paraId="03A396D1" w14:textId="50C4B9D0" w:rsidR="006C4030" w:rsidRDefault="006C4030" w:rsidP="002B5E4A">
            <w:pPr>
              <w:pStyle w:val="TableLeftText"/>
              <w:jc w:val="right"/>
              <w:cnfStyle w:val="000000010000" w:firstRow="0" w:lastRow="0" w:firstColumn="0" w:lastColumn="0" w:oddVBand="0" w:evenVBand="0" w:oddHBand="0" w:evenHBand="1" w:firstRowFirstColumn="0" w:firstRowLastColumn="0" w:lastRowFirstColumn="0" w:lastRowLastColumn="0"/>
            </w:pPr>
            <w:r w:rsidRPr="000C3AE0">
              <w:t>4</w:t>
            </w:r>
          </w:p>
        </w:tc>
      </w:tr>
      <w:tr w:rsidR="006C4030" w14:paraId="0C32A9E6" w14:textId="77777777" w:rsidTr="002B5E4A">
        <w:trPr>
          <w:cnfStyle w:val="000000100000" w:firstRow="0" w:lastRow="0" w:firstColumn="0" w:lastColumn="0" w:oddVBand="0" w:evenVBand="0" w:oddHBand="1" w:evenHBand="0"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2605" w:type="dxa"/>
            <w:tcBorders>
              <w:top w:val="none" w:sz="0" w:space="0" w:color="auto"/>
              <w:left w:val="none" w:sz="0" w:space="0" w:color="auto"/>
              <w:bottom w:val="none" w:sz="0" w:space="0" w:color="auto"/>
              <w:right w:val="none" w:sz="0" w:space="0" w:color="auto"/>
            </w:tcBorders>
            <w:vAlign w:val="top"/>
          </w:tcPr>
          <w:p w14:paraId="60791C5A" w14:textId="77777777" w:rsidR="006C4030" w:rsidRPr="00D924DA" w:rsidRDefault="006C4030" w:rsidP="006C4030">
            <w:pPr>
              <w:pStyle w:val="TableLeftText"/>
              <w:rPr>
                <w:rFonts w:ascii="Franklin Gothic Medium" w:hAnsi="Franklin Gothic Medium"/>
              </w:rPr>
            </w:pPr>
            <w:r w:rsidRPr="00D924DA">
              <w:rPr>
                <w:rFonts w:ascii="Franklin Gothic Medium" w:hAnsi="Franklin Gothic Medium"/>
              </w:rPr>
              <w:t>Total</w:t>
            </w:r>
          </w:p>
        </w:tc>
        <w:tc>
          <w:tcPr>
            <w:tcW w:w="1890" w:type="dxa"/>
            <w:tcBorders>
              <w:top w:val="none" w:sz="0" w:space="0" w:color="auto"/>
              <w:left w:val="none" w:sz="0" w:space="0" w:color="auto"/>
              <w:bottom w:val="none" w:sz="0" w:space="0" w:color="auto"/>
              <w:right w:val="none" w:sz="0" w:space="0" w:color="auto"/>
            </w:tcBorders>
          </w:tcPr>
          <w:p w14:paraId="214180E3" w14:textId="7D183AFC" w:rsidR="006C4030" w:rsidRPr="00D924DA"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332</w:t>
            </w:r>
          </w:p>
        </w:tc>
        <w:tc>
          <w:tcPr>
            <w:tcW w:w="1620" w:type="dxa"/>
            <w:tcBorders>
              <w:top w:val="none" w:sz="0" w:space="0" w:color="auto"/>
              <w:left w:val="none" w:sz="0" w:space="0" w:color="auto"/>
              <w:bottom w:val="none" w:sz="0" w:space="0" w:color="auto"/>
              <w:right w:val="none" w:sz="0" w:space="0" w:color="auto"/>
            </w:tcBorders>
          </w:tcPr>
          <w:p w14:paraId="68FA5649" w14:textId="66F691F9" w:rsidR="006C4030" w:rsidRPr="00D924DA"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67%</w:t>
            </w:r>
          </w:p>
        </w:tc>
        <w:tc>
          <w:tcPr>
            <w:tcW w:w="1890" w:type="dxa"/>
            <w:tcBorders>
              <w:top w:val="none" w:sz="0" w:space="0" w:color="auto"/>
              <w:left w:val="none" w:sz="0" w:space="0" w:color="auto"/>
              <w:bottom w:val="none" w:sz="0" w:space="0" w:color="auto"/>
              <w:right w:val="none" w:sz="0" w:space="0" w:color="auto"/>
            </w:tcBorders>
          </w:tcPr>
          <w:p w14:paraId="66CD15D8" w14:textId="0337367A" w:rsidR="006C4030" w:rsidRPr="00D924DA"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223</w:t>
            </w:r>
          </w:p>
        </w:tc>
        <w:tc>
          <w:tcPr>
            <w:tcW w:w="1241" w:type="dxa"/>
            <w:tcBorders>
              <w:top w:val="none" w:sz="0" w:space="0" w:color="auto"/>
              <w:left w:val="none" w:sz="0" w:space="0" w:color="auto"/>
              <w:bottom w:val="none" w:sz="0" w:space="0" w:color="auto"/>
              <w:right w:val="none" w:sz="0" w:space="0" w:color="auto"/>
            </w:tcBorders>
          </w:tcPr>
          <w:p w14:paraId="64CBEBD0" w14:textId="21BADABA" w:rsidR="006C4030" w:rsidRPr="00D924DA"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1.000</w:t>
            </w:r>
          </w:p>
        </w:tc>
        <w:tc>
          <w:tcPr>
            <w:tcW w:w="1850" w:type="dxa"/>
            <w:tcBorders>
              <w:top w:val="none" w:sz="0" w:space="0" w:color="auto"/>
              <w:left w:val="none" w:sz="0" w:space="0" w:color="auto"/>
              <w:bottom w:val="none" w:sz="0" w:space="0" w:color="auto"/>
              <w:right w:val="none" w:sz="0" w:space="0" w:color="auto"/>
            </w:tcBorders>
          </w:tcPr>
          <w:p w14:paraId="7E227D6D" w14:textId="146A61D8" w:rsidR="006C4030" w:rsidRPr="00D924DA" w:rsidRDefault="006C4030" w:rsidP="002B5E4A">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223</w:t>
            </w:r>
          </w:p>
        </w:tc>
      </w:tr>
    </w:tbl>
    <w:p w14:paraId="0DBF4D57" w14:textId="48A4EA61" w:rsidR="00307C26" w:rsidRDefault="00307C26" w:rsidP="002B2717">
      <w:pPr>
        <w:spacing w:before="240"/>
      </w:pPr>
      <w:r>
        <w:fldChar w:fldCharType="begin"/>
      </w:r>
      <w:r>
        <w:instrText xml:space="preserve"> REF _Ref187325535 \h </w:instrText>
      </w:r>
      <w:r>
        <w:fldChar w:fldCharType="separate"/>
      </w:r>
      <w:r w:rsidR="00AA10F4">
        <w:t xml:space="preserve">Table </w:t>
      </w:r>
      <w:r w:rsidR="00AA10F4">
        <w:rPr>
          <w:noProof/>
        </w:rPr>
        <w:t>61</w:t>
      </w:r>
      <w:r>
        <w:fldChar w:fldCharType="end"/>
      </w:r>
      <w:r>
        <w:t xml:space="preserve"> presents the ex ante, verified gross, and verified net electric demand savings achieved through the SB</w:t>
      </w:r>
      <w:r w:rsidR="00A42F3F">
        <w:t xml:space="preserve">EP </w:t>
      </w:r>
      <w:r>
        <w:t xml:space="preserve">channel </w:t>
      </w:r>
      <w:r w:rsidR="00A42F3F">
        <w:t xml:space="preserve">in </w:t>
      </w:r>
      <w:r>
        <w:t>2024.</w:t>
      </w:r>
      <w:r w:rsidR="001E5F44">
        <w:t xml:space="preserve"> </w:t>
      </w:r>
      <w:r w:rsidR="001E5F44" w:rsidRPr="001E5F44">
        <w:t xml:space="preserve">The SBEP channel achieved a </w:t>
      </w:r>
      <w:r w:rsidR="001E5F44">
        <w:t>92</w:t>
      </w:r>
      <w:r w:rsidR="001E5F44" w:rsidRPr="001E5F44">
        <w:t xml:space="preserve">% realization rate for gross demand savings. C&amp;I </w:t>
      </w:r>
      <w:r w:rsidR="00225E4D">
        <w:t>a</w:t>
      </w:r>
      <w:r w:rsidR="001E5F44" w:rsidRPr="001E5F44">
        <w:t xml:space="preserve">ir </w:t>
      </w:r>
      <w:r w:rsidR="00225E4D">
        <w:t>s</w:t>
      </w:r>
      <w:r w:rsidR="001E5F44" w:rsidRPr="001E5F44">
        <w:t>ealing produced 9</w:t>
      </w:r>
      <w:r w:rsidR="001E5F44">
        <w:t>1</w:t>
      </w:r>
      <w:r w:rsidR="001E5F44" w:rsidRPr="001E5F44">
        <w:t xml:space="preserve">% of the channel verified net demand savings, </w:t>
      </w:r>
      <w:r w:rsidR="001E5F44">
        <w:t xml:space="preserve">while </w:t>
      </w:r>
      <w:r w:rsidR="00B47E63">
        <w:t>c</w:t>
      </w:r>
      <w:r w:rsidR="001E5F44">
        <w:t xml:space="preserve">ommercial </w:t>
      </w:r>
      <w:r w:rsidR="00A42F3F">
        <w:t>w</w:t>
      </w:r>
      <w:r w:rsidR="001E5F44">
        <w:t xml:space="preserve">all </w:t>
      </w:r>
      <w:r w:rsidR="00A42F3F">
        <w:t>i</w:t>
      </w:r>
      <w:r w:rsidR="001E5F44">
        <w:t xml:space="preserve">nsulation produced 9% of channel verified net demand savings. </w:t>
      </w:r>
      <w:r w:rsidR="001E5F44" w:rsidRPr="001E5F44">
        <w:t>Overall, the channel experienced a</w:t>
      </w:r>
      <w:r w:rsidR="001E5F44">
        <w:t xml:space="preserve"> 21</w:t>
      </w:r>
      <w:r w:rsidR="001E5F44" w:rsidRPr="001E5F44">
        <w:t xml:space="preserve">% </w:t>
      </w:r>
      <w:r w:rsidR="001E5F44">
        <w:t>de</w:t>
      </w:r>
      <w:r w:rsidR="001E5F44" w:rsidRPr="001E5F44">
        <w:t>crease in verified net demand savings compared to 202</w:t>
      </w:r>
      <w:r w:rsidR="001E5F44">
        <w:t>3.</w:t>
      </w:r>
    </w:p>
    <w:p w14:paraId="7F06B507" w14:textId="18E6B5F6" w:rsidR="00307C26" w:rsidRDefault="00307C26" w:rsidP="00881B1B">
      <w:pPr>
        <w:pStyle w:val="Caption"/>
      </w:pPr>
      <w:bookmarkStart w:id="277" w:name="_Ref187325535"/>
      <w:bookmarkStart w:id="278" w:name="_Toc191992582"/>
      <w:bookmarkStart w:id="279" w:name="_Toc192766995"/>
      <w:r>
        <w:t xml:space="preserve">Table </w:t>
      </w:r>
      <w:r w:rsidR="009B4C9A">
        <w:fldChar w:fldCharType="begin"/>
      </w:r>
      <w:r w:rsidR="009B4C9A">
        <w:instrText xml:space="preserve"> SEQ Table \* ARABIC </w:instrText>
      </w:r>
      <w:r w:rsidR="009B4C9A">
        <w:fldChar w:fldCharType="separate"/>
      </w:r>
      <w:r w:rsidR="00AA10F4">
        <w:rPr>
          <w:noProof/>
        </w:rPr>
        <w:t>61</w:t>
      </w:r>
      <w:r w:rsidR="009B4C9A">
        <w:rPr>
          <w:noProof/>
        </w:rPr>
        <w:fldChar w:fldCharType="end"/>
      </w:r>
      <w:bookmarkEnd w:id="277"/>
      <w:r>
        <w:t>. 2024 Small Business Energy Performance Channel Demand Energy Savings by Measure</w:t>
      </w:r>
      <w:bookmarkEnd w:id="278"/>
      <w:bookmarkEnd w:id="279"/>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307C26" w14:paraId="129B6CF8" w14:textId="77777777" w:rsidTr="002B5E4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F5BD71D" w14:textId="77777777" w:rsidR="00307C26" w:rsidRPr="00625570" w:rsidRDefault="00307C26" w:rsidP="008C6FBE">
            <w:pPr>
              <w:pStyle w:val="TableHeadingLeft"/>
            </w:pPr>
            <w:r>
              <w:t>Measure Category</w:t>
            </w:r>
          </w:p>
        </w:tc>
        <w:tc>
          <w:tcPr>
            <w:tcW w:w="1644" w:type="dxa"/>
            <w:tcBorders>
              <w:bottom w:val="none" w:sz="0" w:space="0" w:color="auto"/>
            </w:tcBorders>
          </w:tcPr>
          <w:p w14:paraId="415839E5" w14:textId="77777777" w:rsidR="00307C26" w:rsidRPr="00625570"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bottom w:val="none" w:sz="0" w:space="0" w:color="auto"/>
            </w:tcBorders>
          </w:tcPr>
          <w:p w14:paraId="70B1CF2B" w14:textId="77777777" w:rsidR="00307C26" w:rsidRPr="00625570"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7065A1AC" w14:textId="77777777" w:rsidR="00307C26" w:rsidRPr="00625570"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bottom w:val="none" w:sz="0" w:space="0" w:color="auto"/>
            </w:tcBorders>
          </w:tcPr>
          <w:p w14:paraId="05F849D6" w14:textId="77777777" w:rsidR="00307C26" w:rsidRPr="00625570"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21353E15" w14:textId="77777777" w:rsidR="00307C26" w:rsidRPr="00625570" w:rsidRDefault="00307C26" w:rsidP="008C6FB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1E5F44" w14:paraId="7F1DF521"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FB0288D" w14:textId="7F26121F" w:rsidR="001E5F44" w:rsidRPr="00625570" w:rsidRDefault="001E5F44" w:rsidP="001E5F44">
            <w:pPr>
              <w:pStyle w:val="TableLeftText"/>
            </w:pPr>
            <w:r w:rsidRPr="00A34C3F">
              <w:t>C&amp;I Air Sealing</w:t>
            </w:r>
          </w:p>
        </w:tc>
        <w:tc>
          <w:tcPr>
            <w:tcW w:w="1644" w:type="dxa"/>
            <w:tcBorders>
              <w:top w:val="none" w:sz="0" w:space="0" w:color="auto"/>
              <w:left w:val="none" w:sz="0" w:space="0" w:color="auto"/>
              <w:bottom w:val="none" w:sz="0" w:space="0" w:color="auto"/>
              <w:right w:val="none" w:sz="0" w:space="0" w:color="auto"/>
            </w:tcBorders>
          </w:tcPr>
          <w:p w14:paraId="5410ADD8" w14:textId="6AC3F61D" w:rsidR="001E5F44" w:rsidRPr="00625570"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A34C3F">
              <w:t>0.11</w:t>
            </w:r>
          </w:p>
        </w:tc>
        <w:tc>
          <w:tcPr>
            <w:tcW w:w="1644" w:type="dxa"/>
            <w:tcBorders>
              <w:top w:val="none" w:sz="0" w:space="0" w:color="auto"/>
              <w:left w:val="none" w:sz="0" w:space="0" w:color="auto"/>
              <w:bottom w:val="none" w:sz="0" w:space="0" w:color="auto"/>
              <w:right w:val="none" w:sz="0" w:space="0" w:color="auto"/>
            </w:tcBorders>
          </w:tcPr>
          <w:p w14:paraId="1EEA24CB" w14:textId="0C11D894" w:rsidR="001E5F44" w:rsidRPr="00625570"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A34C3F">
              <w:t>92%</w:t>
            </w:r>
          </w:p>
        </w:tc>
        <w:tc>
          <w:tcPr>
            <w:tcW w:w="1644" w:type="dxa"/>
            <w:tcBorders>
              <w:top w:val="none" w:sz="0" w:space="0" w:color="auto"/>
              <w:left w:val="none" w:sz="0" w:space="0" w:color="auto"/>
              <w:bottom w:val="none" w:sz="0" w:space="0" w:color="auto"/>
              <w:right w:val="none" w:sz="0" w:space="0" w:color="auto"/>
            </w:tcBorders>
          </w:tcPr>
          <w:p w14:paraId="179233C0" w14:textId="75545227" w:rsidR="001E5F44" w:rsidRPr="00625570"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A34C3F">
              <w:t>0.10</w:t>
            </w:r>
          </w:p>
        </w:tc>
        <w:tc>
          <w:tcPr>
            <w:tcW w:w="1644" w:type="dxa"/>
            <w:tcBorders>
              <w:top w:val="none" w:sz="0" w:space="0" w:color="auto"/>
              <w:left w:val="none" w:sz="0" w:space="0" w:color="auto"/>
              <w:bottom w:val="none" w:sz="0" w:space="0" w:color="auto"/>
              <w:right w:val="none" w:sz="0" w:space="0" w:color="auto"/>
            </w:tcBorders>
          </w:tcPr>
          <w:p w14:paraId="5ED80279" w14:textId="21F1CC10" w:rsidR="001E5F44" w:rsidRPr="00625570"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7A065C">
              <w:t>1.000</w:t>
            </w:r>
          </w:p>
        </w:tc>
        <w:tc>
          <w:tcPr>
            <w:tcW w:w="1645" w:type="dxa"/>
            <w:tcBorders>
              <w:top w:val="none" w:sz="0" w:space="0" w:color="auto"/>
              <w:left w:val="none" w:sz="0" w:space="0" w:color="auto"/>
              <w:bottom w:val="none" w:sz="0" w:space="0" w:color="auto"/>
              <w:right w:val="none" w:sz="0" w:space="0" w:color="auto"/>
            </w:tcBorders>
          </w:tcPr>
          <w:p w14:paraId="1FE3BEDD" w14:textId="23973ED7" w:rsidR="001E5F44" w:rsidRPr="00625570"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pPr>
            <w:r w:rsidRPr="00A34C3F">
              <w:t>0.10</w:t>
            </w:r>
          </w:p>
        </w:tc>
      </w:tr>
      <w:tr w:rsidR="001E5F44" w14:paraId="1A455D14" w14:textId="77777777" w:rsidTr="002B5E4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B51F2D1" w14:textId="071A9669" w:rsidR="001E5F44" w:rsidRPr="00625570" w:rsidRDefault="001E5F44" w:rsidP="001E5F44">
            <w:pPr>
              <w:pStyle w:val="TableLeftText"/>
            </w:pPr>
            <w:r w:rsidRPr="00A34C3F">
              <w:t>Commercial Wall Insulation</w:t>
            </w:r>
          </w:p>
        </w:tc>
        <w:tc>
          <w:tcPr>
            <w:tcW w:w="1644" w:type="dxa"/>
            <w:tcBorders>
              <w:top w:val="none" w:sz="0" w:space="0" w:color="auto"/>
              <w:left w:val="none" w:sz="0" w:space="0" w:color="auto"/>
              <w:bottom w:val="none" w:sz="0" w:space="0" w:color="auto"/>
              <w:right w:val="none" w:sz="0" w:space="0" w:color="auto"/>
            </w:tcBorders>
          </w:tcPr>
          <w:p w14:paraId="51DD1145" w14:textId="51B601D9" w:rsidR="001E5F44" w:rsidRPr="00625570" w:rsidRDefault="001E5F44" w:rsidP="002B5E4A">
            <w:pPr>
              <w:pStyle w:val="TableCenterText"/>
              <w:jc w:val="right"/>
              <w:cnfStyle w:val="000000010000" w:firstRow="0" w:lastRow="0" w:firstColumn="0" w:lastColumn="0" w:oddVBand="0" w:evenVBand="0" w:oddHBand="0" w:evenHBand="1" w:firstRowFirstColumn="0" w:firstRowLastColumn="0" w:lastRowFirstColumn="0" w:lastRowLastColumn="0"/>
            </w:pPr>
            <w:r>
              <w:t>&lt;</w:t>
            </w:r>
            <w:r w:rsidRPr="00A34C3F">
              <w:t>0.</w:t>
            </w:r>
            <w:r>
              <w:t>01</w:t>
            </w:r>
          </w:p>
        </w:tc>
        <w:tc>
          <w:tcPr>
            <w:tcW w:w="1644" w:type="dxa"/>
            <w:tcBorders>
              <w:top w:val="none" w:sz="0" w:space="0" w:color="auto"/>
              <w:left w:val="none" w:sz="0" w:space="0" w:color="auto"/>
              <w:bottom w:val="none" w:sz="0" w:space="0" w:color="auto"/>
              <w:right w:val="none" w:sz="0" w:space="0" w:color="auto"/>
            </w:tcBorders>
          </w:tcPr>
          <w:p w14:paraId="28EC59A3" w14:textId="1F36E575" w:rsidR="001E5F44" w:rsidRPr="00625570" w:rsidRDefault="001E5F44"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A34C3F">
              <w:t>83%</w:t>
            </w:r>
          </w:p>
        </w:tc>
        <w:tc>
          <w:tcPr>
            <w:tcW w:w="1644" w:type="dxa"/>
            <w:tcBorders>
              <w:top w:val="none" w:sz="0" w:space="0" w:color="auto"/>
              <w:left w:val="none" w:sz="0" w:space="0" w:color="auto"/>
              <w:bottom w:val="none" w:sz="0" w:space="0" w:color="auto"/>
              <w:right w:val="none" w:sz="0" w:space="0" w:color="auto"/>
            </w:tcBorders>
          </w:tcPr>
          <w:p w14:paraId="0E378654" w14:textId="4E71CA35" w:rsidR="001E5F44" w:rsidRPr="00625570" w:rsidRDefault="001E5F44"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&lt;</w:t>
            </w:r>
            <w:r w:rsidRPr="00A34C3F">
              <w:t>0.0</w:t>
            </w:r>
            <w:r>
              <w:t>1</w:t>
            </w:r>
          </w:p>
        </w:tc>
        <w:tc>
          <w:tcPr>
            <w:tcW w:w="1644" w:type="dxa"/>
            <w:tcBorders>
              <w:top w:val="none" w:sz="0" w:space="0" w:color="auto"/>
              <w:left w:val="none" w:sz="0" w:space="0" w:color="auto"/>
              <w:bottom w:val="none" w:sz="0" w:space="0" w:color="auto"/>
              <w:right w:val="none" w:sz="0" w:space="0" w:color="auto"/>
            </w:tcBorders>
          </w:tcPr>
          <w:p w14:paraId="0328FC44" w14:textId="542E55A8" w:rsidR="001E5F44" w:rsidRPr="00625570" w:rsidRDefault="001E5F44" w:rsidP="002B5E4A">
            <w:pPr>
              <w:pStyle w:val="TableCenterText"/>
              <w:jc w:val="right"/>
              <w:cnfStyle w:val="000000010000" w:firstRow="0" w:lastRow="0" w:firstColumn="0" w:lastColumn="0" w:oddVBand="0" w:evenVBand="0" w:oddHBand="0" w:evenHBand="1" w:firstRowFirstColumn="0" w:firstRowLastColumn="0" w:lastRowFirstColumn="0" w:lastRowLastColumn="0"/>
            </w:pPr>
            <w:r w:rsidRPr="007A065C">
              <w:t>1.000</w:t>
            </w:r>
          </w:p>
        </w:tc>
        <w:tc>
          <w:tcPr>
            <w:tcW w:w="1645" w:type="dxa"/>
            <w:tcBorders>
              <w:top w:val="none" w:sz="0" w:space="0" w:color="auto"/>
              <w:left w:val="none" w:sz="0" w:space="0" w:color="auto"/>
              <w:bottom w:val="none" w:sz="0" w:space="0" w:color="auto"/>
              <w:right w:val="none" w:sz="0" w:space="0" w:color="auto"/>
            </w:tcBorders>
          </w:tcPr>
          <w:p w14:paraId="56627593" w14:textId="7E672E10" w:rsidR="001E5F44" w:rsidRPr="00625570" w:rsidRDefault="001E5F44" w:rsidP="002B5E4A">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t>&lt;</w:t>
            </w:r>
            <w:r w:rsidRPr="00A34C3F">
              <w:t>0.0</w:t>
            </w:r>
            <w:r>
              <w:t>1</w:t>
            </w:r>
          </w:p>
        </w:tc>
      </w:tr>
      <w:tr w:rsidR="001E5F44" w14:paraId="68C355E8" w14:textId="77777777" w:rsidTr="002B5E4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5F6B461" w14:textId="33D14289" w:rsidR="001E5F44" w:rsidRPr="00D924DA" w:rsidRDefault="001E5F44" w:rsidP="001E5F44">
            <w:pPr>
              <w:pStyle w:val="TableTextLeftMedium"/>
            </w:pPr>
            <w:r w:rsidRPr="00D924DA">
              <w:t>Total</w:t>
            </w:r>
          </w:p>
        </w:tc>
        <w:tc>
          <w:tcPr>
            <w:tcW w:w="1644" w:type="dxa"/>
            <w:tcBorders>
              <w:top w:val="none" w:sz="0" w:space="0" w:color="auto"/>
              <w:left w:val="none" w:sz="0" w:space="0" w:color="auto"/>
              <w:bottom w:val="none" w:sz="0" w:space="0" w:color="auto"/>
              <w:right w:val="none" w:sz="0" w:space="0" w:color="auto"/>
            </w:tcBorders>
          </w:tcPr>
          <w:p w14:paraId="0472B1F4" w14:textId="531C1F16" w:rsidR="001E5F44" w:rsidRPr="00D924DA"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0.11</w:t>
            </w:r>
          </w:p>
        </w:tc>
        <w:tc>
          <w:tcPr>
            <w:tcW w:w="1644" w:type="dxa"/>
            <w:tcBorders>
              <w:top w:val="none" w:sz="0" w:space="0" w:color="auto"/>
              <w:left w:val="none" w:sz="0" w:space="0" w:color="auto"/>
              <w:bottom w:val="none" w:sz="0" w:space="0" w:color="auto"/>
              <w:right w:val="none" w:sz="0" w:space="0" w:color="auto"/>
            </w:tcBorders>
          </w:tcPr>
          <w:p w14:paraId="3F218068" w14:textId="7E7ED702" w:rsidR="001E5F44" w:rsidRPr="00D924DA"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92%</w:t>
            </w:r>
          </w:p>
        </w:tc>
        <w:tc>
          <w:tcPr>
            <w:tcW w:w="1644" w:type="dxa"/>
            <w:tcBorders>
              <w:top w:val="none" w:sz="0" w:space="0" w:color="auto"/>
              <w:left w:val="none" w:sz="0" w:space="0" w:color="auto"/>
              <w:bottom w:val="none" w:sz="0" w:space="0" w:color="auto"/>
              <w:right w:val="none" w:sz="0" w:space="0" w:color="auto"/>
            </w:tcBorders>
          </w:tcPr>
          <w:p w14:paraId="0347FA6A" w14:textId="462EF7C3" w:rsidR="001E5F44" w:rsidRPr="00D924DA"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0.11</w:t>
            </w:r>
          </w:p>
        </w:tc>
        <w:tc>
          <w:tcPr>
            <w:tcW w:w="1644" w:type="dxa"/>
            <w:tcBorders>
              <w:top w:val="none" w:sz="0" w:space="0" w:color="auto"/>
              <w:left w:val="none" w:sz="0" w:space="0" w:color="auto"/>
              <w:bottom w:val="none" w:sz="0" w:space="0" w:color="auto"/>
              <w:right w:val="none" w:sz="0" w:space="0" w:color="auto"/>
            </w:tcBorders>
          </w:tcPr>
          <w:p w14:paraId="7B5E65CF" w14:textId="010DBDA1" w:rsidR="001E5F44" w:rsidRPr="00D924DA"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1.000</w:t>
            </w:r>
          </w:p>
        </w:tc>
        <w:tc>
          <w:tcPr>
            <w:tcW w:w="1645" w:type="dxa"/>
            <w:tcBorders>
              <w:top w:val="none" w:sz="0" w:space="0" w:color="auto"/>
              <w:left w:val="none" w:sz="0" w:space="0" w:color="auto"/>
              <w:bottom w:val="none" w:sz="0" w:space="0" w:color="auto"/>
              <w:right w:val="none" w:sz="0" w:space="0" w:color="auto"/>
            </w:tcBorders>
          </w:tcPr>
          <w:p w14:paraId="6F74A3F8" w14:textId="548157AF" w:rsidR="001E5F44" w:rsidRPr="00D924DA" w:rsidRDefault="001E5F44" w:rsidP="002B5E4A">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D924DA">
              <w:rPr>
                <w:rFonts w:ascii="Franklin Gothic Medium" w:hAnsi="Franklin Gothic Medium"/>
              </w:rPr>
              <w:t>0.11</w:t>
            </w:r>
          </w:p>
        </w:tc>
      </w:tr>
    </w:tbl>
    <w:p w14:paraId="6FF90E08" w14:textId="4CCBF616" w:rsidR="00307C26" w:rsidRDefault="00307C26" w:rsidP="00BC69D4">
      <w:pPr>
        <w:keepNext/>
        <w:keepLines/>
        <w:spacing w:before="240"/>
      </w:pPr>
      <w:r>
        <w:lastRenderedPageBreak/>
        <w:fldChar w:fldCharType="begin"/>
      </w:r>
      <w:r>
        <w:instrText xml:space="preserve"> REF _Ref187325545 \h </w:instrText>
      </w:r>
      <w:r>
        <w:fldChar w:fldCharType="separate"/>
      </w:r>
      <w:r w:rsidR="00AA10F4">
        <w:t xml:space="preserve">Table </w:t>
      </w:r>
      <w:r w:rsidR="00AA10F4">
        <w:rPr>
          <w:noProof/>
        </w:rPr>
        <w:t>62</w:t>
      </w:r>
      <w:r>
        <w:fldChar w:fldCharType="end"/>
      </w:r>
      <w:r>
        <w:t xml:space="preserve"> presents the ex ante, verified gross, and verified net gas savings achieved through the SB</w:t>
      </w:r>
      <w:r w:rsidR="00A42F3F">
        <w:t>EP</w:t>
      </w:r>
      <w:r>
        <w:t xml:space="preserve"> channel in 2024.</w:t>
      </w:r>
      <w:r w:rsidR="00B35D97">
        <w:t xml:space="preserve"> </w:t>
      </w:r>
      <w:r w:rsidR="00A42F3F" w:rsidRPr="00A42F3F">
        <w:t xml:space="preserve">The SBEP channel achieved a </w:t>
      </w:r>
      <w:r w:rsidR="00A42F3F">
        <w:t>106</w:t>
      </w:r>
      <w:r w:rsidR="00A42F3F" w:rsidRPr="00A42F3F">
        <w:t>% realization rate for g</w:t>
      </w:r>
      <w:r w:rsidR="00A42F3F">
        <w:t xml:space="preserve">as </w:t>
      </w:r>
      <w:r w:rsidR="00A42F3F" w:rsidRPr="00A42F3F">
        <w:t xml:space="preserve">savings. C&amp;I </w:t>
      </w:r>
      <w:r w:rsidR="00225E4D">
        <w:t>a</w:t>
      </w:r>
      <w:r w:rsidR="00A42F3F" w:rsidRPr="00A42F3F">
        <w:t xml:space="preserve">ir </w:t>
      </w:r>
      <w:r w:rsidR="00225E4D">
        <w:t>s</w:t>
      </w:r>
      <w:r w:rsidR="00A42F3F" w:rsidRPr="00A42F3F">
        <w:t xml:space="preserve">ealing produced </w:t>
      </w:r>
      <w:r w:rsidR="00A42F3F">
        <w:t>83</w:t>
      </w:r>
      <w:r w:rsidR="00A42F3F" w:rsidRPr="00A42F3F">
        <w:t xml:space="preserve">% of channel verified net gas savings. </w:t>
      </w:r>
      <w:r w:rsidR="00A42F3F">
        <w:t>High efficiency boilers accounted for 17% of verified net gas savings</w:t>
      </w:r>
      <w:r w:rsidR="002855BC">
        <w:t xml:space="preserve"> and covers and gap sealers for RACs produced less than 1%</w:t>
      </w:r>
      <w:r w:rsidR="00A42F3F">
        <w:t xml:space="preserve">. </w:t>
      </w:r>
      <w:r w:rsidR="00A42F3F" w:rsidRPr="00A42F3F">
        <w:t xml:space="preserve">Overall, the channel experienced a </w:t>
      </w:r>
      <w:r w:rsidR="00A42F3F">
        <w:t>19</w:t>
      </w:r>
      <w:r w:rsidR="00A42F3F" w:rsidRPr="00A42F3F">
        <w:t xml:space="preserve">% </w:t>
      </w:r>
      <w:r w:rsidR="00A42F3F">
        <w:t>decrease</w:t>
      </w:r>
      <w:r w:rsidR="00A42F3F" w:rsidRPr="00A42F3F">
        <w:t xml:space="preserve"> in verified net </w:t>
      </w:r>
      <w:r w:rsidR="00A42F3F">
        <w:t>gas</w:t>
      </w:r>
      <w:r w:rsidR="00A42F3F" w:rsidRPr="00A42F3F">
        <w:t xml:space="preserve"> savings compared</w:t>
      </w:r>
      <w:r w:rsidR="00A42F3F">
        <w:t xml:space="preserve"> to 2023.</w:t>
      </w:r>
    </w:p>
    <w:p w14:paraId="409C4D28" w14:textId="665DF704" w:rsidR="00307C26" w:rsidRDefault="00307C26" w:rsidP="002B5E4A">
      <w:pPr>
        <w:pStyle w:val="Caption"/>
      </w:pPr>
      <w:bookmarkStart w:id="280" w:name="_Ref187325545"/>
      <w:bookmarkStart w:id="281" w:name="_Toc191992583"/>
      <w:bookmarkStart w:id="282" w:name="_Toc192766996"/>
      <w:r>
        <w:t xml:space="preserve">Table </w:t>
      </w:r>
      <w:r w:rsidR="009B4C9A">
        <w:fldChar w:fldCharType="begin"/>
      </w:r>
      <w:r w:rsidR="009B4C9A">
        <w:instrText xml:space="preserve"> SEQ Table \* ARABIC </w:instrText>
      </w:r>
      <w:r w:rsidR="009B4C9A">
        <w:fldChar w:fldCharType="separate"/>
      </w:r>
      <w:r w:rsidR="00AA10F4">
        <w:rPr>
          <w:noProof/>
        </w:rPr>
        <w:t>62</w:t>
      </w:r>
      <w:r w:rsidR="009B4C9A">
        <w:rPr>
          <w:noProof/>
        </w:rPr>
        <w:fldChar w:fldCharType="end"/>
      </w:r>
      <w:bookmarkEnd w:id="280"/>
      <w:r>
        <w:t>. 2024 Small Business Energy Performance Channel Gas Savings by Measure</w:t>
      </w:r>
      <w:bookmarkEnd w:id="281"/>
      <w:bookmarkEnd w:id="282"/>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145"/>
        <w:gridCol w:w="1710"/>
        <w:gridCol w:w="1620"/>
        <w:gridCol w:w="1710"/>
        <w:gridCol w:w="1260"/>
        <w:gridCol w:w="1651"/>
      </w:tblGrid>
      <w:tr w:rsidR="00307C26" w14:paraId="3BB7EA93" w14:textId="77777777" w:rsidTr="00D924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tcPr>
          <w:p w14:paraId="4748C1EF" w14:textId="77777777" w:rsidR="00307C26" w:rsidRDefault="00307C26" w:rsidP="002B5E4A">
            <w:pPr>
              <w:pStyle w:val="TableHeadingLeft"/>
              <w:keepNext/>
              <w:keepLines/>
            </w:pPr>
            <w:r w:rsidRPr="00F87E60">
              <w:t>Measure Category</w:t>
            </w:r>
          </w:p>
        </w:tc>
        <w:tc>
          <w:tcPr>
            <w:tcW w:w="1710" w:type="dxa"/>
            <w:tcBorders>
              <w:bottom w:val="none" w:sz="0" w:space="0" w:color="auto"/>
            </w:tcBorders>
          </w:tcPr>
          <w:p w14:paraId="4D44D5D3" w14:textId="77777777" w:rsidR="00307C26" w:rsidRDefault="00307C26" w:rsidP="002B5E4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620" w:type="dxa"/>
            <w:tcBorders>
              <w:bottom w:val="none" w:sz="0" w:space="0" w:color="auto"/>
            </w:tcBorders>
          </w:tcPr>
          <w:p w14:paraId="64CBDDFC" w14:textId="77777777" w:rsidR="00307C26" w:rsidRDefault="00307C26" w:rsidP="002B5E4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710" w:type="dxa"/>
            <w:tcBorders>
              <w:bottom w:val="none" w:sz="0" w:space="0" w:color="auto"/>
            </w:tcBorders>
          </w:tcPr>
          <w:p w14:paraId="7C1000AF" w14:textId="77777777" w:rsidR="00307C26" w:rsidRDefault="00307C26" w:rsidP="002B5E4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260" w:type="dxa"/>
            <w:tcBorders>
              <w:bottom w:val="none" w:sz="0" w:space="0" w:color="auto"/>
            </w:tcBorders>
          </w:tcPr>
          <w:p w14:paraId="0CF7283F" w14:textId="77777777" w:rsidR="00307C26" w:rsidRDefault="00307C26" w:rsidP="002B5E4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NTGR</w:t>
            </w:r>
          </w:p>
        </w:tc>
        <w:tc>
          <w:tcPr>
            <w:tcW w:w="1651" w:type="dxa"/>
            <w:tcBorders>
              <w:bottom w:val="none" w:sz="0" w:space="0" w:color="auto"/>
            </w:tcBorders>
          </w:tcPr>
          <w:p w14:paraId="00CFB74E" w14:textId="77777777" w:rsidR="00307C26" w:rsidRDefault="00307C26" w:rsidP="002B5E4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1E5F44" w14:paraId="0382AE16"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vAlign w:val="top"/>
          </w:tcPr>
          <w:p w14:paraId="19AEEEEF" w14:textId="5E9EC0E2" w:rsidR="001E5F44" w:rsidRDefault="001E5F44" w:rsidP="002B5E4A">
            <w:pPr>
              <w:pStyle w:val="TableLeftText"/>
              <w:keepNext/>
              <w:keepLines/>
            </w:pPr>
            <w:r w:rsidRPr="005600CA">
              <w:t>C&amp;I Air Sealing</w:t>
            </w:r>
          </w:p>
        </w:tc>
        <w:tc>
          <w:tcPr>
            <w:tcW w:w="1710" w:type="dxa"/>
            <w:tcBorders>
              <w:top w:val="none" w:sz="0" w:space="0" w:color="auto"/>
              <w:left w:val="none" w:sz="0" w:space="0" w:color="auto"/>
              <w:bottom w:val="none" w:sz="0" w:space="0" w:color="auto"/>
              <w:right w:val="none" w:sz="0" w:space="0" w:color="auto"/>
            </w:tcBorders>
          </w:tcPr>
          <w:p w14:paraId="67110A7B" w14:textId="2C727F4A"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15,944</w:t>
            </w:r>
          </w:p>
        </w:tc>
        <w:tc>
          <w:tcPr>
            <w:tcW w:w="1620" w:type="dxa"/>
            <w:tcBorders>
              <w:top w:val="none" w:sz="0" w:space="0" w:color="auto"/>
              <w:left w:val="none" w:sz="0" w:space="0" w:color="auto"/>
              <w:bottom w:val="none" w:sz="0" w:space="0" w:color="auto"/>
              <w:right w:val="none" w:sz="0" w:space="0" w:color="auto"/>
            </w:tcBorders>
          </w:tcPr>
          <w:p w14:paraId="13CC11B7" w14:textId="2B40DEA1"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100%</w:t>
            </w:r>
          </w:p>
        </w:tc>
        <w:tc>
          <w:tcPr>
            <w:tcW w:w="1710" w:type="dxa"/>
            <w:tcBorders>
              <w:top w:val="none" w:sz="0" w:space="0" w:color="auto"/>
              <w:left w:val="none" w:sz="0" w:space="0" w:color="auto"/>
              <w:bottom w:val="none" w:sz="0" w:space="0" w:color="auto"/>
              <w:right w:val="none" w:sz="0" w:space="0" w:color="auto"/>
            </w:tcBorders>
          </w:tcPr>
          <w:p w14:paraId="16D044B8" w14:textId="6B9EC00E"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15,944</w:t>
            </w:r>
          </w:p>
        </w:tc>
        <w:tc>
          <w:tcPr>
            <w:tcW w:w="1260" w:type="dxa"/>
            <w:tcBorders>
              <w:top w:val="none" w:sz="0" w:space="0" w:color="auto"/>
              <w:left w:val="none" w:sz="0" w:space="0" w:color="auto"/>
              <w:bottom w:val="none" w:sz="0" w:space="0" w:color="auto"/>
              <w:right w:val="none" w:sz="0" w:space="0" w:color="auto"/>
            </w:tcBorders>
          </w:tcPr>
          <w:p w14:paraId="4EE8F2E7" w14:textId="1D396577"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1.000</w:t>
            </w:r>
          </w:p>
        </w:tc>
        <w:tc>
          <w:tcPr>
            <w:tcW w:w="1651" w:type="dxa"/>
            <w:tcBorders>
              <w:top w:val="none" w:sz="0" w:space="0" w:color="auto"/>
              <w:left w:val="none" w:sz="0" w:space="0" w:color="auto"/>
              <w:bottom w:val="none" w:sz="0" w:space="0" w:color="auto"/>
              <w:right w:val="none" w:sz="0" w:space="0" w:color="auto"/>
            </w:tcBorders>
          </w:tcPr>
          <w:p w14:paraId="59BB5A43" w14:textId="2B89357C"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15,944</w:t>
            </w:r>
          </w:p>
        </w:tc>
      </w:tr>
      <w:tr w:rsidR="001E5F44" w14:paraId="4A16DF60"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vAlign w:val="top"/>
          </w:tcPr>
          <w:p w14:paraId="475D2B21" w14:textId="254DCEB3" w:rsidR="001E5F44" w:rsidRDefault="001E5F44" w:rsidP="002B5E4A">
            <w:pPr>
              <w:pStyle w:val="TableLeftText"/>
              <w:keepNext/>
              <w:keepLines/>
            </w:pPr>
            <w:r w:rsidRPr="005600CA">
              <w:t xml:space="preserve">High Efficiency Boiler </w:t>
            </w:r>
          </w:p>
        </w:tc>
        <w:tc>
          <w:tcPr>
            <w:tcW w:w="1710" w:type="dxa"/>
            <w:tcBorders>
              <w:top w:val="none" w:sz="0" w:space="0" w:color="auto"/>
              <w:left w:val="none" w:sz="0" w:space="0" w:color="auto"/>
              <w:bottom w:val="none" w:sz="0" w:space="0" w:color="auto"/>
              <w:right w:val="none" w:sz="0" w:space="0" w:color="auto"/>
            </w:tcBorders>
          </w:tcPr>
          <w:p w14:paraId="5C4C601C" w14:textId="470A8A51" w:rsidR="001E5F44" w:rsidRPr="00EE3D49"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5600CA">
              <w:t>2,139</w:t>
            </w:r>
          </w:p>
        </w:tc>
        <w:tc>
          <w:tcPr>
            <w:tcW w:w="1620" w:type="dxa"/>
            <w:tcBorders>
              <w:top w:val="none" w:sz="0" w:space="0" w:color="auto"/>
              <w:left w:val="none" w:sz="0" w:space="0" w:color="auto"/>
              <w:bottom w:val="none" w:sz="0" w:space="0" w:color="auto"/>
              <w:right w:val="none" w:sz="0" w:space="0" w:color="auto"/>
            </w:tcBorders>
          </w:tcPr>
          <w:p w14:paraId="79100B2E" w14:textId="2B77412E" w:rsidR="001E5F44" w:rsidRPr="00EE3D49"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5600CA">
              <w:t>154%</w:t>
            </w:r>
          </w:p>
        </w:tc>
        <w:tc>
          <w:tcPr>
            <w:tcW w:w="1710" w:type="dxa"/>
            <w:tcBorders>
              <w:top w:val="none" w:sz="0" w:space="0" w:color="auto"/>
              <w:left w:val="none" w:sz="0" w:space="0" w:color="auto"/>
              <w:bottom w:val="none" w:sz="0" w:space="0" w:color="auto"/>
              <w:right w:val="none" w:sz="0" w:space="0" w:color="auto"/>
            </w:tcBorders>
          </w:tcPr>
          <w:p w14:paraId="7789CAF6" w14:textId="0A9F7C35" w:rsidR="001E5F44" w:rsidRPr="00EE3D49"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5600CA">
              <w:t>3,304</w:t>
            </w:r>
          </w:p>
        </w:tc>
        <w:tc>
          <w:tcPr>
            <w:tcW w:w="1260" w:type="dxa"/>
            <w:tcBorders>
              <w:top w:val="none" w:sz="0" w:space="0" w:color="auto"/>
              <w:left w:val="none" w:sz="0" w:space="0" w:color="auto"/>
              <w:bottom w:val="none" w:sz="0" w:space="0" w:color="auto"/>
              <w:right w:val="none" w:sz="0" w:space="0" w:color="auto"/>
            </w:tcBorders>
          </w:tcPr>
          <w:p w14:paraId="7C3C24E4" w14:textId="1D45F647" w:rsidR="001E5F44" w:rsidRPr="00EE3D49"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5600CA">
              <w:t>1.000</w:t>
            </w:r>
          </w:p>
        </w:tc>
        <w:tc>
          <w:tcPr>
            <w:tcW w:w="1651" w:type="dxa"/>
            <w:tcBorders>
              <w:top w:val="none" w:sz="0" w:space="0" w:color="auto"/>
              <w:left w:val="none" w:sz="0" w:space="0" w:color="auto"/>
              <w:bottom w:val="none" w:sz="0" w:space="0" w:color="auto"/>
              <w:right w:val="none" w:sz="0" w:space="0" w:color="auto"/>
            </w:tcBorders>
          </w:tcPr>
          <w:p w14:paraId="2A6043D4" w14:textId="1971C26D" w:rsidR="001E5F44" w:rsidRPr="00EE3D49"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pPr>
            <w:r w:rsidRPr="005600CA">
              <w:t>3,304</w:t>
            </w:r>
          </w:p>
        </w:tc>
      </w:tr>
      <w:tr w:rsidR="001E5F44" w14:paraId="0DD24871" w14:textId="77777777" w:rsidTr="002B5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vAlign w:val="top"/>
          </w:tcPr>
          <w:p w14:paraId="6A844B07" w14:textId="6AFC0AE7" w:rsidR="001E5F44" w:rsidRDefault="001E5F44" w:rsidP="002B5E4A">
            <w:pPr>
              <w:pStyle w:val="TableLeftText"/>
              <w:keepNext/>
              <w:keepLines/>
            </w:pPr>
            <w:r w:rsidRPr="005600CA">
              <w:t xml:space="preserve">Covers and Gap Sealers for </w:t>
            </w:r>
            <w:r w:rsidR="00B47E63">
              <w:t>RACs</w:t>
            </w:r>
          </w:p>
        </w:tc>
        <w:tc>
          <w:tcPr>
            <w:tcW w:w="1710" w:type="dxa"/>
            <w:tcBorders>
              <w:top w:val="none" w:sz="0" w:space="0" w:color="auto"/>
              <w:left w:val="none" w:sz="0" w:space="0" w:color="auto"/>
              <w:bottom w:val="none" w:sz="0" w:space="0" w:color="auto"/>
              <w:right w:val="none" w:sz="0" w:space="0" w:color="auto"/>
            </w:tcBorders>
          </w:tcPr>
          <w:p w14:paraId="703F2D9F" w14:textId="6718E584"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197</w:t>
            </w:r>
          </w:p>
        </w:tc>
        <w:tc>
          <w:tcPr>
            <w:tcW w:w="1620" w:type="dxa"/>
            <w:tcBorders>
              <w:top w:val="none" w:sz="0" w:space="0" w:color="auto"/>
              <w:left w:val="none" w:sz="0" w:space="0" w:color="auto"/>
              <w:bottom w:val="none" w:sz="0" w:space="0" w:color="auto"/>
              <w:right w:val="none" w:sz="0" w:space="0" w:color="auto"/>
            </w:tcBorders>
          </w:tcPr>
          <w:p w14:paraId="42C6240C" w14:textId="7DBC1994"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36%</w:t>
            </w:r>
          </w:p>
        </w:tc>
        <w:tc>
          <w:tcPr>
            <w:tcW w:w="1710" w:type="dxa"/>
            <w:tcBorders>
              <w:top w:val="none" w:sz="0" w:space="0" w:color="auto"/>
              <w:left w:val="none" w:sz="0" w:space="0" w:color="auto"/>
              <w:bottom w:val="none" w:sz="0" w:space="0" w:color="auto"/>
              <w:right w:val="none" w:sz="0" w:space="0" w:color="auto"/>
            </w:tcBorders>
          </w:tcPr>
          <w:p w14:paraId="4661C0CB" w14:textId="6AE37742"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72</w:t>
            </w:r>
          </w:p>
        </w:tc>
        <w:tc>
          <w:tcPr>
            <w:tcW w:w="1260" w:type="dxa"/>
            <w:tcBorders>
              <w:top w:val="none" w:sz="0" w:space="0" w:color="auto"/>
              <w:left w:val="none" w:sz="0" w:space="0" w:color="auto"/>
              <w:bottom w:val="none" w:sz="0" w:space="0" w:color="auto"/>
              <w:right w:val="none" w:sz="0" w:space="0" w:color="auto"/>
            </w:tcBorders>
          </w:tcPr>
          <w:p w14:paraId="2F2DFCD2" w14:textId="7B992613"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1.000</w:t>
            </w:r>
          </w:p>
        </w:tc>
        <w:tc>
          <w:tcPr>
            <w:tcW w:w="1651" w:type="dxa"/>
            <w:tcBorders>
              <w:top w:val="none" w:sz="0" w:space="0" w:color="auto"/>
              <w:left w:val="none" w:sz="0" w:space="0" w:color="auto"/>
              <w:bottom w:val="none" w:sz="0" w:space="0" w:color="auto"/>
              <w:right w:val="none" w:sz="0" w:space="0" w:color="auto"/>
            </w:tcBorders>
          </w:tcPr>
          <w:p w14:paraId="1248CC4C" w14:textId="3F0537C3" w:rsidR="001E5F44" w:rsidRPr="00EE3D49" w:rsidRDefault="001E5F44" w:rsidP="002B5E4A">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5600CA">
              <w:t>72</w:t>
            </w:r>
          </w:p>
        </w:tc>
      </w:tr>
      <w:tr w:rsidR="001E5F44" w:rsidRPr="00EE3D49" w14:paraId="132598C6" w14:textId="77777777" w:rsidTr="002B5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5" w:type="dxa"/>
            <w:tcBorders>
              <w:top w:val="none" w:sz="0" w:space="0" w:color="auto"/>
              <w:left w:val="none" w:sz="0" w:space="0" w:color="auto"/>
              <w:bottom w:val="none" w:sz="0" w:space="0" w:color="auto"/>
              <w:right w:val="none" w:sz="0" w:space="0" w:color="auto"/>
            </w:tcBorders>
            <w:vAlign w:val="top"/>
          </w:tcPr>
          <w:p w14:paraId="066F0963" w14:textId="77777777" w:rsidR="001E5F44" w:rsidRPr="00D924DA" w:rsidRDefault="001E5F44" w:rsidP="002B5E4A">
            <w:pPr>
              <w:pStyle w:val="TableLeftText"/>
              <w:keepNext/>
              <w:keepLines/>
              <w:rPr>
                <w:rFonts w:ascii="Franklin Gothic Medium" w:hAnsi="Franklin Gothic Medium"/>
              </w:rPr>
            </w:pPr>
            <w:r w:rsidRPr="00D924DA">
              <w:rPr>
                <w:rFonts w:ascii="Franklin Gothic Medium" w:hAnsi="Franklin Gothic Medium"/>
              </w:rPr>
              <w:t>Total</w:t>
            </w:r>
          </w:p>
        </w:tc>
        <w:tc>
          <w:tcPr>
            <w:tcW w:w="1710" w:type="dxa"/>
            <w:tcBorders>
              <w:top w:val="none" w:sz="0" w:space="0" w:color="auto"/>
              <w:left w:val="none" w:sz="0" w:space="0" w:color="auto"/>
              <w:bottom w:val="none" w:sz="0" w:space="0" w:color="auto"/>
              <w:right w:val="none" w:sz="0" w:space="0" w:color="auto"/>
            </w:tcBorders>
          </w:tcPr>
          <w:p w14:paraId="6CC7CDD7" w14:textId="44D6D284" w:rsidR="001E5F44" w:rsidRPr="00D924DA"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18,280</w:t>
            </w:r>
          </w:p>
        </w:tc>
        <w:tc>
          <w:tcPr>
            <w:tcW w:w="1620" w:type="dxa"/>
            <w:tcBorders>
              <w:top w:val="none" w:sz="0" w:space="0" w:color="auto"/>
              <w:left w:val="none" w:sz="0" w:space="0" w:color="auto"/>
              <w:bottom w:val="none" w:sz="0" w:space="0" w:color="auto"/>
              <w:right w:val="none" w:sz="0" w:space="0" w:color="auto"/>
            </w:tcBorders>
          </w:tcPr>
          <w:p w14:paraId="483097C2" w14:textId="227B1297" w:rsidR="001E5F44" w:rsidRPr="00D924DA"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106%</w:t>
            </w:r>
          </w:p>
        </w:tc>
        <w:tc>
          <w:tcPr>
            <w:tcW w:w="1710" w:type="dxa"/>
            <w:tcBorders>
              <w:top w:val="none" w:sz="0" w:space="0" w:color="auto"/>
              <w:left w:val="none" w:sz="0" w:space="0" w:color="auto"/>
              <w:bottom w:val="none" w:sz="0" w:space="0" w:color="auto"/>
              <w:right w:val="none" w:sz="0" w:space="0" w:color="auto"/>
            </w:tcBorders>
          </w:tcPr>
          <w:p w14:paraId="0B3AC1A0" w14:textId="170F4C5D" w:rsidR="001E5F44" w:rsidRPr="00D924DA"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19,319</w:t>
            </w:r>
          </w:p>
        </w:tc>
        <w:tc>
          <w:tcPr>
            <w:tcW w:w="1260" w:type="dxa"/>
            <w:tcBorders>
              <w:top w:val="none" w:sz="0" w:space="0" w:color="auto"/>
              <w:left w:val="none" w:sz="0" w:space="0" w:color="auto"/>
              <w:bottom w:val="none" w:sz="0" w:space="0" w:color="auto"/>
              <w:right w:val="none" w:sz="0" w:space="0" w:color="auto"/>
            </w:tcBorders>
          </w:tcPr>
          <w:p w14:paraId="6822C9ED" w14:textId="05229BD7" w:rsidR="001E5F44" w:rsidRPr="00D924DA"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1.000</w:t>
            </w:r>
          </w:p>
        </w:tc>
        <w:tc>
          <w:tcPr>
            <w:tcW w:w="1651" w:type="dxa"/>
            <w:tcBorders>
              <w:top w:val="none" w:sz="0" w:space="0" w:color="auto"/>
              <w:left w:val="none" w:sz="0" w:space="0" w:color="auto"/>
              <w:bottom w:val="none" w:sz="0" w:space="0" w:color="auto"/>
              <w:right w:val="none" w:sz="0" w:space="0" w:color="auto"/>
            </w:tcBorders>
          </w:tcPr>
          <w:p w14:paraId="19A968C9" w14:textId="5D9E070F" w:rsidR="001E5F44" w:rsidRPr="00D924DA" w:rsidRDefault="001E5F44" w:rsidP="002B5E4A">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19,319</w:t>
            </w:r>
          </w:p>
        </w:tc>
      </w:tr>
    </w:tbl>
    <w:p w14:paraId="30C40378" w14:textId="40A92FC9" w:rsidR="001A45D4" w:rsidRDefault="001A45D4" w:rsidP="002B5E4A">
      <w:pPr>
        <w:pStyle w:val="TableFootnote"/>
        <w:keepNext/>
        <w:keepLines/>
      </w:pPr>
      <w:r w:rsidRPr="001A45D4">
        <w:t xml:space="preserve">Note: The savings presented in this table only reflect </w:t>
      </w:r>
      <w:r w:rsidR="002855BC">
        <w:t>those</w:t>
      </w:r>
      <w:r w:rsidRPr="001A45D4">
        <w:t xml:space="preserve"> directly claimable by AIC. </w:t>
      </w:r>
      <w:r w:rsidR="001E5F44">
        <w:t>Four additional</w:t>
      </w:r>
      <w:r w:rsidRPr="001A45D4">
        <w:t xml:space="preserve"> projects produced non-AIC gas savings. More information on these savings are presented in </w:t>
      </w:r>
      <w:r w:rsidR="00F264FA">
        <w:fldChar w:fldCharType="begin"/>
      </w:r>
      <w:r w:rsidR="00F264FA">
        <w:instrText xml:space="preserve"> REF _Ref187069776 \n \h </w:instrText>
      </w:r>
      <w:r w:rsidR="00F264FA">
        <w:fldChar w:fldCharType="separate"/>
      </w:r>
      <w:r w:rsidR="00AA10F4">
        <w:t>Appendix B</w:t>
      </w:r>
      <w:r w:rsidR="00F264FA">
        <w:fldChar w:fldCharType="end"/>
      </w:r>
      <w:r w:rsidRPr="001A45D4">
        <w:t>.</w:t>
      </w:r>
    </w:p>
    <w:p w14:paraId="78D81A1A" w14:textId="3A579DE9" w:rsidR="00307C26" w:rsidRDefault="00307C26" w:rsidP="002B2717">
      <w:pPr>
        <w:pStyle w:val="NoSpacing"/>
        <w:spacing w:before="240"/>
      </w:pPr>
      <w:r>
        <w:t xml:space="preserve">We discuss </w:t>
      </w:r>
      <w:r w:rsidR="00240463">
        <w:t xml:space="preserve">significant </w:t>
      </w:r>
      <w:r>
        <w:t>discrepancies between ex ante claims and the verified analysis below.</w:t>
      </w:r>
    </w:p>
    <w:p w14:paraId="32D50C05" w14:textId="1EF6DB19" w:rsidR="009D0947" w:rsidRPr="009D0947" w:rsidRDefault="009D0947" w:rsidP="009D0947">
      <w:pPr>
        <w:pStyle w:val="ListBullet"/>
      </w:pPr>
      <w:r w:rsidRPr="009D0947">
        <w:rPr>
          <w:b/>
          <w:bCs/>
        </w:rPr>
        <w:t>C&amp;I Air Sealing</w:t>
      </w:r>
      <w:r w:rsidRPr="009D0947">
        <w:t xml:space="preserve"> (99% of ex ante electric energy savings, 99% of demand savings, and 87% of </w:t>
      </w:r>
      <w:r w:rsidR="00A32E0B">
        <w:t>gas</w:t>
      </w:r>
      <w:r w:rsidRPr="009D0947">
        <w:t xml:space="preserve"> savings): The gross realization rates for C&amp;I Air Sealing are 67% for electric energy savings, 92% for demand savings, and 100% for gas savings.</w:t>
      </w:r>
    </w:p>
    <w:p w14:paraId="323ADC08" w14:textId="37A1B16F" w:rsidR="009D0947" w:rsidRPr="009D0947" w:rsidRDefault="009D0947" w:rsidP="00693C6B">
      <w:pPr>
        <w:pStyle w:val="ListBullet2"/>
      </w:pPr>
      <w:r w:rsidRPr="009D0947">
        <w:t>For four records, the implementation team divided the electric heating term of the electric energy savings calculation by 1,000 to convert from watts to kilowatts instead of dividing by 3,412 to convert from BTU to kWh as defined in the IL-TRM algorithms for facilities that are electrically heated. The evaluation team applied the 3,412 BTU to kWh conversion factor in the verified calculations in accordance with the IL</w:t>
      </w:r>
      <w:r w:rsidR="00B777D6">
        <w:t>-</w:t>
      </w:r>
      <w:r w:rsidRPr="009D0947">
        <w:t xml:space="preserve">TRM, resulting in lower </w:t>
      </w:r>
      <w:r w:rsidR="00927A2D">
        <w:t xml:space="preserve">verified </w:t>
      </w:r>
      <w:r w:rsidRPr="009D0947">
        <w:t>electric energy savings.</w:t>
      </w:r>
    </w:p>
    <w:p w14:paraId="1717EBEF" w14:textId="0DD802B0" w:rsidR="009D0947" w:rsidRPr="009D0947" w:rsidRDefault="009D0947" w:rsidP="00693C6B">
      <w:pPr>
        <w:pStyle w:val="ListBullet2"/>
      </w:pPr>
      <w:r w:rsidRPr="009D0947">
        <w:t>For one record, the implementation team applied a heating efficiency of 2.73 for a facility heated by a heat pump. Based on the backup documentation for this project, the evaluation team determined that the facility was heated by a post-2017</w:t>
      </w:r>
      <w:r w:rsidR="002855BC">
        <w:t>,</w:t>
      </w:r>
      <w:r w:rsidRPr="009D0947">
        <w:t xml:space="preserve"> five-ton heat pump. Therefore, the evaluation team applied a heating efficiency of 2.40 in the verified calculation in accordance with the IL</w:t>
      </w:r>
      <w:r w:rsidR="00B777D6">
        <w:t>-</w:t>
      </w:r>
      <w:r w:rsidRPr="009D0947">
        <w:t>TRM assumption for a heat pump of this capacity and equipment age, resulting in higher verified electric energy savings.</w:t>
      </w:r>
    </w:p>
    <w:p w14:paraId="0BC2FF2D" w14:textId="302023E3" w:rsidR="009D0947" w:rsidRPr="009D0947" w:rsidRDefault="009D0947" w:rsidP="00693C6B">
      <w:pPr>
        <w:pStyle w:val="ListBullet2"/>
      </w:pPr>
      <w:r w:rsidRPr="009D0947">
        <w:t>For three records, the implementation team did not account for the fraction of the facility square footage that was cooled in the ex ante electric energy savings calculations. The evaluation team added a variable to the verified savings calculation to account for the percentage of the facility that was cooled</w:t>
      </w:r>
      <w:r w:rsidR="00927A2D">
        <w:t>,</w:t>
      </w:r>
      <w:r w:rsidRPr="009D0947">
        <w:t xml:space="preserve"> per the backup documentation, resulting in lower verified electric energy savings.</w:t>
      </w:r>
    </w:p>
    <w:p w14:paraId="52C42289" w14:textId="77777777" w:rsidR="009D0947" w:rsidRPr="009D0947" w:rsidRDefault="009D0947" w:rsidP="00693C6B">
      <w:pPr>
        <w:pStyle w:val="ListBullet2"/>
      </w:pPr>
      <w:r w:rsidRPr="009D0947">
        <w:t>For forty-two records, the implementation team divided by the coincidence factor in the ex ante demand savings calculation instead of multiplying by the coincidence factor. The evaluation team multiplied by the coincidence factor in accordance with TRM algorithms, resulting in lower verified demand savings.</w:t>
      </w:r>
    </w:p>
    <w:p w14:paraId="496DBCA8" w14:textId="77777777" w:rsidR="009D0947" w:rsidRPr="009D0947" w:rsidRDefault="009D0947" w:rsidP="00693C6B">
      <w:pPr>
        <w:pStyle w:val="ListBullet2"/>
      </w:pPr>
      <w:r w:rsidRPr="009D0947">
        <w:t>For seven records, the implementation team did not claim any demand savings despite a portion of the associated facility being cooled. Four of these facilities were 100% cooled. The evaluation team added a factor to the verified demand savings calculation to account for the percentage of the facility that was cooled, per the backup documentation, resulting in higher verified demand savings.</w:t>
      </w:r>
    </w:p>
    <w:p w14:paraId="11EB5F89" w14:textId="77777777" w:rsidR="009D0947" w:rsidRPr="009D0947" w:rsidRDefault="009D0947" w:rsidP="009D0947">
      <w:pPr>
        <w:pStyle w:val="ListBullet"/>
      </w:pPr>
      <w:r w:rsidRPr="009D0947">
        <w:rPr>
          <w:b/>
          <w:bCs/>
        </w:rPr>
        <w:t>Commercial Wall Insulation</w:t>
      </w:r>
      <w:r w:rsidRPr="009D0947">
        <w:t xml:space="preserve"> (1% of ex ante electric energy savings and 1% of demand savings): The gross realization rates for Commercial Wall Insulation are 100% for electric energy savings and 83% for demand savings.</w:t>
      </w:r>
    </w:p>
    <w:p w14:paraId="0DBCD0D5" w14:textId="77777777" w:rsidR="009D0947" w:rsidRPr="009D0947" w:rsidRDefault="009D0947" w:rsidP="00693C6B">
      <w:pPr>
        <w:pStyle w:val="ListBullet2"/>
      </w:pPr>
      <w:r w:rsidRPr="009D0947">
        <w:lastRenderedPageBreak/>
        <w:t>For one record, the implementation team divided by the coincidence factor in the ex ante demand savings calculation instead of multiplying by the coincidence factor. The evaluation team multiplied by the coincidence factor in accordance with TRM algorithms, resulting in lower verified demand savings.</w:t>
      </w:r>
    </w:p>
    <w:p w14:paraId="1FA4287D" w14:textId="77777777" w:rsidR="009D0947" w:rsidRPr="009D0947" w:rsidRDefault="009D0947" w:rsidP="009D0947">
      <w:pPr>
        <w:pStyle w:val="ListBullet"/>
      </w:pPr>
      <w:r w:rsidRPr="009D0947">
        <w:rPr>
          <w:b/>
          <w:bCs/>
        </w:rPr>
        <w:t>High Efficiency Boiler</w:t>
      </w:r>
      <w:r w:rsidRPr="009D0947">
        <w:t xml:space="preserve"> (12% of ex ante natural gas savings): The gross realization rate for High Efficiency Boilers is 154% for gas savings.</w:t>
      </w:r>
    </w:p>
    <w:p w14:paraId="77B20438" w14:textId="77777777" w:rsidR="009D0947" w:rsidRPr="009D0947" w:rsidRDefault="009D0947" w:rsidP="00693C6B">
      <w:pPr>
        <w:pStyle w:val="ListBullet2"/>
      </w:pPr>
      <w:r w:rsidRPr="009D0947">
        <w:t>For all records, the implementation team applied an installed boiler thermal efficiency of 97% in the ex ante calculations, while the backup documentation shows a thermal efficiency of 96.5%. The evaluation team applied the installed boiler thermal efficiency of 96.5% in the verified calculations, resulting in lower verified natural gas savings.</w:t>
      </w:r>
    </w:p>
    <w:p w14:paraId="0358DD1F" w14:textId="77777777" w:rsidR="009D0947" w:rsidRPr="009D0947" w:rsidRDefault="009D0947" w:rsidP="00693C6B">
      <w:pPr>
        <w:pStyle w:val="ListBullet2"/>
      </w:pPr>
      <w:r w:rsidRPr="009D0947">
        <w:t>For all records, the implementation team applied the equivalent full load hours for heating in existing buildings based on the “Unknown/Misc.” building type provided in the tracking data. The backup documentation indicates that the measures were installed in fire stations. The evaluation team applied the equivalent full load hours for heating in existing buildings specific to an “Emergency Services” facility, resulting in higher verified natural gas savings.</w:t>
      </w:r>
    </w:p>
    <w:p w14:paraId="03279CA5" w14:textId="20D56D5D" w:rsidR="009D0947" w:rsidRPr="009D0947" w:rsidRDefault="009D0947" w:rsidP="009D0947">
      <w:pPr>
        <w:pStyle w:val="ListBullet"/>
      </w:pPr>
      <w:r w:rsidRPr="009D0947">
        <w:rPr>
          <w:b/>
          <w:bCs/>
        </w:rPr>
        <w:t>Covers and Gap Sealers for Room Air Conditioners</w:t>
      </w:r>
      <w:r w:rsidRPr="009D0947">
        <w:t xml:space="preserve"> (1% of ex ante natural gas savings): The gross realization rate for Covers and Gap Sealers for </w:t>
      </w:r>
      <w:r w:rsidR="002855BC">
        <w:t>RACs</w:t>
      </w:r>
      <w:r w:rsidRPr="009D0947">
        <w:t xml:space="preserve"> is 36% for gas savings.</w:t>
      </w:r>
    </w:p>
    <w:p w14:paraId="6C867148" w14:textId="5DE244A4" w:rsidR="00B35D97" w:rsidRDefault="009D0947" w:rsidP="009D0947">
      <w:pPr>
        <w:pStyle w:val="ListBullet2"/>
      </w:pPr>
      <w:r w:rsidRPr="009D0947">
        <w:t>For all records, the implementation team accounted for the quantity of installed measures twice in the ex ante savings calculation: once in the calculation of the flow rate of air infiltration and again in the final calculation of the natural gas savings. The evaluation team removed one of the quantity factors in the verified savings calculations, resulting in lower verified natural gas savings.</w:t>
      </w:r>
      <w:r w:rsidR="00B35D97">
        <w:br w:type="page"/>
      </w:r>
    </w:p>
    <w:p w14:paraId="7D5F8311" w14:textId="77777777" w:rsidR="00307C26" w:rsidRDefault="00307C26" w:rsidP="00165A4C">
      <w:pPr>
        <w:pStyle w:val="ListBullet2"/>
        <w:sectPr w:rsidR="00307C26" w:rsidSect="00B45EFD">
          <w:pgSz w:w="12240" w:h="15840" w:code="1"/>
          <w:pgMar w:top="567" w:right="567" w:bottom="567" w:left="567" w:header="567" w:footer="340" w:gutter="0"/>
          <w:cols w:space="708"/>
          <w:docGrid w:linePitch="360"/>
        </w:sectPr>
      </w:pPr>
    </w:p>
    <w:p w14:paraId="6F43496B" w14:textId="73FA3B5B" w:rsidR="00B47754" w:rsidRDefault="00B47754" w:rsidP="00526C94">
      <w:pPr>
        <w:pStyle w:val="Heading3"/>
        <w:tabs>
          <w:tab w:val="clear" w:pos="2160"/>
          <w:tab w:val="num" w:pos="1080"/>
        </w:tabs>
        <w:ind w:left="0"/>
      </w:pPr>
      <w:bookmarkStart w:id="283" w:name="_Toc191992446"/>
      <w:r>
        <w:lastRenderedPageBreak/>
        <w:t>Cumulative Persisting Annual Savings</w:t>
      </w:r>
      <w:bookmarkEnd w:id="283"/>
    </w:p>
    <w:p w14:paraId="3A0F28D8" w14:textId="5D544D40" w:rsidR="00692748" w:rsidRPr="00692748" w:rsidRDefault="00692748" w:rsidP="00692748">
      <w:r>
        <w:fldChar w:fldCharType="begin"/>
      </w:r>
      <w:r>
        <w:instrText xml:space="preserve"> REF _Ref187326073 \h </w:instrText>
      </w:r>
      <w:r>
        <w:fldChar w:fldCharType="separate"/>
      </w:r>
      <w:r w:rsidR="00AA10F4">
        <w:t xml:space="preserve">Table </w:t>
      </w:r>
      <w:r w:rsidR="00AA10F4">
        <w:rPr>
          <w:noProof/>
        </w:rPr>
        <w:t>63</w:t>
      </w:r>
      <w:r>
        <w:fldChar w:fldCharType="end"/>
      </w:r>
      <w:r>
        <w:t xml:space="preserve"> through </w:t>
      </w:r>
      <w:r>
        <w:fldChar w:fldCharType="begin"/>
      </w:r>
      <w:r>
        <w:instrText xml:space="preserve"> REF _Ref187326079 \h </w:instrText>
      </w:r>
      <w:r>
        <w:fldChar w:fldCharType="separate"/>
      </w:r>
      <w:r w:rsidR="00AA10F4">
        <w:t xml:space="preserve">Table </w:t>
      </w:r>
      <w:r w:rsidR="00AA10F4">
        <w:rPr>
          <w:noProof/>
        </w:rPr>
        <w:t>65</w:t>
      </w:r>
      <w:r>
        <w:fldChar w:fldCharType="end"/>
      </w:r>
      <w:r>
        <w:t xml:space="preserve"> present CPAS and WAML for the 2024 Small Business Initiative by channel. The tables also include a summary of measure-specific and total verified gross savings for the Initiative and channels, as well as CPAS in each year from 2024</w:t>
      </w:r>
      <w:r w:rsidR="002855BC">
        <w:t xml:space="preserve"> to </w:t>
      </w:r>
      <w:r>
        <w:t>2027.</w:t>
      </w:r>
      <w:r>
        <w:rPr>
          <w:rStyle w:val="FootnoteReference"/>
        </w:rPr>
        <w:footnoteReference w:id="33"/>
      </w:r>
      <w:r>
        <w:t xml:space="preserve"> The WAML for the Small Business Initiative is </w:t>
      </w:r>
      <w:r w:rsidR="00B12D25">
        <w:t>13.7</w:t>
      </w:r>
      <w:r>
        <w:t xml:space="preserve"> years</w:t>
      </w:r>
      <w:r w:rsidR="002855BC">
        <w:t>,</w:t>
      </w:r>
      <w:r>
        <w:t xml:space="preserve"> and the WAML for the SBDI and SBEP channels are </w:t>
      </w:r>
      <w:r w:rsidR="00097CA2">
        <w:t>13.6</w:t>
      </w:r>
      <w:r>
        <w:t xml:space="preserve"> years and </w:t>
      </w:r>
      <w:r w:rsidR="00AB135D">
        <w:t xml:space="preserve">20.1 </w:t>
      </w:r>
      <w:r>
        <w:t xml:space="preserve">years, respectively. </w:t>
      </w:r>
    </w:p>
    <w:p w14:paraId="5233129A" w14:textId="6DD70D1B" w:rsidR="00692748" w:rsidRDefault="00692748" w:rsidP="00881B1B">
      <w:pPr>
        <w:pStyle w:val="Caption"/>
      </w:pPr>
      <w:bookmarkStart w:id="284" w:name="_Ref187326073"/>
      <w:bookmarkStart w:id="285" w:name="_Toc191992584"/>
      <w:bookmarkStart w:id="286" w:name="_Toc192766997"/>
      <w:r>
        <w:t xml:space="preserve">Table </w:t>
      </w:r>
      <w:r w:rsidR="009B4C9A">
        <w:fldChar w:fldCharType="begin"/>
      </w:r>
      <w:r w:rsidR="009B4C9A">
        <w:instrText xml:space="preserve"> SEQ Table \* ARABIC </w:instrText>
      </w:r>
      <w:r w:rsidR="009B4C9A">
        <w:fldChar w:fldCharType="separate"/>
      </w:r>
      <w:r w:rsidR="00AA10F4">
        <w:rPr>
          <w:noProof/>
        </w:rPr>
        <w:t>63</w:t>
      </w:r>
      <w:r w:rsidR="009B4C9A">
        <w:rPr>
          <w:noProof/>
        </w:rPr>
        <w:fldChar w:fldCharType="end"/>
      </w:r>
      <w:bookmarkEnd w:id="284"/>
      <w:r>
        <w:t>. 2024 Small Business Initiative CPAS and WAML</w:t>
      </w:r>
      <w:bookmarkEnd w:id="285"/>
      <w:bookmarkEnd w:id="286"/>
    </w:p>
    <w:tbl>
      <w:tblPr>
        <w:tblStyle w:val="TableGrid"/>
        <w:tblW w:w="0" w:type="auto"/>
        <w:tblLook w:val="04A0" w:firstRow="1" w:lastRow="0" w:firstColumn="1" w:lastColumn="0" w:noHBand="0" w:noVBand="1"/>
      </w:tblPr>
      <w:tblGrid>
        <w:gridCol w:w="4045"/>
        <w:gridCol w:w="1170"/>
        <w:gridCol w:w="2070"/>
        <w:gridCol w:w="726"/>
        <w:gridCol w:w="781"/>
        <w:gridCol w:w="127"/>
        <w:gridCol w:w="682"/>
        <w:gridCol w:w="227"/>
        <w:gridCol w:w="838"/>
        <w:gridCol w:w="71"/>
        <w:gridCol w:w="909"/>
        <w:gridCol w:w="442"/>
        <w:gridCol w:w="809"/>
        <w:gridCol w:w="357"/>
        <w:gridCol w:w="1452"/>
      </w:tblGrid>
      <w:tr w:rsidR="00692748" w14:paraId="2B4F07CF"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45" w:type="dxa"/>
            <w:vMerge w:val="restart"/>
            <w:tcBorders>
              <w:bottom w:val="single" w:sz="4" w:space="0" w:color="4D4D4F"/>
            </w:tcBorders>
          </w:tcPr>
          <w:p w14:paraId="7DE0A6FD" w14:textId="39E97D1F" w:rsidR="00692748" w:rsidRDefault="000B1B6F" w:rsidP="008C6FBE">
            <w:pPr>
              <w:pStyle w:val="TableHeadingLeft"/>
            </w:pPr>
            <w:r>
              <w:t>Channel</w:t>
            </w:r>
          </w:p>
        </w:tc>
        <w:tc>
          <w:tcPr>
            <w:tcW w:w="1170" w:type="dxa"/>
            <w:vMerge w:val="restart"/>
            <w:tcBorders>
              <w:top w:val="single" w:sz="4" w:space="0" w:color="4D4D4F"/>
              <w:left w:val="single" w:sz="4" w:space="0" w:color="4D4D4F"/>
              <w:bottom w:val="single" w:sz="4" w:space="0" w:color="4D4D4F"/>
              <w:right w:val="single" w:sz="4" w:space="0" w:color="4D4D4F"/>
            </w:tcBorders>
          </w:tcPr>
          <w:p w14:paraId="2E7342C1"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2070" w:type="dxa"/>
            <w:vMerge w:val="restart"/>
            <w:tcBorders>
              <w:top w:val="single" w:sz="4" w:space="0" w:color="4D4D4F"/>
              <w:left w:val="single" w:sz="4" w:space="0" w:color="4D4D4F"/>
              <w:bottom w:val="single" w:sz="4" w:space="0" w:color="4D4D4F"/>
              <w:right w:val="single" w:sz="4" w:space="0" w:color="4D4D4F"/>
            </w:tcBorders>
          </w:tcPr>
          <w:p w14:paraId="16D4AFEC"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726" w:type="dxa"/>
            <w:vMerge w:val="restart"/>
            <w:tcBorders>
              <w:top w:val="single" w:sz="4" w:space="0" w:color="4D4D4F"/>
              <w:left w:val="single" w:sz="4" w:space="0" w:color="4D4D4F"/>
              <w:bottom w:val="single" w:sz="4" w:space="0" w:color="4D4D4F"/>
              <w:right w:val="single" w:sz="4" w:space="0" w:color="4D4D4F"/>
            </w:tcBorders>
          </w:tcPr>
          <w:p w14:paraId="786DA0FC"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5243" w:type="dxa"/>
            <w:gridSpan w:val="10"/>
            <w:tcBorders>
              <w:top w:val="single" w:sz="4" w:space="0" w:color="4D4D4F"/>
              <w:left w:val="single" w:sz="4" w:space="0" w:color="4D4D4F"/>
              <w:bottom w:val="single" w:sz="4" w:space="0" w:color="4D4D4F"/>
              <w:right w:val="single" w:sz="4" w:space="0" w:color="4D4D4F"/>
            </w:tcBorders>
          </w:tcPr>
          <w:p w14:paraId="20C5E2DA"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52" w:type="dxa"/>
            <w:vMerge w:val="restart"/>
            <w:tcBorders>
              <w:top w:val="single" w:sz="4" w:space="0" w:color="4D4D4F"/>
              <w:left w:val="single" w:sz="4" w:space="0" w:color="4D4D4F"/>
              <w:bottom w:val="single" w:sz="4" w:space="0" w:color="4D4D4F"/>
              <w:right w:val="single" w:sz="4" w:space="0" w:color="4D4D4F"/>
            </w:tcBorders>
          </w:tcPr>
          <w:p w14:paraId="629C900C"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6C5CDA86"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045" w:type="dxa"/>
            <w:vMerge/>
          </w:tcPr>
          <w:p w14:paraId="11EB55D0" w14:textId="77777777" w:rsidR="00692748" w:rsidRDefault="00692748" w:rsidP="008C6FBE"/>
        </w:tc>
        <w:tc>
          <w:tcPr>
            <w:tcW w:w="1170" w:type="dxa"/>
            <w:vMerge/>
          </w:tcPr>
          <w:p w14:paraId="0C47B63A"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2070" w:type="dxa"/>
            <w:vMerge/>
          </w:tcPr>
          <w:p w14:paraId="3626823F"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726" w:type="dxa"/>
            <w:vMerge/>
          </w:tcPr>
          <w:p w14:paraId="7E5F870C"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908" w:type="dxa"/>
            <w:gridSpan w:val="2"/>
            <w:shd w:val="clear" w:color="auto" w:fill="053572" w:themeFill="text2"/>
          </w:tcPr>
          <w:p w14:paraId="31CCC13C"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909" w:type="dxa"/>
            <w:gridSpan w:val="2"/>
            <w:shd w:val="clear" w:color="auto" w:fill="053572" w:themeFill="text2"/>
          </w:tcPr>
          <w:p w14:paraId="171DE79A"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909" w:type="dxa"/>
            <w:gridSpan w:val="2"/>
            <w:shd w:val="clear" w:color="auto" w:fill="053572" w:themeFill="text2"/>
          </w:tcPr>
          <w:p w14:paraId="714AB963"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909" w:type="dxa"/>
            <w:shd w:val="clear" w:color="auto" w:fill="053572" w:themeFill="text2"/>
          </w:tcPr>
          <w:p w14:paraId="5AB6FEE1"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442" w:type="dxa"/>
            <w:shd w:val="clear" w:color="auto" w:fill="053572" w:themeFill="text2"/>
          </w:tcPr>
          <w:p w14:paraId="395CD794" w14:textId="77777777" w:rsidR="00692748" w:rsidRDefault="00692748"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09" w:type="dxa"/>
            <w:shd w:val="clear" w:color="auto" w:fill="053572" w:themeFill="text2"/>
          </w:tcPr>
          <w:p w14:paraId="39C71A70"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357" w:type="dxa"/>
            <w:shd w:val="clear" w:color="auto" w:fill="053572" w:themeFill="text2"/>
          </w:tcPr>
          <w:p w14:paraId="264E1414" w14:textId="77777777" w:rsidR="00692748" w:rsidRDefault="00692748"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52" w:type="dxa"/>
            <w:vMerge/>
          </w:tcPr>
          <w:p w14:paraId="1C65117E"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r>
      <w:tr w:rsidR="00BC69D4" w14:paraId="094F11FC"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top"/>
          </w:tcPr>
          <w:p w14:paraId="41383905" w14:textId="1144495F" w:rsidR="00F33BA9" w:rsidRDefault="00F33BA9" w:rsidP="00F33BA9">
            <w:r>
              <w:t>SBDI</w:t>
            </w:r>
          </w:p>
        </w:tc>
        <w:tc>
          <w:tcPr>
            <w:tcW w:w="1170" w:type="dxa"/>
          </w:tcPr>
          <w:p w14:paraId="24F055DA" w14:textId="5CDE4D80"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t>13.6</w:t>
            </w:r>
          </w:p>
        </w:tc>
        <w:tc>
          <w:tcPr>
            <w:tcW w:w="2070" w:type="dxa"/>
          </w:tcPr>
          <w:p w14:paraId="331A484A" w14:textId="6AD6AA2E"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35,017</w:t>
            </w:r>
          </w:p>
        </w:tc>
        <w:tc>
          <w:tcPr>
            <w:tcW w:w="726" w:type="dxa"/>
          </w:tcPr>
          <w:p w14:paraId="12540C49" w14:textId="14334B87"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0.917</w:t>
            </w:r>
          </w:p>
        </w:tc>
        <w:tc>
          <w:tcPr>
            <w:tcW w:w="908" w:type="dxa"/>
            <w:gridSpan w:val="2"/>
          </w:tcPr>
          <w:p w14:paraId="3D681859" w14:textId="0849C1EA"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32,099</w:t>
            </w:r>
          </w:p>
        </w:tc>
        <w:tc>
          <w:tcPr>
            <w:tcW w:w="909" w:type="dxa"/>
            <w:gridSpan w:val="2"/>
          </w:tcPr>
          <w:p w14:paraId="5D7AE147" w14:textId="09446936"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32,099</w:t>
            </w:r>
          </w:p>
        </w:tc>
        <w:tc>
          <w:tcPr>
            <w:tcW w:w="909" w:type="dxa"/>
            <w:gridSpan w:val="2"/>
          </w:tcPr>
          <w:p w14:paraId="4E213D8E" w14:textId="26CABC97"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32,045</w:t>
            </w:r>
          </w:p>
        </w:tc>
        <w:tc>
          <w:tcPr>
            <w:tcW w:w="909" w:type="dxa"/>
          </w:tcPr>
          <w:p w14:paraId="6C43457A" w14:textId="200F58A0"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31,062</w:t>
            </w:r>
          </w:p>
        </w:tc>
        <w:tc>
          <w:tcPr>
            <w:tcW w:w="442" w:type="dxa"/>
          </w:tcPr>
          <w:p w14:paraId="6BCD51CD" w14:textId="124569D1" w:rsidR="00F33BA9" w:rsidRDefault="00F33BA9" w:rsidP="00BC69D4">
            <w:pPr>
              <w:jc w:val="center"/>
              <w:cnfStyle w:val="000000010000" w:firstRow="0" w:lastRow="0" w:firstColumn="0" w:lastColumn="0" w:oddVBand="0" w:evenVBand="0" w:oddHBand="0" w:evenHBand="1" w:firstRowFirstColumn="0" w:firstRowLastColumn="0" w:lastRowFirstColumn="0" w:lastRowLastColumn="0"/>
            </w:pPr>
            <w:r w:rsidRPr="00CD3E4C">
              <w:t>…</w:t>
            </w:r>
          </w:p>
        </w:tc>
        <w:tc>
          <w:tcPr>
            <w:tcW w:w="809" w:type="dxa"/>
          </w:tcPr>
          <w:p w14:paraId="3EC828AC" w14:textId="72E4CBAE"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29,193</w:t>
            </w:r>
          </w:p>
        </w:tc>
        <w:tc>
          <w:tcPr>
            <w:tcW w:w="357" w:type="dxa"/>
          </w:tcPr>
          <w:p w14:paraId="1FCD2A6C" w14:textId="57053C76" w:rsidR="00F33BA9" w:rsidRDefault="00F33BA9" w:rsidP="00BC69D4">
            <w:pPr>
              <w:jc w:val="center"/>
              <w:cnfStyle w:val="000000010000" w:firstRow="0" w:lastRow="0" w:firstColumn="0" w:lastColumn="0" w:oddVBand="0" w:evenVBand="0" w:oddHBand="0" w:evenHBand="1" w:firstRowFirstColumn="0" w:firstRowLastColumn="0" w:lastRowFirstColumn="0" w:lastRowLastColumn="0"/>
            </w:pPr>
            <w:r w:rsidRPr="00CD3E4C">
              <w:t>…</w:t>
            </w:r>
          </w:p>
        </w:tc>
        <w:tc>
          <w:tcPr>
            <w:tcW w:w="1452" w:type="dxa"/>
          </w:tcPr>
          <w:p w14:paraId="1CE14635" w14:textId="7407FC34" w:rsidR="00F33BA9" w:rsidRDefault="00F33BA9" w:rsidP="002B5E4A">
            <w:pPr>
              <w:jc w:val="right"/>
              <w:cnfStyle w:val="000000010000" w:firstRow="0" w:lastRow="0" w:firstColumn="0" w:lastColumn="0" w:oddVBand="0" w:evenVBand="0" w:oddHBand="0" w:evenHBand="1" w:firstRowFirstColumn="0" w:firstRowLastColumn="0" w:lastRowFirstColumn="0" w:lastRowLastColumn="0"/>
            </w:pPr>
            <w:r w:rsidRPr="00CD3E4C">
              <w:t>418,125</w:t>
            </w:r>
          </w:p>
        </w:tc>
      </w:tr>
      <w:tr w:rsidR="00BC69D4" w14:paraId="2FF3324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vAlign w:val="top"/>
          </w:tcPr>
          <w:p w14:paraId="3971A2E6" w14:textId="7E05A264" w:rsidR="00AB135D" w:rsidRDefault="00AB135D" w:rsidP="00AB135D">
            <w:r>
              <w:t>SBEP</w:t>
            </w:r>
          </w:p>
        </w:tc>
        <w:tc>
          <w:tcPr>
            <w:tcW w:w="1170" w:type="dxa"/>
          </w:tcPr>
          <w:p w14:paraId="57832DCA" w14:textId="72432CDF"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t>20.1</w:t>
            </w:r>
          </w:p>
        </w:tc>
        <w:tc>
          <w:tcPr>
            <w:tcW w:w="2070" w:type="dxa"/>
          </w:tcPr>
          <w:p w14:paraId="5E808F39" w14:textId="79969560"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726" w:type="dxa"/>
          </w:tcPr>
          <w:p w14:paraId="05036CAE" w14:textId="503C0441"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1.000</w:t>
            </w:r>
          </w:p>
        </w:tc>
        <w:tc>
          <w:tcPr>
            <w:tcW w:w="908" w:type="dxa"/>
            <w:gridSpan w:val="2"/>
          </w:tcPr>
          <w:p w14:paraId="6F6D030F" w14:textId="1831C2E8"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909" w:type="dxa"/>
            <w:gridSpan w:val="2"/>
          </w:tcPr>
          <w:p w14:paraId="441B4AF6" w14:textId="04D29DCF"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909" w:type="dxa"/>
            <w:gridSpan w:val="2"/>
          </w:tcPr>
          <w:p w14:paraId="6617AA96" w14:textId="6395E4E3"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909" w:type="dxa"/>
          </w:tcPr>
          <w:p w14:paraId="34F839EC" w14:textId="672DFF76"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442" w:type="dxa"/>
          </w:tcPr>
          <w:p w14:paraId="31D2EF1F" w14:textId="3A140ACB" w:rsidR="00AB135D" w:rsidRDefault="00AB135D" w:rsidP="00BC69D4">
            <w:pPr>
              <w:jc w:val="center"/>
              <w:cnfStyle w:val="000000100000" w:firstRow="0" w:lastRow="0" w:firstColumn="0" w:lastColumn="0" w:oddVBand="0" w:evenVBand="0" w:oddHBand="1" w:evenHBand="0" w:firstRowFirstColumn="0" w:firstRowLastColumn="0" w:lastRowFirstColumn="0" w:lastRowLastColumn="0"/>
            </w:pPr>
            <w:r w:rsidRPr="008761E9">
              <w:t>…</w:t>
            </w:r>
          </w:p>
        </w:tc>
        <w:tc>
          <w:tcPr>
            <w:tcW w:w="809" w:type="dxa"/>
          </w:tcPr>
          <w:p w14:paraId="042C50AE" w14:textId="3FA7A924" w:rsidR="00AB135D" w:rsidRDefault="00AB135D" w:rsidP="002B5E4A">
            <w:pPr>
              <w:jc w:val="right"/>
              <w:cnfStyle w:val="000000100000" w:firstRow="0" w:lastRow="0" w:firstColumn="0" w:lastColumn="0" w:oddVBand="0" w:evenVBand="0" w:oddHBand="1" w:evenHBand="0" w:firstRowFirstColumn="0" w:firstRowLastColumn="0" w:lastRowFirstColumn="0" w:lastRowLastColumn="0"/>
            </w:pPr>
            <w:r w:rsidRPr="008761E9">
              <w:t>223</w:t>
            </w:r>
          </w:p>
        </w:tc>
        <w:tc>
          <w:tcPr>
            <w:tcW w:w="357" w:type="dxa"/>
          </w:tcPr>
          <w:p w14:paraId="331FE393" w14:textId="7EF76557" w:rsidR="00AB135D" w:rsidRDefault="00AB135D" w:rsidP="00BC69D4">
            <w:pPr>
              <w:jc w:val="center"/>
              <w:cnfStyle w:val="000000100000" w:firstRow="0" w:lastRow="0" w:firstColumn="0" w:lastColumn="0" w:oddVBand="0" w:evenVBand="0" w:oddHBand="1" w:evenHBand="0" w:firstRowFirstColumn="0" w:firstRowLastColumn="0" w:lastRowFirstColumn="0" w:lastRowLastColumn="0"/>
            </w:pPr>
            <w:r w:rsidRPr="008761E9">
              <w:t>…</w:t>
            </w:r>
          </w:p>
        </w:tc>
        <w:tc>
          <w:tcPr>
            <w:tcW w:w="1452" w:type="dxa"/>
          </w:tcPr>
          <w:p w14:paraId="696A595D" w14:textId="5972870C" w:rsidR="00AB135D" w:rsidRDefault="00001386" w:rsidP="002B5E4A">
            <w:pPr>
              <w:jc w:val="right"/>
              <w:cnfStyle w:val="000000100000" w:firstRow="0" w:lastRow="0" w:firstColumn="0" w:lastColumn="0" w:oddVBand="0" w:evenVBand="0" w:oddHBand="1" w:evenHBand="0" w:firstRowFirstColumn="0" w:firstRowLastColumn="0" w:lastRowFirstColumn="0" w:lastRowLastColumn="0"/>
            </w:pPr>
            <w:r>
              <w:t>4,487</w:t>
            </w:r>
          </w:p>
        </w:tc>
      </w:tr>
      <w:tr w:rsidR="00BC69D4" w14:paraId="5FD70512"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gridSpan w:val="2"/>
            <w:shd w:val="clear" w:color="auto" w:fill="D9D9D9" w:themeFill="background1" w:themeFillShade="D9"/>
            <w:vAlign w:val="top"/>
          </w:tcPr>
          <w:p w14:paraId="4EC417DA" w14:textId="52D93D02" w:rsidR="004F4125" w:rsidRPr="00D924DA" w:rsidRDefault="004F4125" w:rsidP="004F4125">
            <w:pPr>
              <w:rPr>
                <w:rFonts w:ascii="Franklin Gothic Medium" w:hAnsi="Franklin Gothic Medium"/>
              </w:rPr>
            </w:pPr>
            <w:r w:rsidRPr="00D924DA">
              <w:rPr>
                <w:rFonts w:ascii="Franklin Gothic Medium" w:hAnsi="Franklin Gothic Medium"/>
              </w:rPr>
              <w:t>2024 CPAS</w:t>
            </w:r>
          </w:p>
        </w:tc>
        <w:tc>
          <w:tcPr>
            <w:tcW w:w="2070" w:type="dxa"/>
            <w:shd w:val="clear" w:color="auto" w:fill="D9D9D9" w:themeFill="background1" w:themeFillShade="D9"/>
          </w:tcPr>
          <w:p w14:paraId="53D3E9D9" w14:textId="6C2A0469" w:rsidR="004F4125" w:rsidRPr="00D924DA" w:rsidRDefault="00F33BA9"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35,240</w:t>
            </w:r>
          </w:p>
        </w:tc>
        <w:tc>
          <w:tcPr>
            <w:tcW w:w="726" w:type="dxa"/>
            <w:shd w:val="clear" w:color="auto" w:fill="D9D9D9" w:themeFill="background1" w:themeFillShade="D9"/>
          </w:tcPr>
          <w:p w14:paraId="03BF1A01" w14:textId="61FF2291" w:rsidR="004F4125" w:rsidRPr="00D924DA" w:rsidRDefault="000E3450"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0.917</w:t>
            </w:r>
          </w:p>
        </w:tc>
        <w:tc>
          <w:tcPr>
            <w:tcW w:w="908" w:type="dxa"/>
            <w:gridSpan w:val="2"/>
            <w:shd w:val="clear" w:color="auto" w:fill="D9D9D9" w:themeFill="background1" w:themeFillShade="D9"/>
          </w:tcPr>
          <w:p w14:paraId="5555489E" w14:textId="4E58360A" w:rsidR="004F4125" w:rsidRPr="00D924DA" w:rsidRDefault="00F33BA9"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32,322</w:t>
            </w:r>
          </w:p>
        </w:tc>
        <w:tc>
          <w:tcPr>
            <w:tcW w:w="909" w:type="dxa"/>
            <w:gridSpan w:val="2"/>
            <w:shd w:val="clear" w:color="auto" w:fill="D9D9D9" w:themeFill="background1" w:themeFillShade="D9"/>
          </w:tcPr>
          <w:p w14:paraId="43CFAE57" w14:textId="0BD1CAF1" w:rsidR="004F4125" w:rsidRPr="00D924DA" w:rsidRDefault="00F33BA9"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32,322</w:t>
            </w:r>
          </w:p>
        </w:tc>
        <w:tc>
          <w:tcPr>
            <w:tcW w:w="909" w:type="dxa"/>
            <w:gridSpan w:val="2"/>
            <w:shd w:val="clear" w:color="auto" w:fill="D9D9D9" w:themeFill="background1" w:themeFillShade="D9"/>
          </w:tcPr>
          <w:p w14:paraId="11600A63" w14:textId="6A69D7C3" w:rsidR="004F4125" w:rsidRPr="00D924DA" w:rsidRDefault="00F33BA9"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32,268</w:t>
            </w:r>
          </w:p>
        </w:tc>
        <w:tc>
          <w:tcPr>
            <w:tcW w:w="909" w:type="dxa"/>
            <w:shd w:val="clear" w:color="auto" w:fill="D9D9D9" w:themeFill="background1" w:themeFillShade="D9"/>
          </w:tcPr>
          <w:p w14:paraId="2C7B3615" w14:textId="13CF936C" w:rsidR="004F4125" w:rsidRPr="00D924DA" w:rsidRDefault="00F33BA9"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31,285</w:t>
            </w:r>
          </w:p>
        </w:tc>
        <w:tc>
          <w:tcPr>
            <w:tcW w:w="442" w:type="dxa"/>
            <w:shd w:val="clear" w:color="auto" w:fill="D9D9D9" w:themeFill="background1" w:themeFillShade="D9"/>
          </w:tcPr>
          <w:p w14:paraId="0DD68D5D" w14:textId="77777777" w:rsidR="004F4125" w:rsidRPr="00D924DA"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09" w:type="dxa"/>
            <w:shd w:val="clear" w:color="auto" w:fill="D9D9D9" w:themeFill="background1" w:themeFillShade="D9"/>
          </w:tcPr>
          <w:p w14:paraId="7AF9D211" w14:textId="7EEB5645"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29,416</w:t>
            </w:r>
          </w:p>
        </w:tc>
        <w:tc>
          <w:tcPr>
            <w:tcW w:w="357" w:type="dxa"/>
            <w:shd w:val="clear" w:color="auto" w:fill="D9D9D9" w:themeFill="background1" w:themeFillShade="D9"/>
          </w:tcPr>
          <w:p w14:paraId="5CFCD999" w14:textId="77777777" w:rsidR="004F4125" w:rsidRPr="00D924DA"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1452" w:type="dxa"/>
            <w:shd w:val="clear" w:color="auto" w:fill="D9D9D9" w:themeFill="background1" w:themeFillShade="D9"/>
          </w:tcPr>
          <w:p w14:paraId="6B34B37F" w14:textId="7AF0D0AB" w:rsidR="00F33BA9" w:rsidRPr="00D924DA" w:rsidRDefault="00001386"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422,61</w:t>
            </w:r>
            <w:r w:rsidR="00B12D25" w:rsidRPr="00D924DA">
              <w:rPr>
                <w:rFonts w:ascii="Franklin Gothic Medium" w:hAnsi="Franklin Gothic Medium"/>
              </w:rPr>
              <w:t>1</w:t>
            </w:r>
          </w:p>
        </w:tc>
      </w:tr>
      <w:tr w:rsidR="00BC69D4" w14:paraId="5BAD50B4"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1" w:type="dxa"/>
            <w:gridSpan w:val="4"/>
            <w:shd w:val="clear" w:color="auto" w:fill="D9D9D9" w:themeFill="background1" w:themeFillShade="D9"/>
            <w:vAlign w:val="top"/>
          </w:tcPr>
          <w:p w14:paraId="1EF934A8" w14:textId="22DB8D9A" w:rsidR="004F4125" w:rsidRPr="00D924DA" w:rsidRDefault="004F4125" w:rsidP="004F4125">
            <w:pPr>
              <w:rPr>
                <w:rFonts w:ascii="Franklin Gothic Medium" w:hAnsi="Franklin Gothic Medium"/>
              </w:rPr>
            </w:pPr>
            <w:r w:rsidRPr="00D924DA">
              <w:rPr>
                <w:rFonts w:ascii="Franklin Gothic Medium" w:hAnsi="Franklin Gothic Medium"/>
              </w:rPr>
              <w:t>Expiring 2024 CPAS</w:t>
            </w:r>
          </w:p>
        </w:tc>
        <w:tc>
          <w:tcPr>
            <w:tcW w:w="908" w:type="dxa"/>
            <w:gridSpan w:val="2"/>
            <w:shd w:val="clear" w:color="auto" w:fill="D9D9D9" w:themeFill="background1" w:themeFillShade="D9"/>
          </w:tcPr>
          <w:p w14:paraId="5965CCF9" w14:textId="7DD6F963" w:rsidR="004F4125"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w:t>
            </w:r>
          </w:p>
        </w:tc>
        <w:tc>
          <w:tcPr>
            <w:tcW w:w="909" w:type="dxa"/>
            <w:gridSpan w:val="2"/>
            <w:shd w:val="clear" w:color="auto" w:fill="D9D9D9" w:themeFill="background1" w:themeFillShade="D9"/>
          </w:tcPr>
          <w:p w14:paraId="31755249" w14:textId="76003D15" w:rsidR="004F4125"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w:t>
            </w:r>
          </w:p>
        </w:tc>
        <w:tc>
          <w:tcPr>
            <w:tcW w:w="909" w:type="dxa"/>
            <w:gridSpan w:val="2"/>
            <w:shd w:val="clear" w:color="auto" w:fill="D9D9D9" w:themeFill="background1" w:themeFillShade="D9"/>
          </w:tcPr>
          <w:p w14:paraId="7CE28E96" w14:textId="47696FD8" w:rsidR="004F4125"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54</w:t>
            </w:r>
          </w:p>
        </w:tc>
        <w:tc>
          <w:tcPr>
            <w:tcW w:w="909" w:type="dxa"/>
            <w:shd w:val="clear" w:color="auto" w:fill="D9D9D9" w:themeFill="background1" w:themeFillShade="D9"/>
          </w:tcPr>
          <w:p w14:paraId="1A85090E" w14:textId="45AA9D83" w:rsidR="004F4125"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983</w:t>
            </w:r>
          </w:p>
        </w:tc>
        <w:tc>
          <w:tcPr>
            <w:tcW w:w="442" w:type="dxa"/>
            <w:shd w:val="clear" w:color="auto" w:fill="D9D9D9" w:themeFill="background1" w:themeFillShade="D9"/>
          </w:tcPr>
          <w:p w14:paraId="7CB91B99" w14:textId="77777777" w:rsidR="004F4125" w:rsidRPr="00D924DA"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09" w:type="dxa"/>
            <w:shd w:val="clear" w:color="auto" w:fill="D9D9D9" w:themeFill="background1" w:themeFillShade="D9"/>
          </w:tcPr>
          <w:p w14:paraId="6464C1A7" w14:textId="791B8463" w:rsidR="004F4125"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845</w:t>
            </w:r>
          </w:p>
        </w:tc>
        <w:tc>
          <w:tcPr>
            <w:tcW w:w="357" w:type="dxa"/>
            <w:shd w:val="clear" w:color="auto" w:fill="D9D9D9" w:themeFill="background1" w:themeFillShade="D9"/>
          </w:tcPr>
          <w:p w14:paraId="0866144A" w14:textId="77777777" w:rsidR="004F4125" w:rsidRPr="00D924DA"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1452" w:type="dxa"/>
            <w:tcBorders>
              <w:bottom w:val="nil"/>
              <w:right w:val="nil"/>
            </w:tcBorders>
            <w:shd w:val="clear" w:color="auto" w:fill="FFFFFF" w:themeFill="background1"/>
            <w:vAlign w:val="top"/>
          </w:tcPr>
          <w:p w14:paraId="4F250E95" w14:textId="77777777" w:rsidR="004F4125" w:rsidRPr="00D924DA" w:rsidRDefault="004F4125"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3DD9804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11" w:type="dxa"/>
            <w:gridSpan w:val="4"/>
            <w:shd w:val="clear" w:color="auto" w:fill="D9D9D9" w:themeFill="background1" w:themeFillShade="D9"/>
            <w:vAlign w:val="top"/>
          </w:tcPr>
          <w:p w14:paraId="50F098E5" w14:textId="1B9CDD84" w:rsidR="004F4125" w:rsidRPr="00D924DA" w:rsidRDefault="004F4125" w:rsidP="004F4125">
            <w:pPr>
              <w:rPr>
                <w:rFonts w:ascii="Franklin Gothic Medium" w:hAnsi="Franklin Gothic Medium"/>
              </w:rPr>
            </w:pPr>
            <w:r w:rsidRPr="00D924DA">
              <w:rPr>
                <w:rFonts w:ascii="Franklin Gothic Medium" w:hAnsi="Franklin Gothic Medium"/>
              </w:rPr>
              <w:t>Expired 2024 CPAS</w:t>
            </w:r>
          </w:p>
        </w:tc>
        <w:tc>
          <w:tcPr>
            <w:tcW w:w="908" w:type="dxa"/>
            <w:gridSpan w:val="2"/>
            <w:shd w:val="clear" w:color="auto" w:fill="D9D9D9" w:themeFill="background1" w:themeFillShade="D9"/>
          </w:tcPr>
          <w:p w14:paraId="39266FB2" w14:textId="5FFD0917"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0</w:t>
            </w:r>
          </w:p>
        </w:tc>
        <w:tc>
          <w:tcPr>
            <w:tcW w:w="909" w:type="dxa"/>
            <w:gridSpan w:val="2"/>
            <w:shd w:val="clear" w:color="auto" w:fill="D9D9D9" w:themeFill="background1" w:themeFillShade="D9"/>
          </w:tcPr>
          <w:p w14:paraId="1297C5BA" w14:textId="43F16AC9"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0</w:t>
            </w:r>
          </w:p>
        </w:tc>
        <w:tc>
          <w:tcPr>
            <w:tcW w:w="909" w:type="dxa"/>
            <w:gridSpan w:val="2"/>
            <w:shd w:val="clear" w:color="auto" w:fill="D9D9D9" w:themeFill="background1" w:themeFillShade="D9"/>
          </w:tcPr>
          <w:p w14:paraId="63891DAD" w14:textId="321966DD"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54</w:t>
            </w:r>
          </w:p>
        </w:tc>
        <w:tc>
          <w:tcPr>
            <w:tcW w:w="909" w:type="dxa"/>
            <w:shd w:val="clear" w:color="auto" w:fill="D9D9D9" w:themeFill="background1" w:themeFillShade="D9"/>
          </w:tcPr>
          <w:p w14:paraId="1E445D07" w14:textId="087FE18B"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1,037</w:t>
            </w:r>
          </w:p>
        </w:tc>
        <w:tc>
          <w:tcPr>
            <w:tcW w:w="442" w:type="dxa"/>
            <w:shd w:val="clear" w:color="auto" w:fill="D9D9D9" w:themeFill="background1" w:themeFillShade="D9"/>
          </w:tcPr>
          <w:p w14:paraId="3FB18D97" w14:textId="77777777" w:rsidR="004F4125" w:rsidRPr="00D924DA"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09" w:type="dxa"/>
            <w:shd w:val="clear" w:color="auto" w:fill="D9D9D9" w:themeFill="background1" w:themeFillShade="D9"/>
          </w:tcPr>
          <w:p w14:paraId="1991AE9A" w14:textId="16A4E4F7" w:rsidR="004F4125" w:rsidRPr="00D924DA" w:rsidRDefault="00B12D25" w:rsidP="002B5E4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2,906</w:t>
            </w:r>
          </w:p>
        </w:tc>
        <w:tc>
          <w:tcPr>
            <w:tcW w:w="357" w:type="dxa"/>
            <w:shd w:val="clear" w:color="auto" w:fill="D9D9D9" w:themeFill="background1" w:themeFillShade="D9"/>
          </w:tcPr>
          <w:p w14:paraId="04E40E22" w14:textId="77777777" w:rsidR="004F4125" w:rsidRPr="00D924DA"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1452" w:type="dxa"/>
            <w:tcBorders>
              <w:top w:val="nil"/>
              <w:bottom w:val="nil"/>
              <w:right w:val="nil"/>
            </w:tcBorders>
            <w:shd w:val="clear" w:color="auto" w:fill="FFFFFF" w:themeFill="background1"/>
            <w:vAlign w:val="top"/>
          </w:tcPr>
          <w:p w14:paraId="3BFEED11" w14:textId="77777777" w:rsidR="004F4125" w:rsidRPr="00D924DA" w:rsidRDefault="004F4125"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C69D4" w14:paraId="083C4BCD"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5" w:type="dxa"/>
            <w:shd w:val="clear" w:color="auto" w:fill="D9D9D9" w:themeFill="background1" w:themeFillShade="D9"/>
            <w:vAlign w:val="top"/>
          </w:tcPr>
          <w:p w14:paraId="5C1B6BED" w14:textId="77777777" w:rsidR="00692748" w:rsidRPr="00D924DA" w:rsidRDefault="00692748" w:rsidP="008C6FBE">
            <w:pPr>
              <w:rPr>
                <w:rFonts w:ascii="Franklin Gothic Medium" w:hAnsi="Franklin Gothic Medium"/>
              </w:rPr>
            </w:pPr>
            <w:r w:rsidRPr="00D924DA">
              <w:rPr>
                <w:rFonts w:ascii="Franklin Gothic Medium" w:hAnsi="Franklin Gothic Medium"/>
              </w:rPr>
              <w:t>WAML</w:t>
            </w:r>
          </w:p>
        </w:tc>
        <w:tc>
          <w:tcPr>
            <w:tcW w:w="1170" w:type="dxa"/>
            <w:shd w:val="clear" w:color="auto" w:fill="D9D9D9" w:themeFill="background1" w:themeFillShade="D9"/>
          </w:tcPr>
          <w:p w14:paraId="23084328" w14:textId="458554A5" w:rsidR="00692748" w:rsidRPr="00D924DA" w:rsidRDefault="00B12D25"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13.7</w:t>
            </w:r>
          </w:p>
        </w:tc>
        <w:tc>
          <w:tcPr>
            <w:tcW w:w="2070" w:type="dxa"/>
            <w:tcBorders>
              <w:top w:val="nil"/>
              <w:bottom w:val="nil"/>
              <w:right w:val="nil"/>
            </w:tcBorders>
            <w:shd w:val="clear" w:color="auto" w:fill="FFFFFF" w:themeFill="background1"/>
          </w:tcPr>
          <w:p w14:paraId="0F052A21"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726" w:type="dxa"/>
            <w:tcBorders>
              <w:top w:val="nil"/>
              <w:left w:val="nil"/>
              <w:bottom w:val="nil"/>
              <w:right w:val="nil"/>
            </w:tcBorders>
            <w:shd w:val="clear" w:color="auto" w:fill="FFFFFF" w:themeFill="background1"/>
            <w:vAlign w:val="top"/>
          </w:tcPr>
          <w:p w14:paraId="542DEA3C" w14:textId="77777777" w:rsidR="00692748" w:rsidRPr="00D924DA" w:rsidRDefault="00692748"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781" w:type="dxa"/>
            <w:tcBorders>
              <w:top w:val="nil"/>
              <w:left w:val="nil"/>
              <w:bottom w:val="nil"/>
              <w:right w:val="nil"/>
            </w:tcBorders>
            <w:shd w:val="clear" w:color="auto" w:fill="FFFFFF" w:themeFill="background1"/>
          </w:tcPr>
          <w:p w14:paraId="007FED1F"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09" w:type="dxa"/>
            <w:gridSpan w:val="2"/>
            <w:tcBorders>
              <w:top w:val="nil"/>
              <w:left w:val="nil"/>
              <w:bottom w:val="nil"/>
              <w:right w:val="nil"/>
            </w:tcBorders>
            <w:shd w:val="clear" w:color="auto" w:fill="FFFFFF" w:themeFill="background1"/>
          </w:tcPr>
          <w:p w14:paraId="46B87243"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65" w:type="dxa"/>
            <w:gridSpan w:val="2"/>
            <w:tcBorders>
              <w:top w:val="nil"/>
              <w:left w:val="nil"/>
              <w:bottom w:val="nil"/>
              <w:right w:val="nil"/>
            </w:tcBorders>
            <w:shd w:val="clear" w:color="auto" w:fill="FFFFFF" w:themeFill="background1"/>
          </w:tcPr>
          <w:p w14:paraId="2D04506E"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980" w:type="dxa"/>
            <w:gridSpan w:val="2"/>
            <w:tcBorders>
              <w:top w:val="nil"/>
              <w:left w:val="nil"/>
              <w:bottom w:val="nil"/>
              <w:right w:val="nil"/>
            </w:tcBorders>
            <w:shd w:val="clear" w:color="auto" w:fill="FFFFFF" w:themeFill="background1"/>
          </w:tcPr>
          <w:p w14:paraId="198E53F8"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442" w:type="dxa"/>
            <w:tcBorders>
              <w:top w:val="nil"/>
              <w:left w:val="nil"/>
              <w:bottom w:val="nil"/>
              <w:right w:val="nil"/>
            </w:tcBorders>
            <w:shd w:val="clear" w:color="auto" w:fill="FFFFFF" w:themeFill="background1"/>
          </w:tcPr>
          <w:p w14:paraId="043819EE"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09" w:type="dxa"/>
            <w:tcBorders>
              <w:top w:val="nil"/>
              <w:left w:val="nil"/>
              <w:bottom w:val="nil"/>
              <w:right w:val="nil"/>
            </w:tcBorders>
            <w:shd w:val="clear" w:color="auto" w:fill="FFFFFF" w:themeFill="background1"/>
          </w:tcPr>
          <w:p w14:paraId="774761DA"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357" w:type="dxa"/>
            <w:tcBorders>
              <w:top w:val="nil"/>
              <w:left w:val="nil"/>
              <w:bottom w:val="nil"/>
              <w:right w:val="nil"/>
            </w:tcBorders>
            <w:shd w:val="clear" w:color="auto" w:fill="FFFFFF" w:themeFill="background1"/>
          </w:tcPr>
          <w:p w14:paraId="0881D059" w14:textId="77777777" w:rsidR="00692748" w:rsidRPr="00D924DA" w:rsidRDefault="00692748" w:rsidP="002B5E4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452" w:type="dxa"/>
            <w:tcBorders>
              <w:top w:val="nil"/>
              <w:left w:val="nil"/>
              <w:bottom w:val="nil"/>
              <w:right w:val="nil"/>
            </w:tcBorders>
            <w:shd w:val="clear" w:color="auto" w:fill="FFFFFF" w:themeFill="background1"/>
            <w:vAlign w:val="top"/>
          </w:tcPr>
          <w:p w14:paraId="7722AC63" w14:textId="77777777" w:rsidR="00692748" w:rsidRPr="00D924DA" w:rsidRDefault="00692748"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3E316D25" w14:textId="7648C554" w:rsidR="00692748" w:rsidRDefault="00692748" w:rsidP="00881B1B">
      <w:pPr>
        <w:pStyle w:val="Caption"/>
      </w:pPr>
      <w:bookmarkStart w:id="287" w:name="_Toc191992585"/>
      <w:bookmarkStart w:id="288" w:name="_Toc192766998"/>
      <w:r>
        <w:t xml:space="preserve">Table </w:t>
      </w:r>
      <w:r w:rsidR="009B4C9A">
        <w:fldChar w:fldCharType="begin"/>
      </w:r>
      <w:r w:rsidR="009B4C9A">
        <w:instrText xml:space="preserve"> SEQ Table \* ARABIC </w:instrText>
      </w:r>
      <w:r w:rsidR="009B4C9A">
        <w:fldChar w:fldCharType="separate"/>
      </w:r>
      <w:r w:rsidR="00AA10F4">
        <w:rPr>
          <w:noProof/>
        </w:rPr>
        <w:t>64</w:t>
      </w:r>
      <w:r w:rsidR="009B4C9A">
        <w:rPr>
          <w:noProof/>
        </w:rPr>
        <w:fldChar w:fldCharType="end"/>
      </w:r>
      <w:r>
        <w:t>. 2024 Small Business Direct Install Channel CPAS and WAML</w:t>
      </w:r>
      <w:bookmarkEnd w:id="287"/>
      <w:bookmarkEnd w:id="288"/>
    </w:p>
    <w:tbl>
      <w:tblPr>
        <w:tblStyle w:val="TableGrid"/>
        <w:tblW w:w="0" w:type="auto"/>
        <w:tblLook w:val="04A0" w:firstRow="1" w:lastRow="0" w:firstColumn="1" w:lastColumn="0" w:noHBand="0" w:noVBand="1"/>
      </w:tblPr>
      <w:tblGrid>
        <w:gridCol w:w="4225"/>
        <w:gridCol w:w="1293"/>
        <w:gridCol w:w="1962"/>
        <w:gridCol w:w="847"/>
        <w:gridCol w:w="781"/>
        <w:gridCol w:w="810"/>
        <w:gridCol w:w="810"/>
        <w:gridCol w:w="810"/>
        <w:gridCol w:w="446"/>
        <w:gridCol w:w="810"/>
        <w:gridCol w:w="446"/>
        <w:gridCol w:w="1466"/>
      </w:tblGrid>
      <w:tr w:rsidR="00D924DA" w14:paraId="1752B7B3" w14:textId="77777777" w:rsidTr="00D924DA">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25" w:type="dxa"/>
            <w:vMerge w:val="restart"/>
            <w:tcBorders>
              <w:bottom w:val="single" w:sz="4" w:space="0" w:color="4D4D4F"/>
            </w:tcBorders>
          </w:tcPr>
          <w:p w14:paraId="162DEBFF" w14:textId="47F6848F" w:rsidR="00692748" w:rsidRDefault="000B1B6F" w:rsidP="008C6FBE">
            <w:pPr>
              <w:pStyle w:val="TableHeadingLeft"/>
            </w:pPr>
            <w:r>
              <w:t>Measure</w:t>
            </w:r>
          </w:p>
        </w:tc>
        <w:tc>
          <w:tcPr>
            <w:tcW w:w="1293" w:type="dxa"/>
            <w:vMerge w:val="restart"/>
            <w:tcBorders>
              <w:top w:val="single" w:sz="4" w:space="0" w:color="4D4D4F"/>
              <w:left w:val="single" w:sz="4" w:space="0" w:color="4D4D4F"/>
              <w:bottom w:val="single" w:sz="4" w:space="0" w:color="4D4D4F"/>
              <w:right w:val="single" w:sz="4" w:space="0" w:color="4D4D4F"/>
            </w:tcBorders>
          </w:tcPr>
          <w:p w14:paraId="7AC35B04" w14:textId="57056279" w:rsidR="00692748" w:rsidRDefault="000B1B6F" w:rsidP="008C6FB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962" w:type="dxa"/>
            <w:vMerge w:val="restart"/>
            <w:tcBorders>
              <w:top w:val="single" w:sz="4" w:space="0" w:color="4D4D4F"/>
              <w:left w:val="single" w:sz="4" w:space="0" w:color="4D4D4F"/>
              <w:bottom w:val="single" w:sz="4" w:space="0" w:color="4D4D4F"/>
              <w:right w:val="single" w:sz="4" w:space="0" w:color="4D4D4F"/>
            </w:tcBorders>
          </w:tcPr>
          <w:p w14:paraId="3387B04D"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847" w:type="dxa"/>
            <w:vMerge w:val="restart"/>
            <w:tcBorders>
              <w:top w:val="single" w:sz="4" w:space="0" w:color="4D4D4F"/>
              <w:left w:val="single" w:sz="4" w:space="0" w:color="4D4D4F"/>
              <w:bottom w:val="single" w:sz="4" w:space="0" w:color="4D4D4F"/>
              <w:right w:val="single" w:sz="4" w:space="0" w:color="4D4D4F"/>
            </w:tcBorders>
          </w:tcPr>
          <w:p w14:paraId="77833995"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4913" w:type="dxa"/>
            <w:gridSpan w:val="7"/>
            <w:tcBorders>
              <w:top w:val="single" w:sz="4" w:space="0" w:color="4D4D4F"/>
              <w:left w:val="single" w:sz="4" w:space="0" w:color="4D4D4F"/>
              <w:bottom w:val="single" w:sz="4" w:space="0" w:color="4D4D4F"/>
              <w:right w:val="single" w:sz="4" w:space="0" w:color="4D4D4F"/>
            </w:tcBorders>
          </w:tcPr>
          <w:p w14:paraId="00451181" w14:textId="77777777" w:rsidR="00692748" w:rsidRDefault="00692748" w:rsidP="00D924DA">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1466" w:type="dxa"/>
            <w:vMerge w:val="restart"/>
            <w:tcBorders>
              <w:top w:val="single" w:sz="4" w:space="0" w:color="4D4D4F"/>
              <w:left w:val="single" w:sz="4" w:space="0" w:color="4D4D4F"/>
              <w:bottom w:val="single" w:sz="4" w:space="0" w:color="4D4D4F"/>
              <w:right w:val="single" w:sz="4" w:space="0" w:color="4D4D4F"/>
            </w:tcBorders>
          </w:tcPr>
          <w:p w14:paraId="74BD2574" w14:textId="77777777" w:rsidR="00692748" w:rsidRDefault="00692748" w:rsidP="00D924DA">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D924DA" w14:paraId="29F48F46" w14:textId="77777777" w:rsidTr="00D924DA">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225" w:type="dxa"/>
            <w:vMerge/>
          </w:tcPr>
          <w:p w14:paraId="5B5E06BF" w14:textId="77777777" w:rsidR="00692748" w:rsidRDefault="00692748" w:rsidP="008C6FBE"/>
        </w:tc>
        <w:tc>
          <w:tcPr>
            <w:tcW w:w="1293" w:type="dxa"/>
            <w:vMerge/>
          </w:tcPr>
          <w:p w14:paraId="4135BA7C"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1962" w:type="dxa"/>
            <w:vMerge/>
          </w:tcPr>
          <w:p w14:paraId="453FEC81"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847" w:type="dxa"/>
            <w:vMerge/>
          </w:tcPr>
          <w:p w14:paraId="4060F950"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781" w:type="dxa"/>
            <w:shd w:val="clear" w:color="auto" w:fill="053572" w:themeFill="text2"/>
          </w:tcPr>
          <w:p w14:paraId="634953D8"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810" w:type="dxa"/>
            <w:shd w:val="clear" w:color="auto" w:fill="053572" w:themeFill="text2"/>
          </w:tcPr>
          <w:p w14:paraId="0F2260E2"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810" w:type="dxa"/>
            <w:shd w:val="clear" w:color="auto" w:fill="053572" w:themeFill="text2"/>
          </w:tcPr>
          <w:p w14:paraId="34EB88A8"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810" w:type="dxa"/>
            <w:shd w:val="clear" w:color="auto" w:fill="053572" w:themeFill="text2"/>
          </w:tcPr>
          <w:p w14:paraId="4AE6649B"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446" w:type="dxa"/>
            <w:shd w:val="clear" w:color="auto" w:fill="053572" w:themeFill="text2"/>
          </w:tcPr>
          <w:p w14:paraId="03AE6468"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10" w:type="dxa"/>
            <w:shd w:val="clear" w:color="auto" w:fill="053572" w:themeFill="text2"/>
          </w:tcPr>
          <w:p w14:paraId="544E91F1"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446" w:type="dxa"/>
            <w:shd w:val="clear" w:color="auto" w:fill="053572" w:themeFill="text2"/>
          </w:tcPr>
          <w:p w14:paraId="6541B22D" w14:textId="77777777" w:rsidR="00692748" w:rsidRDefault="00692748" w:rsidP="00D924DA">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1466" w:type="dxa"/>
            <w:vMerge/>
          </w:tcPr>
          <w:p w14:paraId="245D4A35" w14:textId="77777777" w:rsidR="00692748" w:rsidRDefault="00692748" w:rsidP="00D924DA">
            <w:pPr>
              <w:jc w:val="center"/>
              <w:cnfStyle w:val="000000100000" w:firstRow="0" w:lastRow="0" w:firstColumn="0" w:lastColumn="0" w:oddVBand="0" w:evenVBand="0" w:oddHBand="1" w:evenHBand="0" w:firstRowFirstColumn="0" w:firstRowLastColumn="0" w:lastRowFirstColumn="0" w:lastRowLastColumn="0"/>
            </w:pPr>
          </w:p>
        </w:tc>
      </w:tr>
      <w:tr w:rsidR="00D924DA" w14:paraId="5D73622F"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262936DD" w14:textId="55D771CF" w:rsidR="00F33BA9" w:rsidRDefault="00F33BA9" w:rsidP="00F33BA9">
            <w:r w:rsidRPr="00F03BA9">
              <w:t>LED Bulbs and Fixtures</w:t>
            </w:r>
          </w:p>
        </w:tc>
        <w:tc>
          <w:tcPr>
            <w:tcW w:w="1293" w:type="dxa"/>
          </w:tcPr>
          <w:p w14:paraId="162A8C3D" w14:textId="3F489D57"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13.5</w:t>
            </w:r>
          </w:p>
        </w:tc>
        <w:tc>
          <w:tcPr>
            <w:tcW w:w="1962" w:type="dxa"/>
          </w:tcPr>
          <w:p w14:paraId="7952AC5D" w14:textId="3BE9CEA7"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31,239</w:t>
            </w:r>
          </w:p>
        </w:tc>
        <w:tc>
          <w:tcPr>
            <w:tcW w:w="847" w:type="dxa"/>
          </w:tcPr>
          <w:p w14:paraId="73AB726E" w14:textId="70E269DC"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0.918</w:t>
            </w:r>
          </w:p>
        </w:tc>
        <w:tc>
          <w:tcPr>
            <w:tcW w:w="781" w:type="dxa"/>
          </w:tcPr>
          <w:p w14:paraId="1351CF8A" w14:textId="6E9BDDD5"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28,680</w:t>
            </w:r>
          </w:p>
        </w:tc>
        <w:tc>
          <w:tcPr>
            <w:tcW w:w="810" w:type="dxa"/>
          </w:tcPr>
          <w:p w14:paraId="44939210" w14:textId="7355E47F"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28,680</w:t>
            </w:r>
          </w:p>
        </w:tc>
        <w:tc>
          <w:tcPr>
            <w:tcW w:w="810" w:type="dxa"/>
          </w:tcPr>
          <w:p w14:paraId="6C573ABD" w14:textId="484F62C5"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28,625</w:t>
            </w:r>
          </w:p>
        </w:tc>
        <w:tc>
          <w:tcPr>
            <w:tcW w:w="810" w:type="dxa"/>
          </w:tcPr>
          <w:p w14:paraId="69755713" w14:textId="42F58034"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27,643</w:t>
            </w:r>
          </w:p>
        </w:tc>
        <w:tc>
          <w:tcPr>
            <w:tcW w:w="446" w:type="dxa"/>
          </w:tcPr>
          <w:p w14:paraId="559A5BD4" w14:textId="54DA44C0"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810" w:type="dxa"/>
          </w:tcPr>
          <w:p w14:paraId="1DC1AB62" w14:textId="2821A600"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25,816</w:t>
            </w:r>
          </w:p>
        </w:tc>
        <w:tc>
          <w:tcPr>
            <w:tcW w:w="446" w:type="dxa"/>
          </w:tcPr>
          <w:p w14:paraId="29D8A080" w14:textId="09B1242C"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1466" w:type="dxa"/>
          </w:tcPr>
          <w:p w14:paraId="7692166E" w14:textId="0C9BB2AC"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368,064</w:t>
            </w:r>
          </w:p>
        </w:tc>
      </w:tr>
      <w:tr w:rsidR="00D924DA" w14:paraId="7C092049" w14:textId="77777777" w:rsidTr="00D9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2E8A9864" w14:textId="5800810D" w:rsidR="00F33BA9" w:rsidRDefault="00F33BA9" w:rsidP="00F33BA9">
            <w:r w:rsidRPr="00F03BA9">
              <w:t>Lighting Controls</w:t>
            </w:r>
          </w:p>
        </w:tc>
        <w:tc>
          <w:tcPr>
            <w:tcW w:w="1293" w:type="dxa"/>
          </w:tcPr>
          <w:p w14:paraId="1604FCB6" w14:textId="59F3B965"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14.9</w:t>
            </w:r>
          </w:p>
        </w:tc>
        <w:tc>
          <w:tcPr>
            <w:tcW w:w="1962" w:type="dxa"/>
          </w:tcPr>
          <w:p w14:paraId="585F976D" w14:textId="34D2A6FD"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2,994</w:t>
            </w:r>
          </w:p>
        </w:tc>
        <w:tc>
          <w:tcPr>
            <w:tcW w:w="847" w:type="dxa"/>
          </w:tcPr>
          <w:p w14:paraId="66410B1C" w14:textId="5E593A97"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0.906</w:t>
            </w:r>
          </w:p>
        </w:tc>
        <w:tc>
          <w:tcPr>
            <w:tcW w:w="781" w:type="dxa"/>
          </w:tcPr>
          <w:p w14:paraId="68541B31" w14:textId="79C463C2"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2,714</w:t>
            </w:r>
          </w:p>
        </w:tc>
        <w:tc>
          <w:tcPr>
            <w:tcW w:w="810" w:type="dxa"/>
          </w:tcPr>
          <w:p w14:paraId="7DA427D3" w14:textId="2B6A40B8"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2,714</w:t>
            </w:r>
          </w:p>
        </w:tc>
        <w:tc>
          <w:tcPr>
            <w:tcW w:w="810" w:type="dxa"/>
          </w:tcPr>
          <w:p w14:paraId="1D98C19D" w14:textId="40FD8213"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2,714</w:t>
            </w:r>
          </w:p>
        </w:tc>
        <w:tc>
          <w:tcPr>
            <w:tcW w:w="810" w:type="dxa"/>
          </w:tcPr>
          <w:p w14:paraId="08487689" w14:textId="7087DB20"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2,714</w:t>
            </w:r>
          </w:p>
        </w:tc>
        <w:tc>
          <w:tcPr>
            <w:tcW w:w="446" w:type="dxa"/>
          </w:tcPr>
          <w:p w14:paraId="5EF818B8" w14:textId="26EE5955"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810" w:type="dxa"/>
          </w:tcPr>
          <w:p w14:paraId="6ED93876" w14:textId="2AB6FB63"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2,714</w:t>
            </w:r>
          </w:p>
        </w:tc>
        <w:tc>
          <w:tcPr>
            <w:tcW w:w="446" w:type="dxa"/>
          </w:tcPr>
          <w:p w14:paraId="1E57FD1B" w14:textId="48D6C793"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1466" w:type="dxa"/>
          </w:tcPr>
          <w:p w14:paraId="3095C090" w14:textId="61755882"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40,473</w:t>
            </w:r>
          </w:p>
        </w:tc>
      </w:tr>
      <w:tr w:rsidR="00D924DA" w14:paraId="11223C55"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1E409243" w14:textId="6DD166D7" w:rsidR="00F33BA9" w:rsidRPr="00084DF3" w:rsidRDefault="00F33BA9" w:rsidP="00F33BA9">
            <w:r w:rsidRPr="00F03BA9">
              <w:t>ECMs for Coolers/Freezers</w:t>
            </w:r>
          </w:p>
        </w:tc>
        <w:tc>
          <w:tcPr>
            <w:tcW w:w="1293" w:type="dxa"/>
          </w:tcPr>
          <w:p w14:paraId="2E37D527" w14:textId="15632A5D"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15.0</w:t>
            </w:r>
          </w:p>
        </w:tc>
        <w:tc>
          <w:tcPr>
            <w:tcW w:w="1962" w:type="dxa"/>
          </w:tcPr>
          <w:p w14:paraId="2EF91794" w14:textId="185CE6C3"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568</w:t>
            </w:r>
          </w:p>
        </w:tc>
        <w:tc>
          <w:tcPr>
            <w:tcW w:w="847" w:type="dxa"/>
          </w:tcPr>
          <w:p w14:paraId="250A5D83" w14:textId="3F0D8A6D"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0.897</w:t>
            </w:r>
          </w:p>
        </w:tc>
        <w:tc>
          <w:tcPr>
            <w:tcW w:w="781" w:type="dxa"/>
          </w:tcPr>
          <w:p w14:paraId="19B22EC7" w14:textId="05844B4C"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509</w:t>
            </w:r>
          </w:p>
        </w:tc>
        <w:tc>
          <w:tcPr>
            <w:tcW w:w="810" w:type="dxa"/>
          </w:tcPr>
          <w:p w14:paraId="63B94702" w14:textId="3F4951F7"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509</w:t>
            </w:r>
          </w:p>
        </w:tc>
        <w:tc>
          <w:tcPr>
            <w:tcW w:w="810" w:type="dxa"/>
          </w:tcPr>
          <w:p w14:paraId="55E5F2D7" w14:textId="7ADA42C6"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509</w:t>
            </w:r>
          </w:p>
        </w:tc>
        <w:tc>
          <w:tcPr>
            <w:tcW w:w="810" w:type="dxa"/>
          </w:tcPr>
          <w:p w14:paraId="71A1F725" w14:textId="2240A22A"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509</w:t>
            </w:r>
          </w:p>
        </w:tc>
        <w:tc>
          <w:tcPr>
            <w:tcW w:w="446" w:type="dxa"/>
          </w:tcPr>
          <w:p w14:paraId="6D934CDC" w14:textId="2499DF08"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810" w:type="dxa"/>
          </w:tcPr>
          <w:p w14:paraId="46F88F07" w14:textId="3E0DEB1B"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509</w:t>
            </w:r>
          </w:p>
        </w:tc>
        <w:tc>
          <w:tcPr>
            <w:tcW w:w="446" w:type="dxa"/>
          </w:tcPr>
          <w:p w14:paraId="4893EA2A" w14:textId="3701434D"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1466" w:type="dxa"/>
          </w:tcPr>
          <w:p w14:paraId="6D8B394D" w14:textId="467FA84E"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7,641</w:t>
            </w:r>
          </w:p>
        </w:tc>
      </w:tr>
      <w:tr w:rsidR="00D924DA" w14:paraId="1FF8B9FA" w14:textId="77777777" w:rsidTr="00D9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69713802" w14:textId="2A688F2E" w:rsidR="00F33BA9" w:rsidRPr="00084DF3" w:rsidRDefault="00F33BA9" w:rsidP="00F33BA9">
            <w:r w:rsidRPr="00F03BA9">
              <w:t>Fluorescent Delamping</w:t>
            </w:r>
          </w:p>
        </w:tc>
        <w:tc>
          <w:tcPr>
            <w:tcW w:w="1293" w:type="dxa"/>
          </w:tcPr>
          <w:p w14:paraId="377E883B" w14:textId="08499F32"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11.0</w:t>
            </w:r>
          </w:p>
        </w:tc>
        <w:tc>
          <w:tcPr>
            <w:tcW w:w="1962" w:type="dxa"/>
          </w:tcPr>
          <w:p w14:paraId="0C3D21AB" w14:textId="0B6CFF95"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107</w:t>
            </w:r>
          </w:p>
        </w:tc>
        <w:tc>
          <w:tcPr>
            <w:tcW w:w="847" w:type="dxa"/>
          </w:tcPr>
          <w:p w14:paraId="2041559F" w14:textId="6F95B65E"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0.913</w:t>
            </w:r>
          </w:p>
        </w:tc>
        <w:tc>
          <w:tcPr>
            <w:tcW w:w="781" w:type="dxa"/>
          </w:tcPr>
          <w:p w14:paraId="057E6698" w14:textId="5D8219AD"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98</w:t>
            </w:r>
          </w:p>
        </w:tc>
        <w:tc>
          <w:tcPr>
            <w:tcW w:w="810" w:type="dxa"/>
          </w:tcPr>
          <w:p w14:paraId="5D3280AD" w14:textId="631FE07B"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98</w:t>
            </w:r>
          </w:p>
        </w:tc>
        <w:tc>
          <w:tcPr>
            <w:tcW w:w="810" w:type="dxa"/>
          </w:tcPr>
          <w:p w14:paraId="757F542C" w14:textId="58F3B855"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98</w:t>
            </w:r>
          </w:p>
        </w:tc>
        <w:tc>
          <w:tcPr>
            <w:tcW w:w="810" w:type="dxa"/>
          </w:tcPr>
          <w:p w14:paraId="30CD0855" w14:textId="18F37311"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98</w:t>
            </w:r>
          </w:p>
        </w:tc>
        <w:tc>
          <w:tcPr>
            <w:tcW w:w="446" w:type="dxa"/>
          </w:tcPr>
          <w:p w14:paraId="44C57188" w14:textId="4E921304"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810" w:type="dxa"/>
          </w:tcPr>
          <w:p w14:paraId="65A14146" w14:textId="54F05100"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98</w:t>
            </w:r>
          </w:p>
        </w:tc>
        <w:tc>
          <w:tcPr>
            <w:tcW w:w="446" w:type="dxa"/>
          </w:tcPr>
          <w:p w14:paraId="76521695" w14:textId="226050F5"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1466" w:type="dxa"/>
          </w:tcPr>
          <w:p w14:paraId="46395182" w14:textId="640E8651"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1,075</w:t>
            </w:r>
          </w:p>
        </w:tc>
      </w:tr>
      <w:tr w:rsidR="00D924DA" w14:paraId="7C61DC1F"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3F50D30E" w14:textId="1C43BDED" w:rsidR="00F33BA9" w:rsidRPr="00084DF3" w:rsidRDefault="00F33BA9" w:rsidP="00F33BA9">
            <w:r w:rsidRPr="00F03BA9">
              <w:t>Evaporator Fan Control for ECMs</w:t>
            </w:r>
          </w:p>
        </w:tc>
        <w:tc>
          <w:tcPr>
            <w:tcW w:w="1293" w:type="dxa"/>
          </w:tcPr>
          <w:p w14:paraId="1ABD83E6" w14:textId="6DD9E12C"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13.0</w:t>
            </w:r>
          </w:p>
        </w:tc>
        <w:tc>
          <w:tcPr>
            <w:tcW w:w="1962" w:type="dxa"/>
          </w:tcPr>
          <w:p w14:paraId="7379D0CA" w14:textId="5AA0380A"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47</w:t>
            </w:r>
          </w:p>
        </w:tc>
        <w:tc>
          <w:tcPr>
            <w:tcW w:w="847" w:type="dxa"/>
          </w:tcPr>
          <w:p w14:paraId="234BC51A" w14:textId="4F92B691"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0.904</w:t>
            </w:r>
          </w:p>
        </w:tc>
        <w:tc>
          <w:tcPr>
            <w:tcW w:w="781" w:type="dxa"/>
          </w:tcPr>
          <w:p w14:paraId="2CD549B1" w14:textId="4A72B7D6"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43</w:t>
            </w:r>
          </w:p>
        </w:tc>
        <w:tc>
          <w:tcPr>
            <w:tcW w:w="810" w:type="dxa"/>
          </w:tcPr>
          <w:p w14:paraId="0D78DD93" w14:textId="2E035A72"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43</w:t>
            </w:r>
          </w:p>
        </w:tc>
        <w:tc>
          <w:tcPr>
            <w:tcW w:w="810" w:type="dxa"/>
          </w:tcPr>
          <w:p w14:paraId="70D914CF" w14:textId="51B188C0"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43</w:t>
            </w:r>
          </w:p>
        </w:tc>
        <w:tc>
          <w:tcPr>
            <w:tcW w:w="810" w:type="dxa"/>
          </w:tcPr>
          <w:p w14:paraId="5300432E" w14:textId="22D81694"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43</w:t>
            </w:r>
          </w:p>
        </w:tc>
        <w:tc>
          <w:tcPr>
            <w:tcW w:w="446" w:type="dxa"/>
          </w:tcPr>
          <w:p w14:paraId="4C1E30D3" w14:textId="56E6E3A9"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810" w:type="dxa"/>
          </w:tcPr>
          <w:p w14:paraId="3D43E4D2" w14:textId="72B8B790"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43</w:t>
            </w:r>
          </w:p>
        </w:tc>
        <w:tc>
          <w:tcPr>
            <w:tcW w:w="446" w:type="dxa"/>
          </w:tcPr>
          <w:p w14:paraId="70AE21C8" w14:textId="3367021B"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1466" w:type="dxa"/>
          </w:tcPr>
          <w:p w14:paraId="6352D929" w14:textId="11C883C7"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554</w:t>
            </w:r>
          </w:p>
        </w:tc>
      </w:tr>
      <w:tr w:rsidR="00D924DA" w14:paraId="234D247C" w14:textId="77777777" w:rsidTr="00D9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5146967C" w14:textId="54742516" w:rsidR="00F33BA9" w:rsidRPr="00084DF3" w:rsidRDefault="00F33BA9" w:rsidP="00F33BA9">
            <w:r w:rsidRPr="00F03BA9">
              <w:t>Exit Signs</w:t>
            </w:r>
          </w:p>
        </w:tc>
        <w:tc>
          <w:tcPr>
            <w:tcW w:w="1293" w:type="dxa"/>
          </w:tcPr>
          <w:p w14:paraId="1C07EB64" w14:textId="06BF94E3"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5.0</w:t>
            </w:r>
          </w:p>
        </w:tc>
        <w:tc>
          <w:tcPr>
            <w:tcW w:w="1962" w:type="dxa"/>
          </w:tcPr>
          <w:p w14:paraId="76DE14B8" w14:textId="7EBF7E69"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47</w:t>
            </w:r>
          </w:p>
        </w:tc>
        <w:tc>
          <w:tcPr>
            <w:tcW w:w="847" w:type="dxa"/>
          </w:tcPr>
          <w:p w14:paraId="40CDDC4B" w14:textId="136179F5"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0.911</w:t>
            </w:r>
          </w:p>
        </w:tc>
        <w:tc>
          <w:tcPr>
            <w:tcW w:w="781" w:type="dxa"/>
          </w:tcPr>
          <w:p w14:paraId="3488F00E" w14:textId="1D907091"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43</w:t>
            </w:r>
          </w:p>
        </w:tc>
        <w:tc>
          <w:tcPr>
            <w:tcW w:w="810" w:type="dxa"/>
          </w:tcPr>
          <w:p w14:paraId="046E1584" w14:textId="493B25DE"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43</w:t>
            </w:r>
          </w:p>
        </w:tc>
        <w:tc>
          <w:tcPr>
            <w:tcW w:w="810" w:type="dxa"/>
          </w:tcPr>
          <w:p w14:paraId="0E3C26EC" w14:textId="7D28A284"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43</w:t>
            </w:r>
          </w:p>
        </w:tc>
        <w:tc>
          <w:tcPr>
            <w:tcW w:w="810" w:type="dxa"/>
          </w:tcPr>
          <w:p w14:paraId="34ADE787" w14:textId="1AEF9F3C" w:rsidR="00F33BA9" w:rsidRPr="003D0E0D"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43</w:t>
            </w:r>
          </w:p>
        </w:tc>
        <w:tc>
          <w:tcPr>
            <w:tcW w:w="446" w:type="dxa"/>
          </w:tcPr>
          <w:p w14:paraId="0E97FDF0" w14:textId="75BC8F3E"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810" w:type="dxa"/>
          </w:tcPr>
          <w:p w14:paraId="77F59622" w14:textId="5DD0448B"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0</w:t>
            </w:r>
          </w:p>
        </w:tc>
        <w:tc>
          <w:tcPr>
            <w:tcW w:w="446" w:type="dxa"/>
          </w:tcPr>
          <w:p w14:paraId="238D8E2A" w14:textId="19E26EA0" w:rsidR="00F33BA9" w:rsidRDefault="00F33BA9" w:rsidP="00D924DA">
            <w:pPr>
              <w:jc w:val="center"/>
              <w:cnfStyle w:val="000000100000" w:firstRow="0" w:lastRow="0" w:firstColumn="0" w:lastColumn="0" w:oddVBand="0" w:evenVBand="0" w:oddHBand="1" w:evenHBand="0" w:firstRowFirstColumn="0" w:firstRowLastColumn="0" w:lastRowFirstColumn="0" w:lastRowLastColumn="0"/>
            </w:pPr>
            <w:r w:rsidRPr="00F03BA9">
              <w:t>…</w:t>
            </w:r>
          </w:p>
        </w:tc>
        <w:tc>
          <w:tcPr>
            <w:tcW w:w="1466" w:type="dxa"/>
          </w:tcPr>
          <w:p w14:paraId="0893A5D2" w14:textId="1EBAB9B5" w:rsidR="00F33BA9" w:rsidRDefault="00F33BA9" w:rsidP="00D924DA">
            <w:pPr>
              <w:jc w:val="right"/>
              <w:cnfStyle w:val="000000100000" w:firstRow="0" w:lastRow="0" w:firstColumn="0" w:lastColumn="0" w:oddVBand="0" w:evenVBand="0" w:oddHBand="1" w:evenHBand="0" w:firstRowFirstColumn="0" w:firstRowLastColumn="0" w:lastRowFirstColumn="0" w:lastRowLastColumn="0"/>
            </w:pPr>
            <w:r w:rsidRPr="00F03BA9">
              <w:t>214</w:t>
            </w:r>
          </w:p>
        </w:tc>
      </w:tr>
      <w:tr w:rsidR="00D924DA" w14:paraId="0B08C911"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vAlign w:val="top"/>
          </w:tcPr>
          <w:p w14:paraId="617D6F8D" w14:textId="7C731676" w:rsidR="00F33BA9" w:rsidRPr="00084DF3" w:rsidRDefault="00F33BA9" w:rsidP="00F33BA9">
            <w:r w:rsidRPr="00F03BA9">
              <w:t>Automatic Door Closer</w:t>
            </w:r>
          </w:p>
        </w:tc>
        <w:tc>
          <w:tcPr>
            <w:tcW w:w="1293" w:type="dxa"/>
          </w:tcPr>
          <w:p w14:paraId="242D7181" w14:textId="6631B888"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8.0</w:t>
            </w:r>
          </w:p>
        </w:tc>
        <w:tc>
          <w:tcPr>
            <w:tcW w:w="1962" w:type="dxa"/>
          </w:tcPr>
          <w:p w14:paraId="7E68304F" w14:textId="1C81296D"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14</w:t>
            </w:r>
          </w:p>
        </w:tc>
        <w:tc>
          <w:tcPr>
            <w:tcW w:w="847" w:type="dxa"/>
          </w:tcPr>
          <w:p w14:paraId="7E124DB7" w14:textId="221F0348"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0.891</w:t>
            </w:r>
          </w:p>
        </w:tc>
        <w:tc>
          <w:tcPr>
            <w:tcW w:w="781" w:type="dxa"/>
          </w:tcPr>
          <w:p w14:paraId="1F3C71F9" w14:textId="1ACD9BFA"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w:t>
            </w:r>
          </w:p>
        </w:tc>
        <w:tc>
          <w:tcPr>
            <w:tcW w:w="810" w:type="dxa"/>
          </w:tcPr>
          <w:p w14:paraId="6CED271C" w14:textId="5CE58FD9"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w:t>
            </w:r>
          </w:p>
        </w:tc>
        <w:tc>
          <w:tcPr>
            <w:tcW w:w="810" w:type="dxa"/>
          </w:tcPr>
          <w:p w14:paraId="61024C37" w14:textId="6DCC635A"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w:t>
            </w:r>
          </w:p>
        </w:tc>
        <w:tc>
          <w:tcPr>
            <w:tcW w:w="810" w:type="dxa"/>
          </w:tcPr>
          <w:p w14:paraId="3032BB50" w14:textId="550C66A2" w:rsidR="00F33BA9" w:rsidRPr="003D0E0D"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w:t>
            </w:r>
          </w:p>
        </w:tc>
        <w:tc>
          <w:tcPr>
            <w:tcW w:w="446" w:type="dxa"/>
          </w:tcPr>
          <w:p w14:paraId="2548C408" w14:textId="57CA4744"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810" w:type="dxa"/>
          </w:tcPr>
          <w:p w14:paraId="739523D2" w14:textId="061CE38F"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13</w:t>
            </w:r>
          </w:p>
        </w:tc>
        <w:tc>
          <w:tcPr>
            <w:tcW w:w="446" w:type="dxa"/>
          </w:tcPr>
          <w:p w14:paraId="3B8C22FB" w14:textId="1D528EFD" w:rsidR="00F33BA9" w:rsidRDefault="00F33BA9" w:rsidP="00D924DA">
            <w:pPr>
              <w:jc w:val="center"/>
              <w:cnfStyle w:val="000000010000" w:firstRow="0" w:lastRow="0" w:firstColumn="0" w:lastColumn="0" w:oddVBand="0" w:evenVBand="0" w:oddHBand="0" w:evenHBand="1" w:firstRowFirstColumn="0" w:firstRowLastColumn="0" w:lastRowFirstColumn="0" w:lastRowLastColumn="0"/>
            </w:pPr>
            <w:r w:rsidRPr="00F03BA9">
              <w:t>…</w:t>
            </w:r>
          </w:p>
        </w:tc>
        <w:tc>
          <w:tcPr>
            <w:tcW w:w="1466" w:type="dxa"/>
          </w:tcPr>
          <w:p w14:paraId="0A26BC0C" w14:textId="03442F92" w:rsidR="00F33BA9" w:rsidRDefault="00F33BA9" w:rsidP="00D924DA">
            <w:pPr>
              <w:jc w:val="right"/>
              <w:cnfStyle w:val="000000010000" w:firstRow="0" w:lastRow="0" w:firstColumn="0" w:lastColumn="0" w:oddVBand="0" w:evenVBand="0" w:oddHBand="0" w:evenHBand="1" w:firstRowFirstColumn="0" w:firstRowLastColumn="0" w:lastRowFirstColumn="0" w:lastRowLastColumn="0"/>
            </w:pPr>
            <w:r w:rsidRPr="00F03BA9">
              <w:t>103</w:t>
            </w:r>
          </w:p>
        </w:tc>
      </w:tr>
      <w:tr w:rsidR="00D924DA" w14:paraId="264E74CD" w14:textId="77777777" w:rsidTr="00D9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18" w:type="dxa"/>
            <w:gridSpan w:val="2"/>
            <w:shd w:val="clear" w:color="auto" w:fill="D9D9D9" w:themeFill="background1" w:themeFillShade="D9"/>
            <w:vAlign w:val="top"/>
          </w:tcPr>
          <w:p w14:paraId="01530ECD" w14:textId="36C70269" w:rsidR="00F33BA9" w:rsidRPr="00D924DA" w:rsidRDefault="00F33BA9" w:rsidP="00F33BA9">
            <w:pPr>
              <w:rPr>
                <w:rFonts w:ascii="Franklin Gothic Medium" w:hAnsi="Franklin Gothic Medium"/>
              </w:rPr>
            </w:pPr>
            <w:r w:rsidRPr="00D924DA">
              <w:rPr>
                <w:rFonts w:ascii="Franklin Gothic Medium" w:hAnsi="Franklin Gothic Medium"/>
              </w:rPr>
              <w:t>2024 CPAS</w:t>
            </w:r>
          </w:p>
        </w:tc>
        <w:tc>
          <w:tcPr>
            <w:tcW w:w="1962" w:type="dxa"/>
            <w:shd w:val="clear" w:color="auto" w:fill="D9D9D9" w:themeFill="background1" w:themeFillShade="D9"/>
          </w:tcPr>
          <w:p w14:paraId="6A6B84B8" w14:textId="43F6F3E4"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35,017</w:t>
            </w:r>
          </w:p>
        </w:tc>
        <w:tc>
          <w:tcPr>
            <w:tcW w:w="847" w:type="dxa"/>
            <w:shd w:val="clear" w:color="auto" w:fill="D9D9D9" w:themeFill="background1" w:themeFillShade="D9"/>
          </w:tcPr>
          <w:p w14:paraId="39CF742A" w14:textId="6F7823CD"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0.917</w:t>
            </w:r>
          </w:p>
        </w:tc>
        <w:tc>
          <w:tcPr>
            <w:tcW w:w="781" w:type="dxa"/>
            <w:shd w:val="clear" w:color="auto" w:fill="D9D9D9" w:themeFill="background1" w:themeFillShade="D9"/>
          </w:tcPr>
          <w:p w14:paraId="66A85515" w14:textId="4A412014"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32,099</w:t>
            </w:r>
          </w:p>
        </w:tc>
        <w:tc>
          <w:tcPr>
            <w:tcW w:w="810" w:type="dxa"/>
            <w:shd w:val="clear" w:color="auto" w:fill="D9D9D9" w:themeFill="background1" w:themeFillShade="D9"/>
          </w:tcPr>
          <w:p w14:paraId="62D5010F" w14:textId="0CF5C509"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32,099</w:t>
            </w:r>
          </w:p>
        </w:tc>
        <w:tc>
          <w:tcPr>
            <w:tcW w:w="810" w:type="dxa"/>
            <w:shd w:val="clear" w:color="auto" w:fill="D9D9D9" w:themeFill="background1" w:themeFillShade="D9"/>
          </w:tcPr>
          <w:p w14:paraId="20969503" w14:textId="1E664638"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32,045</w:t>
            </w:r>
          </w:p>
        </w:tc>
        <w:tc>
          <w:tcPr>
            <w:tcW w:w="810" w:type="dxa"/>
            <w:shd w:val="clear" w:color="auto" w:fill="D9D9D9" w:themeFill="background1" w:themeFillShade="D9"/>
          </w:tcPr>
          <w:p w14:paraId="4BDF5188" w14:textId="2DB91546"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31,062</w:t>
            </w:r>
          </w:p>
        </w:tc>
        <w:tc>
          <w:tcPr>
            <w:tcW w:w="446" w:type="dxa"/>
            <w:shd w:val="clear" w:color="auto" w:fill="D9D9D9" w:themeFill="background1" w:themeFillShade="D9"/>
          </w:tcPr>
          <w:p w14:paraId="5147A626" w14:textId="1B0FB1A0" w:rsidR="00F33BA9" w:rsidRPr="00D924DA" w:rsidRDefault="00F33BA9" w:rsidP="00D924D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10" w:type="dxa"/>
            <w:shd w:val="clear" w:color="auto" w:fill="D9D9D9" w:themeFill="background1" w:themeFillShade="D9"/>
          </w:tcPr>
          <w:p w14:paraId="44BDCE2E" w14:textId="508D904D"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29,193</w:t>
            </w:r>
          </w:p>
        </w:tc>
        <w:tc>
          <w:tcPr>
            <w:tcW w:w="446" w:type="dxa"/>
            <w:shd w:val="clear" w:color="auto" w:fill="D9D9D9" w:themeFill="background1" w:themeFillShade="D9"/>
          </w:tcPr>
          <w:p w14:paraId="409B9467" w14:textId="4618AE40" w:rsidR="00F33BA9" w:rsidRPr="00D924DA" w:rsidRDefault="00F33BA9" w:rsidP="00D924D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1466" w:type="dxa"/>
            <w:shd w:val="clear" w:color="auto" w:fill="D9D9D9" w:themeFill="background1" w:themeFillShade="D9"/>
          </w:tcPr>
          <w:p w14:paraId="2B98F728" w14:textId="59418122" w:rsidR="00F33BA9" w:rsidRPr="00D924DA" w:rsidRDefault="00F33BA9"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418,125</w:t>
            </w:r>
          </w:p>
        </w:tc>
      </w:tr>
      <w:tr w:rsidR="00D924DA" w14:paraId="3B8A5CDD"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gridSpan w:val="4"/>
            <w:shd w:val="clear" w:color="auto" w:fill="D9D9D9" w:themeFill="background1" w:themeFillShade="D9"/>
            <w:vAlign w:val="top"/>
          </w:tcPr>
          <w:p w14:paraId="76CE99B4" w14:textId="48EDA8AB" w:rsidR="00CC1CA8" w:rsidRPr="00D924DA" w:rsidRDefault="00CC1CA8" w:rsidP="00CC1CA8">
            <w:pPr>
              <w:rPr>
                <w:rFonts w:ascii="Franklin Gothic Medium" w:hAnsi="Franklin Gothic Medium"/>
              </w:rPr>
            </w:pPr>
            <w:r w:rsidRPr="00D924DA">
              <w:rPr>
                <w:rFonts w:ascii="Franklin Gothic Medium" w:hAnsi="Franklin Gothic Medium"/>
              </w:rPr>
              <w:t>Expiring 2024 CPAS</w:t>
            </w:r>
          </w:p>
        </w:tc>
        <w:tc>
          <w:tcPr>
            <w:tcW w:w="781" w:type="dxa"/>
            <w:shd w:val="clear" w:color="auto" w:fill="D9D9D9" w:themeFill="background1" w:themeFillShade="D9"/>
          </w:tcPr>
          <w:p w14:paraId="6EEB8620" w14:textId="7F7D9B4A" w:rsidR="00CC1CA8" w:rsidRPr="00D924DA" w:rsidRDefault="00CC1CA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0</w:t>
            </w:r>
          </w:p>
        </w:tc>
        <w:tc>
          <w:tcPr>
            <w:tcW w:w="810" w:type="dxa"/>
            <w:shd w:val="clear" w:color="auto" w:fill="D9D9D9" w:themeFill="background1" w:themeFillShade="D9"/>
          </w:tcPr>
          <w:p w14:paraId="5C855DA7" w14:textId="2F559114" w:rsidR="00CC1CA8" w:rsidRPr="00D924DA" w:rsidRDefault="00CC1CA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0</w:t>
            </w:r>
          </w:p>
        </w:tc>
        <w:tc>
          <w:tcPr>
            <w:tcW w:w="810" w:type="dxa"/>
            <w:shd w:val="clear" w:color="000000" w:fill="D9D9D9"/>
          </w:tcPr>
          <w:p w14:paraId="0366BC65" w14:textId="1FF404D4" w:rsidR="00CC1CA8" w:rsidRPr="00D924DA" w:rsidRDefault="004F3D9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54</w:t>
            </w:r>
          </w:p>
        </w:tc>
        <w:tc>
          <w:tcPr>
            <w:tcW w:w="810" w:type="dxa"/>
            <w:shd w:val="clear" w:color="000000" w:fill="D9D9D9"/>
          </w:tcPr>
          <w:p w14:paraId="17561150" w14:textId="680673DD" w:rsidR="00CC1CA8" w:rsidRPr="00D924DA" w:rsidRDefault="004F3D9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983</w:t>
            </w:r>
          </w:p>
        </w:tc>
        <w:tc>
          <w:tcPr>
            <w:tcW w:w="446" w:type="dxa"/>
            <w:shd w:val="clear" w:color="000000" w:fill="D9D9D9"/>
          </w:tcPr>
          <w:p w14:paraId="5BE2DA64" w14:textId="29AEF1A2" w:rsidR="00CC1CA8" w:rsidRPr="00D924DA" w:rsidRDefault="00CC1CA8" w:rsidP="00D924DA">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10" w:type="dxa"/>
            <w:shd w:val="clear" w:color="000000" w:fill="D9D9D9"/>
          </w:tcPr>
          <w:p w14:paraId="28E10E3D" w14:textId="612BE419" w:rsidR="00CC1CA8" w:rsidRPr="00D924DA" w:rsidRDefault="004F3D9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845</w:t>
            </w:r>
          </w:p>
        </w:tc>
        <w:tc>
          <w:tcPr>
            <w:tcW w:w="446" w:type="dxa"/>
            <w:shd w:val="clear" w:color="000000" w:fill="D9D9D9"/>
          </w:tcPr>
          <w:p w14:paraId="5CEC00D1" w14:textId="698E7389" w:rsidR="00CC1CA8" w:rsidRPr="00D924DA" w:rsidRDefault="00CC1CA8" w:rsidP="00D924DA">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w:t>
            </w:r>
          </w:p>
        </w:tc>
        <w:tc>
          <w:tcPr>
            <w:tcW w:w="1466" w:type="dxa"/>
            <w:tcBorders>
              <w:top w:val="nil"/>
              <w:bottom w:val="nil"/>
              <w:right w:val="nil"/>
            </w:tcBorders>
          </w:tcPr>
          <w:p w14:paraId="64E836C7" w14:textId="056393A2" w:rsidR="00CC1CA8" w:rsidRPr="00D924DA" w:rsidRDefault="00CC1CA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D924DA" w14:paraId="137CBEE0" w14:textId="77777777" w:rsidTr="00D924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27" w:type="dxa"/>
            <w:gridSpan w:val="4"/>
            <w:shd w:val="clear" w:color="auto" w:fill="D9D9D9" w:themeFill="background1" w:themeFillShade="D9"/>
            <w:vAlign w:val="top"/>
          </w:tcPr>
          <w:p w14:paraId="5E60D4B4" w14:textId="4389E76D" w:rsidR="00CC1CA8" w:rsidRPr="00D924DA" w:rsidRDefault="00CC1CA8" w:rsidP="00CC1CA8">
            <w:pPr>
              <w:rPr>
                <w:rFonts w:ascii="Franklin Gothic Medium" w:hAnsi="Franklin Gothic Medium"/>
              </w:rPr>
            </w:pPr>
            <w:r w:rsidRPr="00D924DA">
              <w:rPr>
                <w:rFonts w:ascii="Franklin Gothic Medium" w:hAnsi="Franklin Gothic Medium"/>
              </w:rPr>
              <w:t>Expired 2024 CPAS</w:t>
            </w:r>
          </w:p>
        </w:tc>
        <w:tc>
          <w:tcPr>
            <w:tcW w:w="781" w:type="dxa"/>
            <w:shd w:val="clear" w:color="auto" w:fill="D9D9D9" w:themeFill="background1" w:themeFillShade="D9"/>
          </w:tcPr>
          <w:p w14:paraId="43CCE52B" w14:textId="10BB5D3F" w:rsidR="00CC1CA8" w:rsidRPr="00D924DA" w:rsidRDefault="00CC1CA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0</w:t>
            </w:r>
          </w:p>
        </w:tc>
        <w:tc>
          <w:tcPr>
            <w:tcW w:w="810" w:type="dxa"/>
            <w:shd w:val="clear" w:color="auto" w:fill="D9D9D9" w:themeFill="background1" w:themeFillShade="D9"/>
          </w:tcPr>
          <w:p w14:paraId="26806C0D" w14:textId="00AB7972" w:rsidR="00CC1CA8" w:rsidRPr="00D924DA" w:rsidRDefault="00CC1CA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0</w:t>
            </w:r>
          </w:p>
        </w:tc>
        <w:tc>
          <w:tcPr>
            <w:tcW w:w="810" w:type="dxa"/>
            <w:shd w:val="clear" w:color="000000" w:fill="D9D9D9"/>
          </w:tcPr>
          <w:p w14:paraId="27BE08DD" w14:textId="2DB9E969" w:rsidR="00CC1CA8" w:rsidRPr="00D924DA" w:rsidRDefault="004F3D9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54</w:t>
            </w:r>
          </w:p>
        </w:tc>
        <w:tc>
          <w:tcPr>
            <w:tcW w:w="810" w:type="dxa"/>
            <w:shd w:val="clear" w:color="000000" w:fill="D9D9D9"/>
          </w:tcPr>
          <w:p w14:paraId="4066CD78" w14:textId="20A7E6BD" w:rsidR="00CC1CA8" w:rsidRPr="00D924DA" w:rsidRDefault="004F3D9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1,037</w:t>
            </w:r>
          </w:p>
        </w:tc>
        <w:tc>
          <w:tcPr>
            <w:tcW w:w="446" w:type="dxa"/>
            <w:shd w:val="clear" w:color="000000" w:fill="D9D9D9"/>
          </w:tcPr>
          <w:p w14:paraId="42E53D80" w14:textId="26D82896" w:rsidR="00CC1CA8" w:rsidRPr="00D924DA" w:rsidRDefault="00CC1CA8" w:rsidP="00D924D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rPr>
              <w:t>…</w:t>
            </w:r>
          </w:p>
        </w:tc>
        <w:tc>
          <w:tcPr>
            <w:tcW w:w="810" w:type="dxa"/>
            <w:shd w:val="clear" w:color="000000" w:fill="D9D9D9"/>
          </w:tcPr>
          <w:p w14:paraId="6F752739" w14:textId="1F506238" w:rsidR="00CC1CA8" w:rsidRPr="00D924DA" w:rsidRDefault="004F3D9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2,906</w:t>
            </w:r>
          </w:p>
        </w:tc>
        <w:tc>
          <w:tcPr>
            <w:tcW w:w="446" w:type="dxa"/>
            <w:shd w:val="clear" w:color="000000" w:fill="D9D9D9"/>
          </w:tcPr>
          <w:p w14:paraId="7C6E99BC" w14:textId="26893A06" w:rsidR="00CC1CA8" w:rsidRPr="00D924DA" w:rsidRDefault="00CC1CA8" w:rsidP="00D924D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D924DA">
              <w:rPr>
                <w:rFonts w:ascii="Franklin Gothic Medium" w:hAnsi="Franklin Gothic Medium"/>
                <w:color w:val="4A4D56"/>
              </w:rPr>
              <w:t>…</w:t>
            </w:r>
          </w:p>
        </w:tc>
        <w:tc>
          <w:tcPr>
            <w:tcW w:w="1466" w:type="dxa"/>
            <w:tcBorders>
              <w:top w:val="nil"/>
              <w:bottom w:val="nil"/>
              <w:right w:val="nil"/>
            </w:tcBorders>
          </w:tcPr>
          <w:p w14:paraId="3A0CAE05" w14:textId="58235291" w:rsidR="00CC1CA8" w:rsidRPr="00D924DA" w:rsidRDefault="00CC1CA8" w:rsidP="00D924DA">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D924DA" w14:paraId="09701C85" w14:textId="77777777" w:rsidTr="00D924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shd w:val="clear" w:color="auto" w:fill="D9D9D9" w:themeFill="background1" w:themeFillShade="D9"/>
            <w:vAlign w:val="top"/>
          </w:tcPr>
          <w:p w14:paraId="33B34EAC" w14:textId="77777777" w:rsidR="00CC1CA8" w:rsidRPr="00D924DA" w:rsidRDefault="00CC1CA8" w:rsidP="00CC1CA8">
            <w:pPr>
              <w:rPr>
                <w:rFonts w:ascii="Franklin Gothic Medium" w:hAnsi="Franklin Gothic Medium"/>
              </w:rPr>
            </w:pPr>
            <w:r w:rsidRPr="00D924DA">
              <w:rPr>
                <w:rFonts w:ascii="Franklin Gothic Medium" w:hAnsi="Franklin Gothic Medium"/>
              </w:rPr>
              <w:t>WAML</w:t>
            </w:r>
          </w:p>
        </w:tc>
        <w:tc>
          <w:tcPr>
            <w:tcW w:w="1293" w:type="dxa"/>
            <w:shd w:val="clear" w:color="auto" w:fill="D9D9D9" w:themeFill="background1" w:themeFillShade="D9"/>
          </w:tcPr>
          <w:p w14:paraId="00DDF847" w14:textId="2478EC23" w:rsidR="00CC1CA8" w:rsidRPr="00D924DA" w:rsidRDefault="00CC1CA8" w:rsidP="00D924D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D924DA">
              <w:rPr>
                <w:rFonts w:ascii="Franklin Gothic Medium" w:hAnsi="Franklin Gothic Medium"/>
              </w:rPr>
              <w:t>13.6</w:t>
            </w:r>
          </w:p>
        </w:tc>
        <w:tc>
          <w:tcPr>
            <w:tcW w:w="1962" w:type="dxa"/>
            <w:tcBorders>
              <w:top w:val="nil"/>
              <w:bottom w:val="nil"/>
              <w:right w:val="nil"/>
            </w:tcBorders>
            <w:shd w:val="clear" w:color="auto" w:fill="FFFFFF" w:themeFill="background1"/>
            <w:vAlign w:val="top"/>
          </w:tcPr>
          <w:p w14:paraId="5E8A5C76"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47" w:type="dxa"/>
            <w:tcBorders>
              <w:top w:val="nil"/>
              <w:left w:val="nil"/>
              <w:bottom w:val="nil"/>
              <w:right w:val="nil"/>
            </w:tcBorders>
            <w:shd w:val="clear" w:color="auto" w:fill="FFFFFF" w:themeFill="background1"/>
            <w:vAlign w:val="top"/>
          </w:tcPr>
          <w:p w14:paraId="7D09FC32"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781" w:type="dxa"/>
            <w:tcBorders>
              <w:top w:val="nil"/>
              <w:left w:val="nil"/>
              <w:bottom w:val="nil"/>
              <w:right w:val="nil"/>
            </w:tcBorders>
            <w:shd w:val="clear" w:color="auto" w:fill="FFFFFF" w:themeFill="background1"/>
            <w:vAlign w:val="top"/>
          </w:tcPr>
          <w:p w14:paraId="031D13F6"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0D937958"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6DA2E88E"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1DC07A49"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46" w:type="dxa"/>
            <w:tcBorders>
              <w:top w:val="nil"/>
              <w:left w:val="nil"/>
              <w:bottom w:val="nil"/>
              <w:right w:val="nil"/>
            </w:tcBorders>
            <w:shd w:val="clear" w:color="auto" w:fill="FFFFFF" w:themeFill="background1"/>
            <w:vAlign w:val="top"/>
          </w:tcPr>
          <w:p w14:paraId="7C200F2B"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10" w:type="dxa"/>
            <w:tcBorders>
              <w:top w:val="nil"/>
              <w:left w:val="nil"/>
              <w:bottom w:val="nil"/>
              <w:right w:val="nil"/>
            </w:tcBorders>
            <w:shd w:val="clear" w:color="auto" w:fill="FFFFFF" w:themeFill="background1"/>
            <w:vAlign w:val="top"/>
          </w:tcPr>
          <w:p w14:paraId="74F2DDDA"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446" w:type="dxa"/>
            <w:tcBorders>
              <w:top w:val="nil"/>
              <w:left w:val="nil"/>
              <w:bottom w:val="nil"/>
              <w:right w:val="nil"/>
            </w:tcBorders>
            <w:shd w:val="clear" w:color="auto" w:fill="FFFFFF" w:themeFill="background1"/>
            <w:vAlign w:val="top"/>
          </w:tcPr>
          <w:p w14:paraId="2435F081"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466" w:type="dxa"/>
            <w:tcBorders>
              <w:top w:val="nil"/>
              <w:left w:val="nil"/>
              <w:bottom w:val="nil"/>
              <w:right w:val="nil"/>
            </w:tcBorders>
            <w:shd w:val="clear" w:color="auto" w:fill="FFFFFF" w:themeFill="background1"/>
            <w:vAlign w:val="top"/>
          </w:tcPr>
          <w:p w14:paraId="44584587" w14:textId="77777777" w:rsidR="00CC1CA8" w:rsidRPr="00D924DA" w:rsidRDefault="00CC1CA8" w:rsidP="00CC1CA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6E7E8654" w14:textId="516853A2" w:rsidR="00692748" w:rsidRDefault="00692748" w:rsidP="00881B1B">
      <w:pPr>
        <w:pStyle w:val="Caption"/>
      </w:pPr>
      <w:bookmarkStart w:id="289" w:name="_Ref187326079"/>
      <w:bookmarkStart w:id="290" w:name="_Toc191992586"/>
      <w:bookmarkStart w:id="291" w:name="_Toc192766999"/>
      <w:r>
        <w:lastRenderedPageBreak/>
        <w:t xml:space="preserve">Table </w:t>
      </w:r>
      <w:r w:rsidR="009B4C9A">
        <w:fldChar w:fldCharType="begin"/>
      </w:r>
      <w:r w:rsidR="009B4C9A">
        <w:instrText xml:space="preserve"> SEQ Table \* ARABIC </w:instrText>
      </w:r>
      <w:r w:rsidR="009B4C9A">
        <w:fldChar w:fldCharType="separate"/>
      </w:r>
      <w:r w:rsidR="00AA10F4">
        <w:rPr>
          <w:noProof/>
        </w:rPr>
        <w:t>65</w:t>
      </w:r>
      <w:r w:rsidR="009B4C9A">
        <w:rPr>
          <w:noProof/>
        </w:rPr>
        <w:fldChar w:fldCharType="end"/>
      </w:r>
      <w:bookmarkEnd w:id="289"/>
      <w:r>
        <w:t>. 2024 Small Business Energy Performance Channel CPAS and WAML</w:t>
      </w:r>
      <w:bookmarkEnd w:id="290"/>
      <w:bookmarkEnd w:id="291"/>
    </w:p>
    <w:tbl>
      <w:tblPr>
        <w:tblStyle w:val="TableGrid"/>
        <w:tblW w:w="5000" w:type="pct"/>
        <w:tblLook w:val="04A0" w:firstRow="1" w:lastRow="0" w:firstColumn="1" w:lastColumn="0" w:noHBand="0" w:noVBand="1"/>
      </w:tblPr>
      <w:tblGrid>
        <w:gridCol w:w="2658"/>
        <w:gridCol w:w="1367"/>
        <w:gridCol w:w="3599"/>
        <w:gridCol w:w="723"/>
        <w:gridCol w:w="668"/>
        <w:gridCol w:w="668"/>
        <w:gridCol w:w="668"/>
        <w:gridCol w:w="668"/>
        <w:gridCol w:w="321"/>
        <w:gridCol w:w="668"/>
        <w:gridCol w:w="324"/>
        <w:gridCol w:w="2374"/>
      </w:tblGrid>
      <w:tr w:rsidR="00692748" w14:paraId="246EA723"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04" w:type="pct"/>
            <w:vMerge w:val="restart"/>
            <w:tcBorders>
              <w:bottom w:val="single" w:sz="4" w:space="0" w:color="4D4D4F"/>
            </w:tcBorders>
          </w:tcPr>
          <w:p w14:paraId="48FA7D86" w14:textId="2104E128" w:rsidR="00692748" w:rsidRDefault="000B1B6F" w:rsidP="008C6FBE">
            <w:pPr>
              <w:pStyle w:val="TableHeadingLeft"/>
            </w:pPr>
            <w:r>
              <w:t>Measure</w:t>
            </w:r>
          </w:p>
        </w:tc>
        <w:tc>
          <w:tcPr>
            <w:tcW w:w="464" w:type="pct"/>
            <w:vMerge w:val="restart"/>
            <w:tcBorders>
              <w:top w:val="single" w:sz="4" w:space="0" w:color="4D4D4F"/>
              <w:left w:val="single" w:sz="4" w:space="0" w:color="4D4D4F"/>
              <w:bottom w:val="single" w:sz="4" w:space="0" w:color="4D4D4F"/>
              <w:right w:val="single" w:sz="4" w:space="0" w:color="4D4D4F"/>
            </w:tcBorders>
          </w:tcPr>
          <w:p w14:paraId="4CAE5785" w14:textId="0F8BFBC4" w:rsidR="00692748" w:rsidRDefault="000B1B6F" w:rsidP="008C6FB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224" w:type="pct"/>
            <w:vMerge w:val="restart"/>
            <w:tcBorders>
              <w:top w:val="single" w:sz="4" w:space="0" w:color="4D4D4F"/>
              <w:left w:val="single" w:sz="4" w:space="0" w:color="4D4D4F"/>
              <w:bottom w:val="single" w:sz="4" w:space="0" w:color="4D4D4F"/>
              <w:right w:val="single" w:sz="4" w:space="0" w:color="4D4D4F"/>
            </w:tcBorders>
          </w:tcPr>
          <w:p w14:paraId="57605AFD"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46" w:type="pct"/>
            <w:vMerge w:val="restart"/>
            <w:tcBorders>
              <w:top w:val="single" w:sz="4" w:space="0" w:color="4D4D4F"/>
              <w:left w:val="single" w:sz="4" w:space="0" w:color="4D4D4F"/>
              <w:bottom w:val="single" w:sz="4" w:space="0" w:color="4D4D4F"/>
              <w:right w:val="single" w:sz="4" w:space="0" w:color="4D4D4F"/>
            </w:tcBorders>
          </w:tcPr>
          <w:p w14:paraId="268F754D"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54" w:type="pct"/>
            <w:gridSpan w:val="7"/>
            <w:tcBorders>
              <w:top w:val="single" w:sz="4" w:space="0" w:color="4D4D4F"/>
              <w:left w:val="single" w:sz="4" w:space="0" w:color="4D4D4F"/>
              <w:bottom w:val="single" w:sz="4" w:space="0" w:color="4D4D4F"/>
              <w:right w:val="single" w:sz="4" w:space="0" w:color="4D4D4F"/>
            </w:tcBorders>
          </w:tcPr>
          <w:p w14:paraId="6893D932"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07" w:type="pct"/>
            <w:vMerge w:val="restart"/>
            <w:tcBorders>
              <w:top w:val="single" w:sz="4" w:space="0" w:color="4D4D4F"/>
              <w:left w:val="single" w:sz="4" w:space="0" w:color="4D4D4F"/>
              <w:bottom w:val="single" w:sz="4" w:space="0" w:color="4D4D4F"/>
              <w:right w:val="single" w:sz="4" w:space="0" w:color="4D4D4F"/>
            </w:tcBorders>
          </w:tcPr>
          <w:p w14:paraId="0B004549" w14:textId="77777777" w:rsidR="00692748" w:rsidRDefault="00692748"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6CB893C0"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04" w:type="pct"/>
            <w:vMerge/>
          </w:tcPr>
          <w:p w14:paraId="440EA43C" w14:textId="77777777" w:rsidR="00692748" w:rsidRDefault="00692748" w:rsidP="008C6FBE"/>
        </w:tc>
        <w:tc>
          <w:tcPr>
            <w:tcW w:w="464" w:type="pct"/>
            <w:vMerge/>
          </w:tcPr>
          <w:p w14:paraId="00BF6652"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1224" w:type="pct"/>
            <w:vMerge/>
          </w:tcPr>
          <w:p w14:paraId="49C50712"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246" w:type="pct"/>
            <w:vMerge/>
          </w:tcPr>
          <w:p w14:paraId="26AD089F"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c>
          <w:tcPr>
            <w:tcW w:w="227" w:type="pct"/>
            <w:shd w:val="clear" w:color="auto" w:fill="053572" w:themeFill="text2"/>
          </w:tcPr>
          <w:p w14:paraId="57307ADA"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27" w:type="pct"/>
            <w:shd w:val="clear" w:color="auto" w:fill="053572" w:themeFill="text2"/>
          </w:tcPr>
          <w:p w14:paraId="79E5D4C9"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27" w:type="pct"/>
            <w:shd w:val="clear" w:color="auto" w:fill="053572" w:themeFill="text2"/>
          </w:tcPr>
          <w:p w14:paraId="012109D3"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27" w:type="pct"/>
            <w:shd w:val="clear" w:color="auto" w:fill="053572" w:themeFill="text2"/>
          </w:tcPr>
          <w:p w14:paraId="6B829F38"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09" w:type="pct"/>
            <w:shd w:val="clear" w:color="auto" w:fill="053572" w:themeFill="text2"/>
          </w:tcPr>
          <w:p w14:paraId="0D2310B3" w14:textId="77777777" w:rsidR="00692748" w:rsidRDefault="00692748"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27" w:type="pct"/>
            <w:shd w:val="clear" w:color="auto" w:fill="053572" w:themeFill="text2"/>
          </w:tcPr>
          <w:p w14:paraId="15444A84" w14:textId="77777777" w:rsidR="00692748" w:rsidRDefault="00692748"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09" w:type="pct"/>
            <w:shd w:val="clear" w:color="auto" w:fill="053572" w:themeFill="text2"/>
          </w:tcPr>
          <w:p w14:paraId="77EB7939" w14:textId="77777777" w:rsidR="00692748" w:rsidRDefault="00692748"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07" w:type="pct"/>
            <w:vMerge/>
          </w:tcPr>
          <w:p w14:paraId="1F9686A8" w14:textId="77777777" w:rsidR="00692748" w:rsidRDefault="00692748" w:rsidP="008C6FBE">
            <w:pPr>
              <w:cnfStyle w:val="000000100000" w:firstRow="0" w:lastRow="0" w:firstColumn="0" w:lastColumn="0" w:oddVBand="0" w:evenVBand="0" w:oddHBand="1" w:evenHBand="0" w:firstRowFirstColumn="0" w:firstRowLastColumn="0" w:lastRowFirstColumn="0" w:lastRowLastColumn="0"/>
            </w:pPr>
          </w:p>
        </w:tc>
      </w:tr>
      <w:tr w:rsidR="00AB135D" w14:paraId="0324206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top"/>
          </w:tcPr>
          <w:p w14:paraId="000919DA" w14:textId="6BA96876" w:rsidR="00AB135D" w:rsidRDefault="00AB135D" w:rsidP="00AB135D">
            <w:r w:rsidRPr="00084DF3">
              <w:t>C&amp;I Air Sealing</w:t>
            </w:r>
          </w:p>
        </w:tc>
        <w:tc>
          <w:tcPr>
            <w:tcW w:w="464" w:type="pct"/>
          </w:tcPr>
          <w:p w14:paraId="78315F4A" w14:textId="30877280" w:rsidR="00AB135D" w:rsidRDefault="00AB135D" w:rsidP="00210097">
            <w:pPr>
              <w:jc w:val="right"/>
              <w:cnfStyle w:val="000000010000" w:firstRow="0" w:lastRow="0" w:firstColumn="0" w:lastColumn="0" w:oddVBand="0" w:evenVBand="0" w:oddHBand="0" w:evenHBand="1" w:firstRowFirstColumn="0" w:firstRowLastColumn="0" w:lastRowFirstColumn="0" w:lastRowLastColumn="0"/>
            </w:pPr>
            <w:r>
              <w:t>20</w:t>
            </w:r>
            <w:r w:rsidRPr="00780204">
              <w:t>.</w:t>
            </w:r>
            <w:r>
              <w:t>0</w:t>
            </w:r>
          </w:p>
        </w:tc>
        <w:tc>
          <w:tcPr>
            <w:tcW w:w="1224" w:type="pct"/>
          </w:tcPr>
          <w:p w14:paraId="19218256" w14:textId="5CC2F88C" w:rsidR="00AB135D" w:rsidRDefault="00AB135D" w:rsidP="00210097">
            <w:pPr>
              <w:jc w:val="right"/>
              <w:cnfStyle w:val="000000010000" w:firstRow="0" w:lastRow="0" w:firstColumn="0" w:lastColumn="0" w:oddVBand="0" w:evenVBand="0" w:oddHBand="0" w:evenHBand="1" w:firstRowFirstColumn="0" w:firstRowLastColumn="0" w:lastRowFirstColumn="0" w:lastRowLastColumn="0"/>
            </w:pPr>
            <w:r>
              <w:t>219</w:t>
            </w:r>
          </w:p>
        </w:tc>
        <w:tc>
          <w:tcPr>
            <w:tcW w:w="246" w:type="pct"/>
          </w:tcPr>
          <w:p w14:paraId="3591E673" w14:textId="4A0DC116" w:rsidR="00AB135D" w:rsidRDefault="00AB135D" w:rsidP="00210097">
            <w:pPr>
              <w:jc w:val="right"/>
              <w:cnfStyle w:val="000000010000" w:firstRow="0" w:lastRow="0" w:firstColumn="0" w:lastColumn="0" w:oddVBand="0" w:evenVBand="0" w:oddHBand="0" w:evenHBand="1" w:firstRowFirstColumn="0" w:firstRowLastColumn="0" w:lastRowFirstColumn="0" w:lastRowLastColumn="0"/>
            </w:pPr>
            <w:r>
              <w:t>1.000</w:t>
            </w:r>
          </w:p>
        </w:tc>
        <w:tc>
          <w:tcPr>
            <w:tcW w:w="227" w:type="pct"/>
          </w:tcPr>
          <w:p w14:paraId="39428F03" w14:textId="229AC27D" w:rsidR="00AB135D" w:rsidRDefault="00AB135D" w:rsidP="00562725">
            <w:pPr>
              <w:jc w:val="right"/>
              <w:cnfStyle w:val="000000010000" w:firstRow="0" w:lastRow="0" w:firstColumn="0" w:lastColumn="0" w:oddVBand="0" w:evenVBand="0" w:oddHBand="0" w:evenHBand="1" w:firstRowFirstColumn="0" w:firstRowLastColumn="0" w:lastRowFirstColumn="0" w:lastRowLastColumn="0"/>
            </w:pPr>
            <w:r>
              <w:t>219</w:t>
            </w:r>
          </w:p>
        </w:tc>
        <w:tc>
          <w:tcPr>
            <w:tcW w:w="227" w:type="pct"/>
          </w:tcPr>
          <w:p w14:paraId="497539A2" w14:textId="4FE2C200" w:rsidR="00AB135D" w:rsidRDefault="00AB135D" w:rsidP="00562725">
            <w:pPr>
              <w:jc w:val="right"/>
              <w:cnfStyle w:val="000000010000" w:firstRow="0" w:lastRow="0" w:firstColumn="0" w:lastColumn="0" w:oddVBand="0" w:evenVBand="0" w:oddHBand="0" w:evenHBand="1" w:firstRowFirstColumn="0" w:firstRowLastColumn="0" w:lastRowFirstColumn="0" w:lastRowLastColumn="0"/>
            </w:pPr>
            <w:r>
              <w:t>219</w:t>
            </w:r>
          </w:p>
        </w:tc>
        <w:tc>
          <w:tcPr>
            <w:tcW w:w="227" w:type="pct"/>
          </w:tcPr>
          <w:p w14:paraId="3130E9FF" w14:textId="3788CE52" w:rsidR="00AB135D" w:rsidRDefault="00AB135D" w:rsidP="00562725">
            <w:pPr>
              <w:jc w:val="right"/>
              <w:cnfStyle w:val="000000010000" w:firstRow="0" w:lastRow="0" w:firstColumn="0" w:lastColumn="0" w:oddVBand="0" w:evenVBand="0" w:oddHBand="0" w:evenHBand="1" w:firstRowFirstColumn="0" w:firstRowLastColumn="0" w:lastRowFirstColumn="0" w:lastRowLastColumn="0"/>
            </w:pPr>
            <w:r>
              <w:t>219</w:t>
            </w:r>
          </w:p>
        </w:tc>
        <w:tc>
          <w:tcPr>
            <w:tcW w:w="227" w:type="pct"/>
          </w:tcPr>
          <w:p w14:paraId="3C8DB5ED" w14:textId="7AAACAA6" w:rsidR="00AB135D" w:rsidRDefault="00AB135D" w:rsidP="00562725">
            <w:pPr>
              <w:jc w:val="right"/>
              <w:cnfStyle w:val="000000010000" w:firstRow="0" w:lastRow="0" w:firstColumn="0" w:lastColumn="0" w:oddVBand="0" w:evenVBand="0" w:oddHBand="0" w:evenHBand="1" w:firstRowFirstColumn="0" w:firstRowLastColumn="0" w:lastRowFirstColumn="0" w:lastRowLastColumn="0"/>
            </w:pPr>
            <w:r>
              <w:t>219</w:t>
            </w:r>
          </w:p>
        </w:tc>
        <w:tc>
          <w:tcPr>
            <w:tcW w:w="109" w:type="pct"/>
          </w:tcPr>
          <w:p w14:paraId="23891A38" w14:textId="33B96E6C" w:rsidR="00AB135D" w:rsidRDefault="00AB135D"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227" w:type="pct"/>
          </w:tcPr>
          <w:p w14:paraId="5DBF9701" w14:textId="55BA105D" w:rsidR="00AB135D" w:rsidRDefault="00AB135D" w:rsidP="00562725">
            <w:pPr>
              <w:jc w:val="right"/>
              <w:cnfStyle w:val="000000010000" w:firstRow="0" w:lastRow="0" w:firstColumn="0" w:lastColumn="0" w:oddVBand="0" w:evenVBand="0" w:oddHBand="0" w:evenHBand="1" w:firstRowFirstColumn="0" w:firstRowLastColumn="0" w:lastRowFirstColumn="0" w:lastRowLastColumn="0"/>
            </w:pPr>
            <w:r>
              <w:t>219</w:t>
            </w:r>
          </w:p>
        </w:tc>
        <w:tc>
          <w:tcPr>
            <w:tcW w:w="109" w:type="pct"/>
          </w:tcPr>
          <w:p w14:paraId="1A10F834" w14:textId="09F5A84D" w:rsidR="00AB135D" w:rsidRDefault="00AB135D" w:rsidP="00BC69D4">
            <w:pPr>
              <w:jc w:val="center"/>
              <w:cnfStyle w:val="000000010000" w:firstRow="0" w:lastRow="0" w:firstColumn="0" w:lastColumn="0" w:oddVBand="0" w:evenVBand="0" w:oddHBand="0" w:evenHBand="1" w:firstRowFirstColumn="0" w:firstRowLastColumn="0" w:lastRowFirstColumn="0" w:lastRowLastColumn="0"/>
            </w:pPr>
            <w:r w:rsidRPr="00780204">
              <w:t>…</w:t>
            </w:r>
          </w:p>
        </w:tc>
        <w:tc>
          <w:tcPr>
            <w:tcW w:w="807" w:type="pct"/>
          </w:tcPr>
          <w:p w14:paraId="180E9984" w14:textId="14250FF8" w:rsidR="00AB135D" w:rsidRDefault="00AB135D" w:rsidP="00210097">
            <w:pPr>
              <w:jc w:val="right"/>
              <w:cnfStyle w:val="000000010000" w:firstRow="0" w:lastRow="0" w:firstColumn="0" w:lastColumn="0" w:oddVBand="0" w:evenVBand="0" w:oddHBand="0" w:evenHBand="1" w:firstRowFirstColumn="0" w:firstRowLastColumn="0" w:lastRowFirstColumn="0" w:lastRowLastColumn="0"/>
            </w:pPr>
            <w:r>
              <w:t>4,376</w:t>
            </w:r>
          </w:p>
        </w:tc>
      </w:tr>
      <w:tr w:rsidR="00BC69D4" w14:paraId="3771290B"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vAlign w:val="top"/>
          </w:tcPr>
          <w:p w14:paraId="1BFB6217" w14:textId="6CE24EEB" w:rsidR="00BC69D4" w:rsidRDefault="00BC69D4" w:rsidP="00BC69D4">
            <w:r w:rsidRPr="00084DF3">
              <w:t>Commercial Wall Insulation</w:t>
            </w:r>
          </w:p>
        </w:tc>
        <w:tc>
          <w:tcPr>
            <w:tcW w:w="464" w:type="pct"/>
          </w:tcPr>
          <w:p w14:paraId="15EEC3F5" w14:textId="65E27FE9"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t>25.0</w:t>
            </w:r>
          </w:p>
        </w:tc>
        <w:tc>
          <w:tcPr>
            <w:tcW w:w="1224" w:type="pct"/>
          </w:tcPr>
          <w:p w14:paraId="03E04FF2" w14:textId="0CF051C7"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t>4</w:t>
            </w:r>
          </w:p>
        </w:tc>
        <w:tc>
          <w:tcPr>
            <w:tcW w:w="246" w:type="pct"/>
          </w:tcPr>
          <w:p w14:paraId="4F67A465" w14:textId="4F75031B"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t>1.000</w:t>
            </w:r>
          </w:p>
        </w:tc>
        <w:tc>
          <w:tcPr>
            <w:tcW w:w="227" w:type="pct"/>
          </w:tcPr>
          <w:p w14:paraId="561A9A58" w14:textId="7523C08F"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rsidRPr="003D0E0D">
              <w:t>4</w:t>
            </w:r>
          </w:p>
        </w:tc>
        <w:tc>
          <w:tcPr>
            <w:tcW w:w="227" w:type="pct"/>
          </w:tcPr>
          <w:p w14:paraId="55A01223" w14:textId="318396DD"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rsidRPr="003D0E0D">
              <w:t>4</w:t>
            </w:r>
          </w:p>
        </w:tc>
        <w:tc>
          <w:tcPr>
            <w:tcW w:w="227" w:type="pct"/>
          </w:tcPr>
          <w:p w14:paraId="78E49F54" w14:textId="3BA3D251"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rsidRPr="003D0E0D">
              <w:t>4</w:t>
            </w:r>
          </w:p>
        </w:tc>
        <w:tc>
          <w:tcPr>
            <w:tcW w:w="227" w:type="pct"/>
          </w:tcPr>
          <w:p w14:paraId="75C158D1" w14:textId="1D03C623"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rsidRPr="003D0E0D">
              <w:t>4</w:t>
            </w:r>
          </w:p>
        </w:tc>
        <w:tc>
          <w:tcPr>
            <w:tcW w:w="109" w:type="pct"/>
          </w:tcPr>
          <w:p w14:paraId="15793B25" w14:textId="57011721" w:rsidR="00BC69D4" w:rsidRDefault="00BC69D4" w:rsidP="00BC69D4">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227" w:type="pct"/>
          </w:tcPr>
          <w:p w14:paraId="66DEBF99" w14:textId="2C31F5E1"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t>4</w:t>
            </w:r>
          </w:p>
        </w:tc>
        <w:tc>
          <w:tcPr>
            <w:tcW w:w="109" w:type="pct"/>
          </w:tcPr>
          <w:p w14:paraId="0A694387" w14:textId="3D48B3C1" w:rsidR="00BC69D4" w:rsidRDefault="00BC69D4" w:rsidP="00BC69D4">
            <w:pPr>
              <w:jc w:val="center"/>
              <w:cnfStyle w:val="000000100000" w:firstRow="0" w:lastRow="0" w:firstColumn="0" w:lastColumn="0" w:oddVBand="0" w:evenVBand="0" w:oddHBand="1" w:evenHBand="0" w:firstRowFirstColumn="0" w:firstRowLastColumn="0" w:lastRowFirstColumn="0" w:lastRowLastColumn="0"/>
            </w:pPr>
            <w:r w:rsidRPr="00780204">
              <w:t>…</w:t>
            </w:r>
          </w:p>
        </w:tc>
        <w:tc>
          <w:tcPr>
            <w:tcW w:w="807" w:type="pct"/>
          </w:tcPr>
          <w:p w14:paraId="03503796" w14:textId="77C9D5AD" w:rsidR="00BC69D4" w:rsidRDefault="00BC69D4" w:rsidP="00BC69D4">
            <w:pPr>
              <w:jc w:val="right"/>
              <w:cnfStyle w:val="000000100000" w:firstRow="0" w:lastRow="0" w:firstColumn="0" w:lastColumn="0" w:oddVBand="0" w:evenVBand="0" w:oddHBand="1" w:evenHBand="0" w:firstRowFirstColumn="0" w:firstRowLastColumn="0" w:lastRowFirstColumn="0" w:lastRowLastColumn="0"/>
            </w:pPr>
            <w:r>
              <w:t>110</w:t>
            </w:r>
          </w:p>
        </w:tc>
      </w:tr>
      <w:tr w:rsidR="00BC69D4" w14:paraId="706A996C"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9" w:type="pct"/>
            <w:gridSpan w:val="2"/>
            <w:shd w:val="clear" w:color="auto" w:fill="D9D9D9" w:themeFill="background1" w:themeFillShade="D9"/>
          </w:tcPr>
          <w:p w14:paraId="403B507D" w14:textId="373A3B94" w:rsidR="00BC69D4" w:rsidRPr="00210097" w:rsidRDefault="00BC69D4" w:rsidP="00BC69D4">
            <w:pPr>
              <w:rPr>
                <w:rFonts w:ascii="Franklin Gothic Medium" w:hAnsi="Franklin Gothic Medium"/>
              </w:rPr>
            </w:pPr>
            <w:r w:rsidRPr="00210097">
              <w:rPr>
                <w:rFonts w:ascii="Franklin Gothic Medium" w:hAnsi="Franklin Gothic Medium"/>
              </w:rPr>
              <w:t>2024 CPAS</w:t>
            </w:r>
          </w:p>
        </w:tc>
        <w:tc>
          <w:tcPr>
            <w:tcW w:w="1224" w:type="pct"/>
            <w:shd w:val="clear" w:color="auto" w:fill="D9D9D9" w:themeFill="background1" w:themeFillShade="D9"/>
          </w:tcPr>
          <w:p w14:paraId="3E8B90F2" w14:textId="07491FD7"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246" w:type="pct"/>
            <w:shd w:val="clear" w:color="auto" w:fill="D9D9D9" w:themeFill="background1" w:themeFillShade="D9"/>
          </w:tcPr>
          <w:p w14:paraId="0B445CF9" w14:textId="7B74B25B"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1.000</w:t>
            </w:r>
          </w:p>
        </w:tc>
        <w:tc>
          <w:tcPr>
            <w:tcW w:w="227" w:type="pct"/>
            <w:shd w:val="clear" w:color="auto" w:fill="D9D9D9" w:themeFill="background1" w:themeFillShade="D9"/>
          </w:tcPr>
          <w:p w14:paraId="58AF73C1" w14:textId="4CD76B76"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227" w:type="pct"/>
            <w:shd w:val="clear" w:color="auto" w:fill="D9D9D9" w:themeFill="background1" w:themeFillShade="D9"/>
          </w:tcPr>
          <w:p w14:paraId="5DF88EE6" w14:textId="334368E6"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227" w:type="pct"/>
            <w:shd w:val="clear" w:color="auto" w:fill="D9D9D9" w:themeFill="background1" w:themeFillShade="D9"/>
          </w:tcPr>
          <w:p w14:paraId="238EFAF4" w14:textId="1BB3D8A0"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227" w:type="pct"/>
            <w:shd w:val="clear" w:color="auto" w:fill="D9D9D9" w:themeFill="background1" w:themeFillShade="D9"/>
          </w:tcPr>
          <w:p w14:paraId="3F3E1D9C" w14:textId="1BA2AAA6"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109" w:type="pct"/>
            <w:shd w:val="clear" w:color="auto" w:fill="D9D9D9" w:themeFill="background1" w:themeFillShade="D9"/>
          </w:tcPr>
          <w:p w14:paraId="4D02C1A3" w14:textId="2E88CC8D" w:rsidR="00BC69D4" w:rsidRPr="00210097"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227" w:type="pct"/>
            <w:shd w:val="clear" w:color="auto" w:fill="D9D9D9" w:themeFill="background1" w:themeFillShade="D9"/>
          </w:tcPr>
          <w:p w14:paraId="7DCB6D7E" w14:textId="3A5AB8C4"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223</w:t>
            </w:r>
          </w:p>
        </w:tc>
        <w:tc>
          <w:tcPr>
            <w:tcW w:w="109" w:type="pct"/>
            <w:shd w:val="clear" w:color="auto" w:fill="D9D9D9" w:themeFill="background1" w:themeFillShade="D9"/>
          </w:tcPr>
          <w:p w14:paraId="00346E78" w14:textId="4FB172E5" w:rsidR="00BC69D4" w:rsidRPr="00210097"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807" w:type="pct"/>
            <w:shd w:val="clear" w:color="auto" w:fill="D9D9D9" w:themeFill="background1" w:themeFillShade="D9"/>
          </w:tcPr>
          <w:p w14:paraId="767E9016" w14:textId="59975357"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4,487</w:t>
            </w:r>
          </w:p>
        </w:tc>
      </w:tr>
      <w:tr w:rsidR="00BC69D4" w14:paraId="6E85CC4A"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pct"/>
            <w:gridSpan w:val="4"/>
            <w:shd w:val="clear" w:color="auto" w:fill="D9D9D9" w:themeFill="background1" w:themeFillShade="D9"/>
            <w:vAlign w:val="top"/>
          </w:tcPr>
          <w:p w14:paraId="0DB961B1" w14:textId="7A3C107A" w:rsidR="00BC69D4" w:rsidRPr="00210097" w:rsidRDefault="00BC69D4" w:rsidP="00BC69D4">
            <w:pPr>
              <w:rPr>
                <w:rFonts w:ascii="Franklin Gothic Medium" w:hAnsi="Franklin Gothic Medium"/>
              </w:rPr>
            </w:pPr>
            <w:r w:rsidRPr="00210097">
              <w:rPr>
                <w:rFonts w:ascii="Franklin Gothic Medium" w:hAnsi="Franklin Gothic Medium"/>
              </w:rPr>
              <w:t>Expiring 2024 CPAS</w:t>
            </w:r>
          </w:p>
        </w:tc>
        <w:tc>
          <w:tcPr>
            <w:tcW w:w="227" w:type="pct"/>
            <w:tcBorders>
              <w:left w:val="dotted" w:sz="4" w:space="0" w:color="auto"/>
            </w:tcBorders>
            <w:shd w:val="clear" w:color="auto" w:fill="D9D9D9" w:themeFill="background1" w:themeFillShade="D9"/>
          </w:tcPr>
          <w:p w14:paraId="1BE572CF" w14:textId="3A4E325E"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4C7228D2" w14:textId="456E3D71"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5294CDEA" w14:textId="04089C84"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31AC6ABE" w14:textId="341A219D"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109" w:type="pct"/>
            <w:shd w:val="clear" w:color="auto" w:fill="D9D9D9" w:themeFill="background1" w:themeFillShade="D9"/>
          </w:tcPr>
          <w:p w14:paraId="3E87C19B" w14:textId="5A51B1A5"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227" w:type="pct"/>
            <w:shd w:val="clear" w:color="auto" w:fill="D9D9D9" w:themeFill="background1" w:themeFillShade="D9"/>
          </w:tcPr>
          <w:p w14:paraId="791B3531" w14:textId="6E88C32F"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109" w:type="pct"/>
            <w:shd w:val="clear" w:color="auto" w:fill="D9D9D9" w:themeFill="background1" w:themeFillShade="D9"/>
          </w:tcPr>
          <w:p w14:paraId="23D4897F" w14:textId="28A197D1"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807" w:type="pct"/>
            <w:tcBorders>
              <w:bottom w:val="nil"/>
              <w:right w:val="nil"/>
            </w:tcBorders>
            <w:vAlign w:val="top"/>
          </w:tcPr>
          <w:p w14:paraId="2BAB87CF" w14:textId="4ACBC38D"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45C35AB0"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9" w:type="pct"/>
            <w:gridSpan w:val="4"/>
            <w:shd w:val="clear" w:color="auto" w:fill="D9D9D9" w:themeFill="background1" w:themeFillShade="D9"/>
            <w:vAlign w:val="top"/>
          </w:tcPr>
          <w:p w14:paraId="19EAD344" w14:textId="29821440" w:rsidR="00BC69D4" w:rsidRPr="00210097" w:rsidRDefault="00BC69D4" w:rsidP="00BC69D4">
            <w:pPr>
              <w:rPr>
                <w:rFonts w:ascii="Franklin Gothic Medium" w:hAnsi="Franklin Gothic Medium"/>
              </w:rPr>
            </w:pPr>
            <w:r w:rsidRPr="00210097">
              <w:rPr>
                <w:rFonts w:ascii="Franklin Gothic Medium" w:hAnsi="Franklin Gothic Medium"/>
              </w:rPr>
              <w:t>Expired 2024 CPAS</w:t>
            </w:r>
          </w:p>
        </w:tc>
        <w:tc>
          <w:tcPr>
            <w:tcW w:w="227" w:type="pct"/>
            <w:tcBorders>
              <w:left w:val="dotted" w:sz="4" w:space="0" w:color="auto"/>
            </w:tcBorders>
            <w:shd w:val="clear" w:color="auto" w:fill="D9D9D9" w:themeFill="background1" w:themeFillShade="D9"/>
          </w:tcPr>
          <w:p w14:paraId="60B7869B" w14:textId="64EF2513"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7BB3DD45" w14:textId="3137F556"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3E3C8EA9" w14:textId="6543F4AE"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227" w:type="pct"/>
            <w:shd w:val="clear" w:color="auto" w:fill="D9D9D9" w:themeFill="background1" w:themeFillShade="D9"/>
          </w:tcPr>
          <w:p w14:paraId="3439C722" w14:textId="7963AB71"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109" w:type="pct"/>
            <w:shd w:val="clear" w:color="auto" w:fill="D9D9D9" w:themeFill="background1" w:themeFillShade="D9"/>
          </w:tcPr>
          <w:p w14:paraId="27991FBF" w14:textId="55825E2C" w:rsidR="00BC69D4" w:rsidRPr="00210097"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227" w:type="pct"/>
            <w:shd w:val="clear" w:color="auto" w:fill="D9D9D9" w:themeFill="background1" w:themeFillShade="D9"/>
          </w:tcPr>
          <w:p w14:paraId="3863A54C" w14:textId="50DD197F" w:rsidR="00BC69D4" w:rsidRPr="00210097" w:rsidRDefault="00BC69D4" w:rsidP="00BC69D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w:t>
            </w:r>
          </w:p>
        </w:tc>
        <w:tc>
          <w:tcPr>
            <w:tcW w:w="109" w:type="pct"/>
            <w:shd w:val="clear" w:color="auto" w:fill="D9D9D9" w:themeFill="background1" w:themeFillShade="D9"/>
          </w:tcPr>
          <w:p w14:paraId="61C93650" w14:textId="13235083" w:rsidR="00BC69D4" w:rsidRPr="00210097"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w:t>
            </w:r>
          </w:p>
        </w:tc>
        <w:tc>
          <w:tcPr>
            <w:tcW w:w="807" w:type="pct"/>
            <w:tcBorders>
              <w:top w:val="nil"/>
              <w:bottom w:val="nil"/>
              <w:right w:val="nil"/>
            </w:tcBorders>
            <w:vAlign w:val="top"/>
          </w:tcPr>
          <w:p w14:paraId="7F3595DE" w14:textId="0619D3DD" w:rsidR="00BC69D4" w:rsidRPr="00210097" w:rsidRDefault="00BC69D4"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C69D4" w14:paraId="7BE0918F"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4" w:type="pct"/>
            <w:shd w:val="clear" w:color="auto" w:fill="D9D9D9" w:themeFill="background1" w:themeFillShade="D9"/>
            <w:vAlign w:val="top"/>
          </w:tcPr>
          <w:p w14:paraId="727AE149" w14:textId="65628B87" w:rsidR="00BC69D4" w:rsidRPr="00210097" w:rsidRDefault="00BC69D4" w:rsidP="00BC69D4">
            <w:pPr>
              <w:rPr>
                <w:rFonts w:ascii="Franklin Gothic Medium" w:hAnsi="Franklin Gothic Medium"/>
              </w:rPr>
            </w:pPr>
            <w:r w:rsidRPr="00210097">
              <w:rPr>
                <w:rFonts w:ascii="Franklin Gothic Medium" w:hAnsi="Franklin Gothic Medium"/>
              </w:rPr>
              <w:t>WAML</w:t>
            </w:r>
          </w:p>
        </w:tc>
        <w:tc>
          <w:tcPr>
            <w:tcW w:w="464" w:type="pct"/>
            <w:shd w:val="clear" w:color="auto" w:fill="D9D9D9" w:themeFill="background1" w:themeFillShade="D9"/>
          </w:tcPr>
          <w:p w14:paraId="6F219511" w14:textId="710EE0EA"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20.1</w:t>
            </w:r>
          </w:p>
        </w:tc>
        <w:tc>
          <w:tcPr>
            <w:tcW w:w="1224" w:type="pct"/>
            <w:tcBorders>
              <w:top w:val="nil"/>
              <w:bottom w:val="nil"/>
              <w:right w:val="nil"/>
            </w:tcBorders>
            <w:shd w:val="clear" w:color="auto" w:fill="FFFFFF" w:themeFill="background1"/>
            <w:vAlign w:val="top"/>
          </w:tcPr>
          <w:p w14:paraId="7660AE93" w14:textId="77777777"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46" w:type="pct"/>
            <w:tcBorders>
              <w:top w:val="nil"/>
              <w:left w:val="nil"/>
              <w:bottom w:val="nil"/>
              <w:right w:val="nil"/>
            </w:tcBorders>
            <w:shd w:val="clear" w:color="auto" w:fill="FFFFFF" w:themeFill="background1"/>
            <w:vAlign w:val="top"/>
          </w:tcPr>
          <w:p w14:paraId="761631EA" w14:textId="77777777"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 w:type="pct"/>
            <w:tcBorders>
              <w:top w:val="nil"/>
              <w:left w:val="nil"/>
              <w:bottom w:val="nil"/>
              <w:right w:val="nil"/>
            </w:tcBorders>
            <w:shd w:val="clear" w:color="auto" w:fill="FFFFFF" w:themeFill="background1"/>
          </w:tcPr>
          <w:p w14:paraId="4C85C93B"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 w:type="pct"/>
            <w:tcBorders>
              <w:top w:val="nil"/>
              <w:left w:val="nil"/>
              <w:bottom w:val="nil"/>
              <w:right w:val="nil"/>
            </w:tcBorders>
            <w:shd w:val="clear" w:color="auto" w:fill="FFFFFF" w:themeFill="background1"/>
          </w:tcPr>
          <w:p w14:paraId="4385B393"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 w:type="pct"/>
            <w:tcBorders>
              <w:top w:val="nil"/>
              <w:left w:val="nil"/>
              <w:bottom w:val="nil"/>
              <w:right w:val="nil"/>
            </w:tcBorders>
            <w:shd w:val="clear" w:color="auto" w:fill="FFFFFF" w:themeFill="background1"/>
          </w:tcPr>
          <w:p w14:paraId="7B46F1C1"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 w:type="pct"/>
            <w:tcBorders>
              <w:top w:val="nil"/>
              <w:left w:val="nil"/>
              <w:bottom w:val="nil"/>
              <w:right w:val="nil"/>
            </w:tcBorders>
            <w:shd w:val="clear" w:color="auto" w:fill="FFFFFF" w:themeFill="background1"/>
          </w:tcPr>
          <w:p w14:paraId="6BB573C5"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9" w:type="pct"/>
            <w:tcBorders>
              <w:top w:val="nil"/>
              <w:left w:val="nil"/>
              <w:bottom w:val="nil"/>
              <w:right w:val="nil"/>
            </w:tcBorders>
            <w:shd w:val="clear" w:color="auto" w:fill="FFFFFF" w:themeFill="background1"/>
          </w:tcPr>
          <w:p w14:paraId="2B2733BF"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 w:type="pct"/>
            <w:tcBorders>
              <w:top w:val="nil"/>
              <w:left w:val="nil"/>
              <w:bottom w:val="nil"/>
              <w:right w:val="nil"/>
            </w:tcBorders>
            <w:shd w:val="clear" w:color="auto" w:fill="FFFFFF" w:themeFill="background1"/>
          </w:tcPr>
          <w:p w14:paraId="19F8DE83"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9" w:type="pct"/>
            <w:tcBorders>
              <w:top w:val="nil"/>
              <w:left w:val="nil"/>
              <w:bottom w:val="nil"/>
              <w:right w:val="nil"/>
            </w:tcBorders>
            <w:shd w:val="clear" w:color="auto" w:fill="FFFFFF" w:themeFill="background1"/>
          </w:tcPr>
          <w:p w14:paraId="7B7CFCEF" w14:textId="77777777" w:rsidR="00BC69D4" w:rsidRPr="00210097" w:rsidRDefault="00BC69D4" w:rsidP="00BC69D4">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07" w:type="pct"/>
            <w:tcBorders>
              <w:top w:val="nil"/>
              <w:left w:val="nil"/>
              <w:bottom w:val="nil"/>
              <w:right w:val="nil"/>
            </w:tcBorders>
            <w:shd w:val="clear" w:color="auto" w:fill="FFFFFF" w:themeFill="background1"/>
            <w:vAlign w:val="top"/>
          </w:tcPr>
          <w:p w14:paraId="0500699E" w14:textId="77777777" w:rsidR="00BC69D4" w:rsidRPr="00210097" w:rsidRDefault="00BC69D4"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389C93B" w14:textId="1D4C22FC" w:rsidR="00307C26" w:rsidRDefault="00307C26" w:rsidP="00307C26">
      <w:r>
        <w:br w:type="page"/>
      </w:r>
    </w:p>
    <w:p w14:paraId="34DE1109" w14:textId="46405685" w:rsidR="00692748" w:rsidRDefault="00692748" w:rsidP="00307C26">
      <w:pPr>
        <w:sectPr w:rsidR="00692748" w:rsidSect="00307C26">
          <w:pgSz w:w="15840" w:h="12240" w:orient="landscape" w:code="1"/>
          <w:pgMar w:top="562" w:right="562" w:bottom="562" w:left="562" w:header="562" w:footer="346" w:gutter="0"/>
          <w:cols w:space="708"/>
          <w:docGrid w:linePitch="360"/>
        </w:sectPr>
      </w:pPr>
    </w:p>
    <w:p w14:paraId="38BB7492" w14:textId="7DC1FC67" w:rsidR="00B47754" w:rsidRDefault="00B47754" w:rsidP="00526C94">
      <w:pPr>
        <w:pStyle w:val="Heading3"/>
        <w:tabs>
          <w:tab w:val="clear" w:pos="2160"/>
          <w:tab w:val="num" w:pos="1080"/>
        </w:tabs>
        <w:ind w:left="0"/>
      </w:pPr>
      <w:bookmarkStart w:id="292" w:name="_Toc191992447"/>
      <w:r>
        <w:lastRenderedPageBreak/>
        <w:t>Conclusions and Recommendations</w:t>
      </w:r>
      <w:bookmarkEnd w:id="292"/>
    </w:p>
    <w:p w14:paraId="4FBE0587" w14:textId="3890C8F6" w:rsidR="00692748" w:rsidRPr="00692748" w:rsidRDefault="00692748" w:rsidP="00692748">
      <w:r>
        <w:t>Based</w:t>
      </w:r>
      <w:r w:rsidR="007D24B7">
        <w:t xml:space="preserve"> on the results of this evaluation, the evaluation team offers the following key findings and recommendations for the Small Business Initiative moving forward:</w:t>
      </w:r>
    </w:p>
    <w:p w14:paraId="231A6DDC" w14:textId="2D3AF1A4" w:rsidR="00B47754" w:rsidRDefault="00B47754" w:rsidP="00B47754">
      <w:pPr>
        <w:pStyle w:val="Heading4"/>
      </w:pPr>
      <w:r>
        <w:t>Small Business Direct Install Channel</w:t>
      </w:r>
    </w:p>
    <w:p w14:paraId="42FC4847" w14:textId="3B4DBF5B" w:rsidR="00F445D6" w:rsidRPr="00F445D6" w:rsidRDefault="00F445D6" w:rsidP="00F445D6">
      <w:pPr>
        <w:pStyle w:val="ListBullet"/>
        <w:rPr>
          <w:b/>
          <w:bCs/>
        </w:rPr>
      </w:pPr>
      <w:r w:rsidRPr="00F445D6">
        <w:rPr>
          <w:b/>
          <w:bCs/>
        </w:rPr>
        <w:t>Finding #</w:t>
      </w:r>
      <w:r w:rsidR="00693C6B">
        <w:rPr>
          <w:b/>
          <w:bCs/>
        </w:rPr>
        <w:t>1</w:t>
      </w:r>
      <w:r w:rsidRPr="00F445D6">
        <w:rPr>
          <w:b/>
          <w:bCs/>
        </w:rPr>
        <w:t xml:space="preserve">: </w:t>
      </w:r>
      <w:r w:rsidRPr="00F445D6">
        <w:t xml:space="preserve">The reference table in </w:t>
      </w:r>
      <w:r w:rsidR="002855BC" w:rsidRPr="00F445D6">
        <w:t xml:space="preserve">Section </w:t>
      </w:r>
      <w:r w:rsidRPr="00F445D6">
        <w:t>4.5 of the IL-TRM V12.0 deems specific parameter values for lighting measures installed in uncooled spaces, independent of the building type. Additionally, for garage space types, the IL</w:t>
      </w:r>
      <w:r w:rsidR="005601F2">
        <w:t>-</w:t>
      </w:r>
      <w:r w:rsidRPr="00F445D6">
        <w:t>TRM Glossary (Volume 1, Section 3.6) defines garages as “unconditioned spaces.” In some cases, the implementation team is inconsistent when applying parameter values, such as waste heat factor and coincidence factors, for lighting projects designated as occurring in garages or uncooled spaces.</w:t>
      </w:r>
    </w:p>
    <w:p w14:paraId="636D9D9D" w14:textId="7770D77F" w:rsidR="00F445D6" w:rsidRPr="00F445D6" w:rsidRDefault="00F445D6" w:rsidP="00F445D6">
      <w:pPr>
        <w:pStyle w:val="ListBullet2"/>
      </w:pPr>
      <w:r w:rsidRPr="00F445D6">
        <w:rPr>
          <w:b/>
          <w:bCs/>
        </w:rPr>
        <w:t>Recommendation:</w:t>
      </w:r>
      <w:r w:rsidRPr="00F445D6">
        <w:t xml:space="preserve"> We recommend using the IL-TRM V12.0 to confirm the correct building conditions and lighting locations are being applied for each unique measure. The evaluation team recommends first applying parameters for exterior space types to any record labeled as exterior lighting. Second, we recommend applying the parameters for the garage space type for all records where the tracking data lists the facility as a garage</w:t>
      </w:r>
      <w:r w:rsidR="005601F2">
        <w:t xml:space="preserve">, </w:t>
      </w:r>
      <w:r w:rsidRPr="00F445D6">
        <w:t>including cases where the tracking data also specified the space as uncooled. Third, we recommend applying the parameters for an uncooled building when a building is listed as uncooled in the tracking data and not also labeled as installed in an exterior space or garage. Lastly, for measures installed in cooled interior spaces, we recommend applying the parameters for the building type listed in the tracking data.</w:t>
      </w:r>
    </w:p>
    <w:p w14:paraId="7F44775C" w14:textId="4574F42B" w:rsidR="00F445D6" w:rsidRPr="00F445D6" w:rsidRDefault="00F445D6" w:rsidP="00F445D6">
      <w:pPr>
        <w:pStyle w:val="ListBullet"/>
      </w:pPr>
      <w:r w:rsidRPr="00F445D6">
        <w:rPr>
          <w:b/>
          <w:bCs/>
        </w:rPr>
        <w:t>Finding #</w:t>
      </w:r>
      <w:r w:rsidR="00693C6B">
        <w:rPr>
          <w:b/>
          <w:bCs/>
        </w:rPr>
        <w:t>2</w:t>
      </w:r>
      <w:r w:rsidRPr="00F445D6">
        <w:rPr>
          <w:b/>
          <w:bCs/>
        </w:rPr>
        <w:t>:</w:t>
      </w:r>
      <w:r w:rsidRPr="00F445D6">
        <w:t xml:space="preserve"> The reference table in Section 4.5 of the IL-TRM V12.0 specifies building sub-types for two building types frequently applied by the implementation team: “Office – High Rise” and “Multi-Family Common Areas.” Within the “Office – High Rise” building type, the IL-TRM includes several subtypes, such as “CAV no Econ,” “CAV Econ,” </w:t>
      </w:r>
      <w:r w:rsidR="002855BC">
        <w:t>“</w:t>
      </w:r>
      <w:r w:rsidRPr="00F445D6">
        <w:t>VAV Econ,” and “FCU.” Within the “Multi-Family Common Areas” building type, the IL-TRM includes several subtypes, such as “MF - High Rise - Common” and “MF - Mid Rise - Common.” The evaluation team was able to derive which subtypes the implementation team applied in the ex ante calculations, but being more explicit with the building type information provided in the tracking data will eliminate potential evaluation risk in future years.</w:t>
      </w:r>
    </w:p>
    <w:p w14:paraId="00A3F0C6" w14:textId="0A734C78" w:rsidR="00F445D6" w:rsidRPr="00F445D6" w:rsidRDefault="00F445D6" w:rsidP="00F445D6">
      <w:pPr>
        <w:pStyle w:val="ListBullet2"/>
      </w:pPr>
      <w:r w:rsidRPr="00F445D6">
        <w:rPr>
          <w:b/>
          <w:bCs/>
        </w:rPr>
        <w:t xml:space="preserve">Recommendation: </w:t>
      </w:r>
      <w:r w:rsidRPr="00F445D6">
        <w:t>To ensure that the proper building-specific assumptions are being applied in all lighting calculations, we recommend that the implementation team match the verbiage used in the tracking data with the building types and subtypes listed in the reference table in Section 4.5 of the IL</w:t>
      </w:r>
      <w:r w:rsidR="005601F2">
        <w:t>-</w:t>
      </w:r>
      <w:r w:rsidRPr="00F445D6">
        <w:t>TRM V12.0.</w:t>
      </w:r>
    </w:p>
    <w:p w14:paraId="590CAF97" w14:textId="3EF1018F" w:rsidR="00B47754" w:rsidRDefault="00B47754" w:rsidP="00B47754">
      <w:pPr>
        <w:pStyle w:val="Heading4"/>
      </w:pPr>
      <w:r>
        <w:t>Small Business Energy Performance Channel</w:t>
      </w:r>
    </w:p>
    <w:p w14:paraId="379C9288" w14:textId="76578162" w:rsidR="00FD7123" w:rsidRDefault="00FD7123" w:rsidP="00FD7123">
      <w:pPr>
        <w:pStyle w:val="ListBullet"/>
      </w:pPr>
      <w:r w:rsidRPr="004B3AC3">
        <w:rPr>
          <w:b/>
          <w:bCs/>
        </w:rPr>
        <w:t>Finding #</w:t>
      </w:r>
      <w:r w:rsidR="00693C6B">
        <w:rPr>
          <w:b/>
          <w:bCs/>
        </w:rPr>
        <w:t>1</w:t>
      </w:r>
      <w:r w:rsidRPr="004B3AC3">
        <w:rPr>
          <w:b/>
          <w:bCs/>
        </w:rPr>
        <w:t>:</w:t>
      </w:r>
      <w:r>
        <w:t xml:space="preserve"> C&amp;I </w:t>
      </w:r>
      <w:r w:rsidR="00CF3100">
        <w:t>a</w:t>
      </w:r>
      <w:r>
        <w:t xml:space="preserve">ir </w:t>
      </w:r>
      <w:r w:rsidR="00CF3100">
        <w:t>s</w:t>
      </w:r>
      <w:r>
        <w:t xml:space="preserve">ealing accounted for 99% of the ex ante energy savings, 99% of demand savings, and 87% of gas savings claimed through the SBEP channel. However, the realization rate for electric energy savings was 67% due to an error in the ex ante calculations for the electric heating savings term. The ex ante calculations included a conversion factor of 1,000 (to convert from watts to kilowatts) in the denominator of the electric heating savings term </w:t>
      </w:r>
      <w:r w:rsidR="002855BC">
        <w:t>instead of</w:t>
      </w:r>
      <w:r>
        <w:t xml:space="preserve"> 3,412 (to convert from BTUs to kilowatt-hours). This resulted in significant overestimates of electric energy savings for this measure in electrically heated buildings. In addition, for some records, the Initiative tracking data included limited information on the parameters applied in ex ante savings calculations. For example, the change in infiltration flow rate for each measure installed, the efficiency of electric and/or fossil fuel heating systems, the efficiency of cooling systems, the percentage of facility square footage </w:t>
      </w:r>
      <w:r w:rsidR="00823EBC">
        <w:t xml:space="preserve">that </w:t>
      </w:r>
      <w:r>
        <w:t>was heated, and the percentage of facility square footage which was cooled were not included in the tracking data.</w:t>
      </w:r>
    </w:p>
    <w:p w14:paraId="0CAE4313" w14:textId="7979547D" w:rsidR="00FD7123" w:rsidRDefault="00FD7123" w:rsidP="00FD7123">
      <w:pPr>
        <w:pStyle w:val="ListBullet2"/>
      </w:pPr>
      <w:r w:rsidRPr="00D36956">
        <w:rPr>
          <w:b/>
          <w:bCs/>
        </w:rPr>
        <w:t>Recommendation:</w:t>
      </w:r>
      <w:r>
        <w:t xml:space="preserve"> We recommend that the implementation team reviews the algorithms and assumptions programmed in </w:t>
      </w:r>
      <w:r w:rsidR="00E16AD5">
        <w:t xml:space="preserve">ALEET </w:t>
      </w:r>
      <w:r>
        <w:t xml:space="preserve">for C&amp;I </w:t>
      </w:r>
      <w:r w:rsidR="00CF3100">
        <w:t>a</w:t>
      </w:r>
      <w:r>
        <w:t xml:space="preserve">ir </w:t>
      </w:r>
      <w:r w:rsidR="00CF3100">
        <w:t>s</w:t>
      </w:r>
      <w:r>
        <w:t xml:space="preserve">ealing to ensure that the appropriate conversion factor is applied in the electric heating savings term </w:t>
      </w:r>
      <w:r w:rsidR="00823EBC">
        <w:t>in the future</w:t>
      </w:r>
      <w:r>
        <w:t xml:space="preserve">. We also recommend including additional details on the parameters </w:t>
      </w:r>
      <w:r>
        <w:lastRenderedPageBreak/>
        <w:t>applied in the ex ante savings via either the Initiative tracking data or continued access to the equipment catalog</w:t>
      </w:r>
      <w:r w:rsidR="00CF3100">
        <w:t xml:space="preserve"> extract for the channel</w:t>
      </w:r>
      <w:r>
        <w:t>.</w:t>
      </w:r>
    </w:p>
    <w:p w14:paraId="144FF750" w14:textId="2F187B27" w:rsidR="00FD7123" w:rsidRDefault="00FD7123" w:rsidP="00FD7123">
      <w:pPr>
        <w:pStyle w:val="ListBullet"/>
      </w:pPr>
      <w:r w:rsidRPr="00514527">
        <w:rPr>
          <w:b/>
          <w:bCs/>
        </w:rPr>
        <w:t>Finding #</w:t>
      </w:r>
      <w:r w:rsidR="00693C6B">
        <w:rPr>
          <w:b/>
          <w:bCs/>
        </w:rPr>
        <w:t>2</w:t>
      </w:r>
      <w:r w:rsidRPr="00514527">
        <w:rPr>
          <w:b/>
          <w:bCs/>
        </w:rPr>
        <w:t>:</w:t>
      </w:r>
      <w:r>
        <w:t xml:space="preserve"> The implementation team mistakenly divided by the coincidence factor in their demand savings calculations </w:t>
      </w:r>
      <w:r w:rsidR="00CF3100">
        <w:t>for</w:t>
      </w:r>
      <w:r>
        <w:t xml:space="preserve"> many of the C&amp;I air sealing and </w:t>
      </w:r>
      <w:r w:rsidR="00CF3100">
        <w:t>w</w:t>
      </w:r>
      <w:r>
        <w:t xml:space="preserve">all </w:t>
      </w:r>
      <w:r w:rsidR="00CF3100">
        <w:t>i</w:t>
      </w:r>
      <w:r>
        <w:t>nsulation measures</w:t>
      </w:r>
      <w:r w:rsidR="00823EBC">
        <w:t>,</w:t>
      </w:r>
      <w:r>
        <w:t xml:space="preserve"> which resulted in </w:t>
      </w:r>
      <w:r w:rsidR="00823EBC">
        <w:t xml:space="preserve">an </w:t>
      </w:r>
      <w:r>
        <w:t xml:space="preserve">overestimation of the ex ante demand savings for these measures. </w:t>
      </w:r>
    </w:p>
    <w:p w14:paraId="5ACF6F82" w14:textId="05B49589" w:rsidR="00FD7123" w:rsidRDefault="00FD7123" w:rsidP="00FD7123">
      <w:pPr>
        <w:pStyle w:val="ListBullet2"/>
      </w:pPr>
      <w:r w:rsidRPr="00D36956">
        <w:rPr>
          <w:b/>
          <w:bCs/>
        </w:rPr>
        <w:t>Recommendation:</w:t>
      </w:r>
      <w:r>
        <w:t xml:space="preserve"> We recommend that the implementation team review the algorithms programmed in </w:t>
      </w:r>
      <w:r w:rsidR="00E16AD5">
        <w:t xml:space="preserve">ALEET </w:t>
      </w:r>
      <w:r>
        <w:t>for these measures to ensure the coincidence factor field is applied appropriately.</w:t>
      </w:r>
    </w:p>
    <w:p w14:paraId="62F5B7F3" w14:textId="679A0830" w:rsidR="00FD7123" w:rsidRDefault="00FD7123" w:rsidP="00FD7123">
      <w:pPr>
        <w:pStyle w:val="ListBullet"/>
      </w:pPr>
      <w:r w:rsidRPr="00514527">
        <w:rPr>
          <w:b/>
          <w:bCs/>
        </w:rPr>
        <w:t>Finding #</w:t>
      </w:r>
      <w:r w:rsidR="00693C6B">
        <w:rPr>
          <w:b/>
          <w:bCs/>
        </w:rPr>
        <w:t>3</w:t>
      </w:r>
      <w:r w:rsidRPr="00514527">
        <w:rPr>
          <w:b/>
          <w:bCs/>
        </w:rPr>
        <w:t>:</w:t>
      </w:r>
      <w:r>
        <w:t xml:space="preserve"> The implementation team mistakenly multiplied </w:t>
      </w:r>
      <w:r w:rsidR="004602B6">
        <w:t xml:space="preserve">by </w:t>
      </w:r>
      <w:r w:rsidR="00823EBC">
        <w:t xml:space="preserve">the </w:t>
      </w:r>
      <w:r w:rsidR="004602B6">
        <w:t>quantity</w:t>
      </w:r>
      <w:r w:rsidR="00823EBC">
        <w:t xml:space="preserve"> of installed units twice in their ex ante gas savings calculations for covers and gap sealers: once in the calculation of the flow rate of infiltration and again in the final calculation of the total gas savings. This error led to significant overestimates of the gas savings and a</w:t>
      </w:r>
      <w:r>
        <w:t xml:space="preserve"> 36% realization rate for this measure.</w:t>
      </w:r>
    </w:p>
    <w:p w14:paraId="079ECA6F" w14:textId="6A6EFC3F" w:rsidR="00FD7123" w:rsidRPr="00637A7B" w:rsidRDefault="00FD7123" w:rsidP="00FD7123">
      <w:pPr>
        <w:pStyle w:val="ListBullet2"/>
      </w:pPr>
      <w:r w:rsidRPr="00D36956">
        <w:rPr>
          <w:b/>
          <w:bCs/>
        </w:rPr>
        <w:t>Recommendation:</w:t>
      </w:r>
      <w:r>
        <w:t xml:space="preserve"> We recommend that the implementation team review the algorithms programmed in </w:t>
      </w:r>
      <w:r w:rsidR="00E16AD5">
        <w:t xml:space="preserve">ALEET </w:t>
      </w:r>
      <w:r>
        <w:t>for this measure to ensure the quantity field is applied appropriately.</w:t>
      </w:r>
    </w:p>
    <w:p w14:paraId="33E71D28" w14:textId="30E58511" w:rsidR="00B47754" w:rsidRDefault="00B47754" w:rsidP="00B47754">
      <w:pPr>
        <w:pStyle w:val="Heading2"/>
      </w:pPr>
      <w:bookmarkStart w:id="293" w:name="_Toc191992448"/>
      <w:bookmarkStart w:id="294" w:name="_Toc192766910"/>
      <w:r>
        <w:t>Midstream Initiative</w:t>
      </w:r>
      <w:bookmarkEnd w:id="293"/>
      <w:bookmarkEnd w:id="294"/>
    </w:p>
    <w:p w14:paraId="6AF7DAFF" w14:textId="16DF47B0" w:rsidR="00B47754" w:rsidRDefault="00B47754" w:rsidP="00526C94">
      <w:pPr>
        <w:pStyle w:val="Heading3"/>
        <w:tabs>
          <w:tab w:val="clear" w:pos="2160"/>
          <w:tab w:val="num" w:pos="1080"/>
        </w:tabs>
        <w:ind w:left="0"/>
      </w:pPr>
      <w:bookmarkStart w:id="295" w:name="_Toc191992449"/>
      <w:r>
        <w:t>Initiative Description</w:t>
      </w:r>
      <w:bookmarkEnd w:id="295"/>
    </w:p>
    <w:p w14:paraId="50CEC059" w14:textId="4FF74E07" w:rsidR="00600CFF" w:rsidRDefault="00600CFF" w:rsidP="00600CFF">
      <w:r>
        <w:t xml:space="preserve">The Midstream Initiative </w:t>
      </w:r>
      <w:r w:rsidR="002C3C5A">
        <w:t>incentivizes</w:t>
      </w:r>
      <w:r>
        <w:t xml:space="preserve"> distributors and wholesalers to reduce prices </w:t>
      </w:r>
      <w:r w:rsidR="002C3C5A">
        <w:t>for efficient equipment at the point of sale</w:t>
      </w:r>
      <w:r>
        <w:t>. The Initiative includes three channels: Midstream Lighting, Midstream HVAC, and Midstream Food Service. The goal is to increase the adoption of high efficiency equipment without requiring the end</w:t>
      </w:r>
      <w:r w:rsidR="002C3C5A">
        <w:t xml:space="preserve"> </w:t>
      </w:r>
      <w:r>
        <w:t xml:space="preserve">customer to submit an incentive application. Public sector and nonprofit customers can receive an additional incentive to cover the cost of installation services if they hire a qualified </w:t>
      </w:r>
      <w:r w:rsidR="003F3F47">
        <w:t>Program Ally</w:t>
      </w:r>
      <w:r>
        <w:t xml:space="preserve"> to install equipment purchased through the HVAC and Lighting channels. </w:t>
      </w:r>
    </w:p>
    <w:p w14:paraId="467C6EC6" w14:textId="529D8B3B" w:rsidR="00600CFF" w:rsidRPr="00600CFF" w:rsidRDefault="00600CFF" w:rsidP="00600CFF">
      <w:r>
        <w:t xml:space="preserve">Overall, the implementation team set a goal of achieving </w:t>
      </w:r>
      <w:r w:rsidR="00EB7FB2">
        <w:t>25,</w:t>
      </w:r>
      <w:r w:rsidR="003B561E">
        <w:t>258</w:t>
      </w:r>
      <w:r>
        <w:t xml:space="preserve"> MWh and </w:t>
      </w:r>
      <w:r w:rsidR="003B561E">
        <w:t>99</w:t>
      </w:r>
      <w:r w:rsidR="00EB7FB2">
        <w:t>,</w:t>
      </w:r>
      <w:r w:rsidR="003B561E">
        <w:t>868</w:t>
      </w:r>
      <w:r>
        <w:t xml:space="preserve"> therms of savings through the Midstream Initiative in 2024. </w:t>
      </w:r>
    </w:p>
    <w:p w14:paraId="0AD77A50" w14:textId="192747B2" w:rsidR="00B47754" w:rsidRDefault="00B47754" w:rsidP="00526C94">
      <w:pPr>
        <w:pStyle w:val="Heading3"/>
        <w:tabs>
          <w:tab w:val="clear" w:pos="2160"/>
          <w:tab w:val="num" w:pos="1080"/>
        </w:tabs>
        <w:ind w:left="0"/>
      </w:pPr>
      <w:bookmarkStart w:id="296" w:name="_Toc191992450"/>
      <w:r>
        <w:t>Initiative Annual Savings Summary</w:t>
      </w:r>
      <w:bookmarkEnd w:id="296"/>
    </w:p>
    <w:p w14:paraId="16E6C84B" w14:textId="38AEDA17" w:rsidR="000262F6" w:rsidRPr="000262F6" w:rsidRDefault="000262F6" w:rsidP="000262F6">
      <w:r>
        <w:fldChar w:fldCharType="begin"/>
      </w:r>
      <w:r>
        <w:instrText xml:space="preserve"> REF _Ref187326511 \h </w:instrText>
      </w:r>
      <w:r>
        <w:fldChar w:fldCharType="separate"/>
      </w:r>
      <w:r w:rsidR="00AA10F4">
        <w:t xml:space="preserve">Table </w:t>
      </w:r>
      <w:r w:rsidR="00AA10F4">
        <w:rPr>
          <w:noProof/>
        </w:rPr>
        <w:t>66</w:t>
      </w:r>
      <w:r>
        <w:fldChar w:fldCharType="end"/>
      </w:r>
      <w:r>
        <w:t xml:space="preserve"> presents the Midstream Initiative annual savings achieved in 2024. The 2024 Midstream Initiative achieved </w:t>
      </w:r>
      <w:r w:rsidR="00E93A13">
        <w:t>29,653</w:t>
      </w:r>
      <w:r>
        <w:t xml:space="preserve"> MWh, </w:t>
      </w:r>
      <w:r w:rsidR="00E93A13">
        <w:t>6.3</w:t>
      </w:r>
      <w:r w:rsidR="00A251B2">
        <w:t>5</w:t>
      </w:r>
      <w:r>
        <w:t xml:space="preserve"> MW, and </w:t>
      </w:r>
      <w:r w:rsidR="00E93A13">
        <w:t xml:space="preserve">60,326 </w:t>
      </w:r>
      <w:r>
        <w:t>therms in verified net savings.</w:t>
      </w:r>
    </w:p>
    <w:p w14:paraId="4E300EC2" w14:textId="53A7EB02" w:rsidR="000262F6" w:rsidRDefault="000262F6" w:rsidP="00881B1B">
      <w:pPr>
        <w:pStyle w:val="Caption"/>
      </w:pPr>
      <w:bookmarkStart w:id="297" w:name="_Ref187326511"/>
      <w:bookmarkStart w:id="298" w:name="_Toc191992587"/>
      <w:bookmarkStart w:id="299" w:name="_Toc192767000"/>
      <w:r>
        <w:t xml:space="preserve">Table </w:t>
      </w:r>
      <w:r w:rsidR="009B4C9A">
        <w:fldChar w:fldCharType="begin"/>
      </w:r>
      <w:r w:rsidR="009B4C9A">
        <w:instrText xml:space="preserve"> SEQ Table \* ARABIC </w:instrText>
      </w:r>
      <w:r w:rsidR="009B4C9A">
        <w:fldChar w:fldCharType="separate"/>
      </w:r>
      <w:r w:rsidR="00AA10F4">
        <w:rPr>
          <w:noProof/>
        </w:rPr>
        <w:t>66</w:t>
      </w:r>
      <w:r w:rsidR="009B4C9A">
        <w:rPr>
          <w:noProof/>
        </w:rPr>
        <w:fldChar w:fldCharType="end"/>
      </w:r>
      <w:bookmarkEnd w:id="297"/>
      <w:r>
        <w:t>. 2024 Midstream Initiative Annual Savings</w:t>
      </w:r>
      <w:bookmarkEnd w:id="298"/>
      <w:bookmarkEnd w:id="299"/>
    </w:p>
    <w:tbl>
      <w:tblPr>
        <w:tblStyle w:val="ODCBasic-1"/>
        <w:tblW w:w="0" w:type="auto"/>
        <w:tblCellMar>
          <w:top w:w="0" w:type="dxa"/>
          <w:bottom w:w="14" w:type="dxa"/>
        </w:tblCellMar>
        <w:tblLook w:val="04A0" w:firstRow="1" w:lastRow="0" w:firstColumn="1" w:lastColumn="0" w:noHBand="0" w:noVBand="1"/>
      </w:tblPr>
      <w:tblGrid>
        <w:gridCol w:w="2058"/>
        <w:gridCol w:w="2726"/>
        <w:gridCol w:w="2773"/>
        <w:gridCol w:w="1993"/>
      </w:tblGrid>
      <w:tr w:rsidR="00BC69D4" w14:paraId="0E6836C3" w14:textId="77777777" w:rsidTr="0070599E">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5A1703D6" w14:textId="77777777" w:rsidR="00BC69D4" w:rsidRPr="00625570" w:rsidRDefault="00BC69D4" w:rsidP="0070599E">
            <w:pPr>
              <w:pStyle w:val="TableHeadingLeft"/>
            </w:pPr>
          </w:p>
        </w:tc>
        <w:tc>
          <w:tcPr>
            <w:tcW w:w="0" w:type="auto"/>
            <w:tcBorders>
              <w:left w:val="single" w:sz="4" w:space="0" w:color="4A4D56" w:themeColor="text1"/>
              <w:bottom w:val="single" w:sz="4" w:space="0" w:color="4A4D56" w:themeColor="text1"/>
              <w:right w:val="single" w:sz="4" w:space="0" w:color="4A4D56" w:themeColor="text1"/>
            </w:tcBorders>
          </w:tcPr>
          <w:p w14:paraId="3FFB07E0"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Energy Savings (MWh)</w:t>
            </w:r>
          </w:p>
        </w:tc>
        <w:tc>
          <w:tcPr>
            <w:tcW w:w="0" w:type="auto"/>
            <w:tcBorders>
              <w:left w:val="single" w:sz="4" w:space="0" w:color="4A4D56" w:themeColor="text1"/>
              <w:bottom w:val="single" w:sz="4" w:space="0" w:color="4A4D56" w:themeColor="text1"/>
              <w:right w:val="single" w:sz="4" w:space="0" w:color="4A4D56" w:themeColor="text1"/>
            </w:tcBorders>
          </w:tcPr>
          <w:p w14:paraId="1C69EE33"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Electric Demand Savings (MW)</w:t>
            </w:r>
          </w:p>
        </w:tc>
        <w:tc>
          <w:tcPr>
            <w:tcW w:w="0" w:type="auto"/>
            <w:tcBorders>
              <w:left w:val="single" w:sz="4" w:space="0" w:color="4A4D56" w:themeColor="text1"/>
              <w:bottom w:val="single" w:sz="4" w:space="0" w:color="4A4D56" w:themeColor="text1"/>
              <w:right w:val="single" w:sz="4" w:space="0" w:color="4A4D56" w:themeColor="text1"/>
            </w:tcBorders>
          </w:tcPr>
          <w:p w14:paraId="26E3DB7E" w14:textId="77777777" w:rsidR="00BC69D4" w:rsidRPr="00625570" w:rsidRDefault="00BC69D4" w:rsidP="0070599E">
            <w:pPr>
              <w:pStyle w:val="TableHeadingCentered"/>
              <w:cnfStyle w:val="100000000000" w:firstRow="1" w:lastRow="0" w:firstColumn="0" w:lastColumn="0" w:oddVBand="0" w:evenVBand="0" w:oddHBand="0" w:evenHBand="0" w:firstRowFirstColumn="0" w:firstRowLastColumn="0" w:lastRowFirstColumn="0" w:lastRowLastColumn="0"/>
            </w:pPr>
            <w:r w:rsidRPr="00AA0CA7">
              <w:t>Gas Savings (Therms)</w:t>
            </w:r>
          </w:p>
        </w:tc>
      </w:tr>
      <w:tr w:rsidR="00BC69D4" w14:paraId="6C8F1225"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4F097CFA" w14:textId="17294403" w:rsidR="00BC69D4" w:rsidRPr="00625570" w:rsidRDefault="00BC69D4" w:rsidP="00BC69D4">
            <w:pPr>
              <w:pStyle w:val="TableLeftText"/>
            </w:pPr>
            <w:r w:rsidRPr="00AA0CA7">
              <w:t>Ex Ante Gross Savings</w:t>
            </w:r>
          </w:p>
        </w:tc>
        <w:tc>
          <w:tcPr>
            <w:tcW w:w="0" w:type="auto"/>
            <w:tcBorders>
              <w:top w:val="single" w:sz="4" w:space="0" w:color="4A4D56" w:themeColor="text1"/>
            </w:tcBorders>
          </w:tcPr>
          <w:p w14:paraId="3A0C6E1E" w14:textId="4458C7A9"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29,441</w:t>
            </w:r>
          </w:p>
        </w:tc>
        <w:tc>
          <w:tcPr>
            <w:tcW w:w="0" w:type="auto"/>
            <w:tcBorders>
              <w:top w:val="single" w:sz="4" w:space="0" w:color="4A4D56" w:themeColor="text1"/>
            </w:tcBorders>
          </w:tcPr>
          <w:p w14:paraId="09E952F0" w14:textId="4EA939D5"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w:t>
            </w:r>
            <w:r>
              <w:t>92</w:t>
            </w:r>
          </w:p>
        </w:tc>
        <w:tc>
          <w:tcPr>
            <w:tcW w:w="0" w:type="auto"/>
            <w:tcBorders>
              <w:top w:val="single" w:sz="4" w:space="0" w:color="4A4D56" w:themeColor="text1"/>
            </w:tcBorders>
          </w:tcPr>
          <w:p w14:paraId="571F7317" w14:textId="59EDF7FA"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62,268</w:t>
            </w:r>
          </w:p>
        </w:tc>
      </w:tr>
      <w:tr w:rsidR="00BC69D4" w14:paraId="38538958"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47B7F8A5" w14:textId="0C5637D7" w:rsidR="00BC69D4" w:rsidRPr="00625570" w:rsidRDefault="00BC69D4" w:rsidP="00BC69D4">
            <w:pPr>
              <w:pStyle w:val="TableLeftText"/>
            </w:pPr>
            <w:r w:rsidRPr="00AA0CA7">
              <w:t>Gross Realization Rate</w:t>
            </w:r>
          </w:p>
        </w:tc>
        <w:tc>
          <w:tcPr>
            <w:tcW w:w="0" w:type="auto"/>
          </w:tcPr>
          <w:p w14:paraId="77CABEA9" w14:textId="0612A340"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103%</w:t>
            </w:r>
          </w:p>
        </w:tc>
        <w:tc>
          <w:tcPr>
            <w:tcW w:w="0" w:type="auto"/>
          </w:tcPr>
          <w:p w14:paraId="380148BD" w14:textId="66953E76"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9</w:t>
            </w:r>
            <w:r>
              <w:t>4</w:t>
            </w:r>
            <w:r w:rsidRPr="008657E1">
              <w:t>%</w:t>
            </w:r>
          </w:p>
        </w:tc>
        <w:tc>
          <w:tcPr>
            <w:tcW w:w="0" w:type="auto"/>
          </w:tcPr>
          <w:p w14:paraId="24505181" w14:textId="7E764CF8"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112%</w:t>
            </w:r>
          </w:p>
        </w:tc>
      </w:tr>
      <w:tr w:rsidR="00BC69D4" w14:paraId="27982271"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7C8D9BF" w14:textId="404988DC" w:rsidR="00BC69D4" w:rsidRPr="00625570" w:rsidRDefault="00BC69D4" w:rsidP="00BC69D4">
            <w:pPr>
              <w:pStyle w:val="TableLeftText"/>
            </w:pPr>
            <w:r w:rsidRPr="00AA0CA7">
              <w:t>Verified Gross Savings</w:t>
            </w:r>
          </w:p>
        </w:tc>
        <w:tc>
          <w:tcPr>
            <w:tcW w:w="0" w:type="auto"/>
          </w:tcPr>
          <w:p w14:paraId="6F5659FD" w14:textId="04D30A2D"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30,451</w:t>
            </w:r>
          </w:p>
        </w:tc>
        <w:tc>
          <w:tcPr>
            <w:tcW w:w="0" w:type="auto"/>
          </w:tcPr>
          <w:p w14:paraId="5EC72470" w14:textId="639B65DD"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w:t>
            </w:r>
            <w:r>
              <w:t>52</w:t>
            </w:r>
          </w:p>
        </w:tc>
        <w:tc>
          <w:tcPr>
            <w:tcW w:w="0" w:type="auto"/>
          </w:tcPr>
          <w:p w14:paraId="18CDBB53" w14:textId="19F3C219"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69,697</w:t>
            </w:r>
          </w:p>
        </w:tc>
      </w:tr>
      <w:tr w:rsidR="00BC69D4" w14:paraId="698A9550" w14:textId="77777777" w:rsidTr="0070599E">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126E00E0" w14:textId="77068BB6" w:rsidR="00BC69D4" w:rsidRPr="00625570" w:rsidRDefault="00BC69D4" w:rsidP="00BC69D4">
            <w:pPr>
              <w:pStyle w:val="TableLeftText"/>
            </w:pPr>
            <w:r w:rsidRPr="00AA0CA7">
              <w:t>NTGR</w:t>
            </w:r>
          </w:p>
        </w:tc>
        <w:tc>
          <w:tcPr>
            <w:tcW w:w="0" w:type="auto"/>
          </w:tcPr>
          <w:p w14:paraId="21245137" w14:textId="6F961B55"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0.974</w:t>
            </w:r>
          </w:p>
        </w:tc>
        <w:tc>
          <w:tcPr>
            <w:tcW w:w="0" w:type="auto"/>
          </w:tcPr>
          <w:p w14:paraId="094C7B88" w14:textId="55791F08"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0.97</w:t>
            </w:r>
            <w:r>
              <w:t>4</w:t>
            </w:r>
          </w:p>
        </w:tc>
        <w:tc>
          <w:tcPr>
            <w:tcW w:w="0" w:type="auto"/>
          </w:tcPr>
          <w:p w14:paraId="562BCDFF" w14:textId="31387F55" w:rsidR="00BC69D4" w:rsidRPr="000B7901" w:rsidRDefault="00BC69D4" w:rsidP="00BC69D4">
            <w:pPr>
              <w:pStyle w:val="TableCenterText"/>
              <w:cnfStyle w:val="000000010000" w:firstRow="0" w:lastRow="0" w:firstColumn="0" w:lastColumn="0" w:oddVBand="0" w:evenVBand="0" w:oddHBand="0" w:evenHBand="1" w:firstRowFirstColumn="0" w:firstRowLastColumn="0" w:lastRowFirstColumn="0" w:lastRowLastColumn="0"/>
            </w:pPr>
            <w:r w:rsidRPr="008657E1">
              <w:t>0.866</w:t>
            </w:r>
          </w:p>
        </w:tc>
      </w:tr>
      <w:tr w:rsidR="00BC69D4" w14:paraId="69A1DDE8" w14:textId="77777777" w:rsidTr="0070599E">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048F0A90" w14:textId="58D9FBEA" w:rsidR="00BC69D4" w:rsidRPr="00625570" w:rsidRDefault="00BC69D4" w:rsidP="00BC69D4">
            <w:pPr>
              <w:pStyle w:val="TableLeftText"/>
            </w:pPr>
            <w:r w:rsidRPr="00AA0CA7">
              <w:t>Verified Net Savings</w:t>
            </w:r>
          </w:p>
        </w:tc>
        <w:tc>
          <w:tcPr>
            <w:tcW w:w="0" w:type="auto"/>
          </w:tcPr>
          <w:p w14:paraId="7E94EA62" w14:textId="12024643"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29,653</w:t>
            </w:r>
          </w:p>
        </w:tc>
        <w:tc>
          <w:tcPr>
            <w:tcW w:w="0" w:type="auto"/>
          </w:tcPr>
          <w:p w14:paraId="31F0BB05" w14:textId="5E3E7F3C"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6.3</w:t>
            </w:r>
            <w:r>
              <w:t>5</w:t>
            </w:r>
          </w:p>
        </w:tc>
        <w:tc>
          <w:tcPr>
            <w:tcW w:w="0" w:type="auto"/>
          </w:tcPr>
          <w:p w14:paraId="7B438DBF" w14:textId="14F283F5" w:rsidR="00BC69D4" w:rsidRPr="000B7901" w:rsidRDefault="00BC69D4" w:rsidP="00BC69D4">
            <w:pPr>
              <w:pStyle w:val="TableCenterText"/>
              <w:cnfStyle w:val="000000100000" w:firstRow="0" w:lastRow="0" w:firstColumn="0" w:lastColumn="0" w:oddVBand="0" w:evenVBand="0" w:oddHBand="1" w:evenHBand="0" w:firstRowFirstColumn="0" w:firstRowLastColumn="0" w:lastRowFirstColumn="0" w:lastRowLastColumn="0"/>
            </w:pPr>
            <w:r w:rsidRPr="008657E1">
              <w:t>60,326</w:t>
            </w:r>
          </w:p>
        </w:tc>
      </w:tr>
    </w:tbl>
    <w:p w14:paraId="0B5D192C" w14:textId="09D3FA25" w:rsidR="00B47754" w:rsidRDefault="00B47754" w:rsidP="00526C94">
      <w:pPr>
        <w:pStyle w:val="Heading3"/>
        <w:tabs>
          <w:tab w:val="clear" w:pos="2160"/>
          <w:tab w:val="num" w:pos="1080"/>
        </w:tabs>
        <w:ind w:left="0"/>
      </w:pPr>
      <w:bookmarkStart w:id="300" w:name="_Toc191992451"/>
      <w:r>
        <w:lastRenderedPageBreak/>
        <w:t>Lighting Channel</w:t>
      </w:r>
      <w:bookmarkEnd w:id="300"/>
    </w:p>
    <w:p w14:paraId="4AD319DE" w14:textId="175B2EAB" w:rsidR="001A45D4" w:rsidRPr="001A45D4" w:rsidRDefault="001A45D4" w:rsidP="001A45D4">
      <w:r>
        <w:t xml:space="preserve">The following sections present the impact evaluation results for the 2024 Midstream Lighting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16143D2A" w14:textId="77777777" w:rsidR="00B47754" w:rsidRDefault="00B47754" w:rsidP="00B47754">
      <w:pPr>
        <w:pStyle w:val="Heading4"/>
      </w:pPr>
      <w:r>
        <w:t>Channel Description</w:t>
      </w:r>
    </w:p>
    <w:p w14:paraId="7CB85D9E" w14:textId="31B9AECB" w:rsidR="00E24DBD" w:rsidRDefault="00E24DBD" w:rsidP="00E24DBD">
      <w:r>
        <w:t>The Midstream Lighting channel provides incentives to participating lighting equipment distributors to reduce the final sale price of equipment for end</w:t>
      </w:r>
      <w:r w:rsidR="002C3C5A">
        <w:t xml:space="preserve"> </w:t>
      </w:r>
      <w:r>
        <w:t>customers and to encourage distributors to promote higher efficiency equipment. AIC has offered midstream incentives for efficient nonresidential lighting since the 2014</w:t>
      </w:r>
      <w:r w:rsidR="002C3C5A">
        <w:t>–</w:t>
      </w:r>
      <w:r>
        <w:t xml:space="preserve">2015 cycle. </w:t>
      </w:r>
      <w:r w:rsidR="00542B25">
        <w:t>Initiative</w:t>
      </w:r>
      <w:r>
        <w:t xml:space="preserve"> staff provide incentives for the sale of linear LED tubes, pin-based bulbs, mogul-based LED lamps, wall pack</w:t>
      </w:r>
      <w:r w:rsidR="00542B25">
        <w:t>s</w:t>
      </w:r>
      <w:r>
        <w:t xml:space="preserve">, and LED exit signs. By providing incentives to distributors, </w:t>
      </w:r>
      <w:r w:rsidR="00542B25">
        <w:t>Initiative</w:t>
      </w:r>
      <w:r>
        <w:t xml:space="preserve"> staff aim to increase the adoption of </w:t>
      </w:r>
      <w:r w:rsidR="00DE3D36">
        <w:t>high efficiency</w:t>
      </w:r>
      <w:r>
        <w:t xml:space="preserve"> lighting without requiring customers to submit an incentive application. </w:t>
      </w:r>
    </w:p>
    <w:p w14:paraId="75D9501A" w14:textId="373A862C" w:rsidR="00E24DBD" w:rsidRDefault="00E24DBD" w:rsidP="00E24DBD">
      <w:r>
        <w:t xml:space="preserve">Distributors are required to pass the full incentive </w:t>
      </w:r>
      <w:r w:rsidR="002C3C5A">
        <w:t xml:space="preserve">on </w:t>
      </w:r>
      <w:r>
        <w:t xml:space="preserve">to the purchaser through a point-of-sale discount. However, participating distributors are eligible to receive bonuses based on their channel activity. </w:t>
      </w:r>
      <w:r w:rsidR="002C3C5A">
        <w:t xml:space="preserve">The ally bonus incentive structure promotes early participation by offering greater </w:t>
      </w:r>
      <w:r w:rsidR="00240463">
        <w:t>bonuses</w:t>
      </w:r>
      <w:r w:rsidR="002C3C5A">
        <w:t xml:space="preserve"> for transactions completed earlier in the year.</w:t>
      </w:r>
      <w:r>
        <w:t xml:space="preserve"> To receive incentives, distributors collect equipment and </w:t>
      </w:r>
      <w:r w:rsidR="002C3C5A">
        <w:t>end customer</w:t>
      </w:r>
      <w:r>
        <w:t xml:space="preserve"> information from contractors and submit the information via an online Midstream Lighting portal hosted and managed by Leidos.</w:t>
      </w:r>
      <w:r w:rsidR="00B13062">
        <w:t xml:space="preserve"> Only sales to AIC </w:t>
      </w:r>
      <w:r w:rsidR="002C3C5A">
        <w:t>end customer</w:t>
      </w:r>
      <w:r w:rsidR="00B13062">
        <w:t xml:space="preserve">s are eligible to receive channel incentives. Implementation partner Energy Sciences reviews all incoming transaction data for completeness, accuracy, and eligibility. Once a transaction is approved, the incentive is paid to the distributor. </w:t>
      </w:r>
    </w:p>
    <w:p w14:paraId="5F0F0A52" w14:textId="172F157A" w:rsidR="00B13062" w:rsidRDefault="00B13062" w:rsidP="00E24DBD">
      <w:r>
        <w:t xml:space="preserve">AIC provides cobranded marketing materials to participating distributors, as well as educational materials and training on channel participation requirements. Leidos partners with CMC Energy Services to </w:t>
      </w:r>
      <w:r w:rsidR="002C3C5A">
        <w:t>manage</w:t>
      </w:r>
      <w:r>
        <w:t xml:space="preserve"> the network of participating distributors. CMC provides each distributor with an account manager that helps them </w:t>
      </w:r>
      <w:r w:rsidR="002C3C5A">
        <w:t>troubleshoot issues and increase</w:t>
      </w:r>
      <w:r>
        <w:t xml:space="preserve"> their channel activity. AIC and Leidos continually recruit new distributors, </w:t>
      </w:r>
      <w:r w:rsidR="002C3C5A">
        <w:t>focusing</w:t>
      </w:r>
      <w:r>
        <w:t xml:space="preserve"> on reaching those in </w:t>
      </w:r>
      <w:r w:rsidR="00210097">
        <w:t xml:space="preserve">Empower </w:t>
      </w:r>
      <w:r w:rsidR="002C3C5A">
        <w:t>C</w:t>
      </w:r>
      <w:r>
        <w:t xml:space="preserve">ommunities. </w:t>
      </w:r>
    </w:p>
    <w:p w14:paraId="0BA4D500" w14:textId="77777777" w:rsidR="00B47754" w:rsidRDefault="00B47754" w:rsidP="00B47754">
      <w:pPr>
        <w:pStyle w:val="Heading4"/>
      </w:pPr>
      <w:r>
        <w:t>Participation Summary</w:t>
      </w:r>
    </w:p>
    <w:p w14:paraId="309C43E5" w14:textId="00148109" w:rsidR="00D350AE" w:rsidRDefault="00AC64E0" w:rsidP="00D350AE">
      <w:r>
        <w:fldChar w:fldCharType="begin"/>
      </w:r>
      <w:r>
        <w:instrText xml:space="preserve"> REF _Ref189053453 \h </w:instrText>
      </w:r>
      <w:r>
        <w:fldChar w:fldCharType="separate"/>
      </w:r>
      <w:r w:rsidR="00AA10F4">
        <w:t xml:space="preserve">Table </w:t>
      </w:r>
      <w:r w:rsidR="00AA10F4">
        <w:rPr>
          <w:noProof/>
        </w:rPr>
        <w:t>67</w:t>
      </w:r>
      <w:r>
        <w:fldChar w:fldCharType="end"/>
      </w:r>
      <w:r w:rsidR="00D350AE">
        <w:t xml:space="preserve"> presents a summary of participation in</w:t>
      </w:r>
      <w:r w:rsidR="00756541">
        <w:t xml:space="preserve"> t</w:t>
      </w:r>
      <w:r w:rsidR="00D350AE">
        <w:t>h</w:t>
      </w:r>
      <w:r w:rsidR="00756541">
        <w:t>e</w:t>
      </w:r>
      <w:r w:rsidR="00D350AE">
        <w:t xml:space="preserve"> Midstream Lighting </w:t>
      </w:r>
      <w:r w:rsidR="00901A80">
        <w:t>c</w:t>
      </w:r>
      <w:r w:rsidR="00D350AE">
        <w:t>hannel in 2024. We present these data separated by public and private sector</w:t>
      </w:r>
      <w:r w:rsidR="00901A80">
        <w:t xml:space="preserve"> customer</w:t>
      </w:r>
      <w:r w:rsidR="00D350AE">
        <w:t xml:space="preserve">s to provide context as to the primary drivers of participation. AIC customers purchased </w:t>
      </w:r>
      <w:r w:rsidR="005B775A">
        <w:t>446,310</w:t>
      </w:r>
      <w:r w:rsidR="00D350AE">
        <w:t xml:space="preserve"> units of efficient lighting through the channel, </w:t>
      </w:r>
      <w:r w:rsidR="002855BC">
        <w:t>representing</w:t>
      </w:r>
      <w:r w:rsidR="00D350AE">
        <w:t xml:space="preserve"> a</w:t>
      </w:r>
      <w:r w:rsidR="005B775A">
        <w:t xml:space="preserve"> </w:t>
      </w:r>
      <w:r w:rsidR="00747A87">
        <w:t>21</w:t>
      </w:r>
      <w:r w:rsidR="00D350AE">
        <w:t xml:space="preserve">% </w:t>
      </w:r>
      <w:r w:rsidR="00747A87">
        <w:t>in</w:t>
      </w:r>
      <w:r w:rsidR="00D350AE">
        <w:t xml:space="preserve">crease compared to 2023. </w:t>
      </w:r>
      <w:r w:rsidR="00D350AE" w:rsidRPr="005B775A">
        <w:t>Linear LEDs</w:t>
      </w:r>
      <w:r w:rsidR="00D350AE">
        <w:t xml:space="preserve"> dominated channel activity, accounting for </w:t>
      </w:r>
      <w:r w:rsidR="005B775A">
        <w:t>97</w:t>
      </w:r>
      <w:r w:rsidR="00D350AE">
        <w:t xml:space="preserve">% of all incentivized measures. </w:t>
      </w:r>
    </w:p>
    <w:p w14:paraId="6507C93C" w14:textId="6EE45341" w:rsidR="00AC64E0" w:rsidRDefault="00AC64E0" w:rsidP="00562725">
      <w:pPr>
        <w:pStyle w:val="Caption"/>
      </w:pPr>
      <w:bookmarkStart w:id="301" w:name="_Ref189053453"/>
      <w:bookmarkStart w:id="302" w:name="_Toc191992588"/>
      <w:bookmarkStart w:id="303" w:name="_Toc192767001"/>
      <w:r>
        <w:t xml:space="preserve">Table </w:t>
      </w:r>
      <w:r w:rsidR="009B4C9A">
        <w:fldChar w:fldCharType="begin"/>
      </w:r>
      <w:r w:rsidR="009B4C9A">
        <w:instrText xml:space="preserve"> SEQ Table \* ARABIC </w:instrText>
      </w:r>
      <w:r w:rsidR="009B4C9A">
        <w:fldChar w:fldCharType="separate"/>
      </w:r>
      <w:r w:rsidR="00AA10F4">
        <w:rPr>
          <w:noProof/>
        </w:rPr>
        <w:t>67</w:t>
      </w:r>
      <w:r w:rsidR="009B4C9A">
        <w:rPr>
          <w:noProof/>
        </w:rPr>
        <w:fldChar w:fldCharType="end"/>
      </w:r>
      <w:bookmarkEnd w:id="301"/>
      <w:r>
        <w:t>. 2024 Midstream Lighting Channel Participation Summary by Measure</w:t>
      </w:r>
      <w:bookmarkEnd w:id="302"/>
      <w:bookmarkEnd w:id="303"/>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609"/>
        <w:gridCol w:w="1977"/>
        <w:gridCol w:w="2346"/>
        <w:gridCol w:w="2164"/>
      </w:tblGrid>
      <w:tr w:rsidR="00D350AE" w14:paraId="0EDA1F27"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50B98F50" w14:textId="77777777" w:rsidR="00D350AE" w:rsidRDefault="00D350AE" w:rsidP="00562725">
            <w:pPr>
              <w:pStyle w:val="TableHeadingLeft"/>
              <w:keepNext/>
              <w:keepLines/>
            </w:pPr>
            <w:r>
              <w:t>Measure Category</w:t>
            </w:r>
          </w:p>
        </w:tc>
        <w:tc>
          <w:tcPr>
            <w:tcW w:w="891" w:type="pct"/>
            <w:tcBorders>
              <w:bottom w:val="none" w:sz="0" w:space="0" w:color="auto"/>
            </w:tcBorders>
          </w:tcPr>
          <w:p w14:paraId="79BBE1E0" w14:textId="025626B7" w:rsidR="00D350AE" w:rsidRDefault="00D350AE"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t>Quantity</w:t>
            </w:r>
          </w:p>
        </w:tc>
        <w:tc>
          <w:tcPr>
            <w:tcW w:w="1057" w:type="pct"/>
            <w:tcBorders>
              <w:bottom w:val="none" w:sz="0" w:space="0" w:color="auto"/>
            </w:tcBorders>
          </w:tcPr>
          <w:p w14:paraId="37D54B35" w14:textId="77777777" w:rsidR="00D350AE" w:rsidRDefault="00D350AE"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MWh</w:t>
            </w:r>
          </w:p>
        </w:tc>
        <w:tc>
          <w:tcPr>
            <w:tcW w:w="975" w:type="pct"/>
            <w:tcBorders>
              <w:bottom w:val="none" w:sz="0" w:space="0" w:color="auto"/>
            </w:tcBorders>
          </w:tcPr>
          <w:p w14:paraId="0CB2FB69" w14:textId="77777777" w:rsidR="00D350AE" w:rsidRDefault="00D350AE"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MW</w:t>
            </w:r>
          </w:p>
        </w:tc>
      </w:tr>
      <w:tr w:rsidR="00D350AE" w14:paraId="6730C049"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00B0F0"/>
          </w:tcPr>
          <w:p w14:paraId="77112120" w14:textId="4F133750" w:rsidR="00D350AE" w:rsidRPr="00D350AE" w:rsidRDefault="00D350AE" w:rsidP="00562725">
            <w:pPr>
              <w:keepNext/>
              <w:keepLines/>
              <w:rPr>
                <w:rFonts w:asciiTheme="majorHAnsi" w:hAnsiTheme="majorHAnsi"/>
                <w:color w:val="FFFFFF" w:themeColor="background1"/>
              </w:rPr>
            </w:pPr>
            <w:r>
              <w:rPr>
                <w:rFonts w:asciiTheme="majorHAnsi" w:hAnsiTheme="majorHAnsi"/>
                <w:color w:val="FFFFFF" w:themeColor="background1"/>
              </w:rPr>
              <w:t>Private Sector</w:t>
            </w:r>
            <w:r w:rsidR="00875F07">
              <w:rPr>
                <w:rFonts w:asciiTheme="majorHAnsi" w:hAnsiTheme="majorHAnsi"/>
                <w:color w:val="FFFFFF" w:themeColor="background1"/>
                <w:vertAlign w:val="superscript"/>
              </w:rPr>
              <w:t>a</w:t>
            </w:r>
          </w:p>
        </w:tc>
      </w:tr>
      <w:tr w:rsidR="00D350AE" w14:paraId="2797117A"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208AB390" w14:textId="004D0B25" w:rsidR="00D350AE" w:rsidRDefault="00D350AE" w:rsidP="00562725">
            <w:pPr>
              <w:keepNext/>
              <w:keepLines/>
            </w:pPr>
            <w:r>
              <w:t>Linear LEDs</w:t>
            </w:r>
          </w:p>
        </w:tc>
        <w:tc>
          <w:tcPr>
            <w:tcW w:w="891" w:type="pct"/>
            <w:tcBorders>
              <w:top w:val="none" w:sz="0" w:space="0" w:color="auto"/>
              <w:left w:val="none" w:sz="0" w:space="0" w:color="auto"/>
              <w:bottom w:val="none" w:sz="0" w:space="0" w:color="auto"/>
              <w:right w:val="none" w:sz="0" w:space="0" w:color="auto"/>
            </w:tcBorders>
          </w:tcPr>
          <w:p w14:paraId="04176652" w14:textId="564DA8FE" w:rsidR="00D350AE" w:rsidRDefault="00794F15" w:rsidP="00562725">
            <w:pPr>
              <w:keepNext/>
              <w:keepLines/>
              <w:jc w:val="right"/>
              <w:cnfStyle w:val="000000010000" w:firstRow="0" w:lastRow="0" w:firstColumn="0" w:lastColumn="0" w:oddVBand="0" w:evenVBand="0" w:oddHBand="0" w:evenHBand="1" w:firstRowFirstColumn="0" w:firstRowLastColumn="0" w:lastRowFirstColumn="0" w:lastRowLastColumn="0"/>
            </w:pPr>
            <w:r>
              <w:t>242,844</w:t>
            </w:r>
          </w:p>
        </w:tc>
        <w:tc>
          <w:tcPr>
            <w:tcW w:w="1057" w:type="pct"/>
            <w:tcBorders>
              <w:top w:val="none" w:sz="0" w:space="0" w:color="auto"/>
              <w:left w:val="none" w:sz="0" w:space="0" w:color="auto"/>
              <w:bottom w:val="none" w:sz="0" w:space="0" w:color="auto"/>
              <w:right w:val="none" w:sz="0" w:space="0" w:color="auto"/>
            </w:tcBorders>
          </w:tcPr>
          <w:p w14:paraId="10BD0473" w14:textId="7913E05E" w:rsidR="00D350AE" w:rsidRDefault="00794F15" w:rsidP="00562725">
            <w:pPr>
              <w:keepNext/>
              <w:keepLines/>
              <w:jc w:val="right"/>
              <w:cnfStyle w:val="000000010000" w:firstRow="0" w:lastRow="0" w:firstColumn="0" w:lastColumn="0" w:oddVBand="0" w:evenVBand="0" w:oddHBand="0" w:evenHBand="1" w:firstRowFirstColumn="0" w:firstRowLastColumn="0" w:lastRowFirstColumn="0" w:lastRowLastColumn="0"/>
            </w:pPr>
            <w:r>
              <w:t>12,185</w:t>
            </w:r>
          </w:p>
        </w:tc>
        <w:tc>
          <w:tcPr>
            <w:tcW w:w="975" w:type="pct"/>
            <w:tcBorders>
              <w:top w:val="none" w:sz="0" w:space="0" w:color="auto"/>
              <w:left w:val="none" w:sz="0" w:space="0" w:color="auto"/>
              <w:bottom w:val="none" w:sz="0" w:space="0" w:color="auto"/>
              <w:right w:val="none" w:sz="0" w:space="0" w:color="auto"/>
            </w:tcBorders>
          </w:tcPr>
          <w:p w14:paraId="3E606D25" w14:textId="2E0BB2B9" w:rsidR="00D350AE" w:rsidRDefault="00352AFC" w:rsidP="00562725">
            <w:pPr>
              <w:keepNext/>
              <w:keepLines/>
              <w:jc w:val="right"/>
              <w:cnfStyle w:val="000000010000" w:firstRow="0" w:lastRow="0" w:firstColumn="0" w:lastColumn="0" w:oddVBand="0" w:evenVBand="0" w:oddHBand="0" w:evenHBand="1" w:firstRowFirstColumn="0" w:firstRowLastColumn="0" w:lastRowFirstColumn="0" w:lastRowLastColumn="0"/>
            </w:pPr>
            <w:r>
              <w:t>2.91</w:t>
            </w:r>
          </w:p>
        </w:tc>
      </w:tr>
      <w:tr w:rsidR="00D350AE" w14:paraId="6CE7859D"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69864EA2" w14:textId="518A0DE2" w:rsidR="00D350AE" w:rsidRDefault="00D350AE" w:rsidP="00562725">
            <w:pPr>
              <w:keepNext/>
              <w:keepLines/>
            </w:pPr>
            <w:r>
              <w:t>Mogul</w:t>
            </w:r>
            <w:r w:rsidR="00240463">
              <w:t>s</w:t>
            </w:r>
            <w:r>
              <w:t xml:space="preserve"> </w:t>
            </w:r>
          </w:p>
        </w:tc>
        <w:tc>
          <w:tcPr>
            <w:tcW w:w="891" w:type="pct"/>
            <w:tcBorders>
              <w:top w:val="none" w:sz="0" w:space="0" w:color="auto"/>
              <w:left w:val="none" w:sz="0" w:space="0" w:color="auto"/>
              <w:bottom w:val="none" w:sz="0" w:space="0" w:color="auto"/>
              <w:right w:val="none" w:sz="0" w:space="0" w:color="auto"/>
            </w:tcBorders>
          </w:tcPr>
          <w:p w14:paraId="60838A78" w14:textId="29BBC72E" w:rsidR="00D350AE" w:rsidRDefault="00794F15" w:rsidP="00562725">
            <w:pPr>
              <w:keepNext/>
              <w:keepLines/>
              <w:jc w:val="right"/>
              <w:cnfStyle w:val="000000100000" w:firstRow="0" w:lastRow="0" w:firstColumn="0" w:lastColumn="0" w:oddVBand="0" w:evenVBand="0" w:oddHBand="1" w:evenHBand="0" w:firstRowFirstColumn="0" w:firstRowLastColumn="0" w:lastRowFirstColumn="0" w:lastRowLastColumn="0"/>
            </w:pPr>
            <w:r>
              <w:t>3,167</w:t>
            </w:r>
          </w:p>
        </w:tc>
        <w:tc>
          <w:tcPr>
            <w:tcW w:w="1057" w:type="pct"/>
            <w:tcBorders>
              <w:top w:val="none" w:sz="0" w:space="0" w:color="auto"/>
              <w:left w:val="none" w:sz="0" w:space="0" w:color="auto"/>
              <w:bottom w:val="none" w:sz="0" w:space="0" w:color="auto"/>
              <w:right w:val="none" w:sz="0" w:space="0" w:color="auto"/>
            </w:tcBorders>
          </w:tcPr>
          <w:p w14:paraId="316413D5" w14:textId="13231960" w:rsidR="00D350AE" w:rsidRDefault="00352AFC" w:rsidP="00562725">
            <w:pPr>
              <w:keepNext/>
              <w:keepLines/>
              <w:jc w:val="right"/>
              <w:cnfStyle w:val="000000100000" w:firstRow="0" w:lastRow="0" w:firstColumn="0" w:lastColumn="0" w:oddVBand="0" w:evenVBand="0" w:oddHBand="1" w:evenHBand="0" w:firstRowFirstColumn="0" w:firstRowLastColumn="0" w:lastRowFirstColumn="0" w:lastRowLastColumn="0"/>
            </w:pPr>
            <w:r>
              <w:t>2,368</w:t>
            </w:r>
          </w:p>
        </w:tc>
        <w:tc>
          <w:tcPr>
            <w:tcW w:w="975" w:type="pct"/>
            <w:tcBorders>
              <w:top w:val="none" w:sz="0" w:space="0" w:color="auto"/>
              <w:left w:val="none" w:sz="0" w:space="0" w:color="auto"/>
              <w:bottom w:val="none" w:sz="0" w:space="0" w:color="auto"/>
              <w:right w:val="none" w:sz="0" w:space="0" w:color="auto"/>
            </w:tcBorders>
          </w:tcPr>
          <w:p w14:paraId="67599DFB" w14:textId="116D8CA6" w:rsidR="00D350AE" w:rsidRDefault="00352AFC" w:rsidP="00562725">
            <w:pPr>
              <w:keepNext/>
              <w:keepLines/>
              <w:jc w:val="right"/>
              <w:cnfStyle w:val="000000100000" w:firstRow="0" w:lastRow="0" w:firstColumn="0" w:lastColumn="0" w:oddVBand="0" w:evenVBand="0" w:oddHBand="1" w:evenHBand="0" w:firstRowFirstColumn="0" w:firstRowLastColumn="0" w:lastRowFirstColumn="0" w:lastRowLastColumn="0"/>
            </w:pPr>
            <w:r>
              <w:t>0.57</w:t>
            </w:r>
          </w:p>
        </w:tc>
      </w:tr>
      <w:tr w:rsidR="00D350AE" w14:paraId="784BE054"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08FDD23F" w14:textId="1143D76B" w:rsidR="00D350AE" w:rsidRDefault="00D350AE" w:rsidP="00562725">
            <w:pPr>
              <w:keepNext/>
              <w:keepLines/>
            </w:pPr>
            <w:r>
              <w:t>Wall Packs</w:t>
            </w:r>
          </w:p>
        </w:tc>
        <w:tc>
          <w:tcPr>
            <w:tcW w:w="891" w:type="pct"/>
            <w:tcBorders>
              <w:top w:val="none" w:sz="0" w:space="0" w:color="auto"/>
              <w:left w:val="none" w:sz="0" w:space="0" w:color="auto"/>
              <w:bottom w:val="none" w:sz="0" w:space="0" w:color="auto"/>
              <w:right w:val="none" w:sz="0" w:space="0" w:color="auto"/>
            </w:tcBorders>
          </w:tcPr>
          <w:p w14:paraId="0C777842" w14:textId="04CDE69F" w:rsidR="00D350AE" w:rsidRDefault="00794F15" w:rsidP="00562725">
            <w:pPr>
              <w:keepNext/>
              <w:keepLines/>
              <w:jc w:val="right"/>
              <w:cnfStyle w:val="000000010000" w:firstRow="0" w:lastRow="0" w:firstColumn="0" w:lastColumn="0" w:oddVBand="0" w:evenVBand="0" w:oddHBand="0" w:evenHBand="1" w:firstRowFirstColumn="0" w:firstRowLastColumn="0" w:lastRowFirstColumn="0" w:lastRowLastColumn="0"/>
            </w:pPr>
            <w:r>
              <w:t>2,037</w:t>
            </w:r>
          </w:p>
        </w:tc>
        <w:tc>
          <w:tcPr>
            <w:tcW w:w="1057" w:type="pct"/>
            <w:tcBorders>
              <w:top w:val="none" w:sz="0" w:space="0" w:color="auto"/>
              <w:left w:val="none" w:sz="0" w:space="0" w:color="auto"/>
              <w:bottom w:val="none" w:sz="0" w:space="0" w:color="auto"/>
              <w:right w:val="none" w:sz="0" w:space="0" w:color="auto"/>
            </w:tcBorders>
          </w:tcPr>
          <w:p w14:paraId="5E4D2662" w14:textId="14A46752" w:rsidR="00D350AE" w:rsidRDefault="00352AFC" w:rsidP="00562725">
            <w:pPr>
              <w:keepNext/>
              <w:keepLines/>
              <w:jc w:val="right"/>
              <w:cnfStyle w:val="000000010000" w:firstRow="0" w:lastRow="0" w:firstColumn="0" w:lastColumn="0" w:oddVBand="0" w:evenVBand="0" w:oddHBand="0" w:evenHBand="1" w:firstRowFirstColumn="0" w:firstRowLastColumn="0" w:lastRowFirstColumn="0" w:lastRowLastColumn="0"/>
            </w:pPr>
            <w:r>
              <w:t>1,486</w:t>
            </w:r>
          </w:p>
        </w:tc>
        <w:tc>
          <w:tcPr>
            <w:tcW w:w="975" w:type="pct"/>
            <w:tcBorders>
              <w:top w:val="none" w:sz="0" w:space="0" w:color="auto"/>
              <w:left w:val="none" w:sz="0" w:space="0" w:color="auto"/>
              <w:bottom w:val="none" w:sz="0" w:space="0" w:color="auto"/>
              <w:right w:val="none" w:sz="0" w:space="0" w:color="auto"/>
            </w:tcBorders>
          </w:tcPr>
          <w:p w14:paraId="50C67676" w14:textId="360C942B" w:rsidR="00D350AE" w:rsidRDefault="00352AFC" w:rsidP="00562725">
            <w:pPr>
              <w:keepNext/>
              <w:keepLines/>
              <w:jc w:val="right"/>
              <w:cnfStyle w:val="000000010000" w:firstRow="0" w:lastRow="0" w:firstColumn="0" w:lastColumn="0" w:oddVBand="0" w:evenVBand="0" w:oddHBand="0" w:evenHBand="1" w:firstRowFirstColumn="0" w:firstRowLastColumn="0" w:lastRowFirstColumn="0" w:lastRowLastColumn="0"/>
            </w:pPr>
            <w:r>
              <w:t>0.33</w:t>
            </w:r>
          </w:p>
        </w:tc>
      </w:tr>
      <w:tr w:rsidR="0050364C" w14:paraId="31B2E5EE"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3D8125E0" w14:textId="1AE47912" w:rsidR="0050364C" w:rsidRDefault="00240463" w:rsidP="00562725">
            <w:pPr>
              <w:keepNext/>
              <w:keepLines/>
            </w:pPr>
            <w:r>
              <w:t>Four-</w:t>
            </w:r>
            <w:r w:rsidR="0050364C">
              <w:t>Pin LEDs</w:t>
            </w:r>
          </w:p>
        </w:tc>
        <w:tc>
          <w:tcPr>
            <w:tcW w:w="891" w:type="pct"/>
            <w:tcBorders>
              <w:top w:val="none" w:sz="0" w:space="0" w:color="auto"/>
              <w:left w:val="none" w:sz="0" w:space="0" w:color="auto"/>
              <w:bottom w:val="none" w:sz="0" w:space="0" w:color="auto"/>
              <w:right w:val="none" w:sz="0" w:space="0" w:color="auto"/>
            </w:tcBorders>
          </w:tcPr>
          <w:p w14:paraId="1E96D83F" w14:textId="56520655" w:rsidR="0050364C"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400</w:t>
            </w:r>
          </w:p>
        </w:tc>
        <w:tc>
          <w:tcPr>
            <w:tcW w:w="1057" w:type="pct"/>
            <w:tcBorders>
              <w:top w:val="none" w:sz="0" w:space="0" w:color="auto"/>
              <w:left w:val="none" w:sz="0" w:space="0" w:color="auto"/>
              <w:bottom w:val="none" w:sz="0" w:space="0" w:color="auto"/>
              <w:right w:val="none" w:sz="0" w:space="0" w:color="auto"/>
            </w:tcBorders>
          </w:tcPr>
          <w:p w14:paraId="1BF2A282" w14:textId="23C9C399" w:rsidR="0050364C"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17</w:t>
            </w:r>
          </w:p>
        </w:tc>
        <w:tc>
          <w:tcPr>
            <w:tcW w:w="975" w:type="pct"/>
            <w:tcBorders>
              <w:top w:val="none" w:sz="0" w:space="0" w:color="auto"/>
              <w:left w:val="none" w:sz="0" w:space="0" w:color="auto"/>
              <w:bottom w:val="none" w:sz="0" w:space="0" w:color="auto"/>
              <w:right w:val="none" w:sz="0" w:space="0" w:color="auto"/>
            </w:tcBorders>
          </w:tcPr>
          <w:p w14:paraId="465122DA" w14:textId="0E617A75" w:rsidR="0050364C"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&lt;0.01</w:t>
            </w:r>
          </w:p>
        </w:tc>
      </w:tr>
      <w:tr w:rsidR="0050364C" w14:paraId="253B9886"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29E5F1CD" w14:textId="36C98AA7" w:rsidR="0050364C" w:rsidRDefault="0050364C" w:rsidP="00562725">
            <w:pPr>
              <w:keepNext/>
              <w:keepLines/>
            </w:pPr>
            <w:r>
              <w:t>Exit Signs</w:t>
            </w:r>
          </w:p>
        </w:tc>
        <w:tc>
          <w:tcPr>
            <w:tcW w:w="891" w:type="pct"/>
            <w:tcBorders>
              <w:top w:val="none" w:sz="0" w:space="0" w:color="auto"/>
              <w:left w:val="none" w:sz="0" w:space="0" w:color="auto"/>
              <w:bottom w:val="none" w:sz="0" w:space="0" w:color="auto"/>
              <w:right w:val="none" w:sz="0" w:space="0" w:color="auto"/>
            </w:tcBorders>
          </w:tcPr>
          <w:p w14:paraId="757A09BB" w14:textId="2B3F109D" w:rsidR="0050364C"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49</w:t>
            </w:r>
          </w:p>
        </w:tc>
        <w:tc>
          <w:tcPr>
            <w:tcW w:w="1057" w:type="pct"/>
            <w:tcBorders>
              <w:top w:val="none" w:sz="0" w:space="0" w:color="auto"/>
              <w:left w:val="none" w:sz="0" w:space="0" w:color="auto"/>
              <w:bottom w:val="none" w:sz="0" w:space="0" w:color="auto"/>
              <w:right w:val="none" w:sz="0" w:space="0" w:color="auto"/>
            </w:tcBorders>
          </w:tcPr>
          <w:p w14:paraId="65D436FA" w14:textId="575F21B5" w:rsidR="0050364C"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975" w:type="pct"/>
            <w:tcBorders>
              <w:top w:val="none" w:sz="0" w:space="0" w:color="auto"/>
              <w:left w:val="none" w:sz="0" w:space="0" w:color="auto"/>
              <w:bottom w:val="none" w:sz="0" w:space="0" w:color="auto"/>
              <w:right w:val="none" w:sz="0" w:space="0" w:color="auto"/>
            </w:tcBorders>
          </w:tcPr>
          <w:p w14:paraId="194E1254" w14:textId="698CDC66" w:rsidR="0050364C"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&lt;0.01</w:t>
            </w:r>
          </w:p>
        </w:tc>
      </w:tr>
      <w:tr w:rsidR="0050364C" w14:paraId="1D558089"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11E9ECC1" w14:textId="77777777" w:rsidR="0050364C" w:rsidRPr="004E14E5" w:rsidRDefault="0050364C" w:rsidP="00BC69D4">
            <w:pPr>
              <w:rPr>
                <w:i/>
                <w:iCs/>
              </w:rPr>
            </w:pPr>
            <w:r>
              <w:rPr>
                <w:i/>
                <w:iCs/>
              </w:rPr>
              <w:t>Private Sector Subtotal</w:t>
            </w:r>
          </w:p>
        </w:tc>
        <w:tc>
          <w:tcPr>
            <w:tcW w:w="891" w:type="pct"/>
            <w:tcBorders>
              <w:top w:val="none" w:sz="0" w:space="0" w:color="auto"/>
              <w:left w:val="none" w:sz="0" w:space="0" w:color="auto"/>
              <w:bottom w:val="none" w:sz="0" w:space="0" w:color="auto"/>
              <w:right w:val="none" w:sz="0" w:space="0" w:color="auto"/>
            </w:tcBorders>
          </w:tcPr>
          <w:p w14:paraId="562C73DD" w14:textId="6F15F11A" w:rsidR="0050364C" w:rsidRPr="004E14E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i/>
                <w:iCs/>
              </w:rPr>
            </w:pPr>
            <w:r>
              <w:rPr>
                <w:i/>
                <w:iCs/>
              </w:rPr>
              <w:t>248,497</w:t>
            </w:r>
          </w:p>
        </w:tc>
        <w:tc>
          <w:tcPr>
            <w:tcW w:w="1057" w:type="pct"/>
            <w:tcBorders>
              <w:top w:val="none" w:sz="0" w:space="0" w:color="auto"/>
              <w:left w:val="none" w:sz="0" w:space="0" w:color="auto"/>
              <w:bottom w:val="none" w:sz="0" w:space="0" w:color="auto"/>
              <w:right w:val="none" w:sz="0" w:space="0" w:color="auto"/>
            </w:tcBorders>
          </w:tcPr>
          <w:p w14:paraId="0265D7A1" w14:textId="440B2C98" w:rsidR="0050364C" w:rsidRPr="004E14E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i/>
                <w:iCs/>
              </w:rPr>
            </w:pPr>
            <w:r>
              <w:rPr>
                <w:i/>
                <w:iCs/>
              </w:rPr>
              <w:t>16,059</w:t>
            </w:r>
          </w:p>
        </w:tc>
        <w:tc>
          <w:tcPr>
            <w:tcW w:w="975" w:type="pct"/>
            <w:tcBorders>
              <w:top w:val="none" w:sz="0" w:space="0" w:color="auto"/>
              <w:left w:val="none" w:sz="0" w:space="0" w:color="auto"/>
              <w:bottom w:val="none" w:sz="0" w:space="0" w:color="auto"/>
              <w:right w:val="none" w:sz="0" w:space="0" w:color="auto"/>
            </w:tcBorders>
          </w:tcPr>
          <w:p w14:paraId="180DF603" w14:textId="6EBBAE78" w:rsidR="0050364C" w:rsidRPr="004E14E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i/>
                <w:iCs/>
              </w:rPr>
            </w:pPr>
            <w:r>
              <w:rPr>
                <w:i/>
                <w:iCs/>
              </w:rPr>
              <w:t>3.80</w:t>
            </w:r>
          </w:p>
        </w:tc>
      </w:tr>
      <w:tr w:rsidR="0050364C" w14:paraId="69A5270B"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top w:val="none" w:sz="0" w:space="0" w:color="auto"/>
              <w:left w:val="none" w:sz="0" w:space="0" w:color="auto"/>
              <w:bottom w:val="none" w:sz="0" w:space="0" w:color="auto"/>
              <w:right w:val="none" w:sz="0" w:space="0" w:color="auto"/>
            </w:tcBorders>
            <w:shd w:val="clear" w:color="auto" w:fill="00B0F0"/>
          </w:tcPr>
          <w:p w14:paraId="08D4E014" w14:textId="43233A9F" w:rsidR="0050364C" w:rsidRPr="00D350AE" w:rsidRDefault="0050364C" w:rsidP="00562725">
            <w:pPr>
              <w:keepNext/>
              <w:keepLines/>
              <w:rPr>
                <w:rFonts w:asciiTheme="majorHAnsi" w:hAnsiTheme="majorHAnsi"/>
                <w:color w:val="FFFFFF" w:themeColor="background1"/>
                <w:vertAlign w:val="superscript"/>
              </w:rPr>
            </w:pPr>
            <w:r>
              <w:rPr>
                <w:rFonts w:asciiTheme="majorHAnsi" w:hAnsiTheme="majorHAnsi"/>
                <w:color w:val="FFFFFF" w:themeColor="background1"/>
              </w:rPr>
              <w:lastRenderedPageBreak/>
              <w:t xml:space="preserve">Public Sector </w:t>
            </w:r>
          </w:p>
        </w:tc>
      </w:tr>
      <w:tr w:rsidR="0050364C" w14:paraId="725F6F8B"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0AB25322" w14:textId="0BB8BEF6" w:rsidR="0050364C" w:rsidRPr="007367A8" w:rsidRDefault="0050364C" w:rsidP="00562725">
            <w:pPr>
              <w:keepNext/>
              <w:keepLines/>
            </w:pPr>
            <w:r>
              <w:t>Linear LEDs</w:t>
            </w:r>
          </w:p>
        </w:tc>
        <w:tc>
          <w:tcPr>
            <w:tcW w:w="891" w:type="pct"/>
            <w:tcBorders>
              <w:top w:val="none" w:sz="0" w:space="0" w:color="auto"/>
              <w:left w:val="none" w:sz="0" w:space="0" w:color="auto"/>
              <w:bottom w:val="none" w:sz="0" w:space="0" w:color="auto"/>
              <w:right w:val="none" w:sz="0" w:space="0" w:color="auto"/>
            </w:tcBorders>
          </w:tcPr>
          <w:p w14:paraId="762BE32A" w14:textId="3CF153B8"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rsidRPr="00794F15">
              <w:t>188,922</w:t>
            </w:r>
          </w:p>
        </w:tc>
        <w:tc>
          <w:tcPr>
            <w:tcW w:w="1057" w:type="pct"/>
            <w:tcBorders>
              <w:top w:val="none" w:sz="0" w:space="0" w:color="auto"/>
              <w:left w:val="none" w:sz="0" w:space="0" w:color="auto"/>
              <w:bottom w:val="none" w:sz="0" w:space="0" w:color="auto"/>
              <w:right w:val="none" w:sz="0" w:space="0" w:color="auto"/>
            </w:tcBorders>
          </w:tcPr>
          <w:p w14:paraId="0CB6BBB8" w14:textId="66B5E632"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rsidRPr="00794F15">
              <w:t>9,003</w:t>
            </w:r>
          </w:p>
        </w:tc>
        <w:tc>
          <w:tcPr>
            <w:tcW w:w="975" w:type="pct"/>
            <w:tcBorders>
              <w:top w:val="none" w:sz="0" w:space="0" w:color="auto"/>
              <w:left w:val="none" w:sz="0" w:space="0" w:color="auto"/>
              <w:bottom w:val="none" w:sz="0" w:space="0" w:color="auto"/>
              <w:right w:val="none" w:sz="0" w:space="0" w:color="auto"/>
            </w:tcBorders>
          </w:tcPr>
          <w:p w14:paraId="594C4641" w14:textId="557D735B"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2.15</w:t>
            </w:r>
          </w:p>
        </w:tc>
      </w:tr>
      <w:tr w:rsidR="0050364C" w14:paraId="6ABEE9E9"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52472407" w14:textId="2247D0DE" w:rsidR="0050364C" w:rsidRPr="007367A8" w:rsidRDefault="0050364C" w:rsidP="00562725">
            <w:pPr>
              <w:keepNext/>
              <w:keepLines/>
            </w:pPr>
            <w:r>
              <w:t>Moguls</w:t>
            </w:r>
          </w:p>
        </w:tc>
        <w:tc>
          <w:tcPr>
            <w:tcW w:w="891" w:type="pct"/>
            <w:tcBorders>
              <w:top w:val="none" w:sz="0" w:space="0" w:color="auto"/>
              <w:left w:val="none" w:sz="0" w:space="0" w:color="auto"/>
              <w:bottom w:val="none" w:sz="0" w:space="0" w:color="auto"/>
              <w:right w:val="none" w:sz="0" w:space="0" w:color="auto"/>
            </w:tcBorders>
          </w:tcPr>
          <w:p w14:paraId="0E3DF630" w14:textId="767F2F96"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rsidRPr="00794F15">
              <w:t>5,198</w:t>
            </w:r>
          </w:p>
        </w:tc>
        <w:tc>
          <w:tcPr>
            <w:tcW w:w="1057" w:type="pct"/>
            <w:tcBorders>
              <w:top w:val="none" w:sz="0" w:space="0" w:color="auto"/>
              <w:left w:val="none" w:sz="0" w:space="0" w:color="auto"/>
              <w:bottom w:val="none" w:sz="0" w:space="0" w:color="auto"/>
              <w:right w:val="none" w:sz="0" w:space="0" w:color="auto"/>
            </w:tcBorders>
          </w:tcPr>
          <w:p w14:paraId="7A1A5A83" w14:textId="0C3E59E0"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2,374</w:t>
            </w:r>
          </w:p>
        </w:tc>
        <w:tc>
          <w:tcPr>
            <w:tcW w:w="975" w:type="pct"/>
            <w:tcBorders>
              <w:top w:val="none" w:sz="0" w:space="0" w:color="auto"/>
              <w:left w:val="none" w:sz="0" w:space="0" w:color="auto"/>
              <w:bottom w:val="none" w:sz="0" w:space="0" w:color="auto"/>
              <w:right w:val="none" w:sz="0" w:space="0" w:color="auto"/>
            </w:tcBorders>
          </w:tcPr>
          <w:p w14:paraId="600F53F1" w14:textId="27205642"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0.57</w:t>
            </w:r>
          </w:p>
        </w:tc>
      </w:tr>
      <w:tr w:rsidR="0050364C" w14:paraId="26930538"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2AA546BD" w14:textId="5B599DDB" w:rsidR="0050364C" w:rsidRDefault="0050364C" w:rsidP="00562725">
            <w:pPr>
              <w:keepNext/>
              <w:keepLines/>
            </w:pPr>
            <w:r>
              <w:t>Wall Packs</w:t>
            </w:r>
          </w:p>
        </w:tc>
        <w:tc>
          <w:tcPr>
            <w:tcW w:w="891" w:type="pct"/>
            <w:tcBorders>
              <w:top w:val="none" w:sz="0" w:space="0" w:color="auto"/>
              <w:left w:val="none" w:sz="0" w:space="0" w:color="auto"/>
              <w:bottom w:val="none" w:sz="0" w:space="0" w:color="auto"/>
              <w:right w:val="none" w:sz="0" w:space="0" w:color="auto"/>
            </w:tcBorders>
          </w:tcPr>
          <w:p w14:paraId="21979362" w14:textId="65DB0C37"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rsidRPr="00794F15">
              <w:t>1,227</w:t>
            </w:r>
          </w:p>
        </w:tc>
        <w:tc>
          <w:tcPr>
            <w:tcW w:w="1057" w:type="pct"/>
            <w:tcBorders>
              <w:top w:val="none" w:sz="0" w:space="0" w:color="auto"/>
              <w:left w:val="none" w:sz="0" w:space="0" w:color="auto"/>
              <w:bottom w:val="none" w:sz="0" w:space="0" w:color="auto"/>
              <w:right w:val="none" w:sz="0" w:space="0" w:color="auto"/>
            </w:tcBorders>
          </w:tcPr>
          <w:p w14:paraId="4EFDDE75" w14:textId="52435FAC"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889</w:t>
            </w:r>
          </w:p>
        </w:tc>
        <w:tc>
          <w:tcPr>
            <w:tcW w:w="975" w:type="pct"/>
            <w:tcBorders>
              <w:top w:val="none" w:sz="0" w:space="0" w:color="auto"/>
              <w:left w:val="none" w:sz="0" w:space="0" w:color="auto"/>
              <w:bottom w:val="none" w:sz="0" w:space="0" w:color="auto"/>
              <w:right w:val="none" w:sz="0" w:space="0" w:color="auto"/>
            </w:tcBorders>
          </w:tcPr>
          <w:p w14:paraId="7C4C0FC2" w14:textId="28DA8805"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0.19</w:t>
            </w:r>
          </w:p>
        </w:tc>
      </w:tr>
      <w:tr w:rsidR="0050364C" w14:paraId="39CC321C"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713C0943" w14:textId="590811E9" w:rsidR="0050364C" w:rsidRDefault="00240463" w:rsidP="00562725">
            <w:pPr>
              <w:keepNext/>
              <w:keepLines/>
            </w:pPr>
            <w:r>
              <w:t>Four-</w:t>
            </w:r>
            <w:r w:rsidR="0050364C">
              <w:t>Pin</w:t>
            </w:r>
            <w:r>
              <w:t xml:space="preserve"> </w:t>
            </w:r>
            <w:r w:rsidR="0050364C">
              <w:t>LEDs</w:t>
            </w:r>
          </w:p>
        </w:tc>
        <w:tc>
          <w:tcPr>
            <w:tcW w:w="891" w:type="pct"/>
            <w:tcBorders>
              <w:top w:val="none" w:sz="0" w:space="0" w:color="auto"/>
              <w:left w:val="none" w:sz="0" w:space="0" w:color="auto"/>
              <w:bottom w:val="none" w:sz="0" w:space="0" w:color="auto"/>
              <w:right w:val="none" w:sz="0" w:space="0" w:color="auto"/>
            </w:tcBorders>
          </w:tcPr>
          <w:p w14:paraId="273C39F7" w14:textId="1A5FE4BC"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rsidRPr="00794F15">
              <w:t>2,332</w:t>
            </w:r>
          </w:p>
        </w:tc>
        <w:tc>
          <w:tcPr>
            <w:tcW w:w="1057" w:type="pct"/>
            <w:tcBorders>
              <w:top w:val="none" w:sz="0" w:space="0" w:color="auto"/>
              <w:left w:val="none" w:sz="0" w:space="0" w:color="auto"/>
              <w:bottom w:val="none" w:sz="0" w:space="0" w:color="auto"/>
              <w:right w:val="none" w:sz="0" w:space="0" w:color="auto"/>
            </w:tcBorders>
          </w:tcPr>
          <w:p w14:paraId="4C887E7D" w14:textId="1931D43B"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129</w:t>
            </w:r>
          </w:p>
        </w:tc>
        <w:tc>
          <w:tcPr>
            <w:tcW w:w="975" w:type="pct"/>
            <w:tcBorders>
              <w:top w:val="none" w:sz="0" w:space="0" w:color="auto"/>
              <w:left w:val="none" w:sz="0" w:space="0" w:color="auto"/>
              <w:bottom w:val="none" w:sz="0" w:space="0" w:color="auto"/>
              <w:right w:val="none" w:sz="0" w:space="0" w:color="auto"/>
            </w:tcBorders>
          </w:tcPr>
          <w:p w14:paraId="2B695F5F" w14:textId="544C4DAE" w:rsidR="0050364C" w:rsidRPr="00794F1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pPr>
            <w:r>
              <w:t>0.03</w:t>
            </w:r>
          </w:p>
        </w:tc>
      </w:tr>
      <w:tr w:rsidR="0050364C" w14:paraId="2681C7DE"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6A2250B8" w14:textId="509F1C16" w:rsidR="0050364C" w:rsidRDefault="0050364C" w:rsidP="00562725">
            <w:pPr>
              <w:keepNext/>
              <w:keepLines/>
            </w:pPr>
            <w:r>
              <w:t>Exit Signs</w:t>
            </w:r>
          </w:p>
        </w:tc>
        <w:tc>
          <w:tcPr>
            <w:tcW w:w="891" w:type="pct"/>
            <w:tcBorders>
              <w:top w:val="none" w:sz="0" w:space="0" w:color="auto"/>
              <w:left w:val="none" w:sz="0" w:space="0" w:color="auto"/>
              <w:bottom w:val="none" w:sz="0" w:space="0" w:color="auto"/>
              <w:right w:val="none" w:sz="0" w:space="0" w:color="auto"/>
            </w:tcBorders>
          </w:tcPr>
          <w:p w14:paraId="417F80CE" w14:textId="6143EFAE"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rsidRPr="00794F15">
              <w:t>134</w:t>
            </w:r>
          </w:p>
        </w:tc>
        <w:tc>
          <w:tcPr>
            <w:tcW w:w="1057" w:type="pct"/>
            <w:tcBorders>
              <w:top w:val="none" w:sz="0" w:space="0" w:color="auto"/>
              <w:left w:val="none" w:sz="0" w:space="0" w:color="auto"/>
              <w:bottom w:val="none" w:sz="0" w:space="0" w:color="auto"/>
              <w:right w:val="none" w:sz="0" w:space="0" w:color="auto"/>
            </w:tcBorders>
          </w:tcPr>
          <w:p w14:paraId="537D3022" w14:textId="779D0D5E"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6</w:t>
            </w:r>
          </w:p>
        </w:tc>
        <w:tc>
          <w:tcPr>
            <w:tcW w:w="975" w:type="pct"/>
            <w:tcBorders>
              <w:top w:val="none" w:sz="0" w:space="0" w:color="auto"/>
              <w:left w:val="none" w:sz="0" w:space="0" w:color="auto"/>
              <w:bottom w:val="none" w:sz="0" w:space="0" w:color="auto"/>
              <w:right w:val="none" w:sz="0" w:space="0" w:color="auto"/>
            </w:tcBorders>
          </w:tcPr>
          <w:p w14:paraId="04AC6544" w14:textId="714DCEDB" w:rsidR="0050364C" w:rsidRPr="00794F15"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pPr>
            <w:r>
              <w:t>&lt;0.01</w:t>
            </w:r>
          </w:p>
        </w:tc>
      </w:tr>
      <w:tr w:rsidR="0050364C" w14:paraId="78BE379C"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392080DD" w14:textId="77777777" w:rsidR="0050364C" w:rsidRPr="007367A8" w:rsidRDefault="0050364C" w:rsidP="00562725">
            <w:pPr>
              <w:keepNext/>
              <w:keepLines/>
              <w:rPr>
                <w:i/>
                <w:iCs/>
              </w:rPr>
            </w:pPr>
            <w:r>
              <w:rPr>
                <w:i/>
                <w:iCs/>
              </w:rPr>
              <w:t>Public Sector Subtotal</w:t>
            </w:r>
          </w:p>
        </w:tc>
        <w:tc>
          <w:tcPr>
            <w:tcW w:w="891" w:type="pct"/>
            <w:tcBorders>
              <w:top w:val="none" w:sz="0" w:space="0" w:color="auto"/>
              <w:left w:val="none" w:sz="0" w:space="0" w:color="auto"/>
              <w:bottom w:val="none" w:sz="0" w:space="0" w:color="auto"/>
              <w:right w:val="none" w:sz="0" w:space="0" w:color="auto"/>
            </w:tcBorders>
          </w:tcPr>
          <w:p w14:paraId="2EFC635F" w14:textId="606E9F5F" w:rsidR="0050364C" w:rsidRPr="004E14E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197,813</w:t>
            </w:r>
          </w:p>
        </w:tc>
        <w:tc>
          <w:tcPr>
            <w:tcW w:w="1057" w:type="pct"/>
            <w:tcBorders>
              <w:top w:val="none" w:sz="0" w:space="0" w:color="auto"/>
              <w:left w:val="none" w:sz="0" w:space="0" w:color="auto"/>
              <w:bottom w:val="none" w:sz="0" w:space="0" w:color="auto"/>
              <w:right w:val="none" w:sz="0" w:space="0" w:color="auto"/>
            </w:tcBorders>
          </w:tcPr>
          <w:p w14:paraId="237CF91F" w14:textId="58975171" w:rsidR="0050364C" w:rsidRPr="004E14E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12,402</w:t>
            </w:r>
          </w:p>
        </w:tc>
        <w:tc>
          <w:tcPr>
            <w:tcW w:w="975" w:type="pct"/>
            <w:tcBorders>
              <w:top w:val="none" w:sz="0" w:space="0" w:color="auto"/>
              <w:left w:val="none" w:sz="0" w:space="0" w:color="auto"/>
              <w:bottom w:val="none" w:sz="0" w:space="0" w:color="auto"/>
              <w:right w:val="none" w:sz="0" w:space="0" w:color="auto"/>
            </w:tcBorders>
          </w:tcPr>
          <w:p w14:paraId="0C6DEA4A" w14:textId="2C6E9526" w:rsidR="0050364C" w:rsidRPr="004E14E5" w:rsidRDefault="0050364C" w:rsidP="00562725">
            <w:pPr>
              <w:keepNext/>
              <w:keepLines/>
              <w:jc w:val="right"/>
              <w:cnfStyle w:val="000000010000" w:firstRow="0" w:lastRow="0" w:firstColumn="0" w:lastColumn="0" w:oddVBand="0" w:evenVBand="0" w:oddHBand="0" w:evenHBand="1" w:firstRowFirstColumn="0" w:firstRowLastColumn="0" w:lastRowFirstColumn="0" w:lastRowLastColumn="0"/>
              <w:rPr>
                <w:i/>
                <w:iCs/>
              </w:rPr>
            </w:pPr>
            <w:r>
              <w:rPr>
                <w:i/>
                <w:iCs/>
              </w:rPr>
              <w:t>2.94</w:t>
            </w:r>
          </w:p>
        </w:tc>
      </w:tr>
      <w:tr w:rsidR="0050364C" w14:paraId="2817DE51"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pct"/>
            <w:tcBorders>
              <w:top w:val="none" w:sz="0" w:space="0" w:color="auto"/>
              <w:left w:val="none" w:sz="0" w:space="0" w:color="auto"/>
              <w:bottom w:val="none" w:sz="0" w:space="0" w:color="auto"/>
              <w:right w:val="none" w:sz="0" w:space="0" w:color="auto"/>
            </w:tcBorders>
          </w:tcPr>
          <w:p w14:paraId="346845B2" w14:textId="77777777" w:rsidR="0050364C" w:rsidRPr="00210097" w:rsidRDefault="0050364C" w:rsidP="00562725">
            <w:pPr>
              <w:keepNext/>
              <w:keepLines/>
              <w:rPr>
                <w:rFonts w:ascii="Franklin Gothic Medium" w:hAnsi="Franklin Gothic Medium"/>
              </w:rPr>
            </w:pPr>
            <w:r w:rsidRPr="00210097">
              <w:rPr>
                <w:rFonts w:ascii="Franklin Gothic Medium" w:hAnsi="Franklin Gothic Medium"/>
              </w:rPr>
              <w:t>Total</w:t>
            </w:r>
          </w:p>
        </w:tc>
        <w:tc>
          <w:tcPr>
            <w:tcW w:w="891" w:type="pct"/>
            <w:tcBorders>
              <w:top w:val="none" w:sz="0" w:space="0" w:color="auto"/>
              <w:left w:val="none" w:sz="0" w:space="0" w:color="auto"/>
              <w:bottom w:val="none" w:sz="0" w:space="0" w:color="auto"/>
              <w:right w:val="none" w:sz="0" w:space="0" w:color="auto"/>
            </w:tcBorders>
          </w:tcPr>
          <w:p w14:paraId="1F469868" w14:textId="4B58E3F6" w:rsidR="0050364C" w:rsidRPr="00210097"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446,310</w:t>
            </w:r>
          </w:p>
        </w:tc>
        <w:tc>
          <w:tcPr>
            <w:tcW w:w="1057" w:type="pct"/>
            <w:tcBorders>
              <w:top w:val="none" w:sz="0" w:space="0" w:color="auto"/>
              <w:left w:val="none" w:sz="0" w:space="0" w:color="auto"/>
              <w:bottom w:val="none" w:sz="0" w:space="0" w:color="auto"/>
              <w:right w:val="none" w:sz="0" w:space="0" w:color="auto"/>
            </w:tcBorders>
          </w:tcPr>
          <w:p w14:paraId="72517FFB" w14:textId="4319830A" w:rsidR="0050364C" w:rsidRPr="00210097"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28,461</w:t>
            </w:r>
          </w:p>
        </w:tc>
        <w:tc>
          <w:tcPr>
            <w:tcW w:w="975" w:type="pct"/>
            <w:tcBorders>
              <w:top w:val="none" w:sz="0" w:space="0" w:color="auto"/>
              <w:left w:val="none" w:sz="0" w:space="0" w:color="auto"/>
              <w:bottom w:val="none" w:sz="0" w:space="0" w:color="auto"/>
              <w:right w:val="none" w:sz="0" w:space="0" w:color="auto"/>
            </w:tcBorders>
          </w:tcPr>
          <w:p w14:paraId="3BA7B4D9" w14:textId="09837D54" w:rsidR="0050364C" w:rsidRPr="00210097" w:rsidRDefault="0050364C" w:rsidP="00562725">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210097">
              <w:rPr>
                <w:rFonts w:ascii="Franklin Gothic Medium" w:hAnsi="Franklin Gothic Medium"/>
              </w:rPr>
              <w:t>6.74</w:t>
            </w:r>
          </w:p>
        </w:tc>
      </w:tr>
    </w:tbl>
    <w:p w14:paraId="36B88033" w14:textId="4466B9EC" w:rsidR="00D350AE" w:rsidRPr="00512EF9" w:rsidRDefault="00D350AE" w:rsidP="00562725">
      <w:pPr>
        <w:keepNext/>
        <w:keepLines/>
        <w:spacing w:before="40" w:after="60" w:line="240" w:lineRule="auto"/>
        <w:rPr>
          <w:bCs/>
          <w:sz w:val="18"/>
          <w:szCs w:val="20"/>
        </w:rPr>
      </w:pPr>
      <w:r w:rsidRPr="00512EF9">
        <w:rPr>
          <w:bCs/>
          <w:sz w:val="18"/>
          <w:szCs w:val="20"/>
          <w:vertAlign w:val="superscript"/>
        </w:rPr>
        <w:t>a</w:t>
      </w:r>
      <w:r w:rsidR="00901A80">
        <w:rPr>
          <w:bCs/>
          <w:sz w:val="18"/>
          <w:szCs w:val="20"/>
          <w:vertAlign w:val="superscript"/>
        </w:rPr>
        <w:t xml:space="preserve"> </w:t>
      </w:r>
      <w:r w:rsidRPr="00512EF9">
        <w:rPr>
          <w:bCs/>
          <w:sz w:val="18"/>
          <w:szCs w:val="20"/>
        </w:rPr>
        <w:t xml:space="preserve">The project counts, measure counts, and ex ante savings values presented in the </w:t>
      </w:r>
      <w:r w:rsidR="00875F07" w:rsidRPr="00875F07">
        <w:rPr>
          <w:bCs/>
          <w:sz w:val="18"/>
          <w:szCs w:val="20"/>
        </w:rPr>
        <w:t>Private Sector subsection of this table include State and Federal facilities</w:t>
      </w:r>
      <w:r w:rsidR="002C3C5A">
        <w:rPr>
          <w:bCs/>
          <w:sz w:val="18"/>
          <w:szCs w:val="20"/>
        </w:rPr>
        <w:t>,</w:t>
      </w:r>
      <w:r w:rsidR="00875F07" w:rsidRPr="00875F07">
        <w:rPr>
          <w:bCs/>
          <w:sz w:val="18"/>
          <w:szCs w:val="20"/>
        </w:rPr>
        <w:t xml:space="preserve"> as these facility types are not </w:t>
      </w:r>
      <w:r w:rsidRPr="00512EF9">
        <w:rPr>
          <w:bCs/>
          <w:sz w:val="18"/>
          <w:szCs w:val="20"/>
        </w:rPr>
        <w:t>included in the list of customer types covered in the public sector minimum funding requirements in subsection (c) of 220 ILCS 5/8-103B and subsection (e) of 220 ILCS 5/8-104.</w:t>
      </w:r>
    </w:p>
    <w:p w14:paraId="1E94E247" w14:textId="135DCEBB" w:rsidR="00D350AE" w:rsidRDefault="00AC64E0" w:rsidP="00D350AE">
      <w:pPr>
        <w:spacing w:before="240"/>
      </w:pPr>
      <w:r>
        <w:fldChar w:fldCharType="begin"/>
      </w:r>
      <w:r>
        <w:instrText xml:space="preserve"> REF _Ref189053645 \h </w:instrText>
      </w:r>
      <w:r>
        <w:fldChar w:fldCharType="separate"/>
      </w:r>
      <w:r w:rsidR="00AA10F4">
        <w:t xml:space="preserve">Table </w:t>
      </w:r>
      <w:r w:rsidR="00AA10F4">
        <w:rPr>
          <w:noProof/>
        </w:rPr>
        <w:t>68</w:t>
      </w:r>
      <w:r>
        <w:fldChar w:fldCharType="end"/>
      </w:r>
      <w:r>
        <w:t xml:space="preserve"> presents information on distributor participation in the channel. In total, </w:t>
      </w:r>
      <w:r w:rsidR="006E2B4E">
        <w:t>42</w:t>
      </w:r>
      <w:r>
        <w:t xml:space="preserve"> distributors participated in the channel in 2024</w:t>
      </w:r>
      <w:r w:rsidR="001374B5">
        <w:t xml:space="preserve"> </w:t>
      </w:r>
      <w:r>
        <w:t xml:space="preserve">compared to </w:t>
      </w:r>
      <w:r w:rsidR="002C3C5A">
        <w:t xml:space="preserve">41 </w:t>
      </w:r>
      <w:r>
        <w:t xml:space="preserve">in 2023. In total, these distributors completed </w:t>
      </w:r>
      <w:r w:rsidR="006E2B4E">
        <w:t>729</w:t>
      </w:r>
      <w:r>
        <w:t xml:space="preserve"> projects. </w:t>
      </w:r>
      <w:r>
        <w:fldChar w:fldCharType="begin"/>
      </w:r>
      <w:r>
        <w:instrText xml:space="preserve"> REF _Ref189053645 \h </w:instrText>
      </w:r>
      <w:r>
        <w:fldChar w:fldCharType="separate"/>
      </w:r>
      <w:r w:rsidR="00AA10F4">
        <w:t xml:space="preserve">Table </w:t>
      </w:r>
      <w:r w:rsidR="00AA10F4">
        <w:rPr>
          <w:noProof/>
        </w:rPr>
        <w:t>68</w:t>
      </w:r>
      <w:r>
        <w:fldChar w:fldCharType="end"/>
      </w:r>
      <w:r>
        <w:t xml:space="preserve"> presents information on the ten distributors most active </w:t>
      </w:r>
      <w:r w:rsidR="00E258E7">
        <w:t>in the</w:t>
      </w:r>
      <w:r>
        <w:t xml:space="preserve"> channel in 2024. </w:t>
      </w:r>
    </w:p>
    <w:p w14:paraId="4C83A5B1" w14:textId="555AEE65" w:rsidR="003B561E" w:rsidRDefault="00AC64E0" w:rsidP="00881B1B">
      <w:pPr>
        <w:pStyle w:val="Caption"/>
      </w:pPr>
      <w:bookmarkStart w:id="304" w:name="_Ref189053645"/>
      <w:bookmarkStart w:id="305" w:name="_Toc191992589"/>
      <w:bookmarkStart w:id="306" w:name="_Toc192767002"/>
      <w:r>
        <w:t xml:space="preserve">Table </w:t>
      </w:r>
      <w:r w:rsidR="009B4C9A">
        <w:fldChar w:fldCharType="begin"/>
      </w:r>
      <w:r w:rsidR="009B4C9A">
        <w:instrText xml:space="preserve"> SEQ Table \* ARABIC </w:instrText>
      </w:r>
      <w:r w:rsidR="009B4C9A">
        <w:fldChar w:fldCharType="separate"/>
      </w:r>
      <w:r w:rsidR="00AA10F4">
        <w:rPr>
          <w:noProof/>
        </w:rPr>
        <w:t>68</w:t>
      </w:r>
      <w:r w:rsidR="009B4C9A">
        <w:rPr>
          <w:noProof/>
        </w:rPr>
        <w:fldChar w:fldCharType="end"/>
      </w:r>
      <w:bookmarkEnd w:id="304"/>
      <w:r>
        <w:t>. 2024 Midstream Lighting Channel Participating Distributor Summary</w:t>
      </w:r>
      <w:bookmarkEnd w:id="305"/>
      <w:bookmarkEnd w:id="306"/>
    </w:p>
    <w:tbl>
      <w:tblPr>
        <w:tblStyle w:val="ODCBasic-1"/>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3698"/>
        <w:gridCol w:w="3699"/>
        <w:gridCol w:w="3699"/>
      </w:tblGrid>
      <w:tr w:rsidR="003B561E" w14:paraId="6741BB56" w14:textId="77777777" w:rsidTr="00BC69D4">
        <w:trPr>
          <w:cnfStyle w:val="100000000000" w:firstRow="1" w:lastRow="0" w:firstColumn="0" w:lastColumn="0" w:oddVBand="0" w:evenVBand="0" w:oddHBand="0" w:evenHBand="0" w:firstRowFirstColumn="0" w:firstRowLastColumn="0" w:lastRowFirstColumn="0" w:lastRowLastColumn="0"/>
          <w:trHeight w:val="461"/>
          <w:tblHeader/>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71784D3E" w14:textId="46038677" w:rsidR="003B561E" w:rsidRPr="00625570" w:rsidRDefault="003B561E" w:rsidP="001A2AF7">
            <w:pPr>
              <w:pStyle w:val="TableHeadingLeft"/>
            </w:pPr>
            <w:r>
              <w:t>Distributor</w:t>
            </w:r>
          </w:p>
        </w:tc>
        <w:tc>
          <w:tcPr>
            <w:tcW w:w="1667" w:type="pct"/>
            <w:tcBorders>
              <w:bottom w:val="none" w:sz="0" w:space="0" w:color="auto"/>
            </w:tcBorders>
          </w:tcPr>
          <w:p w14:paraId="2F382A7A" w14:textId="442A0E32" w:rsidR="003B561E" w:rsidRPr="00625570" w:rsidRDefault="003B561E" w:rsidP="001A2AF7">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1667" w:type="pct"/>
            <w:tcBorders>
              <w:bottom w:val="none" w:sz="0" w:space="0" w:color="auto"/>
            </w:tcBorders>
          </w:tcPr>
          <w:p w14:paraId="18C253FA" w14:textId="55A48659" w:rsidR="003B561E" w:rsidRPr="00625570" w:rsidRDefault="003B561E" w:rsidP="001A2AF7">
            <w:pPr>
              <w:pStyle w:val="TableHeadingCentered"/>
              <w:cnfStyle w:val="100000000000" w:firstRow="1" w:lastRow="0" w:firstColumn="0" w:lastColumn="0" w:oddVBand="0" w:evenVBand="0" w:oddHBand="0" w:evenHBand="0" w:firstRowFirstColumn="0" w:firstRowLastColumn="0" w:lastRowFirstColumn="0" w:lastRowLastColumn="0"/>
            </w:pPr>
            <w:r>
              <w:t>Share of Total (n=729)</w:t>
            </w:r>
          </w:p>
        </w:tc>
      </w:tr>
      <w:tr w:rsidR="003B561E" w14:paraId="12AC11B3" w14:textId="77777777" w:rsidTr="00562725">
        <w:trPr>
          <w:cnfStyle w:val="000000100000" w:firstRow="0" w:lastRow="0" w:firstColumn="0" w:lastColumn="0" w:oddVBand="0" w:evenVBand="0" w:oddHBand="1" w:evenHBand="0"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5FBCC10F" w14:textId="44A4444E" w:rsidR="003B561E" w:rsidRPr="00625570" w:rsidRDefault="003B561E" w:rsidP="00210097">
            <w:pPr>
              <w:pStyle w:val="TableLeftText"/>
            </w:pPr>
            <w:r w:rsidRPr="00504625">
              <w:t>Ally 1</w:t>
            </w:r>
          </w:p>
        </w:tc>
        <w:tc>
          <w:tcPr>
            <w:tcW w:w="1667" w:type="pct"/>
            <w:tcBorders>
              <w:top w:val="none" w:sz="0" w:space="0" w:color="auto"/>
              <w:left w:val="none" w:sz="0" w:space="0" w:color="auto"/>
              <w:bottom w:val="none" w:sz="0" w:space="0" w:color="auto"/>
              <w:right w:val="none" w:sz="0" w:space="0" w:color="auto"/>
            </w:tcBorders>
          </w:tcPr>
          <w:p w14:paraId="67474F16" w14:textId="724C8EC4"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pPr>
            <w:r w:rsidRPr="00504625">
              <w:t>2</w:t>
            </w:r>
            <w:r w:rsidR="003F24FC">
              <w:t>8</w:t>
            </w:r>
            <w:r w:rsidRPr="00504625">
              <w:t>2</w:t>
            </w:r>
          </w:p>
        </w:tc>
        <w:tc>
          <w:tcPr>
            <w:tcW w:w="1667" w:type="pct"/>
            <w:tcBorders>
              <w:top w:val="none" w:sz="0" w:space="0" w:color="auto"/>
              <w:left w:val="none" w:sz="0" w:space="0" w:color="auto"/>
              <w:bottom w:val="none" w:sz="0" w:space="0" w:color="auto"/>
              <w:right w:val="none" w:sz="0" w:space="0" w:color="auto"/>
            </w:tcBorders>
          </w:tcPr>
          <w:p w14:paraId="35B1FBC0" w14:textId="555E7D19" w:rsidR="003B561E" w:rsidRPr="000B7901" w:rsidRDefault="003F24FC" w:rsidP="00210097">
            <w:pPr>
              <w:pStyle w:val="TableCenterText"/>
              <w:cnfStyle w:val="000000100000" w:firstRow="0" w:lastRow="0" w:firstColumn="0" w:lastColumn="0" w:oddVBand="0" w:evenVBand="0" w:oddHBand="1" w:evenHBand="0" w:firstRowFirstColumn="0" w:firstRowLastColumn="0" w:lastRowFirstColumn="0" w:lastRowLastColumn="0"/>
            </w:pPr>
            <w:r>
              <w:t>39</w:t>
            </w:r>
            <w:r w:rsidR="003B561E" w:rsidRPr="00504625">
              <w:t>%</w:t>
            </w:r>
          </w:p>
        </w:tc>
      </w:tr>
      <w:tr w:rsidR="003B561E" w14:paraId="21E66033" w14:textId="77777777" w:rsidTr="00562725">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6E2FA856" w14:textId="4503FB38" w:rsidR="003B561E" w:rsidRPr="00625570" w:rsidRDefault="003B561E" w:rsidP="00210097">
            <w:pPr>
              <w:pStyle w:val="TableLeftText"/>
            </w:pPr>
            <w:r w:rsidRPr="00504625">
              <w:t>Ally 4</w:t>
            </w:r>
          </w:p>
        </w:tc>
        <w:tc>
          <w:tcPr>
            <w:tcW w:w="1667" w:type="pct"/>
            <w:tcBorders>
              <w:top w:val="none" w:sz="0" w:space="0" w:color="auto"/>
              <w:left w:val="none" w:sz="0" w:space="0" w:color="auto"/>
              <w:bottom w:val="none" w:sz="0" w:space="0" w:color="auto"/>
              <w:right w:val="none" w:sz="0" w:space="0" w:color="auto"/>
            </w:tcBorders>
          </w:tcPr>
          <w:p w14:paraId="3559E0CE" w14:textId="44C961B8"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57</w:t>
            </w:r>
          </w:p>
        </w:tc>
        <w:tc>
          <w:tcPr>
            <w:tcW w:w="1667" w:type="pct"/>
            <w:tcBorders>
              <w:top w:val="none" w:sz="0" w:space="0" w:color="auto"/>
              <w:left w:val="none" w:sz="0" w:space="0" w:color="auto"/>
              <w:bottom w:val="none" w:sz="0" w:space="0" w:color="auto"/>
              <w:right w:val="none" w:sz="0" w:space="0" w:color="auto"/>
            </w:tcBorders>
          </w:tcPr>
          <w:p w14:paraId="54121886" w14:textId="7CB6A988"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8%</w:t>
            </w:r>
          </w:p>
        </w:tc>
      </w:tr>
      <w:tr w:rsidR="003B561E" w14:paraId="38F148B9" w14:textId="77777777" w:rsidTr="00562725">
        <w:trPr>
          <w:cnfStyle w:val="000000100000" w:firstRow="0" w:lastRow="0" w:firstColumn="0" w:lastColumn="0" w:oddVBand="0" w:evenVBand="0" w:oddHBand="1" w:evenHBand="0"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1E05535B" w14:textId="3CF0A5FD" w:rsidR="003B561E" w:rsidRPr="00625570" w:rsidRDefault="003B561E" w:rsidP="00210097">
            <w:pPr>
              <w:pStyle w:val="TableLeftText"/>
            </w:pPr>
            <w:r w:rsidRPr="00504625">
              <w:t>Ally 2</w:t>
            </w:r>
            <w:r w:rsidR="003F24FC">
              <w:t>5</w:t>
            </w:r>
          </w:p>
        </w:tc>
        <w:tc>
          <w:tcPr>
            <w:tcW w:w="1667" w:type="pct"/>
            <w:tcBorders>
              <w:top w:val="none" w:sz="0" w:space="0" w:color="auto"/>
              <w:left w:val="none" w:sz="0" w:space="0" w:color="auto"/>
              <w:bottom w:val="none" w:sz="0" w:space="0" w:color="auto"/>
              <w:right w:val="none" w:sz="0" w:space="0" w:color="auto"/>
            </w:tcBorders>
          </w:tcPr>
          <w:p w14:paraId="4D5B80D5" w14:textId="02F3A39E"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pPr>
            <w:r w:rsidRPr="00504625">
              <w:t>36</w:t>
            </w:r>
          </w:p>
        </w:tc>
        <w:tc>
          <w:tcPr>
            <w:tcW w:w="1667" w:type="pct"/>
            <w:tcBorders>
              <w:top w:val="none" w:sz="0" w:space="0" w:color="auto"/>
              <w:left w:val="none" w:sz="0" w:space="0" w:color="auto"/>
              <w:bottom w:val="none" w:sz="0" w:space="0" w:color="auto"/>
              <w:right w:val="none" w:sz="0" w:space="0" w:color="auto"/>
            </w:tcBorders>
          </w:tcPr>
          <w:p w14:paraId="4A6A3CC0" w14:textId="57D890D4"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pPr>
            <w:r w:rsidRPr="00504625">
              <w:t>5%</w:t>
            </w:r>
          </w:p>
        </w:tc>
      </w:tr>
      <w:tr w:rsidR="003B561E" w14:paraId="72CC3776" w14:textId="77777777" w:rsidTr="00562725">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1B7FA16C" w14:textId="2462EF02" w:rsidR="003B561E" w:rsidRPr="00625570" w:rsidRDefault="003B561E" w:rsidP="00210097">
            <w:pPr>
              <w:pStyle w:val="TableLeftText"/>
            </w:pPr>
            <w:r w:rsidRPr="00504625">
              <w:t>Ally 2</w:t>
            </w:r>
            <w:r w:rsidR="003F24FC">
              <w:t>6</w:t>
            </w:r>
          </w:p>
        </w:tc>
        <w:tc>
          <w:tcPr>
            <w:tcW w:w="1667" w:type="pct"/>
            <w:tcBorders>
              <w:top w:val="none" w:sz="0" w:space="0" w:color="auto"/>
              <w:left w:val="none" w:sz="0" w:space="0" w:color="auto"/>
              <w:bottom w:val="none" w:sz="0" w:space="0" w:color="auto"/>
              <w:right w:val="none" w:sz="0" w:space="0" w:color="auto"/>
            </w:tcBorders>
          </w:tcPr>
          <w:p w14:paraId="0A607944" w14:textId="3F1C3836"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36</w:t>
            </w:r>
          </w:p>
        </w:tc>
        <w:tc>
          <w:tcPr>
            <w:tcW w:w="1667" w:type="pct"/>
            <w:tcBorders>
              <w:top w:val="none" w:sz="0" w:space="0" w:color="auto"/>
              <w:left w:val="none" w:sz="0" w:space="0" w:color="auto"/>
              <w:bottom w:val="none" w:sz="0" w:space="0" w:color="auto"/>
              <w:right w:val="none" w:sz="0" w:space="0" w:color="auto"/>
            </w:tcBorders>
          </w:tcPr>
          <w:p w14:paraId="3218CEB1" w14:textId="38A55452"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5%</w:t>
            </w:r>
          </w:p>
        </w:tc>
      </w:tr>
      <w:tr w:rsidR="003B561E" w14:paraId="7BCA11B0" w14:textId="77777777" w:rsidTr="00562725">
        <w:trPr>
          <w:cnfStyle w:val="000000100000" w:firstRow="0" w:lastRow="0" w:firstColumn="0" w:lastColumn="0" w:oddVBand="0" w:evenVBand="0" w:oddHBand="1" w:evenHBand="0"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1F789F95" w14:textId="4DD6968E" w:rsidR="003B561E" w:rsidRPr="00625570" w:rsidRDefault="003B561E" w:rsidP="00210097">
            <w:pPr>
              <w:pStyle w:val="TableLeftText"/>
            </w:pPr>
            <w:r w:rsidRPr="00504625">
              <w:t>Ally 2</w:t>
            </w:r>
            <w:r w:rsidR="003F24FC">
              <w:t>7</w:t>
            </w:r>
          </w:p>
        </w:tc>
        <w:tc>
          <w:tcPr>
            <w:tcW w:w="1667" w:type="pct"/>
            <w:tcBorders>
              <w:top w:val="none" w:sz="0" w:space="0" w:color="auto"/>
              <w:left w:val="none" w:sz="0" w:space="0" w:color="auto"/>
              <w:bottom w:val="none" w:sz="0" w:space="0" w:color="auto"/>
              <w:right w:val="none" w:sz="0" w:space="0" w:color="auto"/>
            </w:tcBorders>
          </w:tcPr>
          <w:p w14:paraId="718ED864" w14:textId="78738049"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pPr>
            <w:r w:rsidRPr="00504625">
              <w:t>33</w:t>
            </w:r>
          </w:p>
        </w:tc>
        <w:tc>
          <w:tcPr>
            <w:tcW w:w="1667" w:type="pct"/>
            <w:tcBorders>
              <w:top w:val="none" w:sz="0" w:space="0" w:color="auto"/>
              <w:left w:val="none" w:sz="0" w:space="0" w:color="auto"/>
              <w:bottom w:val="none" w:sz="0" w:space="0" w:color="auto"/>
              <w:right w:val="none" w:sz="0" w:space="0" w:color="auto"/>
            </w:tcBorders>
          </w:tcPr>
          <w:p w14:paraId="10105630" w14:textId="020D56BA"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pPr>
            <w:r w:rsidRPr="00504625">
              <w:t>5%</w:t>
            </w:r>
          </w:p>
        </w:tc>
      </w:tr>
      <w:tr w:rsidR="003B561E" w14:paraId="67C71EA5" w14:textId="77777777" w:rsidTr="00562725">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12158C8B" w14:textId="1C301B13" w:rsidR="003B561E" w:rsidRPr="00625570" w:rsidRDefault="003B561E" w:rsidP="00210097">
            <w:pPr>
              <w:pStyle w:val="TableLeftText"/>
            </w:pPr>
            <w:r w:rsidRPr="00504625">
              <w:t>Ally 2</w:t>
            </w:r>
          </w:p>
        </w:tc>
        <w:tc>
          <w:tcPr>
            <w:tcW w:w="1667" w:type="pct"/>
            <w:tcBorders>
              <w:top w:val="none" w:sz="0" w:space="0" w:color="auto"/>
              <w:left w:val="none" w:sz="0" w:space="0" w:color="auto"/>
              <w:bottom w:val="none" w:sz="0" w:space="0" w:color="auto"/>
              <w:right w:val="none" w:sz="0" w:space="0" w:color="auto"/>
            </w:tcBorders>
          </w:tcPr>
          <w:p w14:paraId="5FBD70DC" w14:textId="7C8B57DA"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30</w:t>
            </w:r>
          </w:p>
        </w:tc>
        <w:tc>
          <w:tcPr>
            <w:tcW w:w="1667" w:type="pct"/>
            <w:tcBorders>
              <w:top w:val="none" w:sz="0" w:space="0" w:color="auto"/>
              <w:left w:val="none" w:sz="0" w:space="0" w:color="auto"/>
              <w:bottom w:val="none" w:sz="0" w:space="0" w:color="auto"/>
              <w:right w:val="none" w:sz="0" w:space="0" w:color="auto"/>
            </w:tcBorders>
          </w:tcPr>
          <w:p w14:paraId="019F82E4" w14:textId="08B64FFE"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pPr>
            <w:r w:rsidRPr="00504625">
              <w:t>4%</w:t>
            </w:r>
          </w:p>
        </w:tc>
      </w:tr>
      <w:tr w:rsidR="003B561E" w14:paraId="062A781B" w14:textId="77777777" w:rsidTr="00562725">
        <w:trPr>
          <w:cnfStyle w:val="000000100000" w:firstRow="0" w:lastRow="0" w:firstColumn="0" w:lastColumn="0" w:oddVBand="0" w:evenVBand="0" w:oddHBand="1" w:evenHBand="0"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5CEF7F66" w14:textId="7F1E192E" w:rsidR="003B561E" w:rsidRPr="003B561E" w:rsidRDefault="003B561E" w:rsidP="00210097">
            <w:pPr>
              <w:pStyle w:val="TableTextLeftMedium"/>
              <w:rPr>
                <w:rFonts w:asciiTheme="minorHAnsi" w:hAnsiTheme="minorHAnsi"/>
              </w:rPr>
            </w:pPr>
            <w:r w:rsidRPr="003B561E">
              <w:rPr>
                <w:rFonts w:asciiTheme="minorHAnsi" w:hAnsiTheme="minorHAnsi"/>
              </w:rPr>
              <w:t>Ally 2</w:t>
            </w:r>
            <w:r w:rsidR="003F24FC">
              <w:rPr>
                <w:rFonts w:asciiTheme="minorHAnsi" w:hAnsiTheme="minorHAnsi"/>
              </w:rPr>
              <w:t>8</w:t>
            </w:r>
          </w:p>
        </w:tc>
        <w:tc>
          <w:tcPr>
            <w:tcW w:w="1667" w:type="pct"/>
            <w:tcBorders>
              <w:top w:val="none" w:sz="0" w:space="0" w:color="auto"/>
              <w:left w:val="none" w:sz="0" w:space="0" w:color="auto"/>
              <w:bottom w:val="none" w:sz="0" w:space="0" w:color="auto"/>
              <w:right w:val="none" w:sz="0" w:space="0" w:color="auto"/>
            </w:tcBorders>
          </w:tcPr>
          <w:p w14:paraId="6AF755A0" w14:textId="4B3CCF70"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rPr>
                <w:b/>
                <w:bCs/>
              </w:rPr>
            </w:pPr>
            <w:r w:rsidRPr="00504625">
              <w:t>25</w:t>
            </w:r>
          </w:p>
        </w:tc>
        <w:tc>
          <w:tcPr>
            <w:tcW w:w="1667" w:type="pct"/>
            <w:tcBorders>
              <w:top w:val="none" w:sz="0" w:space="0" w:color="auto"/>
              <w:left w:val="none" w:sz="0" w:space="0" w:color="auto"/>
              <w:bottom w:val="none" w:sz="0" w:space="0" w:color="auto"/>
              <w:right w:val="none" w:sz="0" w:space="0" w:color="auto"/>
            </w:tcBorders>
          </w:tcPr>
          <w:p w14:paraId="2D9CD8B5" w14:textId="76EED167"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rPr>
                <w:b/>
                <w:bCs/>
              </w:rPr>
            </w:pPr>
            <w:r w:rsidRPr="00504625">
              <w:t>3%</w:t>
            </w:r>
          </w:p>
        </w:tc>
      </w:tr>
      <w:tr w:rsidR="003B561E" w14:paraId="7B8BDFE0" w14:textId="77777777" w:rsidTr="00562725">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73A50BD8" w14:textId="10309C2C" w:rsidR="003B561E" w:rsidRPr="003B561E" w:rsidRDefault="003B561E" w:rsidP="00210097">
            <w:pPr>
              <w:pStyle w:val="TableTextLeftMedium"/>
              <w:rPr>
                <w:rFonts w:asciiTheme="minorHAnsi" w:hAnsiTheme="minorHAnsi"/>
              </w:rPr>
            </w:pPr>
            <w:r w:rsidRPr="003B561E">
              <w:rPr>
                <w:rFonts w:asciiTheme="minorHAnsi" w:hAnsiTheme="minorHAnsi"/>
              </w:rPr>
              <w:t>Ally 2</w:t>
            </w:r>
            <w:r w:rsidR="003F24FC">
              <w:rPr>
                <w:rFonts w:asciiTheme="minorHAnsi" w:hAnsiTheme="minorHAnsi"/>
              </w:rPr>
              <w:t>9</w:t>
            </w:r>
          </w:p>
        </w:tc>
        <w:tc>
          <w:tcPr>
            <w:tcW w:w="1667" w:type="pct"/>
            <w:tcBorders>
              <w:top w:val="none" w:sz="0" w:space="0" w:color="auto"/>
              <w:left w:val="none" w:sz="0" w:space="0" w:color="auto"/>
              <w:bottom w:val="none" w:sz="0" w:space="0" w:color="auto"/>
              <w:right w:val="none" w:sz="0" w:space="0" w:color="auto"/>
            </w:tcBorders>
          </w:tcPr>
          <w:p w14:paraId="1DC45355" w14:textId="4C971EF5"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rPr>
                <w:b/>
                <w:bCs/>
              </w:rPr>
            </w:pPr>
            <w:r w:rsidRPr="00504625">
              <w:t>19</w:t>
            </w:r>
          </w:p>
        </w:tc>
        <w:tc>
          <w:tcPr>
            <w:tcW w:w="1667" w:type="pct"/>
            <w:tcBorders>
              <w:top w:val="none" w:sz="0" w:space="0" w:color="auto"/>
              <w:left w:val="none" w:sz="0" w:space="0" w:color="auto"/>
              <w:bottom w:val="none" w:sz="0" w:space="0" w:color="auto"/>
              <w:right w:val="none" w:sz="0" w:space="0" w:color="auto"/>
            </w:tcBorders>
          </w:tcPr>
          <w:p w14:paraId="0FBDB315" w14:textId="5C8B83F4"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rPr>
                <w:b/>
                <w:bCs/>
              </w:rPr>
            </w:pPr>
            <w:r w:rsidRPr="00504625">
              <w:t>3%</w:t>
            </w:r>
          </w:p>
        </w:tc>
      </w:tr>
      <w:tr w:rsidR="003B561E" w14:paraId="37F50586" w14:textId="77777777" w:rsidTr="00562725">
        <w:trPr>
          <w:cnfStyle w:val="000000100000" w:firstRow="0" w:lastRow="0" w:firstColumn="0" w:lastColumn="0" w:oddVBand="0" w:evenVBand="0" w:oddHBand="1" w:evenHBand="0"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40189DDE" w14:textId="7C3168AA" w:rsidR="003B561E" w:rsidRPr="003B561E" w:rsidRDefault="003B561E" w:rsidP="00210097">
            <w:pPr>
              <w:pStyle w:val="TableTextLeftMedium"/>
              <w:rPr>
                <w:rFonts w:asciiTheme="minorHAnsi" w:hAnsiTheme="minorHAnsi"/>
              </w:rPr>
            </w:pPr>
            <w:r w:rsidRPr="003B561E">
              <w:rPr>
                <w:rFonts w:asciiTheme="minorHAnsi" w:hAnsiTheme="minorHAnsi"/>
              </w:rPr>
              <w:t xml:space="preserve">Ally </w:t>
            </w:r>
            <w:r w:rsidR="003F24FC">
              <w:rPr>
                <w:rFonts w:asciiTheme="minorHAnsi" w:hAnsiTheme="minorHAnsi"/>
              </w:rPr>
              <w:t>30</w:t>
            </w:r>
          </w:p>
        </w:tc>
        <w:tc>
          <w:tcPr>
            <w:tcW w:w="1667" w:type="pct"/>
            <w:tcBorders>
              <w:top w:val="none" w:sz="0" w:space="0" w:color="auto"/>
              <w:left w:val="none" w:sz="0" w:space="0" w:color="auto"/>
              <w:bottom w:val="none" w:sz="0" w:space="0" w:color="auto"/>
              <w:right w:val="none" w:sz="0" w:space="0" w:color="auto"/>
            </w:tcBorders>
          </w:tcPr>
          <w:p w14:paraId="0B6D337B" w14:textId="3B5CB756"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rPr>
                <w:b/>
                <w:bCs/>
              </w:rPr>
            </w:pPr>
            <w:r w:rsidRPr="00504625">
              <w:t>17</w:t>
            </w:r>
          </w:p>
        </w:tc>
        <w:tc>
          <w:tcPr>
            <w:tcW w:w="1667" w:type="pct"/>
            <w:tcBorders>
              <w:top w:val="none" w:sz="0" w:space="0" w:color="auto"/>
              <w:left w:val="none" w:sz="0" w:space="0" w:color="auto"/>
              <w:bottom w:val="none" w:sz="0" w:space="0" w:color="auto"/>
              <w:right w:val="none" w:sz="0" w:space="0" w:color="auto"/>
            </w:tcBorders>
          </w:tcPr>
          <w:p w14:paraId="775CA363" w14:textId="6EF2214D" w:rsidR="003B561E" w:rsidRPr="000B7901" w:rsidRDefault="003B561E" w:rsidP="00210097">
            <w:pPr>
              <w:pStyle w:val="TableCenterText"/>
              <w:cnfStyle w:val="000000100000" w:firstRow="0" w:lastRow="0" w:firstColumn="0" w:lastColumn="0" w:oddVBand="0" w:evenVBand="0" w:oddHBand="1" w:evenHBand="0" w:firstRowFirstColumn="0" w:firstRowLastColumn="0" w:lastRowFirstColumn="0" w:lastRowLastColumn="0"/>
              <w:rPr>
                <w:b/>
                <w:bCs/>
              </w:rPr>
            </w:pPr>
            <w:r w:rsidRPr="00504625">
              <w:t>2%</w:t>
            </w:r>
          </w:p>
        </w:tc>
      </w:tr>
      <w:tr w:rsidR="003B561E" w14:paraId="09C6DC5F" w14:textId="77777777" w:rsidTr="00562725">
        <w:trPr>
          <w:cnfStyle w:val="000000010000" w:firstRow="0" w:lastRow="0" w:firstColumn="0" w:lastColumn="0" w:oddVBand="0" w:evenVBand="0" w:oddHBand="0" w:evenHBand="1" w:firstRowFirstColumn="0" w:firstRowLastColumn="0" w:lastRowFirstColumn="0" w:lastRowLastColumn="0"/>
          <w:cantSplit/>
          <w:trHeight w:val="303"/>
        </w:trPr>
        <w:tc>
          <w:tcPr>
            <w:cnfStyle w:val="001000000000" w:firstRow="0" w:lastRow="0" w:firstColumn="1" w:lastColumn="0" w:oddVBand="0" w:evenVBand="0" w:oddHBand="0" w:evenHBand="0" w:firstRowFirstColumn="0" w:firstRowLastColumn="0" w:lastRowFirstColumn="0" w:lastRowLastColumn="0"/>
            <w:tcW w:w="1666" w:type="pct"/>
            <w:tcBorders>
              <w:top w:val="none" w:sz="0" w:space="0" w:color="auto"/>
              <w:left w:val="none" w:sz="0" w:space="0" w:color="auto"/>
              <w:bottom w:val="none" w:sz="0" w:space="0" w:color="auto"/>
              <w:right w:val="none" w:sz="0" w:space="0" w:color="auto"/>
            </w:tcBorders>
          </w:tcPr>
          <w:p w14:paraId="4DE1C98F" w14:textId="146479B9" w:rsidR="003B561E" w:rsidRPr="003B561E" w:rsidRDefault="003B561E" w:rsidP="00210097">
            <w:pPr>
              <w:pStyle w:val="TableTextLeftMedium"/>
              <w:rPr>
                <w:rFonts w:asciiTheme="minorHAnsi" w:hAnsiTheme="minorHAnsi"/>
              </w:rPr>
            </w:pPr>
            <w:r w:rsidRPr="003B561E">
              <w:rPr>
                <w:rFonts w:asciiTheme="minorHAnsi" w:hAnsiTheme="minorHAnsi"/>
              </w:rPr>
              <w:t xml:space="preserve">Ally </w:t>
            </w:r>
            <w:r w:rsidR="003F24FC">
              <w:rPr>
                <w:rFonts w:asciiTheme="minorHAnsi" w:hAnsiTheme="minorHAnsi"/>
              </w:rPr>
              <w:t>31</w:t>
            </w:r>
          </w:p>
        </w:tc>
        <w:tc>
          <w:tcPr>
            <w:tcW w:w="1667" w:type="pct"/>
            <w:tcBorders>
              <w:top w:val="none" w:sz="0" w:space="0" w:color="auto"/>
              <w:left w:val="none" w:sz="0" w:space="0" w:color="auto"/>
              <w:bottom w:val="none" w:sz="0" w:space="0" w:color="auto"/>
              <w:right w:val="none" w:sz="0" w:space="0" w:color="auto"/>
            </w:tcBorders>
          </w:tcPr>
          <w:p w14:paraId="69FE51A8" w14:textId="127757C1"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rPr>
                <w:b/>
                <w:bCs/>
              </w:rPr>
            </w:pPr>
            <w:r w:rsidRPr="00504625">
              <w:t>15</w:t>
            </w:r>
          </w:p>
        </w:tc>
        <w:tc>
          <w:tcPr>
            <w:tcW w:w="1667" w:type="pct"/>
            <w:tcBorders>
              <w:top w:val="none" w:sz="0" w:space="0" w:color="auto"/>
              <w:left w:val="none" w:sz="0" w:space="0" w:color="auto"/>
              <w:bottom w:val="none" w:sz="0" w:space="0" w:color="auto"/>
              <w:right w:val="none" w:sz="0" w:space="0" w:color="auto"/>
            </w:tcBorders>
          </w:tcPr>
          <w:p w14:paraId="5C8F8AA6" w14:textId="076E3E1D" w:rsidR="003B561E" w:rsidRPr="000B7901" w:rsidRDefault="003B561E" w:rsidP="00210097">
            <w:pPr>
              <w:pStyle w:val="TableCenterText"/>
              <w:cnfStyle w:val="000000010000" w:firstRow="0" w:lastRow="0" w:firstColumn="0" w:lastColumn="0" w:oddVBand="0" w:evenVBand="0" w:oddHBand="0" w:evenHBand="1" w:firstRowFirstColumn="0" w:firstRowLastColumn="0" w:lastRowFirstColumn="0" w:lastRowLastColumn="0"/>
              <w:rPr>
                <w:b/>
                <w:bCs/>
              </w:rPr>
            </w:pPr>
            <w:r w:rsidRPr="00504625">
              <w:t>2%</w:t>
            </w:r>
          </w:p>
        </w:tc>
      </w:tr>
    </w:tbl>
    <w:p w14:paraId="48C88C86" w14:textId="22E64688" w:rsidR="00AC64E0" w:rsidRDefault="00AC64E0" w:rsidP="00562725">
      <w:pPr>
        <w:pStyle w:val="Source"/>
        <w:ind w:right="36"/>
      </w:pPr>
      <w:r>
        <w:t xml:space="preserve">Note: The project counts included in this table are based on </w:t>
      </w:r>
      <w:r w:rsidR="00E258E7">
        <w:t>project</w:t>
      </w:r>
      <w:r>
        <w:t xml:space="preserve"> </w:t>
      </w:r>
      <w:r w:rsidR="002C3C5A">
        <w:t xml:space="preserve">numbers </w:t>
      </w:r>
      <w:r>
        <w:t xml:space="preserve">as they are tracked in the </w:t>
      </w:r>
      <w:r w:rsidR="00E258E7">
        <w:t>Initiative</w:t>
      </w:r>
      <w:r>
        <w:t xml:space="preserve"> tracking </w:t>
      </w:r>
      <w:r w:rsidR="00E258E7">
        <w:t>data</w:t>
      </w:r>
      <w:r>
        <w:t>. For the Midstream Lighting channel, project numbers correspond to invoices; some invoices include a single customer purchase</w:t>
      </w:r>
      <w:r w:rsidR="00082A18">
        <w:t>, while others can include several. Therefore, project numbers are used as a proxy for channel activity but may not reflect</w:t>
      </w:r>
      <w:r>
        <w:t xml:space="preserve"> the true distribution of channel activity among distributors. </w:t>
      </w:r>
    </w:p>
    <w:p w14:paraId="4D8C13A7" w14:textId="77777777" w:rsidR="00B47754" w:rsidRDefault="00B47754" w:rsidP="00B47754">
      <w:pPr>
        <w:pStyle w:val="Heading4"/>
      </w:pPr>
      <w:r>
        <w:t>Savings Detail</w:t>
      </w:r>
    </w:p>
    <w:p w14:paraId="3F2BE0B6" w14:textId="6B10167F" w:rsidR="000262F6" w:rsidRDefault="000262F6" w:rsidP="000262F6">
      <w:r>
        <w:fldChar w:fldCharType="begin"/>
      </w:r>
      <w:r>
        <w:instrText xml:space="preserve"> REF _Ref187326605 \h </w:instrText>
      </w:r>
      <w:r>
        <w:fldChar w:fldCharType="separate"/>
      </w:r>
      <w:r w:rsidR="00AA10F4">
        <w:t xml:space="preserve">Table </w:t>
      </w:r>
      <w:r w:rsidR="00AA10F4">
        <w:rPr>
          <w:noProof/>
        </w:rPr>
        <w:t>69</w:t>
      </w:r>
      <w:r>
        <w:fldChar w:fldCharType="end"/>
      </w:r>
      <w:r>
        <w:t xml:space="preserve"> presents the ex ante, verified gross, and verified net electric energy savings achieved through the Midstream Lighting channel in 2024.</w:t>
      </w:r>
      <w:r w:rsidR="00723E7F">
        <w:t xml:space="preserve"> </w:t>
      </w:r>
      <w:r w:rsidR="00E202AB">
        <w:t>The channel provided</w:t>
      </w:r>
      <w:r w:rsidR="00723E7F" w:rsidRPr="00723E7F">
        <w:t xml:space="preserve"> </w:t>
      </w:r>
      <w:r w:rsidR="00082A18">
        <w:t xml:space="preserve">incentives </w:t>
      </w:r>
      <w:r w:rsidR="00E202AB">
        <w:t>for</w:t>
      </w:r>
      <w:r w:rsidR="00723E7F" w:rsidRPr="00723E7F">
        <w:t xml:space="preserve"> the same measures in 2024 as in 2023.</w:t>
      </w:r>
      <w:r w:rsidR="00B17AC6">
        <w:t xml:space="preserve"> </w:t>
      </w:r>
      <w:r w:rsidR="00723E7F" w:rsidRPr="00723E7F">
        <w:t>Overall, the channel achieved a realization rate of 104% for electric energy savings. Linear LEDs were the primary driver of electric energy savings, producing 7</w:t>
      </w:r>
      <w:r w:rsidR="00B17AC6">
        <w:t>2</w:t>
      </w:r>
      <w:r w:rsidR="00723E7F" w:rsidRPr="00723E7F">
        <w:t xml:space="preserve">% of the channel’s verified net electric energy savings, up from 57% in 2023. The verified net savings produced by Mogul LEDs, which accounted for 16% of total verified net electric energy savings in 2024, dropped by 56% compared to 2023. Wall packs accounted for 9% of verified net energy savings in 2024 compared to 5% in 2023. Pin-base bulbs accounted for 3% of verified net electric energy savings in 2024 compared to less than 1% in 2023, and exit signs accounted for less than 1% of savings in 2024, consistent with 2023. </w:t>
      </w:r>
      <w:r w:rsidR="00B17AC6">
        <w:t>Overall, the channel saw a 7% increase in verified net electric energy savings compared to 2023.</w:t>
      </w:r>
    </w:p>
    <w:p w14:paraId="40843681" w14:textId="13ACF6B3" w:rsidR="000262F6" w:rsidRDefault="000262F6" w:rsidP="00881B1B">
      <w:pPr>
        <w:pStyle w:val="Caption"/>
      </w:pPr>
      <w:bookmarkStart w:id="307" w:name="_Ref187326605"/>
      <w:bookmarkStart w:id="308" w:name="_Toc191992590"/>
      <w:bookmarkStart w:id="309" w:name="_Toc192767003"/>
      <w:r>
        <w:lastRenderedPageBreak/>
        <w:t xml:space="preserve">Table </w:t>
      </w:r>
      <w:r w:rsidR="009B4C9A">
        <w:fldChar w:fldCharType="begin"/>
      </w:r>
      <w:r w:rsidR="009B4C9A">
        <w:instrText xml:space="preserve"> SEQ Table \* ARABIC </w:instrText>
      </w:r>
      <w:r w:rsidR="009B4C9A">
        <w:fldChar w:fldCharType="separate"/>
      </w:r>
      <w:r w:rsidR="00AA10F4">
        <w:rPr>
          <w:noProof/>
        </w:rPr>
        <w:t>69</w:t>
      </w:r>
      <w:r w:rsidR="009B4C9A">
        <w:rPr>
          <w:noProof/>
        </w:rPr>
        <w:fldChar w:fldCharType="end"/>
      </w:r>
      <w:bookmarkEnd w:id="307"/>
      <w:r>
        <w:t>. 2024 Midstream Lighting Channel Electric Energy Savings by Measure</w:t>
      </w:r>
      <w:bookmarkEnd w:id="308"/>
      <w:bookmarkEnd w:id="309"/>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875"/>
        <w:gridCol w:w="1644"/>
        <w:gridCol w:w="1644"/>
        <w:gridCol w:w="1644"/>
        <w:gridCol w:w="1644"/>
        <w:gridCol w:w="1645"/>
      </w:tblGrid>
      <w:tr w:rsidR="000262F6" w14:paraId="1F8A0D4A"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32E30C59" w14:textId="77777777" w:rsidR="000262F6" w:rsidRDefault="000262F6" w:rsidP="008C6FBE">
            <w:pPr>
              <w:pStyle w:val="TableHeadingLeft"/>
            </w:pPr>
            <w:r w:rsidRPr="00F87E60">
              <w:t>Measure Category</w:t>
            </w:r>
          </w:p>
        </w:tc>
        <w:tc>
          <w:tcPr>
            <w:tcW w:w="1644" w:type="dxa"/>
            <w:tcBorders>
              <w:bottom w:val="none" w:sz="0" w:space="0" w:color="auto"/>
            </w:tcBorders>
          </w:tcPr>
          <w:p w14:paraId="4B5D7A1D"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644" w:type="dxa"/>
            <w:tcBorders>
              <w:bottom w:val="none" w:sz="0" w:space="0" w:color="auto"/>
            </w:tcBorders>
          </w:tcPr>
          <w:p w14:paraId="5C2284D3"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644" w:type="dxa"/>
            <w:tcBorders>
              <w:bottom w:val="none" w:sz="0" w:space="0" w:color="auto"/>
            </w:tcBorders>
          </w:tcPr>
          <w:p w14:paraId="334E67C6"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644" w:type="dxa"/>
            <w:tcBorders>
              <w:bottom w:val="none" w:sz="0" w:space="0" w:color="auto"/>
            </w:tcBorders>
          </w:tcPr>
          <w:p w14:paraId="61EFD797"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645" w:type="dxa"/>
            <w:tcBorders>
              <w:bottom w:val="none" w:sz="0" w:space="0" w:color="auto"/>
            </w:tcBorders>
          </w:tcPr>
          <w:p w14:paraId="492EB2B1"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723E7F" w14:paraId="2FF67D21"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0E2C9352" w14:textId="3CFE5D90" w:rsidR="00723E7F" w:rsidRDefault="00723E7F" w:rsidP="00B777D6">
            <w:pPr>
              <w:pStyle w:val="TableLeftText"/>
            </w:pPr>
            <w:r w:rsidRPr="004A653E">
              <w:t>Linear LEDs</w:t>
            </w:r>
          </w:p>
        </w:tc>
        <w:tc>
          <w:tcPr>
            <w:tcW w:w="1644" w:type="dxa"/>
            <w:tcBorders>
              <w:top w:val="none" w:sz="0" w:space="0" w:color="auto"/>
              <w:left w:val="none" w:sz="0" w:space="0" w:color="auto"/>
              <w:bottom w:val="none" w:sz="0" w:space="0" w:color="auto"/>
              <w:right w:val="none" w:sz="0" w:space="0" w:color="auto"/>
            </w:tcBorders>
          </w:tcPr>
          <w:p w14:paraId="5F1C768C" w14:textId="255118F2"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21,188</w:t>
            </w:r>
          </w:p>
        </w:tc>
        <w:tc>
          <w:tcPr>
            <w:tcW w:w="1644" w:type="dxa"/>
            <w:tcBorders>
              <w:top w:val="none" w:sz="0" w:space="0" w:color="auto"/>
              <w:left w:val="none" w:sz="0" w:space="0" w:color="auto"/>
              <w:bottom w:val="none" w:sz="0" w:space="0" w:color="auto"/>
              <w:right w:val="none" w:sz="0" w:space="0" w:color="auto"/>
            </w:tcBorders>
          </w:tcPr>
          <w:p w14:paraId="61FCB6D1" w14:textId="548E9A04"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100%</w:t>
            </w:r>
          </w:p>
        </w:tc>
        <w:tc>
          <w:tcPr>
            <w:tcW w:w="1644" w:type="dxa"/>
            <w:tcBorders>
              <w:top w:val="none" w:sz="0" w:space="0" w:color="auto"/>
              <w:left w:val="none" w:sz="0" w:space="0" w:color="auto"/>
              <w:bottom w:val="none" w:sz="0" w:space="0" w:color="auto"/>
              <w:right w:val="none" w:sz="0" w:space="0" w:color="auto"/>
            </w:tcBorders>
          </w:tcPr>
          <w:p w14:paraId="36FE6796" w14:textId="00C9B382"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21,160</w:t>
            </w:r>
          </w:p>
        </w:tc>
        <w:tc>
          <w:tcPr>
            <w:tcW w:w="1644" w:type="dxa"/>
            <w:tcBorders>
              <w:top w:val="none" w:sz="0" w:space="0" w:color="auto"/>
              <w:left w:val="none" w:sz="0" w:space="0" w:color="auto"/>
              <w:bottom w:val="none" w:sz="0" w:space="0" w:color="auto"/>
              <w:right w:val="none" w:sz="0" w:space="0" w:color="auto"/>
            </w:tcBorders>
          </w:tcPr>
          <w:p w14:paraId="58D8C267" w14:textId="4F59A146"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0.980</w:t>
            </w:r>
          </w:p>
        </w:tc>
        <w:tc>
          <w:tcPr>
            <w:tcW w:w="1645" w:type="dxa"/>
            <w:tcBorders>
              <w:top w:val="none" w:sz="0" w:space="0" w:color="auto"/>
              <w:left w:val="none" w:sz="0" w:space="0" w:color="auto"/>
              <w:bottom w:val="none" w:sz="0" w:space="0" w:color="auto"/>
              <w:right w:val="none" w:sz="0" w:space="0" w:color="auto"/>
            </w:tcBorders>
          </w:tcPr>
          <w:p w14:paraId="0EA6CC40" w14:textId="012B5314"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20,738</w:t>
            </w:r>
          </w:p>
        </w:tc>
      </w:tr>
      <w:tr w:rsidR="00723E7F" w14:paraId="287548E0"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1E2B3893" w14:textId="1A06EF04" w:rsidR="00723E7F" w:rsidRDefault="00723E7F" w:rsidP="00B777D6">
            <w:pPr>
              <w:pStyle w:val="TableLeftText"/>
            </w:pPr>
            <w:r w:rsidRPr="004A653E">
              <w:t>Moguls</w:t>
            </w:r>
          </w:p>
        </w:tc>
        <w:tc>
          <w:tcPr>
            <w:tcW w:w="1644" w:type="dxa"/>
            <w:tcBorders>
              <w:top w:val="none" w:sz="0" w:space="0" w:color="auto"/>
              <w:left w:val="none" w:sz="0" w:space="0" w:color="auto"/>
              <w:bottom w:val="none" w:sz="0" w:space="0" w:color="auto"/>
              <w:right w:val="none" w:sz="0" w:space="0" w:color="auto"/>
            </w:tcBorders>
          </w:tcPr>
          <w:p w14:paraId="7B263438" w14:textId="49AFE26C"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4,743</w:t>
            </w:r>
          </w:p>
        </w:tc>
        <w:tc>
          <w:tcPr>
            <w:tcW w:w="1644" w:type="dxa"/>
            <w:tcBorders>
              <w:top w:val="none" w:sz="0" w:space="0" w:color="auto"/>
              <w:left w:val="none" w:sz="0" w:space="0" w:color="auto"/>
              <w:bottom w:val="none" w:sz="0" w:space="0" w:color="auto"/>
              <w:right w:val="none" w:sz="0" w:space="0" w:color="auto"/>
            </w:tcBorders>
          </w:tcPr>
          <w:p w14:paraId="03AE39DD" w14:textId="17B35844"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96%</w:t>
            </w:r>
          </w:p>
        </w:tc>
        <w:tc>
          <w:tcPr>
            <w:tcW w:w="1644" w:type="dxa"/>
            <w:tcBorders>
              <w:top w:val="none" w:sz="0" w:space="0" w:color="auto"/>
              <w:left w:val="none" w:sz="0" w:space="0" w:color="auto"/>
              <w:bottom w:val="none" w:sz="0" w:space="0" w:color="auto"/>
              <w:right w:val="none" w:sz="0" w:space="0" w:color="auto"/>
            </w:tcBorders>
          </w:tcPr>
          <w:p w14:paraId="4DEE8DF4" w14:textId="05801151"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4,557</w:t>
            </w:r>
          </w:p>
        </w:tc>
        <w:tc>
          <w:tcPr>
            <w:tcW w:w="1644" w:type="dxa"/>
            <w:tcBorders>
              <w:top w:val="none" w:sz="0" w:space="0" w:color="auto"/>
              <w:left w:val="none" w:sz="0" w:space="0" w:color="auto"/>
              <w:bottom w:val="none" w:sz="0" w:space="0" w:color="auto"/>
              <w:right w:val="none" w:sz="0" w:space="0" w:color="auto"/>
            </w:tcBorders>
          </w:tcPr>
          <w:p w14:paraId="53C8AC18" w14:textId="2EF9D344"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0.986</w:t>
            </w:r>
          </w:p>
        </w:tc>
        <w:tc>
          <w:tcPr>
            <w:tcW w:w="1645" w:type="dxa"/>
            <w:tcBorders>
              <w:top w:val="none" w:sz="0" w:space="0" w:color="auto"/>
              <w:left w:val="none" w:sz="0" w:space="0" w:color="auto"/>
              <w:bottom w:val="none" w:sz="0" w:space="0" w:color="auto"/>
              <w:right w:val="none" w:sz="0" w:space="0" w:color="auto"/>
            </w:tcBorders>
          </w:tcPr>
          <w:p w14:paraId="547F087B" w14:textId="1B21133E"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4,491</w:t>
            </w:r>
          </w:p>
        </w:tc>
      </w:tr>
      <w:tr w:rsidR="00723E7F" w14:paraId="5CB95A9C"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36798C52" w14:textId="1E5A9908" w:rsidR="00723E7F" w:rsidRDefault="00723E7F" w:rsidP="00B777D6">
            <w:pPr>
              <w:pStyle w:val="TableLeftText"/>
            </w:pPr>
            <w:r w:rsidRPr="004A653E">
              <w:t>Wall Packs</w:t>
            </w:r>
          </w:p>
        </w:tc>
        <w:tc>
          <w:tcPr>
            <w:tcW w:w="1644" w:type="dxa"/>
            <w:tcBorders>
              <w:top w:val="none" w:sz="0" w:space="0" w:color="auto"/>
              <w:left w:val="none" w:sz="0" w:space="0" w:color="auto"/>
              <w:bottom w:val="none" w:sz="0" w:space="0" w:color="auto"/>
              <w:right w:val="none" w:sz="0" w:space="0" w:color="auto"/>
            </w:tcBorders>
          </w:tcPr>
          <w:p w14:paraId="7009028C" w14:textId="60AD95E4"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2,376</w:t>
            </w:r>
          </w:p>
        </w:tc>
        <w:tc>
          <w:tcPr>
            <w:tcW w:w="1644" w:type="dxa"/>
            <w:tcBorders>
              <w:top w:val="none" w:sz="0" w:space="0" w:color="auto"/>
              <w:left w:val="none" w:sz="0" w:space="0" w:color="auto"/>
              <w:bottom w:val="none" w:sz="0" w:space="0" w:color="auto"/>
              <w:right w:val="none" w:sz="0" w:space="0" w:color="auto"/>
            </w:tcBorders>
          </w:tcPr>
          <w:p w14:paraId="24B3B01E" w14:textId="308B1DE1"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117%</w:t>
            </w:r>
          </w:p>
        </w:tc>
        <w:tc>
          <w:tcPr>
            <w:tcW w:w="1644" w:type="dxa"/>
            <w:tcBorders>
              <w:top w:val="none" w:sz="0" w:space="0" w:color="auto"/>
              <w:left w:val="none" w:sz="0" w:space="0" w:color="auto"/>
              <w:bottom w:val="none" w:sz="0" w:space="0" w:color="auto"/>
              <w:right w:val="none" w:sz="0" w:space="0" w:color="auto"/>
            </w:tcBorders>
          </w:tcPr>
          <w:p w14:paraId="1C784119" w14:textId="58AC77A5"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2,790</w:t>
            </w:r>
          </w:p>
        </w:tc>
        <w:tc>
          <w:tcPr>
            <w:tcW w:w="1644" w:type="dxa"/>
            <w:tcBorders>
              <w:top w:val="none" w:sz="0" w:space="0" w:color="auto"/>
              <w:left w:val="none" w:sz="0" w:space="0" w:color="auto"/>
              <w:bottom w:val="none" w:sz="0" w:space="0" w:color="auto"/>
              <w:right w:val="none" w:sz="0" w:space="0" w:color="auto"/>
            </w:tcBorders>
          </w:tcPr>
          <w:p w14:paraId="4C661986" w14:textId="48BC56C2"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0.984</w:t>
            </w:r>
          </w:p>
        </w:tc>
        <w:tc>
          <w:tcPr>
            <w:tcW w:w="1645" w:type="dxa"/>
            <w:tcBorders>
              <w:top w:val="none" w:sz="0" w:space="0" w:color="auto"/>
              <w:left w:val="none" w:sz="0" w:space="0" w:color="auto"/>
              <w:bottom w:val="none" w:sz="0" w:space="0" w:color="auto"/>
              <w:right w:val="none" w:sz="0" w:space="0" w:color="auto"/>
            </w:tcBorders>
          </w:tcPr>
          <w:p w14:paraId="03EE016D" w14:textId="03F2B484" w:rsidR="00723E7F"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2,747</w:t>
            </w:r>
          </w:p>
        </w:tc>
      </w:tr>
      <w:tr w:rsidR="00723E7F" w14:paraId="63C710BA"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4DD5EC5C" w14:textId="79ED8084" w:rsidR="00723E7F" w:rsidRDefault="00240463" w:rsidP="00B777D6">
            <w:pPr>
              <w:pStyle w:val="TableLeftText"/>
            </w:pPr>
            <w:r>
              <w:t>Four</w:t>
            </w:r>
            <w:r w:rsidR="00723E7F" w:rsidRPr="004A653E">
              <w:t>-Pin LEDs</w:t>
            </w:r>
          </w:p>
        </w:tc>
        <w:tc>
          <w:tcPr>
            <w:tcW w:w="1644" w:type="dxa"/>
            <w:tcBorders>
              <w:top w:val="none" w:sz="0" w:space="0" w:color="auto"/>
              <w:left w:val="none" w:sz="0" w:space="0" w:color="auto"/>
              <w:bottom w:val="none" w:sz="0" w:space="0" w:color="auto"/>
              <w:right w:val="none" w:sz="0" w:space="0" w:color="auto"/>
            </w:tcBorders>
          </w:tcPr>
          <w:p w14:paraId="22D96F86" w14:textId="799F7886"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146</w:t>
            </w:r>
          </w:p>
        </w:tc>
        <w:tc>
          <w:tcPr>
            <w:tcW w:w="1644" w:type="dxa"/>
            <w:tcBorders>
              <w:top w:val="none" w:sz="0" w:space="0" w:color="auto"/>
              <w:left w:val="none" w:sz="0" w:space="0" w:color="auto"/>
              <w:bottom w:val="none" w:sz="0" w:space="0" w:color="auto"/>
              <w:right w:val="none" w:sz="0" w:space="0" w:color="auto"/>
            </w:tcBorders>
          </w:tcPr>
          <w:p w14:paraId="0A9822F4" w14:textId="20D5AD67"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715%</w:t>
            </w:r>
          </w:p>
        </w:tc>
        <w:tc>
          <w:tcPr>
            <w:tcW w:w="1644" w:type="dxa"/>
            <w:tcBorders>
              <w:top w:val="none" w:sz="0" w:space="0" w:color="auto"/>
              <w:left w:val="none" w:sz="0" w:space="0" w:color="auto"/>
              <w:bottom w:val="none" w:sz="0" w:space="0" w:color="auto"/>
              <w:right w:val="none" w:sz="0" w:space="0" w:color="auto"/>
            </w:tcBorders>
          </w:tcPr>
          <w:p w14:paraId="098191C2" w14:textId="3F97B358"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1,045</w:t>
            </w:r>
          </w:p>
        </w:tc>
        <w:tc>
          <w:tcPr>
            <w:tcW w:w="1644" w:type="dxa"/>
            <w:tcBorders>
              <w:top w:val="none" w:sz="0" w:space="0" w:color="auto"/>
              <w:left w:val="none" w:sz="0" w:space="0" w:color="auto"/>
              <w:bottom w:val="none" w:sz="0" w:space="0" w:color="auto"/>
              <w:right w:val="none" w:sz="0" w:space="0" w:color="auto"/>
            </w:tcBorders>
          </w:tcPr>
          <w:p w14:paraId="4AC16BE9" w14:textId="4922FEED"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0.923</w:t>
            </w:r>
          </w:p>
        </w:tc>
        <w:tc>
          <w:tcPr>
            <w:tcW w:w="1645" w:type="dxa"/>
            <w:tcBorders>
              <w:top w:val="none" w:sz="0" w:space="0" w:color="auto"/>
              <w:left w:val="none" w:sz="0" w:space="0" w:color="auto"/>
              <w:bottom w:val="none" w:sz="0" w:space="0" w:color="auto"/>
              <w:right w:val="none" w:sz="0" w:space="0" w:color="auto"/>
            </w:tcBorders>
          </w:tcPr>
          <w:p w14:paraId="79559877" w14:textId="6D6201ED" w:rsidR="00723E7F"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A653E">
              <w:t>965</w:t>
            </w:r>
          </w:p>
        </w:tc>
      </w:tr>
      <w:tr w:rsidR="00723E7F" w14:paraId="2551CC5B"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7D3A4CF9" w14:textId="63F0D60F" w:rsidR="00723E7F" w:rsidRPr="00F87E60" w:rsidRDefault="00723E7F" w:rsidP="00B777D6">
            <w:pPr>
              <w:pStyle w:val="TableLeftText"/>
            </w:pPr>
            <w:r w:rsidRPr="004A653E">
              <w:t>Exit Signs</w:t>
            </w:r>
          </w:p>
        </w:tc>
        <w:tc>
          <w:tcPr>
            <w:tcW w:w="1644" w:type="dxa"/>
            <w:tcBorders>
              <w:top w:val="none" w:sz="0" w:space="0" w:color="auto"/>
              <w:left w:val="none" w:sz="0" w:space="0" w:color="auto"/>
              <w:bottom w:val="none" w:sz="0" w:space="0" w:color="auto"/>
              <w:right w:val="none" w:sz="0" w:space="0" w:color="auto"/>
            </w:tcBorders>
          </w:tcPr>
          <w:p w14:paraId="40A7E970" w14:textId="2950EC1F" w:rsidR="00723E7F" w:rsidRPr="00F87E60"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8</w:t>
            </w:r>
          </w:p>
        </w:tc>
        <w:tc>
          <w:tcPr>
            <w:tcW w:w="1644" w:type="dxa"/>
            <w:tcBorders>
              <w:top w:val="none" w:sz="0" w:space="0" w:color="auto"/>
              <w:left w:val="none" w:sz="0" w:space="0" w:color="auto"/>
              <w:bottom w:val="none" w:sz="0" w:space="0" w:color="auto"/>
              <w:right w:val="none" w:sz="0" w:space="0" w:color="auto"/>
            </w:tcBorders>
          </w:tcPr>
          <w:p w14:paraId="04B346A2" w14:textId="207F1F9B" w:rsidR="00723E7F" w:rsidRPr="00F87E60"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103%</w:t>
            </w:r>
          </w:p>
        </w:tc>
        <w:tc>
          <w:tcPr>
            <w:tcW w:w="1644" w:type="dxa"/>
            <w:tcBorders>
              <w:top w:val="none" w:sz="0" w:space="0" w:color="auto"/>
              <w:left w:val="none" w:sz="0" w:space="0" w:color="auto"/>
              <w:bottom w:val="none" w:sz="0" w:space="0" w:color="auto"/>
              <w:right w:val="none" w:sz="0" w:space="0" w:color="auto"/>
            </w:tcBorders>
          </w:tcPr>
          <w:p w14:paraId="6CA95944" w14:textId="47EC3594" w:rsidR="00723E7F" w:rsidRPr="00F87E60"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9</w:t>
            </w:r>
          </w:p>
        </w:tc>
        <w:tc>
          <w:tcPr>
            <w:tcW w:w="1644" w:type="dxa"/>
            <w:tcBorders>
              <w:top w:val="none" w:sz="0" w:space="0" w:color="auto"/>
              <w:left w:val="none" w:sz="0" w:space="0" w:color="auto"/>
              <w:bottom w:val="none" w:sz="0" w:space="0" w:color="auto"/>
              <w:right w:val="none" w:sz="0" w:space="0" w:color="auto"/>
            </w:tcBorders>
          </w:tcPr>
          <w:p w14:paraId="37D26A2F" w14:textId="4BD0586A" w:rsidR="00723E7F" w:rsidRPr="00F87E60"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0.974</w:t>
            </w:r>
          </w:p>
        </w:tc>
        <w:tc>
          <w:tcPr>
            <w:tcW w:w="1645" w:type="dxa"/>
            <w:tcBorders>
              <w:top w:val="none" w:sz="0" w:space="0" w:color="auto"/>
              <w:left w:val="none" w:sz="0" w:space="0" w:color="auto"/>
              <w:bottom w:val="none" w:sz="0" w:space="0" w:color="auto"/>
              <w:right w:val="none" w:sz="0" w:space="0" w:color="auto"/>
            </w:tcBorders>
          </w:tcPr>
          <w:p w14:paraId="1E4056E2" w14:textId="12DCB8B2" w:rsidR="00723E7F" w:rsidRPr="00F87E60" w:rsidRDefault="00723E7F"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A653E">
              <w:t>8</w:t>
            </w:r>
          </w:p>
        </w:tc>
      </w:tr>
      <w:tr w:rsidR="00723E7F" w14:paraId="56B00148"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66D9A761" w14:textId="39AEBC64" w:rsidR="00723E7F" w:rsidRPr="00210097" w:rsidRDefault="00723E7F" w:rsidP="00B777D6">
            <w:pPr>
              <w:pStyle w:val="TableLeftText"/>
              <w:rPr>
                <w:rFonts w:ascii="Franklin Gothic Medium" w:hAnsi="Franklin Gothic Medium"/>
              </w:rPr>
            </w:pPr>
            <w:r w:rsidRPr="00210097">
              <w:rPr>
                <w:rFonts w:ascii="Franklin Gothic Medium" w:hAnsi="Franklin Gothic Medium"/>
              </w:rPr>
              <w:t>Total</w:t>
            </w:r>
          </w:p>
        </w:tc>
        <w:tc>
          <w:tcPr>
            <w:tcW w:w="1644" w:type="dxa"/>
            <w:tcBorders>
              <w:top w:val="none" w:sz="0" w:space="0" w:color="auto"/>
              <w:left w:val="none" w:sz="0" w:space="0" w:color="auto"/>
              <w:bottom w:val="none" w:sz="0" w:space="0" w:color="auto"/>
              <w:right w:val="none" w:sz="0" w:space="0" w:color="auto"/>
            </w:tcBorders>
          </w:tcPr>
          <w:p w14:paraId="46F71F16" w14:textId="25D4B314" w:rsidR="00723E7F" w:rsidRPr="00210097"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28,461</w:t>
            </w:r>
          </w:p>
        </w:tc>
        <w:tc>
          <w:tcPr>
            <w:tcW w:w="1644" w:type="dxa"/>
            <w:tcBorders>
              <w:top w:val="none" w:sz="0" w:space="0" w:color="auto"/>
              <w:left w:val="none" w:sz="0" w:space="0" w:color="auto"/>
              <w:bottom w:val="none" w:sz="0" w:space="0" w:color="auto"/>
              <w:right w:val="none" w:sz="0" w:space="0" w:color="auto"/>
            </w:tcBorders>
          </w:tcPr>
          <w:p w14:paraId="11706995" w14:textId="10561E55" w:rsidR="00723E7F" w:rsidRPr="00210097"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104%</w:t>
            </w:r>
          </w:p>
        </w:tc>
        <w:tc>
          <w:tcPr>
            <w:tcW w:w="1644" w:type="dxa"/>
            <w:tcBorders>
              <w:top w:val="none" w:sz="0" w:space="0" w:color="auto"/>
              <w:left w:val="none" w:sz="0" w:space="0" w:color="auto"/>
              <w:bottom w:val="none" w:sz="0" w:space="0" w:color="auto"/>
              <w:right w:val="none" w:sz="0" w:space="0" w:color="auto"/>
            </w:tcBorders>
          </w:tcPr>
          <w:p w14:paraId="208F43C2" w14:textId="054E20A1" w:rsidR="00723E7F" w:rsidRPr="00210097"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29,561</w:t>
            </w:r>
          </w:p>
        </w:tc>
        <w:tc>
          <w:tcPr>
            <w:tcW w:w="1644" w:type="dxa"/>
            <w:tcBorders>
              <w:top w:val="none" w:sz="0" w:space="0" w:color="auto"/>
              <w:left w:val="none" w:sz="0" w:space="0" w:color="auto"/>
              <w:bottom w:val="none" w:sz="0" w:space="0" w:color="auto"/>
              <w:right w:val="none" w:sz="0" w:space="0" w:color="auto"/>
            </w:tcBorders>
          </w:tcPr>
          <w:p w14:paraId="33274005" w14:textId="2690DFC4" w:rsidR="00723E7F" w:rsidRPr="00210097"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0.979</w:t>
            </w:r>
          </w:p>
        </w:tc>
        <w:tc>
          <w:tcPr>
            <w:tcW w:w="1645" w:type="dxa"/>
            <w:tcBorders>
              <w:top w:val="none" w:sz="0" w:space="0" w:color="auto"/>
              <w:left w:val="none" w:sz="0" w:space="0" w:color="auto"/>
              <w:bottom w:val="none" w:sz="0" w:space="0" w:color="auto"/>
              <w:right w:val="none" w:sz="0" w:space="0" w:color="auto"/>
            </w:tcBorders>
          </w:tcPr>
          <w:p w14:paraId="03CFD1CB" w14:textId="59FB5227" w:rsidR="00723E7F" w:rsidRPr="00210097" w:rsidRDefault="00723E7F" w:rsidP="00562725">
            <w:pPr>
              <w:pStyle w:val="TableLeft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28,949</w:t>
            </w:r>
          </w:p>
        </w:tc>
      </w:tr>
    </w:tbl>
    <w:p w14:paraId="1E8C920D" w14:textId="73A7425C" w:rsidR="000262F6" w:rsidRDefault="000262F6" w:rsidP="00723E7F">
      <w:pPr>
        <w:pStyle w:val="NoSpacing"/>
        <w:spacing w:before="240" w:after="240"/>
      </w:pPr>
      <w:r>
        <w:fldChar w:fldCharType="begin"/>
      </w:r>
      <w:r>
        <w:instrText xml:space="preserve"> REF _Ref187326682 \h  \* MERGEFORMAT </w:instrText>
      </w:r>
      <w:r>
        <w:fldChar w:fldCharType="separate"/>
      </w:r>
      <w:r w:rsidR="00AA10F4">
        <w:t xml:space="preserve">Table </w:t>
      </w:r>
      <w:r w:rsidR="00AA10F4">
        <w:rPr>
          <w:noProof/>
        </w:rPr>
        <w:t>70</w:t>
      </w:r>
      <w:r>
        <w:fldChar w:fldCharType="end"/>
      </w:r>
      <w:r>
        <w:t xml:space="preserve"> presents the ex ante, verified gross, and verified net electric demand savings achieved through the Midstream Lighting channel in 2024.</w:t>
      </w:r>
      <w:r w:rsidR="00723E7F">
        <w:t xml:space="preserve"> </w:t>
      </w:r>
      <w:r w:rsidR="00723E7F" w:rsidRPr="00723E7F">
        <w:t xml:space="preserve">The channel achieved a realization rate of 95% for electric demand savings. Overall, the channel saw a 2% increase in verified </w:t>
      </w:r>
      <w:r w:rsidR="00901A80">
        <w:t xml:space="preserve">net </w:t>
      </w:r>
      <w:r w:rsidR="00723E7F" w:rsidRPr="00723E7F">
        <w:t>demand savings compared to 2023.</w:t>
      </w:r>
    </w:p>
    <w:p w14:paraId="7D29927F" w14:textId="11B3D096" w:rsidR="000262F6" w:rsidRDefault="000262F6" w:rsidP="00881B1B">
      <w:pPr>
        <w:pStyle w:val="Caption"/>
      </w:pPr>
      <w:bookmarkStart w:id="310" w:name="_Ref187326682"/>
      <w:bookmarkStart w:id="311" w:name="_Toc191992591"/>
      <w:bookmarkStart w:id="312" w:name="_Toc192767004"/>
      <w:r>
        <w:t xml:space="preserve">Table </w:t>
      </w:r>
      <w:r w:rsidR="009B4C9A">
        <w:fldChar w:fldCharType="begin"/>
      </w:r>
      <w:r w:rsidR="009B4C9A">
        <w:instrText xml:space="preserve"> SEQ Table \* ARABIC </w:instrText>
      </w:r>
      <w:r w:rsidR="009B4C9A">
        <w:fldChar w:fldCharType="separate"/>
      </w:r>
      <w:r w:rsidR="00AA10F4">
        <w:rPr>
          <w:noProof/>
        </w:rPr>
        <w:t>70</w:t>
      </w:r>
      <w:r w:rsidR="009B4C9A">
        <w:rPr>
          <w:noProof/>
        </w:rPr>
        <w:fldChar w:fldCharType="end"/>
      </w:r>
      <w:bookmarkEnd w:id="310"/>
      <w:r>
        <w:t>. 2024 Midstream Lighting Channel Electric Demand Savings by Measure</w:t>
      </w:r>
      <w:bookmarkEnd w:id="311"/>
      <w:bookmarkEnd w:id="312"/>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0262F6" w14:paraId="2C52AA4B" w14:textId="77777777" w:rsidTr="0056272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8B2EB9D" w14:textId="77777777" w:rsidR="000262F6" w:rsidRPr="00625570" w:rsidRDefault="000262F6" w:rsidP="008C6FBE">
            <w:pPr>
              <w:pStyle w:val="TableHeadingLeft"/>
            </w:pPr>
            <w:r>
              <w:t>Measure Category</w:t>
            </w:r>
          </w:p>
        </w:tc>
        <w:tc>
          <w:tcPr>
            <w:tcW w:w="1644" w:type="dxa"/>
            <w:tcBorders>
              <w:bottom w:val="none" w:sz="0" w:space="0" w:color="auto"/>
            </w:tcBorders>
          </w:tcPr>
          <w:p w14:paraId="230598C4"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bottom w:val="none" w:sz="0" w:space="0" w:color="auto"/>
            </w:tcBorders>
          </w:tcPr>
          <w:p w14:paraId="28C2498F"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408CA8D3"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bottom w:val="none" w:sz="0" w:space="0" w:color="auto"/>
            </w:tcBorders>
          </w:tcPr>
          <w:p w14:paraId="6F357121"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7041EDF4"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723E7F" w14:paraId="409491D1"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A5BD470" w14:textId="65FB44A9" w:rsidR="00723E7F" w:rsidRPr="00625570" w:rsidRDefault="00723E7F" w:rsidP="00B777D6">
            <w:pPr>
              <w:pStyle w:val="TableLeftText"/>
            </w:pPr>
            <w:r w:rsidRPr="00F728B6">
              <w:t>Linear LEDs</w:t>
            </w:r>
          </w:p>
        </w:tc>
        <w:tc>
          <w:tcPr>
            <w:tcW w:w="1644" w:type="dxa"/>
            <w:tcBorders>
              <w:top w:val="none" w:sz="0" w:space="0" w:color="auto"/>
              <w:left w:val="none" w:sz="0" w:space="0" w:color="auto"/>
              <w:bottom w:val="none" w:sz="0" w:space="0" w:color="auto"/>
              <w:right w:val="none" w:sz="0" w:space="0" w:color="auto"/>
            </w:tcBorders>
          </w:tcPr>
          <w:p w14:paraId="2FF1BAAF" w14:textId="735D9E1C"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5.06</w:t>
            </w:r>
          </w:p>
        </w:tc>
        <w:tc>
          <w:tcPr>
            <w:tcW w:w="1644" w:type="dxa"/>
            <w:tcBorders>
              <w:top w:val="none" w:sz="0" w:space="0" w:color="auto"/>
              <w:left w:val="none" w:sz="0" w:space="0" w:color="auto"/>
              <w:bottom w:val="none" w:sz="0" w:space="0" w:color="auto"/>
              <w:right w:val="none" w:sz="0" w:space="0" w:color="auto"/>
            </w:tcBorders>
          </w:tcPr>
          <w:p w14:paraId="679397ED" w14:textId="124F283A"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100%</w:t>
            </w:r>
          </w:p>
        </w:tc>
        <w:tc>
          <w:tcPr>
            <w:tcW w:w="1644" w:type="dxa"/>
            <w:tcBorders>
              <w:top w:val="none" w:sz="0" w:space="0" w:color="auto"/>
              <w:left w:val="none" w:sz="0" w:space="0" w:color="auto"/>
              <w:bottom w:val="none" w:sz="0" w:space="0" w:color="auto"/>
              <w:right w:val="none" w:sz="0" w:space="0" w:color="auto"/>
            </w:tcBorders>
          </w:tcPr>
          <w:p w14:paraId="24383C76" w14:textId="4A674642"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5.05</w:t>
            </w:r>
          </w:p>
        </w:tc>
        <w:tc>
          <w:tcPr>
            <w:tcW w:w="1644" w:type="dxa"/>
            <w:tcBorders>
              <w:top w:val="none" w:sz="0" w:space="0" w:color="auto"/>
              <w:left w:val="none" w:sz="0" w:space="0" w:color="auto"/>
              <w:bottom w:val="none" w:sz="0" w:space="0" w:color="auto"/>
              <w:right w:val="none" w:sz="0" w:space="0" w:color="auto"/>
            </w:tcBorders>
          </w:tcPr>
          <w:p w14:paraId="1C743AC9" w14:textId="39405712"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0.980</w:t>
            </w:r>
          </w:p>
        </w:tc>
        <w:tc>
          <w:tcPr>
            <w:tcW w:w="1645" w:type="dxa"/>
            <w:tcBorders>
              <w:top w:val="none" w:sz="0" w:space="0" w:color="auto"/>
              <w:left w:val="none" w:sz="0" w:space="0" w:color="auto"/>
              <w:bottom w:val="none" w:sz="0" w:space="0" w:color="auto"/>
              <w:right w:val="none" w:sz="0" w:space="0" w:color="auto"/>
            </w:tcBorders>
          </w:tcPr>
          <w:p w14:paraId="31FFE22C" w14:textId="1BB00142"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4.95</w:t>
            </w:r>
          </w:p>
        </w:tc>
      </w:tr>
      <w:tr w:rsidR="00723E7F" w14:paraId="26ABCCA4"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EAAE4FB" w14:textId="3A62CF89" w:rsidR="00723E7F" w:rsidRPr="00625570" w:rsidRDefault="00723E7F" w:rsidP="00B777D6">
            <w:pPr>
              <w:pStyle w:val="TableLeftText"/>
            </w:pPr>
            <w:r w:rsidRPr="00F728B6">
              <w:t>Moguls</w:t>
            </w:r>
          </w:p>
        </w:tc>
        <w:tc>
          <w:tcPr>
            <w:tcW w:w="1644" w:type="dxa"/>
            <w:tcBorders>
              <w:top w:val="none" w:sz="0" w:space="0" w:color="auto"/>
              <w:left w:val="none" w:sz="0" w:space="0" w:color="auto"/>
              <w:bottom w:val="none" w:sz="0" w:space="0" w:color="auto"/>
              <w:right w:val="none" w:sz="0" w:space="0" w:color="auto"/>
            </w:tcBorders>
          </w:tcPr>
          <w:p w14:paraId="1D1F33CC" w14:textId="26B8AED8"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1.13</w:t>
            </w:r>
          </w:p>
        </w:tc>
        <w:tc>
          <w:tcPr>
            <w:tcW w:w="1644" w:type="dxa"/>
            <w:tcBorders>
              <w:top w:val="none" w:sz="0" w:space="0" w:color="auto"/>
              <w:left w:val="none" w:sz="0" w:space="0" w:color="auto"/>
              <w:bottom w:val="none" w:sz="0" w:space="0" w:color="auto"/>
              <w:right w:val="none" w:sz="0" w:space="0" w:color="auto"/>
            </w:tcBorders>
          </w:tcPr>
          <w:p w14:paraId="5112DEF1" w14:textId="40E82E68"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728B6">
              <w:t>96%</w:t>
            </w:r>
          </w:p>
        </w:tc>
        <w:tc>
          <w:tcPr>
            <w:tcW w:w="1644" w:type="dxa"/>
            <w:tcBorders>
              <w:top w:val="none" w:sz="0" w:space="0" w:color="auto"/>
              <w:left w:val="none" w:sz="0" w:space="0" w:color="auto"/>
              <w:bottom w:val="none" w:sz="0" w:space="0" w:color="auto"/>
              <w:right w:val="none" w:sz="0" w:space="0" w:color="auto"/>
            </w:tcBorders>
          </w:tcPr>
          <w:p w14:paraId="5BFFA87A" w14:textId="60FB4200"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728B6">
              <w:t>1.09</w:t>
            </w:r>
          </w:p>
        </w:tc>
        <w:tc>
          <w:tcPr>
            <w:tcW w:w="1644" w:type="dxa"/>
            <w:tcBorders>
              <w:top w:val="none" w:sz="0" w:space="0" w:color="auto"/>
              <w:left w:val="none" w:sz="0" w:space="0" w:color="auto"/>
              <w:bottom w:val="none" w:sz="0" w:space="0" w:color="auto"/>
              <w:right w:val="none" w:sz="0" w:space="0" w:color="auto"/>
            </w:tcBorders>
          </w:tcPr>
          <w:p w14:paraId="79EF43DB" w14:textId="3A25AFBE"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0.986</w:t>
            </w:r>
          </w:p>
        </w:tc>
        <w:tc>
          <w:tcPr>
            <w:tcW w:w="1645" w:type="dxa"/>
            <w:tcBorders>
              <w:top w:val="none" w:sz="0" w:space="0" w:color="auto"/>
              <w:left w:val="none" w:sz="0" w:space="0" w:color="auto"/>
              <w:bottom w:val="none" w:sz="0" w:space="0" w:color="auto"/>
              <w:right w:val="none" w:sz="0" w:space="0" w:color="auto"/>
            </w:tcBorders>
          </w:tcPr>
          <w:p w14:paraId="6B0B2C35" w14:textId="26E3D86C"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F728B6">
              <w:t>1.07</w:t>
            </w:r>
          </w:p>
        </w:tc>
      </w:tr>
      <w:tr w:rsidR="00723E7F" w14:paraId="1A1786B6"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7D66BE6" w14:textId="2AB90E4D" w:rsidR="00723E7F" w:rsidRPr="00625570" w:rsidRDefault="00723E7F" w:rsidP="00B777D6">
            <w:pPr>
              <w:pStyle w:val="TableLeftText"/>
            </w:pPr>
            <w:r w:rsidRPr="00F728B6">
              <w:t>Wall Packs</w:t>
            </w:r>
          </w:p>
        </w:tc>
        <w:tc>
          <w:tcPr>
            <w:tcW w:w="1644" w:type="dxa"/>
            <w:tcBorders>
              <w:top w:val="none" w:sz="0" w:space="0" w:color="auto"/>
              <w:left w:val="none" w:sz="0" w:space="0" w:color="auto"/>
              <w:bottom w:val="none" w:sz="0" w:space="0" w:color="auto"/>
              <w:right w:val="none" w:sz="0" w:space="0" w:color="auto"/>
            </w:tcBorders>
          </w:tcPr>
          <w:p w14:paraId="67F6127F" w14:textId="2BE94E6E"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0.51</w:t>
            </w:r>
          </w:p>
        </w:tc>
        <w:tc>
          <w:tcPr>
            <w:tcW w:w="1644" w:type="dxa"/>
            <w:tcBorders>
              <w:top w:val="none" w:sz="0" w:space="0" w:color="auto"/>
              <w:left w:val="none" w:sz="0" w:space="0" w:color="auto"/>
              <w:bottom w:val="none" w:sz="0" w:space="0" w:color="auto"/>
              <w:right w:val="none" w:sz="0" w:space="0" w:color="auto"/>
            </w:tcBorders>
          </w:tcPr>
          <w:p w14:paraId="663077F6" w14:textId="36CBD076"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w:t>
            </w:r>
          </w:p>
        </w:tc>
        <w:tc>
          <w:tcPr>
            <w:tcW w:w="1644" w:type="dxa"/>
            <w:tcBorders>
              <w:top w:val="none" w:sz="0" w:space="0" w:color="auto"/>
              <w:left w:val="none" w:sz="0" w:space="0" w:color="auto"/>
              <w:bottom w:val="none" w:sz="0" w:space="0" w:color="auto"/>
              <w:right w:val="none" w:sz="0" w:space="0" w:color="auto"/>
            </w:tcBorders>
          </w:tcPr>
          <w:p w14:paraId="6C7712CC" w14:textId="2CE0D1D6"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w:t>
            </w:r>
            <w:r w:rsidR="00B47E63">
              <w:t>.00</w:t>
            </w:r>
          </w:p>
        </w:tc>
        <w:tc>
          <w:tcPr>
            <w:tcW w:w="1644" w:type="dxa"/>
            <w:tcBorders>
              <w:top w:val="none" w:sz="0" w:space="0" w:color="auto"/>
              <w:left w:val="none" w:sz="0" w:space="0" w:color="auto"/>
              <w:bottom w:val="none" w:sz="0" w:space="0" w:color="auto"/>
              <w:right w:val="none" w:sz="0" w:space="0" w:color="auto"/>
            </w:tcBorders>
          </w:tcPr>
          <w:p w14:paraId="2F1914AC" w14:textId="46961A3B"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N/A</w:t>
            </w:r>
          </w:p>
        </w:tc>
        <w:tc>
          <w:tcPr>
            <w:tcW w:w="1645" w:type="dxa"/>
            <w:tcBorders>
              <w:top w:val="none" w:sz="0" w:space="0" w:color="auto"/>
              <w:left w:val="none" w:sz="0" w:space="0" w:color="auto"/>
              <w:bottom w:val="none" w:sz="0" w:space="0" w:color="auto"/>
              <w:right w:val="none" w:sz="0" w:space="0" w:color="auto"/>
            </w:tcBorders>
          </w:tcPr>
          <w:p w14:paraId="703AC7FF" w14:textId="73A104CE" w:rsidR="00723E7F" w:rsidRPr="00625570"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w:t>
            </w:r>
            <w:r w:rsidR="00B47E63">
              <w:t>.00</w:t>
            </w:r>
          </w:p>
        </w:tc>
      </w:tr>
      <w:tr w:rsidR="00723E7F" w14:paraId="286A150C"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397BE60" w14:textId="0EC0FBD7" w:rsidR="00723E7F" w:rsidRPr="00625570" w:rsidRDefault="00240463" w:rsidP="00B777D6">
            <w:pPr>
              <w:pStyle w:val="TableLeftText"/>
            </w:pPr>
            <w:r>
              <w:t>Four</w:t>
            </w:r>
            <w:r w:rsidR="00723E7F" w:rsidRPr="00F728B6">
              <w:t>-Pin LEDs</w:t>
            </w:r>
          </w:p>
        </w:tc>
        <w:tc>
          <w:tcPr>
            <w:tcW w:w="1644" w:type="dxa"/>
            <w:tcBorders>
              <w:top w:val="none" w:sz="0" w:space="0" w:color="auto"/>
              <w:left w:val="none" w:sz="0" w:space="0" w:color="auto"/>
              <w:bottom w:val="none" w:sz="0" w:space="0" w:color="auto"/>
              <w:right w:val="none" w:sz="0" w:space="0" w:color="auto"/>
            </w:tcBorders>
          </w:tcPr>
          <w:p w14:paraId="3F6F1C93" w14:textId="337E7E88"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0.03</w:t>
            </w:r>
          </w:p>
        </w:tc>
        <w:tc>
          <w:tcPr>
            <w:tcW w:w="1644" w:type="dxa"/>
            <w:tcBorders>
              <w:top w:val="none" w:sz="0" w:space="0" w:color="auto"/>
              <w:left w:val="none" w:sz="0" w:space="0" w:color="auto"/>
              <w:bottom w:val="none" w:sz="0" w:space="0" w:color="auto"/>
              <w:right w:val="none" w:sz="0" w:space="0" w:color="auto"/>
            </w:tcBorders>
          </w:tcPr>
          <w:p w14:paraId="24A819FB" w14:textId="366A34C5"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669%</w:t>
            </w:r>
          </w:p>
        </w:tc>
        <w:tc>
          <w:tcPr>
            <w:tcW w:w="1644" w:type="dxa"/>
            <w:tcBorders>
              <w:top w:val="none" w:sz="0" w:space="0" w:color="auto"/>
              <w:left w:val="none" w:sz="0" w:space="0" w:color="auto"/>
              <w:bottom w:val="none" w:sz="0" w:space="0" w:color="auto"/>
              <w:right w:val="none" w:sz="0" w:space="0" w:color="auto"/>
            </w:tcBorders>
          </w:tcPr>
          <w:p w14:paraId="5FF97F35" w14:textId="2F1D1894"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0.23</w:t>
            </w:r>
          </w:p>
        </w:tc>
        <w:tc>
          <w:tcPr>
            <w:tcW w:w="1644" w:type="dxa"/>
            <w:tcBorders>
              <w:top w:val="none" w:sz="0" w:space="0" w:color="auto"/>
              <w:left w:val="none" w:sz="0" w:space="0" w:color="auto"/>
              <w:bottom w:val="none" w:sz="0" w:space="0" w:color="auto"/>
              <w:right w:val="none" w:sz="0" w:space="0" w:color="auto"/>
            </w:tcBorders>
          </w:tcPr>
          <w:p w14:paraId="019209F8" w14:textId="08AB83AD"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0.923</w:t>
            </w:r>
          </w:p>
        </w:tc>
        <w:tc>
          <w:tcPr>
            <w:tcW w:w="1645" w:type="dxa"/>
            <w:tcBorders>
              <w:top w:val="none" w:sz="0" w:space="0" w:color="auto"/>
              <w:left w:val="none" w:sz="0" w:space="0" w:color="auto"/>
              <w:bottom w:val="none" w:sz="0" w:space="0" w:color="auto"/>
              <w:right w:val="none" w:sz="0" w:space="0" w:color="auto"/>
            </w:tcBorders>
          </w:tcPr>
          <w:p w14:paraId="5A953048" w14:textId="6044F12F" w:rsidR="00723E7F" w:rsidRPr="00625570"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F728B6">
              <w:t>0.22</w:t>
            </w:r>
          </w:p>
        </w:tc>
      </w:tr>
      <w:tr w:rsidR="00723E7F" w14:paraId="4B6B3D0F"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ED36C8D" w14:textId="4FE57E33" w:rsidR="00723E7F" w:rsidRDefault="00723E7F" w:rsidP="00B777D6">
            <w:pPr>
              <w:pStyle w:val="TableLeftText"/>
            </w:pPr>
            <w:r w:rsidRPr="00F728B6">
              <w:t>Exit Signs</w:t>
            </w:r>
          </w:p>
        </w:tc>
        <w:tc>
          <w:tcPr>
            <w:tcW w:w="1644" w:type="dxa"/>
            <w:tcBorders>
              <w:top w:val="none" w:sz="0" w:space="0" w:color="auto"/>
              <w:left w:val="none" w:sz="0" w:space="0" w:color="auto"/>
              <w:bottom w:val="none" w:sz="0" w:space="0" w:color="auto"/>
              <w:right w:val="none" w:sz="0" w:space="0" w:color="auto"/>
            </w:tcBorders>
          </w:tcPr>
          <w:p w14:paraId="3FF84513" w14:textId="32275A79" w:rsidR="00723E7F"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&lt;0.01</w:t>
            </w:r>
          </w:p>
        </w:tc>
        <w:tc>
          <w:tcPr>
            <w:tcW w:w="1644" w:type="dxa"/>
            <w:tcBorders>
              <w:top w:val="none" w:sz="0" w:space="0" w:color="auto"/>
              <w:left w:val="none" w:sz="0" w:space="0" w:color="auto"/>
              <w:bottom w:val="none" w:sz="0" w:space="0" w:color="auto"/>
              <w:right w:val="none" w:sz="0" w:space="0" w:color="auto"/>
            </w:tcBorders>
          </w:tcPr>
          <w:p w14:paraId="327EBA74" w14:textId="2AC695AC" w:rsidR="00723E7F" w:rsidRPr="00987F21"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102%</w:t>
            </w:r>
          </w:p>
        </w:tc>
        <w:tc>
          <w:tcPr>
            <w:tcW w:w="1644" w:type="dxa"/>
            <w:tcBorders>
              <w:top w:val="none" w:sz="0" w:space="0" w:color="auto"/>
              <w:left w:val="none" w:sz="0" w:space="0" w:color="auto"/>
              <w:bottom w:val="none" w:sz="0" w:space="0" w:color="auto"/>
              <w:right w:val="none" w:sz="0" w:space="0" w:color="auto"/>
            </w:tcBorders>
          </w:tcPr>
          <w:p w14:paraId="42C3B1BB" w14:textId="1F68A66D" w:rsidR="00723E7F"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&lt;0.01</w:t>
            </w:r>
          </w:p>
        </w:tc>
        <w:tc>
          <w:tcPr>
            <w:tcW w:w="1644" w:type="dxa"/>
            <w:tcBorders>
              <w:top w:val="none" w:sz="0" w:space="0" w:color="auto"/>
              <w:left w:val="none" w:sz="0" w:space="0" w:color="auto"/>
              <w:bottom w:val="none" w:sz="0" w:space="0" w:color="auto"/>
              <w:right w:val="none" w:sz="0" w:space="0" w:color="auto"/>
            </w:tcBorders>
          </w:tcPr>
          <w:p w14:paraId="6886389C" w14:textId="0CC56D41" w:rsidR="00723E7F" w:rsidRPr="00987F21"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0.974</w:t>
            </w:r>
          </w:p>
        </w:tc>
        <w:tc>
          <w:tcPr>
            <w:tcW w:w="1645" w:type="dxa"/>
            <w:tcBorders>
              <w:top w:val="none" w:sz="0" w:space="0" w:color="auto"/>
              <w:left w:val="none" w:sz="0" w:space="0" w:color="auto"/>
              <w:bottom w:val="none" w:sz="0" w:space="0" w:color="auto"/>
              <w:right w:val="none" w:sz="0" w:space="0" w:color="auto"/>
            </w:tcBorders>
          </w:tcPr>
          <w:p w14:paraId="0036A52C" w14:textId="0CFD1F4C" w:rsidR="00723E7F" w:rsidRDefault="00723E7F"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F728B6">
              <w:t>&lt;0.01</w:t>
            </w:r>
          </w:p>
        </w:tc>
      </w:tr>
      <w:tr w:rsidR="00723E7F" w14:paraId="6791CEE1"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8B638F7" w14:textId="3AF482FE" w:rsidR="00723E7F" w:rsidRPr="00210097" w:rsidRDefault="00723E7F" w:rsidP="00B777D6">
            <w:pPr>
              <w:pStyle w:val="TableTextLeftMedium"/>
            </w:pPr>
            <w:r w:rsidRPr="00210097">
              <w:t>Total</w:t>
            </w:r>
          </w:p>
        </w:tc>
        <w:tc>
          <w:tcPr>
            <w:tcW w:w="1644" w:type="dxa"/>
            <w:tcBorders>
              <w:top w:val="none" w:sz="0" w:space="0" w:color="auto"/>
              <w:left w:val="none" w:sz="0" w:space="0" w:color="auto"/>
              <w:bottom w:val="none" w:sz="0" w:space="0" w:color="auto"/>
              <w:right w:val="none" w:sz="0" w:space="0" w:color="auto"/>
            </w:tcBorders>
          </w:tcPr>
          <w:p w14:paraId="51B419C5" w14:textId="5426E1E6" w:rsidR="00723E7F" w:rsidRPr="00210097"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6.74</w:t>
            </w:r>
          </w:p>
        </w:tc>
        <w:tc>
          <w:tcPr>
            <w:tcW w:w="1644" w:type="dxa"/>
            <w:tcBorders>
              <w:top w:val="none" w:sz="0" w:space="0" w:color="auto"/>
              <w:left w:val="none" w:sz="0" w:space="0" w:color="auto"/>
              <w:bottom w:val="none" w:sz="0" w:space="0" w:color="auto"/>
              <w:right w:val="none" w:sz="0" w:space="0" w:color="auto"/>
            </w:tcBorders>
          </w:tcPr>
          <w:p w14:paraId="054D83B2" w14:textId="2A9F2034" w:rsidR="00723E7F" w:rsidRPr="00210097"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95%</w:t>
            </w:r>
          </w:p>
        </w:tc>
        <w:tc>
          <w:tcPr>
            <w:tcW w:w="1644" w:type="dxa"/>
            <w:tcBorders>
              <w:top w:val="none" w:sz="0" w:space="0" w:color="auto"/>
              <w:left w:val="none" w:sz="0" w:space="0" w:color="auto"/>
              <w:bottom w:val="none" w:sz="0" w:space="0" w:color="auto"/>
              <w:right w:val="none" w:sz="0" w:space="0" w:color="auto"/>
            </w:tcBorders>
          </w:tcPr>
          <w:p w14:paraId="09C1F113" w14:textId="53628DAC" w:rsidR="00723E7F" w:rsidRPr="00210097"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6.37</w:t>
            </w:r>
          </w:p>
        </w:tc>
        <w:tc>
          <w:tcPr>
            <w:tcW w:w="1644" w:type="dxa"/>
            <w:tcBorders>
              <w:top w:val="none" w:sz="0" w:space="0" w:color="auto"/>
              <w:left w:val="none" w:sz="0" w:space="0" w:color="auto"/>
              <w:bottom w:val="none" w:sz="0" w:space="0" w:color="auto"/>
              <w:right w:val="none" w:sz="0" w:space="0" w:color="auto"/>
            </w:tcBorders>
          </w:tcPr>
          <w:p w14:paraId="704A1C39" w14:textId="256BA803" w:rsidR="00723E7F" w:rsidRPr="00210097"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210097">
              <w:rPr>
                <w:rFonts w:ascii="Franklin Gothic Medium" w:hAnsi="Franklin Gothic Medium"/>
              </w:rPr>
              <w:t>0.979</w:t>
            </w:r>
          </w:p>
        </w:tc>
        <w:tc>
          <w:tcPr>
            <w:tcW w:w="1645" w:type="dxa"/>
            <w:tcBorders>
              <w:top w:val="none" w:sz="0" w:space="0" w:color="auto"/>
              <w:left w:val="none" w:sz="0" w:space="0" w:color="auto"/>
              <w:bottom w:val="none" w:sz="0" w:space="0" w:color="auto"/>
              <w:right w:val="none" w:sz="0" w:space="0" w:color="auto"/>
            </w:tcBorders>
          </w:tcPr>
          <w:p w14:paraId="6629AAFE" w14:textId="17B1BBA0" w:rsidR="00723E7F" w:rsidRPr="00210097" w:rsidRDefault="00723E7F" w:rsidP="00562725">
            <w:pPr>
              <w:pStyle w:val="TableCenterText"/>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highlight w:val="yellow"/>
              </w:rPr>
            </w:pPr>
            <w:r w:rsidRPr="00210097">
              <w:rPr>
                <w:rFonts w:ascii="Franklin Gothic Medium" w:hAnsi="Franklin Gothic Medium"/>
              </w:rPr>
              <w:t>6.24</w:t>
            </w:r>
          </w:p>
        </w:tc>
      </w:tr>
    </w:tbl>
    <w:p w14:paraId="3A1446E8" w14:textId="2D68D7FF" w:rsidR="000262F6" w:rsidRDefault="000262F6" w:rsidP="00B638E7">
      <w:pPr>
        <w:pStyle w:val="NoSpacing"/>
        <w:spacing w:before="240"/>
      </w:pPr>
      <w:r>
        <w:t xml:space="preserve">We discuss </w:t>
      </w:r>
      <w:r w:rsidR="00082A18">
        <w:t xml:space="preserve">significant </w:t>
      </w:r>
      <w:r>
        <w:t>discrepancies between ex ante claims and the verified analysis below.</w:t>
      </w:r>
    </w:p>
    <w:p w14:paraId="635E4D85" w14:textId="77777777" w:rsidR="00723E7F" w:rsidRPr="00723E7F" w:rsidRDefault="00723E7F" w:rsidP="00723E7F">
      <w:pPr>
        <w:pStyle w:val="ListBullet"/>
      </w:pPr>
      <w:r w:rsidRPr="00B47E63">
        <w:rPr>
          <w:b/>
          <w:bCs/>
        </w:rPr>
        <w:t>Moguls</w:t>
      </w:r>
      <w:r w:rsidRPr="00723E7F">
        <w:t xml:space="preserve"> (17% of ex ante electric energy and demand savings): The gross realization rate for Moguls is 96% for both electric energy and demand savings. </w:t>
      </w:r>
    </w:p>
    <w:p w14:paraId="33D0C1AE" w14:textId="3A1F9804" w:rsidR="00723E7F" w:rsidRPr="00723E7F" w:rsidRDefault="00723E7F" w:rsidP="00723E7F">
      <w:pPr>
        <w:pStyle w:val="ListBullet2"/>
      </w:pPr>
      <w:r w:rsidRPr="00723E7F">
        <w:t xml:space="preserve">For one record, the implementation team applied an unknown quantity to derive the ex ante savings. The evaluation team applied the quantity provided in the tracking data (-16), resulting in negative verified electric energy and demand savings. The evaluation team suspects that this negative quantity was meant to account for the return of previously incentivized equipment by a customer and that the correction to the quantity field in the tracking data was not </w:t>
      </w:r>
      <w:r w:rsidR="00082A18">
        <w:t>appropriately propagated to the ex ante savings</w:t>
      </w:r>
      <w:r w:rsidRPr="00723E7F">
        <w:t xml:space="preserve">. This discrepancy resulted in a decrease in verified electric energy and demand savings.  </w:t>
      </w:r>
    </w:p>
    <w:p w14:paraId="6AA30C4C" w14:textId="77777777" w:rsidR="00723E7F" w:rsidRPr="00723E7F" w:rsidRDefault="00723E7F" w:rsidP="00723E7F">
      <w:pPr>
        <w:pStyle w:val="ListBullet"/>
      </w:pPr>
      <w:r w:rsidRPr="00B47E63">
        <w:rPr>
          <w:b/>
          <w:bCs/>
        </w:rPr>
        <w:t>Wall Packs</w:t>
      </w:r>
      <w:r w:rsidRPr="00723E7F">
        <w:t xml:space="preserve"> (8% of ex ante electric energy savings and demand savings): The gross realization rate for Wall Packs is 117% for electric energy savings and 0% for demand savings. </w:t>
      </w:r>
    </w:p>
    <w:p w14:paraId="0C1BA285" w14:textId="77777777" w:rsidR="00723E7F" w:rsidRPr="00723E7F" w:rsidRDefault="00723E7F" w:rsidP="00723E7F">
      <w:pPr>
        <w:pStyle w:val="ListBullet2"/>
      </w:pPr>
      <w:r w:rsidRPr="00723E7F">
        <w:t>For all records, the implementation team applied the unknown building/space type coincidence factor (CF) of 0.67, whereas the evaluation team applied the exterior space CF (0.0), resulting in zero verified demand savings.</w:t>
      </w:r>
    </w:p>
    <w:p w14:paraId="1B3672CE" w14:textId="66E5F6FF" w:rsidR="00723E7F" w:rsidRPr="00723E7F" w:rsidRDefault="00723E7F" w:rsidP="00723E7F">
      <w:pPr>
        <w:pStyle w:val="ListBullet2"/>
      </w:pPr>
      <w:r w:rsidRPr="00723E7F">
        <w:t xml:space="preserve">For 264 records, the implementation team applied </w:t>
      </w:r>
      <w:r w:rsidR="00082A18">
        <w:t>hours of use (</w:t>
      </w:r>
      <w:r w:rsidRPr="00723E7F">
        <w:t>HOU</w:t>
      </w:r>
      <w:r w:rsidR="00082A18">
        <w:t>)</w:t>
      </w:r>
      <w:r w:rsidRPr="00723E7F">
        <w:t xml:space="preserve"> </w:t>
      </w:r>
      <w:r w:rsidR="00901A80">
        <w:t xml:space="preserve">assumptions </w:t>
      </w:r>
      <w:r w:rsidRPr="00723E7F">
        <w:t>for an interior location</w:t>
      </w:r>
      <w:r w:rsidR="00082A18">
        <w:t>,</w:t>
      </w:r>
      <w:r w:rsidRPr="00723E7F">
        <w:t xml:space="preserve"> whereas the evaluation team used the HOU for the “</w:t>
      </w:r>
      <w:r w:rsidR="00082A18" w:rsidRPr="00723E7F">
        <w:t>Exterior – Dusk to Dawn</w:t>
      </w:r>
      <w:r w:rsidRPr="00723E7F">
        <w:t>” space type (4,303 hours), resulting in higher verified electric energy savings.</w:t>
      </w:r>
    </w:p>
    <w:p w14:paraId="12DEFBF1" w14:textId="3D4B89CB" w:rsidR="00723E7F" w:rsidRPr="00723E7F" w:rsidRDefault="00723E7F" w:rsidP="00723E7F">
      <w:pPr>
        <w:pStyle w:val="ListBullet2"/>
      </w:pPr>
      <w:r w:rsidRPr="00723E7F">
        <w:t xml:space="preserve">For 82 records, the lumens for the incentivized fixture were not included in the tracking data. The evaluation team used the average baseline wattage assumptions from the known lumen ranges included in the IL-TRM </w:t>
      </w:r>
      <w:r w:rsidRPr="00723E7F">
        <w:lastRenderedPageBreak/>
        <w:t>(5k</w:t>
      </w:r>
      <w:r w:rsidR="00082A18">
        <w:t>–</w:t>
      </w:r>
      <w:r w:rsidRPr="00723E7F">
        <w:t>10k, 10k</w:t>
      </w:r>
      <w:r w:rsidR="00082A18">
        <w:t>–</w:t>
      </w:r>
      <w:r w:rsidRPr="00723E7F">
        <w:t>15k, and 15k</w:t>
      </w:r>
      <w:r w:rsidR="00082A18">
        <w:t>–</w:t>
      </w:r>
      <w:r w:rsidRPr="00723E7F">
        <w:t>30k) to derive a baseline wattage for Wall Packs with a lumen range of 5k</w:t>
      </w:r>
      <w:r w:rsidR="00082A18">
        <w:t>–</w:t>
      </w:r>
      <w:r w:rsidRPr="00723E7F">
        <w:t>30k. This resulted in overall higher verified electric energy savings.</w:t>
      </w:r>
    </w:p>
    <w:p w14:paraId="0F73FB62" w14:textId="121A5FED" w:rsidR="00723E7F" w:rsidRPr="00723E7F" w:rsidRDefault="00723E7F" w:rsidP="00723E7F">
      <w:pPr>
        <w:pStyle w:val="ListBullet2"/>
      </w:pPr>
      <w:r w:rsidRPr="00723E7F">
        <w:t>For three records, the efficient wattage was not included in the tracking data. The evaluation team derived an average efficient wattage from the known lumen ranges in the IL-TRM (</w:t>
      </w:r>
      <w:r w:rsidR="00082A18" w:rsidRPr="00082A18">
        <w:t>5k–10k, 10k–15k, and 15k–30k</w:t>
      </w:r>
      <w:r w:rsidRPr="00723E7F">
        <w:t>) to derive an efficient wattage for Wall Packs with a lumen range of 5k</w:t>
      </w:r>
      <w:r w:rsidR="00082A18">
        <w:t>–</w:t>
      </w:r>
      <w:r w:rsidRPr="00723E7F">
        <w:t>30k. This resulted in lower verified electric energy savings.</w:t>
      </w:r>
    </w:p>
    <w:p w14:paraId="6F7FA63B" w14:textId="2DC47ADE" w:rsidR="00723E7F" w:rsidRPr="00723E7F" w:rsidRDefault="00082A18" w:rsidP="00723E7F">
      <w:pPr>
        <w:pStyle w:val="ListBullet"/>
      </w:pPr>
      <w:r>
        <w:rPr>
          <w:b/>
          <w:bCs/>
        </w:rPr>
        <w:t>Four-Pin</w:t>
      </w:r>
      <w:r w:rsidR="00723E7F" w:rsidRPr="00B47E63">
        <w:rPr>
          <w:b/>
          <w:bCs/>
        </w:rPr>
        <w:t xml:space="preserve"> LEDs</w:t>
      </w:r>
      <w:r w:rsidR="00723E7F" w:rsidRPr="00723E7F">
        <w:t xml:space="preserve"> (1% of ex ante electric energy savings and demand savings): The gross realization rate for </w:t>
      </w:r>
      <w:r>
        <w:t>four-pin</w:t>
      </w:r>
      <w:r w:rsidR="00723E7F" w:rsidRPr="00723E7F">
        <w:t xml:space="preserve"> LEDs is 715% for electric energy savings and 669% for demand savings.</w:t>
      </w:r>
    </w:p>
    <w:p w14:paraId="0F191827" w14:textId="3A1F52D9" w:rsidR="00723E7F" w:rsidRPr="00723E7F" w:rsidRDefault="00723E7F" w:rsidP="00723E7F">
      <w:pPr>
        <w:pStyle w:val="ListBullet2"/>
      </w:pPr>
      <w:r w:rsidRPr="00723E7F">
        <w:t>For all records, the implementation team applied a baseline wattage of 18</w:t>
      </w:r>
      <w:r w:rsidR="00082A18">
        <w:t>W</w:t>
      </w:r>
      <w:r w:rsidRPr="00723E7F">
        <w:t xml:space="preserve">, for which the evaluation team could not identify the source. The evaluation team applied baseline wattage values from the IL-TRM for directional BR30 lamps, resulting in significantly higher verified electric energy and demand savings. </w:t>
      </w:r>
    </w:p>
    <w:p w14:paraId="50C0473D" w14:textId="77777777" w:rsidR="00723E7F" w:rsidRPr="00723E7F" w:rsidRDefault="00723E7F" w:rsidP="00723E7F">
      <w:pPr>
        <w:pStyle w:val="ListBullet2"/>
      </w:pPr>
      <w:r w:rsidRPr="00723E7F">
        <w:t xml:space="preserve">For all records, the implementation team used the HOU associated with fixtures (3,379 hours), whereas the evaluation team used the HOU associated with LED bulbs (3,612 hours), resulting in higher verified electric energy savings. </w:t>
      </w:r>
    </w:p>
    <w:p w14:paraId="7B79DC67" w14:textId="73051D5E" w:rsidR="00723E7F" w:rsidRPr="00723E7F" w:rsidRDefault="00723E7F" w:rsidP="00723E7F">
      <w:pPr>
        <w:pStyle w:val="ListBullet2"/>
      </w:pPr>
      <w:r w:rsidRPr="00723E7F">
        <w:t xml:space="preserve">For three records, the implementation team applied the TLED ISR of 83.1%, whereas the evaluation team applied the LED </w:t>
      </w:r>
      <w:r w:rsidR="00B17AC6">
        <w:t>b</w:t>
      </w:r>
      <w:r w:rsidRPr="00723E7F">
        <w:t>ulb ISR of 97.9%, resulting in higher verified electric energy and demand savings.</w:t>
      </w:r>
    </w:p>
    <w:p w14:paraId="0D09552E" w14:textId="77777777" w:rsidR="00723E7F" w:rsidRPr="00723E7F" w:rsidRDefault="00723E7F" w:rsidP="00723E7F">
      <w:pPr>
        <w:pStyle w:val="ListBullet"/>
      </w:pPr>
      <w:r w:rsidRPr="00B47E63">
        <w:rPr>
          <w:b/>
          <w:bCs/>
        </w:rPr>
        <w:t>Exit Signs</w:t>
      </w:r>
      <w:r w:rsidRPr="00723E7F">
        <w:t xml:space="preserve"> (&lt;1% of ex ante electric energy savings and demand savings): The gross realization rate for Exit Signs is 102% for electric energy savings and 101% for demand savings.</w:t>
      </w:r>
    </w:p>
    <w:p w14:paraId="3A157FA2" w14:textId="76BA2AA0" w:rsidR="00723E7F" w:rsidRPr="00723E7F" w:rsidRDefault="00723E7F" w:rsidP="00723E7F">
      <w:pPr>
        <w:pStyle w:val="ListBullet2"/>
      </w:pPr>
      <w:r w:rsidRPr="00723E7F">
        <w:t>For two records, the implementation team applied assumptions for LED fixtures (e.g., ISR, CF, and HOU) in the ex ante savings calculations, whereas the evaluation team applied assumptions consistent with IL-TRM V12.0 for exit signs, resulting in slightly higher verified electric energy and demand savings.</w:t>
      </w:r>
    </w:p>
    <w:p w14:paraId="65337FF4" w14:textId="4E6DF90E" w:rsidR="00B47754" w:rsidRDefault="00B47754" w:rsidP="00526C94">
      <w:pPr>
        <w:pStyle w:val="Heading3"/>
        <w:tabs>
          <w:tab w:val="clear" w:pos="2160"/>
          <w:tab w:val="num" w:pos="1080"/>
        </w:tabs>
        <w:ind w:left="0"/>
      </w:pPr>
      <w:bookmarkStart w:id="313" w:name="_Toc191992452"/>
      <w:r>
        <w:t>HVAC Channel</w:t>
      </w:r>
      <w:bookmarkEnd w:id="313"/>
    </w:p>
    <w:p w14:paraId="041E19C8" w14:textId="76833A47" w:rsidR="001A45D4" w:rsidRPr="001A45D4" w:rsidRDefault="001A45D4" w:rsidP="001A45D4">
      <w:r>
        <w:t xml:space="preserve">The following sections present the impact evaluation results for the 2024 Midstream HVAC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651D2A4F" w14:textId="77777777" w:rsidR="00B47754" w:rsidRDefault="00B47754" w:rsidP="00B47754">
      <w:pPr>
        <w:pStyle w:val="Heading4"/>
      </w:pPr>
      <w:r>
        <w:t>Channel Description</w:t>
      </w:r>
    </w:p>
    <w:p w14:paraId="451D2794" w14:textId="1CD76304" w:rsidR="00381CEF" w:rsidRDefault="00381CEF" w:rsidP="00381CEF">
      <w:r>
        <w:t xml:space="preserve">The Midstream HVAC channel provides incentives to participating HVAC equipment distributors to reduce the final sale price of equipment for </w:t>
      </w:r>
      <w:r w:rsidR="002C3C5A">
        <w:t>end customer</w:t>
      </w:r>
      <w:r>
        <w:t>s and to encourage distributors to promote higher efficiency HVAC and water heating equipment. By providing incentives to distributors, channel staff aim to increase the adoption of high</w:t>
      </w:r>
      <w:r w:rsidR="00082A18">
        <w:t xml:space="preserve"> </w:t>
      </w:r>
      <w:r>
        <w:t xml:space="preserve">efficiency HVAC and water heating equipment without requiring customers to submit an incentive application. The </w:t>
      </w:r>
      <w:r w:rsidR="00082A18">
        <w:t>measures currently incentivized through the channel include</w:t>
      </w:r>
      <w:r>
        <w:t xml:space="preserve"> ducted </w:t>
      </w:r>
      <w:r w:rsidR="00D6690D">
        <w:t xml:space="preserve">and ductless </w:t>
      </w:r>
      <w:r>
        <w:t>air source heat pumps, central air conditioners, heat pump water heaters</w:t>
      </w:r>
      <w:r w:rsidR="008732BD">
        <w:t xml:space="preserve"> (HPWHs)</w:t>
      </w:r>
      <w:r>
        <w:t xml:space="preserve">, smart thermostats, and notched </w:t>
      </w:r>
      <w:r w:rsidR="008732BD">
        <w:t>V-belt</w:t>
      </w:r>
      <w:r>
        <w:t xml:space="preserve">s. Distributors are permitted to keep up to </w:t>
      </w:r>
      <w:r w:rsidR="007B284B" w:rsidRPr="00C45FA3">
        <w:t>10</w:t>
      </w:r>
      <w:r w:rsidRPr="00C45FA3">
        <w:t>% of</w:t>
      </w:r>
      <w:r>
        <w:t xml:space="preserve"> the incentive to support their internal data tracking and incentive submission processes, as well as their marketing, education, and outreach efforts. </w:t>
      </w:r>
    </w:p>
    <w:p w14:paraId="68789798" w14:textId="58E8D668" w:rsidR="00381CEF" w:rsidRDefault="00381CEF" w:rsidP="00381CEF">
      <w:r>
        <w:t xml:space="preserve">AIC provides cobranded marketing materials to participating distributors, as well as educational materials and training on channel participation requirements and eligible equipment specifications. Leidos </w:t>
      </w:r>
      <w:r w:rsidR="003561A9" w:rsidRPr="003561A9">
        <w:t xml:space="preserve">partners with CMC Energy Services to </w:t>
      </w:r>
      <w:r w:rsidR="00082A18">
        <w:t>manage</w:t>
      </w:r>
      <w:r w:rsidR="003561A9" w:rsidRPr="003561A9">
        <w:t xml:space="preserve"> the network of participating distributors</w:t>
      </w:r>
      <w:r>
        <w:t xml:space="preserve">. </w:t>
      </w:r>
      <w:r w:rsidR="003561A9">
        <w:t xml:space="preserve">CMC provides each distributor with an account manager that helps them </w:t>
      </w:r>
      <w:r w:rsidR="00082A18">
        <w:t>troubleshoot issues and increase</w:t>
      </w:r>
      <w:r w:rsidR="003561A9">
        <w:t xml:space="preserve"> their channel activity. The distributors are encouraged to disseminate the provided marketing and educational materials to contractors and to host their own equipment showcases, events, and training sessions to increase contractor engagement with the channel. Any contractor in AIC’s service territory is eligible to engage wit</w:t>
      </w:r>
      <w:r w:rsidR="00EF1659">
        <w:t>h</w:t>
      </w:r>
      <w:r w:rsidR="003561A9">
        <w:t xml:space="preserve"> the channel; however, those who enroll as Program All</w:t>
      </w:r>
      <w:r w:rsidR="00D6690D">
        <w:t xml:space="preserve">ies </w:t>
      </w:r>
      <w:r w:rsidR="003561A9">
        <w:t xml:space="preserve">are listed on AIC’s website and receive </w:t>
      </w:r>
      <w:r w:rsidR="003561A9">
        <w:lastRenderedPageBreak/>
        <w:t>cobranded marketing materials and channel-related communications from AIC. AIC and Leidos continually recruit new distributors and contractors</w:t>
      </w:r>
      <w:r w:rsidR="00082A18">
        <w:t>,</w:t>
      </w:r>
      <w:r w:rsidR="003561A9">
        <w:t xml:space="preserve"> </w:t>
      </w:r>
      <w:r w:rsidR="00082A18">
        <w:t>focusing</w:t>
      </w:r>
      <w:r w:rsidR="003561A9">
        <w:t xml:space="preserve"> on reaching those in </w:t>
      </w:r>
      <w:r w:rsidR="00082A18">
        <w:t>Empowered Communities</w:t>
      </w:r>
      <w:r w:rsidR="003561A9">
        <w:t xml:space="preserve">. </w:t>
      </w:r>
    </w:p>
    <w:p w14:paraId="3A3572BD" w14:textId="46E52C10" w:rsidR="00EF1659" w:rsidRDefault="00EF1659" w:rsidP="00381CEF">
      <w:r>
        <w:t xml:space="preserve">To receive incentives, distributors collect equipment and </w:t>
      </w:r>
      <w:r w:rsidR="002C3C5A">
        <w:t>end customer</w:t>
      </w:r>
      <w:r>
        <w:t xml:space="preserve"> information from contractors and submit the information via an online Midstream HVAC portal that is hosted and managed by Leidos. Only sales to AIC </w:t>
      </w:r>
      <w:r w:rsidR="002C3C5A">
        <w:t>end customer</w:t>
      </w:r>
      <w:r>
        <w:t xml:space="preserve">s are eligible to receive channel incentives. </w:t>
      </w:r>
      <w:r w:rsidR="00E43820">
        <w:t>Implementation</w:t>
      </w:r>
      <w:r>
        <w:t xml:space="preserve"> partner Energy Sciences reviews all incoming transaction data for completeness, accuracy, and eligibility. Once a transaction is approved, the incentive is paid to the distributor. Given the dynamics of the HVAC market and the requirement that distributors verify </w:t>
      </w:r>
      <w:r w:rsidR="002C3C5A">
        <w:t>end customer</w:t>
      </w:r>
      <w:r>
        <w:t xml:space="preserve"> </w:t>
      </w:r>
      <w:r w:rsidR="00E43820">
        <w:t>eligibility</w:t>
      </w:r>
      <w:r>
        <w:t xml:space="preserve">, incentivized sales typically occur in one of two ways: </w:t>
      </w:r>
    </w:p>
    <w:p w14:paraId="01E407D9" w14:textId="198A5941" w:rsidR="00EF1659" w:rsidRDefault="00E43820" w:rsidP="00E43820">
      <w:pPr>
        <w:pStyle w:val="ListBullet"/>
      </w:pPr>
      <w:r>
        <w:rPr>
          <w:b/>
          <w:bCs/>
        </w:rPr>
        <w:t xml:space="preserve">Scenario 1: </w:t>
      </w:r>
      <w:r>
        <w:t xml:space="preserve">A contractor purchases equipment for a specific </w:t>
      </w:r>
      <w:r w:rsidR="002C3C5A">
        <w:t>end customer</w:t>
      </w:r>
      <w:r>
        <w:t xml:space="preserve"> and provides the customer’s information to the distributor at the time of purchase. In this scenario, the distributor can typically confirm the customer’s eligibility on the spot and sell the equipment to the contractor at a discounted price. Distributors submit the transaction information via the web portal and recoup the incentive. </w:t>
      </w:r>
    </w:p>
    <w:p w14:paraId="63774317" w14:textId="75AA8181" w:rsidR="00E43820" w:rsidRPr="00E43820" w:rsidRDefault="00E43820" w:rsidP="00E43820">
      <w:pPr>
        <w:pStyle w:val="ListBullet"/>
        <w:rPr>
          <w:b/>
          <w:bCs/>
        </w:rPr>
      </w:pPr>
      <w:r w:rsidRPr="00E43820">
        <w:rPr>
          <w:b/>
          <w:bCs/>
        </w:rPr>
        <w:t xml:space="preserve">Scenario 2: </w:t>
      </w:r>
      <w:r>
        <w:t xml:space="preserve">A contractor purchases equipment for stock and not for a specific </w:t>
      </w:r>
      <w:r w:rsidR="002C3C5A">
        <w:t>end customer</w:t>
      </w:r>
      <w:r>
        <w:t xml:space="preserve">. In this scenario, the distributor sells the equipment to the contractor at full price. Once the contractor sells that equipment to an eligible </w:t>
      </w:r>
      <w:r w:rsidR="002C3C5A">
        <w:t>end customer</w:t>
      </w:r>
      <w:r>
        <w:t xml:space="preserve">, they can provide the necessary </w:t>
      </w:r>
      <w:r w:rsidR="002C3C5A">
        <w:t>end customer</w:t>
      </w:r>
      <w:r>
        <w:t xml:space="preserve"> information to the distributor</w:t>
      </w:r>
      <w:r w:rsidR="00082A18">
        <w:t>,</w:t>
      </w:r>
      <w:r>
        <w:t xml:space="preserve"> who can issue a credit to the contractor and submit the information via the web portal for approval. </w:t>
      </w:r>
    </w:p>
    <w:p w14:paraId="0E6F428F" w14:textId="31006AA7" w:rsidR="00E43820" w:rsidRDefault="00E43820" w:rsidP="00E43820">
      <w:r>
        <w:t xml:space="preserve">In both scenarios, the intent is that the incentive is passed through as savings to the </w:t>
      </w:r>
      <w:r w:rsidR="002C3C5A">
        <w:t>end customer</w:t>
      </w:r>
      <w:r>
        <w:t xml:space="preserve"> through a lower purchase price with </w:t>
      </w:r>
      <w:r w:rsidR="00901A80">
        <w:t>the contractor</w:t>
      </w:r>
      <w:r>
        <w:t xml:space="preserve">. </w:t>
      </w:r>
    </w:p>
    <w:p w14:paraId="2AED06D8" w14:textId="77777777" w:rsidR="00B47754" w:rsidRDefault="00B47754" w:rsidP="00F33E55">
      <w:pPr>
        <w:pStyle w:val="Heading5"/>
      </w:pPr>
      <w:r>
        <w:t>Summary of Key Implementation Changes</w:t>
      </w:r>
    </w:p>
    <w:p w14:paraId="3296E486" w14:textId="497EE64B" w:rsidR="00F852E6" w:rsidRDefault="00F852E6" w:rsidP="00F852E6">
      <w:r>
        <w:t>Initiative staff instituted the following design and implementation changes to the Midstream HVAC channel in 2024:</w:t>
      </w:r>
    </w:p>
    <w:p w14:paraId="5B291B22" w14:textId="5CD1A5AE" w:rsidR="007B284B" w:rsidRDefault="007B284B" w:rsidP="007B284B">
      <w:pPr>
        <w:pStyle w:val="ListBullet"/>
      </w:pPr>
      <w:r>
        <w:t>Distributors were required to pass through 90% of the incentive payment at the point of purchase</w:t>
      </w:r>
      <w:r w:rsidR="00662108">
        <w:t xml:space="preserve">; </w:t>
      </w:r>
      <w:r w:rsidR="006F34B1">
        <w:t>the previous</w:t>
      </w:r>
      <w:r w:rsidR="00662108">
        <w:t xml:space="preserve"> pass-through requirement was 75%.</w:t>
      </w:r>
    </w:p>
    <w:p w14:paraId="0E46CD7C" w14:textId="6581F1DD" w:rsidR="007B284B" w:rsidRDefault="007B284B" w:rsidP="007B284B">
      <w:pPr>
        <w:pStyle w:val="ListBullet"/>
      </w:pPr>
      <w:r>
        <w:t xml:space="preserve">Ductless </w:t>
      </w:r>
      <w:r w:rsidR="00BC2330">
        <w:t>ai</w:t>
      </w:r>
      <w:r>
        <w:t xml:space="preserve">r </w:t>
      </w:r>
      <w:r w:rsidR="00BC2330">
        <w:t>s</w:t>
      </w:r>
      <w:r>
        <w:t xml:space="preserve">ource </w:t>
      </w:r>
      <w:r w:rsidR="00BC2330">
        <w:t>h</w:t>
      </w:r>
      <w:r>
        <w:t xml:space="preserve">eat </w:t>
      </w:r>
      <w:r w:rsidR="00BC2330">
        <w:t>p</w:t>
      </w:r>
      <w:r>
        <w:t>umps (</w:t>
      </w:r>
      <w:r w:rsidR="00EB16C4">
        <w:t>DM</w:t>
      </w:r>
      <w:r>
        <w:t>SHPs)</w:t>
      </w:r>
      <w:r w:rsidR="00EB16C4">
        <w:t xml:space="preserve">, </w:t>
      </w:r>
      <w:r w:rsidR="00EB16C4" w:rsidRPr="00EB16C4">
        <w:t>PTHPs</w:t>
      </w:r>
      <w:r w:rsidR="00BC2330">
        <w:t>,</w:t>
      </w:r>
      <w:r w:rsidR="00EB16C4" w:rsidRPr="00EB16C4">
        <w:t xml:space="preserve"> and PTACs</w:t>
      </w:r>
      <w:r>
        <w:t xml:space="preserve"> were added</w:t>
      </w:r>
      <w:r w:rsidR="00EB16C4">
        <w:t xml:space="preserve"> to the list of eligible measures</w:t>
      </w:r>
      <w:r>
        <w:t>.</w:t>
      </w:r>
    </w:p>
    <w:p w14:paraId="6B948F1E" w14:textId="688066A7" w:rsidR="00662108" w:rsidRDefault="00CB178E" w:rsidP="007B284B">
      <w:pPr>
        <w:pStyle w:val="ListBullet"/>
      </w:pPr>
      <w:r>
        <w:t xml:space="preserve">The implementation team </w:t>
      </w:r>
      <w:r w:rsidR="00662108" w:rsidRPr="00662108">
        <w:t xml:space="preserve">created </w:t>
      </w:r>
      <w:r>
        <w:t>separate incentive</w:t>
      </w:r>
      <w:r w:rsidR="00662108" w:rsidRPr="00662108">
        <w:t xml:space="preserve"> tier</w:t>
      </w:r>
      <w:r>
        <w:t>s</w:t>
      </w:r>
      <w:r w:rsidR="00662108" w:rsidRPr="00662108">
        <w:t xml:space="preserve"> for </w:t>
      </w:r>
      <w:r w:rsidR="00BC2330">
        <w:t>heat pumps</w:t>
      </w:r>
      <w:r w:rsidR="00662108" w:rsidRPr="00662108">
        <w:t xml:space="preserve"> that </w:t>
      </w:r>
      <w:r>
        <w:t>met</w:t>
      </w:r>
      <w:r w:rsidR="00662108" w:rsidRPr="00662108">
        <w:t xml:space="preserve"> </w:t>
      </w:r>
      <w:r w:rsidR="00BC2330">
        <w:t>program</w:t>
      </w:r>
      <w:r w:rsidR="00662108" w:rsidRPr="00662108">
        <w:t xml:space="preserve"> SEER </w:t>
      </w:r>
      <w:r>
        <w:t xml:space="preserve">and </w:t>
      </w:r>
      <w:r w:rsidR="00C53208">
        <w:t>heating seasonal performance factor (</w:t>
      </w:r>
      <w:r>
        <w:t>HSPF</w:t>
      </w:r>
      <w:r w:rsidR="00C53208">
        <w:t>)</w:t>
      </w:r>
      <w:r>
        <w:t xml:space="preserve"> eligibility and </w:t>
      </w:r>
      <w:r w:rsidR="00BC2330">
        <w:t>those</w:t>
      </w:r>
      <w:r>
        <w:t xml:space="preserve"> that only met the SEER requirements. </w:t>
      </w:r>
      <w:r w:rsidR="00662108" w:rsidRPr="00662108">
        <w:t xml:space="preserve">The </w:t>
      </w:r>
      <w:r>
        <w:t xml:space="preserve">tiered approach provides </w:t>
      </w:r>
      <w:r w:rsidR="00662108" w:rsidRPr="00662108">
        <w:t>higher incentive</w:t>
      </w:r>
      <w:r>
        <w:t xml:space="preserve">s for equipment </w:t>
      </w:r>
      <w:r w:rsidR="00C53208">
        <w:t>that meets both sets of criteria</w:t>
      </w:r>
      <w:r w:rsidR="00662108" w:rsidRPr="00662108">
        <w:t xml:space="preserve"> </w:t>
      </w:r>
      <w:r>
        <w:t xml:space="preserve">while also providing some incentive for equipment that only meets the SEER requirement. </w:t>
      </w:r>
    </w:p>
    <w:p w14:paraId="539704B8" w14:textId="475834A8" w:rsidR="006F34B1" w:rsidRDefault="00BC2330" w:rsidP="00581D51">
      <w:pPr>
        <w:pStyle w:val="ListBullet"/>
      </w:pPr>
      <w:r>
        <w:t>Initiative s</w:t>
      </w:r>
      <w:r w:rsidR="006F34B1">
        <w:t xml:space="preserve">taff partnered with the </w:t>
      </w:r>
      <w:r w:rsidR="00C53208">
        <w:t xml:space="preserve">ENERGY STAR® </w:t>
      </w:r>
      <w:r w:rsidR="006F34B1">
        <w:t xml:space="preserve">Manufacturers Action Council (ESMAC) on </w:t>
      </w:r>
      <w:r w:rsidR="00C53208">
        <w:t xml:space="preserve">a </w:t>
      </w:r>
      <w:r w:rsidR="006F34B1" w:rsidRPr="006F34B1">
        <w:t xml:space="preserve">HPWH campaign to offer training on </w:t>
      </w:r>
      <w:r w:rsidR="006F34B1">
        <w:t>HPWH</w:t>
      </w:r>
      <w:r w:rsidR="006F34B1" w:rsidRPr="006F34B1">
        <w:t xml:space="preserve"> technology and </w:t>
      </w:r>
      <w:r w:rsidR="006F34B1">
        <w:t xml:space="preserve">educate distributors and contractors about the </w:t>
      </w:r>
      <w:r w:rsidR="006F34B1" w:rsidRPr="006F34B1">
        <w:t xml:space="preserve">offerings </w:t>
      </w:r>
      <w:r w:rsidR="006F34B1">
        <w:t xml:space="preserve">available </w:t>
      </w:r>
      <w:r w:rsidR="006F34B1" w:rsidRPr="006F34B1">
        <w:t xml:space="preserve">through the </w:t>
      </w:r>
      <w:r w:rsidR="006F34B1">
        <w:t>channel.</w:t>
      </w:r>
      <w:r w:rsidR="00C53208">
        <w:rPr>
          <w:rStyle w:val="FootnoteReference"/>
        </w:rPr>
        <w:footnoteReference w:id="34"/>
      </w:r>
    </w:p>
    <w:p w14:paraId="77C393B4" w14:textId="1AE162C6" w:rsidR="003F09CC" w:rsidRDefault="006F34B1" w:rsidP="00B07C85">
      <w:pPr>
        <w:pStyle w:val="ListBullet"/>
      </w:pPr>
      <w:r>
        <w:t>Implementation staff m</w:t>
      </w:r>
      <w:r w:rsidR="003F09CC">
        <w:t xml:space="preserve">et with </w:t>
      </w:r>
      <w:r w:rsidR="00CB479C">
        <w:t xml:space="preserve">an </w:t>
      </w:r>
      <w:r w:rsidR="003F09CC">
        <w:t>advisory group</w:t>
      </w:r>
      <w:r w:rsidR="00CB479C">
        <w:t xml:space="preserve"> and held distributor roundtable meetings to discuss barriers and improvement opportunities</w:t>
      </w:r>
      <w:r>
        <w:t>,</w:t>
      </w:r>
      <w:r w:rsidR="00CB479C">
        <w:t xml:space="preserve"> with </w:t>
      </w:r>
      <w:r>
        <w:t>t</w:t>
      </w:r>
      <w:r w:rsidR="00CB479C">
        <w:t xml:space="preserve">he goal of bettering serving program </w:t>
      </w:r>
      <w:r>
        <w:t>partners</w:t>
      </w:r>
      <w:r w:rsidR="00CB479C">
        <w:t>.</w:t>
      </w:r>
    </w:p>
    <w:p w14:paraId="5126F772" w14:textId="77777777" w:rsidR="00A20D0D" w:rsidRDefault="00A20D0D" w:rsidP="00B47754">
      <w:pPr>
        <w:pStyle w:val="Heading4"/>
      </w:pPr>
      <w:r>
        <w:br w:type="page"/>
      </w:r>
    </w:p>
    <w:p w14:paraId="622C66C1" w14:textId="1CC1C81E" w:rsidR="00B47754" w:rsidRDefault="00B47754" w:rsidP="00B47754">
      <w:pPr>
        <w:pStyle w:val="Heading4"/>
      </w:pPr>
      <w:r>
        <w:lastRenderedPageBreak/>
        <w:t>Participation Summary</w:t>
      </w:r>
    </w:p>
    <w:p w14:paraId="65C93E72" w14:textId="63D812D0" w:rsidR="00AC64E0" w:rsidRPr="00AC64E0" w:rsidRDefault="00AC64E0" w:rsidP="00AC64E0">
      <w:r>
        <w:fldChar w:fldCharType="begin"/>
      </w:r>
      <w:r>
        <w:instrText xml:space="preserve"> REF _Ref189054066 \h </w:instrText>
      </w:r>
      <w:r>
        <w:fldChar w:fldCharType="separate"/>
      </w:r>
      <w:r w:rsidR="00AA10F4">
        <w:t xml:space="preserve">Table </w:t>
      </w:r>
      <w:r w:rsidR="00AA10F4">
        <w:rPr>
          <w:noProof/>
        </w:rPr>
        <w:t>71</w:t>
      </w:r>
      <w:r>
        <w:fldChar w:fldCharType="end"/>
      </w:r>
      <w:r w:rsidRPr="00AC64E0">
        <w:t xml:space="preserve"> presents a summary of participa</w:t>
      </w:r>
      <w:r>
        <w:t xml:space="preserve">tion in the </w:t>
      </w:r>
      <w:r w:rsidRPr="00AC64E0">
        <w:t xml:space="preserve">Midstream </w:t>
      </w:r>
      <w:r>
        <w:t>HVAC</w:t>
      </w:r>
      <w:r w:rsidRPr="00AC64E0">
        <w:t xml:space="preserve"> </w:t>
      </w:r>
      <w:r w:rsidR="00CE0CB4">
        <w:t>c</w:t>
      </w:r>
      <w:r w:rsidRPr="00AC64E0">
        <w:t>hannel in 2024. We present these data separated by public and private sector</w:t>
      </w:r>
      <w:r w:rsidR="00CE0CB4">
        <w:t xml:space="preserve"> customer</w:t>
      </w:r>
      <w:r w:rsidRPr="00AC64E0">
        <w:t xml:space="preserve">s to provide context as to the primary drivers of participation. AIC customers purchased </w:t>
      </w:r>
      <w:r w:rsidR="00467C54">
        <w:t>445</w:t>
      </w:r>
      <w:r w:rsidR="00AC66A1">
        <w:t xml:space="preserve"> </w:t>
      </w:r>
      <w:r w:rsidRPr="00AC64E0">
        <w:t xml:space="preserve">units of efficient </w:t>
      </w:r>
      <w:r>
        <w:t>HVAC equipment</w:t>
      </w:r>
      <w:r w:rsidRPr="00AC64E0">
        <w:t xml:space="preserve"> through the channel, </w:t>
      </w:r>
      <w:r w:rsidR="00C53208">
        <w:t>representing</w:t>
      </w:r>
      <w:r w:rsidRPr="00AC64E0">
        <w:t xml:space="preserve"> a</w:t>
      </w:r>
      <w:r w:rsidR="00AC66A1">
        <w:t xml:space="preserve"> </w:t>
      </w:r>
      <w:r w:rsidR="00467C54">
        <w:t>138</w:t>
      </w:r>
      <w:r w:rsidRPr="00AC64E0">
        <w:t>% increase</w:t>
      </w:r>
      <w:r w:rsidR="00AC66A1">
        <w:t xml:space="preserve"> </w:t>
      </w:r>
      <w:r w:rsidRPr="00AC64E0">
        <w:t xml:space="preserve">compared to 2023. </w:t>
      </w:r>
      <w:r w:rsidR="00AC66A1">
        <w:t xml:space="preserve">Ductless </w:t>
      </w:r>
      <w:r w:rsidR="00CE0CB4">
        <w:t>h</w:t>
      </w:r>
      <w:r w:rsidR="00AC66A1">
        <w:t xml:space="preserve">eat </w:t>
      </w:r>
      <w:r w:rsidR="00CE0CB4">
        <w:t>p</w:t>
      </w:r>
      <w:r w:rsidR="00AC66A1">
        <w:t>umps</w:t>
      </w:r>
      <w:r w:rsidRPr="00AC64E0">
        <w:t xml:space="preserve"> dominated channel activity, accounting for </w:t>
      </w:r>
      <w:r w:rsidR="00AC66A1">
        <w:t>3</w:t>
      </w:r>
      <w:r w:rsidR="00467C54">
        <w:t>1</w:t>
      </w:r>
      <w:r w:rsidRPr="00AC64E0">
        <w:t xml:space="preserve">% of all incentivized measures. </w:t>
      </w:r>
    </w:p>
    <w:p w14:paraId="453304DA" w14:textId="38877BB2" w:rsidR="00AC64E0" w:rsidRDefault="00AC64E0" w:rsidP="00881B1B">
      <w:pPr>
        <w:pStyle w:val="Caption"/>
      </w:pPr>
      <w:bookmarkStart w:id="314" w:name="_Ref189054066"/>
      <w:bookmarkStart w:id="315" w:name="_Toc191992592"/>
      <w:bookmarkStart w:id="316" w:name="_Toc192767005"/>
      <w:r>
        <w:t xml:space="preserve">Table </w:t>
      </w:r>
      <w:r w:rsidR="009B4C9A">
        <w:fldChar w:fldCharType="begin"/>
      </w:r>
      <w:r w:rsidR="009B4C9A">
        <w:instrText xml:space="preserve"> SEQ Table \* ARABIC </w:instrText>
      </w:r>
      <w:r w:rsidR="009B4C9A">
        <w:fldChar w:fldCharType="separate"/>
      </w:r>
      <w:r w:rsidR="00AA10F4">
        <w:rPr>
          <w:noProof/>
        </w:rPr>
        <w:t>71</w:t>
      </w:r>
      <w:r w:rsidR="009B4C9A">
        <w:rPr>
          <w:noProof/>
        </w:rPr>
        <w:fldChar w:fldCharType="end"/>
      </w:r>
      <w:bookmarkEnd w:id="314"/>
      <w:r>
        <w:t xml:space="preserve">. </w:t>
      </w:r>
      <w:r w:rsidRPr="00C445C8">
        <w:t xml:space="preserve">2024 Midstream </w:t>
      </w:r>
      <w:r>
        <w:t>HVAC</w:t>
      </w:r>
      <w:r w:rsidRPr="00C445C8">
        <w:t xml:space="preserve"> Channel Participation Summary by Measure</w:t>
      </w:r>
      <w:bookmarkEnd w:id="315"/>
      <w:bookmarkEnd w:id="316"/>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4944"/>
        <w:gridCol w:w="1170"/>
        <w:gridCol w:w="1620"/>
        <w:gridCol w:w="1551"/>
        <w:gridCol w:w="1811"/>
      </w:tblGrid>
      <w:tr w:rsidR="00AC64E0" w:rsidRPr="00AC64E0" w14:paraId="127218F8" w14:textId="66886F6D"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746D90AD" w14:textId="77777777" w:rsidR="00AC64E0" w:rsidRPr="00AC64E0" w:rsidRDefault="00AC64E0" w:rsidP="00562725">
            <w:pPr>
              <w:spacing w:before="10"/>
              <w:jc w:val="left"/>
              <w:rPr>
                <w:rFonts w:ascii="Franklin Gothic Medium" w:hAnsi="Franklin Gothic Medium"/>
                <w:color w:val="FFFFFF" w:themeColor="background1"/>
              </w:rPr>
            </w:pPr>
            <w:r w:rsidRPr="00AC64E0">
              <w:rPr>
                <w:rFonts w:ascii="Franklin Gothic Medium" w:hAnsi="Franklin Gothic Medium"/>
                <w:color w:val="FFFFFF" w:themeColor="background1"/>
              </w:rPr>
              <w:t>Measure Category</w:t>
            </w:r>
          </w:p>
        </w:tc>
        <w:tc>
          <w:tcPr>
            <w:tcW w:w="527" w:type="pct"/>
            <w:tcBorders>
              <w:bottom w:val="none" w:sz="0" w:space="0" w:color="auto"/>
            </w:tcBorders>
          </w:tcPr>
          <w:p w14:paraId="2A5420F4" w14:textId="73E7C35D" w:rsidR="00AC64E0" w:rsidRPr="00AC64E0" w:rsidRDefault="00AC64E0" w:rsidP="00AC64E0">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Pr>
                <w:rFonts w:ascii="Franklin Gothic Medium" w:hAnsi="Franklin Gothic Medium"/>
                <w:color w:val="FFFFFF" w:themeColor="background1"/>
              </w:rPr>
              <w:t xml:space="preserve">Measure </w:t>
            </w:r>
            <w:r w:rsidRPr="00AC64E0">
              <w:rPr>
                <w:rFonts w:ascii="Franklin Gothic Medium" w:hAnsi="Franklin Gothic Medium"/>
                <w:color w:val="FFFFFF" w:themeColor="background1"/>
              </w:rPr>
              <w:t>Quantity</w:t>
            </w:r>
          </w:p>
        </w:tc>
        <w:tc>
          <w:tcPr>
            <w:tcW w:w="730" w:type="pct"/>
            <w:tcBorders>
              <w:bottom w:val="none" w:sz="0" w:space="0" w:color="auto"/>
            </w:tcBorders>
          </w:tcPr>
          <w:p w14:paraId="7880FDE3" w14:textId="77777777" w:rsidR="00AC64E0" w:rsidRPr="00AC64E0" w:rsidRDefault="00AC64E0" w:rsidP="00AC64E0">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AC64E0">
              <w:rPr>
                <w:rFonts w:ascii="Franklin Gothic Medium" w:hAnsi="Franklin Gothic Medium"/>
                <w:color w:val="FFFFFF" w:themeColor="background1"/>
              </w:rPr>
              <w:t>Ex Ante Gross MWh</w:t>
            </w:r>
          </w:p>
        </w:tc>
        <w:tc>
          <w:tcPr>
            <w:tcW w:w="699" w:type="pct"/>
            <w:tcBorders>
              <w:bottom w:val="none" w:sz="0" w:space="0" w:color="auto"/>
            </w:tcBorders>
          </w:tcPr>
          <w:p w14:paraId="0798F816" w14:textId="77777777" w:rsidR="00AC64E0" w:rsidRPr="00AC64E0" w:rsidRDefault="00AC64E0" w:rsidP="00AC64E0">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AC64E0">
              <w:rPr>
                <w:rFonts w:ascii="Franklin Gothic Medium" w:hAnsi="Franklin Gothic Medium"/>
                <w:color w:val="FFFFFF" w:themeColor="background1"/>
              </w:rPr>
              <w:t>Ex Ante Gross MW</w:t>
            </w:r>
          </w:p>
        </w:tc>
        <w:tc>
          <w:tcPr>
            <w:tcW w:w="816" w:type="pct"/>
            <w:tcBorders>
              <w:bottom w:val="none" w:sz="0" w:space="0" w:color="auto"/>
            </w:tcBorders>
          </w:tcPr>
          <w:p w14:paraId="1B278330" w14:textId="6819DB85" w:rsidR="00AC64E0" w:rsidRPr="00AC64E0" w:rsidRDefault="00AC64E0" w:rsidP="00AC64E0">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Pr>
                <w:rFonts w:ascii="Franklin Gothic Medium" w:hAnsi="Franklin Gothic Medium"/>
                <w:color w:val="FFFFFF" w:themeColor="background1"/>
              </w:rPr>
              <w:t>Ex Ante Gross Therms</w:t>
            </w:r>
          </w:p>
        </w:tc>
      </w:tr>
      <w:tr w:rsidR="00562725" w:rsidRPr="00AC64E0" w14:paraId="04C4D7E9" w14:textId="55E09311"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B0F0"/>
          </w:tcPr>
          <w:p w14:paraId="2376C9B8" w14:textId="7220EC4F" w:rsidR="00562725" w:rsidRPr="00AC64E0" w:rsidRDefault="00562725" w:rsidP="00AC64E0">
            <w:pPr>
              <w:rPr>
                <w:rFonts w:asciiTheme="majorHAnsi" w:hAnsiTheme="majorHAnsi"/>
                <w:color w:val="FFFFFF" w:themeColor="background1"/>
              </w:rPr>
            </w:pPr>
            <w:r w:rsidRPr="00AC64E0">
              <w:rPr>
                <w:rFonts w:asciiTheme="majorHAnsi" w:hAnsiTheme="majorHAnsi"/>
                <w:color w:val="FFFFFF" w:themeColor="background1"/>
              </w:rPr>
              <w:t>Private Sector</w:t>
            </w:r>
            <w:r w:rsidRPr="00AC64E0">
              <w:rPr>
                <w:rFonts w:asciiTheme="majorHAnsi" w:hAnsiTheme="majorHAnsi"/>
                <w:color w:val="FFFFFF" w:themeColor="background1"/>
                <w:vertAlign w:val="superscript"/>
              </w:rPr>
              <w:t>a</w:t>
            </w:r>
          </w:p>
        </w:tc>
      </w:tr>
      <w:tr w:rsidR="007F1440" w:rsidRPr="00AC64E0" w14:paraId="0E0C3898"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CED79F5" w14:textId="4C97D973" w:rsidR="007F1440" w:rsidRDefault="007F1440" w:rsidP="00562725">
            <w:r>
              <w:t>Ductless Heat Pumps</w:t>
            </w:r>
          </w:p>
        </w:tc>
        <w:tc>
          <w:tcPr>
            <w:tcW w:w="527" w:type="pct"/>
            <w:tcBorders>
              <w:top w:val="none" w:sz="0" w:space="0" w:color="auto"/>
              <w:left w:val="none" w:sz="0" w:space="0" w:color="auto"/>
              <w:bottom w:val="none" w:sz="0" w:space="0" w:color="auto"/>
              <w:right w:val="none" w:sz="0" w:space="0" w:color="auto"/>
            </w:tcBorders>
          </w:tcPr>
          <w:p w14:paraId="0D6C55D1" w14:textId="14EE6FF5" w:rsidR="007F1440" w:rsidRPr="007F1440" w:rsidRDefault="007F1440" w:rsidP="00562725">
            <w:pPr>
              <w:jc w:val="right"/>
              <w:cnfStyle w:val="000000010000" w:firstRow="0" w:lastRow="0" w:firstColumn="0" w:lastColumn="0" w:oddVBand="0" w:evenVBand="0" w:oddHBand="0" w:evenHBand="1" w:firstRowFirstColumn="0" w:firstRowLastColumn="0" w:lastRowFirstColumn="0" w:lastRowLastColumn="0"/>
            </w:pPr>
            <w:r>
              <w:t>106</w:t>
            </w:r>
          </w:p>
        </w:tc>
        <w:tc>
          <w:tcPr>
            <w:tcW w:w="730" w:type="pct"/>
            <w:tcBorders>
              <w:top w:val="none" w:sz="0" w:space="0" w:color="auto"/>
              <w:left w:val="none" w:sz="0" w:space="0" w:color="auto"/>
              <w:bottom w:val="none" w:sz="0" w:space="0" w:color="auto"/>
              <w:right w:val="none" w:sz="0" w:space="0" w:color="auto"/>
            </w:tcBorders>
          </w:tcPr>
          <w:p w14:paraId="1024F40B" w14:textId="421CB78F" w:rsidR="007F1440" w:rsidRPr="00AC64E0" w:rsidRDefault="007F1440" w:rsidP="00562725">
            <w:pPr>
              <w:jc w:val="right"/>
              <w:cnfStyle w:val="000000010000" w:firstRow="0" w:lastRow="0" w:firstColumn="0" w:lastColumn="0" w:oddVBand="0" w:evenVBand="0" w:oddHBand="0" w:evenHBand="1" w:firstRowFirstColumn="0" w:firstRowLastColumn="0" w:lastRowFirstColumn="0" w:lastRowLastColumn="0"/>
            </w:pPr>
            <w:r>
              <w:t>132</w:t>
            </w:r>
          </w:p>
        </w:tc>
        <w:tc>
          <w:tcPr>
            <w:tcW w:w="699" w:type="pct"/>
            <w:tcBorders>
              <w:top w:val="none" w:sz="0" w:space="0" w:color="auto"/>
              <w:left w:val="none" w:sz="0" w:space="0" w:color="auto"/>
              <w:bottom w:val="none" w:sz="0" w:space="0" w:color="auto"/>
              <w:right w:val="none" w:sz="0" w:space="0" w:color="auto"/>
            </w:tcBorders>
          </w:tcPr>
          <w:p w14:paraId="74B2F78D" w14:textId="1B2FB5FC" w:rsidR="007F1440" w:rsidRPr="00AC64E0" w:rsidRDefault="007F1440" w:rsidP="00562725">
            <w:pPr>
              <w:jc w:val="right"/>
              <w:cnfStyle w:val="000000010000" w:firstRow="0" w:lastRow="0" w:firstColumn="0" w:lastColumn="0" w:oddVBand="0" w:evenVBand="0" w:oddHBand="0" w:evenHBand="1" w:firstRowFirstColumn="0" w:firstRowLastColumn="0" w:lastRowFirstColumn="0" w:lastRowLastColumn="0"/>
            </w:pPr>
            <w:r w:rsidRPr="008A35C0">
              <w:t>0.03</w:t>
            </w:r>
          </w:p>
        </w:tc>
        <w:tc>
          <w:tcPr>
            <w:tcW w:w="816" w:type="pct"/>
            <w:tcBorders>
              <w:top w:val="none" w:sz="0" w:space="0" w:color="auto"/>
              <w:left w:val="none" w:sz="0" w:space="0" w:color="auto"/>
              <w:bottom w:val="none" w:sz="0" w:space="0" w:color="auto"/>
              <w:right w:val="none" w:sz="0" w:space="0" w:color="auto"/>
            </w:tcBorders>
          </w:tcPr>
          <w:p w14:paraId="10CFC6D9" w14:textId="081183BF" w:rsidR="007F1440" w:rsidRPr="00AC64E0" w:rsidRDefault="007F1440"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7F1440" w:rsidRPr="00AC64E0" w14:paraId="63C3A4B6" w14:textId="1F2569D1"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E9BB501" w14:textId="284A168B" w:rsidR="007F1440" w:rsidRPr="00AC64E0" w:rsidRDefault="007F1440" w:rsidP="00562725">
            <w:r>
              <w:t>Small Commercial Thermostats</w:t>
            </w:r>
          </w:p>
        </w:tc>
        <w:tc>
          <w:tcPr>
            <w:tcW w:w="527" w:type="pct"/>
            <w:tcBorders>
              <w:top w:val="none" w:sz="0" w:space="0" w:color="auto"/>
              <w:left w:val="none" w:sz="0" w:space="0" w:color="auto"/>
              <w:bottom w:val="none" w:sz="0" w:space="0" w:color="auto"/>
              <w:right w:val="none" w:sz="0" w:space="0" w:color="auto"/>
            </w:tcBorders>
          </w:tcPr>
          <w:p w14:paraId="067B930D" w14:textId="54862267" w:rsidR="007F1440" w:rsidRPr="00AC64E0" w:rsidRDefault="007F1440" w:rsidP="00562725">
            <w:pPr>
              <w:jc w:val="right"/>
              <w:cnfStyle w:val="000000100000" w:firstRow="0" w:lastRow="0" w:firstColumn="0" w:lastColumn="0" w:oddVBand="0" w:evenVBand="0" w:oddHBand="1" w:evenHBand="0" w:firstRowFirstColumn="0" w:firstRowLastColumn="0" w:lastRowFirstColumn="0" w:lastRowLastColumn="0"/>
            </w:pPr>
            <w:r w:rsidRPr="007F1440">
              <w:t>65</w:t>
            </w:r>
          </w:p>
        </w:tc>
        <w:tc>
          <w:tcPr>
            <w:tcW w:w="730" w:type="pct"/>
            <w:tcBorders>
              <w:top w:val="none" w:sz="0" w:space="0" w:color="auto"/>
              <w:left w:val="none" w:sz="0" w:space="0" w:color="auto"/>
              <w:bottom w:val="none" w:sz="0" w:space="0" w:color="auto"/>
              <w:right w:val="none" w:sz="0" w:space="0" w:color="auto"/>
            </w:tcBorders>
          </w:tcPr>
          <w:p w14:paraId="4DC5093A" w14:textId="4958033A" w:rsidR="007F1440" w:rsidRPr="00AC64E0" w:rsidRDefault="007F1440" w:rsidP="00562725">
            <w:pPr>
              <w:jc w:val="right"/>
              <w:cnfStyle w:val="000000100000" w:firstRow="0" w:lastRow="0" w:firstColumn="0" w:lastColumn="0" w:oddVBand="0" w:evenVBand="0" w:oddHBand="1" w:evenHBand="0" w:firstRowFirstColumn="0" w:firstRowLastColumn="0" w:lastRowFirstColumn="0" w:lastRowLastColumn="0"/>
            </w:pPr>
            <w:r>
              <w:t>98</w:t>
            </w:r>
          </w:p>
        </w:tc>
        <w:tc>
          <w:tcPr>
            <w:tcW w:w="699" w:type="pct"/>
            <w:tcBorders>
              <w:top w:val="none" w:sz="0" w:space="0" w:color="auto"/>
              <w:left w:val="none" w:sz="0" w:space="0" w:color="auto"/>
              <w:bottom w:val="none" w:sz="0" w:space="0" w:color="auto"/>
              <w:right w:val="none" w:sz="0" w:space="0" w:color="auto"/>
            </w:tcBorders>
          </w:tcPr>
          <w:p w14:paraId="1AFFD60E" w14:textId="10654F67" w:rsidR="007F1440" w:rsidRPr="00AC64E0" w:rsidRDefault="007F1440" w:rsidP="00562725">
            <w:pPr>
              <w:jc w:val="right"/>
              <w:cnfStyle w:val="000000100000" w:firstRow="0" w:lastRow="0" w:firstColumn="0" w:lastColumn="0" w:oddVBand="0" w:evenVBand="0" w:oddHBand="1" w:evenHBand="0" w:firstRowFirstColumn="0" w:firstRowLastColumn="0" w:lastRowFirstColumn="0" w:lastRowLastColumn="0"/>
            </w:pPr>
            <w:r w:rsidRPr="008A35C0">
              <w:t>0.02</w:t>
            </w:r>
          </w:p>
        </w:tc>
        <w:tc>
          <w:tcPr>
            <w:tcW w:w="816" w:type="pct"/>
            <w:tcBorders>
              <w:top w:val="none" w:sz="0" w:space="0" w:color="auto"/>
              <w:left w:val="none" w:sz="0" w:space="0" w:color="auto"/>
              <w:bottom w:val="none" w:sz="0" w:space="0" w:color="auto"/>
              <w:right w:val="none" w:sz="0" w:space="0" w:color="auto"/>
            </w:tcBorders>
          </w:tcPr>
          <w:p w14:paraId="795945D2" w14:textId="198C0F36" w:rsidR="007F1440" w:rsidRPr="00AC64E0" w:rsidRDefault="007F1440" w:rsidP="00562725">
            <w:pPr>
              <w:jc w:val="right"/>
              <w:cnfStyle w:val="000000100000" w:firstRow="0" w:lastRow="0" w:firstColumn="0" w:lastColumn="0" w:oddVBand="0" w:evenVBand="0" w:oddHBand="1" w:evenHBand="0" w:firstRowFirstColumn="0" w:firstRowLastColumn="0" w:lastRowFirstColumn="0" w:lastRowLastColumn="0"/>
            </w:pPr>
            <w:r>
              <w:t>7,469</w:t>
            </w:r>
          </w:p>
        </w:tc>
      </w:tr>
      <w:tr w:rsidR="00C641B8" w:rsidRPr="00AC64E0" w14:paraId="349AD16E"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5D49E36" w14:textId="10E64B2A" w:rsidR="00C641B8" w:rsidRDefault="00C641B8" w:rsidP="00562725">
            <w:r>
              <w:t>Notched V</w:t>
            </w:r>
            <w:r w:rsidR="00467C54">
              <w:t>-</w:t>
            </w:r>
            <w:r>
              <w:t>Belts for HVAC Systems</w:t>
            </w:r>
          </w:p>
        </w:tc>
        <w:tc>
          <w:tcPr>
            <w:tcW w:w="527" w:type="pct"/>
            <w:tcBorders>
              <w:top w:val="none" w:sz="0" w:space="0" w:color="auto"/>
              <w:left w:val="none" w:sz="0" w:space="0" w:color="auto"/>
              <w:bottom w:val="none" w:sz="0" w:space="0" w:color="auto"/>
              <w:right w:val="none" w:sz="0" w:space="0" w:color="auto"/>
            </w:tcBorders>
          </w:tcPr>
          <w:p w14:paraId="58C66C36" w14:textId="3320B0D0" w:rsidR="00C641B8" w:rsidRPr="007F144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97</w:t>
            </w:r>
          </w:p>
        </w:tc>
        <w:tc>
          <w:tcPr>
            <w:tcW w:w="730" w:type="pct"/>
            <w:tcBorders>
              <w:top w:val="none" w:sz="0" w:space="0" w:color="auto"/>
              <w:left w:val="none" w:sz="0" w:space="0" w:color="auto"/>
              <w:bottom w:val="none" w:sz="0" w:space="0" w:color="auto"/>
              <w:right w:val="none" w:sz="0" w:space="0" w:color="auto"/>
            </w:tcBorders>
          </w:tcPr>
          <w:p w14:paraId="4F32315A" w14:textId="082BDCD4" w:rsidR="00C641B8" w:rsidRDefault="00C641B8" w:rsidP="00562725">
            <w:pPr>
              <w:jc w:val="right"/>
              <w:cnfStyle w:val="000000010000" w:firstRow="0" w:lastRow="0" w:firstColumn="0" w:lastColumn="0" w:oddVBand="0" w:evenVBand="0" w:oddHBand="0" w:evenHBand="1" w:firstRowFirstColumn="0" w:firstRowLastColumn="0" w:lastRowFirstColumn="0" w:lastRowLastColumn="0"/>
            </w:pPr>
            <w:r>
              <w:t>45</w:t>
            </w:r>
          </w:p>
        </w:tc>
        <w:tc>
          <w:tcPr>
            <w:tcW w:w="699" w:type="pct"/>
            <w:tcBorders>
              <w:top w:val="none" w:sz="0" w:space="0" w:color="auto"/>
              <w:left w:val="none" w:sz="0" w:space="0" w:color="auto"/>
              <w:bottom w:val="none" w:sz="0" w:space="0" w:color="auto"/>
              <w:right w:val="none" w:sz="0" w:space="0" w:color="auto"/>
            </w:tcBorders>
          </w:tcPr>
          <w:p w14:paraId="539C2C73" w14:textId="15C36C83" w:rsidR="00C641B8" w:rsidRPr="008A35C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0.01</w:t>
            </w:r>
          </w:p>
        </w:tc>
        <w:tc>
          <w:tcPr>
            <w:tcW w:w="816" w:type="pct"/>
            <w:tcBorders>
              <w:top w:val="none" w:sz="0" w:space="0" w:color="auto"/>
              <w:left w:val="none" w:sz="0" w:space="0" w:color="auto"/>
              <w:bottom w:val="none" w:sz="0" w:space="0" w:color="auto"/>
              <w:right w:val="none" w:sz="0" w:space="0" w:color="auto"/>
            </w:tcBorders>
          </w:tcPr>
          <w:p w14:paraId="2962210E" w14:textId="0526999C" w:rsidR="00C641B8" w:rsidRDefault="00C641B8"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C641B8" w:rsidRPr="00AC64E0" w14:paraId="122375BA"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704F125E" w14:textId="155CBD68" w:rsidR="00C641B8" w:rsidRDefault="00C641B8" w:rsidP="00562725">
            <w:r>
              <w:t>Single-Package and Split System Unitary Air Conditioners</w:t>
            </w:r>
          </w:p>
        </w:tc>
        <w:tc>
          <w:tcPr>
            <w:tcW w:w="527" w:type="pct"/>
            <w:tcBorders>
              <w:top w:val="none" w:sz="0" w:space="0" w:color="auto"/>
              <w:left w:val="none" w:sz="0" w:space="0" w:color="auto"/>
              <w:bottom w:val="none" w:sz="0" w:space="0" w:color="auto"/>
              <w:right w:val="none" w:sz="0" w:space="0" w:color="auto"/>
            </w:tcBorders>
          </w:tcPr>
          <w:p w14:paraId="248099C2" w14:textId="21DAE97E" w:rsidR="00C641B8" w:rsidRPr="007F1440" w:rsidRDefault="00C641B8" w:rsidP="00562725">
            <w:pPr>
              <w:jc w:val="right"/>
              <w:cnfStyle w:val="000000100000" w:firstRow="0" w:lastRow="0" w:firstColumn="0" w:lastColumn="0" w:oddVBand="0" w:evenVBand="0" w:oddHBand="1" w:evenHBand="0" w:firstRowFirstColumn="0" w:firstRowLastColumn="0" w:lastRowFirstColumn="0" w:lastRowLastColumn="0"/>
            </w:pPr>
            <w:r w:rsidRPr="007F1440">
              <w:t>39</w:t>
            </w:r>
          </w:p>
        </w:tc>
        <w:tc>
          <w:tcPr>
            <w:tcW w:w="730" w:type="pct"/>
            <w:tcBorders>
              <w:top w:val="none" w:sz="0" w:space="0" w:color="auto"/>
              <w:left w:val="none" w:sz="0" w:space="0" w:color="auto"/>
              <w:bottom w:val="none" w:sz="0" w:space="0" w:color="auto"/>
              <w:right w:val="none" w:sz="0" w:space="0" w:color="auto"/>
            </w:tcBorders>
          </w:tcPr>
          <w:p w14:paraId="749779D2" w14:textId="663C4EC7" w:rsidR="00C641B8" w:rsidRDefault="00C641B8" w:rsidP="00562725">
            <w:pPr>
              <w:jc w:val="right"/>
              <w:cnfStyle w:val="000000100000" w:firstRow="0" w:lastRow="0" w:firstColumn="0" w:lastColumn="0" w:oddVBand="0" w:evenVBand="0" w:oddHBand="1" w:evenHBand="0" w:firstRowFirstColumn="0" w:firstRowLastColumn="0" w:lastRowFirstColumn="0" w:lastRowLastColumn="0"/>
            </w:pPr>
            <w:r>
              <w:t>37</w:t>
            </w:r>
          </w:p>
        </w:tc>
        <w:tc>
          <w:tcPr>
            <w:tcW w:w="699" w:type="pct"/>
            <w:tcBorders>
              <w:top w:val="none" w:sz="0" w:space="0" w:color="auto"/>
              <w:left w:val="none" w:sz="0" w:space="0" w:color="auto"/>
              <w:bottom w:val="none" w:sz="0" w:space="0" w:color="auto"/>
              <w:right w:val="none" w:sz="0" w:space="0" w:color="auto"/>
            </w:tcBorders>
          </w:tcPr>
          <w:p w14:paraId="72295F07" w14:textId="32A7177D" w:rsidR="00C641B8" w:rsidRPr="008A35C0" w:rsidRDefault="00C641B8" w:rsidP="00562725">
            <w:pPr>
              <w:jc w:val="right"/>
              <w:cnfStyle w:val="000000100000" w:firstRow="0" w:lastRow="0" w:firstColumn="0" w:lastColumn="0" w:oddVBand="0" w:evenVBand="0" w:oddHBand="1" w:evenHBand="0" w:firstRowFirstColumn="0" w:firstRowLastColumn="0" w:lastRowFirstColumn="0" w:lastRowLastColumn="0"/>
            </w:pPr>
            <w:r w:rsidRPr="007F1440">
              <w:t>0.02</w:t>
            </w:r>
          </w:p>
        </w:tc>
        <w:tc>
          <w:tcPr>
            <w:tcW w:w="816" w:type="pct"/>
            <w:tcBorders>
              <w:top w:val="none" w:sz="0" w:space="0" w:color="auto"/>
              <w:left w:val="none" w:sz="0" w:space="0" w:color="auto"/>
              <w:bottom w:val="none" w:sz="0" w:space="0" w:color="auto"/>
              <w:right w:val="none" w:sz="0" w:space="0" w:color="auto"/>
            </w:tcBorders>
          </w:tcPr>
          <w:p w14:paraId="382F858E" w14:textId="4F3CDF2A" w:rsidR="00C641B8" w:rsidRDefault="00C641B8" w:rsidP="00562725">
            <w:pPr>
              <w:jc w:val="right"/>
              <w:cnfStyle w:val="000000100000" w:firstRow="0" w:lastRow="0" w:firstColumn="0" w:lastColumn="0" w:oddVBand="0" w:evenVBand="0" w:oddHBand="1" w:evenHBand="0" w:firstRowFirstColumn="0" w:firstRowLastColumn="0" w:lastRowFirstColumn="0" w:lastRowLastColumn="0"/>
            </w:pPr>
            <w:r>
              <w:t>0</w:t>
            </w:r>
          </w:p>
        </w:tc>
      </w:tr>
      <w:tr w:rsidR="00C641B8" w:rsidRPr="00AC64E0" w14:paraId="446E32AB" w14:textId="70D893C1"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6392BAD9" w14:textId="7669BF89" w:rsidR="00C641B8" w:rsidRPr="00AC64E0" w:rsidRDefault="00C641B8" w:rsidP="00562725">
            <w:r>
              <w:t>Air and Water Source Heat Pumps</w:t>
            </w:r>
          </w:p>
        </w:tc>
        <w:tc>
          <w:tcPr>
            <w:tcW w:w="527" w:type="pct"/>
            <w:tcBorders>
              <w:top w:val="none" w:sz="0" w:space="0" w:color="auto"/>
              <w:left w:val="none" w:sz="0" w:space="0" w:color="auto"/>
              <w:bottom w:val="none" w:sz="0" w:space="0" w:color="auto"/>
              <w:right w:val="none" w:sz="0" w:space="0" w:color="auto"/>
            </w:tcBorders>
          </w:tcPr>
          <w:p w14:paraId="0F1703C8" w14:textId="6ABB3806"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26</w:t>
            </w:r>
          </w:p>
        </w:tc>
        <w:tc>
          <w:tcPr>
            <w:tcW w:w="730" w:type="pct"/>
            <w:tcBorders>
              <w:top w:val="none" w:sz="0" w:space="0" w:color="auto"/>
              <w:left w:val="none" w:sz="0" w:space="0" w:color="auto"/>
              <w:bottom w:val="none" w:sz="0" w:space="0" w:color="auto"/>
              <w:right w:val="none" w:sz="0" w:space="0" w:color="auto"/>
            </w:tcBorders>
          </w:tcPr>
          <w:p w14:paraId="00F8C72F" w14:textId="640B7508"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pPr>
            <w:r>
              <w:t>32</w:t>
            </w:r>
          </w:p>
        </w:tc>
        <w:tc>
          <w:tcPr>
            <w:tcW w:w="699" w:type="pct"/>
            <w:tcBorders>
              <w:top w:val="none" w:sz="0" w:space="0" w:color="auto"/>
              <w:left w:val="none" w:sz="0" w:space="0" w:color="auto"/>
              <w:bottom w:val="none" w:sz="0" w:space="0" w:color="auto"/>
              <w:right w:val="none" w:sz="0" w:space="0" w:color="auto"/>
            </w:tcBorders>
          </w:tcPr>
          <w:p w14:paraId="62FDFA0A" w14:textId="14880187"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0.01</w:t>
            </w:r>
          </w:p>
        </w:tc>
        <w:tc>
          <w:tcPr>
            <w:tcW w:w="816" w:type="pct"/>
            <w:tcBorders>
              <w:top w:val="none" w:sz="0" w:space="0" w:color="auto"/>
              <w:left w:val="none" w:sz="0" w:space="0" w:color="auto"/>
              <w:bottom w:val="none" w:sz="0" w:space="0" w:color="auto"/>
              <w:right w:val="none" w:sz="0" w:space="0" w:color="auto"/>
            </w:tcBorders>
          </w:tcPr>
          <w:p w14:paraId="3FA946BA" w14:textId="2D305C97"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C641B8" w:rsidRPr="00AC64E0" w14:paraId="59A2D910" w14:textId="1987EC03"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4CAAA293" w14:textId="40AF484C" w:rsidR="00C641B8" w:rsidRPr="00AC64E0" w:rsidRDefault="00C641B8" w:rsidP="00562725">
            <w:r>
              <w:t>Heat Pump Water Heaters</w:t>
            </w:r>
          </w:p>
        </w:tc>
        <w:tc>
          <w:tcPr>
            <w:tcW w:w="527" w:type="pct"/>
            <w:tcBorders>
              <w:top w:val="none" w:sz="0" w:space="0" w:color="auto"/>
              <w:left w:val="none" w:sz="0" w:space="0" w:color="auto"/>
              <w:bottom w:val="none" w:sz="0" w:space="0" w:color="auto"/>
              <w:right w:val="none" w:sz="0" w:space="0" w:color="auto"/>
            </w:tcBorders>
          </w:tcPr>
          <w:p w14:paraId="492BC595" w14:textId="25124153" w:rsidR="00C641B8" w:rsidRPr="00AC64E0" w:rsidRDefault="00467C54" w:rsidP="00562725">
            <w:pPr>
              <w:jc w:val="right"/>
              <w:cnfStyle w:val="000000100000" w:firstRow="0" w:lastRow="0" w:firstColumn="0" w:lastColumn="0" w:oddVBand="0" w:evenVBand="0" w:oddHBand="1" w:evenHBand="0" w:firstRowFirstColumn="0" w:firstRowLastColumn="0" w:lastRowFirstColumn="0" w:lastRowLastColumn="0"/>
            </w:pPr>
            <w:r>
              <w:t>82</w:t>
            </w:r>
          </w:p>
        </w:tc>
        <w:tc>
          <w:tcPr>
            <w:tcW w:w="730" w:type="pct"/>
            <w:tcBorders>
              <w:top w:val="none" w:sz="0" w:space="0" w:color="auto"/>
              <w:left w:val="none" w:sz="0" w:space="0" w:color="auto"/>
              <w:bottom w:val="none" w:sz="0" w:space="0" w:color="auto"/>
              <w:right w:val="none" w:sz="0" w:space="0" w:color="auto"/>
            </w:tcBorders>
          </w:tcPr>
          <w:p w14:paraId="2F47C4D0" w14:textId="527A0969"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pPr>
            <w:r>
              <w:t>24</w:t>
            </w:r>
          </w:p>
        </w:tc>
        <w:tc>
          <w:tcPr>
            <w:tcW w:w="699" w:type="pct"/>
            <w:tcBorders>
              <w:top w:val="none" w:sz="0" w:space="0" w:color="auto"/>
              <w:left w:val="none" w:sz="0" w:space="0" w:color="auto"/>
              <w:bottom w:val="none" w:sz="0" w:space="0" w:color="auto"/>
              <w:right w:val="none" w:sz="0" w:space="0" w:color="auto"/>
            </w:tcBorders>
          </w:tcPr>
          <w:p w14:paraId="6F5637AD" w14:textId="5F16CF93"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pPr>
            <w:r>
              <w:t>&lt;</w:t>
            </w:r>
            <w:r w:rsidRPr="007F1440">
              <w:t>0.0</w:t>
            </w:r>
            <w:r>
              <w:t>1</w:t>
            </w:r>
          </w:p>
        </w:tc>
        <w:tc>
          <w:tcPr>
            <w:tcW w:w="816" w:type="pct"/>
            <w:tcBorders>
              <w:top w:val="none" w:sz="0" w:space="0" w:color="auto"/>
              <w:left w:val="none" w:sz="0" w:space="0" w:color="auto"/>
              <w:bottom w:val="none" w:sz="0" w:space="0" w:color="auto"/>
              <w:right w:val="none" w:sz="0" w:space="0" w:color="auto"/>
            </w:tcBorders>
          </w:tcPr>
          <w:p w14:paraId="0E75E50B" w14:textId="0C675F39"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pPr>
            <w:r>
              <w:t>0</w:t>
            </w:r>
          </w:p>
        </w:tc>
      </w:tr>
      <w:tr w:rsidR="00C641B8" w:rsidRPr="00AC64E0" w14:paraId="6321F9BA" w14:textId="2DD54720"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437659B" w14:textId="77777777" w:rsidR="00C641B8" w:rsidRPr="00AC64E0" w:rsidRDefault="00C641B8" w:rsidP="00562725">
            <w:pPr>
              <w:rPr>
                <w:i/>
                <w:iCs/>
              </w:rPr>
            </w:pPr>
            <w:r w:rsidRPr="00AC64E0">
              <w:rPr>
                <w:i/>
                <w:iCs/>
              </w:rPr>
              <w:t>Private Sector Subtotal</w:t>
            </w:r>
          </w:p>
        </w:tc>
        <w:tc>
          <w:tcPr>
            <w:tcW w:w="527" w:type="pct"/>
            <w:tcBorders>
              <w:top w:val="none" w:sz="0" w:space="0" w:color="auto"/>
              <w:left w:val="none" w:sz="0" w:space="0" w:color="auto"/>
              <w:bottom w:val="none" w:sz="0" w:space="0" w:color="auto"/>
              <w:right w:val="none" w:sz="0" w:space="0" w:color="auto"/>
            </w:tcBorders>
          </w:tcPr>
          <w:p w14:paraId="6C41C0F3" w14:textId="31378684" w:rsidR="00C641B8" w:rsidRPr="00AC64E0" w:rsidRDefault="00467C54"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415</w:t>
            </w:r>
          </w:p>
        </w:tc>
        <w:tc>
          <w:tcPr>
            <w:tcW w:w="730" w:type="pct"/>
            <w:tcBorders>
              <w:top w:val="none" w:sz="0" w:space="0" w:color="auto"/>
              <w:left w:val="none" w:sz="0" w:space="0" w:color="auto"/>
              <w:bottom w:val="none" w:sz="0" w:space="0" w:color="auto"/>
              <w:right w:val="none" w:sz="0" w:space="0" w:color="auto"/>
            </w:tcBorders>
          </w:tcPr>
          <w:p w14:paraId="31941BB8" w14:textId="784FC3B7"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368</w:t>
            </w:r>
          </w:p>
        </w:tc>
        <w:tc>
          <w:tcPr>
            <w:tcW w:w="699" w:type="pct"/>
            <w:tcBorders>
              <w:top w:val="none" w:sz="0" w:space="0" w:color="auto"/>
              <w:left w:val="none" w:sz="0" w:space="0" w:color="auto"/>
              <w:bottom w:val="none" w:sz="0" w:space="0" w:color="auto"/>
              <w:right w:val="none" w:sz="0" w:space="0" w:color="auto"/>
            </w:tcBorders>
          </w:tcPr>
          <w:p w14:paraId="19F83BFC" w14:textId="4CC3A0F9"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0.09</w:t>
            </w:r>
          </w:p>
        </w:tc>
        <w:tc>
          <w:tcPr>
            <w:tcW w:w="816" w:type="pct"/>
            <w:tcBorders>
              <w:top w:val="none" w:sz="0" w:space="0" w:color="auto"/>
              <w:left w:val="none" w:sz="0" w:space="0" w:color="auto"/>
              <w:bottom w:val="none" w:sz="0" w:space="0" w:color="auto"/>
              <w:right w:val="none" w:sz="0" w:space="0" w:color="auto"/>
            </w:tcBorders>
          </w:tcPr>
          <w:p w14:paraId="6A166140" w14:textId="4E6809A4"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7,469</w:t>
            </w:r>
          </w:p>
        </w:tc>
      </w:tr>
      <w:tr w:rsidR="00562725" w:rsidRPr="00AC64E0" w14:paraId="39155ED4" w14:textId="779DD12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B0F0"/>
          </w:tcPr>
          <w:p w14:paraId="7C6DBD80" w14:textId="33FF072C" w:rsidR="00562725" w:rsidRPr="00AC64E0" w:rsidRDefault="00562725" w:rsidP="00C641B8">
            <w:pPr>
              <w:rPr>
                <w:rFonts w:asciiTheme="majorHAnsi" w:hAnsiTheme="majorHAnsi"/>
                <w:color w:val="FFFFFF" w:themeColor="background1"/>
              </w:rPr>
            </w:pPr>
            <w:r w:rsidRPr="00AC64E0">
              <w:rPr>
                <w:rFonts w:asciiTheme="majorHAnsi" w:hAnsiTheme="majorHAnsi"/>
                <w:color w:val="FFFFFF" w:themeColor="background1"/>
              </w:rPr>
              <w:t xml:space="preserve">Public Sector </w:t>
            </w:r>
          </w:p>
        </w:tc>
      </w:tr>
      <w:tr w:rsidR="00C641B8" w:rsidRPr="00AC64E0" w14:paraId="07CE8CAE" w14:textId="190BCCEA"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3E3CF0D" w14:textId="56E7521E" w:rsidR="00C641B8" w:rsidRPr="00AC64E0" w:rsidRDefault="00C641B8" w:rsidP="00562725">
            <w:r>
              <w:t>Ductless Heat Pumps</w:t>
            </w:r>
          </w:p>
        </w:tc>
        <w:tc>
          <w:tcPr>
            <w:tcW w:w="527" w:type="pct"/>
            <w:tcBorders>
              <w:top w:val="none" w:sz="0" w:space="0" w:color="auto"/>
              <w:left w:val="none" w:sz="0" w:space="0" w:color="auto"/>
              <w:bottom w:val="none" w:sz="0" w:space="0" w:color="auto"/>
              <w:right w:val="none" w:sz="0" w:space="0" w:color="auto"/>
            </w:tcBorders>
          </w:tcPr>
          <w:p w14:paraId="558AC5A4" w14:textId="3505BA74" w:rsidR="00C641B8" w:rsidRPr="007F144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30</w:t>
            </w:r>
          </w:p>
        </w:tc>
        <w:tc>
          <w:tcPr>
            <w:tcW w:w="730" w:type="pct"/>
            <w:tcBorders>
              <w:top w:val="none" w:sz="0" w:space="0" w:color="auto"/>
              <w:left w:val="none" w:sz="0" w:space="0" w:color="auto"/>
              <w:bottom w:val="none" w:sz="0" w:space="0" w:color="auto"/>
              <w:right w:val="none" w:sz="0" w:space="0" w:color="auto"/>
            </w:tcBorders>
          </w:tcPr>
          <w:p w14:paraId="47CD0CF4" w14:textId="2AB9C15D" w:rsidR="00C641B8" w:rsidRPr="007F144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36</w:t>
            </w:r>
          </w:p>
        </w:tc>
        <w:tc>
          <w:tcPr>
            <w:tcW w:w="699" w:type="pct"/>
            <w:tcBorders>
              <w:top w:val="none" w:sz="0" w:space="0" w:color="auto"/>
              <w:left w:val="none" w:sz="0" w:space="0" w:color="auto"/>
              <w:bottom w:val="none" w:sz="0" w:space="0" w:color="auto"/>
              <w:right w:val="none" w:sz="0" w:space="0" w:color="auto"/>
            </w:tcBorders>
          </w:tcPr>
          <w:p w14:paraId="2076C775" w14:textId="2287DB49" w:rsidR="00C641B8" w:rsidRPr="007F1440" w:rsidRDefault="00C641B8" w:rsidP="00562725">
            <w:pPr>
              <w:jc w:val="right"/>
              <w:cnfStyle w:val="000000010000" w:firstRow="0" w:lastRow="0" w:firstColumn="0" w:lastColumn="0" w:oddVBand="0" w:evenVBand="0" w:oddHBand="0" w:evenHBand="1" w:firstRowFirstColumn="0" w:firstRowLastColumn="0" w:lastRowFirstColumn="0" w:lastRowLastColumn="0"/>
            </w:pPr>
            <w:r w:rsidRPr="007F1440">
              <w:t>0.01</w:t>
            </w:r>
          </w:p>
        </w:tc>
        <w:tc>
          <w:tcPr>
            <w:tcW w:w="816" w:type="pct"/>
            <w:tcBorders>
              <w:top w:val="none" w:sz="0" w:space="0" w:color="auto"/>
              <w:left w:val="none" w:sz="0" w:space="0" w:color="auto"/>
              <w:bottom w:val="none" w:sz="0" w:space="0" w:color="auto"/>
              <w:right w:val="none" w:sz="0" w:space="0" w:color="auto"/>
            </w:tcBorders>
          </w:tcPr>
          <w:p w14:paraId="74C0F8C2" w14:textId="0846AAA1" w:rsidR="00C641B8" w:rsidRPr="00AC64E0" w:rsidRDefault="00C641B8"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0</w:t>
            </w:r>
          </w:p>
        </w:tc>
      </w:tr>
      <w:tr w:rsidR="00C641B8" w:rsidRPr="00AC64E0" w14:paraId="57323B5E" w14:textId="4C37B51A"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4C046771" w14:textId="77777777" w:rsidR="00C641B8" w:rsidRPr="00AC64E0" w:rsidRDefault="00C641B8" w:rsidP="00562725">
            <w:pPr>
              <w:rPr>
                <w:i/>
                <w:iCs/>
              </w:rPr>
            </w:pPr>
            <w:r w:rsidRPr="00AC64E0">
              <w:rPr>
                <w:i/>
                <w:iCs/>
              </w:rPr>
              <w:t>Public Sector Subtotal</w:t>
            </w:r>
          </w:p>
        </w:tc>
        <w:tc>
          <w:tcPr>
            <w:tcW w:w="527" w:type="pct"/>
            <w:tcBorders>
              <w:top w:val="none" w:sz="0" w:space="0" w:color="auto"/>
              <w:left w:val="none" w:sz="0" w:space="0" w:color="auto"/>
              <w:bottom w:val="none" w:sz="0" w:space="0" w:color="auto"/>
              <w:right w:val="none" w:sz="0" w:space="0" w:color="auto"/>
            </w:tcBorders>
          </w:tcPr>
          <w:p w14:paraId="600126B3" w14:textId="3DE80163"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30</w:t>
            </w:r>
          </w:p>
        </w:tc>
        <w:tc>
          <w:tcPr>
            <w:tcW w:w="730" w:type="pct"/>
            <w:tcBorders>
              <w:top w:val="none" w:sz="0" w:space="0" w:color="auto"/>
              <w:left w:val="none" w:sz="0" w:space="0" w:color="auto"/>
              <w:bottom w:val="none" w:sz="0" w:space="0" w:color="auto"/>
              <w:right w:val="none" w:sz="0" w:space="0" w:color="auto"/>
            </w:tcBorders>
          </w:tcPr>
          <w:p w14:paraId="27369A43" w14:textId="4F58A39D"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36</w:t>
            </w:r>
          </w:p>
        </w:tc>
        <w:tc>
          <w:tcPr>
            <w:tcW w:w="699" w:type="pct"/>
            <w:tcBorders>
              <w:top w:val="none" w:sz="0" w:space="0" w:color="auto"/>
              <w:left w:val="none" w:sz="0" w:space="0" w:color="auto"/>
              <w:bottom w:val="none" w:sz="0" w:space="0" w:color="auto"/>
              <w:right w:val="none" w:sz="0" w:space="0" w:color="auto"/>
            </w:tcBorders>
          </w:tcPr>
          <w:p w14:paraId="74C8D221" w14:textId="7C12170F"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0.01</w:t>
            </w:r>
          </w:p>
        </w:tc>
        <w:tc>
          <w:tcPr>
            <w:tcW w:w="816" w:type="pct"/>
            <w:tcBorders>
              <w:top w:val="none" w:sz="0" w:space="0" w:color="auto"/>
              <w:left w:val="none" w:sz="0" w:space="0" w:color="auto"/>
              <w:bottom w:val="none" w:sz="0" w:space="0" w:color="auto"/>
              <w:right w:val="none" w:sz="0" w:space="0" w:color="auto"/>
            </w:tcBorders>
          </w:tcPr>
          <w:p w14:paraId="102B8349" w14:textId="1A0C91FF" w:rsidR="00C641B8" w:rsidRPr="00AC64E0" w:rsidRDefault="00C641B8"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0</w:t>
            </w:r>
          </w:p>
        </w:tc>
      </w:tr>
      <w:tr w:rsidR="00C641B8" w:rsidRPr="00AC64E0" w14:paraId="38FAE164" w14:textId="70583D04"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3D1C56E5" w14:textId="77777777" w:rsidR="00C641B8" w:rsidRPr="00B777D6" w:rsidRDefault="00C641B8" w:rsidP="00562725">
            <w:pPr>
              <w:rPr>
                <w:rFonts w:ascii="Franklin Gothic Medium" w:hAnsi="Franklin Gothic Medium"/>
              </w:rPr>
            </w:pPr>
            <w:r w:rsidRPr="00B777D6">
              <w:rPr>
                <w:rFonts w:ascii="Franklin Gothic Medium" w:hAnsi="Franklin Gothic Medium"/>
              </w:rPr>
              <w:t>Total</w:t>
            </w:r>
          </w:p>
        </w:tc>
        <w:tc>
          <w:tcPr>
            <w:tcW w:w="527" w:type="pct"/>
            <w:tcBorders>
              <w:top w:val="none" w:sz="0" w:space="0" w:color="auto"/>
              <w:left w:val="none" w:sz="0" w:space="0" w:color="auto"/>
              <w:bottom w:val="none" w:sz="0" w:space="0" w:color="auto"/>
              <w:right w:val="none" w:sz="0" w:space="0" w:color="auto"/>
            </w:tcBorders>
          </w:tcPr>
          <w:p w14:paraId="033E6F8E" w14:textId="5ADEB86D" w:rsidR="00C641B8" w:rsidRPr="00B777D6" w:rsidRDefault="00467C54"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445</w:t>
            </w:r>
          </w:p>
        </w:tc>
        <w:tc>
          <w:tcPr>
            <w:tcW w:w="730" w:type="pct"/>
            <w:tcBorders>
              <w:top w:val="none" w:sz="0" w:space="0" w:color="auto"/>
              <w:left w:val="none" w:sz="0" w:space="0" w:color="auto"/>
              <w:bottom w:val="none" w:sz="0" w:space="0" w:color="auto"/>
              <w:right w:val="none" w:sz="0" w:space="0" w:color="auto"/>
            </w:tcBorders>
          </w:tcPr>
          <w:p w14:paraId="0D4A3E55" w14:textId="257EE015" w:rsidR="00C641B8" w:rsidRPr="00B777D6" w:rsidRDefault="00C641B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405</w:t>
            </w:r>
          </w:p>
        </w:tc>
        <w:tc>
          <w:tcPr>
            <w:tcW w:w="699" w:type="pct"/>
            <w:tcBorders>
              <w:top w:val="none" w:sz="0" w:space="0" w:color="auto"/>
              <w:left w:val="none" w:sz="0" w:space="0" w:color="auto"/>
              <w:bottom w:val="none" w:sz="0" w:space="0" w:color="auto"/>
              <w:right w:val="none" w:sz="0" w:space="0" w:color="auto"/>
            </w:tcBorders>
          </w:tcPr>
          <w:p w14:paraId="7445E8A4" w14:textId="108F4F35" w:rsidR="00C641B8" w:rsidRPr="00B777D6" w:rsidRDefault="00C641B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0.10</w:t>
            </w:r>
          </w:p>
        </w:tc>
        <w:tc>
          <w:tcPr>
            <w:tcW w:w="816" w:type="pct"/>
            <w:tcBorders>
              <w:top w:val="none" w:sz="0" w:space="0" w:color="auto"/>
              <w:left w:val="none" w:sz="0" w:space="0" w:color="auto"/>
              <w:bottom w:val="none" w:sz="0" w:space="0" w:color="auto"/>
              <w:right w:val="none" w:sz="0" w:space="0" w:color="auto"/>
            </w:tcBorders>
          </w:tcPr>
          <w:p w14:paraId="0429B6D2" w14:textId="09262122" w:rsidR="00C641B8" w:rsidRPr="00B777D6" w:rsidRDefault="00C641B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7,469</w:t>
            </w:r>
          </w:p>
        </w:tc>
      </w:tr>
    </w:tbl>
    <w:p w14:paraId="0BA593C5" w14:textId="6768A014" w:rsidR="00AC64E0" w:rsidRPr="00AC64E0" w:rsidRDefault="00AC64E0" w:rsidP="00AC64E0">
      <w:pPr>
        <w:keepNext/>
        <w:spacing w:before="40" w:after="60" w:line="240" w:lineRule="auto"/>
        <w:rPr>
          <w:bCs/>
          <w:sz w:val="18"/>
          <w:szCs w:val="20"/>
        </w:rPr>
      </w:pPr>
      <w:r w:rsidRPr="00AC64E0">
        <w:rPr>
          <w:bCs/>
          <w:sz w:val="18"/>
          <w:szCs w:val="20"/>
          <w:vertAlign w:val="superscript"/>
        </w:rPr>
        <w:t>a</w:t>
      </w:r>
      <w:r w:rsidR="00CE0CB4">
        <w:rPr>
          <w:bCs/>
          <w:sz w:val="18"/>
          <w:szCs w:val="20"/>
          <w:vertAlign w:val="superscript"/>
        </w:rPr>
        <w:t xml:space="preserve"> </w:t>
      </w:r>
      <w:r w:rsidRPr="00AC64E0">
        <w:rPr>
          <w:bCs/>
          <w:sz w:val="18"/>
          <w:szCs w:val="20"/>
        </w:rPr>
        <w:t xml:space="preserve">The project counts, measure counts, and ex ante savings values presented in </w:t>
      </w:r>
      <w:r w:rsidR="00C53208">
        <w:rPr>
          <w:bCs/>
          <w:sz w:val="18"/>
          <w:szCs w:val="20"/>
        </w:rPr>
        <w:t xml:space="preserve">the </w:t>
      </w:r>
      <w:r w:rsidR="00875F07" w:rsidRPr="00875F07">
        <w:rPr>
          <w:bCs/>
          <w:sz w:val="18"/>
          <w:szCs w:val="20"/>
        </w:rPr>
        <w:t>Private Sector subsection of this table include State and Federal facilities</w:t>
      </w:r>
      <w:r w:rsidR="00C53208">
        <w:rPr>
          <w:bCs/>
          <w:sz w:val="18"/>
          <w:szCs w:val="20"/>
        </w:rPr>
        <w:t>,</w:t>
      </w:r>
      <w:r w:rsidR="00875F07" w:rsidRPr="00875F07">
        <w:rPr>
          <w:bCs/>
          <w:sz w:val="18"/>
          <w:szCs w:val="20"/>
        </w:rPr>
        <w:t xml:space="preserve"> as these facility types are not </w:t>
      </w:r>
      <w:r w:rsidRPr="00AC64E0">
        <w:rPr>
          <w:bCs/>
          <w:sz w:val="18"/>
          <w:szCs w:val="20"/>
        </w:rPr>
        <w:t>included in the list of customer types covered in the public sector minimum funding requirements in subsection (c) of 220 ILCS 5/8-103B and subsection (e) of 220 ILCS 5/8-104.</w:t>
      </w:r>
    </w:p>
    <w:p w14:paraId="6A22A942" w14:textId="2D961745" w:rsidR="00AC64E0" w:rsidRPr="00AC64E0" w:rsidRDefault="00AC64E0" w:rsidP="00AC64E0">
      <w:pPr>
        <w:spacing w:before="240"/>
      </w:pPr>
      <w:r>
        <w:fldChar w:fldCharType="begin"/>
      </w:r>
      <w:r>
        <w:instrText xml:space="preserve"> REF _Ref189054381 \h </w:instrText>
      </w:r>
      <w:r>
        <w:fldChar w:fldCharType="separate"/>
      </w:r>
      <w:r w:rsidR="00AA10F4" w:rsidRPr="00AC64E0">
        <w:rPr>
          <w:bCs/>
          <w:szCs w:val="20"/>
        </w:rPr>
        <w:t xml:space="preserve">Table </w:t>
      </w:r>
      <w:r w:rsidR="00AA10F4">
        <w:rPr>
          <w:bCs/>
          <w:noProof/>
          <w:szCs w:val="20"/>
        </w:rPr>
        <w:t>72</w:t>
      </w:r>
      <w:r>
        <w:fldChar w:fldCharType="end"/>
      </w:r>
      <w:r w:rsidRPr="00AC64E0">
        <w:t xml:space="preserve"> presents information on distributor participation in the channel. In total, </w:t>
      </w:r>
      <w:r w:rsidR="00836FE5">
        <w:t>31</w:t>
      </w:r>
      <w:r w:rsidRPr="00AC64E0">
        <w:t xml:space="preserve"> distributors participated in the channel in 2024, </w:t>
      </w:r>
      <w:r w:rsidR="00CE0CB4" w:rsidRPr="00AC64E0">
        <w:t>a</w:t>
      </w:r>
      <w:r w:rsidRPr="00AC64E0">
        <w:t xml:space="preserve"> </w:t>
      </w:r>
      <w:r w:rsidR="00836FE5">
        <w:t>48</w:t>
      </w:r>
      <w:r w:rsidRPr="00AC64E0">
        <w:t>% increase</w:t>
      </w:r>
      <w:r w:rsidR="001374B5">
        <w:t xml:space="preserve"> </w:t>
      </w:r>
      <w:r w:rsidRPr="00AC64E0">
        <w:t>compared to</w:t>
      </w:r>
      <w:r w:rsidR="00C53208">
        <w:t xml:space="preserve"> </w:t>
      </w:r>
      <w:r>
        <w:t>21</w:t>
      </w:r>
      <w:r w:rsidRPr="00AC64E0">
        <w:t xml:space="preserve"> distributors in 2023. In total, these distributors completed</w:t>
      </w:r>
      <w:r w:rsidR="00836FE5">
        <w:t xml:space="preserve"> 285 </w:t>
      </w:r>
      <w:r w:rsidRPr="00AC64E0">
        <w:t xml:space="preserve">projects. </w:t>
      </w:r>
      <w:r>
        <w:fldChar w:fldCharType="begin"/>
      </w:r>
      <w:r>
        <w:instrText xml:space="preserve"> REF _Ref189054381 \h </w:instrText>
      </w:r>
      <w:r>
        <w:fldChar w:fldCharType="separate"/>
      </w:r>
      <w:r w:rsidR="00AA10F4" w:rsidRPr="00AC64E0">
        <w:rPr>
          <w:bCs/>
          <w:szCs w:val="20"/>
        </w:rPr>
        <w:t xml:space="preserve">Table </w:t>
      </w:r>
      <w:r w:rsidR="00AA10F4">
        <w:rPr>
          <w:bCs/>
          <w:noProof/>
          <w:szCs w:val="20"/>
        </w:rPr>
        <w:t>72</w:t>
      </w:r>
      <w:r>
        <w:fldChar w:fldCharType="end"/>
      </w:r>
      <w:r w:rsidRPr="00AC64E0">
        <w:t xml:space="preserve"> presents information on the ten distributors most active in</w:t>
      </w:r>
      <w:r>
        <w:t xml:space="preserve"> t</w:t>
      </w:r>
      <w:r w:rsidRPr="00AC64E0">
        <w:t>h</w:t>
      </w:r>
      <w:r>
        <w:t>e</w:t>
      </w:r>
      <w:r w:rsidRPr="00AC64E0">
        <w:t xml:space="preserve"> channel in 2024. </w:t>
      </w:r>
    </w:p>
    <w:p w14:paraId="4EC427C3" w14:textId="709CBA7D" w:rsidR="00AC64E0" w:rsidRDefault="00AC64E0" w:rsidP="00AC64E0">
      <w:pPr>
        <w:keepNext/>
        <w:spacing w:before="240"/>
        <w:jc w:val="center"/>
        <w:rPr>
          <w:bCs/>
          <w:szCs w:val="20"/>
        </w:rPr>
      </w:pPr>
      <w:bookmarkStart w:id="317" w:name="_Ref189054381"/>
      <w:bookmarkStart w:id="318" w:name="_Toc191992593"/>
      <w:bookmarkStart w:id="319" w:name="_Toc192767006"/>
      <w:r w:rsidRPr="00AC64E0">
        <w:rPr>
          <w:bCs/>
          <w:szCs w:val="20"/>
        </w:rPr>
        <w:t xml:space="preserve">Table </w:t>
      </w:r>
      <w:r w:rsidRPr="00AC64E0">
        <w:rPr>
          <w:bCs/>
          <w:szCs w:val="20"/>
        </w:rPr>
        <w:fldChar w:fldCharType="begin"/>
      </w:r>
      <w:r w:rsidRPr="00AC64E0">
        <w:rPr>
          <w:bCs/>
          <w:szCs w:val="20"/>
        </w:rPr>
        <w:instrText xml:space="preserve"> SEQ Table \* ARABIC </w:instrText>
      </w:r>
      <w:r w:rsidRPr="00AC64E0">
        <w:rPr>
          <w:bCs/>
          <w:szCs w:val="20"/>
        </w:rPr>
        <w:fldChar w:fldCharType="separate"/>
      </w:r>
      <w:r w:rsidR="00AA10F4">
        <w:rPr>
          <w:bCs/>
          <w:noProof/>
          <w:szCs w:val="20"/>
        </w:rPr>
        <w:t>72</w:t>
      </w:r>
      <w:r w:rsidRPr="00AC64E0">
        <w:rPr>
          <w:bCs/>
          <w:szCs w:val="20"/>
        </w:rPr>
        <w:fldChar w:fldCharType="end"/>
      </w:r>
      <w:bookmarkEnd w:id="317"/>
      <w:r w:rsidRPr="00AC64E0">
        <w:rPr>
          <w:bCs/>
          <w:szCs w:val="20"/>
        </w:rPr>
        <w:t xml:space="preserve">. 2024 Midstream </w:t>
      </w:r>
      <w:r>
        <w:rPr>
          <w:bCs/>
          <w:szCs w:val="20"/>
        </w:rPr>
        <w:t>HVAC</w:t>
      </w:r>
      <w:r w:rsidRPr="00AC64E0">
        <w:rPr>
          <w:bCs/>
          <w:szCs w:val="20"/>
        </w:rPr>
        <w:t xml:space="preserve"> Channel Participating Distributor Summary</w:t>
      </w:r>
      <w:bookmarkEnd w:id="318"/>
      <w:bookmarkEnd w:id="319"/>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698"/>
        <w:gridCol w:w="3699"/>
        <w:gridCol w:w="3699"/>
      </w:tblGrid>
      <w:tr w:rsidR="000150F5" w14:paraId="2D0B666B" w14:textId="77777777" w:rsidTr="00BC69D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67B3ED1" w14:textId="77777777" w:rsidR="000150F5" w:rsidRDefault="000150F5" w:rsidP="00D316C1">
            <w:pPr>
              <w:pStyle w:val="TableHeadingLeft"/>
            </w:pPr>
            <w:r>
              <w:t>Distributor</w:t>
            </w:r>
          </w:p>
        </w:tc>
        <w:tc>
          <w:tcPr>
            <w:tcW w:w="3699" w:type="dxa"/>
            <w:tcBorders>
              <w:bottom w:val="none" w:sz="0" w:space="0" w:color="auto"/>
            </w:tcBorders>
          </w:tcPr>
          <w:p w14:paraId="6125A7B9" w14:textId="77777777" w:rsidR="000150F5" w:rsidRDefault="000150F5" w:rsidP="00D316C1">
            <w:pPr>
              <w:pStyle w:val="TableHeadingCentered"/>
              <w:cnfStyle w:val="100000000000" w:firstRow="1" w:lastRow="0" w:firstColumn="0" w:lastColumn="0" w:oddVBand="0" w:evenVBand="0" w:oddHBand="0" w:evenHBand="0" w:firstRowFirstColumn="0" w:firstRowLastColumn="0" w:lastRowFirstColumn="0" w:lastRowLastColumn="0"/>
            </w:pPr>
            <w:r>
              <w:t>Projects</w:t>
            </w:r>
          </w:p>
        </w:tc>
        <w:tc>
          <w:tcPr>
            <w:tcW w:w="3699" w:type="dxa"/>
            <w:tcBorders>
              <w:bottom w:val="none" w:sz="0" w:space="0" w:color="auto"/>
            </w:tcBorders>
          </w:tcPr>
          <w:p w14:paraId="7CA04F34" w14:textId="4B957888" w:rsidR="000150F5" w:rsidRDefault="000150F5" w:rsidP="00D316C1">
            <w:pPr>
              <w:pStyle w:val="TableHeadingCentered"/>
              <w:cnfStyle w:val="100000000000" w:firstRow="1" w:lastRow="0" w:firstColumn="0" w:lastColumn="0" w:oddVBand="0" w:evenVBand="0" w:oddHBand="0" w:evenHBand="0" w:firstRowFirstColumn="0" w:firstRowLastColumn="0" w:lastRowFirstColumn="0" w:lastRowLastColumn="0"/>
            </w:pPr>
            <w:r>
              <w:t>Share of Total (n=</w:t>
            </w:r>
            <w:r w:rsidR="00771429">
              <w:t>285</w:t>
            </w:r>
            <w:r>
              <w:t>)</w:t>
            </w:r>
          </w:p>
        </w:tc>
      </w:tr>
      <w:tr w:rsidR="000150F5" w14:paraId="6A345FE4"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964D956" w14:textId="6A1A6530"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2</w:t>
            </w:r>
          </w:p>
        </w:tc>
        <w:tc>
          <w:tcPr>
            <w:tcW w:w="3699" w:type="dxa"/>
            <w:tcBorders>
              <w:top w:val="none" w:sz="0" w:space="0" w:color="auto"/>
              <w:left w:val="none" w:sz="0" w:space="0" w:color="auto"/>
              <w:bottom w:val="none" w:sz="0" w:space="0" w:color="auto"/>
              <w:right w:val="none" w:sz="0" w:space="0" w:color="auto"/>
            </w:tcBorders>
          </w:tcPr>
          <w:p w14:paraId="1CF27024" w14:textId="4DEE0078" w:rsidR="000150F5" w:rsidRPr="003B561E" w:rsidRDefault="00771429" w:rsidP="003B561E">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48</w:t>
            </w:r>
          </w:p>
        </w:tc>
        <w:tc>
          <w:tcPr>
            <w:tcW w:w="3699" w:type="dxa"/>
            <w:tcBorders>
              <w:top w:val="none" w:sz="0" w:space="0" w:color="auto"/>
              <w:left w:val="none" w:sz="0" w:space="0" w:color="auto"/>
              <w:bottom w:val="none" w:sz="0" w:space="0" w:color="auto"/>
              <w:right w:val="none" w:sz="0" w:space="0" w:color="auto"/>
            </w:tcBorders>
          </w:tcPr>
          <w:p w14:paraId="1BC4DBE3" w14:textId="76BCB8B9" w:rsidR="000150F5" w:rsidRPr="003B561E" w:rsidRDefault="00771429"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17%</w:t>
            </w:r>
          </w:p>
        </w:tc>
      </w:tr>
      <w:tr w:rsidR="000150F5" w14:paraId="6B6B1611"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764F9227" w14:textId="133D0B18"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3</w:t>
            </w:r>
          </w:p>
        </w:tc>
        <w:tc>
          <w:tcPr>
            <w:tcW w:w="3699" w:type="dxa"/>
            <w:tcBorders>
              <w:top w:val="none" w:sz="0" w:space="0" w:color="auto"/>
              <w:left w:val="none" w:sz="0" w:space="0" w:color="auto"/>
              <w:bottom w:val="none" w:sz="0" w:space="0" w:color="auto"/>
              <w:right w:val="none" w:sz="0" w:space="0" w:color="auto"/>
            </w:tcBorders>
          </w:tcPr>
          <w:p w14:paraId="65A6EAAF" w14:textId="48316185" w:rsidR="000150F5" w:rsidRPr="003B561E" w:rsidRDefault="00771429" w:rsidP="003B561E">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36</w:t>
            </w:r>
          </w:p>
        </w:tc>
        <w:tc>
          <w:tcPr>
            <w:tcW w:w="3699" w:type="dxa"/>
            <w:tcBorders>
              <w:top w:val="none" w:sz="0" w:space="0" w:color="auto"/>
              <w:left w:val="none" w:sz="0" w:space="0" w:color="auto"/>
              <w:bottom w:val="none" w:sz="0" w:space="0" w:color="auto"/>
              <w:right w:val="none" w:sz="0" w:space="0" w:color="auto"/>
            </w:tcBorders>
          </w:tcPr>
          <w:p w14:paraId="4F8639FA" w14:textId="3EB5C1BA" w:rsidR="000150F5" w:rsidRPr="003B561E" w:rsidRDefault="00771429" w:rsidP="00A556BD">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13%</w:t>
            </w:r>
          </w:p>
        </w:tc>
      </w:tr>
      <w:tr w:rsidR="000150F5" w14:paraId="5D79945F"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063A79BF" w14:textId="3EA79411"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4</w:t>
            </w:r>
          </w:p>
        </w:tc>
        <w:tc>
          <w:tcPr>
            <w:tcW w:w="3699" w:type="dxa"/>
            <w:tcBorders>
              <w:top w:val="none" w:sz="0" w:space="0" w:color="auto"/>
              <w:left w:val="none" w:sz="0" w:space="0" w:color="auto"/>
              <w:bottom w:val="none" w:sz="0" w:space="0" w:color="auto"/>
              <w:right w:val="none" w:sz="0" w:space="0" w:color="auto"/>
            </w:tcBorders>
          </w:tcPr>
          <w:p w14:paraId="0C5D59B3" w14:textId="6C7B04DF" w:rsidR="000150F5" w:rsidRPr="003B561E" w:rsidRDefault="00771429" w:rsidP="003B561E">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22</w:t>
            </w:r>
          </w:p>
        </w:tc>
        <w:tc>
          <w:tcPr>
            <w:tcW w:w="3699" w:type="dxa"/>
            <w:tcBorders>
              <w:top w:val="none" w:sz="0" w:space="0" w:color="auto"/>
              <w:left w:val="none" w:sz="0" w:space="0" w:color="auto"/>
              <w:bottom w:val="none" w:sz="0" w:space="0" w:color="auto"/>
              <w:right w:val="none" w:sz="0" w:space="0" w:color="auto"/>
            </w:tcBorders>
          </w:tcPr>
          <w:p w14:paraId="7446DC2D" w14:textId="6EE89351" w:rsidR="000150F5" w:rsidRPr="003B561E" w:rsidRDefault="00771429"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8%</w:t>
            </w:r>
          </w:p>
        </w:tc>
      </w:tr>
      <w:tr w:rsidR="000150F5" w14:paraId="0DBA91CB"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1C3DDB41" w14:textId="0D339D8E"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5</w:t>
            </w:r>
          </w:p>
        </w:tc>
        <w:tc>
          <w:tcPr>
            <w:tcW w:w="3699" w:type="dxa"/>
            <w:tcBorders>
              <w:top w:val="none" w:sz="0" w:space="0" w:color="auto"/>
              <w:left w:val="none" w:sz="0" w:space="0" w:color="auto"/>
              <w:bottom w:val="none" w:sz="0" w:space="0" w:color="auto"/>
              <w:right w:val="none" w:sz="0" w:space="0" w:color="auto"/>
            </w:tcBorders>
          </w:tcPr>
          <w:p w14:paraId="0C10FED2" w14:textId="5866774F" w:rsidR="000150F5" w:rsidRPr="003B561E" w:rsidRDefault="00771429" w:rsidP="003B561E">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21</w:t>
            </w:r>
          </w:p>
        </w:tc>
        <w:tc>
          <w:tcPr>
            <w:tcW w:w="3699" w:type="dxa"/>
            <w:tcBorders>
              <w:top w:val="none" w:sz="0" w:space="0" w:color="auto"/>
              <w:left w:val="none" w:sz="0" w:space="0" w:color="auto"/>
              <w:bottom w:val="none" w:sz="0" w:space="0" w:color="auto"/>
              <w:right w:val="none" w:sz="0" w:space="0" w:color="auto"/>
            </w:tcBorders>
          </w:tcPr>
          <w:p w14:paraId="030C663B" w14:textId="201D47F8" w:rsidR="000150F5" w:rsidRPr="003B561E" w:rsidRDefault="00771429" w:rsidP="00A556BD">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7%</w:t>
            </w:r>
          </w:p>
        </w:tc>
      </w:tr>
      <w:tr w:rsidR="000150F5" w14:paraId="1B91F44D"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4977E09B" w14:textId="1AF963EE"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6</w:t>
            </w:r>
          </w:p>
        </w:tc>
        <w:tc>
          <w:tcPr>
            <w:tcW w:w="3699" w:type="dxa"/>
            <w:tcBorders>
              <w:top w:val="none" w:sz="0" w:space="0" w:color="auto"/>
              <w:left w:val="none" w:sz="0" w:space="0" w:color="auto"/>
              <w:bottom w:val="none" w:sz="0" w:space="0" w:color="auto"/>
              <w:right w:val="none" w:sz="0" w:space="0" w:color="auto"/>
            </w:tcBorders>
          </w:tcPr>
          <w:p w14:paraId="16F06C35" w14:textId="49FA3D8F" w:rsidR="000150F5" w:rsidRPr="003B561E" w:rsidRDefault="00771429" w:rsidP="003B561E">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21</w:t>
            </w:r>
          </w:p>
        </w:tc>
        <w:tc>
          <w:tcPr>
            <w:tcW w:w="3699" w:type="dxa"/>
            <w:tcBorders>
              <w:top w:val="none" w:sz="0" w:space="0" w:color="auto"/>
              <w:left w:val="none" w:sz="0" w:space="0" w:color="auto"/>
              <w:bottom w:val="none" w:sz="0" w:space="0" w:color="auto"/>
              <w:right w:val="none" w:sz="0" w:space="0" w:color="auto"/>
            </w:tcBorders>
          </w:tcPr>
          <w:p w14:paraId="2073F530" w14:textId="3144B167" w:rsidR="000150F5" w:rsidRPr="003B561E" w:rsidRDefault="00771429"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7%</w:t>
            </w:r>
          </w:p>
        </w:tc>
      </w:tr>
      <w:tr w:rsidR="000150F5" w14:paraId="70D3AF95"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4955FAD9" w14:textId="54229997"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7</w:t>
            </w:r>
          </w:p>
        </w:tc>
        <w:tc>
          <w:tcPr>
            <w:tcW w:w="3699" w:type="dxa"/>
            <w:tcBorders>
              <w:top w:val="none" w:sz="0" w:space="0" w:color="auto"/>
              <w:left w:val="none" w:sz="0" w:space="0" w:color="auto"/>
              <w:bottom w:val="none" w:sz="0" w:space="0" w:color="auto"/>
              <w:right w:val="none" w:sz="0" w:space="0" w:color="auto"/>
            </w:tcBorders>
          </w:tcPr>
          <w:p w14:paraId="02853E9D" w14:textId="6655D9A9" w:rsidR="000150F5" w:rsidRPr="003B561E" w:rsidRDefault="00771429" w:rsidP="003B561E">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15</w:t>
            </w:r>
          </w:p>
        </w:tc>
        <w:tc>
          <w:tcPr>
            <w:tcW w:w="3699" w:type="dxa"/>
            <w:tcBorders>
              <w:top w:val="none" w:sz="0" w:space="0" w:color="auto"/>
              <w:left w:val="none" w:sz="0" w:space="0" w:color="auto"/>
              <w:bottom w:val="none" w:sz="0" w:space="0" w:color="auto"/>
              <w:right w:val="none" w:sz="0" w:space="0" w:color="auto"/>
            </w:tcBorders>
          </w:tcPr>
          <w:p w14:paraId="4CBFB01A" w14:textId="1785250E" w:rsidR="000150F5" w:rsidRPr="003B561E" w:rsidRDefault="00771429" w:rsidP="00A556BD">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5%</w:t>
            </w:r>
          </w:p>
        </w:tc>
      </w:tr>
      <w:tr w:rsidR="000150F5" w14:paraId="4B9ABDE9"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0403EBAE" w14:textId="7C2EF25E"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8</w:t>
            </w:r>
          </w:p>
        </w:tc>
        <w:tc>
          <w:tcPr>
            <w:tcW w:w="3699" w:type="dxa"/>
            <w:tcBorders>
              <w:top w:val="none" w:sz="0" w:space="0" w:color="auto"/>
              <w:left w:val="none" w:sz="0" w:space="0" w:color="auto"/>
              <w:bottom w:val="none" w:sz="0" w:space="0" w:color="auto"/>
              <w:right w:val="none" w:sz="0" w:space="0" w:color="auto"/>
            </w:tcBorders>
          </w:tcPr>
          <w:p w14:paraId="25753220" w14:textId="111429CA" w:rsidR="000150F5" w:rsidRPr="003B561E" w:rsidRDefault="00771429" w:rsidP="003B561E">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13</w:t>
            </w:r>
          </w:p>
        </w:tc>
        <w:tc>
          <w:tcPr>
            <w:tcW w:w="3699" w:type="dxa"/>
            <w:tcBorders>
              <w:top w:val="none" w:sz="0" w:space="0" w:color="auto"/>
              <w:left w:val="none" w:sz="0" w:space="0" w:color="auto"/>
              <w:bottom w:val="none" w:sz="0" w:space="0" w:color="auto"/>
              <w:right w:val="none" w:sz="0" w:space="0" w:color="auto"/>
            </w:tcBorders>
          </w:tcPr>
          <w:p w14:paraId="1C10CD25" w14:textId="00C80D70" w:rsidR="000150F5" w:rsidRPr="003B561E" w:rsidRDefault="00771429"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5%</w:t>
            </w:r>
          </w:p>
        </w:tc>
      </w:tr>
      <w:tr w:rsidR="000150F5" w14:paraId="26C75013"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0A7479B3" w14:textId="2FDB1888" w:rsidR="000150F5" w:rsidRPr="003B561E" w:rsidRDefault="00771429" w:rsidP="003B561E">
            <w:pPr>
              <w:spacing w:before="10"/>
              <w:rPr>
                <w:rFonts w:asciiTheme="minorHAnsi" w:hAnsiTheme="minorHAnsi"/>
              </w:rPr>
            </w:pPr>
            <w:r w:rsidRPr="003B561E">
              <w:rPr>
                <w:rFonts w:asciiTheme="minorHAnsi" w:hAnsiTheme="minorHAnsi"/>
              </w:rPr>
              <w:t>Ally 3</w:t>
            </w:r>
            <w:r w:rsidR="00235C08">
              <w:rPr>
                <w:rFonts w:asciiTheme="minorHAnsi" w:hAnsiTheme="minorHAnsi"/>
              </w:rPr>
              <w:t>9</w:t>
            </w:r>
          </w:p>
        </w:tc>
        <w:tc>
          <w:tcPr>
            <w:tcW w:w="3699" w:type="dxa"/>
            <w:tcBorders>
              <w:top w:val="none" w:sz="0" w:space="0" w:color="auto"/>
              <w:left w:val="none" w:sz="0" w:space="0" w:color="auto"/>
              <w:bottom w:val="none" w:sz="0" w:space="0" w:color="auto"/>
              <w:right w:val="none" w:sz="0" w:space="0" w:color="auto"/>
            </w:tcBorders>
          </w:tcPr>
          <w:p w14:paraId="316D8AA4" w14:textId="7F545661" w:rsidR="000150F5" w:rsidRPr="003B561E" w:rsidRDefault="00771429" w:rsidP="003B561E">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11</w:t>
            </w:r>
          </w:p>
        </w:tc>
        <w:tc>
          <w:tcPr>
            <w:tcW w:w="3699" w:type="dxa"/>
            <w:tcBorders>
              <w:top w:val="none" w:sz="0" w:space="0" w:color="auto"/>
              <w:left w:val="none" w:sz="0" w:space="0" w:color="auto"/>
              <w:bottom w:val="none" w:sz="0" w:space="0" w:color="auto"/>
              <w:right w:val="none" w:sz="0" w:space="0" w:color="auto"/>
            </w:tcBorders>
          </w:tcPr>
          <w:p w14:paraId="526C7B69" w14:textId="65330599" w:rsidR="000150F5" w:rsidRPr="003B561E" w:rsidRDefault="00836FE5" w:rsidP="00A556BD">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4%</w:t>
            </w:r>
          </w:p>
        </w:tc>
      </w:tr>
      <w:tr w:rsidR="000150F5" w14:paraId="0841870C"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4757B614" w14:textId="5BB3EBFE" w:rsidR="000150F5" w:rsidRPr="003B561E" w:rsidRDefault="00771429" w:rsidP="003B561E">
            <w:pPr>
              <w:spacing w:before="10"/>
              <w:rPr>
                <w:rFonts w:asciiTheme="minorHAnsi" w:hAnsiTheme="minorHAnsi"/>
              </w:rPr>
            </w:pPr>
            <w:r w:rsidRPr="003B561E">
              <w:rPr>
                <w:rFonts w:asciiTheme="minorHAnsi" w:hAnsiTheme="minorHAnsi"/>
              </w:rPr>
              <w:t xml:space="preserve">Ally </w:t>
            </w:r>
            <w:r w:rsidR="00235C08">
              <w:rPr>
                <w:rFonts w:asciiTheme="minorHAnsi" w:hAnsiTheme="minorHAnsi"/>
              </w:rPr>
              <w:t>40</w:t>
            </w:r>
            <w:r w:rsidRPr="003B561E">
              <w:rPr>
                <w:rFonts w:asciiTheme="minorHAnsi" w:hAnsiTheme="minorHAnsi"/>
              </w:rPr>
              <w:t xml:space="preserve"> </w:t>
            </w:r>
          </w:p>
        </w:tc>
        <w:tc>
          <w:tcPr>
            <w:tcW w:w="3699" w:type="dxa"/>
            <w:tcBorders>
              <w:top w:val="none" w:sz="0" w:space="0" w:color="auto"/>
              <w:left w:val="none" w:sz="0" w:space="0" w:color="auto"/>
              <w:bottom w:val="none" w:sz="0" w:space="0" w:color="auto"/>
              <w:right w:val="none" w:sz="0" w:space="0" w:color="auto"/>
            </w:tcBorders>
          </w:tcPr>
          <w:p w14:paraId="0AF0FA8E" w14:textId="47BE4E97" w:rsidR="000150F5" w:rsidRPr="003B561E" w:rsidRDefault="00771429" w:rsidP="003B561E">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11</w:t>
            </w:r>
          </w:p>
        </w:tc>
        <w:tc>
          <w:tcPr>
            <w:tcW w:w="3699" w:type="dxa"/>
            <w:tcBorders>
              <w:top w:val="none" w:sz="0" w:space="0" w:color="auto"/>
              <w:left w:val="none" w:sz="0" w:space="0" w:color="auto"/>
              <w:bottom w:val="none" w:sz="0" w:space="0" w:color="auto"/>
              <w:right w:val="none" w:sz="0" w:space="0" w:color="auto"/>
            </w:tcBorders>
          </w:tcPr>
          <w:p w14:paraId="59C8D288" w14:textId="2229B01D" w:rsidR="000150F5" w:rsidRPr="003B561E" w:rsidRDefault="00836FE5"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4%</w:t>
            </w:r>
          </w:p>
        </w:tc>
      </w:tr>
      <w:tr w:rsidR="000150F5" w14:paraId="08E2A0FE"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4E69074" w14:textId="1039CF9F" w:rsidR="000150F5" w:rsidRPr="003B561E" w:rsidRDefault="00771429" w:rsidP="003B561E">
            <w:pPr>
              <w:spacing w:before="10"/>
              <w:rPr>
                <w:rFonts w:asciiTheme="minorHAnsi" w:hAnsiTheme="minorHAnsi"/>
              </w:rPr>
            </w:pPr>
            <w:r w:rsidRPr="003B561E">
              <w:rPr>
                <w:rFonts w:asciiTheme="minorHAnsi" w:hAnsiTheme="minorHAnsi"/>
              </w:rPr>
              <w:t xml:space="preserve">Ally </w:t>
            </w:r>
            <w:r w:rsidR="00235C08">
              <w:rPr>
                <w:rFonts w:asciiTheme="minorHAnsi" w:hAnsiTheme="minorHAnsi"/>
              </w:rPr>
              <w:t>41</w:t>
            </w:r>
          </w:p>
        </w:tc>
        <w:tc>
          <w:tcPr>
            <w:tcW w:w="3699" w:type="dxa"/>
            <w:tcBorders>
              <w:top w:val="none" w:sz="0" w:space="0" w:color="auto"/>
              <w:left w:val="none" w:sz="0" w:space="0" w:color="auto"/>
              <w:bottom w:val="none" w:sz="0" w:space="0" w:color="auto"/>
              <w:right w:val="none" w:sz="0" w:space="0" w:color="auto"/>
            </w:tcBorders>
          </w:tcPr>
          <w:p w14:paraId="2C409BB7" w14:textId="691999E6" w:rsidR="000150F5" w:rsidRPr="003B561E" w:rsidRDefault="00771429" w:rsidP="003B561E">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10</w:t>
            </w:r>
          </w:p>
        </w:tc>
        <w:tc>
          <w:tcPr>
            <w:tcW w:w="3699" w:type="dxa"/>
            <w:tcBorders>
              <w:top w:val="none" w:sz="0" w:space="0" w:color="auto"/>
              <w:left w:val="none" w:sz="0" w:space="0" w:color="auto"/>
              <w:bottom w:val="none" w:sz="0" w:space="0" w:color="auto"/>
              <w:right w:val="none" w:sz="0" w:space="0" w:color="auto"/>
            </w:tcBorders>
          </w:tcPr>
          <w:p w14:paraId="45A292B2" w14:textId="65A5A33D" w:rsidR="000150F5" w:rsidRPr="003B561E" w:rsidRDefault="00836FE5" w:rsidP="00A556BD">
            <w:pPr>
              <w:spacing w:before="10"/>
              <w:jc w:val="center"/>
              <w:cnfStyle w:val="000000010000" w:firstRow="0" w:lastRow="0" w:firstColumn="0" w:lastColumn="0" w:oddVBand="0" w:evenVBand="0" w:oddHBand="0" w:evenHBand="1" w:firstRowFirstColumn="0" w:firstRowLastColumn="0" w:lastRowFirstColumn="0" w:lastRowLastColumn="0"/>
              <w:rPr>
                <w:rFonts w:asciiTheme="minorHAnsi" w:hAnsiTheme="minorHAnsi"/>
              </w:rPr>
            </w:pPr>
            <w:r w:rsidRPr="003B561E">
              <w:rPr>
                <w:rFonts w:asciiTheme="minorHAnsi" w:hAnsiTheme="minorHAnsi"/>
              </w:rPr>
              <w:t>4%</w:t>
            </w:r>
          </w:p>
        </w:tc>
      </w:tr>
      <w:tr w:rsidR="00AC64E0" w:rsidRPr="00AC64E0" w14:paraId="688E58D4"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6363510" w14:textId="41AC7009" w:rsidR="00AC64E0" w:rsidRPr="00771429" w:rsidRDefault="00771429" w:rsidP="00771429">
            <w:pPr>
              <w:spacing w:before="10"/>
              <w:rPr>
                <w:rFonts w:asciiTheme="minorHAnsi" w:hAnsiTheme="minorHAnsi"/>
              </w:rPr>
            </w:pPr>
            <w:r w:rsidRPr="00771429">
              <w:rPr>
                <w:rFonts w:asciiTheme="minorHAnsi" w:hAnsiTheme="minorHAnsi"/>
              </w:rPr>
              <w:t>Ally 4</w:t>
            </w:r>
            <w:r w:rsidR="00235C08">
              <w:rPr>
                <w:rFonts w:asciiTheme="minorHAnsi" w:hAnsiTheme="minorHAnsi"/>
              </w:rPr>
              <w:t>2</w:t>
            </w:r>
          </w:p>
        </w:tc>
        <w:tc>
          <w:tcPr>
            <w:tcW w:w="3699" w:type="dxa"/>
            <w:tcBorders>
              <w:top w:val="none" w:sz="0" w:space="0" w:color="auto"/>
              <w:left w:val="none" w:sz="0" w:space="0" w:color="auto"/>
              <w:bottom w:val="none" w:sz="0" w:space="0" w:color="auto"/>
              <w:right w:val="none" w:sz="0" w:space="0" w:color="auto"/>
            </w:tcBorders>
          </w:tcPr>
          <w:p w14:paraId="789E7CC1" w14:textId="3281004D" w:rsidR="00AC64E0" w:rsidRPr="00771429" w:rsidRDefault="00771429" w:rsidP="00771429">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771429">
              <w:rPr>
                <w:rFonts w:asciiTheme="minorHAnsi" w:hAnsiTheme="minorHAnsi"/>
              </w:rPr>
              <w:t>10</w:t>
            </w:r>
          </w:p>
        </w:tc>
        <w:tc>
          <w:tcPr>
            <w:tcW w:w="3699" w:type="dxa"/>
            <w:tcBorders>
              <w:top w:val="none" w:sz="0" w:space="0" w:color="auto"/>
              <w:left w:val="none" w:sz="0" w:space="0" w:color="auto"/>
              <w:bottom w:val="none" w:sz="0" w:space="0" w:color="auto"/>
              <w:right w:val="none" w:sz="0" w:space="0" w:color="auto"/>
            </w:tcBorders>
          </w:tcPr>
          <w:p w14:paraId="7324DF10" w14:textId="6C24C708" w:rsidR="00AC64E0" w:rsidRPr="003B561E" w:rsidRDefault="00836FE5" w:rsidP="00A556BD">
            <w:pPr>
              <w:spacing w:before="1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3B561E">
              <w:rPr>
                <w:rFonts w:asciiTheme="minorHAnsi" w:hAnsiTheme="minorHAnsi"/>
              </w:rPr>
              <w:t>4%</w:t>
            </w:r>
          </w:p>
        </w:tc>
      </w:tr>
    </w:tbl>
    <w:p w14:paraId="036FF2BD" w14:textId="77777777" w:rsidR="00A20D0D" w:rsidRDefault="00A20D0D" w:rsidP="00B47754">
      <w:pPr>
        <w:pStyle w:val="Heading4"/>
      </w:pPr>
      <w:r>
        <w:br w:type="page"/>
      </w:r>
    </w:p>
    <w:p w14:paraId="32421195" w14:textId="04246629" w:rsidR="00B47754" w:rsidRDefault="00B47754" w:rsidP="00B47754">
      <w:pPr>
        <w:pStyle w:val="Heading4"/>
      </w:pPr>
      <w:r>
        <w:lastRenderedPageBreak/>
        <w:t>Savings Detail</w:t>
      </w:r>
    </w:p>
    <w:p w14:paraId="434C81A6" w14:textId="6414D0BE" w:rsidR="000262F6" w:rsidRDefault="003A0E54" w:rsidP="003A0E54">
      <w:r>
        <w:fldChar w:fldCharType="begin"/>
      </w:r>
      <w:r>
        <w:instrText xml:space="preserve"> REF _Ref187326906 \h </w:instrText>
      </w:r>
      <w:r>
        <w:fldChar w:fldCharType="separate"/>
      </w:r>
      <w:r w:rsidR="00AA10F4">
        <w:t xml:space="preserve">Table </w:t>
      </w:r>
      <w:r w:rsidR="00AA10F4">
        <w:rPr>
          <w:noProof/>
        </w:rPr>
        <w:t>73</w:t>
      </w:r>
      <w:r>
        <w:fldChar w:fldCharType="end"/>
      </w:r>
      <w:r w:rsidR="000262F6">
        <w:t xml:space="preserve"> presents the ex ante, verified gross, and verified net electric energy savings achieved through the Midstream </w:t>
      </w:r>
      <w:r w:rsidR="00824014">
        <w:t xml:space="preserve">HVAC </w:t>
      </w:r>
      <w:r w:rsidR="000262F6">
        <w:t>channel in 2024.</w:t>
      </w:r>
      <w:r w:rsidR="00300CFB">
        <w:t xml:space="preserve"> </w:t>
      </w:r>
      <w:r w:rsidR="00300CFB" w:rsidRPr="00300CFB">
        <w:t xml:space="preserve">The channel achieved a gross realization rate of 97% for electric energy savings. </w:t>
      </w:r>
      <w:r w:rsidR="00E202AB">
        <w:t xml:space="preserve">The channel </w:t>
      </w:r>
      <w:r w:rsidR="00300CFB" w:rsidRPr="00300CFB">
        <w:t xml:space="preserve">continued </w:t>
      </w:r>
      <w:r w:rsidR="00E202AB">
        <w:t>to provide incentives for</w:t>
      </w:r>
      <w:r w:rsidR="00E202AB" w:rsidRPr="00300CFB">
        <w:t xml:space="preserve"> </w:t>
      </w:r>
      <w:r w:rsidR="00300CFB" w:rsidRPr="00300CFB">
        <w:t>the same measures as in 2023</w:t>
      </w:r>
      <w:r w:rsidR="00C53208">
        <w:t>. Additionally, it introduced</w:t>
      </w:r>
      <w:r w:rsidR="00300CFB" w:rsidRPr="00300CFB">
        <w:t xml:space="preserve"> unitary DMSHPs, which accounted for </w:t>
      </w:r>
      <w:r w:rsidR="000968C8">
        <w:t>4</w:t>
      </w:r>
      <w:r w:rsidR="0040625B">
        <w:t>1</w:t>
      </w:r>
      <w:r w:rsidR="00300CFB" w:rsidRPr="00300CFB">
        <w:t>% of verified net electric energy savings, representing the largest contributor to channel electric energy savings. Advanced thermostats accounted for 2</w:t>
      </w:r>
      <w:r w:rsidR="0040625B">
        <w:t>7</w:t>
      </w:r>
      <w:r w:rsidR="00300CFB" w:rsidRPr="00300CFB">
        <w:t xml:space="preserve">% of verified net electric energy savings, down </w:t>
      </w:r>
      <w:r w:rsidR="00300CFB" w:rsidRPr="0040625B">
        <w:t>from 59%</w:t>
      </w:r>
      <w:r w:rsidR="00300CFB" w:rsidRPr="00300CFB">
        <w:t xml:space="preserve"> in 2023 and continuing </w:t>
      </w:r>
      <w:r w:rsidR="00C53208">
        <w:t>an</w:t>
      </w:r>
      <w:r w:rsidR="00C53208" w:rsidRPr="00300CFB">
        <w:t xml:space="preserve"> </w:t>
      </w:r>
      <w:r w:rsidR="0040625B" w:rsidRPr="0040625B">
        <w:t>80</w:t>
      </w:r>
      <w:r w:rsidR="00300CFB" w:rsidRPr="0040625B">
        <w:t>%</w:t>
      </w:r>
      <w:r w:rsidR="00300CFB" w:rsidRPr="00300CFB">
        <w:t xml:space="preserve"> decline in savings since 2022. The primary driver of the decrease in verified net electric energy savings from advanced thermostats </w:t>
      </w:r>
      <w:r w:rsidR="00D11196">
        <w:t>was</w:t>
      </w:r>
      <w:r w:rsidR="00300CFB" w:rsidRPr="00300CFB">
        <w:t xml:space="preserve"> a 46% drop in the number of incentivized measures compared to 2023. Unitary ACs contributed 1</w:t>
      </w:r>
      <w:r w:rsidR="000968C8">
        <w:t>0</w:t>
      </w:r>
      <w:r w:rsidR="00300CFB" w:rsidRPr="00300CFB">
        <w:t xml:space="preserve">% to the channel’s verified net electric energy savings, </w:t>
      </w:r>
      <w:r w:rsidR="000968C8" w:rsidRPr="0040625B">
        <w:t>equaling</w:t>
      </w:r>
      <w:r w:rsidR="000968C8">
        <w:t xml:space="preserve"> the</w:t>
      </w:r>
      <w:r w:rsidR="0040625B">
        <w:t>ir contribution</w:t>
      </w:r>
      <w:r w:rsidR="000968C8">
        <w:t xml:space="preserve"> </w:t>
      </w:r>
      <w:r w:rsidR="00300CFB" w:rsidRPr="00300CFB">
        <w:t xml:space="preserve">in 2023, with a </w:t>
      </w:r>
      <w:r w:rsidR="000968C8">
        <w:t>47</w:t>
      </w:r>
      <w:r w:rsidR="00300CFB" w:rsidRPr="00300CFB">
        <w:t>% increase in total verified net savings</w:t>
      </w:r>
      <w:r w:rsidR="0040625B">
        <w:t xml:space="preserve"> compared to 2023</w:t>
      </w:r>
      <w:r w:rsidR="00300CFB" w:rsidRPr="00300CFB">
        <w:t xml:space="preserve">. Notched </w:t>
      </w:r>
      <w:r w:rsidR="008732BD">
        <w:t>V-belt</w:t>
      </w:r>
      <w:r w:rsidR="00300CFB" w:rsidRPr="00300CFB">
        <w:t>s (</w:t>
      </w:r>
      <w:r w:rsidR="000968C8">
        <w:t>10</w:t>
      </w:r>
      <w:r w:rsidR="00300CFB" w:rsidRPr="00300CFB">
        <w:t xml:space="preserve">% of channel verified net electric energy savings) saw a </w:t>
      </w:r>
      <w:r w:rsidR="000968C8">
        <w:t>4,760</w:t>
      </w:r>
      <w:r w:rsidR="00300CFB" w:rsidRPr="00300CFB">
        <w:t xml:space="preserve">% increase in verified net electric energy savings compared to 2023 due in part to a twelve-fold increase in measure uptake. Unitary </w:t>
      </w:r>
      <w:r w:rsidR="008732BD">
        <w:t>air source heat pumps (</w:t>
      </w:r>
      <w:r w:rsidR="00300CFB" w:rsidRPr="00300CFB">
        <w:t>ASHPs</w:t>
      </w:r>
      <w:r w:rsidR="008732BD">
        <w:t>)</w:t>
      </w:r>
      <w:r w:rsidR="00300CFB" w:rsidRPr="00300CFB">
        <w:t xml:space="preserve"> and </w:t>
      </w:r>
      <w:r w:rsidR="00C53208">
        <w:t>HPWHs</w:t>
      </w:r>
      <w:r w:rsidR="00300CFB" w:rsidRPr="00300CFB">
        <w:t xml:space="preserve"> contributed 7%</w:t>
      </w:r>
      <w:r w:rsidR="000968C8">
        <w:t xml:space="preserve"> and 6%</w:t>
      </w:r>
      <w:r w:rsidR="00300CFB" w:rsidRPr="00300CFB">
        <w:t xml:space="preserve"> to the channel’s verified net electric energy savings, down </w:t>
      </w:r>
      <w:r w:rsidR="00300CFB" w:rsidRPr="0040625B">
        <w:t>from 21% and 9%,</w:t>
      </w:r>
      <w:r w:rsidR="00300CFB" w:rsidRPr="00300CFB">
        <w:t xml:space="preserve"> respectively, in 2023. Overall, the verified net electric energy savings achieved through the channel increased by </w:t>
      </w:r>
      <w:r w:rsidR="000968C8">
        <w:t>47</w:t>
      </w:r>
      <w:r w:rsidR="00300CFB" w:rsidRPr="00300CFB">
        <w:t>% compared to 2023.</w:t>
      </w:r>
    </w:p>
    <w:p w14:paraId="18BB4679" w14:textId="4317C974" w:rsidR="003A0E54" w:rsidRDefault="003A0E54" w:rsidP="00881B1B">
      <w:pPr>
        <w:pStyle w:val="Caption"/>
      </w:pPr>
      <w:bookmarkStart w:id="320" w:name="_Ref187326906"/>
      <w:bookmarkStart w:id="321" w:name="_Toc191992594"/>
      <w:bookmarkStart w:id="322" w:name="_Toc192767007"/>
      <w:r>
        <w:t xml:space="preserve">Table </w:t>
      </w:r>
      <w:r w:rsidR="009B4C9A">
        <w:fldChar w:fldCharType="begin"/>
      </w:r>
      <w:r w:rsidR="009B4C9A">
        <w:instrText xml:space="preserve"> SEQ Table \* ARABIC </w:instrText>
      </w:r>
      <w:r w:rsidR="009B4C9A">
        <w:fldChar w:fldCharType="separate"/>
      </w:r>
      <w:r w:rsidR="00AA10F4">
        <w:rPr>
          <w:noProof/>
        </w:rPr>
        <w:t>73</w:t>
      </w:r>
      <w:r w:rsidR="009B4C9A">
        <w:rPr>
          <w:noProof/>
        </w:rPr>
        <w:fldChar w:fldCharType="end"/>
      </w:r>
      <w:bookmarkEnd w:id="320"/>
      <w:r>
        <w:t>. 2024 Midstream HVAC Channel Electric Energy Savings by Measure</w:t>
      </w:r>
      <w:bookmarkEnd w:id="321"/>
      <w:bookmarkEnd w:id="322"/>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875"/>
        <w:gridCol w:w="1530"/>
        <w:gridCol w:w="1800"/>
        <w:gridCol w:w="1800"/>
        <w:gridCol w:w="1440"/>
        <w:gridCol w:w="1651"/>
      </w:tblGrid>
      <w:tr w:rsidR="000262F6" w14:paraId="6399B1AB"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69168349" w14:textId="77777777" w:rsidR="000262F6" w:rsidRDefault="000262F6" w:rsidP="008C6FBE">
            <w:pPr>
              <w:pStyle w:val="TableHeadingLeft"/>
            </w:pPr>
            <w:r w:rsidRPr="00F87E60">
              <w:t>Measure Category</w:t>
            </w:r>
          </w:p>
        </w:tc>
        <w:tc>
          <w:tcPr>
            <w:tcW w:w="1530" w:type="dxa"/>
            <w:tcBorders>
              <w:bottom w:val="none" w:sz="0" w:space="0" w:color="auto"/>
            </w:tcBorders>
          </w:tcPr>
          <w:p w14:paraId="1FB77A63"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00" w:type="dxa"/>
            <w:tcBorders>
              <w:bottom w:val="none" w:sz="0" w:space="0" w:color="auto"/>
            </w:tcBorders>
          </w:tcPr>
          <w:p w14:paraId="5CDEECE6"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00" w:type="dxa"/>
            <w:tcBorders>
              <w:bottom w:val="none" w:sz="0" w:space="0" w:color="auto"/>
            </w:tcBorders>
          </w:tcPr>
          <w:p w14:paraId="6F331196"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1440" w:type="dxa"/>
            <w:tcBorders>
              <w:bottom w:val="none" w:sz="0" w:space="0" w:color="auto"/>
            </w:tcBorders>
          </w:tcPr>
          <w:p w14:paraId="1536A620"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651" w:type="dxa"/>
            <w:tcBorders>
              <w:bottom w:val="none" w:sz="0" w:space="0" w:color="auto"/>
            </w:tcBorders>
          </w:tcPr>
          <w:p w14:paraId="6C8FCC33" w14:textId="77777777" w:rsidR="000262F6"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0968C8" w14:paraId="4F616C83"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bottom"/>
          </w:tcPr>
          <w:p w14:paraId="1A41D1C1" w14:textId="73F44109" w:rsidR="000968C8" w:rsidRDefault="000968C8" w:rsidP="000968C8">
            <w:pPr>
              <w:pStyle w:val="TableLeftText"/>
            </w:pPr>
            <w:r>
              <w:rPr>
                <w:color w:val="4D4D4F"/>
              </w:rPr>
              <w:t>Unitary DMSHP</w:t>
            </w:r>
          </w:p>
        </w:tc>
        <w:tc>
          <w:tcPr>
            <w:tcW w:w="1530" w:type="dxa"/>
            <w:tcBorders>
              <w:top w:val="none" w:sz="0" w:space="0" w:color="auto"/>
              <w:left w:val="none" w:sz="0" w:space="0" w:color="auto"/>
              <w:bottom w:val="none" w:sz="0" w:space="0" w:color="auto"/>
              <w:right w:val="none" w:sz="0" w:space="0" w:color="auto"/>
            </w:tcBorders>
          </w:tcPr>
          <w:p w14:paraId="6A188A6A" w14:textId="0C6A9C24" w:rsidR="000968C8" w:rsidRDefault="000968C8"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169</w:t>
            </w:r>
          </w:p>
        </w:tc>
        <w:tc>
          <w:tcPr>
            <w:tcW w:w="1800" w:type="dxa"/>
            <w:tcBorders>
              <w:top w:val="none" w:sz="0" w:space="0" w:color="auto"/>
              <w:left w:val="none" w:sz="0" w:space="0" w:color="auto"/>
              <w:bottom w:val="none" w:sz="0" w:space="0" w:color="auto"/>
              <w:right w:val="none" w:sz="0" w:space="0" w:color="auto"/>
            </w:tcBorders>
          </w:tcPr>
          <w:p w14:paraId="4A82F247" w14:textId="790E4E4A" w:rsidR="000968C8" w:rsidRDefault="000968C8"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99%</w:t>
            </w:r>
          </w:p>
        </w:tc>
        <w:tc>
          <w:tcPr>
            <w:tcW w:w="1800" w:type="dxa"/>
            <w:tcBorders>
              <w:top w:val="none" w:sz="0" w:space="0" w:color="auto"/>
              <w:left w:val="none" w:sz="0" w:space="0" w:color="auto"/>
              <w:bottom w:val="none" w:sz="0" w:space="0" w:color="auto"/>
              <w:right w:val="none" w:sz="0" w:space="0" w:color="auto"/>
            </w:tcBorders>
          </w:tcPr>
          <w:p w14:paraId="1C956B9B" w14:textId="53314091" w:rsidR="000968C8" w:rsidRDefault="000968C8"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168</w:t>
            </w:r>
          </w:p>
        </w:tc>
        <w:tc>
          <w:tcPr>
            <w:tcW w:w="1440" w:type="dxa"/>
            <w:tcBorders>
              <w:top w:val="none" w:sz="0" w:space="0" w:color="auto"/>
              <w:left w:val="none" w:sz="0" w:space="0" w:color="auto"/>
              <w:bottom w:val="none" w:sz="0" w:space="0" w:color="auto"/>
              <w:right w:val="none" w:sz="0" w:space="0" w:color="auto"/>
            </w:tcBorders>
          </w:tcPr>
          <w:p w14:paraId="2B4DDCAC" w14:textId="087F2784" w:rsidR="000968C8" w:rsidRDefault="000968C8"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0.674</w:t>
            </w:r>
          </w:p>
        </w:tc>
        <w:tc>
          <w:tcPr>
            <w:tcW w:w="1651" w:type="dxa"/>
            <w:tcBorders>
              <w:top w:val="none" w:sz="0" w:space="0" w:color="auto"/>
              <w:left w:val="none" w:sz="0" w:space="0" w:color="auto"/>
              <w:bottom w:val="none" w:sz="0" w:space="0" w:color="auto"/>
              <w:right w:val="none" w:sz="0" w:space="0" w:color="auto"/>
            </w:tcBorders>
          </w:tcPr>
          <w:p w14:paraId="65177146" w14:textId="6A9C14D9" w:rsidR="000968C8" w:rsidRDefault="000968C8"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113</w:t>
            </w:r>
          </w:p>
        </w:tc>
      </w:tr>
      <w:tr w:rsidR="000968C8" w14:paraId="5B1AFF9B"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678CAE83" w14:textId="62FB5E6C" w:rsidR="000968C8" w:rsidRDefault="000968C8" w:rsidP="000968C8">
            <w:pPr>
              <w:pStyle w:val="TableLeftText"/>
            </w:pPr>
            <w:r>
              <w:rPr>
                <w:color w:val="4D4D4F"/>
              </w:rPr>
              <w:t>Advanced Thermostat</w:t>
            </w:r>
          </w:p>
        </w:tc>
        <w:tc>
          <w:tcPr>
            <w:tcW w:w="1530" w:type="dxa"/>
            <w:tcBorders>
              <w:top w:val="none" w:sz="0" w:space="0" w:color="auto"/>
              <w:left w:val="none" w:sz="0" w:space="0" w:color="auto"/>
              <w:bottom w:val="none" w:sz="0" w:space="0" w:color="auto"/>
              <w:right w:val="none" w:sz="0" w:space="0" w:color="auto"/>
            </w:tcBorders>
          </w:tcPr>
          <w:p w14:paraId="1B0FB806" w14:textId="17465436" w:rsidR="000968C8" w:rsidRDefault="000968C8"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98</w:t>
            </w:r>
          </w:p>
        </w:tc>
        <w:tc>
          <w:tcPr>
            <w:tcW w:w="1800" w:type="dxa"/>
            <w:tcBorders>
              <w:top w:val="none" w:sz="0" w:space="0" w:color="auto"/>
              <w:left w:val="none" w:sz="0" w:space="0" w:color="auto"/>
              <w:bottom w:val="none" w:sz="0" w:space="0" w:color="auto"/>
              <w:right w:val="none" w:sz="0" w:space="0" w:color="auto"/>
            </w:tcBorders>
          </w:tcPr>
          <w:p w14:paraId="45138F41" w14:textId="690CE595" w:rsidR="000968C8" w:rsidRDefault="000968C8"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99%</w:t>
            </w:r>
          </w:p>
        </w:tc>
        <w:tc>
          <w:tcPr>
            <w:tcW w:w="1800" w:type="dxa"/>
            <w:tcBorders>
              <w:top w:val="none" w:sz="0" w:space="0" w:color="auto"/>
              <w:left w:val="none" w:sz="0" w:space="0" w:color="auto"/>
              <w:bottom w:val="none" w:sz="0" w:space="0" w:color="auto"/>
              <w:right w:val="none" w:sz="0" w:space="0" w:color="auto"/>
            </w:tcBorders>
          </w:tcPr>
          <w:p w14:paraId="1A6B789F" w14:textId="10D89A52" w:rsidR="000968C8" w:rsidRDefault="000968C8"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96</w:t>
            </w:r>
          </w:p>
        </w:tc>
        <w:tc>
          <w:tcPr>
            <w:tcW w:w="1440" w:type="dxa"/>
            <w:tcBorders>
              <w:top w:val="none" w:sz="0" w:space="0" w:color="auto"/>
              <w:left w:val="none" w:sz="0" w:space="0" w:color="auto"/>
              <w:bottom w:val="none" w:sz="0" w:space="0" w:color="auto"/>
              <w:right w:val="none" w:sz="0" w:space="0" w:color="auto"/>
            </w:tcBorders>
          </w:tcPr>
          <w:p w14:paraId="27FF3498" w14:textId="30E0C7DF" w:rsidR="000968C8" w:rsidRDefault="000968C8"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0.762</w:t>
            </w:r>
          </w:p>
        </w:tc>
        <w:tc>
          <w:tcPr>
            <w:tcW w:w="1651" w:type="dxa"/>
            <w:tcBorders>
              <w:top w:val="none" w:sz="0" w:space="0" w:color="auto"/>
              <w:left w:val="none" w:sz="0" w:space="0" w:color="auto"/>
              <w:bottom w:val="none" w:sz="0" w:space="0" w:color="auto"/>
              <w:right w:val="none" w:sz="0" w:space="0" w:color="auto"/>
            </w:tcBorders>
          </w:tcPr>
          <w:p w14:paraId="049173FA" w14:textId="21BE3AEF" w:rsidR="000968C8" w:rsidRDefault="000968C8"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74</w:t>
            </w:r>
          </w:p>
        </w:tc>
      </w:tr>
      <w:tr w:rsidR="00B47E63" w14:paraId="7EEB7BBD"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2EB9FF8F" w14:textId="61AA860C" w:rsidR="00B47E63" w:rsidRDefault="00B47E63" w:rsidP="00B47E63">
            <w:pPr>
              <w:pStyle w:val="TableLeftText"/>
              <w:rPr>
                <w:color w:val="4D4D4F"/>
              </w:rPr>
            </w:pPr>
            <w:r>
              <w:rPr>
                <w:color w:val="4D4D4F"/>
              </w:rPr>
              <w:t>Notched V-Belt</w:t>
            </w:r>
          </w:p>
        </w:tc>
        <w:tc>
          <w:tcPr>
            <w:tcW w:w="1530" w:type="dxa"/>
            <w:tcBorders>
              <w:top w:val="none" w:sz="0" w:space="0" w:color="auto"/>
              <w:left w:val="none" w:sz="0" w:space="0" w:color="auto"/>
              <w:bottom w:val="none" w:sz="0" w:space="0" w:color="auto"/>
              <w:right w:val="none" w:sz="0" w:space="0" w:color="auto"/>
            </w:tcBorders>
          </w:tcPr>
          <w:p w14:paraId="308DE2FF" w14:textId="279E8B2F" w:rsidR="00B47E63" w:rsidRPr="00AE18AE"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45</w:t>
            </w:r>
          </w:p>
        </w:tc>
        <w:tc>
          <w:tcPr>
            <w:tcW w:w="1800" w:type="dxa"/>
            <w:tcBorders>
              <w:top w:val="none" w:sz="0" w:space="0" w:color="auto"/>
              <w:left w:val="none" w:sz="0" w:space="0" w:color="auto"/>
              <w:bottom w:val="none" w:sz="0" w:space="0" w:color="auto"/>
              <w:right w:val="none" w:sz="0" w:space="0" w:color="auto"/>
            </w:tcBorders>
          </w:tcPr>
          <w:p w14:paraId="4E4A2681" w14:textId="084E4340" w:rsidR="00B47E63" w:rsidRPr="00AE18AE"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75%</w:t>
            </w:r>
          </w:p>
        </w:tc>
        <w:tc>
          <w:tcPr>
            <w:tcW w:w="1800" w:type="dxa"/>
            <w:tcBorders>
              <w:top w:val="none" w:sz="0" w:space="0" w:color="auto"/>
              <w:left w:val="none" w:sz="0" w:space="0" w:color="auto"/>
              <w:bottom w:val="none" w:sz="0" w:space="0" w:color="auto"/>
              <w:right w:val="none" w:sz="0" w:space="0" w:color="auto"/>
            </w:tcBorders>
          </w:tcPr>
          <w:p w14:paraId="0DB402DA" w14:textId="3D769211" w:rsidR="00B47E63" w:rsidRPr="00AE18AE"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34</w:t>
            </w:r>
          </w:p>
        </w:tc>
        <w:tc>
          <w:tcPr>
            <w:tcW w:w="1440" w:type="dxa"/>
            <w:tcBorders>
              <w:top w:val="none" w:sz="0" w:space="0" w:color="auto"/>
              <w:left w:val="none" w:sz="0" w:space="0" w:color="auto"/>
              <w:bottom w:val="none" w:sz="0" w:space="0" w:color="auto"/>
              <w:right w:val="none" w:sz="0" w:space="0" w:color="auto"/>
            </w:tcBorders>
          </w:tcPr>
          <w:p w14:paraId="4DDE0C75" w14:textId="08CE6946" w:rsidR="00B47E63" w:rsidRPr="00AE18AE"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0.800</w:t>
            </w:r>
          </w:p>
        </w:tc>
        <w:tc>
          <w:tcPr>
            <w:tcW w:w="1651" w:type="dxa"/>
            <w:tcBorders>
              <w:top w:val="none" w:sz="0" w:space="0" w:color="auto"/>
              <w:left w:val="none" w:sz="0" w:space="0" w:color="auto"/>
              <w:bottom w:val="none" w:sz="0" w:space="0" w:color="auto"/>
              <w:right w:val="none" w:sz="0" w:space="0" w:color="auto"/>
            </w:tcBorders>
          </w:tcPr>
          <w:p w14:paraId="5A90C53C" w14:textId="71A966C3" w:rsidR="00B47E63" w:rsidRPr="00AE18AE"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27</w:t>
            </w:r>
          </w:p>
        </w:tc>
      </w:tr>
      <w:tr w:rsidR="00B47E63" w14:paraId="764E70F3"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35CCC995" w14:textId="6DE6869F" w:rsidR="00B47E63" w:rsidRDefault="00B47E63" w:rsidP="00B47E63">
            <w:pPr>
              <w:pStyle w:val="TableLeftText"/>
            </w:pPr>
            <w:r>
              <w:rPr>
                <w:color w:val="4D4D4F"/>
              </w:rPr>
              <w:t>Unitary AC</w:t>
            </w:r>
          </w:p>
        </w:tc>
        <w:tc>
          <w:tcPr>
            <w:tcW w:w="1530" w:type="dxa"/>
            <w:tcBorders>
              <w:top w:val="none" w:sz="0" w:space="0" w:color="auto"/>
              <w:left w:val="none" w:sz="0" w:space="0" w:color="auto"/>
              <w:bottom w:val="none" w:sz="0" w:space="0" w:color="auto"/>
              <w:right w:val="none" w:sz="0" w:space="0" w:color="auto"/>
            </w:tcBorders>
          </w:tcPr>
          <w:p w14:paraId="0C5E1EAA" w14:textId="68DC0756" w:rsidR="00B47E63"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37</w:t>
            </w:r>
          </w:p>
        </w:tc>
        <w:tc>
          <w:tcPr>
            <w:tcW w:w="1800" w:type="dxa"/>
            <w:tcBorders>
              <w:top w:val="none" w:sz="0" w:space="0" w:color="auto"/>
              <w:left w:val="none" w:sz="0" w:space="0" w:color="auto"/>
              <w:bottom w:val="none" w:sz="0" w:space="0" w:color="auto"/>
              <w:right w:val="none" w:sz="0" w:space="0" w:color="auto"/>
            </w:tcBorders>
          </w:tcPr>
          <w:p w14:paraId="11CB28D1" w14:textId="458C31FB" w:rsidR="00B47E63"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114%</w:t>
            </w:r>
          </w:p>
        </w:tc>
        <w:tc>
          <w:tcPr>
            <w:tcW w:w="1800" w:type="dxa"/>
            <w:tcBorders>
              <w:top w:val="none" w:sz="0" w:space="0" w:color="auto"/>
              <w:left w:val="none" w:sz="0" w:space="0" w:color="auto"/>
              <w:bottom w:val="none" w:sz="0" w:space="0" w:color="auto"/>
              <w:right w:val="none" w:sz="0" w:space="0" w:color="auto"/>
            </w:tcBorders>
          </w:tcPr>
          <w:p w14:paraId="39E99139" w14:textId="23DC50E6" w:rsidR="00B47E63"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43</w:t>
            </w:r>
          </w:p>
        </w:tc>
        <w:tc>
          <w:tcPr>
            <w:tcW w:w="1440" w:type="dxa"/>
            <w:tcBorders>
              <w:top w:val="none" w:sz="0" w:space="0" w:color="auto"/>
              <w:left w:val="none" w:sz="0" w:space="0" w:color="auto"/>
              <w:bottom w:val="none" w:sz="0" w:space="0" w:color="auto"/>
              <w:right w:val="none" w:sz="0" w:space="0" w:color="auto"/>
            </w:tcBorders>
          </w:tcPr>
          <w:p w14:paraId="5075137E" w14:textId="7BA307CE" w:rsidR="00B47E63"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0.651</w:t>
            </w:r>
          </w:p>
        </w:tc>
        <w:tc>
          <w:tcPr>
            <w:tcW w:w="1651" w:type="dxa"/>
            <w:tcBorders>
              <w:top w:val="none" w:sz="0" w:space="0" w:color="auto"/>
              <w:left w:val="none" w:sz="0" w:space="0" w:color="auto"/>
              <w:bottom w:val="none" w:sz="0" w:space="0" w:color="auto"/>
              <w:right w:val="none" w:sz="0" w:space="0" w:color="auto"/>
            </w:tcBorders>
          </w:tcPr>
          <w:p w14:paraId="3679B62B" w14:textId="267D2536" w:rsidR="00B47E63"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28</w:t>
            </w:r>
          </w:p>
        </w:tc>
      </w:tr>
      <w:tr w:rsidR="00B47E63" w14:paraId="54132627"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3B03CF5A" w14:textId="236E5635" w:rsidR="00B47E63" w:rsidRPr="00F87E60" w:rsidRDefault="00B47E63" w:rsidP="00B47E63">
            <w:pPr>
              <w:pStyle w:val="TableLeftText"/>
            </w:pPr>
            <w:r>
              <w:rPr>
                <w:color w:val="4D4D4F"/>
              </w:rPr>
              <w:t>Unitary ASHP</w:t>
            </w:r>
          </w:p>
        </w:tc>
        <w:tc>
          <w:tcPr>
            <w:tcW w:w="1530" w:type="dxa"/>
            <w:tcBorders>
              <w:top w:val="none" w:sz="0" w:space="0" w:color="auto"/>
              <w:left w:val="none" w:sz="0" w:space="0" w:color="auto"/>
              <w:bottom w:val="none" w:sz="0" w:space="0" w:color="auto"/>
              <w:right w:val="none" w:sz="0" w:space="0" w:color="auto"/>
            </w:tcBorders>
          </w:tcPr>
          <w:p w14:paraId="1C368531" w14:textId="4385CAF8" w:rsidR="00B47E63" w:rsidRPr="00F87E60"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32</w:t>
            </w:r>
          </w:p>
        </w:tc>
        <w:tc>
          <w:tcPr>
            <w:tcW w:w="1800" w:type="dxa"/>
            <w:tcBorders>
              <w:top w:val="none" w:sz="0" w:space="0" w:color="auto"/>
              <w:left w:val="none" w:sz="0" w:space="0" w:color="auto"/>
              <w:bottom w:val="none" w:sz="0" w:space="0" w:color="auto"/>
              <w:right w:val="none" w:sz="0" w:space="0" w:color="auto"/>
            </w:tcBorders>
          </w:tcPr>
          <w:p w14:paraId="72A065F1" w14:textId="6B039C16" w:rsidR="00B47E63" w:rsidRPr="00F87E60"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84%</w:t>
            </w:r>
          </w:p>
        </w:tc>
        <w:tc>
          <w:tcPr>
            <w:tcW w:w="1800" w:type="dxa"/>
            <w:tcBorders>
              <w:top w:val="none" w:sz="0" w:space="0" w:color="auto"/>
              <w:left w:val="none" w:sz="0" w:space="0" w:color="auto"/>
              <w:bottom w:val="none" w:sz="0" w:space="0" w:color="auto"/>
              <w:right w:val="none" w:sz="0" w:space="0" w:color="auto"/>
            </w:tcBorders>
          </w:tcPr>
          <w:p w14:paraId="0E73B0C9" w14:textId="6CAE85E9" w:rsidR="00B47E63" w:rsidRPr="00F87E60"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27</w:t>
            </w:r>
          </w:p>
        </w:tc>
        <w:tc>
          <w:tcPr>
            <w:tcW w:w="1440" w:type="dxa"/>
            <w:tcBorders>
              <w:top w:val="none" w:sz="0" w:space="0" w:color="auto"/>
              <w:left w:val="none" w:sz="0" w:space="0" w:color="auto"/>
              <w:bottom w:val="none" w:sz="0" w:space="0" w:color="auto"/>
              <w:right w:val="none" w:sz="0" w:space="0" w:color="auto"/>
            </w:tcBorders>
          </w:tcPr>
          <w:p w14:paraId="0751C798" w14:textId="010FDF94" w:rsidR="00B47E63" w:rsidRPr="00F87E60"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0.708</w:t>
            </w:r>
          </w:p>
        </w:tc>
        <w:tc>
          <w:tcPr>
            <w:tcW w:w="1651" w:type="dxa"/>
            <w:tcBorders>
              <w:top w:val="none" w:sz="0" w:space="0" w:color="auto"/>
              <w:left w:val="none" w:sz="0" w:space="0" w:color="auto"/>
              <w:bottom w:val="none" w:sz="0" w:space="0" w:color="auto"/>
              <w:right w:val="none" w:sz="0" w:space="0" w:color="auto"/>
            </w:tcBorders>
          </w:tcPr>
          <w:p w14:paraId="6762CB03" w14:textId="14015C06" w:rsidR="00B47E63" w:rsidRPr="00F87E60"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AE18AE">
              <w:t>19</w:t>
            </w:r>
          </w:p>
        </w:tc>
      </w:tr>
      <w:tr w:rsidR="00B47E63" w14:paraId="5B3DDC62"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tcPr>
          <w:p w14:paraId="7DAB8DDE" w14:textId="4738A569" w:rsidR="00B47E63" w:rsidRPr="00F87E60" w:rsidRDefault="00B47E63" w:rsidP="00B47E63">
            <w:pPr>
              <w:pStyle w:val="TableLeftText"/>
            </w:pPr>
            <w:r>
              <w:rPr>
                <w:color w:val="4D4D4F"/>
              </w:rPr>
              <w:t>Heat Pump Water Heater</w:t>
            </w:r>
          </w:p>
        </w:tc>
        <w:tc>
          <w:tcPr>
            <w:tcW w:w="1530" w:type="dxa"/>
            <w:tcBorders>
              <w:top w:val="none" w:sz="0" w:space="0" w:color="auto"/>
              <w:left w:val="none" w:sz="0" w:space="0" w:color="auto"/>
              <w:bottom w:val="none" w:sz="0" w:space="0" w:color="auto"/>
              <w:right w:val="none" w:sz="0" w:space="0" w:color="auto"/>
            </w:tcBorders>
          </w:tcPr>
          <w:p w14:paraId="396E6679" w14:textId="50D4CCA8" w:rsidR="00B47E63" w:rsidRPr="00F87E60"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24</w:t>
            </w:r>
          </w:p>
        </w:tc>
        <w:tc>
          <w:tcPr>
            <w:tcW w:w="1800" w:type="dxa"/>
            <w:tcBorders>
              <w:top w:val="none" w:sz="0" w:space="0" w:color="auto"/>
              <w:left w:val="none" w:sz="0" w:space="0" w:color="auto"/>
              <w:bottom w:val="none" w:sz="0" w:space="0" w:color="auto"/>
              <w:right w:val="none" w:sz="0" w:space="0" w:color="auto"/>
            </w:tcBorders>
          </w:tcPr>
          <w:p w14:paraId="5B5E0E4A" w14:textId="61DD7ED4" w:rsidR="00B47E63" w:rsidRPr="00F87E60"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110%</w:t>
            </w:r>
          </w:p>
        </w:tc>
        <w:tc>
          <w:tcPr>
            <w:tcW w:w="1800" w:type="dxa"/>
            <w:tcBorders>
              <w:top w:val="none" w:sz="0" w:space="0" w:color="auto"/>
              <w:left w:val="none" w:sz="0" w:space="0" w:color="auto"/>
              <w:bottom w:val="none" w:sz="0" w:space="0" w:color="auto"/>
              <w:right w:val="none" w:sz="0" w:space="0" w:color="auto"/>
            </w:tcBorders>
          </w:tcPr>
          <w:p w14:paraId="42572106" w14:textId="7D1D652E" w:rsidR="00B47E63" w:rsidRPr="00F87E60"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26</w:t>
            </w:r>
          </w:p>
        </w:tc>
        <w:tc>
          <w:tcPr>
            <w:tcW w:w="1440" w:type="dxa"/>
            <w:tcBorders>
              <w:top w:val="none" w:sz="0" w:space="0" w:color="auto"/>
              <w:left w:val="none" w:sz="0" w:space="0" w:color="auto"/>
              <w:bottom w:val="none" w:sz="0" w:space="0" w:color="auto"/>
              <w:right w:val="none" w:sz="0" w:space="0" w:color="auto"/>
            </w:tcBorders>
          </w:tcPr>
          <w:p w14:paraId="239AAB7D" w14:textId="2C8B8A59" w:rsidR="00B47E63" w:rsidRPr="00F87E60"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0.600</w:t>
            </w:r>
          </w:p>
        </w:tc>
        <w:tc>
          <w:tcPr>
            <w:tcW w:w="1651" w:type="dxa"/>
            <w:tcBorders>
              <w:top w:val="none" w:sz="0" w:space="0" w:color="auto"/>
              <w:left w:val="none" w:sz="0" w:space="0" w:color="auto"/>
              <w:bottom w:val="none" w:sz="0" w:space="0" w:color="auto"/>
              <w:right w:val="none" w:sz="0" w:space="0" w:color="auto"/>
            </w:tcBorders>
          </w:tcPr>
          <w:p w14:paraId="7FB198BF" w14:textId="4BC92C6A" w:rsidR="00B47E63" w:rsidRPr="00F87E60" w:rsidRDefault="00B47E63"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AE18AE">
              <w:t>16</w:t>
            </w:r>
          </w:p>
        </w:tc>
      </w:tr>
      <w:tr w:rsidR="00B47E63" w14:paraId="32966460"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top"/>
          </w:tcPr>
          <w:p w14:paraId="6CD2CB98" w14:textId="77777777" w:rsidR="00B47E63" w:rsidRPr="00B777D6" w:rsidRDefault="00B47E63" w:rsidP="00B47E63">
            <w:pPr>
              <w:pStyle w:val="TableLeftText"/>
              <w:rPr>
                <w:rFonts w:ascii="Franklin Gothic Medium" w:hAnsi="Franklin Gothic Medium"/>
              </w:rPr>
            </w:pPr>
            <w:r w:rsidRPr="00B777D6">
              <w:rPr>
                <w:rFonts w:ascii="Franklin Gothic Medium" w:hAnsi="Franklin Gothic Medium"/>
              </w:rPr>
              <w:t>Total</w:t>
            </w:r>
          </w:p>
        </w:tc>
        <w:tc>
          <w:tcPr>
            <w:tcW w:w="1530" w:type="dxa"/>
            <w:tcBorders>
              <w:top w:val="none" w:sz="0" w:space="0" w:color="auto"/>
              <w:left w:val="none" w:sz="0" w:space="0" w:color="auto"/>
              <w:bottom w:val="none" w:sz="0" w:space="0" w:color="auto"/>
              <w:right w:val="none" w:sz="0" w:space="0" w:color="auto"/>
            </w:tcBorders>
          </w:tcPr>
          <w:p w14:paraId="6DD98692" w14:textId="5F4C0812" w:rsidR="00B47E63" w:rsidRPr="00B777D6"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405</w:t>
            </w:r>
          </w:p>
        </w:tc>
        <w:tc>
          <w:tcPr>
            <w:tcW w:w="1800" w:type="dxa"/>
            <w:tcBorders>
              <w:top w:val="none" w:sz="0" w:space="0" w:color="auto"/>
              <w:left w:val="none" w:sz="0" w:space="0" w:color="auto"/>
              <w:bottom w:val="none" w:sz="0" w:space="0" w:color="auto"/>
              <w:right w:val="none" w:sz="0" w:space="0" w:color="auto"/>
            </w:tcBorders>
          </w:tcPr>
          <w:p w14:paraId="4D0C6EB9" w14:textId="2CCCEBC5" w:rsidR="00B47E63" w:rsidRPr="00B777D6"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97%</w:t>
            </w:r>
          </w:p>
        </w:tc>
        <w:tc>
          <w:tcPr>
            <w:tcW w:w="1800" w:type="dxa"/>
            <w:tcBorders>
              <w:top w:val="none" w:sz="0" w:space="0" w:color="auto"/>
              <w:left w:val="none" w:sz="0" w:space="0" w:color="auto"/>
              <w:bottom w:val="none" w:sz="0" w:space="0" w:color="auto"/>
              <w:right w:val="none" w:sz="0" w:space="0" w:color="auto"/>
            </w:tcBorders>
          </w:tcPr>
          <w:p w14:paraId="71008765" w14:textId="0F82BE83" w:rsidR="00B47E63" w:rsidRPr="00B777D6"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394</w:t>
            </w:r>
          </w:p>
        </w:tc>
        <w:tc>
          <w:tcPr>
            <w:tcW w:w="1440" w:type="dxa"/>
            <w:tcBorders>
              <w:top w:val="none" w:sz="0" w:space="0" w:color="auto"/>
              <w:left w:val="none" w:sz="0" w:space="0" w:color="auto"/>
              <w:bottom w:val="none" w:sz="0" w:space="0" w:color="auto"/>
              <w:right w:val="none" w:sz="0" w:space="0" w:color="auto"/>
            </w:tcBorders>
          </w:tcPr>
          <w:p w14:paraId="3C5725E0" w14:textId="37429965" w:rsidR="00B47E63" w:rsidRPr="00B777D6"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0.701</w:t>
            </w:r>
          </w:p>
        </w:tc>
        <w:tc>
          <w:tcPr>
            <w:tcW w:w="1651" w:type="dxa"/>
            <w:tcBorders>
              <w:top w:val="none" w:sz="0" w:space="0" w:color="auto"/>
              <w:left w:val="none" w:sz="0" w:space="0" w:color="auto"/>
              <w:bottom w:val="none" w:sz="0" w:space="0" w:color="auto"/>
              <w:right w:val="none" w:sz="0" w:space="0" w:color="auto"/>
            </w:tcBorders>
          </w:tcPr>
          <w:p w14:paraId="7654E9B3" w14:textId="4D8BE743" w:rsidR="00B47E63" w:rsidRPr="00B777D6" w:rsidRDefault="00B47E63"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276</w:t>
            </w:r>
          </w:p>
        </w:tc>
      </w:tr>
    </w:tbl>
    <w:p w14:paraId="6FFBF4F5" w14:textId="6B584856" w:rsidR="00300CFB" w:rsidRDefault="003A0E54" w:rsidP="00300CFB">
      <w:pPr>
        <w:pStyle w:val="NoSpacing"/>
        <w:spacing w:before="240" w:after="240"/>
      </w:pPr>
      <w:r>
        <w:fldChar w:fldCharType="begin"/>
      </w:r>
      <w:r>
        <w:instrText xml:space="preserve"> REF _Ref187326917 \h </w:instrText>
      </w:r>
      <w:r>
        <w:fldChar w:fldCharType="separate"/>
      </w:r>
      <w:r w:rsidR="00AA10F4">
        <w:t xml:space="preserve">Table </w:t>
      </w:r>
      <w:r w:rsidR="00AA10F4">
        <w:rPr>
          <w:noProof/>
        </w:rPr>
        <w:t>74</w:t>
      </w:r>
      <w:r>
        <w:fldChar w:fldCharType="end"/>
      </w:r>
      <w:r w:rsidR="000262F6">
        <w:t xml:space="preserve"> presents the ex ante, verified gross, and verified net electric demand savings achieved through the Midstream </w:t>
      </w:r>
      <w:r w:rsidR="00824014">
        <w:t>HVAC</w:t>
      </w:r>
      <w:r w:rsidR="000262F6">
        <w:t xml:space="preserve"> channel in 2024.</w:t>
      </w:r>
      <w:r w:rsidR="00300CFB">
        <w:t xml:space="preserve"> </w:t>
      </w:r>
      <w:r w:rsidR="00300CFB" w:rsidRPr="00626817">
        <w:t>The Midstream HVAC channel achieved a gross realization rate of 10</w:t>
      </w:r>
      <w:r w:rsidR="00300CFB">
        <w:t>5</w:t>
      </w:r>
      <w:r w:rsidR="00300CFB" w:rsidRPr="00626817">
        <w:t xml:space="preserve">% for electric demand savings. Overall, the channel saw </w:t>
      </w:r>
      <w:r w:rsidR="00D11196">
        <w:t>a</w:t>
      </w:r>
      <w:r w:rsidR="00300CFB">
        <w:t xml:space="preserve"> </w:t>
      </w:r>
      <w:r w:rsidR="000968C8">
        <w:t>44</w:t>
      </w:r>
      <w:r w:rsidR="00300CFB">
        <w:t xml:space="preserve">% increase </w:t>
      </w:r>
      <w:r w:rsidR="00300CFB" w:rsidRPr="00626817">
        <w:t>in verified net demand savings compared to 202</w:t>
      </w:r>
      <w:r w:rsidR="00300CFB">
        <w:t>3</w:t>
      </w:r>
      <w:r w:rsidR="00300CFB" w:rsidRPr="00626817">
        <w:t>.</w:t>
      </w:r>
      <w:r w:rsidR="00300CFB">
        <w:t xml:space="preserve"> </w:t>
      </w:r>
    </w:p>
    <w:p w14:paraId="4E85E37D" w14:textId="766089E5" w:rsidR="000262F6" w:rsidRDefault="000262F6" w:rsidP="00881B1B">
      <w:pPr>
        <w:pStyle w:val="Caption"/>
      </w:pPr>
      <w:bookmarkStart w:id="323" w:name="_Ref187326917"/>
      <w:bookmarkStart w:id="324" w:name="_Toc191992595"/>
      <w:bookmarkStart w:id="325" w:name="_Toc192767008"/>
      <w:r>
        <w:t xml:space="preserve">Table </w:t>
      </w:r>
      <w:r w:rsidR="009B4C9A">
        <w:fldChar w:fldCharType="begin"/>
      </w:r>
      <w:r w:rsidR="009B4C9A">
        <w:instrText xml:space="preserve"> SEQ Table \* ARABIC </w:instrText>
      </w:r>
      <w:r w:rsidR="009B4C9A">
        <w:fldChar w:fldCharType="separate"/>
      </w:r>
      <w:r w:rsidR="00AA10F4">
        <w:rPr>
          <w:noProof/>
        </w:rPr>
        <w:t>74</w:t>
      </w:r>
      <w:r w:rsidR="009B4C9A">
        <w:rPr>
          <w:noProof/>
        </w:rPr>
        <w:fldChar w:fldCharType="end"/>
      </w:r>
      <w:bookmarkEnd w:id="323"/>
      <w:r>
        <w:t xml:space="preserve">. 2024 Midstream </w:t>
      </w:r>
      <w:r w:rsidR="003A0E54">
        <w:t xml:space="preserve">HVAC </w:t>
      </w:r>
      <w:r>
        <w:t>Channel Electric Demand Savings by Measure</w:t>
      </w:r>
      <w:bookmarkEnd w:id="324"/>
      <w:bookmarkEnd w:id="325"/>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0262F6" w14:paraId="0DA87974" w14:textId="77777777" w:rsidTr="0056272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1750429" w14:textId="77777777" w:rsidR="000262F6" w:rsidRPr="00625570" w:rsidRDefault="000262F6" w:rsidP="008C6FBE">
            <w:pPr>
              <w:pStyle w:val="TableHeadingLeft"/>
            </w:pPr>
            <w:r>
              <w:t>Measure Category</w:t>
            </w:r>
          </w:p>
        </w:tc>
        <w:tc>
          <w:tcPr>
            <w:tcW w:w="1644" w:type="dxa"/>
            <w:tcBorders>
              <w:bottom w:val="none" w:sz="0" w:space="0" w:color="auto"/>
            </w:tcBorders>
          </w:tcPr>
          <w:p w14:paraId="012D52E5"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bottom w:val="none" w:sz="0" w:space="0" w:color="auto"/>
            </w:tcBorders>
          </w:tcPr>
          <w:p w14:paraId="42D1BEEF"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0396AE74"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bottom w:val="none" w:sz="0" w:space="0" w:color="auto"/>
            </w:tcBorders>
          </w:tcPr>
          <w:p w14:paraId="46AF5847"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4FDA8837" w14:textId="77777777" w:rsidR="000262F6" w:rsidRPr="00625570" w:rsidRDefault="000262F6" w:rsidP="008C6FBE">
            <w:pPr>
              <w:pStyle w:val="TableHeadingCentered"/>
              <w:cnfStyle w:val="100000000000" w:firstRow="1" w:lastRow="0" w:firstColumn="0" w:lastColumn="0" w:oddVBand="0" w:evenVBand="0" w:oddHBand="0" w:evenHBand="0" w:firstRowFirstColumn="0" w:firstRowLastColumn="0" w:lastRowFirstColumn="0" w:lastRowLastColumn="0"/>
            </w:pPr>
            <w:r>
              <w:t>Verified Net Savings (MW)</w:t>
            </w:r>
          </w:p>
        </w:tc>
      </w:tr>
      <w:tr w:rsidR="000968C8" w14:paraId="1702ED0B"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34817F5" w14:textId="3D151E47" w:rsidR="000968C8" w:rsidRPr="00625570" w:rsidRDefault="000968C8" w:rsidP="000968C8">
            <w:pPr>
              <w:pStyle w:val="TableLeftText"/>
            </w:pPr>
            <w:r>
              <w:rPr>
                <w:color w:val="4D4D4F"/>
              </w:rPr>
              <w:t>Unitary DMSHP</w:t>
            </w:r>
          </w:p>
        </w:tc>
        <w:tc>
          <w:tcPr>
            <w:tcW w:w="1644" w:type="dxa"/>
            <w:tcBorders>
              <w:top w:val="none" w:sz="0" w:space="0" w:color="auto"/>
              <w:left w:val="none" w:sz="0" w:space="0" w:color="auto"/>
              <w:bottom w:val="none" w:sz="0" w:space="0" w:color="auto"/>
              <w:right w:val="none" w:sz="0" w:space="0" w:color="auto"/>
            </w:tcBorders>
          </w:tcPr>
          <w:p w14:paraId="4FCBCA0D" w14:textId="0A91BD96" w:rsidR="000968C8" w:rsidRPr="00625570" w:rsidRDefault="000968C8"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3286A">
              <w:t>0.04</w:t>
            </w:r>
          </w:p>
        </w:tc>
        <w:tc>
          <w:tcPr>
            <w:tcW w:w="1644" w:type="dxa"/>
            <w:tcBorders>
              <w:top w:val="none" w:sz="0" w:space="0" w:color="auto"/>
              <w:left w:val="none" w:sz="0" w:space="0" w:color="auto"/>
              <w:bottom w:val="none" w:sz="0" w:space="0" w:color="auto"/>
              <w:right w:val="none" w:sz="0" w:space="0" w:color="auto"/>
            </w:tcBorders>
          </w:tcPr>
          <w:p w14:paraId="58132977" w14:textId="185E511A" w:rsidR="000968C8" w:rsidRPr="00625570" w:rsidRDefault="000968C8"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3286A">
              <w:t>100%</w:t>
            </w:r>
          </w:p>
        </w:tc>
        <w:tc>
          <w:tcPr>
            <w:tcW w:w="1644" w:type="dxa"/>
            <w:tcBorders>
              <w:top w:val="none" w:sz="0" w:space="0" w:color="auto"/>
              <w:left w:val="none" w:sz="0" w:space="0" w:color="auto"/>
              <w:bottom w:val="none" w:sz="0" w:space="0" w:color="auto"/>
              <w:right w:val="none" w:sz="0" w:space="0" w:color="auto"/>
            </w:tcBorders>
          </w:tcPr>
          <w:p w14:paraId="722AA4C7" w14:textId="1E2E2C08" w:rsidR="000968C8" w:rsidRPr="00625570" w:rsidRDefault="000968C8"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3286A">
              <w:t>0.04</w:t>
            </w:r>
          </w:p>
        </w:tc>
        <w:tc>
          <w:tcPr>
            <w:tcW w:w="1644" w:type="dxa"/>
            <w:tcBorders>
              <w:top w:val="none" w:sz="0" w:space="0" w:color="auto"/>
              <w:left w:val="none" w:sz="0" w:space="0" w:color="auto"/>
              <w:bottom w:val="none" w:sz="0" w:space="0" w:color="auto"/>
              <w:right w:val="none" w:sz="0" w:space="0" w:color="auto"/>
            </w:tcBorders>
          </w:tcPr>
          <w:p w14:paraId="69004B5E" w14:textId="1ED17B34" w:rsidR="000968C8" w:rsidRPr="00625570" w:rsidRDefault="000968C8"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3286A">
              <w:t>0.683</w:t>
            </w:r>
          </w:p>
        </w:tc>
        <w:tc>
          <w:tcPr>
            <w:tcW w:w="1645" w:type="dxa"/>
            <w:tcBorders>
              <w:top w:val="none" w:sz="0" w:space="0" w:color="auto"/>
              <w:left w:val="none" w:sz="0" w:space="0" w:color="auto"/>
              <w:bottom w:val="none" w:sz="0" w:space="0" w:color="auto"/>
              <w:right w:val="none" w:sz="0" w:space="0" w:color="auto"/>
            </w:tcBorders>
          </w:tcPr>
          <w:p w14:paraId="4B5856B3" w14:textId="1D8EA98B" w:rsidR="000968C8" w:rsidRPr="00625570" w:rsidRDefault="000968C8"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3286A">
              <w:t>0.03</w:t>
            </w:r>
          </w:p>
        </w:tc>
      </w:tr>
      <w:tr w:rsidR="000968C8" w14:paraId="21716A42"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64C7491" w14:textId="69E72921" w:rsidR="000968C8" w:rsidRPr="00625570" w:rsidRDefault="000968C8" w:rsidP="000968C8">
            <w:pPr>
              <w:pStyle w:val="TableLeftText"/>
            </w:pPr>
            <w:r>
              <w:rPr>
                <w:color w:val="4D4D4F"/>
              </w:rPr>
              <w:t>Advanced Thermostat</w:t>
            </w:r>
          </w:p>
        </w:tc>
        <w:tc>
          <w:tcPr>
            <w:tcW w:w="1644" w:type="dxa"/>
            <w:tcBorders>
              <w:top w:val="none" w:sz="0" w:space="0" w:color="auto"/>
              <w:left w:val="none" w:sz="0" w:space="0" w:color="auto"/>
              <w:bottom w:val="none" w:sz="0" w:space="0" w:color="auto"/>
              <w:right w:val="none" w:sz="0" w:space="0" w:color="auto"/>
            </w:tcBorders>
          </w:tcPr>
          <w:p w14:paraId="1E20DA03" w14:textId="12F1F2F0" w:rsidR="000968C8" w:rsidRPr="00625570" w:rsidRDefault="000968C8"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83286A">
              <w:t>0.02</w:t>
            </w:r>
          </w:p>
        </w:tc>
        <w:tc>
          <w:tcPr>
            <w:tcW w:w="1644" w:type="dxa"/>
            <w:tcBorders>
              <w:top w:val="none" w:sz="0" w:space="0" w:color="auto"/>
              <w:left w:val="none" w:sz="0" w:space="0" w:color="auto"/>
              <w:bottom w:val="none" w:sz="0" w:space="0" w:color="auto"/>
              <w:right w:val="none" w:sz="0" w:space="0" w:color="auto"/>
            </w:tcBorders>
          </w:tcPr>
          <w:p w14:paraId="6D5857D0" w14:textId="43520830" w:rsidR="000968C8" w:rsidRPr="00625570" w:rsidRDefault="000968C8"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3286A">
              <w:t>105%</w:t>
            </w:r>
          </w:p>
        </w:tc>
        <w:tc>
          <w:tcPr>
            <w:tcW w:w="1644" w:type="dxa"/>
            <w:tcBorders>
              <w:top w:val="none" w:sz="0" w:space="0" w:color="auto"/>
              <w:left w:val="none" w:sz="0" w:space="0" w:color="auto"/>
              <w:bottom w:val="none" w:sz="0" w:space="0" w:color="auto"/>
              <w:right w:val="none" w:sz="0" w:space="0" w:color="auto"/>
            </w:tcBorders>
          </w:tcPr>
          <w:p w14:paraId="712DC5A3" w14:textId="4E297E46" w:rsidR="000968C8" w:rsidRPr="00625570" w:rsidRDefault="000968C8"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3286A">
              <w:t>0.02</w:t>
            </w:r>
          </w:p>
        </w:tc>
        <w:tc>
          <w:tcPr>
            <w:tcW w:w="1644" w:type="dxa"/>
            <w:tcBorders>
              <w:top w:val="none" w:sz="0" w:space="0" w:color="auto"/>
              <w:left w:val="none" w:sz="0" w:space="0" w:color="auto"/>
              <w:bottom w:val="none" w:sz="0" w:space="0" w:color="auto"/>
              <w:right w:val="none" w:sz="0" w:space="0" w:color="auto"/>
            </w:tcBorders>
          </w:tcPr>
          <w:p w14:paraId="040400D2" w14:textId="6EEA1125" w:rsidR="000968C8" w:rsidRPr="00625570" w:rsidRDefault="000968C8"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83286A">
              <w:t>0.740</w:t>
            </w:r>
          </w:p>
        </w:tc>
        <w:tc>
          <w:tcPr>
            <w:tcW w:w="1645" w:type="dxa"/>
            <w:tcBorders>
              <w:top w:val="none" w:sz="0" w:space="0" w:color="auto"/>
              <w:left w:val="none" w:sz="0" w:space="0" w:color="auto"/>
              <w:bottom w:val="none" w:sz="0" w:space="0" w:color="auto"/>
              <w:right w:val="none" w:sz="0" w:space="0" w:color="auto"/>
            </w:tcBorders>
          </w:tcPr>
          <w:p w14:paraId="28A01C7B" w14:textId="445FA91F" w:rsidR="000968C8" w:rsidRPr="00625570" w:rsidRDefault="000968C8" w:rsidP="00562725">
            <w:pPr>
              <w:pStyle w:val="TableCenterText"/>
              <w:jc w:val="right"/>
              <w:cnfStyle w:val="000000010000" w:firstRow="0" w:lastRow="0" w:firstColumn="0" w:lastColumn="0" w:oddVBand="0" w:evenVBand="0" w:oddHBand="0" w:evenHBand="1" w:firstRowFirstColumn="0" w:firstRowLastColumn="0" w:lastRowFirstColumn="0" w:lastRowLastColumn="0"/>
              <w:rPr>
                <w:highlight w:val="yellow"/>
              </w:rPr>
            </w:pPr>
            <w:r w:rsidRPr="0083286A">
              <w:t>0.02</w:t>
            </w:r>
          </w:p>
        </w:tc>
      </w:tr>
      <w:tr w:rsidR="00B47E63" w14:paraId="4435B129"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6472214" w14:textId="62A34E49" w:rsidR="00B47E63" w:rsidRDefault="00B47E63" w:rsidP="00B47E63">
            <w:pPr>
              <w:pStyle w:val="TableLeftText"/>
              <w:rPr>
                <w:color w:val="4D4D4F"/>
              </w:rPr>
            </w:pPr>
            <w:r>
              <w:rPr>
                <w:color w:val="4D4D4F"/>
              </w:rPr>
              <w:t>Notched V-Belt</w:t>
            </w:r>
          </w:p>
        </w:tc>
        <w:tc>
          <w:tcPr>
            <w:tcW w:w="1644" w:type="dxa"/>
            <w:tcBorders>
              <w:top w:val="none" w:sz="0" w:space="0" w:color="auto"/>
              <w:left w:val="none" w:sz="0" w:space="0" w:color="auto"/>
              <w:bottom w:val="none" w:sz="0" w:space="0" w:color="auto"/>
              <w:right w:val="none" w:sz="0" w:space="0" w:color="auto"/>
            </w:tcBorders>
          </w:tcPr>
          <w:p w14:paraId="51F33AE5" w14:textId="1CAC46F2" w:rsidR="00B47E63" w:rsidRPr="0083286A"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E485E">
              <w:t>0.01</w:t>
            </w:r>
          </w:p>
        </w:tc>
        <w:tc>
          <w:tcPr>
            <w:tcW w:w="1644" w:type="dxa"/>
            <w:tcBorders>
              <w:top w:val="none" w:sz="0" w:space="0" w:color="auto"/>
              <w:left w:val="none" w:sz="0" w:space="0" w:color="auto"/>
              <w:bottom w:val="none" w:sz="0" w:space="0" w:color="auto"/>
              <w:right w:val="none" w:sz="0" w:space="0" w:color="auto"/>
            </w:tcBorders>
          </w:tcPr>
          <w:p w14:paraId="7B275707" w14:textId="182A7FFE" w:rsidR="00B47E63" w:rsidRPr="0083286A"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E485E">
              <w:t>75%</w:t>
            </w:r>
          </w:p>
        </w:tc>
        <w:tc>
          <w:tcPr>
            <w:tcW w:w="1644" w:type="dxa"/>
            <w:tcBorders>
              <w:top w:val="none" w:sz="0" w:space="0" w:color="auto"/>
              <w:left w:val="none" w:sz="0" w:space="0" w:color="auto"/>
              <w:bottom w:val="none" w:sz="0" w:space="0" w:color="auto"/>
              <w:right w:val="none" w:sz="0" w:space="0" w:color="auto"/>
            </w:tcBorders>
          </w:tcPr>
          <w:p w14:paraId="2F42A0B4" w14:textId="0512A5D9" w:rsidR="00B47E63" w:rsidRPr="0083286A"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t>&lt;</w:t>
            </w:r>
            <w:r w:rsidRPr="004E485E">
              <w:t>0.0</w:t>
            </w:r>
            <w:r>
              <w:t>1</w:t>
            </w:r>
          </w:p>
        </w:tc>
        <w:tc>
          <w:tcPr>
            <w:tcW w:w="1644" w:type="dxa"/>
            <w:tcBorders>
              <w:top w:val="none" w:sz="0" w:space="0" w:color="auto"/>
              <w:left w:val="none" w:sz="0" w:space="0" w:color="auto"/>
              <w:bottom w:val="none" w:sz="0" w:space="0" w:color="auto"/>
              <w:right w:val="none" w:sz="0" w:space="0" w:color="auto"/>
            </w:tcBorders>
          </w:tcPr>
          <w:p w14:paraId="2A1BE84B" w14:textId="2139D394" w:rsidR="00B47E63" w:rsidRPr="0083286A"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E485E">
              <w:t>0.800</w:t>
            </w:r>
          </w:p>
        </w:tc>
        <w:tc>
          <w:tcPr>
            <w:tcW w:w="1645" w:type="dxa"/>
            <w:tcBorders>
              <w:top w:val="none" w:sz="0" w:space="0" w:color="auto"/>
              <w:left w:val="none" w:sz="0" w:space="0" w:color="auto"/>
              <w:bottom w:val="none" w:sz="0" w:space="0" w:color="auto"/>
              <w:right w:val="none" w:sz="0" w:space="0" w:color="auto"/>
            </w:tcBorders>
          </w:tcPr>
          <w:p w14:paraId="0BAB42FE" w14:textId="1B942A70" w:rsidR="00B47E63" w:rsidRPr="0083286A"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t>&lt;</w:t>
            </w:r>
            <w:r w:rsidRPr="004E485E">
              <w:t>0.0</w:t>
            </w:r>
            <w:r>
              <w:t>1</w:t>
            </w:r>
          </w:p>
        </w:tc>
      </w:tr>
      <w:tr w:rsidR="00B47E63" w14:paraId="2D5CA0DE"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1DB8C49" w14:textId="2DC4644D" w:rsidR="00B47E63" w:rsidRPr="00625570" w:rsidRDefault="00B47E63" w:rsidP="00B47E63">
            <w:pPr>
              <w:pStyle w:val="TableLeftText"/>
            </w:pPr>
            <w:r>
              <w:rPr>
                <w:color w:val="4D4D4F"/>
              </w:rPr>
              <w:t>Unitary AC</w:t>
            </w:r>
          </w:p>
        </w:tc>
        <w:tc>
          <w:tcPr>
            <w:tcW w:w="1644" w:type="dxa"/>
            <w:tcBorders>
              <w:top w:val="none" w:sz="0" w:space="0" w:color="auto"/>
              <w:left w:val="none" w:sz="0" w:space="0" w:color="auto"/>
              <w:bottom w:val="none" w:sz="0" w:space="0" w:color="auto"/>
              <w:right w:val="none" w:sz="0" w:space="0" w:color="auto"/>
            </w:tcBorders>
          </w:tcPr>
          <w:p w14:paraId="6EA1AD2D" w14:textId="337C77E2" w:rsidR="00B47E63" w:rsidRPr="00625570"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044E8D">
              <w:t>0.02</w:t>
            </w:r>
          </w:p>
        </w:tc>
        <w:tc>
          <w:tcPr>
            <w:tcW w:w="1644" w:type="dxa"/>
            <w:tcBorders>
              <w:top w:val="none" w:sz="0" w:space="0" w:color="auto"/>
              <w:left w:val="none" w:sz="0" w:space="0" w:color="auto"/>
              <w:bottom w:val="none" w:sz="0" w:space="0" w:color="auto"/>
              <w:right w:val="none" w:sz="0" w:space="0" w:color="auto"/>
            </w:tcBorders>
          </w:tcPr>
          <w:p w14:paraId="4B7D7D53" w14:textId="05240B00" w:rsidR="00B47E63" w:rsidRPr="00625570"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044E8D">
              <w:t>101%</w:t>
            </w:r>
          </w:p>
        </w:tc>
        <w:tc>
          <w:tcPr>
            <w:tcW w:w="1644" w:type="dxa"/>
            <w:tcBorders>
              <w:top w:val="none" w:sz="0" w:space="0" w:color="auto"/>
              <w:left w:val="none" w:sz="0" w:space="0" w:color="auto"/>
              <w:bottom w:val="none" w:sz="0" w:space="0" w:color="auto"/>
              <w:right w:val="none" w:sz="0" w:space="0" w:color="auto"/>
            </w:tcBorders>
          </w:tcPr>
          <w:p w14:paraId="283DBB3C" w14:textId="2CB6B89D" w:rsidR="00B47E63" w:rsidRPr="00625570"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044E8D">
              <w:t>0.02</w:t>
            </w:r>
          </w:p>
        </w:tc>
        <w:tc>
          <w:tcPr>
            <w:tcW w:w="1644" w:type="dxa"/>
            <w:tcBorders>
              <w:top w:val="none" w:sz="0" w:space="0" w:color="auto"/>
              <w:left w:val="none" w:sz="0" w:space="0" w:color="auto"/>
              <w:bottom w:val="none" w:sz="0" w:space="0" w:color="auto"/>
              <w:right w:val="none" w:sz="0" w:space="0" w:color="auto"/>
            </w:tcBorders>
          </w:tcPr>
          <w:p w14:paraId="6344BDB8" w14:textId="244799D4" w:rsidR="00B47E63" w:rsidRPr="00625570"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044E8D">
              <w:t>0.641</w:t>
            </w:r>
          </w:p>
        </w:tc>
        <w:tc>
          <w:tcPr>
            <w:tcW w:w="1645" w:type="dxa"/>
            <w:tcBorders>
              <w:top w:val="none" w:sz="0" w:space="0" w:color="auto"/>
              <w:left w:val="none" w:sz="0" w:space="0" w:color="auto"/>
              <w:bottom w:val="none" w:sz="0" w:space="0" w:color="auto"/>
              <w:right w:val="none" w:sz="0" w:space="0" w:color="auto"/>
            </w:tcBorders>
          </w:tcPr>
          <w:p w14:paraId="5F2F1C46" w14:textId="1673C7B8" w:rsidR="00B47E63" w:rsidRPr="00625570"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044E8D">
              <w:t>0.01</w:t>
            </w:r>
          </w:p>
        </w:tc>
      </w:tr>
      <w:tr w:rsidR="00B47E63" w14:paraId="60938425"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06B7E04" w14:textId="2F129FC5" w:rsidR="00B47E63" w:rsidRDefault="00B47E63" w:rsidP="00B47E63">
            <w:pPr>
              <w:pStyle w:val="TableLeftText"/>
            </w:pPr>
            <w:r>
              <w:rPr>
                <w:color w:val="4D4D4F"/>
              </w:rPr>
              <w:t>Unitary ASHP</w:t>
            </w:r>
          </w:p>
        </w:tc>
        <w:tc>
          <w:tcPr>
            <w:tcW w:w="1644" w:type="dxa"/>
            <w:tcBorders>
              <w:top w:val="none" w:sz="0" w:space="0" w:color="auto"/>
              <w:left w:val="none" w:sz="0" w:space="0" w:color="auto"/>
              <w:bottom w:val="none" w:sz="0" w:space="0" w:color="auto"/>
              <w:right w:val="none" w:sz="0" w:space="0" w:color="auto"/>
            </w:tcBorders>
          </w:tcPr>
          <w:p w14:paraId="16CE4E5A" w14:textId="33194F8E" w:rsidR="00B47E63"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736B0">
              <w:t>0.01</w:t>
            </w:r>
          </w:p>
        </w:tc>
        <w:tc>
          <w:tcPr>
            <w:tcW w:w="1644" w:type="dxa"/>
            <w:tcBorders>
              <w:top w:val="none" w:sz="0" w:space="0" w:color="auto"/>
              <w:left w:val="none" w:sz="0" w:space="0" w:color="auto"/>
              <w:bottom w:val="none" w:sz="0" w:space="0" w:color="auto"/>
              <w:right w:val="none" w:sz="0" w:space="0" w:color="auto"/>
            </w:tcBorders>
          </w:tcPr>
          <w:p w14:paraId="03A07F95" w14:textId="4616F138" w:rsidR="00B47E63" w:rsidRPr="00987F21"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736B0">
              <w:t>171%</w:t>
            </w:r>
          </w:p>
        </w:tc>
        <w:tc>
          <w:tcPr>
            <w:tcW w:w="1644" w:type="dxa"/>
            <w:tcBorders>
              <w:top w:val="none" w:sz="0" w:space="0" w:color="auto"/>
              <w:left w:val="none" w:sz="0" w:space="0" w:color="auto"/>
              <w:bottom w:val="none" w:sz="0" w:space="0" w:color="auto"/>
              <w:right w:val="none" w:sz="0" w:space="0" w:color="auto"/>
            </w:tcBorders>
          </w:tcPr>
          <w:p w14:paraId="3F4B230A" w14:textId="5F882066" w:rsidR="00B47E63"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736B0">
              <w:t>0.01</w:t>
            </w:r>
          </w:p>
        </w:tc>
        <w:tc>
          <w:tcPr>
            <w:tcW w:w="1644" w:type="dxa"/>
            <w:tcBorders>
              <w:top w:val="none" w:sz="0" w:space="0" w:color="auto"/>
              <w:left w:val="none" w:sz="0" w:space="0" w:color="auto"/>
              <w:bottom w:val="none" w:sz="0" w:space="0" w:color="auto"/>
              <w:right w:val="none" w:sz="0" w:space="0" w:color="auto"/>
            </w:tcBorders>
          </w:tcPr>
          <w:p w14:paraId="408BFB0B" w14:textId="07E563F7" w:rsidR="00B47E63" w:rsidRPr="00987F21"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736B0">
              <w:t>0.726</w:t>
            </w:r>
          </w:p>
        </w:tc>
        <w:tc>
          <w:tcPr>
            <w:tcW w:w="1645" w:type="dxa"/>
            <w:tcBorders>
              <w:top w:val="none" w:sz="0" w:space="0" w:color="auto"/>
              <w:left w:val="none" w:sz="0" w:space="0" w:color="auto"/>
              <w:bottom w:val="none" w:sz="0" w:space="0" w:color="auto"/>
              <w:right w:val="none" w:sz="0" w:space="0" w:color="auto"/>
            </w:tcBorders>
          </w:tcPr>
          <w:p w14:paraId="552AA89D" w14:textId="45E7CB4A" w:rsidR="00B47E63"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8736B0">
              <w:t>0.01</w:t>
            </w:r>
          </w:p>
        </w:tc>
      </w:tr>
      <w:tr w:rsidR="00B47E63" w14:paraId="4DAEC7CA"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6417BFA" w14:textId="5F11B112" w:rsidR="00B47E63" w:rsidRDefault="00B47E63" w:rsidP="00B47E63">
            <w:pPr>
              <w:pStyle w:val="TableLeftText"/>
            </w:pPr>
            <w:r>
              <w:rPr>
                <w:color w:val="4D4D4F"/>
              </w:rPr>
              <w:t>Heat Pump Water Heater</w:t>
            </w:r>
          </w:p>
        </w:tc>
        <w:tc>
          <w:tcPr>
            <w:tcW w:w="1644" w:type="dxa"/>
            <w:tcBorders>
              <w:top w:val="none" w:sz="0" w:space="0" w:color="auto"/>
              <w:left w:val="none" w:sz="0" w:space="0" w:color="auto"/>
              <w:bottom w:val="none" w:sz="0" w:space="0" w:color="auto"/>
              <w:right w:val="none" w:sz="0" w:space="0" w:color="auto"/>
            </w:tcBorders>
          </w:tcPr>
          <w:p w14:paraId="693DD4F3" w14:textId="7E193DF0" w:rsidR="00B47E63"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t>&lt;</w:t>
            </w:r>
            <w:r w:rsidRPr="008736B0">
              <w:t>0.0</w:t>
            </w:r>
            <w:r>
              <w:t>1</w:t>
            </w:r>
          </w:p>
        </w:tc>
        <w:tc>
          <w:tcPr>
            <w:tcW w:w="1644" w:type="dxa"/>
            <w:tcBorders>
              <w:top w:val="none" w:sz="0" w:space="0" w:color="auto"/>
              <w:left w:val="none" w:sz="0" w:space="0" w:color="auto"/>
              <w:bottom w:val="none" w:sz="0" w:space="0" w:color="auto"/>
              <w:right w:val="none" w:sz="0" w:space="0" w:color="auto"/>
            </w:tcBorders>
          </w:tcPr>
          <w:p w14:paraId="041F51C9" w14:textId="74110B6E" w:rsidR="00B47E63" w:rsidRPr="00987F21"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8736B0">
              <w:t>125%</w:t>
            </w:r>
          </w:p>
        </w:tc>
        <w:tc>
          <w:tcPr>
            <w:tcW w:w="1644" w:type="dxa"/>
            <w:tcBorders>
              <w:top w:val="none" w:sz="0" w:space="0" w:color="auto"/>
              <w:left w:val="none" w:sz="0" w:space="0" w:color="auto"/>
              <w:bottom w:val="none" w:sz="0" w:space="0" w:color="auto"/>
              <w:right w:val="none" w:sz="0" w:space="0" w:color="auto"/>
            </w:tcBorders>
          </w:tcPr>
          <w:p w14:paraId="409147E3" w14:textId="0F3CBBBE" w:rsidR="00B47E63"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t>&lt;</w:t>
            </w:r>
            <w:r w:rsidRPr="008736B0">
              <w:t>0.0</w:t>
            </w:r>
            <w:r>
              <w:t>1</w:t>
            </w:r>
          </w:p>
        </w:tc>
        <w:tc>
          <w:tcPr>
            <w:tcW w:w="1644" w:type="dxa"/>
            <w:tcBorders>
              <w:top w:val="none" w:sz="0" w:space="0" w:color="auto"/>
              <w:left w:val="none" w:sz="0" w:space="0" w:color="auto"/>
              <w:bottom w:val="none" w:sz="0" w:space="0" w:color="auto"/>
              <w:right w:val="none" w:sz="0" w:space="0" w:color="auto"/>
            </w:tcBorders>
          </w:tcPr>
          <w:p w14:paraId="207FAE54" w14:textId="72F7486A" w:rsidR="00B47E63" w:rsidRPr="00987F21"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8736B0">
              <w:t>0.600</w:t>
            </w:r>
          </w:p>
        </w:tc>
        <w:tc>
          <w:tcPr>
            <w:tcW w:w="1645" w:type="dxa"/>
            <w:tcBorders>
              <w:top w:val="none" w:sz="0" w:space="0" w:color="auto"/>
              <w:left w:val="none" w:sz="0" w:space="0" w:color="auto"/>
              <w:bottom w:val="none" w:sz="0" w:space="0" w:color="auto"/>
              <w:right w:val="none" w:sz="0" w:space="0" w:color="auto"/>
            </w:tcBorders>
          </w:tcPr>
          <w:p w14:paraId="5D4F7E57" w14:textId="131B18C2" w:rsidR="00B47E63" w:rsidRDefault="00B47E63" w:rsidP="00562725">
            <w:pPr>
              <w:pStyle w:val="TableCenterText"/>
              <w:jc w:val="right"/>
              <w:cnfStyle w:val="000000010000" w:firstRow="0" w:lastRow="0" w:firstColumn="0" w:lastColumn="0" w:oddVBand="0" w:evenVBand="0" w:oddHBand="0" w:evenHBand="1" w:firstRowFirstColumn="0" w:firstRowLastColumn="0" w:lastRowFirstColumn="0" w:lastRowLastColumn="0"/>
            </w:pPr>
            <w:r>
              <w:t>&lt;</w:t>
            </w:r>
            <w:r w:rsidRPr="008736B0">
              <w:t>0.0</w:t>
            </w:r>
            <w:r>
              <w:t>1</w:t>
            </w:r>
          </w:p>
        </w:tc>
      </w:tr>
      <w:tr w:rsidR="00B47E63" w14:paraId="1FB90DB2"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5942CA7" w14:textId="6A6F9DCB" w:rsidR="00B47E63" w:rsidRPr="00B777D6" w:rsidRDefault="00B47E63" w:rsidP="00B47E63">
            <w:pPr>
              <w:pStyle w:val="TableTextLeftMedium"/>
            </w:pPr>
            <w:r w:rsidRPr="00B777D6">
              <w:t>Total</w:t>
            </w:r>
          </w:p>
        </w:tc>
        <w:tc>
          <w:tcPr>
            <w:tcW w:w="1644" w:type="dxa"/>
            <w:tcBorders>
              <w:top w:val="none" w:sz="0" w:space="0" w:color="auto"/>
              <w:left w:val="none" w:sz="0" w:space="0" w:color="auto"/>
              <w:bottom w:val="none" w:sz="0" w:space="0" w:color="auto"/>
              <w:right w:val="none" w:sz="0" w:space="0" w:color="auto"/>
            </w:tcBorders>
          </w:tcPr>
          <w:p w14:paraId="3081F1DD" w14:textId="04E35CCB" w:rsidR="00B47E63" w:rsidRPr="00B777D6"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color w:val="4D4D4F"/>
              </w:rPr>
              <w:t>0.10</w:t>
            </w:r>
          </w:p>
        </w:tc>
        <w:tc>
          <w:tcPr>
            <w:tcW w:w="1644" w:type="dxa"/>
            <w:tcBorders>
              <w:top w:val="none" w:sz="0" w:space="0" w:color="auto"/>
              <w:left w:val="none" w:sz="0" w:space="0" w:color="auto"/>
              <w:bottom w:val="none" w:sz="0" w:space="0" w:color="auto"/>
              <w:right w:val="none" w:sz="0" w:space="0" w:color="auto"/>
            </w:tcBorders>
          </w:tcPr>
          <w:p w14:paraId="0428740B" w14:textId="35757F21" w:rsidR="00B47E63" w:rsidRPr="00B777D6"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color w:val="4D4D4F"/>
              </w:rPr>
              <w:t>105%</w:t>
            </w:r>
          </w:p>
        </w:tc>
        <w:tc>
          <w:tcPr>
            <w:tcW w:w="1644" w:type="dxa"/>
            <w:tcBorders>
              <w:top w:val="none" w:sz="0" w:space="0" w:color="auto"/>
              <w:left w:val="none" w:sz="0" w:space="0" w:color="auto"/>
              <w:bottom w:val="none" w:sz="0" w:space="0" w:color="auto"/>
              <w:right w:val="none" w:sz="0" w:space="0" w:color="auto"/>
            </w:tcBorders>
          </w:tcPr>
          <w:p w14:paraId="1EF88BC9" w14:textId="0E6165D6" w:rsidR="00B47E63" w:rsidRPr="00B777D6"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color w:val="4D4D4F"/>
              </w:rPr>
              <w:t>0.10</w:t>
            </w:r>
          </w:p>
        </w:tc>
        <w:tc>
          <w:tcPr>
            <w:tcW w:w="1644" w:type="dxa"/>
            <w:tcBorders>
              <w:top w:val="none" w:sz="0" w:space="0" w:color="auto"/>
              <w:left w:val="none" w:sz="0" w:space="0" w:color="auto"/>
              <w:bottom w:val="none" w:sz="0" w:space="0" w:color="auto"/>
              <w:right w:val="none" w:sz="0" w:space="0" w:color="auto"/>
            </w:tcBorders>
          </w:tcPr>
          <w:p w14:paraId="401763EE" w14:textId="00756473" w:rsidR="00B47E63" w:rsidRPr="00B777D6"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color w:val="4D4D4F"/>
              </w:rPr>
              <w:t>0.</w:t>
            </w:r>
            <w:r w:rsidR="00F70BA8" w:rsidRPr="00B777D6">
              <w:rPr>
                <w:rFonts w:ascii="Franklin Gothic Medium" w:hAnsi="Franklin Gothic Medium"/>
                <w:color w:val="4D4D4F"/>
              </w:rPr>
              <w:t>696</w:t>
            </w:r>
          </w:p>
        </w:tc>
        <w:tc>
          <w:tcPr>
            <w:tcW w:w="1645" w:type="dxa"/>
            <w:tcBorders>
              <w:top w:val="none" w:sz="0" w:space="0" w:color="auto"/>
              <w:left w:val="none" w:sz="0" w:space="0" w:color="auto"/>
              <w:bottom w:val="none" w:sz="0" w:space="0" w:color="auto"/>
              <w:right w:val="none" w:sz="0" w:space="0" w:color="auto"/>
            </w:tcBorders>
          </w:tcPr>
          <w:p w14:paraId="5C6166FE" w14:textId="0825552A" w:rsidR="00B47E63" w:rsidRPr="00B777D6" w:rsidRDefault="00B47E63"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B777D6">
              <w:rPr>
                <w:rFonts w:ascii="Franklin Gothic Medium" w:hAnsi="Franklin Gothic Medium"/>
                <w:color w:val="4D4D4F"/>
              </w:rPr>
              <w:t>0.0</w:t>
            </w:r>
            <w:r w:rsidR="00F70BA8" w:rsidRPr="00B777D6">
              <w:rPr>
                <w:rFonts w:ascii="Franklin Gothic Medium" w:hAnsi="Franklin Gothic Medium"/>
                <w:color w:val="4D4D4F"/>
              </w:rPr>
              <w:t>7</w:t>
            </w:r>
          </w:p>
        </w:tc>
      </w:tr>
    </w:tbl>
    <w:p w14:paraId="597A9E00" w14:textId="5FDB04DE" w:rsidR="00824014" w:rsidRDefault="00824014" w:rsidP="00B638E7">
      <w:pPr>
        <w:spacing w:before="240"/>
      </w:pPr>
      <w:r>
        <w:fldChar w:fldCharType="begin"/>
      </w:r>
      <w:r>
        <w:instrText xml:space="preserve"> REF _Ref187327094 \h </w:instrText>
      </w:r>
      <w:r>
        <w:fldChar w:fldCharType="separate"/>
      </w:r>
      <w:r w:rsidR="00AA10F4">
        <w:t xml:space="preserve">Table </w:t>
      </w:r>
      <w:r w:rsidR="00AA10F4">
        <w:rPr>
          <w:noProof/>
        </w:rPr>
        <w:t>75</w:t>
      </w:r>
      <w:r>
        <w:fldChar w:fldCharType="end"/>
      </w:r>
      <w:r>
        <w:t xml:space="preserve"> presents the ex ante, verified gross, and verified net gas savings achieved through the Midstream HVAC channel in 2024.</w:t>
      </w:r>
      <w:r w:rsidR="00324A06">
        <w:t xml:space="preserve"> </w:t>
      </w:r>
      <w:r w:rsidR="00BE25D3" w:rsidRPr="00626817">
        <w:t xml:space="preserve">The channel achieved a realization rate of </w:t>
      </w:r>
      <w:r w:rsidR="00BE25D3">
        <w:t>95</w:t>
      </w:r>
      <w:r w:rsidR="00BE25D3" w:rsidRPr="00626817">
        <w:t xml:space="preserve">% for gas savings. </w:t>
      </w:r>
      <w:r w:rsidR="00BE25D3">
        <w:t xml:space="preserve">Advanced thermostats are the only measure contributing to gas savings in the channel. </w:t>
      </w:r>
      <w:r w:rsidR="00BE25D3" w:rsidRPr="00626817">
        <w:t xml:space="preserve">Overall, the channel produced </w:t>
      </w:r>
      <w:r w:rsidR="000968C8">
        <w:t>49</w:t>
      </w:r>
      <w:r w:rsidR="00BE25D3" w:rsidRPr="00626817">
        <w:t>% fewer verified net gas savings compared to 202</w:t>
      </w:r>
      <w:r w:rsidR="00BE25D3">
        <w:t>3</w:t>
      </w:r>
      <w:r w:rsidR="00BE25D3" w:rsidRPr="00626817">
        <w:t>.</w:t>
      </w:r>
    </w:p>
    <w:p w14:paraId="1C88261B" w14:textId="35B35645" w:rsidR="003A0E54" w:rsidRDefault="003A0E54" w:rsidP="00562725">
      <w:pPr>
        <w:pStyle w:val="Caption"/>
      </w:pPr>
      <w:bookmarkStart w:id="326" w:name="_Ref187327094"/>
      <w:bookmarkStart w:id="327" w:name="_Toc191992596"/>
      <w:bookmarkStart w:id="328" w:name="_Toc192767009"/>
      <w:r>
        <w:lastRenderedPageBreak/>
        <w:t xml:space="preserve">Table </w:t>
      </w:r>
      <w:r w:rsidR="009B4C9A">
        <w:fldChar w:fldCharType="begin"/>
      </w:r>
      <w:r w:rsidR="009B4C9A">
        <w:instrText xml:space="preserve"> SEQ Table \* ARABIC </w:instrText>
      </w:r>
      <w:r w:rsidR="009B4C9A">
        <w:fldChar w:fldCharType="separate"/>
      </w:r>
      <w:r w:rsidR="00AA10F4">
        <w:rPr>
          <w:noProof/>
        </w:rPr>
        <w:t>75</w:t>
      </w:r>
      <w:r w:rsidR="009B4C9A">
        <w:rPr>
          <w:noProof/>
        </w:rPr>
        <w:fldChar w:fldCharType="end"/>
      </w:r>
      <w:bookmarkEnd w:id="326"/>
      <w:r>
        <w:t>. 2024 Midstream HVAC Channel Gas Savings by Measure</w:t>
      </w:r>
      <w:bookmarkEnd w:id="327"/>
      <w:bookmarkEnd w:id="328"/>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155"/>
        <w:gridCol w:w="1980"/>
        <w:gridCol w:w="1710"/>
        <w:gridCol w:w="2070"/>
        <w:gridCol w:w="1331"/>
        <w:gridCol w:w="1850"/>
      </w:tblGrid>
      <w:tr w:rsidR="003A0E54" w14:paraId="5E27D52A"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00E31E5B" w14:textId="77777777" w:rsidR="003A0E54" w:rsidRDefault="003A0E54" w:rsidP="00562725">
            <w:pPr>
              <w:pStyle w:val="TableHeadingLeft"/>
              <w:keepNext/>
              <w:keepLines/>
            </w:pPr>
            <w:r w:rsidRPr="00F87E60">
              <w:t>Measure Category</w:t>
            </w:r>
          </w:p>
        </w:tc>
        <w:tc>
          <w:tcPr>
            <w:tcW w:w="1980" w:type="dxa"/>
            <w:tcBorders>
              <w:bottom w:val="none" w:sz="0" w:space="0" w:color="auto"/>
            </w:tcBorders>
          </w:tcPr>
          <w:p w14:paraId="24102934" w14:textId="77777777" w:rsidR="003A0E54" w:rsidRDefault="003A0E54"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710" w:type="dxa"/>
            <w:tcBorders>
              <w:bottom w:val="none" w:sz="0" w:space="0" w:color="auto"/>
            </w:tcBorders>
          </w:tcPr>
          <w:p w14:paraId="1B0986D0" w14:textId="77777777" w:rsidR="003A0E54" w:rsidRDefault="003A0E54"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2070" w:type="dxa"/>
            <w:tcBorders>
              <w:bottom w:val="none" w:sz="0" w:space="0" w:color="auto"/>
            </w:tcBorders>
          </w:tcPr>
          <w:p w14:paraId="57858D26" w14:textId="77777777" w:rsidR="003A0E54" w:rsidRDefault="003A0E54"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331" w:type="dxa"/>
            <w:tcBorders>
              <w:bottom w:val="none" w:sz="0" w:space="0" w:color="auto"/>
            </w:tcBorders>
          </w:tcPr>
          <w:p w14:paraId="3984DA1D" w14:textId="77777777" w:rsidR="003A0E54" w:rsidRDefault="003A0E54"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38B04A86" w14:textId="77777777" w:rsidR="003A0E54" w:rsidRDefault="003A0E54" w:rsidP="00562725">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0968C8" w14:paraId="19D9348D"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392987F9" w14:textId="6D865FE2" w:rsidR="000968C8" w:rsidRDefault="000968C8" w:rsidP="00562725">
            <w:pPr>
              <w:pStyle w:val="TableLeftText"/>
              <w:keepNext/>
              <w:keepLines/>
            </w:pPr>
            <w:r>
              <w:rPr>
                <w:color w:val="4D4D4F"/>
              </w:rPr>
              <w:t>Advanced Thermostat</w:t>
            </w:r>
          </w:p>
        </w:tc>
        <w:tc>
          <w:tcPr>
            <w:tcW w:w="1980" w:type="dxa"/>
            <w:tcBorders>
              <w:top w:val="none" w:sz="0" w:space="0" w:color="auto"/>
              <w:left w:val="none" w:sz="0" w:space="0" w:color="auto"/>
              <w:bottom w:val="none" w:sz="0" w:space="0" w:color="auto"/>
              <w:right w:val="none" w:sz="0" w:space="0" w:color="auto"/>
            </w:tcBorders>
          </w:tcPr>
          <w:p w14:paraId="09521B86" w14:textId="4E3CA7E5" w:rsidR="000968C8" w:rsidRPr="00EE3D49" w:rsidRDefault="000968C8" w:rsidP="00562725">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235BAE">
              <w:t>7,469</w:t>
            </w:r>
          </w:p>
        </w:tc>
        <w:tc>
          <w:tcPr>
            <w:tcW w:w="1710" w:type="dxa"/>
            <w:tcBorders>
              <w:top w:val="none" w:sz="0" w:space="0" w:color="auto"/>
              <w:left w:val="none" w:sz="0" w:space="0" w:color="auto"/>
              <w:bottom w:val="none" w:sz="0" w:space="0" w:color="auto"/>
              <w:right w:val="none" w:sz="0" w:space="0" w:color="auto"/>
            </w:tcBorders>
          </w:tcPr>
          <w:p w14:paraId="2DF6A2C5" w14:textId="4B1D8FD3" w:rsidR="000968C8" w:rsidRPr="00EE3D49" w:rsidRDefault="000968C8" w:rsidP="00562725">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235BAE">
              <w:t>95%</w:t>
            </w:r>
          </w:p>
        </w:tc>
        <w:tc>
          <w:tcPr>
            <w:tcW w:w="2070" w:type="dxa"/>
            <w:tcBorders>
              <w:top w:val="none" w:sz="0" w:space="0" w:color="auto"/>
              <w:left w:val="none" w:sz="0" w:space="0" w:color="auto"/>
              <w:bottom w:val="none" w:sz="0" w:space="0" w:color="auto"/>
              <w:right w:val="none" w:sz="0" w:space="0" w:color="auto"/>
            </w:tcBorders>
          </w:tcPr>
          <w:p w14:paraId="69CF3728" w14:textId="143E1729" w:rsidR="000968C8" w:rsidRPr="00EE3D49" w:rsidRDefault="000968C8" w:rsidP="00562725">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235BAE">
              <w:t>7,129</w:t>
            </w:r>
          </w:p>
        </w:tc>
        <w:tc>
          <w:tcPr>
            <w:tcW w:w="1331" w:type="dxa"/>
            <w:tcBorders>
              <w:top w:val="none" w:sz="0" w:space="0" w:color="auto"/>
              <w:left w:val="none" w:sz="0" w:space="0" w:color="auto"/>
              <w:bottom w:val="none" w:sz="0" w:space="0" w:color="auto"/>
              <w:right w:val="none" w:sz="0" w:space="0" w:color="auto"/>
            </w:tcBorders>
          </w:tcPr>
          <w:p w14:paraId="4D83E055" w14:textId="2398DFD9" w:rsidR="000968C8" w:rsidRPr="00EE3D49" w:rsidRDefault="000968C8" w:rsidP="00562725">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235BAE">
              <w:t>0.864</w:t>
            </w:r>
          </w:p>
        </w:tc>
        <w:tc>
          <w:tcPr>
            <w:tcW w:w="1850" w:type="dxa"/>
            <w:tcBorders>
              <w:top w:val="none" w:sz="0" w:space="0" w:color="auto"/>
              <w:left w:val="none" w:sz="0" w:space="0" w:color="auto"/>
              <w:bottom w:val="none" w:sz="0" w:space="0" w:color="auto"/>
              <w:right w:val="none" w:sz="0" w:space="0" w:color="auto"/>
            </w:tcBorders>
          </w:tcPr>
          <w:p w14:paraId="5741FECF" w14:textId="630425E9" w:rsidR="000968C8" w:rsidRPr="00EE3D49" w:rsidRDefault="000968C8" w:rsidP="00562725">
            <w:pPr>
              <w:pStyle w:val="TableLeftText"/>
              <w:keepNext/>
              <w:keepLines/>
              <w:jc w:val="right"/>
              <w:cnfStyle w:val="000000100000" w:firstRow="0" w:lastRow="0" w:firstColumn="0" w:lastColumn="0" w:oddVBand="0" w:evenVBand="0" w:oddHBand="1" w:evenHBand="0" w:firstRowFirstColumn="0" w:firstRowLastColumn="0" w:lastRowFirstColumn="0" w:lastRowLastColumn="0"/>
            </w:pPr>
            <w:r w:rsidRPr="00235BAE">
              <w:t>6,156</w:t>
            </w:r>
          </w:p>
        </w:tc>
      </w:tr>
      <w:tr w:rsidR="000968C8" w:rsidRPr="00EE3D49" w14:paraId="362DC3B3"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Borders>
              <w:top w:val="none" w:sz="0" w:space="0" w:color="auto"/>
              <w:left w:val="none" w:sz="0" w:space="0" w:color="auto"/>
              <w:bottom w:val="none" w:sz="0" w:space="0" w:color="auto"/>
              <w:right w:val="none" w:sz="0" w:space="0" w:color="auto"/>
            </w:tcBorders>
          </w:tcPr>
          <w:p w14:paraId="7CB776FD" w14:textId="01CC71B7" w:rsidR="000968C8" w:rsidRPr="00B777D6" w:rsidRDefault="000968C8" w:rsidP="00562725">
            <w:pPr>
              <w:pStyle w:val="TableLeftText"/>
              <w:keepNext/>
              <w:keepLines/>
              <w:rPr>
                <w:rFonts w:ascii="Franklin Gothic Medium" w:hAnsi="Franklin Gothic Medium"/>
              </w:rPr>
            </w:pPr>
            <w:r w:rsidRPr="00B777D6">
              <w:rPr>
                <w:rFonts w:ascii="Franklin Gothic Medium" w:hAnsi="Franklin Gothic Medium"/>
                <w:color w:val="4D4D4F"/>
              </w:rPr>
              <w:t>Total</w:t>
            </w:r>
          </w:p>
        </w:tc>
        <w:tc>
          <w:tcPr>
            <w:tcW w:w="1980" w:type="dxa"/>
            <w:tcBorders>
              <w:top w:val="none" w:sz="0" w:space="0" w:color="auto"/>
              <w:left w:val="none" w:sz="0" w:space="0" w:color="auto"/>
              <w:bottom w:val="none" w:sz="0" w:space="0" w:color="auto"/>
              <w:right w:val="none" w:sz="0" w:space="0" w:color="auto"/>
            </w:tcBorders>
          </w:tcPr>
          <w:p w14:paraId="255CC172" w14:textId="414AD809" w:rsidR="000968C8" w:rsidRPr="00B777D6" w:rsidRDefault="000968C8" w:rsidP="00562725">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7,469</w:t>
            </w:r>
          </w:p>
        </w:tc>
        <w:tc>
          <w:tcPr>
            <w:tcW w:w="1710" w:type="dxa"/>
            <w:tcBorders>
              <w:top w:val="none" w:sz="0" w:space="0" w:color="auto"/>
              <w:left w:val="none" w:sz="0" w:space="0" w:color="auto"/>
              <w:bottom w:val="none" w:sz="0" w:space="0" w:color="auto"/>
              <w:right w:val="none" w:sz="0" w:space="0" w:color="auto"/>
            </w:tcBorders>
          </w:tcPr>
          <w:p w14:paraId="7275FDDD" w14:textId="35218436" w:rsidR="000968C8" w:rsidRPr="00B777D6" w:rsidRDefault="000968C8" w:rsidP="00562725">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95%</w:t>
            </w:r>
          </w:p>
        </w:tc>
        <w:tc>
          <w:tcPr>
            <w:tcW w:w="2070" w:type="dxa"/>
            <w:tcBorders>
              <w:top w:val="none" w:sz="0" w:space="0" w:color="auto"/>
              <w:left w:val="none" w:sz="0" w:space="0" w:color="auto"/>
              <w:bottom w:val="none" w:sz="0" w:space="0" w:color="auto"/>
              <w:right w:val="none" w:sz="0" w:space="0" w:color="auto"/>
            </w:tcBorders>
          </w:tcPr>
          <w:p w14:paraId="3399041E" w14:textId="7D8F9ED4" w:rsidR="000968C8" w:rsidRPr="00B777D6" w:rsidRDefault="000968C8" w:rsidP="00562725">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7,129</w:t>
            </w:r>
          </w:p>
        </w:tc>
        <w:tc>
          <w:tcPr>
            <w:tcW w:w="1331" w:type="dxa"/>
            <w:tcBorders>
              <w:top w:val="none" w:sz="0" w:space="0" w:color="auto"/>
              <w:left w:val="none" w:sz="0" w:space="0" w:color="auto"/>
              <w:bottom w:val="none" w:sz="0" w:space="0" w:color="auto"/>
              <w:right w:val="none" w:sz="0" w:space="0" w:color="auto"/>
            </w:tcBorders>
          </w:tcPr>
          <w:p w14:paraId="103FBE0E" w14:textId="20D18024" w:rsidR="000968C8" w:rsidRPr="00B777D6" w:rsidRDefault="000968C8" w:rsidP="00562725">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0.864</w:t>
            </w:r>
          </w:p>
        </w:tc>
        <w:tc>
          <w:tcPr>
            <w:tcW w:w="1850" w:type="dxa"/>
            <w:tcBorders>
              <w:top w:val="none" w:sz="0" w:space="0" w:color="auto"/>
              <w:left w:val="none" w:sz="0" w:space="0" w:color="auto"/>
              <w:bottom w:val="none" w:sz="0" w:space="0" w:color="auto"/>
              <w:right w:val="none" w:sz="0" w:space="0" w:color="auto"/>
            </w:tcBorders>
          </w:tcPr>
          <w:p w14:paraId="786AD9AD" w14:textId="14ABFE70" w:rsidR="000968C8" w:rsidRPr="00B777D6" w:rsidRDefault="000968C8" w:rsidP="00562725">
            <w:pPr>
              <w:pStyle w:val="TableLeftText"/>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6,156</w:t>
            </w:r>
          </w:p>
        </w:tc>
      </w:tr>
    </w:tbl>
    <w:p w14:paraId="1AA648F9" w14:textId="1A8116A3" w:rsidR="00BE25D3" w:rsidRDefault="00BE25D3" w:rsidP="00D11196">
      <w:pPr>
        <w:pStyle w:val="NoSpacing"/>
        <w:keepNext/>
        <w:spacing w:before="240"/>
      </w:pPr>
      <w:r>
        <w:t xml:space="preserve">We discuss </w:t>
      </w:r>
      <w:r w:rsidR="00C53208">
        <w:t xml:space="preserve">significant </w:t>
      </w:r>
      <w:r>
        <w:t>discrepancies between ex ante claims and the verified analysis below.</w:t>
      </w:r>
    </w:p>
    <w:p w14:paraId="784A2ABB" w14:textId="32B9019B" w:rsidR="00BE25D3" w:rsidRDefault="00BE25D3" w:rsidP="00BE25D3">
      <w:pPr>
        <w:pStyle w:val="ListBullet"/>
      </w:pPr>
      <w:r w:rsidRPr="00B47E63">
        <w:rPr>
          <w:b/>
          <w:bCs/>
        </w:rPr>
        <w:t>Advanced Thermostats</w:t>
      </w:r>
      <w:r>
        <w:t xml:space="preserve"> (24% of ex ante energy savings, 23% of demand savings, and 100% of </w:t>
      </w:r>
      <w:r w:rsidR="00A32E0B">
        <w:t>gas</w:t>
      </w:r>
      <w:r>
        <w:t xml:space="preserve"> savings): The gross realization rates for Advanced Thermostats are 99% for electric energy, 105% for demand, and 95% for </w:t>
      </w:r>
      <w:r w:rsidR="00A32E0B">
        <w:t>gas</w:t>
      </w:r>
      <w:r>
        <w:t xml:space="preserve"> savings.</w:t>
      </w:r>
    </w:p>
    <w:p w14:paraId="50564391" w14:textId="21EE402B" w:rsidR="00BE25D3" w:rsidRDefault="00BE25D3" w:rsidP="00BE25D3">
      <w:pPr>
        <w:pStyle w:val="ListBullet2"/>
      </w:pPr>
      <w:r>
        <w:t xml:space="preserve">The implementation team applied a calculated EER2 value of 11.46 in the ex ante savings calculations based on the TRM-specified SEER2 default of 12.4 for midstream programs. The evaluation team applied the TRM default EER2 value of 10.9, which is specified for midstream programs. This discrepancy affected all advanced thermostat measures, resulting in </w:t>
      </w:r>
      <w:r w:rsidR="003C0BC9">
        <w:t>increased</w:t>
      </w:r>
      <w:r>
        <w:t xml:space="preserve"> verified electric demand savings.</w:t>
      </w:r>
    </w:p>
    <w:p w14:paraId="69C4097D" w14:textId="7702B0AA" w:rsidR="00633ED7" w:rsidRDefault="00633ED7" w:rsidP="00BB6EE4">
      <w:pPr>
        <w:pStyle w:val="ListBullet2"/>
      </w:pPr>
      <w:r>
        <w:t xml:space="preserve">The evaluation </w:t>
      </w:r>
      <w:r w:rsidR="003C0BC9">
        <w:t xml:space="preserve">team </w:t>
      </w:r>
      <w:r>
        <w:t xml:space="preserve">identified a discrepancy in the </w:t>
      </w:r>
      <w:r w:rsidR="00BB6EE4">
        <w:t>gas</w:t>
      </w:r>
      <w:r>
        <w:t xml:space="preserve"> savings for three records, but the specific cause could not be determined. A thorough review of the implementation team's calculations and assumptions confirmed alignment with IL-TRM V12.0 and the verified analysis. These records had realization rates of 100% in an interim analysis conducted by the evaluation team; however, the ex ante savings values changed in the year-end data</w:t>
      </w:r>
      <w:r w:rsidR="00C53208">
        <w:t>, resulting</w:t>
      </w:r>
      <w:r w:rsidR="003C0BC9">
        <w:t xml:space="preserve"> in decreased</w:t>
      </w:r>
      <w:r>
        <w:t xml:space="preserve"> verified </w:t>
      </w:r>
      <w:r w:rsidR="00A32E0B">
        <w:t>gas</w:t>
      </w:r>
      <w:r>
        <w:t xml:space="preserve"> savings</w:t>
      </w:r>
      <w:r w:rsidR="003C0BC9">
        <w:t xml:space="preserve"> for these records</w:t>
      </w:r>
      <w:r>
        <w:t>.</w:t>
      </w:r>
    </w:p>
    <w:p w14:paraId="57308BC4" w14:textId="77777777" w:rsidR="00BE25D3" w:rsidRDefault="00BE25D3" w:rsidP="00BE25D3">
      <w:pPr>
        <w:pStyle w:val="ListBullet"/>
      </w:pPr>
      <w:r w:rsidRPr="00B47E63">
        <w:rPr>
          <w:b/>
          <w:bCs/>
        </w:rPr>
        <w:t>Notched V-Belts</w:t>
      </w:r>
      <w:r>
        <w:t xml:space="preserve"> (11% of ex ante energy savings and 7% of demand savings): The gross realization rates for Notched V-Belts are 75% for electric energy and 75% for demand savings.</w:t>
      </w:r>
    </w:p>
    <w:p w14:paraId="7C6EB3B1" w14:textId="31CF2E05" w:rsidR="00BE25D3" w:rsidRDefault="00BE25D3" w:rsidP="00BE25D3">
      <w:pPr>
        <w:pStyle w:val="ListBullet2"/>
      </w:pPr>
      <w:r>
        <w:t xml:space="preserve">The implementation team applied deemed assumptions for controlled horsepower (hp) and motor efficiency in the ex ante savings calculations for notched AX and BX </w:t>
      </w:r>
      <w:r w:rsidR="008732BD">
        <w:t>V-belt</w:t>
      </w:r>
      <w:r>
        <w:t xml:space="preserve">s. For AX </w:t>
      </w:r>
      <w:r w:rsidR="008732BD">
        <w:t>V-belt</w:t>
      </w:r>
      <w:r>
        <w:t xml:space="preserve">s, the implementation team assumed a </w:t>
      </w:r>
      <w:r w:rsidR="0090588D">
        <w:t>three</w:t>
      </w:r>
      <w:r>
        <w:t xml:space="preserve">-hp motor at the NEMA premium efficiency of 89.5%, and for BX </w:t>
      </w:r>
      <w:r w:rsidR="008732BD">
        <w:t>V-belt</w:t>
      </w:r>
      <w:r>
        <w:t xml:space="preserve">s, they assumed a 7.5-hp 91.7% efficient NEMA premium motor. The IL-TRM V12.0 algorithm requires actual motor horsepower for the fans where the </w:t>
      </w:r>
      <w:r w:rsidR="008732BD">
        <w:t>V-belt</w:t>
      </w:r>
      <w:r>
        <w:t xml:space="preserve">s are installed but does not provide guidance for midstream programs when actual values are unknown. The evaluation team reviewed manufacturer specification documents for notched AX and BX </w:t>
      </w:r>
      <w:r w:rsidR="008732BD">
        <w:t>V-belt</w:t>
      </w:r>
      <w:r>
        <w:t xml:space="preserve">s, which provided minimum sheave dimensions for the belts, which were further correlated to a minimum motor horsepower. Based on this review, the evaluation team determined that a </w:t>
      </w:r>
      <w:r w:rsidR="0090588D">
        <w:t>three</w:t>
      </w:r>
      <w:r>
        <w:t xml:space="preserve">-hp 89.5% efficient NEMA premium motor is a reasonable assumption for AX </w:t>
      </w:r>
      <w:r w:rsidR="008732BD">
        <w:t>V-belt</w:t>
      </w:r>
      <w:r>
        <w:t>s</w:t>
      </w:r>
      <w:r w:rsidR="0090588D">
        <w:t>,</w:t>
      </w:r>
      <w:r>
        <w:t xml:space="preserve"> and a </w:t>
      </w:r>
      <w:r w:rsidR="0090588D">
        <w:t>five</w:t>
      </w:r>
      <w:r>
        <w:t xml:space="preserve">-hp 89.5% efficient NEMA premium motor is reasonable for BX </w:t>
      </w:r>
      <w:r w:rsidR="008732BD">
        <w:t>V-belt</w:t>
      </w:r>
      <w:r>
        <w:t xml:space="preserve">s. This adjustment affected all BX </w:t>
      </w:r>
      <w:r w:rsidR="008732BD">
        <w:t>V-belt</w:t>
      </w:r>
      <w:r>
        <w:t xml:space="preserve"> measures, resulting in decrease</w:t>
      </w:r>
      <w:r w:rsidR="003C0BC9">
        <w:t>d</w:t>
      </w:r>
      <w:r>
        <w:t xml:space="preserve"> verified electric energy </w:t>
      </w:r>
      <w:r w:rsidR="003C0BC9">
        <w:t>and</w:t>
      </w:r>
      <w:r>
        <w:t xml:space="preserve"> electric demand savings. </w:t>
      </w:r>
    </w:p>
    <w:p w14:paraId="3DF0972B" w14:textId="77777777" w:rsidR="00BE25D3" w:rsidRDefault="00BE25D3" w:rsidP="00BE25D3">
      <w:pPr>
        <w:pStyle w:val="ListBullet"/>
      </w:pPr>
      <w:r w:rsidRPr="00B47E63">
        <w:rPr>
          <w:b/>
          <w:bCs/>
        </w:rPr>
        <w:t>Unitary ACs</w:t>
      </w:r>
      <w:r>
        <w:t xml:space="preserve"> (9% of ex ante energy savings and 20% of demand savings): The gross realization rates for Unitary ACs are 114% for electric energy and 101% for demand savings.</w:t>
      </w:r>
    </w:p>
    <w:p w14:paraId="51E42EDA" w14:textId="43601F28" w:rsidR="00BE25D3" w:rsidRDefault="00BE25D3" w:rsidP="00BE25D3">
      <w:pPr>
        <w:pStyle w:val="ListBullet2"/>
      </w:pPr>
      <w:r w:rsidRPr="008F6327">
        <w:t>The implementation team applie</w:t>
      </w:r>
      <w:r>
        <w:t>d</w:t>
      </w:r>
      <w:r w:rsidRPr="008F6327">
        <w:t xml:space="preserve"> the IL-TRM</w:t>
      </w:r>
      <w:r>
        <w:t xml:space="preserve"> </w:t>
      </w:r>
      <w:r w:rsidRPr="008F6327">
        <w:t>V12.0 baseline of 14.3 SEER2</w:t>
      </w:r>
      <w:r>
        <w:t xml:space="preserve"> for units less than 65,000 btu/h in cooling capacity</w:t>
      </w:r>
      <w:r w:rsidRPr="008F6327">
        <w:t xml:space="preserve">, which is listed </w:t>
      </w:r>
      <w:r w:rsidRPr="001E4DF9">
        <w:t>with</w:t>
      </w:r>
      <w:r w:rsidRPr="008F6327">
        <w:t>in a</w:t>
      </w:r>
      <w:r w:rsidRPr="001E4DF9">
        <w:t xml:space="preserve">n abbreviated table </w:t>
      </w:r>
      <w:r w:rsidRPr="008F6327">
        <w:t xml:space="preserve">of the </w:t>
      </w:r>
      <w:r w:rsidRPr="002D6148">
        <w:t>Code of Federal Re</w:t>
      </w:r>
      <w:r>
        <w:t>g</w:t>
      </w:r>
      <w:r w:rsidRPr="002D6148">
        <w:t>ulations</w:t>
      </w:r>
      <w:r>
        <w:t xml:space="preserve"> (CFR) </w:t>
      </w:r>
      <w:r w:rsidRPr="008F6327">
        <w:t xml:space="preserve">mechanical efficiency standards. </w:t>
      </w:r>
      <w:r>
        <w:t>However, t</w:t>
      </w:r>
      <w:r w:rsidRPr="008F6327">
        <w:t>he evaluation team found that the TRM table incorrectly lists the SEER2 standards for heat pumps in the “Small Commercial Package Air-Conditioning and Heating Equipment (Air-Cooled, 3-Phase, Split-System)</w:t>
      </w:r>
      <w:r>
        <w:t xml:space="preserve"> of </w:t>
      </w:r>
      <w:r w:rsidRPr="008F6327">
        <w:t>&lt;65,000 Btu/h</w:t>
      </w:r>
      <w:r>
        <w:t xml:space="preserve"> cooling capacity” category. The correct baseline efficiency for an air conditioning-only unit meeting the category conditions is 13.4 SEER2. The evaluation team applied the 13.4 SEER2 value, resulting in increase</w:t>
      </w:r>
      <w:r w:rsidR="006C435E">
        <w:t>d</w:t>
      </w:r>
      <w:r>
        <w:t xml:space="preserve"> verified electric energy savings.</w:t>
      </w:r>
    </w:p>
    <w:p w14:paraId="39E6400E" w14:textId="238C5ABE" w:rsidR="00BE25D3" w:rsidRDefault="00BE25D3" w:rsidP="00BE25D3">
      <w:pPr>
        <w:pStyle w:val="ListBullet2"/>
      </w:pPr>
      <w:r>
        <w:t xml:space="preserve">The implementation team calculated the baseline and efficient EER2 values used in the ex ante savings calculations from the corresponding SEER2 value, an option presented in </w:t>
      </w:r>
      <w:r w:rsidRPr="00C86DF3">
        <w:t>the IL-TRM V12.0.</w:t>
      </w:r>
      <w:r>
        <w:t xml:space="preserve"> The evaluation team applied the </w:t>
      </w:r>
      <w:r w:rsidR="006C435E">
        <w:t>I</w:t>
      </w:r>
      <w:r>
        <w:t xml:space="preserve">nitiative tracking data value for the efficient EER2 and calculated the baseline EER2 from the </w:t>
      </w:r>
      <w:r>
        <w:lastRenderedPageBreak/>
        <w:t>CFR SEER2 baseline. The difference between the ex ante and verified baseline EER2 is a constant 4%, while the difference for the efficient EER2 ranged from -7% to 12%. This resulted in an increase in electric demand savings for some measures and a decrease for others, leading to an overall increase in verified demand savings.</w:t>
      </w:r>
    </w:p>
    <w:p w14:paraId="51343147" w14:textId="77777777" w:rsidR="00BE25D3" w:rsidRDefault="00BE25D3" w:rsidP="00BE25D3">
      <w:pPr>
        <w:pStyle w:val="ListBullet"/>
      </w:pPr>
      <w:r w:rsidRPr="00B47E63">
        <w:rPr>
          <w:b/>
          <w:bCs/>
        </w:rPr>
        <w:t>Unitary ASHPs</w:t>
      </w:r>
      <w:r>
        <w:t xml:space="preserve"> (8% of ex ante energy savings and 7% of demand savings): The gross realization rates for Unitary ASHPs are 84% for electric energy and 171% for demand savings.</w:t>
      </w:r>
    </w:p>
    <w:p w14:paraId="5A53429D" w14:textId="360E41ED" w:rsidR="00BE25D3" w:rsidRDefault="00BE25D3" w:rsidP="00BE25D3">
      <w:pPr>
        <w:pStyle w:val="ListBullet2"/>
      </w:pPr>
      <w:r>
        <w:t xml:space="preserve">For all records, the implementation team applied the cooling capacity of the ASHP in place of the heating capacity in their calculation of the </w:t>
      </w:r>
      <w:r w:rsidRPr="001E4DF9">
        <w:rPr>
          <w:i/>
          <w:iCs/>
        </w:rPr>
        <w:t>Heating Load</w:t>
      </w:r>
      <w:r>
        <w:t xml:space="preserve"> term. The evaluation team aligned with the IL-TRM V12.0 algorithm, which multiplies the ASHP’s heating capacity with the annual heating season effective full load hours. This difference between the ex ante and verified savings calculations resulted in </w:t>
      </w:r>
      <w:r w:rsidR="006C435E">
        <w:t>decreased</w:t>
      </w:r>
      <w:r>
        <w:t xml:space="preserve"> verified electric energy savings. </w:t>
      </w:r>
    </w:p>
    <w:p w14:paraId="472F685C" w14:textId="3A1784E9" w:rsidR="00BE25D3" w:rsidRDefault="00BE25D3" w:rsidP="00BE25D3">
      <w:pPr>
        <w:pStyle w:val="ListBullet2"/>
      </w:pPr>
      <w:r>
        <w:t xml:space="preserve">For all records, the implementation team calculated baseline and efficient EER2 values from the corresponding SEER2 value. However, the evaluation team found a mistake in the formula, which flipped a subtraction operation to addition. This resulted in elevated baseline (20.1 EER2) and efficient (21.6 to 28.5 EER2) EER2 values. In addition, the IL-TRM V12.0 specifies a baseline EER2 of 9.4, which the evaluation team used in the verified savings calculations. If the SEER2-to-EER2 conversion formula used by the implementation team </w:t>
      </w:r>
      <w:r w:rsidR="0090588D">
        <w:t xml:space="preserve">had been </w:t>
      </w:r>
      <w:r>
        <w:t xml:space="preserve">applied correctly, the ex ante baseline EER2 assumption would have been 27% higher than the value specified in the IL-TRM. Additionally, it is unclear from the IL-TRM whether </w:t>
      </w:r>
      <w:r w:rsidR="0090588D">
        <w:t>applying</w:t>
      </w:r>
      <w:r>
        <w:t xml:space="preserve"> a calculated baseline EER2 is allowable over the assumption specified in the TRM. Overall, these discrepancies resulted in increase</w:t>
      </w:r>
      <w:r w:rsidR="006C435E">
        <w:t>d</w:t>
      </w:r>
      <w:r>
        <w:t xml:space="preserve"> verified electric demand savings. </w:t>
      </w:r>
    </w:p>
    <w:p w14:paraId="00C37DC6" w14:textId="56996FF8" w:rsidR="00BE25D3" w:rsidRDefault="00BE25D3" w:rsidP="00BE25D3">
      <w:pPr>
        <w:pStyle w:val="ListBullet"/>
      </w:pPr>
      <w:r w:rsidRPr="00B47E63">
        <w:rPr>
          <w:b/>
          <w:bCs/>
        </w:rPr>
        <w:t>Heat Pump Water Heaters</w:t>
      </w:r>
      <w:r>
        <w:t xml:space="preserve"> (6% of ex ante energy savings and 3% of demand savings): The gross realization rates for </w:t>
      </w:r>
      <w:r w:rsidR="0090588D">
        <w:t>HPWHs</w:t>
      </w:r>
      <w:r>
        <w:t xml:space="preserve"> are 110% for electric energy and 125% for demand savings.</w:t>
      </w:r>
    </w:p>
    <w:p w14:paraId="66BCBB11" w14:textId="68097C10" w:rsidR="00BE25D3" w:rsidRDefault="00BE25D3" w:rsidP="00BE25D3">
      <w:pPr>
        <w:pStyle w:val="ListBullet2"/>
      </w:pPr>
      <w:r>
        <w:t xml:space="preserve">The implementation team assumed that all installations occurred at sites where an ASHP is the primary HVAC system, resulting in the use of a </w:t>
      </w:r>
      <w:r w:rsidRPr="00663A5D">
        <w:rPr>
          <w:i/>
          <w:iCs/>
        </w:rPr>
        <w:t>COPheat</w:t>
      </w:r>
      <w:r>
        <w:t xml:space="preserve"> of 1.92 in the ex ante savings calculations. This assumption results in the calculation of negative electric heating impacts due to</w:t>
      </w:r>
      <w:r w:rsidR="00E4636D">
        <w:t xml:space="preserve"> the</w:t>
      </w:r>
      <w:r>
        <w:t xml:space="preserve"> HPWH's </w:t>
      </w:r>
      <w:r w:rsidR="0090588D">
        <w:t>cool air output</w:t>
      </w:r>
      <w:r>
        <w:t xml:space="preserve"> </w:t>
      </w:r>
      <w:r w:rsidR="0090588D">
        <w:t xml:space="preserve">in </w:t>
      </w:r>
      <w:r>
        <w:t xml:space="preserve">a conditioned space. </w:t>
      </w:r>
      <w:r w:rsidRPr="003702F1">
        <w:t>The evaluation team assumed that all installations occurred at businesses with a natural gas furnace as the primary heating system due to the prevalence of natural gas furnaces throughout the service territory.</w:t>
      </w:r>
      <w:r>
        <w:t xml:space="preserve"> This resulted in </w:t>
      </w:r>
      <w:r w:rsidR="0090588D">
        <w:t>replacing</w:t>
      </w:r>
      <w:r>
        <w:t xml:space="preserve"> an electric heating penalty with a gas heating penalty, increasing verified electric energy savings. </w:t>
      </w:r>
    </w:p>
    <w:p w14:paraId="71616679" w14:textId="77777777" w:rsidR="00BE25D3" w:rsidRDefault="00BE25D3" w:rsidP="00BE25D3">
      <w:pPr>
        <w:pStyle w:val="ListBullet2"/>
      </w:pPr>
      <w:r>
        <w:t xml:space="preserve">In 2023, the evaluation team identified an error in the implementation team’s ex ante electric energy savings calculation, which subtracted both the Waste Heat Cooling and Waste Heat Heating impacts from the total electric energy savings, while the IL-TRM algorithm only stated to subtract the Waste Heat Heating impacts and to add the Waste Heat Cooling impacts. In 2024, the ex ante calculation for electric energy savings appears to have been corrected to address this issue. However, the demand savings still appear to be calculated using electric energy savings that reflect the incorrect formula applied in 2023, resulting in increased verified electric demand savings for the channel. </w:t>
      </w:r>
    </w:p>
    <w:p w14:paraId="3415D644" w14:textId="6951A1B2" w:rsidR="00B47754" w:rsidRDefault="00B47754" w:rsidP="00526C94">
      <w:pPr>
        <w:pStyle w:val="Heading3"/>
        <w:tabs>
          <w:tab w:val="clear" w:pos="2160"/>
          <w:tab w:val="num" w:pos="1080"/>
        </w:tabs>
        <w:ind w:left="0"/>
      </w:pPr>
      <w:bookmarkStart w:id="329" w:name="_Toc191992453"/>
      <w:r>
        <w:lastRenderedPageBreak/>
        <w:t>Food Service Channel</w:t>
      </w:r>
      <w:bookmarkEnd w:id="329"/>
    </w:p>
    <w:p w14:paraId="31050A26" w14:textId="444CF66F" w:rsidR="001A45D4" w:rsidRPr="001A45D4" w:rsidRDefault="001A45D4" w:rsidP="00BC69D4">
      <w:pPr>
        <w:keepNext/>
        <w:keepLines/>
      </w:pPr>
      <w:r>
        <w:t xml:space="preserve">The following sections present the impact evaluation results for the 2024 Midstream Food Service channel. Additional details on the impact analysis methodology are provided in </w:t>
      </w:r>
      <w:r>
        <w:fldChar w:fldCharType="begin"/>
      </w:r>
      <w:r>
        <w:instrText xml:space="preserve"> REF _Ref187157397 \n \h </w:instrText>
      </w:r>
      <w:r>
        <w:fldChar w:fldCharType="separate"/>
      </w:r>
      <w:r w:rsidR="00AA10F4">
        <w:t>Appendix A</w:t>
      </w:r>
      <w:r>
        <w:fldChar w:fldCharType="end"/>
      </w:r>
      <w:r>
        <w:t>.</w:t>
      </w:r>
    </w:p>
    <w:p w14:paraId="44C9C1B9" w14:textId="78A40C28" w:rsidR="00B47754" w:rsidRDefault="00B47754" w:rsidP="00BC69D4">
      <w:pPr>
        <w:pStyle w:val="Heading4"/>
        <w:keepNext/>
        <w:keepLines/>
      </w:pPr>
      <w:r>
        <w:t>Channel Description</w:t>
      </w:r>
    </w:p>
    <w:p w14:paraId="14380681" w14:textId="48542502" w:rsidR="00E40A00" w:rsidRDefault="00E40A00" w:rsidP="00E40A00">
      <w:r>
        <w:t>The Midstream Food Service channel</w:t>
      </w:r>
      <w:r w:rsidR="00ED0D28">
        <w:t xml:space="preserve"> is a statewide offering that</w:t>
      </w:r>
      <w:r>
        <w:t xml:space="preserve"> provides incentives to participating food service equipment distributors to reduce the final sale price of equipment for </w:t>
      </w:r>
      <w:r w:rsidR="002C3C5A">
        <w:t>end customer</w:t>
      </w:r>
      <w:r>
        <w:t xml:space="preserve">s and to encourage distributors to promote higher </w:t>
      </w:r>
      <w:r w:rsidR="002055E0">
        <w:t>efficiency</w:t>
      </w:r>
      <w:r>
        <w:t xml:space="preserve"> equipment. By providing incentives to distributors, channel staff aim to increase the adoption of high</w:t>
      </w:r>
      <w:r w:rsidR="00655078">
        <w:t xml:space="preserve"> </w:t>
      </w:r>
      <w:r>
        <w:t xml:space="preserve">efficiency food service equipment without requiring customers to submit an incentive application. </w:t>
      </w:r>
      <w:r w:rsidR="002055E0">
        <w:t xml:space="preserve">Distributors are permitted to keep a portion of equipment incentives to support their internal </w:t>
      </w:r>
      <w:r w:rsidR="002055E0" w:rsidRPr="002055E0">
        <w:t>data tracking and incentive submission processes, as well as their marketing, education, and outreach</w:t>
      </w:r>
      <w:r w:rsidR="002055E0">
        <w:t xml:space="preserve"> efforts. The channel targets both national and local food service equipment suppliers to participate in the channel. The </w:t>
      </w:r>
      <w:r w:rsidR="00655078">
        <w:t>incentives are intended</w:t>
      </w:r>
      <w:r w:rsidR="002055E0">
        <w:t xml:space="preserve"> </w:t>
      </w:r>
      <w:r w:rsidR="00655078">
        <w:t xml:space="preserve">to be </w:t>
      </w:r>
      <w:r w:rsidR="002055E0">
        <w:t xml:space="preserve">passed through as </w:t>
      </w:r>
      <w:r w:rsidR="002055E0" w:rsidRPr="002055E0">
        <w:t xml:space="preserve">savings to the </w:t>
      </w:r>
      <w:r w:rsidR="002C3C5A">
        <w:t>end customer</w:t>
      </w:r>
      <w:r w:rsidR="002055E0" w:rsidRPr="002055E0">
        <w:t xml:space="preserve"> through a lower purchase price, either directly from the participating distributor</w:t>
      </w:r>
      <w:r w:rsidR="002055E0">
        <w:t xml:space="preserve"> or through a contractor. </w:t>
      </w:r>
    </w:p>
    <w:p w14:paraId="35114ABC" w14:textId="74882BBE" w:rsidR="002055E0" w:rsidRDefault="00DB28CA" w:rsidP="00E40A00">
      <w:r>
        <w:t>Frontier Energy implements the channel and is primarily responsible for setting incentive levels</w:t>
      </w:r>
      <w:r w:rsidR="002055E0">
        <w:t>, establish</w:t>
      </w:r>
      <w:r w:rsidR="00ED0D28">
        <w:t>ing</w:t>
      </w:r>
      <w:r w:rsidR="002055E0">
        <w:t xml:space="preserve"> eligibility criteria, and pay</w:t>
      </w:r>
      <w:r w:rsidR="00ED0D28">
        <w:t>ing</w:t>
      </w:r>
      <w:r w:rsidR="002055E0">
        <w:t xml:space="preserve"> out the incentives to distributors. They coordinate with Leidos to share transaction data to estimate savings and track AIC-specific channel activity. </w:t>
      </w:r>
    </w:p>
    <w:p w14:paraId="2F9FF6C5" w14:textId="77777777" w:rsidR="003F09CC" w:rsidRDefault="003F09CC" w:rsidP="003F09CC">
      <w:pPr>
        <w:pStyle w:val="Heading5"/>
      </w:pPr>
      <w:r>
        <w:t>Summary of Key Implementation Changes</w:t>
      </w:r>
    </w:p>
    <w:p w14:paraId="26CABF0E" w14:textId="53867567" w:rsidR="003F09CC" w:rsidRDefault="003F09CC" w:rsidP="003F09CC">
      <w:r>
        <w:t xml:space="preserve">Initiative staff instituted the following design and implementation changes to the Midstream </w:t>
      </w:r>
      <w:r w:rsidR="00CB479C">
        <w:t>Food Service</w:t>
      </w:r>
      <w:r>
        <w:t xml:space="preserve"> channel in 2024:</w:t>
      </w:r>
    </w:p>
    <w:p w14:paraId="7E15DF20" w14:textId="4D3401E3" w:rsidR="00431A11" w:rsidRDefault="00CB479C" w:rsidP="00431A11">
      <w:pPr>
        <w:pStyle w:val="ListBullet"/>
      </w:pPr>
      <w:r>
        <w:t>The trans</w:t>
      </w:r>
      <w:r w:rsidR="006F34B1">
        <w:t xml:space="preserve">action submittal process was </w:t>
      </w:r>
      <w:r w:rsidR="00431A11">
        <w:t xml:space="preserve">streamlined to enable customers to be paid faster. </w:t>
      </w:r>
    </w:p>
    <w:p w14:paraId="0108AC28" w14:textId="247DC86B" w:rsidR="003F09CC" w:rsidRDefault="006F34B1" w:rsidP="00431A11">
      <w:pPr>
        <w:pStyle w:val="ListBullet"/>
      </w:pPr>
      <w:r>
        <w:t>Implementation staff introduced a</w:t>
      </w:r>
      <w:r w:rsidR="00431A11">
        <w:t xml:space="preserve"> </w:t>
      </w:r>
      <w:r w:rsidR="003F09CC">
        <w:t>bonus program to</w:t>
      </w:r>
      <w:r w:rsidR="00431A11">
        <w:t xml:space="preserve"> </w:t>
      </w:r>
      <w:r w:rsidR="003F09CC">
        <w:t>incentivize distributors with outstanding</w:t>
      </w:r>
      <w:r>
        <w:t xml:space="preserve"> incentive</w:t>
      </w:r>
      <w:r w:rsidR="003F09CC">
        <w:t xml:space="preserve"> claims to</w:t>
      </w:r>
      <w:r w:rsidR="00431A11">
        <w:t xml:space="preserve"> </w:t>
      </w:r>
      <w:r w:rsidR="003F09CC">
        <w:t>submit them</w:t>
      </w:r>
      <w:r w:rsidR="009C55D9">
        <w:t xml:space="preserve"> </w:t>
      </w:r>
      <w:r w:rsidR="00257B2C">
        <w:t>more promptly</w:t>
      </w:r>
      <w:r w:rsidR="003F09CC">
        <w:t>.</w:t>
      </w:r>
    </w:p>
    <w:p w14:paraId="74FEFCF5" w14:textId="77777777" w:rsidR="00B47754" w:rsidRDefault="00B47754" w:rsidP="00B47754">
      <w:pPr>
        <w:pStyle w:val="Heading4"/>
      </w:pPr>
      <w:r>
        <w:t>Participation Summary</w:t>
      </w:r>
    </w:p>
    <w:p w14:paraId="30CB506B" w14:textId="0D637192" w:rsidR="00422FEF" w:rsidRPr="00422FEF" w:rsidRDefault="00422FEF" w:rsidP="00422FEF">
      <w:r>
        <w:fldChar w:fldCharType="begin"/>
      </w:r>
      <w:r>
        <w:instrText xml:space="preserve"> REF _Ref189054559 \h </w:instrText>
      </w:r>
      <w:r>
        <w:fldChar w:fldCharType="separate"/>
      </w:r>
      <w:r w:rsidR="00AA10F4">
        <w:t xml:space="preserve">Table </w:t>
      </w:r>
      <w:r w:rsidR="00AA10F4">
        <w:rPr>
          <w:noProof/>
        </w:rPr>
        <w:t>76</w:t>
      </w:r>
      <w:r>
        <w:fldChar w:fldCharType="end"/>
      </w:r>
      <w:r w:rsidRPr="00422FEF">
        <w:t xml:space="preserve"> presents a summary of participation in the Midstream </w:t>
      </w:r>
      <w:r>
        <w:t xml:space="preserve">Food Service </w:t>
      </w:r>
      <w:r w:rsidRPr="00422FEF">
        <w:t>Channel in 2024. We present these data separated by public and private sector</w:t>
      </w:r>
      <w:r w:rsidR="00404523">
        <w:t xml:space="preserve"> customer</w:t>
      </w:r>
      <w:r w:rsidRPr="00422FEF">
        <w:t xml:space="preserve">s to provide context as to the primary drivers of participation. AIC customers purchased </w:t>
      </w:r>
      <w:r w:rsidR="00F10DB2">
        <w:t>251</w:t>
      </w:r>
      <w:r w:rsidRPr="00422FEF">
        <w:t xml:space="preserve"> units of efficient </w:t>
      </w:r>
      <w:r>
        <w:t>food service</w:t>
      </w:r>
      <w:r w:rsidRPr="00422FEF">
        <w:t xml:space="preserve"> equipment through the channel, </w:t>
      </w:r>
      <w:r w:rsidR="00257B2C">
        <w:t>representing</w:t>
      </w:r>
      <w:r w:rsidRPr="00422FEF">
        <w:t xml:space="preserve"> an </w:t>
      </w:r>
      <w:r w:rsidR="00F934AA">
        <w:t>8</w:t>
      </w:r>
      <w:r w:rsidRPr="00422FEF">
        <w:t>% increase</w:t>
      </w:r>
      <w:r w:rsidR="00F10DB2">
        <w:t xml:space="preserve"> </w:t>
      </w:r>
      <w:r w:rsidRPr="00422FEF">
        <w:t>compared to</w:t>
      </w:r>
      <w:r w:rsidR="00F10DB2">
        <w:t xml:space="preserve"> 233 units in</w:t>
      </w:r>
      <w:r w:rsidRPr="00422FEF">
        <w:t xml:space="preserve"> 2023. </w:t>
      </w:r>
      <w:r w:rsidRPr="00F10DB2">
        <w:t xml:space="preserve">Solid and </w:t>
      </w:r>
      <w:r w:rsidR="00404523">
        <w:t>g</w:t>
      </w:r>
      <w:r w:rsidRPr="00F10DB2">
        <w:t xml:space="preserve">lass </w:t>
      </w:r>
      <w:r w:rsidR="00404523">
        <w:t>d</w:t>
      </w:r>
      <w:r w:rsidRPr="00F10DB2">
        <w:t xml:space="preserve">oor </w:t>
      </w:r>
      <w:r w:rsidR="00404523">
        <w:t>r</w:t>
      </w:r>
      <w:r w:rsidRPr="00F10DB2">
        <w:t xml:space="preserve">efrigerators &amp; </w:t>
      </w:r>
      <w:r w:rsidR="00404523">
        <w:t>f</w:t>
      </w:r>
      <w:r w:rsidRPr="00F10DB2">
        <w:t>reezers</w:t>
      </w:r>
      <w:r>
        <w:t xml:space="preserve"> </w:t>
      </w:r>
      <w:r w:rsidRPr="00422FEF">
        <w:t xml:space="preserve">dominated channel activity, accounting for </w:t>
      </w:r>
      <w:r w:rsidR="00F10DB2">
        <w:t>57</w:t>
      </w:r>
      <w:r w:rsidRPr="00422FEF">
        <w:t>% of all incentivized measures</w:t>
      </w:r>
      <w:r w:rsidR="00F934AA">
        <w:t xml:space="preserve"> in 2024</w:t>
      </w:r>
      <w:r w:rsidRPr="00422FEF">
        <w:t xml:space="preserve">. </w:t>
      </w:r>
    </w:p>
    <w:p w14:paraId="7A2C48E6" w14:textId="2C56FD77" w:rsidR="00422FEF" w:rsidRDefault="00422FEF" w:rsidP="00881B1B">
      <w:pPr>
        <w:pStyle w:val="Caption"/>
      </w:pPr>
      <w:bookmarkStart w:id="330" w:name="_Ref189054559"/>
      <w:bookmarkStart w:id="331" w:name="_Toc191992597"/>
      <w:bookmarkStart w:id="332" w:name="_Toc192767010"/>
      <w:r>
        <w:t xml:space="preserve">Table </w:t>
      </w:r>
      <w:r w:rsidR="009B4C9A">
        <w:fldChar w:fldCharType="begin"/>
      </w:r>
      <w:r w:rsidR="009B4C9A">
        <w:instrText xml:space="preserve"> SEQ Table \* ARABIC </w:instrText>
      </w:r>
      <w:r w:rsidR="009B4C9A">
        <w:fldChar w:fldCharType="separate"/>
      </w:r>
      <w:r w:rsidR="00AA10F4">
        <w:rPr>
          <w:noProof/>
        </w:rPr>
        <w:t>76</w:t>
      </w:r>
      <w:r w:rsidR="009B4C9A">
        <w:rPr>
          <w:noProof/>
        </w:rPr>
        <w:fldChar w:fldCharType="end"/>
      </w:r>
      <w:bookmarkEnd w:id="330"/>
      <w:r>
        <w:t xml:space="preserve">. </w:t>
      </w:r>
      <w:r w:rsidRPr="00935D2B">
        <w:t>2024 Midstream</w:t>
      </w:r>
      <w:r>
        <w:t xml:space="preserve"> Food Service</w:t>
      </w:r>
      <w:r w:rsidRPr="00935D2B">
        <w:t xml:space="preserve"> Channel Participation Summary by Measure</w:t>
      </w:r>
      <w:bookmarkEnd w:id="331"/>
      <w:bookmarkEnd w:id="332"/>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944"/>
        <w:gridCol w:w="1170"/>
        <w:gridCol w:w="1620"/>
        <w:gridCol w:w="1551"/>
        <w:gridCol w:w="1811"/>
      </w:tblGrid>
      <w:tr w:rsidR="00422FEF" w:rsidRPr="00422FEF" w14:paraId="459BF8A3"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2D8D485" w14:textId="77777777" w:rsidR="00422FEF" w:rsidRPr="00422FEF" w:rsidRDefault="00422FEF" w:rsidP="00562725">
            <w:pPr>
              <w:spacing w:before="10"/>
              <w:jc w:val="left"/>
              <w:rPr>
                <w:rFonts w:ascii="Franklin Gothic Medium" w:hAnsi="Franklin Gothic Medium"/>
                <w:color w:val="FFFFFF" w:themeColor="background1"/>
              </w:rPr>
            </w:pPr>
            <w:r w:rsidRPr="00422FEF">
              <w:rPr>
                <w:rFonts w:ascii="Franklin Gothic Medium" w:hAnsi="Franklin Gothic Medium"/>
                <w:color w:val="FFFFFF" w:themeColor="background1"/>
              </w:rPr>
              <w:t>Measure Category</w:t>
            </w:r>
          </w:p>
        </w:tc>
        <w:tc>
          <w:tcPr>
            <w:tcW w:w="527" w:type="pct"/>
            <w:tcBorders>
              <w:bottom w:val="none" w:sz="0" w:space="0" w:color="auto"/>
            </w:tcBorders>
          </w:tcPr>
          <w:p w14:paraId="535D95E8" w14:textId="77777777" w:rsidR="00422FEF" w:rsidRPr="00422FEF" w:rsidRDefault="00422FEF" w:rsidP="00422FEF">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422FEF">
              <w:rPr>
                <w:rFonts w:ascii="Franklin Gothic Medium" w:hAnsi="Franklin Gothic Medium"/>
                <w:color w:val="FFFFFF" w:themeColor="background1"/>
              </w:rPr>
              <w:t>Measure Quantity</w:t>
            </w:r>
          </w:p>
        </w:tc>
        <w:tc>
          <w:tcPr>
            <w:tcW w:w="730" w:type="pct"/>
            <w:tcBorders>
              <w:bottom w:val="none" w:sz="0" w:space="0" w:color="auto"/>
            </w:tcBorders>
          </w:tcPr>
          <w:p w14:paraId="484CC9D6" w14:textId="77777777" w:rsidR="00422FEF" w:rsidRPr="00422FEF" w:rsidRDefault="00422FEF" w:rsidP="00422FEF">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422FEF">
              <w:rPr>
                <w:rFonts w:ascii="Franklin Gothic Medium" w:hAnsi="Franklin Gothic Medium"/>
                <w:color w:val="FFFFFF" w:themeColor="background1"/>
              </w:rPr>
              <w:t>Ex Ante Gross MWh</w:t>
            </w:r>
          </w:p>
        </w:tc>
        <w:tc>
          <w:tcPr>
            <w:tcW w:w="699" w:type="pct"/>
            <w:tcBorders>
              <w:bottom w:val="none" w:sz="0" w:space="0" w:color="auto"/>
            </w:tcBorders>
          </w:tcPr>
          <w:p w14:paraId="44E7FE71" w14:textId="77777777" w:rsidR="00422FEF" w:rsidRPr="00422FEF" w:rsidRDefault="00422FEF" w:rsidP="00422FEF">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422FEF">
              <w:rPr>
                <w:rFonts w:ascii="Franklin Gothic Medium" w:hAnsi="Franklin Gothic Medium"/>
                <w:color w:val="FFFFFF" w:themeColor="background1"/>
              </w:rPr>
              <w:t>Ex Ante Gross MW</w:t>
            </w:r>
          </w:p>
        </w:tc>
        <w:tc>
          <w:tcPr>
            <w:tcW w:w="816" w:type="pct"/>
            <w:tcBorders>
              <w:bottom w:val="none" w:sz="0" w:space="0" w:color="auto"/>
            </w:tcBorders>
          </w:tcPr>
          <w:p w14:paraId="13191DE1" w14:textId="77777777" w:rsidR="00422FEF" w:rsidRPr="00422FEF" w:rsidRDefault="00422FEF" w:rsidP="00422FEF">
            <w:pPr>
              <w:spacing w:before="10"/>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rPr>
            </w:pPr>
            <w:r w:rsidRPr="00422FEF">
              <w:rPr>
                <w:rFonts w:ascii="Franklin Gothic Medium" w:hAnsi="Franklin Gothic Medium"/>
                <w:color w:val="FFFFFF" w:themeColor="background1"/>
              </w:rPr>
              <w:t>Ex Ante Gross Therms</w:t>
            </w:r>
          </w:p>
        </w:tc>
      </w:tr>
      <w:tr w:rsidR="00562725" w:rsidRPr="00422FEF" w14:paraId="28EF74A4"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B0F0"/>
          </w:tcPr>
          <w:p w14:paraId="52D74E9B" w14:textId="266F17A3" w:rsidR="00562725" w:rsidRPr="00422FEF" w:rsidRDefault="00562725" w:rsidP="00422FEF">
            <w:pPr>
              <w:rPr>
                <w:rFonts w:asciiTheme="majorHAnsi" w:hAnsiTheme="majorHAnsi"/>
                <w:color w:val="FFFFFF" w:themeColor="background1"/>
              </w:rPr>
            </w:pPr>
            <w:r w:rsidRPr="00422FEF">
              <w:rPr>
                <w:rFonts w:asciiTheme="majorHAnsi" w:hAnsiTheme="majorHAnsi"/>
                <w:color w:val="FFFFFF" w:themeColor="background1"/>
              </w:rPr>
              <w:t>Private Sector</w:t>
            </w:r>
            <w:r w:rsidRPr="00422FEF">
              <w:rPr>
                <w:rFonts w:asciiTheme="majorHAnsi" w:hAnsiTheme="majorHAnsi"/>
                <w:color w:val="FFFFFF" w:themeColor="background1"/>
                <w:vertAlign w:val="superscript"/>
              </w:rPr>
              <w:t>a</w:t>
            </w:r>
          </w:p>
        </w:tc>
      </w:tr>
      <w:tr w:rsidR="00242FC1" w:rsidRPr="00422FEF" w14:paraId="55FF7D73"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295308F" w14:textId="6C84514A" w:rsidR="00242FC1" w:rsidRDefault="00242FC1" w:rsidP="00562725">
            <w:r>
              <w:t>Fryers</w:t>
            </w:r>
          </w:p>
        </w:tc>
        <w:tc>
          <w:tcPr>
            <w:tcW w:w="527" w:type="pct"/>
            <w:tcBorders>
              <w:top w:val="none" w:sz="0" w:space="0" w:color="auto"/>
              <w:left w:val="none" w:sz="0" w:space="0" w:color="auto"/>
              <w:bottom w:val="none" w:sz="0" w:space="0" w:color="auto"/>
              <w:right w:val="none" w:sz="0" w:space="0" w:color="auto"/>
            </w:tcBorders>
          </w:tcPr>
          <w:p w14:paraId="4074D2C3" w14:textId="2B2F6AE9"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38</w:t>
            </w:r>
          </w:p>
        </w:tc>
        <w:tc>
          <w:tcPr>
            <w:tcW w:w="730" w:type="pct"/>
            <w:tcBorders>
              <w:top w:val="none" w:sz="0" w:space="0" w:color="auto"/>
              <w:left w:val="none" w:sz="0" w:space="0" w:color="auto"/>
              <w:bottom w:val="none" w:sz="0" w:space="0" w:color="auto"/>
              <w:right w:val="none" w:sz="0" w:space="0" w:color="auto"/>
            </w:tcBorders>
          </w:tcPr>
          <w:p w14:paraId="5CC6637F" w14:textId="55253D31"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149</w:t>
            </w:r>
          </w:p>
        </w:tc>
        <w:tc>
          <w:tcPr>
            <w:tcW w:w="699" w:type="pct"/>
            <w:tcBorders>
              <w:top w:val="none" w:sz="0" w:space="0" w:color="auto"/>
              <w:left w:val="none" w:sz="0" w:space="0" w:color="auto"/>
              <w:bottom w:val="none" w:sz="0" w:space="0" w:color="auto"/>
              <w:right w:val="none" w:sz="0" w:space="0" w:color="auto"/>
            </w:tcBorders>
          </w:tcPr>
          <w:p w14:paraId="41E3E51D" w14:textId="10A964C2"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0.01</w:t>
            </w:r>
          </w:p>
        </w:tc>
        <w:tc>
          <w:tcPr>
            <w:tcW w:w="816" w:type="pct"/>
            <w:tcBorders>
              <w:top w:val="none" w:sz="0" w:space="0" w:color="auto"/>
              <w:left w:val="none" w:sz="0" w:space="0" w:color="auto"/>
              <w:bottom w:val="none" w:sz="0" w:space="0" w:color="auto"/>
              <w:right w:val="none" w:sz="0" w:space="0" w:color="auto"/>
            </w:tcBorders>
          </w:tcPr>
          <w:p w14:paraId="5ED96B8A" w14:textId="1354A26D"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38,306</w:t>
            </w:r>
          </w:p>
        </w:tc>
      </w:tr>
      <w:tr w:rsidR="00242FC1" w:rsidRPr="00422FEF" w14:paraId="18B02203"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6115B68F" w14:textId="1D31EE0F" w:rsidR="00242FC1" w:rsidRDefault="00242FC1" w:rsidP="00562725">
            <w:r>
              <w:t>Dishwashers</w:t>
            </w:r>
          </w:p>
        </w:tc>
        <w:tc>
          <w:tcPr>
            <w:tcW w:w="527" w:type="pct"/>
            <w:tcBorders>
              <w:top w:val="none" w:sz="0" w:space="0" w:color="auto"/>
              <w:left w:val="none" w:sz="0" w:space="0" w:color="auto"/>
              <w:bottom w:val="none" w:sz="0" w:space="0" w:color="auto"/>
              <w:right w:val="none" w:sz="0" w:space="0" w:color="auto"/>
            </w:tcBorders>
          </w:tcPr>
          <w:p w14:paraId="190984BC" w14:textId="1F867D02"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9</w:t>
            </w:r>
          </w:p>
        </w:tc>
        <w:tc>
          <w:tcPr>
            <w:tcW w:w="730" w:type="pct"/>
            <w:tcBorders>
              <w:top w:val="none" w:sz="0" w:space="0" w:color="auto"/>
              <w:left w:val="none" w:sz="0" w:space="0" w:color="auto"/>
              <w:bottom w:val="none" w:sz="0" w:space="0" w:color="auto"/>
              <w:right w:val="none" w:sz="0" w:space="0" w:color="auto"/>
            </w:tcBorders>
          </w:tcPr>
          <w:p w14:paraId="1D35F2A5" w14:textId="05767B1D"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92</w:t>
            </w:r>
          </w:p>
        </w:tc>
        <w:tc>
          <w:tcPr>
            <w:tcW w:w="699" w:type="pct"/>
            <w:tcBorders>
              <w:top w:val="none" w:sz="0" w:space="0" w:color="auto"/>
              <w:left w:val="none" w:sz="0" w:space="0" w:color="auto"/>
              <w:bottom w:val="none" w:sz="0" w:space="0" w:color="auto"/>
              <w:right w:val="none" w:sz="0" w:space="0" w:color="auto"/>
            </w:tcBorders>
          </w:tcPr>
          <w:p w14:paraId="39AA6F52" w14:textId="2D5DC2A8"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0.01</w:t>
            </w:r>
          </w:p>
        </w:tc>
        <w:tc>
          <w:tcPr>
            <w:tcW w:w="816" w:type="pct"/>
            <w:tcBorders>
              <w:top w:val="none" w:sz="0" w:space="0" w:color="auto"/>
              <w:left w:val="none" w:sz="0" w:space="0" w:color="auto"/>
              <w:bottom w:val="none" w:sz="0" w:space="0" w:color="auto"/>
              <w:right w:val="none" w:sz="0" w:space="0" w:color="auto"/>
            </w:tcBorders>
          </w:tcPr>
          <w:p w14:paraId="5A7D6C49" w14:textId="01016693"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588</w:t>
            </w:r>
          </w:p>
        </w:tc>
      </w:tr>
      <w:tr w:rsidR="00242FC1" w:rsidRPr="00422FEF" w14:paraId="0E189497"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42007326" w14:textId="77C19081" w:rsidR="00242FC1" w:rsidRDefault="00242FC1" w:rsidP="00562725">
            <w:r>
              <w:t>Solid and Glass Door Refrigerators &amp; Freezers</w:t>
            </w:r>
          </w:p>
        </w:tc>
        <w:tc>
          <w:tcPr>
            <w:tcW w:w="527" w:type="pct"/>
            <w:tcBorders>
              <w:top w:val="none" w:sz="0" w:space="0" w:color="auto"/>
              <w:left w:val="none" w:sz="0" w:space="0" w:color="auto"/>
              <w:bottom w:val="none" w:sz="0" w:space="0" w:color="auto"/>
              <w:right w:val="none" w:sz="0" w:space="0" w:color="auto"/>
            </w:tcBorders>
          </w:tcPr>
          <w:p w14:paraId="264E5CD6" w14:textId="57D1A1C5"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119</w:t>
            </w:r>
          </w:p>
        </w:tc>
        <w:tc>
          <w:tcPr>
            <w:tcW w:w="730" w:type="pct"/>
            <w:tcBorders>
              <w:top w:val="none" w:sz="0" w:space="0" w:color="auto"/>
              <w:left w:val="none" w:sz="0" w:space="0" w:color="auto"/>
              <w:bottom w:val="none" w:sz="0" w:space="0" w:color="auto"/>
              <w:right w:val="none" w:sz="0" w:space="0" w:color="auto"/>
            </w:tcBorders>
          </w:tcPr>
          <w:p w14:paraId="274C4407" w14:textId="2037D49D"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75</w:t>
            </w:r>
          </w:p>
        </w:tc>
        <w:tc>
          <w:tcPr>
            <w:tcW w:w="699" w:type="pct"/>
            <w:tcBorders>
              <w:top w:val="none" w:sz="0" w:space="0" w:color="auto"/>
              <w:left w:val="none" w:sz="0" w:space="0" w:color="auto"/>
              <w:bottom w:val="none" w:sz="0" w:space="0" w:color="auto"/>
              <w:right w:val="none" w:sz="0" w:space="0" w:color="auto"/>
            </w:tcBorders>
          </w:tcPr>
          <w:p w14:paraId="33DA828E" w14:textId="18E460E8"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0.01</w:t>
            </w:r>
          </w:p>
        </w:tc>
        <w:tc>
          <w:tcPr>
            <w:tcW w:w="816" w:type="pct"/>
            <w:tcBorders>
              <w:top w:val="none" w:sz="0" w:space="0" w:color="auto"/>
              <w:left w:val="none" w:sz="0" w:space="0" w:color="auto"/>
              <w:bottom w:val="none" w:sz="0" w:space="0" w:color="auto"/>
              <w:right w:val="none" w:sz="0" w:space="0" w:color="auto"/>
            </w:tcBorders>
          </w:tcPr>
          <w:p w14:paraId="60CF5C66" w14:textId="0C665DE8"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242FC1" w:rsidRPr="00422FEF" w14:paraId="76C60190"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9ACA346" w14:textId="110B3021" w:rsidR="00242FC1" w:rsidRDefault="00242FC1" w:rsidP="00562725">
            <w:r>
              <w:t>Combination Ovens</w:t>
            </w:r>
          </w:p>
        </w:tc>
        <w:tc>
          <w:tcPr>
            <w:tcW w:w="527" w:type="pct"/>
            <w:tcBorders>
              <w:top w:val="none" w:sz="0" w:space="0" w:color="auto"/>
              <w:left w:val="none" w:sz="0" w:space="0" w:color="auto"/>
              <w:bottom w:val="none" w:sz="0" w:space="0" w:color="auto"/>
              <w:right w:val="none" w:sz="0" w:space="0" w:color="auto"/>
            </w:tcBorders>
          </w:tcPr>
          <w:p w14:paraId="4F009EFB" w14:textId="75420C78"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t>7</w:t>
            </w:r>
          </w:p>
        </w:tc>
        <w:tc>
          <w:tcPr>
            <w:tcW w:w="730" w:type="pct"/>
            <w:tcBorders>
              <w:top w:val="none" w:sz="0" w:space="0" w:color="auto"/>
              <w:left w:val="none" w:sz="0" w:space="0" w:color="auto"/>
              <w:bottom w:val="none" w:sz="0" w:space="0" w:color="auto"/>
              <w:right w:val="none" w:sz="0" w:space="0" w:color="auto"/>
            </w:tcBorders>
          </w:tcPr>
          <w:p w14:paraId="65DFD8E6" w14:textId="01E5576D"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60</w:t>
            </w:r>
          </w:p>
        </w:tc>
        <w:tc>
          <w:tcPr>
            <w:tcW w:w="699" w:type="pct"/>
            <w:tcBorders>
              <w:top w:val="none" w:sz="0" w:space="0" w:color="auto"/>
              <w:left w:val="none" w:sz="0" w:space="0" w:color="auto"/>
              <w:bottom w:val="none" w:sz="0" w:space="0" w:color="auto"/>
              <w:right w:val="none" w:sz="0" w:space="0" w:color="auto"/>
            </w:tcBorders>
          </w:tcPr>
          <w:p w14:paraId="5790E7F7" w14:textId="56579F94"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0.03</w:t>
            </w:r>
          </w:p>
        </w:tc>
        <w:tc>
          <w:tcPr>
            <w:tcW w:w="816" w:type="pct"/>
            <w:tcBorders>
              <w:top w:val="none" w:sz="0" w:space="0" w:color="auto"/>
              <w:left w:val="none" w:sz="0" w:space="0" w:color="auto"/>
              <w:bottom w:val="none" w:sz="0" w:space="0" w:color="auto"/>
              <w:right w:val="none" w:sz="0" w:space="0" w:color="auto"/>
            </w:tcBorders>
          </w:tcPr>
          <w:p w14:paraId="6D1FC499" w14:textId="7A91C655"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0</w:t>
            </w:r>
          </w:p>
        </w:tc>
      </w:tr>
      <w:tr w:rsidR="00242FC1" w:rsidRPr="00422FEF" w14:paraId="5E237EB8"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7803D5FA" w14:textId="65D865BD" w:rsidR="00242FC1" w:rsidRDefault="00242FC1" w:rsidP="00562725">
            <w:r>
              <w:t>Steam Cookers</w:t>
            </w:r>
          </w:p>
        </w:tc>
        <w:tc>
          <w:tcPr>
            <w:tcW w:w="527" w:type="pct"/>
            <w:tcBorders>
              <w:top w:val="none" w:sz="0" w:space="0" w:color="auto"/>
              <w:left w:val="none" w:sz="0" w:space="0" w:color="auto"/>
              <w:bottom w:val="none" w:sz="0" w:space="0" w:color="auto"/>
              <w:right w:val="none" w:sz="0" w:space="0" w:color="auto"/>
            </w:tcBorders>
          </w:tcPr>
          <w:p w14:paraId="4634E25D" w14:textId="39C3F3D4"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3</w:t>
            </w:r>
          </w:p>
        </w:tc>
        <w:tc>
          <w:tcPr>
            <w:tcW w:w="730" w:type="pct"/>
            <w:tcBorders>
              <w:top w:val="none" w:sz="0" w:space="0" w:color="auto"/>
              <w:left w:val="none" w:sz="0" w:space="0" w:color="auto"/>
              <w:bottom w:val="none" w:sz="0" w:space="0" w:color="auto"/>
              <w:right w:val="none" w:sz="0" w:space="0" w:color="auto"/>
            </w:tcBorders>
          </w:tcPr>
          <w:p w14:paraId="75DCDE14" w14:textId="2D6DE2A2"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31</w:t>
            </w:r>
          </w:p>
        </w:tc>
        <w:tc>
          <w:tcPr>
            <w:tcW w:w="699" w:type="pct"/>
            <w:tcBorders>
              <w:top w:val="none" w:sz="0" w:space="0" w:color="auto"/>
              <w:left w:val="none" w:sz="0" w:space="0" w:color="auto"/>
              <w:bottom w:val="none" w:sz="0" w:space="0" w:color="auto"/>
              <w:right w:val="none" w:sz="0" w:space="0" w:color="auto"/>
            </w:tcBorders>
          </w:tcPr>
          <w:p w14:paraId="35408C5E" w14:textId="6B9C39CA"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0.01</w:t>
            </w:r>
          </w:p>
        </w:tc>
        <w:tc>
          <w:tcPr>
            <w:tcW w:w="816" w:type="pct"/>
            <w:tcBorders>
              <w:top w:val="none" w:sz="0" w:space="0" w:color="auto"/>
              <w:left w:val="none" w:sz="0" w:space="0" w:color="auto"/>
              <w:bottom w:val="none" w:sz="0" w:space="0" w:color="auto"/>
              <w:right w:val="none" w:sz="0" w:space="0" w:color="auto"/>
            </w:tcBorders>
          </w:tcPr>
          <w:p w14:paraId="0855C998" w14:textId="6361EB86"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t>3,491</w:t>
            </w:r>
          </w:p>
        </w:tc>
      </w:tr>
      <w:tr w:rsidR="00242FC1" w:rsidRPr="00422FEF" w14:paraId="6F150B3C" w14:textId="77777777" w:rsidTr="00562725">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4CE82DD5" w14:textId="26B389D4" w:rsidR="00242FC1" w:rsidRPr="00422FEF" w:rsidRDefault="00242FC1" w:rsidP="00562725">
            <w:r>
              <w:t>Broilers</w:t>
            </w:r>
          </w:p>
        </w:tc>
        <w:tc>
          <w:tcPr>
            <w:tcW w:w="527" w:type="pct"/>
            <w:tcBorders>
              <w:top w:val="none" w:sz="0" w:space="0" w:color="auto"/>
              <w:left w:val="none" w:sz="0" w:space="0" w:color="auto"/>
              <w:bottom w:val="none" w:sz="0" w:space="0" w:color="auto"/>
              <w:right w:val="none" w:sz="0" w:space="0" w:color="auto"/>
            </w:tcBorders>
          </w:tcPr>
          <w:p w14:paraId="023321F8" w14:textId="035F4CD3"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2</w:t>
            </w:r>
          </w:p>
        </w:tc>
        <w:tc>
          <w:tcPr>
            <w:tcW w:w="730" w:type="pct"/>
            <w:tcBorders>
              <w:top w:val="none" w:sz="0" w:space="0" w:color="auto"/>
              <w:left w:val="none" w:sz="0" w:space="0" w:color="auto"/>
              <w:bottom w:val="none" w:sz="0" w:space="0" w:color="auto"/>
              <w:right w:val="none" w:sz="0" w:space="0" w:color="auto"/>
            </w:tcBorders>
          </w:tcPr>
          <w:p w14:paraId="7EAAD58C" w14:textId="139DD3E0"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pPr>
            <w:r>
              <w:t>24</w:t>
            </w:r>
          </w:p>
        </w:tc>
        <w:tc>
          <w:tcPr>
            <w:tcW w:w="699" w:type="pct"/>
            <w:tcBorders>
              <w:top w:val="none" w:sz="0" w:space="0" w:color="auto"/>
              <w:left w:val="none" w:sz="0" w:space="0" w:color="auto"/>
              <w:bottom w:val="none" w:sz="0" w:space="0" w:color="auto"/>
              <w:right w:val="none" w:sz="0" w:space="0" w:color="auto"/>
            </w:tcBorders>
          </w:tcPr>
          <w:p w14:paraId="7ACF4D60" w14:textId="1C51DC51"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pPr>
            <w:r>
              <w:t>0.01</w:t>
            </w:r>
          </w:p>
        </w:tc>
        <w:tc>
          <w:tcPr>
            <w:tcW w:w="816" w:type="pct"/>
            <w:tcBorders>
              <w:top w:val="none" w:sz="0" w:space="0" w:color="auto"/>
              <w:left w:val="none" w:sz="0" w:space="0" w:color="auto"/>
              <w:bottom w:val="none" w:sz="0" w:space="0" w:color="auto"/>
              <w:right w:val="none" w:sz="0" w:space="0" w:color="auto"/>
            </w:tcBorders>
          </w:tcPr>
          <w:p w14:paraId="7DD853D5" w14:textId="02B50AE4"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pPr>
            <w:r>
              <w:t>3,348</w:t>
            </w:r>
          </w:p>
        </w:tc>
      </w:tr>
      <w:tr w:rsidR="00242FC1" w:rsidRPr="00422FEF" w14:paraId="6F5EF14C"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7CEBCD9" w14:textId="16D1C9F4" w:rsidR="00242FC1" w:rsidRDefault="00242FC1" w:rsidP="00562725">
            <w:r>
              <w:lastRenderedPageBreak/>
              <w:t>Griddles</w:t>
            </w:r>
          </w:p>
        </w:tc>
        <w:tc>
          <w:tcPr>
            <w:tcW w:w="527" w:type="pct"/>
            <w:tcBorders>
              <w:top w:val="none" w:sz="0" w:space="0" w:color="auto"/>
              <w:left w:val="none" w:sz="0" w:space="0" w:color="auto"/>
              <w:bottom w:val="none" w:sz="0" w:space="0" w:color="auto"/>
              <w:right w:val="none" w:sz="0" w:space="0" w:color="auto"/>
            </w:tcBorders>
          </w:tcPr>
          <w:p w14:paraId="312FA6DA" w14:textId="093D5CC0"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5</w:t>
            </w:r>
          </w:p>
        </w:tc>
        <w:tc>
          <w:tcPr>
            <w:tcW w:w="730" w:type="pct"/>
            <w:tcBorders>
              <w:top w:val="none" w:sz="0" w:space="0" w:color="auto"/>
              <w:left w:val="none" w:sz="0" w:space="0" w:color="auto"/>
              <w:bottom w:val="none" w:sz="0" w:space="0" w:color="auto"/>
              <w:right w:val="none" w:sz="0" w:space="0" w:color="auto"/>
            </w:tcBorders>
          </w:tcPr>
          <w:p w14:paraId="0C20C0C1" w14:textId="121BF3B1"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20</w:t>
            </w:r>
          </w:p>
        </w:tc>
        <w:tc>
          <w:tcPr>
            <w:tcW w:w="699" w:type="pct"/>
            <w:tcBorders>
              <w:top w:val="none" w:sz="0" w:space="0" w:color="auto"/>
              <w:left w:val="none" w:sz="0" w:space="0" w:color="auto"/>
              <w:bottom w:val="none" w:sz="0" w:space="0" w:color="auto"/>
              <w:right w:val="none" w:sz="0" w:space="0" w:color="auto"/>
            </w:tcBorders>
          </w:tcPr>
          <w:p w14:paraId="5F8F717F" w14:textId="55607AC8"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&lt;0.01</w:t>
            </w:r>
          </w:p>
        </w:tc>
        <w:tc>
          <w:tcPr>
            <w:tcW w:w="816" w:type="pct"/>
            <w:tcBorders>
              <w:top w:val="none" w:sz="0" w:space="0" w:color="auto"/>
              <w:left w:val="none" w:sz="0" w:space="0" w:color="auto"/>
              <w:bottom w:val="none" w:sz="0" w:space="0" w:color="auto"/>
              <w:right w:val="none" w:sz="0" w:space="0" w:color="auto"/>
            </w:tcBorders>
          </w:tcPr>
          <w:p w14:paraId="1D01F69F" w14:textId="71532E4F"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609</w:t>
            </w:r>
          </w:p>
        </w:tc>
      </w:tr>
      <w:tr w:rsidR="00242FC1" w:rsidRPr="00422FEF" w14:paraId="19C4190A"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7F0A8357" w14:textId="0B795F49" w:rsidR="00242FC1" w:rsidRDefault="00242FC1" w:rsidP="00562725">
            <w:r>
              <w:t>Convection Ovens</w:t>
            </w:r>
          </w:p>
        </w:tc>
        <w:tc>
          <w:tcPr>
            <w:tcW w:w="527" w:type="pct"/>
            <w:tcBorders>
              <w:top w:val="none" w:sz="0" w:space="0" w:color="auto"/>
              <w:left w:val="none" w:sz="0" w:space="0" w:color="auto"/>
              <w:bottom w:val="none" w:sz="0" w:space="0" w:color="auto"/>
              <w:right w:val="none" w:sz="0" w:space="0" w:color="auto"/>
            </w:tcBorders>
          </w:tcPr>
          <w:p w14:paraId="515DA959" w14:textId="4A4929C4"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9</w:t>
            </w:r>
          </w:p>
        </w:tc>
        <w:tc>
          <w:tcPr>
            <w:tcW w:w="730" w:type="pct"/>
            <w:tcBorders>
              <w:top w:val="none" w:sz="0" w:space="0" w:color="auto"/>
              <w:left w:val="none" w:sz="0" w:space="0" w:color="auto"/>
              <w:bottom w:val="none" w:sz="0" w:space="0" w:color="auto"/>
              <w:right w:val="none" w:sz="0" w:space="0" w:color="auto"/>
            </w:tcBorders>
          </w:tcPr>
          <w:p w14:paraId="1136A835" w14:textId="73D43185"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17</w:t>
            </w:r>
          </w:p>
        </w:tc>
        <w:tc>
          <w:tcPr>
            <w:tcW w:w="699" w:type="pct"/>
            <w:tcBorders>
              <w:top w:val="none" w:sz="0" w:space="0" w:color="auto"/>
              <w:left w:val="none" w:sz="0" w:space="0" w:color="auto"/>
              <w:bottom w:val="none" w:sz="0" w:space="0" w:color="auto"/>
              <w:right w:val="none" w:sz="0" w:space="0" w:color="auto"/>
            </w:tcBorders>
          </w:tcPr>
          <w:p w14:paraId="78DFA9CE" w14:textId="37C9A4BD"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&lt;0.01</w:t>
            </w:r>
          </w:p>
        </w:tc>
        <w:tc>
          <w:tcPr>
            <w:tcW w:w="816" w:type="pct"/>
            <w:tcBorders>
              <w:top w:val="none" w:sz="0" w:space="0" w:color="auto"/>
              <w:left w:val="none" w:sz="0" w:space="0" w:color="auto"/>
              <w:bottom w:val="none" w:sz="0" w:space="0" w:color="auto"/>
              <w:right w:val="none" w:sz="0" w:space="0" w:color="auto"/>
            </w:tcBorders>
          </w:tcPr>
          <w:p w14:paraId="378238A6" w14:textId="0246CE3D"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383</w:t>
            </w:r>
          </w:p>
        </w:tc>
      </w:tr>
      <w:tr w:rsidR="00242FC1" w:rsidRPr="00422FEF" w14:paraId="12AAA0D9"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2638D1F0" w14:textId="5DA91981" w:rsidR="00242FC1" w:rsidRDefault="00242FC1" w:rsidP="00562725">
            <w:r>
              <w:t>Ice Makers</w:t>
            </w:r>
          </w:p>
        </w:tc>
        <w:tc>
          <w:tcPr>
            <w:tcW w:w="527" w:type="pct"/>
            <w:tcBorders>
              <w:top w:val="none" w:sz="0" w:space="0" w:color="auto"/>
              <w:left w:val="none" w:sz="0" w:space="0" w:color="auto"/>
              <w:bottom w:val="none" w:sz="0" w:space="0" w:color="auto"/>
              <w:right w:val="none" w:sz="0" w:space="0" w:color="auto"/>
            </w:tcBorders>
          </w:tcPr>
          <w:p w14:paraId="6CDAB8DB" w14:textId="4C7D9B43"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17</w:t>
            </w:r>
          </w:p>
        </w:tc>
        <w:tc>
          <w:tcPr>
            <w:tcW w:w="730" w:type="pct"/>
            <w:tcBorders>
              <w:top w:val="none" w:sz="0" w:space="0" w:color="auto"/>
              <w:left w:val="none" w:sz="0" w:space="0" w:color="auto"/>
              <w:bottom w:val="none" w:sz="0" w:space="0" w:color="auto"/>
              <w:right w:val="none" w:sz="0" w:space="0" w:color="auto"/>
            </w:tcBorders>
          </w:tcPr>
          <w:p w14:paraId="1DF28D24" w14:textId="5193B6AB"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16</w:t>
            </w:r>
          </w:p>
        </w:tc>
        <w:tc>
          <w:tcPr>
            <w:tcW w:w="699" w:type="pct"/>
            <w:tcBorders>
              <w:top w:val="none" w:sz="0" w:space="0" w:color="auto"/>
              <w:left w:val="none" w:sz="0" w:space="0" w:color="auto"/>
              <w:bottom w:val="none" w:sz="0" w:space="0" w:color="auto"/>
              <w:right w:val="none" w:sz="0" w:space="0" w:color="auto"/>
            </w:tcBorders>
          </w:tcPr>
          <w:p w14:paraId="7D1D60FC" w14:textId="1F247CDF"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&lt;0.01</w:t>
            </w:r>
          </w:p>
        </w:tc>
        <w:tc>
          <w:tcPr>
            <w:tcW w:w="816" w:type="pct"/>
            <w:tcBorders>
              <w:top w:val="none" w:sz="0" w:space="0" w:color="auto"/>
              <w:left w:val="none" w:sz="0" w:space="0" w:color="auto"/>
              <w:bottom w:val="none" w:sz="0" w:space="0" w:color="auto"/>
              <w:right w:val="none" w:sz="0" w:space="0" w:color="auto"/>
            </w:tcBorders>
          </w:tcPr>
          <w:p w14:paraId="6B1EAB9D" w14:textId="4DA67B7A"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242FC1" w:rsidRPr="00422FEF" w14:paraId="3D9F85F7"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116471B9" w14:textId="6CA6C65E" w:rsidR="00242FC1" w:rsidRDefault="00242FC1" w:rsidP="00562725">
            <w:r>
              <w:t>Conveyor Ovens</w:t>
            </w:r>
          </w:p>
        </w:tc>
        <w:tc>
          <w:tcPr>
            <w:tcW w:w="527" w:type="pct"/>
            <w:tcBorders>
              <w:top w:val="none" w:sz="0" w:space="0" w:color="auto"/>
              <w:left w:val="none" w:sz="0" w:space="0" w:color="auto"/>
              <w:bottom w:val="none" w:sz="0" w:space="0" w:color="auto"/>
              <w:right w:val="none" w:sz="0" w:space="0" w:color="auto"/>
            </w:tcBorders>
          </w:tcPr>
          <w:p w14:paraId="556B8452" w14:textId="551503C0"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t>2</w:t>
            </w:r>
          </w:p>
        </w:tc>
        <w:tc>
          <w:tcPr>
            <w:tcW w:w="730" w:type="pct"/>
            <w:tcBorders>
              <w:top w:val="none" w:sz="0" w:space="0" w:color="auto"/>
              <w:left w:val="none" w:sz="0" w:space="0" w:color="auto"/>
              <w:bottom w:val="none" w:sz="0" w:space="0" w:color="auto"/>
              <w:right w:val="none" w:sz="0" w:space="0" w:color="auto"/>
            </w:tcBorders>
          </w:tcPr>
          <w:p w14:paraId="18C02DE2" w14:textId="223DC37B"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0</w:t>
            </w:r>
          </w:p>
        </w:tc>
        <w:tc>
          <w:tcPr>
            <w:tcW w:w="699" w:type="pct"/>
            <w:tcBorders>
              <w:top w:val="none" w:sz="0" w:space="0" w:color="auto"/>
              <w:left w:val="none" w:sz="0" w:space="0" w:color="auto"/>
              <w:bottom w:val="none" w:sz="0" w:space="0" w:color="auto"/>
              <w:right w:val="none" w:sz="0" w:space="0" w:color="auto"/>
            </w:tcBorders>
          </w:tcPr>
          <w:p w14:paraId="1FAD06C1" w14:textId="3680FA49"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0.00</w:t>
            </w:r>
          </w:p>
        </w:tc>
        <w:tc>
          <w:tcPr>
            <w:tcW w:w="816" w:type="pct"/>
            <w:tcBorders>
              <w:top w:val="none" w:sz="0" w:space="0" w:color="auto"/>
              <w:left w:val="none" w:sz="0" w:space="0" w:color="auto"/>
              <w:bottom w:val="none" w:sz="0" w:space="0" w:color="auto"/>
              <w:right w:val="none" w:sz="0" w:space="0" w:color="auto"/>
            </w:tcBorders>
          </w:tcPr>
          <w:p w14:paraId="4BE8D0CF" w14:textId="0D0E89A1"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t>3,893</w:t>
            </w:r>
          </w:p>
        </w:tc>
      </w:tr>
      <w:tr w:rsidR="00242FC1" w:rsidRPr="00422FEF" w14:paraId="447F660B"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3C11AC4B" w14:textId="77777777" w:rsidR="00242FC1" w:rsidRPr="00422FEF" w:rsidRDefault="00242FC1" w:rsidP="00562725">
            <w:pPr>
              <w:rPr>
                <w:i/>
                <w:iCs/>
              </w:rPr>
            </w:pPr>
            <w:r w:rsidRPr="00422FEF">
              <w:rPr>
                <w:i/>
                <w:iCs/>
              </w:rPr>
              <w:t>Private Sector Subtotal</w:t>
            </w:r>
          </w:p>
        </w:tc>
        <w:tc>
          <w:tcPr>
            <w:tcW w:w="527" w:type="pct"/>
            <w:tcBorders>
              <w:top w:val="none" w:sz="0" w:space="0" w:color="auto"/>
              <w:left w:val="none" w:sz="0" w:space="0" w:color="auto"/>
              <w:bottom w:val="none" w:sz="0" w:space="0" w:color="auto"/>
              <w:right w:val="none" w:sz="0" w:space="0" w:color="auto"/>
            </w:tcBorders>
          </w:tcPr>
          <w:p w14:paraId="0D0B8E4B" w14:textId="4B9C115B"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211</w:t>
            </w:r>
          </w:p>
        </w:tc>
        <w:tc>
          <w:tcPr>
            <w:tcW w:w="730" w:type="pct"/>
            <w:tcBorders>
              <w:top w:val="none" w:sz="0" w:space="0" w:color="auto"/>
              <w:left w:val="none" w:sz="0" w:space="0" w:color="auto"/>
              <w:bottom w:val="none" w:sz="0" w:space="0" w:color="auto"/>
              <w:right w:val="none" w:sz="0" w:space="0" w:color="auto"/>
            </w:tcBorders>
          </w:tcPr>
          <w:p w14:paraId="0F5E8CF2" w14:textId="3480DCF5"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485</w:t>
            </w:r>
          </w:p>
        </w:tc>
        <w:tc>
          <w:tcPr>
            <w:tcW w:w="699" w:type="pct"/>
            <w:tcBorders>
              <w:top w:val="none" w:sz="0" w:space="0" w:color="auto"/>
              <w:left w:val="none" w:sz="0" w:space="0" w:color="auto"/>
              <w:bottom w:val="none" w:sz="0" w:space="0" w:color="auto"/>
              <w:right w:val="none" w:sz="0" w:space="0" w:color="auto"/>
            </w:tcBorders>
          </w:tcPr>
          <w:p w14:paraId="3951CE25" w14:textId="45259AF8"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0.08</w:t>
            </w:r>
          </w:p>
        </w:tc>
        <w:tc>
          <w:tcPr>
            <w:tcW w:w="816" w:type="pct"/>
            <w:tcBorders>
              <w:top w:val="none" w:sz="0" w:space="0" w:color="auto"/>
              <w:left w:val="none" w:sz="0" w:space="0" w:color="auto"/>
              <w:bottom w:val="none" w:sz="0" w:space="0" w:color="auto"/>
              <w:right w:val="none" w:sz="0" w:space="0" w:color="auto"/>
            </w:tcBorders>
          </w:tcPr>
          <w:p w14:paraId="125E3E0E" w14:textId="5542F5B1"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Pr>
                <w:i/>
                <w:iCs/>
              </w:rPr>
              <w:t>50,617</w:t>
            </w:r>
          </w:p>
        </w:tc>
      </w:tr>
      <w:tr w:rsidR="00562725" w:rsidRPr="00422FEF" w14:paraId="4B5BCD22"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B0F0"/>
          </w:tcPr>
          <w:p w14:paraId="06B43B83" w14:textId="1F03AEC4" w:rsidR="00562725" w:rsidRPr="00422FEF" w:rsidRDefault="00562725" w:rsidP="00242FC1">
            <w:pPr>
              <w:rPr>
                <w:rFonts w:asciiTheme="majorHAnsi" w:hAnsiTheme="majorHAnsi"/>
                <w:color w:val="FFFFFF" w:themeColor="background1"/>
              </w:rPr>
            </w:pPr>
            <w:r w:rsidRPr="00422FEF">
              <w:rPr>
                <w:rFonts w:asciiTheme="majorHAnsi" w:hAnsiTheme="majorHAnsi"/>
                <w:color w:val="FFFFFF" w:themeColor="background1"/>
              </w:rPr>
              <w:t xml:space="preserve">Public Sector </w:t>
            </w:r>
          </w:p>
        </w:tc>
      </w:tr>
      <w:tr w:rsidR="00242FC1" w:rsidRPr="00422FEF" w14:paraId="7BCB5914"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773F798" w14:textId="6EB8204B" w:rsidR="00242FC1" w:rsidRPr="00422FEF" w:rsidRDefault="00242FC1" w:rsidP="00562725">
            <w:r>
              <w:t>Dishwashers</w:t>
            </w:r>
          </w:p>
        </w:tc>
        <w:tc>
          <w:tcPr>
            <w:tcW w:w="527" w:type="pct"/>
            <w:tcBorders>
              <w:top w:val="none" w:sz="0" w:space="0" w:color="auto"/>
              <w:left w:val="none" w:sz="0" w:space="0" w:color="auto"/>
              <w:bottom w:val="none" w:sz="0" w:space="0" w:color="auto"/>
              <w:right w:val="none" w:sz="0" w:space="0" w:color="auto"/>
            </w:tcBorders>
          </w:tcPr>
          <w:p w14:paraId="06EE303B" w14:textId="19D52AD3"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4</w:t>
            </w:r>
          </w:p>
        </w:tc>
        <w:tc>
          <w:tcPr>
            <w:tcW w:w="730" w:type="pct"/>
            <w:tcBorders>
              <w:top w:val="none" w:sz="0" w:space="0" w:color="auto"/>
              <w:left w:val="none" w:sz="0" w:space="0" w:color="auto"/>
              <w:bottom w:val="none" w:sz="0" w:space="0" w:color="auto"/>
              <w:right w:val="none" w:sz="0" w:space="0" w:color="auto"/>
            </w:tcBorders>
          </w:tcPr>
          <w:p w14:paraId="7ABCE8C6" w14:textId="22164D9F" w:rsidR="00242FC1" w:rsidRPr="00716C4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716C4C">
              <w:t>61</w:t>
            </w:r>
          </w:p>
        </w:tc>
        <w:tc>
          <w:tcPr>
            <w:tcW w:w="699" w:type="pct"/>
            <w:tcBorders>
              <w:top w:val="none" w:sz="0" w:space="0" w:color="auto"/>
              <w:left w:val="none" w:sz="0" w:space="0" w:color="auto"/>
              <w:bottom w:val="none" w:sz="0" w:space="0" w:color="auto"/>
              <w:right w:val="none" w:sz="0" w:space="0" w:color="auto"/>
            </w:tcBorders>
          </w:tcPr>
          <w:p w14:paraId="3C3AED9D" w14:textId="55D72757" w:rsidR="00242FC1" w:rsidRPr="003C3D4A"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D252FE">
              <w:t>&lt;0.01</w:t>
            </w:r>
          </w:p>
        </w:tc>
        <w:tc>
          <w:tcPr>
            <w:tcW w:w="816" w:type="pct"/>
            <w:tcBorders>
              <w:top w:val="none" w:sz="0" w:space="0" w:color="auto"/>
              <w:left w:val="none" w:sz="0" w:space="0" w:color="auto"/>
              <w:bottom w:val="none" w:sz="0" w:space="0" w:color="auto"/>
              <w:right w:val="none" w:sz="0" w:space="0" w:color="auto"/>
            </w:tcBorders>
          </w:tcPr>
          <w:p w14:paraId="3BBA7946" w14:textId="4CBD4971" w:rsidR="00242FC1" w:rsidRPr="00F10DB2" w:rsidRDefault="00242FC1" w:rsidP="00562725">
            <w:pPr>
              <w:jc w:val="right"/>
              <w:cnfStyle w:val="000000010000" w:firstRow="0" w:lastRow="0" w:firstColumn="0" w:lastColumn="0" w:oddVBand="0" w:evenVBand="0" w:oddHBand="0" w:evenHBand="1" w:firstRowFirstColumn="0" w:firstRowLastColumn="0" w:lastRowFirstColumn="0" w:lastRowLastColumn="0"/>
            </w:pPr>
            <w:r>
              <w:t>0</w:t>
            </w:r>
          </w:p>
        </w:tc>
      </w:tr>
      <w:tr w:rsidR="00242FC1" w:rsidRPr="00422FEF" w14:paraId="49FBBCEA"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43254EA0" w14:textId="23FC118F" w:rsidR="00242FC1" w:rsidRPr="00422FEF" w:rsidRDefault="00242FC1" w:rsidP="00562725">
            <w:r>
              <w:t>Solid and Glass Door Refrigerators &amp; Freezers</w:t>
            </w:r>
          </w:p>
        </w:tc>
        <w:tc>
          <w:tcPr>
            <w:tcW w:w="527" w:type="pct"/>
            <w:tcBorders>
              <w:top w:val="none" w:sz="0" w:space="0" w:color="auto"/>
              <w:left w:val="none" w:sz="0" w:space="0" w:color="auto"/>
              <w:bottom w:val="none" w:sz="0" w:space="0" w:color="auto"/>
              <w:right w:val="none" w:sz="0" w:space="0" w:color="auto"/>
            </w:tcBorders>
          </w:tcPr>
          <w:p w14:paraId="09461B6E" w14:textId="0F160C60"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24</w:t>
            </w:r>
          </w:p>
        </w:tc>
        <w:tc>
          <w:tcPr>
            <w:tcW w:w="730" w:type="pct"/>
            <w:tcBorders>
              <w:top w:val="none" w:sz="0" w:space="0" w:color="auto"/>
              <w:left w:val="none" w:sz="0" w:space="0" w:color="auto"/>
              <w:bottom w:val="none" w:sz="0" w:space="0" w:color="auto"/>
              <w:right w:val="none" w:sz="0" w:space="0" w:color="auto"/>
            </w:tcBorders>
          </w:tcPr>
          <w:p w14:paraId="6197137D" w14:textId="150A846F" w:rsidR="00242FC1" w:rsidRPr="00716C4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716C4C">
              <w:t>17</w:t>
            </w:r>
          </w:p>
        </w:tc>
        <w:tc>
          <w:tcPr>
            <w:tcW w:w="699" w:type="pct"/>
            <w:tcBorders>
              <w:top w:val="none" w:sz="0" w:space="0" w:color="auto"/>
              <w:left w:val="none" w:sz="0" w:space="0" w:color="auto"/>
              <w:bottom w:val="none" w:sz="0" w:space="0" w:color="auto"/>
              <w:right w:val="none" w:sz="0" w:space="0" w:color="auto"/>
            </w:tcBorders>
          </w:tcPr>
          <w:p w14:paraId="7BD39C04" w14:textId="3A0D1484"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rPr>
                <w:i/>
                <w:iCs/>
              </w:rPr>
            </w:pPr>
            <w:r w:rsidRPr="00D252FE">
              <w:t>&lt;0.01</w:t>
            </w:r>
          </w:p>
        </w:tc>
        <w:tc>
          <w:tcPr>
            <w:tcW w:w="816" w:type="pct"/>
            <w:tcBorders>
              <w:top w:val="none" w:sz="0" w:space="0" w:color="auto"/>
              <w:left w:val="none" w:sz="0" w:space="0" w:color="auto"/>
              <w:bottom w:val="none" w:sz="0" w:space="0" w:color="auto"/>
              <w:right w:val="none" w:sz="0" w:space="0" w:color="auto"/>
            </w:tcBorders>
          </w:tcPr>
          <w:p w14:paraId="00153E18" w14:textId="14B75862" w:rsidR="00242FC1" w:rsidRPr="00F10DB2" w:rsidRDefault="00242FC1" w:rsidP="00562725">
            <w:pPr>
              <w:jc w:val="right"/>
              <w:cnfStyle w:val="000000100000" w:firstRow="0" w:lastRow="0" w:firstColumn="0" w:lastColumn="0" w:oddVBand="0" w:evenVBand="0" w:oddHBand="1" w:evenHBand="0" w:firstRowFirstColumn="0" w:firstRowLastColumn="0" w:lastRowFirstColumn="0" w:lastRowLastColumn="0"/>
            </w:pPr>
            <w:r>
              <w:t>0</w:t>
            </w:r>
          </w:p>
        </w:tc>
      </w:tr>
      <w:tr w:rsidR="00242FC1" w:rsidRPr="00422FEF" w14:paraId="755F61D4"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F42B56B" w14:textId="1FB83FB8" w:rsidR="00242FC1" w:rsidRDefault="00242FC1" w:rsidP="00562725">
            <w:r>
              <w:t>Steam Cookers</w:t>
            </w:r>
          </w:p>
        </w:tc>
        <w:tc>
          <w:tcPr>
            <w:tcW w:w="527" w:type="pct"/>
            <w:tcBorders>
              <w:top w:val="none" w:sz="0" w:space="0" w:color="auto"/>
              <w:left w:val="none" w:sz="0" w:space="0" w:color="auto"/>
              <w:bottom w:val="none" w:sz="0" w:space="0" w:color="auto"/>
              <w:right w:val="none" w:sz="0" w:space="0" w:color="auto"/>
            </w:tcBorders>
          </w:tcPr>
          <w:p w14:paraId="0D3688BD" w14:textId="7A714989"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1</w:t>
            </w:r>
          </w:p>
        </w:tc>
        <w:tc>
          <w:tcPr>
            <w:tcW w:w="730" w:type="pct"/>
            <w:tcBorders>
              <w:top w:val="none" w:sz="0" w:space="0" w:color="auto"/>
              <w:left w:val="none" w:sz="0" w:space="0" w:color="auto"/>
              <w:bottom w:val="none" w:sz="0" w:space="0" w:color="auto"/>
              <w:right w:val="none" w:sz="0" w:space="0" w:color="auto"/>
            </w:tcBorders>
          </w:tcPr>
          <w:p w14:paraId="00287D5A" w14:textId="3E4646C4" w:rsidR="00242FC1" w:rsidRPr="00716C4C" w:rsidRDefault="00F934AA" w:rsidP="00562725">
            <w:pPr>
              <w:jc w:val="right"/>
              <w:cnfStyle w:val="000000010000" w:firstRow="0" w:lastRow="0" w:firstColumn="0" w:lastColumn="0" w:oddVBand="0" w:evenVBand="0" w:oddHBand="0" w:evenHBand="1" w:firstRowFirstColumn="0" w:firstRowLastColumn="0" w:lastRowFirstColumn="0" w:lastRowLastColumn="0"/>
            </w:pPr>
            <w:r>
              <w:t>169</w:t>
            </w:r>
          </w:p>
        </w:tc>
        <w:tc>
          <w:tcPr>
            <w:tcW w:w="699" w:type="pct"/>
            <w:tcBorders>
              <w:top w:val="none" w:sz="0" w:space="0" w:color="auto"/>
              <w:left w:val="none" w:sz="0" w:space="0" w:color="auto"/>
              <w:bottom w:val="none" w:sz="0" w:space="0" w:color="auto"/>
              <w:right w:val="none" w:sz="0" w:space="0" w:color="auto"/>
            </w:tcBorders>
          </w:tcPr>
          <w:p w14:paraId="2C5D8C23" w14:textId="2CA3653E" w:rsidR="00242FC1" w:rsidRPr="002D384B" w:rsidRDefault="00242FC1" w:rsidP="00562725">
            <w:pPr>
              <w:jc w:val="right"/>
              <w:cnfStyle w:val="000000010000" w:firstRow="0" w:lastRow="0" w:firstColumn="0" w:lastColumn="0" w:oddVBand="0" w:evenVBand="0" w:oddHBand="0" w:evenHBand="1" w:firstRowFirstColumn="0" w:firstRowLastColumn="0" w:lastRowFirstColumn="0" w:lastRowLastColumn="0"/>
            </w:pPr>
            <w:r>
              <w:t>0.00</w:t>
            </w:r>
          </w:p>
        </w:tc>
        <w:tc>
          <w:tcPr>
            <w:tcW w:w="816" w:type="pct"/>
            <w:tcBorders>
              <w:top w:val="none" w:sz="0" w:space="0" w:color="auto"/>
              <w:left w:val="none" w:sz="0" w:space="0" w:color="auto"/>
              <w:bottom w:val="none" w:sz="0" w:space="0" w:color="auto"/>
              <w:right w:val="none" w:sz="0" w:space="0" w:color="auto"/>
            </w:tcBorders>
          </w:tcPr>
          <w:p w14:paraId="1BD5D52A" w14:textId="136FD165" w:rsidR="00242FC1"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F10DB2">
              <w:t>1,751</w:t>
            </w:r>
          </w:p>
        </w:tc>
      </w:tr>
      <w:tr w:rsidR="00242FC1" w:rsidRPr="00422FEF" w14:paraId="66FC239E"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77A2B79C" w14:textId="50250D4D" w:rsidR="00242FC1" w:rsidRDefault="00242FC1" w:rsidP="00562725">
            <w:r>
              <w:t>Griddles</w:t>
            </w:r>
          </w:p>
        </w:tc>
        <w:tc>
          <w:tcPr>
            <w:tcW w:w="527" w:type="pct"/>
            <w:tcBorders>
              <w:top w:val="none" w:sz="0" w:space="0" w:color="auto"/>
              <w:left w:val="none" w:sz="0" w:space="0" w:color="auto"/>
              <w:bottom w:val="none" w:sz="0" w:space="0" w:color="auto"/>
              <w:right w:val="none" w:sz="0" w:space="0" w:color="auto"/>
            </w:tcBorders>
          </w:tcPr>
          <w:p w14:paraId="386ACE3D" w14:textId="387C23DB"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3</w:t>
            </w:r>
          </w:p>
        </w:tc>
        <w:tc>
          <w:tcPr>
            <w:tcW w:w="730" w:type="pct"/>
            <w:tcBorders>
              <w:top w:val="none" w:sz="0" w:space="0" w:color="auto"/>
              <w:left w:val="none" w:sz="0" w:space="0" w:color="auto"/>
              <w:bottom w:val="none" w:sz="0" w:space="0" w:color="auto"/>
              <w:right w:val="none" w:sz="0" w:space="0" w:color="auto"/>
            </w:tcBorders>
          </w:tcPr>
          <w:p w14:paraId="7476C9A8" w14:textId="0D785D15" w:rsidR="00242FC1" w:rsidRPr="00716C4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716C4C">
              <w:t>8</w:t>
            </w:r>
          </w:p>
        </w:tc>
        <w:tc>
          <w:tcPr>
            <w:tcW w:w="699" w:type="pct"/>
            <w:tcBorders>
              <w:top w:val="none" w:sz="0" w:space="0" w:color="auto"/>
              <w:left w:val="none" w:sz="0" w:space="0" w:color="auto"/>
              <w:bottom w:val="none" w:sz="0" w:space="0" w:color="auto"/>
              <w:right w:val="none" w:sz="0" w:space="0" w:color="auto"/>
            </w:tcBorders>
          </w:tcPr>
          <w:p w14:paraId="0C232786" w14:textId="557BED1A" w:rsidR="00242FC1"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C70AB2">
              <w:t>&lt;0.01</w:t>
            </w:r>
          </w:p>
        </w:tc>
        <w:tc>
          <w:tcPr>
            <w:tcW w:w="816" w:type="pct"/>
            <w:tcBorders>
              <w:top w:val="none" w:sz="0" w:space="0" w:color="auto"/>
              <w:left w:val="none" w:sz="0" w:space="0" w:color="auto"/>
              <w:bottom w:val="none" w:sz="0" w:space="0" w:color="auto"/>
              <w:right w:val="none" w:sz="0" w:space="0" w:color="auto"/>
            </w:tcBorders>
          </w:tcPr>
          <w:p w14:paraId="3BAFEBF7" w14:textId="1C91BEBA" w:rsidR="00242FC1" w:rsidRPr="00F10DB2"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F10DB2">
              <w:t>1,892</w:t>
            </w:r>
          </w:p>
        </w:tc>
      </w:tr>
      <w:tr w:rsidR="00242FC1" w:rsidRPr="00422FEF" w14:paraId="14E64055"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28A9C85" w14:textId="41FFE3F7" w:rsidR="00242FC1" w:rsidRDefault="00242FC1" w:rsidP="00562725">
            <w:r>
              <w:t>Convection Ovens</w:t>
            </w:r>
          </w:p>
        </w:tc>
        <w:tc>
          <w:tcPr>
            <w:tcW w:w="527" w:type="pct"/>
            <w:tcBorders>
              <w:top w:val="none" w:sz="0" w:space="0" w:color="auto"/>
              <w:left w:val="none" w:sz="0" w:space="0" w:color="auto"/>
              <w:bottom w:val="none" w:sz="0" w:space="0" w:color="auto"/>
              <w:right w:val="none" w:sz="0" w:space="0" w:color="auto"/>
            </w:tcBorders>
          </w:tcPr>
          <w:p w14:paraId="2AA3859E" w14:textId="0E3B0308"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4</w:t>
            </w:r>
          </w:p>
        </w:tc>
        <w:tc>
          <w:tcPr>
            <w:tcW w:w="730" w:type="pct"/>
            <w:tcBorders>
              <w:top w:val="none" w:sz="0" w:space="0" w:color="auto"/>
              <w:left w:val="none" w:sz="0" w:space="0" w:color="auto"/>
              <w:bottom w:val="none" w:sz="0" w:space="0" w:color="auto"/>
              <w:right w:val="none" w:sz="0" w:space="0" w:color="auto"/>
            </w:tcBorders>
          </w:tcPr>
          <w:p w14:paraId="5E49B612" w14:textId="13E21240" w:rsidR="00242FC1" w:rsidRPr="00716C4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716C4C">
              <w:t>1</w:t>
            </w:r>
          </w:p>
        </w:tc>
        <w:tc>
          <w:tcPr>
            <w:tcW w:w="699" w:type="pct"/>
            <w:tcBorders>
              <w:top w:val="none" w:sz="0" w:space="0" w:color="auto"/>
              <w:left w:val="none" w:sz="0" w:space="0" w:color="auto"/>
              <w:bottom w:val="none" w:sz="0" w:space="0" w:color="auto"/>
              <w:right w:val="none" w:sz="0" w:space="0" w:color="auto"/>
            </w:tcBorders>
          </w:tcPr>
          <w:p w14:paraId="4CDAA8CE" w14:textId="22D8D29D"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sidRPr="00C70AB2">
              <w:t>&lt;0.01</w:t>
            </w:r>
          </w:p>
        </w:tc>
        <w:tc>
          <w:tcPr>
            <w:tcW w:w="816" w:type="pct"/>
            <w:tcBorders>
              <w:top w:val="none" w:sz="0" w:space="0" w:color="auto"/>
              <w:left w:val="none" w:sz="0" w:space="0" w:color="auto"/>
              <w:bottom w:val="none" w:sz="0" w:space="0" w:color="auto"/>
              <w:right w:val="none" w:sz="0" w:space="0" w:color="auto"/>
            </w:tcBorders>
          </w:tcPr>
          <w:p w14:paraId="7B8ABF9F" w14:textId="04C9DBFF" w:rsidR="00242FC1" w:rsidRPr="00F10DB2"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F10DB2">
              <w:t>538</w:t>
            </w:r>
          </w:p>
        </w:tc>
      </w:tr>
      <w:tr w:rsidR="00242FC1" w:rsidRPr="00422FEF" w14:paraId="56CA8DC4"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0B471233" w14:textId="5DA21E68" w:rsidR="00242FC1" w:rsidRDefault="00242FC1" w:rsidP="00562725">
            <w:r>
              <w:t>Ice Makers</w:t>
            </w:r>
          </w:p>
        </w:tc>
        <w:tc>
          <w:tcPr>
            <w:tcW w:w="527" w:type="pct"/>
            <w:tcBorders>
              <w:top w:val="none" w:sz="0" w:space="0" w:color="auto"/>
              <w:left w:val="none" w:sz="0" w:space="0" w:color="auto"/>
              <w:bottom w:val="none" w:sz="0" w:space="0" w:color="auto"/>
              <w:right w:val="none" w:sz="0" w:space="0" w:color="auto"/>
            </w:tcBorders>
          </w:tcPr>
          <w:p w14:paraId="4091E06E" w14:textId="2F756BF3" w:rsidR="00242FC1" w:rsidRPr="008A0F2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8A0F2C">
              <w:t>3</w:t>
            </w:r>
          </w:p>
        </w:tc>
        <w:tc>
          <w:tcPr>
            <w:tcW w:w="730" w:type="pct"/>
            <w:tcBorders>
              <w:top w:val="none" w:sz="0" w:space="0" w:color="auto"/>
              <w:left w:val="none" w:sz="0" w:space="0" w:color="auto"/>
              <w:bottom w:val="none" w:sz="0" w:space="0" w:color="auto"/>
              <w:right w:val="none" w:sz="0" w:space="0" w:color="auto"/>
            </w:tcBorders>
          </w:tcPr>
          <w:p w14:paraId="375BB4C0" w14:textId="46BB1FE5" w:rsidR="00242FC1" w:rsidRPr="00716C4C"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716C4C">
              <w:t>2</w:t>
            </w:r>
          </w:p>
        </w:tc>
        <w:tc>
          <w:tcPr>
            <w:tcW w:w="699" w:type="pct"/>
            <w:tcBorders>
              <w:top w:val="none" w:sz="0" w:space="0" w:color="auto"/>
              <w:left w:val="none" w:sz="0" w:space="0" w:color="auto"/>
              <w:bottom w:val="none" w:sz="0" w:space="0" w:color="auto"/>
              <w:right w:val="none" w:sz="0" w:space="0" w:color="auto"/>
            </w:tcBorders>
          </w:tcPr>
          <w:p w14:paraId="54320CF4" w14:textId="76390C73" w:rsidR="00242FC1" w:rsidRPr="002D384B" w:rsidRDefault="00242FC1" w:rsidP="00562725">
            <w:pPr>
              <w:jc w:val="right"/>
              <w:cnfStyle w:val="000000100000" w:firstRow="0" w:lastRow="0" w:firstColumn="0" w:lastColumn="0" w:oddVBand="0" w:evenVBand="0" w:oddHBand="1" w:evenHBand="0" w:firstRowFirstColumn="0" w:firstRowLastColumn="0" w:lastRowFirstColumn="0" w:lastRowLastColumn="0"/>
            </w:pPr>
            <w:r w:rsidRPr="00C70AB2">
              <w:t>&lt;0.01</w:t>
            </w:r>
          </w:p>
        </w:tc>
        <w:tc>
          <w:tcPr>
            <w:tcW w:w="816" w:type="pct"/>
            <w:tcBorders>
              <w:top w:val="none" w:sz="0" w:space="0" w:color="auto"/>
              <w:left w:val="none" w:sz="0" w:space="0" w:color="auto"/>
              <w:bottom w:val="none" w:sz="0" w:space="0" w:color="auto"/>
              <w:right w:val="none" w:sz="0" w:space="0" w:color="auto"/>
            </w:tcBorders>
          </w:tcPr>
          <w:p w14:paraId="1F27D95D" w14:textId="4B3E7C21" w:rsidR="00242FC1" w:rsidRPr="00F10DB2" w:rsidRDefault="00242FC1" w:rsidP="00562725">
            <w:pPr>
              <w:jc w:val="right"/>
              <w:cnfStyle w:val="000000100000" w:firstRow="0" w:lastRow="0" w:firstColumn="0" w:lastColumn="0" w:oddVBand="0" w:evenVBand="0" w:oddHBand="1" w:evenHBand="0" w:firstRowFirstColumn="0" w:firstRowLastColumn="0" w:lastRowFirstColumn="0" w:lastRowLastColumn="0"/>
            </w:pPr>
            <w:r>
              <w:t>0</w:t>
            </w:r>
          </w:p>
        </w:tc>
      </w:tr>
      <w:tr w:rsidR="00242FC1" w:rsidRPr="00422FEF" w14:paraId="3E6BE9AD" w14:textId="77777777" w:rsidTr="00562725">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603EC33C" w14:textId="64A285A0" w:rsidR="00242FC1" w:rsidRDefault="00242FC1" w:rsidP="00562725">
            <w:r>
              <w:t>Hot Food Holding Cabinets</w:t>
            </w:r>
          </w:p>
        </w:tc>
        <w:tc>
          <w:tcPr>
            <w:tcW w:w="527" w:type="pct"/>
            <w:tcBorders>
              <w:top w:val="none" w:sz="0" w:space="0" w:color="auto"/>
              <w:left w:val="none" w:sz="0" w:space="0" w:color="auto"/>
              <w:bottom w:val="none" w:sz="0" w:space="0" w:color="auto"/>
              <w:right w:val="none" w:sz="0" w:space="0" w:color="auto"/>
            </w:tcBorders>
          </w:tcPr>
          <w:p w14:paraId="62D4C423" w14:textId="49ED30F4" w:rsidR="00242FC1" w:rsidRPr="008A0F2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8A0F2C">
              <w:t>1</w:t>
            </w:r>
          </w:p>
        </w:tc>
        <w:tc>
          <w:tcPr>
            <w:tcW w:w="730" w:type="pct"/>
            <w:tcBorders>
              <w:top w:val="none" w:sz="0" w:space="0" w:color="auto"/>
              <w:left w:val="none" w:sz="0" w:space="0" w:color="auto"/>
              <w:bottom w:val="none" w:sz="0" w:space="0" w:color="auto"/>
              <w:right w:val="none" w:sz="0" w:space="0" w:color="auto"/>
            </w:tcBorders>
          </w:tcPr>
          <w:p w14:paraId="17756FC6" w14:textId="36494FBD" w:rsidR="00242FC1" w:rsidRPr="00716C4C"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716C4C">
              <w:t>1</w:t>
            </w:r>
          </w:p>
        </w:tc>
        <w:tc>
          <w:tcPr>
            <w:tcW w:w="699" w:type="pct"/>
            <w:tcBorders>
              <w:top w:val="none" w:sz="0" w:space="0" w:color="auto"/>
              <w:left w:val="none" w:sz="0" w:space="0" w:color="auto"/>
              <w:bottom w:val="none" w:sz="0" w:space="0" w:color="auto"/>
              <w:right w:val="none" w:sz="0" w:space="0" w:color="auto"/>
            </w:tcBorders>
          </w:tcPr>
          <w:p w14:paraId="0F4DB87A" w14:textId="73148F86" w:rsidR="00242FC1" w:rsidRPr="00422FEF" w:rsidRDefault="00242FC1" w:rsidP="00562725">
            <w:pPr>
              <w:jc w:val="right"/>
              <w:cnfStyle w:val="000000010000" w:firstRow="0" w:lastRow="0" w:firstColumn="0" w:lastColumn="0" w:oddVBand="0" w:evenVBand="0" w:oddHBand="0" w:evenHBand="1" w:firstRowFirstColumn="0" w:firstRowLastColumn="0" w:lastRowFirstColumn="0" w:lastRowLastColumn="0"/>
              <w:rPr>
                <w:i/>
                <w:iCs/>
              </w:rPr>
            </w:pPr>
            <w:r w:rsidRPr="00C70AB2">
              <w:t>&lt;0.01</w:t>
            </w:r>
          </w:p>
        </w:tc>
        <w:tc>
          <w:tcPr>
            <w:tcW w:w="816" w:type="pct"/>
            <w:tcBorders>
              <w:top w:val="none" w:sz="0" w:space="0" w:color="auto"/>
              <w:left w:val="none" w:sz="0" w:space="0" w:color="auto"/>
              <w:bottom w:val="none" w:sz="0" w:space="0" w:color="auto"/>
              <w:right w:val="none" w:sz="0" w:space="0" w:color="auto"/>
            </w:tcBorders>
          </w:tcPr>
          <w:p w14:paraId="33AAE6FB" w14:textId="4DDFF195" w:rsidR="00242FC1" w:rsidRPr="00F10DB2" w:rsidRDefault="00242FC1" w:rsidP="00562725">
            <w:pPr>
              <w:jc w:val="right"/>
              <w:cnfStyle w:val="000000010000" w:firstRow="0" w:lastRow="0" w:firstColumn="0" w:lastColumn="0" w:oddVBand="0" w:evenVBand="0" w:oddHBand="0" w:evenHBand="1" w:firstRowFirstColumn="0" w:firstRowLastColumn="0" w:lastRowFirstColumn="0" w:lastRowLastColumn="0"/>
            </w:pPr>
            <w:r w:rsidRPr="00F10DB2">
              <w:t>0</w:t>
            </w:r>
          </w:p>
        </w:tc>
      </w:tr>
      <w:tr w:rsidR="00242FC1" w:rsidRPr="00422FEF" w14:paraId="09784B86"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5E0EDE14" w14:textId="77777777" w:rsidR="00242FC1" w:rsidRPr="00422FEF" w:rsidRDefault="00242FC1" w:rsidP="00562725">
            <w:pPr>
              <w:rPr>
                <w:i/>
                <w:iCs/>
              </w:rPr>
            </w:pPr>
            <w:r w:rsidRPr="00422FEF">
              <w:rPr>
                <w:i/>
                <w:iCs/>
              </w:rPr>
              <w:t>Public Sector Subtotal</w:t>
            </w:r>
          </w:p>
        </w:tc>
        <w:tc>
          <w:tcPr>
            <w:tcW w:w="527" w:type="pct"/>
            <w:tcBorders>
              <w:top w:val="none" w:sz="0" w:space="0" w:color="auto"/>
              <w:left w:val="none" w:sz="0" w:space="0" w:color="auto"/>
              <w:bottom w:val="none" w:sz="0" w:space="0" w:color="auto"/>
              <w:right w:val="none" w:sz="0" w:space="0" w:color="auto"/>
            </w:tcBorders>
          </w:tcPr>
          <w:p w14:paraId="7B6A8D7D" w14:textId="39F9DCC1"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40</w:t>
            </w:r>
          </w:p>
        </w:tc>
        <w:tc>
          <w:tcPr>
            <w:tcW w:w="730" w:type="pct"/>
            <w:tcBorders>
              <w:top w:val="none" w:sz="0" w:space="0" w:color="auto"/>
              <w:left w:val="none" w:sz="0" w:space="0" w:color="auto"/>
              <w:bottom w:val="none" w:sz="0" w:space="0" w:color="auto"/>
              <w:right w:val="none" w:sz="0" w:space="0" w:color="auto"/>
            </w:tcBorders>
          </w:tcPr>
          <w:p w14:paraId="41C2E7A6" w14:textId="20643DE5"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90</w:t>
            </w:r>
          </w:p>
        </w:tc>
        <w:tc>
          <w:tcPr>
            <w:tcW w:w="699" w:type="pct"/>
            <w:tcBorders>
              <w:top w:val="none" w:sz="0" w:space="0" w:color="auto"/>
              <w:left w:val="none" w:sz="0" w:space="0" w:color="auto"/>
              <w:bottom w:val="none" w:sz="0" w:space="0" w:color="auto"/>
              <w:right w:val="none" w:sz="0" w:space="0" w:color="auto"/>
            </w:tcBorders>
          </w:tcPr>
          <w:p w14:paraId="6D3DB33A" w14:textId="76D2F43F"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rPr>
                <w:i/>
                <w:iCs/>
              </w:rPr>
            </w:pPr>
            <w:r w:rsidRPr="002D384B">
              <w:t>0.0</w:t>
            </w:r>
            <w:r>
              <w:t>1</w:t>
            </w:r>
          </w:p>
        </w:tc>
        <w:tc>
          <w:tcPr>
            <w:tcW w:w="816" w:type="pct"/>
            <w:tcBorders>
              <w:top w:val="none" w:sz="0" w:space="0" w:color="auto"/>
              <w:left w:val="none" w:sz="0" w:space="0" w:color="auto"/>
              <w:bottom w:val="none" w:sz="0" w:space="0" w:color="auto"/>
              <w:right w:val="none" w:sz="0" w:space="0" w:color="auto"/>
            </w:tcBorders>
          </w:tcPr>
          <w:p w14:paraId="7311B5CC" w14:textId="25BA419C" w:rsidR="00242FC1" w:rsidRPr="00422FEF" w:rsidRDefault="00242FC1" w:rsidP="00562725">
            <w:pPr>
              <w:jc w:val="right"/>
              <w:cnfStyle w:val="000000100000" w:firstRow="0" w:lastRow="0" w:firstColumn="0" w:lastColumn="0" w:oddVBand="0" w:evenVBand="0" w:oddHBand="1" w:evenHBand="0" w:firstRowFirstColumn="0" w:firstRowLastColumn="0" w:lastRowFirstColumn="0" w:lastRowLastColumn="0"/>
              <w:rPr>
                <w:i/>
                <w:iCs/>
              </w:rPr>
            </w:pPr>
            <w:r>
              <w:rPr>
                <w:i/>
                <w:iCs/>
              </w:rPr>
              <w:t>4,182</w:t>
            </w:r>
          </w:p>
        </w:tc>
      </w:tr>
      <w:tr w:rsidR="00242FC1" w:rsidRPr="00422FEF" w14:paraId="2CCC5DE7"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28" w:type="pct"/>
            <w:tcBorders>
              <w:top w:val="none" w:sz="0" w:space="0" w:color="auto"/>
              <w:left w:val="none" w:sz="0" w:space="0" w:color="auto"/>
              <w:bottom w:val="none" w:sz="0" w:space="0" w:color="auto"/>
              <w:right w:val="none" w:sz="0" w:space="0" w:color="auto"/>
            </w:tcBorders>
          </w:tcPr>
          <w:p w14:paraId="66F60342" w14:textId="77777777" w:rsidR="00242FC1" w:rsidRPr="00B777D6" w:rsidRDefault="00242FC1" w:rsidP="00562725">
            <w:pPr>
              <w:rPr>
                <w:rFonts w:ascii="Franklin Gothic Medium" w:hAnsi="Franklin Gothic Medium"/>
              </w:rPr>
            </w:pPr>
            <w:r w:rsidRPr="00B777D6">
              <w:rPr>
                <w:rFonts w:ascii="Franklin Gothic Medium" w:hAnsi="Franklin Gothic Medium"/>
              </w:rPr>
              <w:t>Total</w:t>
            </w:r>
          </w:p>
        </w:tc>
        <w:tc>
          <w:tcPr>
            <w:tcW w:w="527" w:type="pct"/>
            <w:tcBorders>
              <w:top w:val="none" w:sz="0" w:space="0" w:color="auto"/>
              <w:left w:val="none" w:sz="0" w:space="0" w:color="auto"/>
              <w:bottom w:val="none" w:sz="0" w:space="0" w:color="auto"/>
              <w:right w:val="none" w:sz="0" w:space="0" w:color="auto"/>
            </w:tcBorders>
          </w:tcPr>
          <w:p w14:paraId="06E7E1EF" w14:textId="1816F64E" w:rsidR="00242FC1" w:rsidRPr="00B777D6" w:rsidRDefault="00242FC1"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251</w:t>
            </w:r>
          </w:p>
        </w:tc>
        <w:tc>
          <w:tcPr>
            <w:tcW w:w="730" w:type="pct"/>
            <w:tcBorders>
              <w:top w:val="none" w:sz="0" w:space="0" w:color="auto"/>
              <w:left w:val="none" w:sz="0" w:space="0" w:color="auto"/>
              <w:bottom w:val="none" w:sz="0" w:space="0" w:color="auto"/>
              <w:right w:val="none" w:sz="0" w:space="0" w:color="auto"/>
            </w:tcBorders>
          </w:tcPr>
          <w:p w14:paraId="08D330F8" w14:textId="45E2B23F" w:rsidR="00242FC1" w:rsidRPr="00B777D6" w:rsidRDefault="00242FC1"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575</w:t>
            </w:r>
          </w:p>
        </w:tc>
        <w:tc>
          <w:tcPr>
            <w:tcW w:w="699" w:type="pct"/>
            <w:tcBorders>
              <w:top w:val="none" w:sz="0" w:space="0" w:color="auto"/>
              <w:left w:val="none" w:sz="0" w:space="0" w:color="auto"/>
              <w:bottom w:val="none" w:sz="0" w:space="0" w:color="auto"/>
              <w:right w:val="none" w:sz="0" w:space="0" w:color="auto"/>
            </w:tcBorders>
          </w:tcPr>
          <w:p w14:paraId="290A54D7" w14:textId="3F6716BA" w:rsidR="00242FC1" w:rsidRPr="00B777D6" w:rsidRDefault="00242FC1"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0.08</w:t>
            </w:r>
          </w:p>
        </w:tc>
        <w:tc>
          <w:tcPr>
            <w:tcW w:w="816" w:type="pct"/>
            <w:tcBorders>
              <w:top w:val="none" w:sz="0" w:space="0" w:color="auto"/>
              <w:left w:val="none" w:sz="0" w:space="0" w:color="auto"/>
              <w:bottom w:val="none" w:sz="0" w:space="0" w:color="auto"/>
              <w:right w:val="none" w:sz="0" w:space="0" w:color="auto"/>
            </w:tcBorders>
          </w:tcPr>
          <w:p w14:paraId="0C657F2B" w14:textId="027BD9F1" w:rsidR="00242FC1" w:rsidRPr="00B777D6" w:rsidRDefault="00242FC1"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54,799</w:t>
            </w:r>
          </w:p>
        </w:tc>
      </w:tr>
    </w:tbl>
    <w:p w14:paraId="6AF39EBC" w14:textId="6480FC0B" w:rsidR="00422FEF" w:rsidRPr="00422FEF" w:rsidRDefault="00422FEF" w:rsidP="00422FEF">
      <w:pPr>
        <w:keepNext/>
        <w:spacing w:before="40" w:after="60" w:line="240" w:lineRule="auto"/>
        <w:rPr>
          <w:bCs/>
          <w:sz w:val="18"/>
          <w:szCs w:val="20"/>
        </w:rPr>
      </w:pPr>
      <w:r w:rsidRPr="00422FEF">
        <w:rPr>
          <w:bCs/>
          <w:sz w:val="18"/>
          <w:szCs w:val="20"/>
          <w:vertAlign w:val="superscript"/>
        </w:rPr>
        <w:t>a</w:t>
      </w:r>
      <w:r w:rsidR="00404523">
        <w:rPr>
          <w:bCs/>
          <w:sz w:val="18"/>
          <w:szCs w:val="20"/>
          <w:vertAlign w:val="superscript"/>
        </w:rPr>
        <w:t xml:space="preserve"> </w:t>
      </w:r>
      <w:r w:rsidRPr="00422FEF">
        <w:rPr>
          <w:bCs/>
          <w:sz w:val="18"/>
          <w:szCs w:val="20"/>
        </w:rPr>
        <w:t xml:space="preserve">The project counts, measure counts, and ex ante savings values presented in the </w:t>
      </w:r>
      <w:r w:rsidR="00875F07" w:rsidRPr="00875F07">
        <w:rPr>
          <w:bCs/>
          <w:sz w:val="18"/>
          <w:szCs w:val="20"/>
        </w:rPr>
        <w:t>Private Sector subsection of this table include State and Federal facilities</w:t>
      </w:r>
      <w:r w:rsidR="00257B2C">
        <w:rPr>
          <w:bCs/>
          <w:sz w:val="18"/>
          <w:szCs w:val="20"/>
        </w:rPr>
        <w:t>,</w:t>
      </w:r>
      <w:r w:rsidR="00875F07" w:rsidRPr="00875F07">
        <w:rPr>
          <w:bCs/>
          <w:sz w:val="18"/>
          <w:szCs w:val="20"/>
        </w:rPr>
        <w:t xml:space="preserve"> as these facility types are not </w:t>
      </w:r>
      <w:r w:rsidRPr="00422FEF">
        <w:rPr>
          <w:bCs/>
          <w:sz w:val="18"/>
          <w:szCs w:val="20"/>
        </w:rPr>
        <w:t>included in the list of customer types covered in the public sector minimum funding requirements in subsection (c) of 220 ILCS 5/8-103B and subsection (e) of 220 ILCS 5/8-104.</w:t>
      </w:r>
    </w:p>
    <w:p w14:paraId="753B3BDC" w14:textId="77777777" w:rsidR="00B47754" w:rsidRDefault="00B47754" w:rsidP="00B47754">
      <w:pPr>
        <w:pStyle w:val="Heading4"/>
      </w:pPr>
      <w:r>
        <w:t>Savings Detail</w:t>
      </w:r>
    </w:p>
    <w:p w14:paraId="04F29C87" w14:textId="52EC9AA7" w:rsidR="00511EBD" w:rsidRDefault="00B777D6" w:rsidP="00B777D6">
      <w:r>
        <w:fldChar w:fldCharType="begin"/>
      </w:r>
      <w:r>
        <w:instrText xml:space="preserve"> REF _Ref192095913 \h </w:instrText>
      </w:r>
      <w:r>
        <w:fldChar w:fldCharType="separate"/>
      </w:r>
      <w:r w:rsidR="00AA10F4">
        <w:t xml:space="preserve">Table </w:t>
      </w:r>
      <w:r w:rsidR="00AA10F4">
        <w:rPr>
          <w:noProof/>
        </w:rPr>
        <w:t>77</w:t>
      </w:r>
      <w:r>
        <w:fldChar w:fldCharType="end"/>
      </w:r>
      <w:r>
        <w:t xml:space="preserve"> </w:t>
      </w:r>
      <w:r w:rsidR="00824014">
        <w:t>presents the ex ante, verified gross, and verified net electric energy savings achieved through the Midstream Food Service channel in 2024.</w:t>
      </w:r>
      <w:r w:rsidR="00ED26AB">
        <w:t xml:space="preserve"> </w:t>
      </w:r>
      <w:bookmarkStart w:id="333" w:name="_Ref187327196"/>
      <w:r w:rsidR="00E202AB">
        <w:t>The channel provided</w:t>
      </w:r>
      <w:r w:rsidR="00511EBD" w:rsidRPr="00511EBD">
        <w:t xml:space="preserve"> </w:t>
      </w:r>
      <w:r w:rsidR="00E202AB">
        <w:t>incentives for</w:t>
      </w:r>
      <w:r w:rsidR="00E202AB" w:rsidRPr="00511EBD">
        <w:t xml:space="preserve"> </w:t>
      </w:r>
      <w:r w:rsidR="00511EBD" w:rsidRPr="00511EBD">
        <w:t xml:space="preserve">many of the same measures as in 2023 and added ENERGY STAR </w:t>
      </w:r>
      <w:r w:rsidR="00404523">
        <w:t>h</w:t>
      </w:r>
      <w:r w:rsidR="00511EBD" w:rsidRPr="00511EBD">
        <w:t xml:space="preserve">ot </w:t>
      </w:r>
      <w:r w:rsidR="00404523">
        <w:t>f</w:t>
      </w:r>
      <w:r w:rsidR="00511EBD" w:rsidRPr="00511EBD">
        <w:t xml:space="preserve">ood </w:t>
      </w:r>
      <w:r w:rsidR="00404523">
        <w:t>h</w:t>
      </w:r>
      <w:r w:rsidR="00511EBD" w:rsidRPr="00511EBD">
        <w:t xml:space="preserve">olding </w:t>
      </w:r>
      <w:r w:rsidR="00404523">
        <w:t>c</w:t>
      </w:r>
      <w:r w:rsidR="00511EBD" w:rsidRPr="00511EBD">
        <w:t xml:space="preserve">abinets and </w:t>
      </w:r>
      <w:r w:rsidR="00404523">
        <w:t>c</w:t>
      </w:r>
      <w:r w:rsidR="00511EBD" w:rsidRPr="00511EBD">
        <w:t xml:space="preserve">onveyor </w:t>
      </w:r>
      <w:r w:rsidR="00404523">
        <w:t>o</w:t>
      </w:r>
      <w:r w:rsidR="00511EBD" w:rsidRPr="00511EBD">
        <w:t xml:space="preserve">vens. The channel achieved a realization rate of 85% for electric energy savings. Channel energy savings were primarily driven by dishwashers, which produced 31% of the channel’s verified net electric energy savings, up from 6% in 2023. Overall, the channel saw </w:t>
      </w:r>
      <w:r w:rsidR="00404523" w:rsidRPr="00511EBD">
        <w:t>a</w:t>
      </w:r>
      <w:r w:rsidR="00511EBD" w:rsidRPr="00511EBD">
        <w:t xml:space="preserve"> 1</w:t>
      </w:r>
      <w:r w:rsidR="0098743C">
        <w:t>0</w:t>
      </w:r>
      <w:r w:rsidR="00511EBD" w:rsidRPr="00511EBD">
        <w:t xml:space="preserve">% decrease in verified net savings compared to 2023, </w:t>
      </w:r>
      <w:r w:rsidR="00257B2C">
        <w:t>partly due</w:t>
      </w:r>
      <w:r w:rsidR="00511EBD" w:rsidRPr="00511EBD">
        <w:t xml:space="preserve"> to a reduction in the number of steam cookers and conveyor broilers incentivized through the channel. The verified net savings produced by steam cookers dropped by 90% in 2024 compared to 2023</w:t>
      </w:r>
      <w:r w:rsidR="00257B2C">
        <w:t>,</w:t>
      </w:r>
      <w:r w:rsidR="00511EBD" w:rsidRPr="00511EBD">
        <w:t xml:space="preserve"> and conveyor broilers saw a 74% drop compared to 2023. Seven measures saw an increase in their contribution to verified net energy savings in 2024 compared to 2023. Dishwashers accounted for 31% of verified net energy savings in 2024 compared to 6% in 2023, while fryers (</w:t>
      </w:r>
      <w:r w:rsidR="0098743C">
        <w:t>20</w:t>
      </w:r>
      <w:r w:rsidR="00511EBD" w:rsidRPr="00511EBD">
        <w:t>%, up from 9%), refrigerators and freezers (12%, up from 9%), combination ovens (13%, up from 1%), griddles (</w:t>
      </w:r>
      <w:r w:rsidR="0098743C">
        <w:t>6</w:t>
      </w:r>
      <w:r w:rsidR="00511EBD" w:rsidRPr="00511EBD">
        <w:t>%, up from &lt;1%), convection ovens (</w:t>
      </w:r>
      <w:r w:rsidR="0098743C">
        <w:t>5</w:t>
      </w:r>
      <w:r w:rsidR="00511EBD" w:rsidRPr="00511EBD">
        <w:t xml:space="preserve">%, up from &lt;1%) and ice machines (3%, up from 2%) also increased in their share of total verified electric energy savings in 2024 compared to 2023. </w:t>
      </w:r>
    </w:p>
    <w:p w14:paraId="6B6BA160" w14:textId="2C79DDDF" w:rsidR="00824014" w:rsidRDefault="00824014" w:rsidP="00511EBD">
      <w:pPr>
        <w:jc w:val="center"/>
      </w:pPr>
      <w:bookmarkStart w:id="334" w:name="_Ref192095913"/>
      <w:bookmarkStart w:id="335" w:name="_Toc191992598"/>
      <w:bookmarkStart w:id="336" w:name="_Toc192767011"/>
      <w:r>
        <w:t xml:space="preserve">Table </w:t>
      </w:r>
      <w:r w:rsidR="009B4C9A">
        <w:fldChar w:fldCharType="begin"/>
      </w:r>
      <w:r w:rsidR="009B4C9A">
        <w:instrText xml:space="preserve"> SEQ Table \* ARABIC </w:instrText>
      </w:r>
      <w:r w:rsidR="009B4C9A">
        <w:fldChar w:fldCharType="separate"/>
      </w:r>
      <w:r w:rsidR="00AA10F4">
        <w:rPr>
          <w:noProof/>
        </w:rPr>
        <w:t>77</w:t>
      </w:r>
      <w:r w:rsidR="009B4C9A">
        <w:rPr>
          <w:noProof/>
        </w:rPr>
        <w:fldChar w:fldCharType="end"/>
      </w:r>
      <w:bookmarkEnd w:id="333"/>
      <w:bookmarkEnd w:id="334"/>
      <w:r>
        <w:t>. 2024 Midstream Food Service Channel Electric Energy Savings by Measure</w:t>
      </w:r>
      <w:bookmarkEnd w:id="335"/>
      <w:bookmarkEnd w:id="33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85"/>
        <w:gridCol w:w="1890"/>
        <w:gridCol w:w="1800"/>
        <w:gridCol w:w="1800"/>
        <w:gridCol w:w="971"/>
        <w:gridCol w:w="1850"/>
      </w:tblGrid>
      <w:tr w:rsidR="00824014" w14:paraId="04DB7A10" w14:textId="77777777" w:rsidTr="00562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tcPr>
          <w:p w14:paraId="6399E429" w14:textId="77777777" w:rsidR="00824014" w:rsidRDefault="00824014" w:rsidP="008C6FBE">
            <w:pPr>
              <w:pStyle w:val="TableHeadingLeft"/>
            </w:pPr>
            <w:r w:rsidRPr="00F87E60">
              <w:t>Measure Category</w:t>
            </w:r>
          </w:p>
        </w:tc>
        <w:tc>
          <w:tcPr>
            <w:tcW w:w="1890" w:type="dxa"/>
            <w:tcBorders>
              <w:bottom w:val="none" w:sz="0" w:space="0" w:color="auto"/>
            </w:tcBorders>
          </w:tcPr>
          <w:p w14:paraId="21D2D522" w14:textId="77777777" w:rsidR="00824014" w:rsidRDefault="00824014"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Ex Ante Gross Savings (MWh)  </w:t>
            </w:r>
          </w:p>
        </w:tc>
        <w:tc>
          <w:tcPr>
            <w:tcW w:w="1800" w:type="dxa"/>
            <w:tcBorders>
              <w:bottom w:val="none" w:sz="0" w:space="0" w:color="auto"/>
            </w:tcBorders>
          </w:tcPr>
          <w:p w14:paraId="304743D5" w14:textId="77777777" w:rsidR="00824014" w:rsidRDefault="00824014"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800" w:type="dxa"/>
            <w:tcBorders>
              <w:bottom w:val="none" w:sz="0" w:space="0" w:color="auto"/>
            </w:tcBorders>
          </w:tcPr>
          <w:p w14:paraId="39020AFC" w14:textId="77777777" w:rsidR="00824014" w:rsidRDefault="00824014"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Gross Savings (MWh)  </w:t>
            </w:r>
          </w:p>
        </w:tc>
        <w:tc>
          <w:tcPr>
            <w:tcW w:w="971" w:type="dxa"/>
            <w:tcBorders>
              <w:bottom w:val="none" w:sz="0" w:space="0" w:color="auto"/>
            </w:tcBorders>
          </w:tcPr>
          <w:p w14:paraId="1E6C3FC3" w14:textId="77777777" w:rsidR="00824014" w:rsidRDefault="00824014"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NTGR</w:t>
            </w:r>
          </w:p>
        </w:tc>
        <w:tc>
          <w:tcPr>
            <w:tcW w:w="1850" w:type="dxa"/>
            <w:tcBorders>
              <w:bottom w:val="none" w:sz="0" w:space="0" w:color="auto"/>
            </w:tcBorders>
          </w:tcPr>
          <w:p w14:paraId="39D6E9FE" w14:textId="77777777" w:rsidR="00824014" w:rsidRDefault="00824014" w:rsidP="008C6FBE">
            <w:pPr>
              <w:pStyle w:val="TableHeadingCentered"/>
              <w:cnfStyle w:val="100000000000" w:firstRow="1" w:lastRow="0" w:firstColumn="0" w:lastColumn="0" w:oddVBand="0" w:evenVBand="0" w:oddHBand="0" w:evenHBand="0" w:firstRowFirstColumn="0" w:firstRowLastColumn="0" w:lastRowFirstColumn="0" w:lastRowLastColumn="0"/>
            </w:pPr>
            <w:r w:rsidRPr="00F87E60">
              <w:t xml:space="preserve">Verified Net Savings (MWh)  </w:t>
            </w:r>
          </w:p>
        </w:tc>
      </w:tr>
      <w:tr w:rsidR="00511EBD" w14:paraId="50680E64"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72E6618B" w14:textId="2C3FF605" w:rsidR="00511EBD" w:rsidRDefault="00511EBD" w:rsidP="00511EBD">
            <w:pPr>
              <w:pStyle w:val="TableLeftText"/>
            </w:pPr>
            <w:r w:rsidRPr="00477808">
              <w:t>Dishwashers</w:t>
            </w:r>
          </w:p>
        </w:tc>
        <w:tc>
          <w:tcPr>
            <w:tcW w:w="1890" w:type="dxa"/>
            <w:tcBorders>
              <w:top w:val="none" w:sz="0" w:space="0" w:color="auto"/>
              <w:left w:val="none" w:sz="0" w:space="0" w:color="auto"/>
              <w:bottom w:val="none" w:sz="0" w:space="0" w:color="auto"/>
              <w:right w:val="none" w:sz="0" w:space="0" w:color="auto"/>
            </w:tcBorders>
          </w:tcPr>
          <w:p w14:paraId="0B39185F" w14:textId="735B0872"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154</w:t>
            </w:r>
          </w:p>
        </w:tc>
        <w:tc>
          <w:tcPr>
            <w:tcW w:w="1800" w:type="dxa"/>
            <w:tcBorders>
              <w:top w:val="none" w:sz="0" w:space="0" w:color="auto"/>
              <w:left w:val="none" w:sz="0" w:space="0" w:color="auto"/>
              <w:bottom w:val="none" w:sz="0" w:space="0" w:color="auto"/>
              <w:right w:val="none" w:sz="0" w:space="0" w:color="auto"/>
            </w:tcBorders>
          </w:tcPr>
          <w:p w14:paraId="2868A631" w14:textId="272A9AD8"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100%</w:t>
            </w:r>
          </w:p>
        </w:tc>
        <w:tc>
          <w:tcPr>
            <w:tcW w:w="1800" w:type="dxa"/>
            <w:tcBorders>
              <w:top w:val="none" w:sz="0" w:space="0" w:color="auto"/>
              <w:left w:val="none" w:sz="0" w:space="0" w:color="auto"/>
              <w:bottom w:val="none" w:sz="0" w:space="0" w:color="auto"/>
              <w:right w:val="none" w:sz="0" w:space="0" w:color="auto"/>
            </w:tcBorders>
          </w:tcPr>
          <w:p w14:paraId="51BC69AF" w14:textId="46D63A18"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154</w:t>
            </w:r>
          </w:p>
        </w:tc>
        <w:tc>
          <w:tcPr>
            <w:tcW w:w="971" w:type="dxa"/>
            <w:tcBorders>
              <w:top w:val="none" w:sz="0" w:space="0" w:color="auto"/>
              <w:left w:val="none" w:sz="0" w:space="0" w:color="auto"/>
              <w:bottom w:val="none" w:sz="0" w:space="0" w:color="auto"/>
              <w:right w:val="none" w:sz="0" w:space="0" w:color="auto"/>
            </w:tcBorders>
          </w:tcPr>
          <w:p w14:paraId="442F4E24" w14:textId="6BE82C52"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0.857</w:t>
            </w:r>
          </w:p>
        </w:tc>
        <w:tc>
          <w:tcPr>
            <w:tcW w:w="1850" w:type="dxa"/>
            <w:tcBorders>
              <w:top w:val="none" w:sz="0" w:space="0" w:color="auto"/>
              <w:left w:val="none" w:sz="0" w:space="0" w:color="auto"/>
              <w:bottom w:val="none" w:sz="0" w:space="0" w:color="auto"/>
              <w:right w:val="none" w:sz="0" w:space="0" w:color="auto"/>
            </w:tcBorders>
          </w:tcPr>
          <w:p w14:paraId="65D5A6AC" w14:textId="2727B3D1"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131</w:t>
            </w:r>
          </w:p>
        </w:tc>
      </w:tr>
      <w:tr w:rsidR="00511EBD" w14:paraId="65FDDC31"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42FD0079" w14:textId="20359A0B" w:rsidR="00511EBD" w:rsidRDefault="00511EBD" w:rsidP="00511EBD">
            <w:pPr>
              <w:pStyle w:val="TableLeftText"/>
            </w:pPr>
            <w:r w:rsidRPr="00477808">
              <w:t>Fryers</w:t>
            </w:r>
          </w:p>
        </w:tc>
        <w:tc>
          <w:tcPr>
            <w:tcW w:w="1890" w:type="dxa"/>
            <w:tcBorders>
              <w:top w:val="none" w:sz="0" w:space="0" w:color="auto"/>
              <w:left w:val="none" w:sz="0" w:space="0" w:color="auto"/>
              <w:bottom w:val="none" w:sz="0" w:space="0" w:color="auto"/>
              <w:right w:val="none" w:sz="0" w:space="0" w:color="auto"/>
            </w:tcBorders>
          </w:tcPr>
          <w:p w14:paraId="7F07FC3E" w14:textId="585DD88F"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149</w:t>
            </w:r>
          </w:p>
        </w:tc>
        <w:tc>
          <w:tcPr>
            <w:tcW w:w="1800" w:type="dxa"/>
            <w:tcBorders>
              <w:top w:val="none" w:sz="0" w:space="0" w:color="auto"/>
              <w:left w:val="none" w:sz="0" w:space="0" w:color="auto"/>
              <w:bottom w:val="none" w:sz="0" w:space="0" w:color="auto"/>
              <w:right w:val="none" w:sz="0" w:space="0" w:color="auto"/>
            </w:tcBorders>
          </w:tcPr>
          <w:p w14:paraId="7064D201" w14:textId="63A7E801"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63%</w:t>
            </w:r>
          </w:p>
        </w:tc>
        <w:tc>
          <w:tcPr>
            <w:tcW w:w="1800" w:type="dxa"/>
            <w:tcBorders>
              <w:top w:val="none" w:sz="0" w:space="0" w:color="auto"/>
              <w:left w:val="none" w:sz="0" w:space="0" w:color="auto"/>
              <w:bottom w:val="none" w:sz="0" w:space="0" w:color="auto"/>
              <w:right w:val="none" w:sz="0" w:space="0" w:color="auto"/>
            </w:tcBorders>
          </w:tcPr>
          <w:p w14:paraId="66D95763" w14:textId="2C4F0905"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94</w:t>
            </w:r>
          </w:p>
        </w:tc>
        <w:tc>
          <w:tcPr>
            <w:tcW w:w="971" w:type="dxa"/>
            <w:tcBorders>
              <w:top w:val="none" w:sz="0" w:space="0" w:color="auto"/>
              <w:left w:val="none" w:sz="0" w:space="0" w:color="auto"/>
              <w:bottom w:val="none" w:sz="0" w:space="0" w:color="auto"/>
              <w:right w:val="none" w:sz="0" w:space="0" w:color="auto"/>
            </w:tcBorders>
          </w:tcPr>
          <w:p w14:paraId="3AFA67E0" w14:textId="495DFFCE"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0.912</w:t>
            </w:r>
          </w:p>
        </w:tc>
        <w:tc>
          <w:tcPr>
            <w:tcW w:w="1850" w:type="dxa"/>
            <w:tcBorders>
              <w:top w:val="none" w:sz="0" w:space="0" w:color="auto"/>
              <w:left w:val="none" w:sz="0" w:space="0" w:color="auto"/>
              <w:bottom w:val="none" w:sz="0" w:space="0" w:color="auto"/>
              <w:right w:val="none" w:sz="0" w:space="0" w:color="auto"/>
            </w:tcBorders>
          </w:tcPr>
          <w:p w14:paraId="336FE055" w14:textId="38E18817"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86</w:t>
            </w:r>
          </w:p>
        </w:tc>
      </w:tr>
      <w:tr w:rsidR="00511EBD" w14:paraId="1F3B13B9"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56F5304C" w14:textId="7AC1567E" w:rsidR="00511EBD" w:rsidRDefault="00511EBD" w:rsidP="00511EBD">
            <w:pPr>
              <w:pStyle w:val="TableLeftText"/>
            </w:pPr>
            <w:r w:rsidRPr="00477808">
              <w:t>Refrigerators and Freezers</w:t>
            </w:r>
          </w:p>
        </w:tc>
        <w:tc>
          <w:tcPr>
            <w:tcW w:w="1890" w:type="dxa"/>
            <w:tcBorders>
              <w:top w:val="none" w:sz="0" w:space="0" w:color="auto"/>
              <w:left w:val="none" w:sz="0" w:space="0" w:color="auto"/>
              <w:bottom w:val="none" w:sz="0" w:space="0" w:color="auto"/>
              <w:right w:val="none" w:sz="0" w:space="0" w:color="auto"/>
            </w:tcBorders>
          </w:tcPr>
          <w:p w14:paraId="174AAE0D" w14:textId="782FDA4F"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92</w:t>
            </w:r>
          </w:p>
        </w:tc>
        <w:tc>
          <w:tcPr>
            <w:tcW w:w="1800" w:type="dxa"/>
            <w:tcBorders>
              <w:top w:val="none" w:sz="0" w:space="0" w:color="auto"/>
              <w:left w:val="none" w:sz="0" w:space="0" w:color="auto"/>
              <w:bottom w:val="none" w:sz="0" w:space="0" w:color="auto"/>
              <w:right w:val="none" w:sz="0" w:space="0" w:color="auto"/>
            </w:tcBorders>
          </w:tcPr>
          <w:p w14:paraId="2703E56B" w14:textId="7721DE41"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64%</w:t>
            </w:r>
          </w:p>
        </w:tc>
        <w:tc>
          <w:tcPr>
            <w:tcW w:w="1800" w:type="dxa"/>
            <w:tcBorders>
              <w:top w:val="none" w:sz="0" w:space="0" w:color="auto"/>
              <w:left w:val="none" w:sz="0" w:space="0" w:color="auto"/>
              <w:bottom w:val="none" w:sz="0" w:space="0" w:color="auto"/>
              <w:right w:val="none" w:sz="0" w:space="0" w:color="auto"/>
            </w:tcBorders>
          </w:tcPr>
          <w:p w14:paraId="5B84F24A" w14:textId="7F9833A2"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59</w:t>
            </w:r>
          </w:p>
        </w:tc>
        <w:tc>
          <w:tcPr>
            <w:tcW w:w="971" w:type="dxa"/>
            <w:tcBorders>
              <w:top w:val="none" w:sz="0" w:space="0" w:color="auto"/>
              <w:left w:val="none" w:sz="0" w:space="0" w:color="auto"/>
              <w:bottom w:val="none" w:sz="0" w:space="0" w:color="auto"/>
              <w:right w:val="none" w:sz="0" w:space="0" w:color="auto"/>
            </w:tcBorders>
          </w:tcPr>
          <w:p w14:paraId="164FF879" w14:textId="161785C5"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0.881</w:t>
            </w:r>
          </w:p>
        </w:tc>
        <w:tc>
          <w:tcPr>
            <w:tcW w:w="1850" w:type="dxa"/>
            <w:tcBorders>
              <w:top w:val="none" w:sz="0" w:space="0" w:color="auto"/>
              <w:left w:val="none" w:sz="0" w:space="0" w:color="auto"/>
              <w:bottom w:val="none" w:sz="0" w:space="0" w:color="auto"/>
              <w:right w:val="none" w:sz="0" w:space="0" w:color="auto"/>
            </w:tcBorders>
          </w:tcPr>
          <w:p w14:paraId="14FBE98A" w14:textId="2E52BBDE" w:rsidR="00511EBD"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52</w:t>
            </w:r>
          </w:p>
        </w:tc>
      </w:tr>
      <w:tr w:rsidR="00511EBD" w14:paraId="3A8911BF"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387069B6" w14:textId="4A47325E" w:rsidR="00511EBD" w:rsidRDefault="00511EBD" w:rsidP="00511EBD">
            <w:pPr>
              <w:pStyle w:val="TableLeftText"/>
            </w:pPr>
            <w:r w:rsidRPr="00477808">
              <w:t>Combination Ovens</w:t>
            </w:r>
          </w:p>
        </w:tc>
        <w:tc>
          <w:tcPr>
            <w:tcW w:w="1890" w:type="dxa"/>
            <w:tcBorders>
              <w:top w:val="none" w:sz="0" w:space="0" w:color="auto"/>
              <w:left w:val="none" w:sz="0" w:space="0" w:color="auto"/>
              <w:bottom w:val="none" w:sz="0" w:space="0" w:color="auto"/>
              <w:right w:val="none" w:sz="0" w:space="0" w:color="auto"/>
            </w:tcBorders>
          </w:tcPr>
          <w:p w14:paraId="4B944C39" w14:textId="246263C8"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60</w:t>
            </w:r>
          </w:p>
        </w:tc>
        <w:tc>
          <w:tcPr>
            <w:tcW w:w="1800" w:type="dxa"/>
            <w:tcBorders>
              <w:top w:val="none" w:sz="0" w:space="0" w:color="auto"/>
              <w:left w:val="none" w:sz="0" w:space="0" w:color="auto"/>
              <w:bottom w:val="none" w:sz="0" w:space="0" w:color="auto"/>
              <w:right w:val="none" w:sz="0" w:space="0" w:color="auto"/>
            </w:tcBorders>
          </w:tcPr>
          <w:p w14:paraId="133D1022" w14:textId="6279699D"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105%</w:t>
            </w:r>
          </w:p>
        </w:tc>
        <w:tc>
          <w:tcPr>
            <w:tcW w:w="1800" w:type="dxa"/>
            <w:tcBorders>
              <w:top w:val="none" w:sz="0" w:space="0" w:color="auto"/>
              <w:left w:val="none" w:sz="0" w:space="0" w:color="auto"/>
              <w:bottom w:val="none" w:sz="0" w:space="0" w:color="auto"/>
              <w:right w:val="none" w:sz="0" w:space="0" w:color="auto"/>
            </w:tcBorders>
          </w:tcPr>
          <w:p w14:paraId="28A0B1A2" w14:textId="2BA28FD6"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63</w:t>
            </w:r>
          </w:p>
        </w:tc>
        <w:tc>
          <w:tcPr>
            <w:tcW w:w="971" w:type="dxa"/>
            <w:tcBorders>
              <w:top w:val="none" w:sz="0" w:space="0" w:color="auto"/>
              <w:left w:val="none" w:sz="0" w:space="0" w:color="auto"/>
              <w:bottom w:val="none" w:sz="0" w:space="0" w:color="auto"/>
              <w:right w:val="none" w:sz="0" w:space="0" w:color="auto"/>
            </w:tcBorders>
          </w:tcPr>
          <w:p w14:paraId="37CB600E" w14:textId="1C0791C1"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0.857</w:t>
            </w:r>
          </w:p>
        </w:tc>
        <w:tc>
          <w:tcPr>
            <w:tcW w:w="1850" w:type="dxa"/>
            <w:tcBorders>
              <w:top w:val="none" w:sz="0" w:space="0" w:color="auto"/>
              <w:left w:val="none" w:sz="0" w:space="0" w:color="auto"/>
              <w:bottom w:val="none" w:sz="0" w:space="0" w:color="auto"/>
              <w:right w:val="none" w:sz="0" w:space="0" w:color="auto"/>
            </w:tcBorders>
          </w:tcPr>
          <w:p w14:paraId="1030C883" w14:textId="6D72932E" w:rsidR="00511EBD"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54</w:t>
            </w:r>
          </w:p>
        </w:tc>
      </w:tr>
      <w:tr w:rsidR="00511EBD" w14:paraId="0446EA1E"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0B14B6ED" w14:textId="16E96B54" w:rsidR="00511EBD" w:rsidRPr="00F87E60" w:rsidRDefault="00511EBD" w:rsidP="00511EBD">
            <w:pPr>
              <w:pStyle w:val="TableLeftText"/>
            </w:pPr>
            <w:r w:rsidRPr="00477808">
              <w:t>Steam Cookers</w:t>
            </w:r>
          </w:p>
        </w:tc>
        <w:tc>
          <w:tcPr>
            <w:tcW w:w="1890" w:type="dxa"/>
            <w:tcBorders>
              <w:top w:val="none" w:sz="0" w:space="0" w:color="auto"/>
              <w:left w:val="none" w:sz="0" w:space="0" w:color="auto"/>
              <w:bottom w:val="none" w:sz="0" w:space="0" w:color="auto"/>
              <w:right w:val="none" w:sz="0" w:space="0" w:color="auto"/>
            </w:tcBorders>
          </w:tcPr>
          <w:p w14:paraId="34BA6995" w14:textId="5B2BC20E"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31</w:t>
            </w:r>
          </w:p>
        </w:tc>
        <w:tc>
          <w:tcPr>
            <w:tcW w:w="1800" w:type="dxa"/>
            <w:tcBorders>
              <w:top w:val="none" w:sz="0" w:space="0" w:color="auto"/>
              <w:left w:val="none" w:sz="0" w:space="0" w:color="auto"/>
              <w:bottom w:val="none" w:sz="0" w:space="0" w:color="auto"/>
              <w:right w:val="none" w:sz="0" w:space="0" w:color="auto"/>
            </w:tcBorders>
          </w:tcPr>
          <w:p w14:paraId="6E71378B" w14:textId="4BA094EE"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101%</w:t>
            </w:r>
          </w:p>
        </w:tc>
        <w:tc>
          <w:tcPr>
            <w:tcW w:w="1800" w:type="dxa"/>
            <w:tcBorders>
              <w:top w:val="none" w:sz="0" w:space="0" w:color="auto"/>
              <w:left w:val="none" w:sz="0" w:space="0" w:color="auto"/>
              <w:bottom w:val="none" w:sz="0" w:space="0" w:color="auto"/>
              <w:right w:val="none" w:sz="0" w:space="0" w:color="auto"/>
            </w:tcBorders>
          </w:tcPr>
          <w:p w14:paraId="086CB51A" w14:textId="09D96173"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31</w:t>
            </w:r>
          </w:p>
        </w:tc>
        <w:tc>
          <w:tcPr>
            <w:tcW w:w="971" w:type="dxa"/>
            <w:tcBorders>
              <w:top w:val="none" w:sz="0" w:space="0" w:color="auto"/>
              <w:left w:val="none" w:sz="0" w:space="0" w:color="auto"/>
              <w:bottom w:val="none" w:sz="0" w:space="0" w:color="auto"/>
              <w:right w:val="none" w:sz="0" w:space="0" w:color="auto"/>
            </w:tcBorders>
          </w:tcPr>
          <w:p w14:paraId="4D6C659C" w14:textId="7EA9208C"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0.802</w:t>
            </w:r>
          </w:p>
        </w:tc>
        <w:tc>
          <w:tcPr>
            <w:tcW w:w="1850" w:type="dxa"/>
            <w:tcBorders>
              <w:top w:val="none" w:sz="0" w:space="0" w:color="auto"/>
              <w:left w:val="none" w:sz="0" w:space="0" w:color="auto"/>
              <w:bottom w:val="none" w:sz="0" w:space="0" w:color="auto"/>
              <w:right w:val="none" w:sz="0" w:space="0" w:color="auto"/>
            </w:tcBorders>
          </w:tcPr>
          <w:p w14:paraId="5282F03B" w14:textId="3180C1A5"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25</w:t>
            </w:r>
          </w:p>
        </w:tc>
      </w:tr>
      <w:tr w:rsidR="00511EBD" w14:paraId="057EF714"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2F903CD8" w14:textId="77B91481" w:rsidR="00511EBD" w:rsidRPr="00F87E60" w:rsidRDefault="00511EBD" w:rsidP="00511EBD">
            <w:pPr>
              <w:pStyle w:val="TableLeftText"/>
            </w:pPr>
            <w:r w:rsidRPr="00477808">
              <w:t>Griddles</w:t>
            </w:r>
          </w:p>
        </w:tc>
        <w:tc>
          <w:tcPr>
            <w:tcW w:w="1890" w:type="dxa"/>
            <w:tcBorders>
              <w:top w:val="none" w:sz="0" w:space="0" w:color="auto"/>
              <w:left w:val="none" w:sz="0" w:space="0" w:color="auto"/>
              <w:bottom w:val="none" w:sz="0" w:space="0" w:color="auto"/>
              <w:right w:val="none" w:sz="0" w:space="0" w:color="auto"/>
            </w:tcBorders>
          </w:tcPr>
          <w:p w14:paraId="4B7AE9EF" w14:textId="536408C8"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28</w:t>
            </w:r>
          </w:p>
        </w:tc>
        <w:tc>
          <w:tcPr>
            <w:tcW w:w="1800" w:type="dxa"/>
            <w:tcBorders>
              <w:top w:val="none" w:sz="0" w:space="0" w:color="auto"/>
              <w:left w:val="none" w:sz="0" w:space="0" w:color="auto"/>
              <w:bottom w:val="none" w:sz="0" w:space="0" w:color="auto"/>
              <w:right w:val="none" w:sz="0" w:space="0" w:color="auto"/>
            </w:tcBorders>
          </w:tcPr>
          <w:p w14:paraId="456D49E5" w14:textId="1F8614BC"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98%</w:t>
            </w:r>
          </w:p>
        </w:tc>
        <w:tc>
          <w:tcPr>
            <w:tcW w:w="1800" w:type="dxa"/>
            <w:tcBorders>
              <w:top w:val="none" w:sz="0" w:space="0" w:color="auto"/>
              <w:left w:val="none" w:sz="0" w:space="0" w:color="auto"/>
              <w:bottom w:val="none" w:sz="0" w:space="0" w:color="auto"/>
              <w:right w:val="none" w:sz="0" w:space="0" w:color="auto"/>
            </w:tcBorders>
          </w:tcPr>
          <w:p w14:paraId="0CB8A864" w14:textId="35747A17"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27</w:t>
            </w:r>
          </w:p>
        </w:tc>
        <w:tc>
          <w:tcPr>
            <w:tcW w:w="971" w:type="dxa"/>
            <w:tcBorders>
              <w:top w:val="none" w:sz="0" w:space="0" w:color="auto"/>
              <w:left w:val="none" w:sz="0" w:space="0" w:color="auto"/>
              <w:bottom w:val="none" w:sz="0" w:space="0" w:color="auto"/>
              <w:right w:val="none" w:sz="0" w:space="0" w:color="auto"/>
            </w:tcBorders>
          </w:tcPr>
          <w:p w14:paraId="2320C1C5" w14:textId="579FB7E7"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0.902</w:t>
            </w:r>
          </w:p>
        </w:tc>
        <w:tc>
          <w:tcPr>
            <w:tcW w:w="1850" w:type="dxa"/>
            <w:tcBorders>
              <w:top w:val="none" w:sz="0" w:space="0" w:color="auto"/>
              <w:left w:val="none" w:sz="0" w:space="0" w:color="auto"/>
              <w:bottom w:val="none" w:sz="0" w:space="0" w:color="auto"/>
              <w:right w:val="none" w:sz="0" w:space="0" w:color="auto"/>
            </w:tcBorders>
          </w:tcPr>
          <w:p w14:paraId="3AB67A4F" w14:textId="4AA45F55"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24</w:t>
            </w:r>
          </w:p>
        </w:tc>
      </w:tr>
      <w:tr w:rsidR="00511EBD" w14:paraId="01C59F7F"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72D96D97" w14:textId="015621C9" w:rsidR="00511EBD" w:rsidRPr="00F87E60" w:rsidRDefault="00511EBD" w:rsidP="00511EBD">
            <w:pPr>
              <w:pStyle w:val="TableLeftText"/>
            </w:pPr>
            <w:r w:rsidRPr="00477808">
              <w:t>Automatic Conveyor Broilers</w:t>
            </w:r>
          </w:p>
        </w:tc>
        <w:tc>
          <w:tcPr>
            <w:tcW w:w="1890" w:type="dxa"/>
            <w:tcBorders>
              <w:top w:val="none" w:sz="0" w:space="0" w:color="auto"/>
              <w:left w:val="none" w:sz="0" w:space="0" w:color="auto"/>
              <w:bottom w:val="none" w:sz="0" w:space="0" w:color="auto"/>
              <w:right w:val="none" w:sz="0" w:space="0" w:color="auto"/>
            </w:tcBorders>
          </w:tcPr>
          <w:p w14:paraId="1A4E23F5" w14:textId="52FFC6BD"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24</w:t>
            </w:r>
          </w:p>
        </w:tc>
        <w:tc>
          <w:tcPr>
            <w:tcW w:w="1800" w:type="dxa"/>
            <w:tcBorders>
              <w:top w:val="none" w:sz="0" w:space="0" w:color="auto"/>
              <w:left w:val="none" w:sz="0" w:space="0" w:color="auto"/>
              <w:bottom w:val="none" w:sz="0" w:space="0" w:color="auto"/>
              <w:right w:val="none" w:sz="0" w:space="0" w:color="auto"/>
            </w:tcBorders>
          </w:tcPr>
          <w:p w14:paraId="42C62946" w14:textId="4ECE7B7C"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103%</w:t>
            </w:r>
          </w:p>
        </w:tc>
        <w:tc>
          <w:tcPr>
            <w:tcW w:w="1800" w:type="dxa"/>
            <w:tcBorders>
              <w:top w:val="none" w:sz="0" w:space="0" w:color="auto"/>
              <w:left w:val="none" w:sz="0" w:space="0" w:color="auto"/>
              <w:bottom w:val="none" w:sz="0" w:space="0" w:color="auto"/>
              <w:right w:val="none" w:sz="0" w:space="0" w:color="auto"/>
            </w:tcBorders>
          </w:tcPr>
          <w:p w14:paraId="472A2FE8" w14:textId="34433181"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25</w:t>
            </w:r>
          </w:p>
        </w:tc>
        <w:tc>
          <w:tcPr>
            <w:tcW w:w="971" w:type="dxa"/>
            <w:tcBorders>
              <w:top w:val="none" w:sz="0" w:space="0" w:color="auto"/>
              <w:left w:val="none" w:sz="0" w:space="0" w:color="auto"/>
              <w:bottom w:val="none" w:sz="0" w:space="0" w:color="auto"/>
              <w:right w:val="none" w:sz="0" w:space="0" w:color="auto"/>
            </w:tcBorders>
          </w:tcPr>
          <w:p w14:paraId="387CAA14" w14:textId="6B3FAC3D"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0.800</w:t>
            </w:r>
          </w:p>
        </w:tc>
        <w:tc>
          <w:tcPr>
            <w:tcW w:w="1850" w:type="dxa"/>
            <w:tcBorders>
              <w:top w:val="none" w:sz="0" w:space="0" w:color="auto"/>
              <w:left w:val="none" w:sz="0" w:space="0" w:color="auto"/>
              <w:bottom w:val="none" w:sz="0" w:space="0" w:color="auto"/>
              <w:right w:val="none" w:sz="0" w:space="0" w:color="auto"/>
            </w:tcBorders>
          </w:tcPr>
          <w:p w14:paraId="21959018" w14:textId="448F3784"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20</w:t>
            </w:r>
          </w:p>
        </w:tc>
      </w:tr>
      <w:tr w:rsidR="00511EBD" w14:paraId="6EED6A67"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15847626" w14:textId="69742CD6" w:rsidR="00511EBD" w:rsidRPr="00F87E60" w:rsidRDefault="00511EBD" w:rsidP="00511EBD">
            <w:pPr>
              <w:pStyle w:val="TableLeftText"/>
            </w:pPr>
            <w:r w:rsidRPr="00477808">
              <w:t>Convection Ovens</w:t>
            </w:r>
          </w:p>
        </w:tc>
        <w:tc>
          <w:tcPr>
            <w:tcW w:w="1890" w:type="dxa"/>
            <w:tcBorders>
              <w:top w:val="none" w:sz="0" w:space="0" w:color="auto"/>
              <w:left w:val="none" w:sz="0" w:space="0" w:color="auto"/>
              <w:bottom w:val="none" w:sz="0" w:space="0" w:color="auto"/>
              <w:right w:val="none" w:sz="0" w:space="0" w:color="auto"/>
            </w:tcBorders>
          </w:tcPr>
          <w:p w14:paraId="15B54D53" w14:textId="0B762061"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19</w:t>
            </w:r>
          </w:p>
        </w:tc>
        <w:tc>
          <w:tcPr>
            <w:tcW w:w="1800" w:type="dxa"/>
            <w:tcBorders>
              <w:top w:val="none" w:sz="0" w:space="0" w:color="auto"/>
              <w:left w:val="none" w:sz="0" w:space="0" w:color="auto"/>
              <w:bottom w:val="none" w:sz="0" w:space="0" w:color="auto"/>
              <w:right w:val="none" w:sz="0" w:space="0" w:color="auto"/>
            </w:tcBorders>
          </w:tcPr>
          <w:p w14:paraId="67643880" w14:textId="1650F344"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125%</w:t>
            </w:r>
          </w:p>
        </w:tc>
        <w:tc>
          <w:tcPr>
            <w:tcW w:w="1800" w:type="dxa"/>
            <w:tcBorders>
              <w:top w:val="none" w:sz="0" w:space="0" w:color="auto"/>
              <w:left w:val="none" w:sz="0" w:space="0" w:color="auto"/>
              <w:bottom w:val="none" w:sz="0" w:space="0" w:color="auto"/>
              <w:right w:val="none" w:sz="0" w:space="0" w:color="auto"/>
            </w:tcBorders>
          </w:tcPr>
          <w:p w14:paraId="0AD86E0E" w14:textId="6E0CF710"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24</w:t>
            </w:r>
          </w:p>
        </w:tc>
        <w:tc>
          <w:tcPr>
            <w:tcW w:w="971" w:type="dxa"/>
            <w:tcBorders>
              <w:top w:val="none" w:sz="0" w:space="0" w:color="auto"/>
              <w:left w:val="none" w:sz="0" w:space="0" w:color="auto"/>
              <w:bottom w:val="none" w:sz="0" w:space="0" w:color="auto"/>
              <w:right w:val="none" w:sz="0" w:space="0" w:color="auto"/>
            </w:tcBorders>
          </w:tcPr>
          <w:p w14:paraId="2C02C39D" w14:textId="78C8F0DC"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0.829</w:t>
            </w:r>
          </w:p>
        </w:tc>
        <w:tc>
          <w:tcPr>
            <w:tcW w:w="1850" w:type="dxa"/>
            <w:tcBorders>
              <w:top w:val="none" w:sz="0" w:space="0" w:color="auto"/>
              <w:left w:val="none" w:sz="0" w:space="0" w:color="auto"/>
              <w:bottom w:val="none" w:sz="0" w:space="0" w:color="auto"/>
              <w:right w:val="none" w:sz="0" w:space="0" w:color="auto"/>
            </w:tcBorders>
          </w:tcPr>
          <w:p w14:paraId="01171E2E" w14:textId="0B8967E3"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20</w:t>
            </w:r>
          </w:p>
        </w:tc>
      </w:tr>
      <w:tr w:rsidR="00511EBD" w14:paraId="20A7A116"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2AB6433D" w14:textId="46178881" w:rsidR="00511EBD" w:rsidRPr="00F87E60" w:rsidRDefault="00511EBD" w:rsidP="00511EBD">
            <w:pPr>
              <w:pStyle w:val="TableLeftText"/>
            </w:pPr>
            <w:r w:rsidRPr="00477808">
              <w:lastRenderedPageBreak/>
              <w:t>Ice Machines</w:t>
            </w:r>
          </w:p>
        </w:tc>
        <w:tc>
          <w:tcPr>
            <w:tcW w:w="1890" w:type="dxa"/>
            <w:tcBorders>
              <w:top w:val="none" w:sz="0" w:space="0" w:color="auto"/>
              <w:left w:val="none" w:sz="0" w:space="0" w:color="auto"/>
              <w:bottom w:val="none" w:sz="0" w:space="0" w:color="auto"/>
              <w:right w:val="none" w:sz="0" w:space="0" w:color="auto"/>
            </w:tcBorders>
          </w:tcPr>
          <w:p w14:paraId="2D3E3DC6" w14:textId="1B77759C"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18</w:t>
            </w:r>
          </w:p>
        </w:tc>
        <w:tc>
          <w:tcPr>
            <w:tcW w:w="1800" w:type="dxa"/>
            <w:tcBorders>
              <w:top w:val="none" w:sz="0" w:space="0" w:color="auto"/>
              <w:left w:val="none" w:sz="0" w:space="0" w:color="auto"/>
              <w:bottom w:val="none" w:sz="0" w:space="0" w:color="auto"/>
              <w:right w:val="none" w:sz="0" w:space="0" w:color="auto"/>
            </w:tcBorders>
          </w:tcPr>
          <w:p w14:paraId="47D49AC3" w14:textId="61AA6972"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101%</w:t>
            </w:r>
          </w:p>
        </w:tc>
        <w:tc>
          <w:tcPr>
            <w:tcW w:w="1800" w:type="dxa"/>
            <w:tcBorders>
              <w:top w:val="none" w:sz="0" w:space="0" w:color="auto"/>
              <w:left w:val="none" w:sz="0" w:space="0" w:color="auto"/>
              <w:bottom w:val="none" w:sz="0" w:space="0" w:color="auto"/>
              <w:right w:val="none" w:sz="0" w:space="0" w:color="auto"/>
            </w:tcBorders>
          </w:tcPr>
          <w:p w14:paraId="42420FC5" w14:textId="3ED84FB9"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18</w:t>
            </w:r>
          </w:p>
        </w:tc>
        <w:tc>
          <w:tcPr>
            <w:tcW w:w="971" w:type="dxa"/>
            <w:tcBorders>
              <w:top w:val="none" w:sz="0" w:space="0" w:color="auto"/>
              <w:left w:val="none" w:sz="0" w:space="0" w:color="auto"/>
              <w:bottom w:val="none" w:sz="0" w:space="0" w:color="auto"/>
              <w:right w:val="none" w:sz="0" w:space="0" w:color="auto"/>
            </w:tcBorders>
          </w:tcPr>
          <w:p w14:paraId="7B63C5BD" w14:textId="769990A1"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0.800</w:t>
            </w:r>
          </w:p>
        </w:tc>
        <w:tc>
          <w:tcPr>
            <w:tcW w:w="1850" w:type="dxa"/>
            <w:tcBorders>
              <w:top w:val="none" w:sz="0" w:space="0" w:color="auto"/>
              <w:left w:val="none" w:sz="0" w:space="0" w:color="auto"/>
              <w:bottom w:val="none" w:sz="0" w:space="0" w:color="auto"/>
              <w:right w:val="none" w:sz="0" w:space="0" w:color="auto"/>
            </w:tcBorders>
          </w:tcPr>
          <w:p w14:paraId="3DA5E74F" w14:textId="64C25099" w:rsidR="00511EBD" w:rsidRPr="00F87E60"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pPr>
            <w:r w:rsidRPr="00477808">
              <w:t>15</w:t>
            </w:r>
          </w:p>
        </w:tc>
      </w:tr>
      <w:tr w:rsidR="00511EBD" w14:paraId="52378209" w14:textId="77777777" w:rsidTr="0056272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59DB853C" w14:textId="0DE45B3F" w:rsidR="00511EBD" w:rsidRPr="00F87E60" w:rsidRDefault="00511EBD" w:rsidP="00511EBD">
            <w:pPr>
              <w:pStyle w:val="TableLeftText"/>
            </w:pPr>
            <w:r w:rsidRPr="00477808">
              <w:t>Hot Food Holding Cabinets</w:t>
            </w:r>
          </w:p>
        </w:tc>
        <w:tc>
          <w:tcPr>
            <w:tcW w:w="1890" w:type="dxa"/>
            <w:tcBorders>
              <w:top w:val="none" w:sz="0" w:space="0" w:color="auto"/>
              <w:left w:val="none" w:sz="0" w:space="0" w:color="auto"/>
              <w:bottom w:val="none" w:sz="0" w:space="0" w:color="auto"/>
              <w:right w:val="none" w:sz="0" w:space="0" w:color="auto"/>
            </w:tcBorders>
          </w:tcPr>
          <w:p w14:paraId="55932A22" w14:textId="21907618"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w:t>
            </w:r>
          </w:p>
        </w:tc>
        <w:tc>
          <w:tcPr>
            <w:tcW w:w="1800" w:type="dxa"/>
            <w:tcBorders>
              <w:top w:val="none" w:sz="0" w:space="0" w:color="auto"/>
              <w:left w:val="none" w:sz="0" w:space="0" w:color="auto"/>
              <w:bottom w:val="none" w:sz="0" w:space="0" w:color="auto"/>
              <w:right w:val="none" w:sz="0" w:space="0" w:color="auto"/>
            </w:tcBorders>
          </w:tcPr>
          <w:p w14:paraId="09C4444E" w14:textId="6B0B6135"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95%</w:t>
            </w:r>
          </w:p>
        </w:tc>
        <w:tc>
          <w:tcPr>
            <w:tcW w:w="1800" w:type="dxa"/>
            <w:tcBorders>
              <w:top w:val="none" w:sz="0" w:space="0" w:color="auto"/>
              <w:left w:val="none" w:sz="0" w:space="0" w:color="auto"/>
              <w:bottom w:val="none" w:sz="0" w:space="0" w:color="auto"/>
              <w:right w:val="none" w:sz="0" w:space="0" w:color="auto"/>
            </w:tcBorders>
          </w:tcPr>
          <w:p w14:paraId="497D11AB" w14:textId="5CBBEAE4"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w:t>
            </w:r>
          </w:p>
        </w:tc>
        <w:tc>
          <w:tcPr>
            <w:tcW w:w="971" w:type="dxa"/>
            <w:tcBorders>
              <w:top w:val="none" w:sz="0" w:space="0" w:color="auto"/>
              <w:left w:val="none" w:sz="0" w:space="0" w:color="auto"/>
              <w:bottom w:val="none" w:sz="0" w:space="0" w:color="auto"/>
              <w:right w:val="none" w:sz="0" w:space="0" w:color="auto"/>
            </w:tcBorders>
          </w:tcPr>
          <w:p w14:paraId="5E1BA2D6" w14:textId="18D76C02"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0.800</w:t>
            </w:r>
          </w:p>
        </w:tc>
        <w:tc>
          <w:tcPr>
            <w:tcW w:w="1850" w:type="dxa"/>
            <w:tcBorders>
              <w:top w:val="none" w:sz="0" w:space="0" w:color="auto"/>
              <w:left w:val="none" w:sz="0" w:space="0" w:color="auto"/>
              <w:bottom w:val="none" w:sz="0" w:space="0" w:color="auto"/>
              <w:right w:val="none" w:sz="0" w:space="0" w:color="auto"/>
            </w:tcBorders>
          </w:tcPr>
          <w:p w14:paraId="6542E426" w14:textId="7FDAE3F6" w:rsidR="00511EBD" w:rsidRPr="00F87E60" w:rsidRDefault="00511EBD" w:rsidP="00562725">
            <w:pPr>
              <w:pStyle w:val="TableLeftText"/>
              <w:jc w:val="right"/>
              <w:cnfStyle w:val="000000010000" w:firstRow="0" w:lastRow="0" w:firstColumn="0" w:lastColumn="0" w:oddVBand="0" w:evenVBand="0" w:oddHBand="0" w:evenHBand="1" w:firstRowFirstColumn="0" w:firstRowLastColumn="0" w:lastRowFirstColumn="0" w:lastRowLastColumn="0"/>
            </w:pPr>
            <w:r w:rsidRPr="00477808">
              <w:t>1</w:t>
            </w:r>
          </w:p>
        </w:tc>
      </w:tr>
      <w:tr w:rsidR="00511EBD" w14:paraId="09F4E758" w14:textId="77777777" w:rsidTr="005627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5" w:type="dxa"/>
            <w:tcBorders>
              <w:top w:val="none" w:sz="0" w:space="0" w:color="auto"/>
              <w:left w:val="none" w:sz="0" w:space="0" w:color="auto"/>
              <w:bottom w:val="none" w:sz="0" w:space="0" w:color="auto"/>
              <w:right w:val="none" w:sz="0" w:space="0" w:color="auto"/>
            </w:tcBorders>
            <w:vAlign w:val="top"/>
          </w:tcPr>
          <w:p w14:paraId="377AA328" w14:textId="3A22B200" w:rsidR="00511EBD" w:rsidRPr="00B777D6" w:rsidRDefault="00511EBD" w:rsidP="00511EBD">
            <w:pPr>
              <w:pStyle w:val="TableLeftText"/>
              <w:rPr>
                <w:rFonts w:ascii="Franklin Gothic Medium" w:hAnsi="Franklin Gothic Medium"/>
              </w:rPr>
            </w:pPr>
            <w:r w:rsidRPr="00B777D6">
              <w:rPr>
                <w:rFonts w:ascii="Franklin Gothic Medium" w:hAnsi="Franklin Gothic Medium"/>
              </w:rPr>
              <w:t>Total</w:t>
            </w:r>
          </w:p>
        </w:tc>
        <w:tc>
          <w:tcPr>
            <w:tcW w:w="1890" w:type="dxa"/>
            <w:tcBorders>
              <w:top w:val="none" w:sz="0" w:space="0" w:color="auto"/>
              <w:left w:val="none" w:sz="0" w:space="0" w:color="auto"/>
              <w:bottom w:val="none" w:sz="0" w:space="0" w:color="auto"/>
              <w:right w:val="none" w:sz="0" w:space="0" w:color="auto"/>
            </w:tcBorders>
          </w:tcPr>
          <w:p w14:paraId="76D1F60B" w14:textId="65B8D7AA" w:rsidR="00511EBD" w:rsidRPr="00B777D6"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575</w:t>
            </w:r>
          </w:p>
        </w:tc>
        <w:tc>
          <w:tcPr>
            <w:tcW w:w="1800" w:type="dxa"/>
            <w:tcBorders>
              <w:top w:val="none" w:sz="0" w:space="0" w:color="auto"/>
              <w:left w:val="none" w:sz="0" w:space="0" w:color="auto"/>
              <w:bottom w:val="none" w:sz="0" w:space="0" w:color="auto"/>
              <w:right w:val="none" w:sz="0" w:space="0" w:color="auto"/>
            </w:tcBorders>
          </w:tcPr>
          <w:p w14:paraId="6FD8ECE5" w14:textId="6C0052E8" w:rsidR="00511EBD" w:rsidRPr="00B777D6"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86%</w:t>
            </w:r>
          </w:p>
        </w:tc>
        <w:tc>
          <w:tcPr>
            <w:tcW w:w="1800" w:type="dxa"/>
            <w:tcBorders>
              <w:top w:val="none" w:sz="0" w:space="0" w:color="auto"/>
              <w:left w:val="none" w:sz="0" w:space="0" w:color="auto"/>
              <w:bottom w:val="none" w:sz="0" w:space="0" w:color="auto"/>
              <w:right w:val="none" w:sz="0" w:space="0" w:color="auto"/>
            </w:tcBorders>
          </w:tcPr>
          <w:p w14:paraId="7004F26B" w14:textId="48AF848E" w:rsidR="00511EBD" w:rsidRPr="00B777D6"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496</w:t>
            </w:r>
          </w:p>
        </w:tc>
        <w:tc>
          <w:tcPr>
            <w:tcW w:w="971" w:type="dxa"/>
            <w:tcBorders>
              <w:top w:val="none" w:sz="0" w:space="0" w:color="auto"/>
              <w:left w:val="none" w:sz="0" w:space="0" w:color="auto"/>
              <w:bottom w:val="none" w:sz="0" w:space="0" w:color="auto"/>
              <w:right w:val="none" w:sz="0" w:space="0" w:color="auto"/>
            </w:tcBorders>
          </w:tcPr>
          <w:p w14:paraId="08D4DC00" w14:textId="277581C0" w:rsidR="00511EBD" w:rsidRPr="00B777D6"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0.863</w:t>
            </w:r>
          </w:p>
        </w:tc>
        <w:tc>
          <w:tcPr>
            <w:tcW w:w="1850" w:type="dxa"/>
            <w:tcBorders>
              <w:top w:val="none" w:sz="0" w:space="0" w:color="auto"/>
              <w:left w:val="none" w:sz="0" w:space="0" w:color="auto"/>
              <w:bottom w:val="none" w:sz="0" w:space="0" w:color="auto"/>
              <w:right w:val="none" w:sz="0" w:space="0" w:color="auto"/>
            </w:tcBorders>
          </w:tcPr>
          <w:p w14:paraId="6908997B" w14:textId="1C7916C9" w:rsidR="00511EBD" w:rsidRPr="00B777D6" w:rsidRDefault="00511EBD" w:rsidP="00562725">
            <w:pPr>
              <w:pStyle w:val="TableLeft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428</w:t>
            </w:r>
          </w:p>
        </w:tc>
      </w:tr>
    </w:tbl>
    <w:p w14:paraId="32ADDAFF" w14:textId="0B6D20B7" w:rsidR="00511EBD" w:rsidRDefault="00A83819" w:rsidP="00511EBD">
      <w:pPr>
        <w:pStyle w:val="NoSpacing"/>
        <w:spacing w:before="240" w:after="240"/>
      </w:pPr>
      <w:r>
        <w:fldChar w:fldCharType="begin"/>
      </w:r>
      <w:r>
        <w:instrText xml:space="preserve"> REF _Ref191648868 \h </w:instrText>
      </w:r>
      <w:r>
        <w:fldChar w:fldCharType="separate"/>
      </w:r>
      <w:r w:rsidR="00AA10F4">
        <w:t xml:space="preserve">Table </w:t>
      </w:r>
      <w:r w:rsidR="00AA10F4">
        <w:rPr>
          <w:noProof/>
        </w:rPr>
        <w:t>78</w:t>
      </w:r>
      <w:r>
        <w:fldChar w:fldCharType="end"/>
      </w:r>
      <w:r w:rsidR="00824014">
        <w:t xml:space="preserve"> presents the ex ante, verified gross, and verified net electric demand savings achieved through the Midstream Food Service channel in 2024.</w:t>
      </w:r>
      <w:r w:rsidR="00577E29">
        <w:t xml:space="preserve"> </w:t>
      </w:r>
      <w:bookmarkStart w:id="337" w:name="_Ref187327210"/>
      <w:r w:rsidR="00511EBD" w:rsidRPr="00511EBD">
        <w:t xml:space="preserve">The channel achieved a realization rate of 55% for electric demand savings. </w:t>
      </w:r>
      <w:r w:rsidR="00404523">
        <w:t>D</w:t>
      </w:r>
      <w:r w:rsidR="00511EBD" w:rsidRPr="00511EBD">
        <w:t>ishwashers also drove channel demand savings, accounting for 20% of total savings. Overall, the channel experienced a 4</w:t>
      </w:r>
      <w:r w:rsidR="0098743C">
        <w:t>7</w:t>
      </w:r>
      <w:r w:rsidR="00511EBD" w:rsidRPr="00511EBD">
        <w:t>% decrease in verified net electric demand savings compared to 2023.</w:t>
      </w:r>
    </w:p>
    <w:p w14:paraId="2E6C4870" w14:textId="0B51C488" w:rsidR="00824014" w:rsidRDefault="00824014" w:rsidP="00B777D6">
      <w:pPr>
        <w:pStyle w:val="NoSpacing"/>
        <w:keepNext/>
        <w:keepLines/>
        <w:spacing w:before="240" w:after="240"/>
        <w:jc w:val="center"/>
      </w:pPr>
      <w:bookmarkStart w:id="338" w:name="_Ref191648868"/>
      <w:bookmarkStart w:id="339" w:name="_Toc191992599"/>
      <w:bookmarkStart w:id="340" w:name="_Toc192767012"/>
      <w:r>
        <w:t xml:space="preserve">Table </w:t>
      </w:r>
      <w:r w:rsidR="009B4C9A">
        <w:fldChar w:fldCharType="begin"/>
      </w:r>
      <w:r w:rsidR="009B4C9A">
        <w:instrText xml:space="preserve"> SEQ Table \* ARABIC </w:instrText>
      </w:r>
      <w:r w:rsidR="009B4C9A">
        <w:fldChar w:fldCharType="separate"/>
      </w:r>
      <w:r w:rsidR="00AA10F4">
        <w:rPr>
          <w:noProof/>
        </w:rPr>
        <w:t>78</w:t>
      </w:r>
      <w:r w:rsidR="009B4C9A">
        <w:rPr>
          <w:noProof/>
        </w:rPr>
        <w:fldChar w:fldCharType="end"/>
      </w:r>
      <w:bookmarkEnd w:id="337"/>
      <w:bookmarkEnd w:id="338"/>
      <w:r>
        <w:t>. 2024 Midstream Food Service Channel Electric Demand Savings by Measure</w:t>
      </w:r>
      <w:bookmarkEnd w:id="339"/>
      <w:bookmarkEnd w:id="340"/>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824014" w14:paraId="425121F2" w14:textId="77777777" w:rsidTr="0056272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B23AECE" w14:textId="77777777" w:rsidR="00824014" w:rsidRPr="00625570" w:rsidRDefault="00824014" w:rsidP="00B777D6">
            <w:pPr>
              <w:pStyle w:val="TableHeadingLeft"/>
              <w:keepNext/>
              <w:keepLines/>
            </w:pPr>
            <w:r>
              <w:t>Measure Category</w:t>
            </w:r>
          </w:p>
        </w:tc>
        <w:tc>
          <w:tcPr>
            <w:tcW w:w="1644" w:type="dxa"/>
            <w:tcBorders>
              <w:bottom w:val="none" w:sz="0" w:space="0" w:color="auto"/>
            </w:tcBorders>
          </w:tcPr>
          <w:p w14:paraId="72F5DE90" w14:textId="77777777" w:rsidR="00824014" w:rsidRPr="00625570" w:rsidRDefault="00824014"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t>Ex Ante Gross Savings (MW)</w:t>
            </w:r>
          </w:p>
        </w:tc>
        <w:tc>
          <w:tcPr>
            <w:tcW w:w="1644" w:type="dxa"/>
            <w:tcBorders>
              <w:bottom w:val="none" w:sz="0" w:space="0" w:color="auto"/>
            </w:tcBorders>
          </w:tcPr>
          <w:p w14:paraId="5D683053" w14:textId="77777777" w:rsidR="00824014" w:rsidRPr="00625570" w:rsidRDefault="00824014"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t>Gross Realization Rate</w:t>
            </w:r>
          </w:p>
        </w:tc>
        <w:tc>
          <w:tcPr>
            <w:tcW w:w="1644" w:type="dxa"/>
            <w:tcBorders>
              <w:bottom w:val="none" w:sz="0" w:space="0" w:color="auto"/>
            </w:tcBorders>
          </w:tcPr>
          <w:p w14:paraId="0112BD4B" w14:textId="77777777" w:rsidR="00824014" w:rsidRPr="00625570" w:rsidRDefault="00824014"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Gross Savings (MW)</w:t>
            </w:r>
          </w:p>
        </w:tc>
        <w:tc>
          <w:tcPr>
            <w:tcW w:w="1644" w:type="dxa"/>
            <w:tcBorders>
              <w:bottom w:val="none" w:sz="0" w:space="0" w:color="auto"/>
            </w:tcBorders>
          </w:tcPr>
          <w:p w14:paraId="46F49141" w14:textId="77777777" w:rsidR="00824014" w:rsidRPr="00625570" w:rsidRDefault="00824014"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t>NTGR</w:t>
            </w:r>
          </w:p>
        </w:tc>
        <w:tc>
          <w:tcPr>
            <w:tcW w:w="1645" w:type="dxa"/>
            <w:tcBorders>
              <w:bottom w:val="none" w:sz="0" w:space="0" w:color="auto"/>
            </w:tcBorders>
          </w:tcPr>
          <w:p w14:paraId="2F754E7F" w14:textId="77777777" w:rsidR="00824014" w:rsidRPr="00625570" w:rsidRDefault="00824014"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t>Verified Net Savings (MW)</w:t>
            </w:r>
          </w:p>
        </w:tc>
      </w:tr>
      <w:tr w:rsidR="00511EBD" w14:paraId="2DDF5386"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D902984" w14:textId="072ABE66" w:rsidR="00511EBD" w:rsidRPr="00625570" w:rsidRDefault="00511EBD" w:rsidP="00B777D6">
            <w:pPr>
              <w:pStyle w:val="TableLeftText"/>
              <w:keepNext/>
              <w:keepLines/>
            </w:pPr>
            <w:r w:rsidRPr="009B4476">
              <w:t>Dishwashers</w:t>
            </w:r>
          </w:p>
        </w:tc>
        <w:tc>
          <w:tcPr>
            <w:tcW w:w="1644" w:type="dxa"/>
            <w:tcBorders>
              <w:top w:val="none" w:sz="0" w:space="0" w:color="auto"/>
              <w:left w:val="none" w:sz="0" w:space="0" w:color="auto"/>
              <w:bottom w:val="none" w:sz="0" w:space="0" w:color="auto"/>
              <w:right w:val="none" w:sz="0" w:space="0" w:color="auto"/>
            </w:tcBorders>
          </w:tcPr>
          <w:p w14:paraId="5E95764E" w14:textId="0BF653AD"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26E887DF" w14:textId="633E8DEA"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100%</w:t>
            </w:r>
          </w:p>
        </w:tc>
        <w:tc>
          <w:tcPr>
            <w:tcW w:w="1644" w:type="dxa"/>
            <w:tcBorders>
              <w:top w:val="none" w:sz="0" w:space="0" w:color="auto"/>
              <w:left w:val="none" w:sz="0" w:space="0" w:color="auto"/>
              <w:bottom w:val="none" w:sz="0" w:space="0" w:color="auto"/>
              <w:right w:val="none" w:sz="0" w:space="0" w:color="auto"/>
            </w:tcBorders>
          </w:tcPr>
          <w:p w14:paraId="41B14151" w14:textId="6755D8AE"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482388F5" w14:textId="6E3EC75A"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0.857</w:t>
            </w:r>
          </w:p>
        </w:tc>
        <w:tc>
          <w:tcPr>
            <w:tcW w:w="1645" w:type="dxa"/>
            <w:tcBorders>
              <w:top w:val="none" w:sz="0" w:space="0" w:color="auto"/>
              <w:left w:val="none" w:sz="0" w:space="0" w:color="auto"/>
              <w:bottom w:val="none" w:sz="0" w:space="0" w:color="auto"/>
              <w:right w:val="none" w:sz="0" w:space="0" w:color="auto"/>
            </w:tcBorders>
          </w:tcPr>
          <w:p w14:paraId="1649F241" w14:textId="41F5E51D"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r>
      <w:tr w:rsidR="00511EBD" w14:paraId="27AF8610"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B940016" w14:textId="2DB1627F" w:rsidR="00511EBD" w:rsidRPr="00625570" w:rsidRDefault="00511EBD" w:rsidP="00B777D6">
            <w:pPr>
              <w:pStyle w:val="TableLeftText"/>
              <w:keepNext/>
              <w:keepLines/>
            </w:pPr>
            <w:r w:rsidRPr="009B4476">
              <w:t>Fryers</w:t>
            </w:r>
          </w:p>
        </w:tc>
        <w:tc>
          <w:tcPr>
            <w:tcW w:w="1644" w:type="dxa"/>
            <w:tcBorders>
              <w:top w:val="none" w:sz="0" w:space="0" w:color="auto"/>
              <w:left w:val="none" w:sz="0" w:space="0" w:color="auto"/>
              <w:bottom w:val="none" w:sz="0" w:space="0" w:color="auto"/>
              <w:right w:val="none" w:sz="0" w:space="0" w:color="auto"/>
            </w:tcBorders>
          </w:tcPr>
          <w:p w14:paraId="27D445FA" w14:textId="21BF1AAC"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158D5693" w14:textId="2A8FC055"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B4476">
              <w:t>64%</w:t>
            </w:r>
          </w:p>
        </w:tc>
        <w:tc>
          <w:tcPr>
            <w:tcW w:w="1644" w:type="dxa"/>
            <w:tcBorders>
              <w:top w:val="none" w:sz="0" w:space="0" w:color="auto"/>
              <w:left w:val="none" w:sz="0" w:space="0" w:color="auto"/>
              <w:bottom w:val="none" w:sz="0" w:space="0" w:color="auto"/>
              <w:right w:val="none" w:sz="0" w:space="0" w:color="auto"/>
            </w:tcBorders>
          </w:tcPr>
          <w:p w14:paraId="6A3EF534" w14:textId="090B3CE7"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B4476">
              <w:t>0.01</w:t>
            </w:r>
          </w:p>
        </w:tc>
        <w:tc>
          <w:tcPr>
            <w:tcW w:w="1644" w:type="dxa"/>
            <w:tcBorders>
              <w:top w:val="none" w:sz="0" w:space="0" w:color="auto"/>
              <w:left w:val="none" w:sz="0" w:space="0" w:color="auto"/>
              <w:bottom w:val="none" w:sz="0" w:space="0" w:color="auto"/>
              <w:right w:val="none" w:sz="0" w:space="0" w:color="auto"/>
            </w:tcBorders>
          </w:tcPr>
          <w:p w14:paraId="0C51C7C0" w14:textId="29E0C3D5"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0.912</w:t>
            </w:r>
          </w:p>
        </w:tc>
        <w:tc>
          <w:tcPr>
            <w:tcW w:w="1645" w:type="dxa"/>
            <w:tcBorders>
              <w:top w:val="none" w:sz="0" w:space="0" w:color="auto"/>
              <w:left w:val="none" w:sz="0" w:space="0" w:color="auto"/>
              <w:bottom w:val="none" w:sz="0" w:space="0" w:color="auto"/>
              <w:right w:val="none" w:sz="0" w:space="0" w:color="auto"/>
            </w:tcBorders>
          </w:tcPr>
          <w:p w14:paraId="3868CDE4" w14:textId="6A580C6F"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9B4476">
              <w:t>0.01</w:t>
            </w:r>
          </w:p>
        </w:tc>
      </w:tr>
      <w:tr w:rsidR="00511EBD" w14:paraId="5278E8E5"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3B6CC50" w14:textId="4A764630" w:rsidR="00511EBD" w:rsidRPr="00625570" w:rsidRDefault="00511EBD" w:rsidP="00B777D6">
            <w:pPr>
              <w:pStyle w:val="TableLeftText"/>
              <w:keepNext/>
              <w:keepLines/>
            </w:pPr>
            <w:r w:rsidRPr="009B4476">
              <w:t>Refrigerators and Freezers</w:t>
            </w:r>
          </w:p>
        </w:tc>
        <w:tc>
          <w:tcPr>
            <w:tcW w:w="1644" w:type="dxa"/>
            <w:tcBorders>
              <w:top w:val="none" w:sz="0" w:space="0" w:color="auto"/>
              <w:left w:val="none" w:sz="0" w:space="0" w:color="auto"/>
              <w:bottom w:val="none" w:sz="0" w:space="0" w:color="auto"/>
              <w:right w:val="none" w:sz="0" w:space="0" w:color="auto"/>
            </w:tcBorders>
          </w:tcPr>
          <w:p w14:paraId="66C8CAE3" w14:textId="6C10FB89"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401C5EA6" w14:textId="1345B74D"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64%</w:t>
            </w:r>
          </w:p>
        </w:tc>
        <w:tc>
          <w:tcPr>
            <w:tcW w:w="1644" w:type="dxa"/>
            <w:tcBorders>
              <w:top w:val="none" w:sz="0" w:space="0" w:color="auto"/>
              <w:left w:val="none" w:sz="0" w:space="0" w:color="auto"/>
              <w:bottom w:val="none" w:sz="0" w:space="0" w:color="auto"/>
              <w:right w:val="none" w:sz="0" w:space="0" w:color="auto"/>
            </w:tcBorders>
          </w:tcPr>
          <w:p w14:paraId="1B67EDA2" w14:textId="2E6D49FA"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7D1425D5" w14:textId="0C9096A0"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0.881</w:t>
            </w:r>
          </w:p>
        </w:tc>
        <w:tc>
          <w:tcPr>
            <w:tcW w:w="1645" w:type="dxa"/>
            <w:tcBorders>
              <w:top w:val="none" w:sz="0" w:space="0" w:color="auto"/>
              <w:left w:val="none" w:sz="0" w:space="0" w:color="auto"/>
              <w:bottom w:val="none" w:sz="0" w:space="0" w:color="auto"/>
              <w:right w:val="none" w:sz="0" w:space="0" w:color="auto"/>
            </w:tcBorders>
          </w:tcPr>
          <w:p w14:paraId="08FC4F3F" w14:textId="6DE755F2" w:rsidR="00511EBD" w:rsidRPr="00625570"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r>
      <w:tr w:rsidR="00511EBD" w14:paraId="18239B0B"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38B7E33" w14:textId="47E56A83" w:rsidR="00511EBD" w:rsidRPr="00625570" w:rsidRDefault="00511EBD" w:rsidP="00B777D6">
            <w:pPr>
              <w:pStyle w:val="TableLeftText"/>
              <w:keepNext/>
              <w:keepLines/>
            </w:pPr>
            <w:r w:rsidRPr="009B4476">
              <w:t>Combination Ovens</w:t>
            </w:r>
          </w:p>
        </w:tc>
        <w:tc>
          <w:tcPr>
            <w:tcW w:w="1644" w:type="dxa"/>
            <w:tcBorders>
              <w:top w:val="none" w:sz="0" w:space="0" w:color="auto"/>
              <w:left w:val="none" w:sz="0" w:space="0" w:color="auto"/>
              <w:bottom w:val="none" w:sz="0" w:space="0" w:color="auto"/>
              <w:right w:val="none" w:sz="0" w:space="0" w:color="auto"/>
            </w:tcBorders>
          </w:tcPr>
          <w:p w14:paraId="19751850" w14:textId="3137CF01"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0.03</w:t>
            </w:r>
          </w:p>
        </w:tc>
        <w:tc>
          <w:tcPr>
            <w:tcW w:w="1644" w:type="dxa"/>
            <w:tcBorders>
              <w:top w:val="none" w:sz="0" w:space="0" w:color="auto"/>
              <w:left w:val="none" w:sz="0" w:space="0" w:color="auto"/>
              <w:bottom w:val="none" w:sz="0" w:space="0" w:color="auto"/>
              <w:right w:val="none" w:sz="0" w:space="0" w:color="auto"/>
            </w:tcBorders>
          </w:tcPr>
          <w:p w14:paraId="3C3267DD" w14:textId="246F9AB7"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18%</w:t>
            </w:r>
          </w:p>
        </w:tc>
        <w:tc>
          <w:tcPr>
            <w:tcW w:w="1644" w:type="dxa"/>
            <w:tcBorders>
              <w:top w:val="none" w:sz="0" w:space="0" w:color="auto"/>
              <w:left w:val="none" w:sz="0" w:space="0" w:color="auto"/>
              <w:bottom w:val="none" w:sz="0" w:space="0" w:color="auto"/>
              <w:right w:val="none" w:sz="0" w:space="0" w:color="auto"/>
            </w:tcBorders>
          </w:tcPr>
          <w:p w14:paraId="74C768F7" w14:textId="54EFC752"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2112CA36" w14:textId="5E05C3E4"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0.857</w:t>
            </w:r>
          </w:p>
        </w:tc>
        <w:tc>
          <w:tcPr>
            <w:tcW w:w="1645" w:type="dxa"/>
            <w:tcBorders>
              <w:top w:val="none" w:sz="0" w:space="0" w:color="auto"/>
              <w:left w:val="none" w:sz="0" w:space="0" w:color="auto"/>
              <w:bottom w:val="none" w:sz="0" w:space="0" w:color="auto"/>
              <w:right w:val="none" w:sz="0" w:space="0" w:color="auto"/>
            </w:tcBorders>
          </w:tcPr>
          <w:p w14:paraId="68E44478" w14:textId="08DC8371" w:rsidR="00511EBD" w:rsidRPr="00625570"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0.01</w:t>
            </w:r>
          </w:p>
        </w:tc>
      </w:tr>
      <w:tr w:rsidR="00511EBD" w14:paraId="78C3C5CC"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B2E28F9" w14:textId="57833BF8" w:rsidR="00511EBD" w:rsidRDefault="00511EBD" w:rsidP="00B777D6">
            <w:pPr>
              <w:pStyle w:val="TableLeftText"/>
              <w:keepNext/>
              <w:keepLines/>
            </w:pPr>
            <w:r w:rsidRPr="009B4476">
              <w:t>Steam Cookers</w:t>
            </w:r>
          </w:p>
        </w:tc>
        <w:tc>
          <w:tcPr>
            <w:tcW w:w="1644" w:type="dxa"/>
            <w:tcBorders>
              <w:top w:val="none" w:sz="0" w:space="0" w:color="auto"/>
              <w:left w:val="none" w:sz="0" w:space="0" w:color="auto"/>
              <w:bottom w:val="none" w:sz="0" w:space="0" w:color="auto"/>
              <w:right w:val="none" w:sz="0" w:space="0" w:color="auto"/>
            </w:tcBorders>
          </w:tcPr>
          <w:p w14:paraId="34E6CE2C" w14:textId="05383A14" w:rsidR="00511EBD"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15802F40" w14:textId="27CA4CFB" w:rsidR="00511EBD" w:rsidRPr="00987F21"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100%</w:t>
            </w:r>
          </w:p>
        </w:tc>
        <w:tc>
          <w:tcPr>
            <w:tcW w:w="1644" w:type="dxa"/>
            <w:tcBorders>
              <w:top w:val="none" w:sz="0" w:space="0" w:color="auto"/>
              <w:left w:val="none" w:sz="0" w:space="0" w:color="auto"/>
              <w:bottom w:val="none" w:sz="0" w:space="0" w:color="auto"/>
              <w:right w:val="none" w:sz="0" w:space="0" w:color="auto"/>
            </w:tcBorders>
          </w:tcPr>
          <w:p w14:paraId="71A165BE" w14:textId="41CE6F17" w:rsidR="00511EBD"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57C90C67" w14:textId="3FA36F16" w:rsidR="00511EBD" w:rsidRPr="00987F21"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0.800</w:t>
            </w:r>
          </w:p>
        </w:tc>
        <w:tc>
          <w:tcPr>
            <w:tcW w:w="1645" w:type="dxa"/>
            <w:tcBorders>
              <w:top w:val="none" w:sz="0" w:space="0" w:color="auto"/>
              <w:left w:val="none" w:sz="0" w:space="0" w:color="auto"/>
              <w:bottom w:val="none" w:sz="0" w:space="0" w:color="auto"/>
              <w:right w:val="none" w:sz="0" w:space="0" w:color="auto"/>
            </w:tcBorders>
          </w:tcPr>
          <w:p w14:paraId="56EDB84A" w14:textId="46127D75" w:rsidR="00511EBD" w:rsidRDefault="00511EBD"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9B4476">
              <w:t>&lt;0.01</w:t>
            </w:r>
          </w:p>
        </w:tc>
      </w:tr>
      <w:tr w:rsidR="00511EBD" w14:paraId="0373A67E"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98817ED" w14:textId="65548273" w:rsidR="00511EBD" w:rsidRDefault="00511EBD" w:rsidP="00B777D6">
            <w:pPr>
              <w:pStyle w:val="TableLeftText"/>
              <w:keepNext/>
              <w:keepLines/>
            </w:pPr>
            <w:r w:rsidRPr="009B4476">
              <w:t>Griddles</w:t>
            </w:r>
          </w:p>
        </w:tc>
        <w:tc>
          <w:tcPr>
            <w:tcW w:w="1644" w:type="dxa"/>
            <w:tcBorders>
              <w:top w:val="none" w:sz="0" w:space="0" w:color="auto"/>
              <w:left w:val="none" w:sz="0" w:space="0" w:color="auto"/>
              <w:bottom w:val="none" w:sz="0" w:space="0" w:color="auto"/>
              <w:right w:val="none" w:sz="0" w:space="0" w:color="auto"/>
            </w:tcBorders>
          </w:tcPr>
          <w:p w14:paraId="450A9978" w14:textId="6058917B" w:rsidR="00511EBD"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42AE572D" w14:textId="5151EC86" w:rsidR="00511EBD" w:rsidRPr="00987F21"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98%</w:t>
            </w:r>
          </w:p>
        </w:tc>
        <w:tc>
          <w:tcPr>
            <w:tcW w:w="1644" w:type="dxa"/>
            <w:tcBorders>
              <w:top w:val="none" w:sz="0" w:space="0" w:color="auto"/>
              <w:left w:val="none" w:sz="0" w:space="0" w:color="auto"/>
              <w:bottom w:val="none" w:sz="0" w:space="0" w:color="auto"/>
              <w:right w:val="none" w:sz="0" w:space="0" w:color="auto"/>
            </w:tcBorders>
          </w:tcPr>
          <w:p w14:paraId="3553373C" w14:textId="439D2F1B" w:rsidR="00511EBD"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547AC320" w14:textId="272435CE" w:rsidR="00511EBD" w:rsidRPr="00987F21"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0.902</w:t>
            </w:r>
          </w:p>
        </w:tc>
        <w:tc>
          <w:tcPr>
            <w:tcW w:w="1645" w:type="dxa"/>
            <w:tcBorders>
              <w:top w:val="none" w:sz="0" w:space="0" w:color="auto"/>
              <w:left w:val="none" w:sz="0" w:space="0" w:color="auto"/>
              <w:bottom w:val="none" w:sz="0" w:space="0" w:color="auto"/>
              <w:right w:val="none" w:sz="0" w:space="0" w:color="auto"/>
            </w:tcBorders>
          </w:tcPr>
          <w:p w14:paraId="049C83A9" w14:textId="747AB4DB" w:rsidR="00511EBD" w:rsidRDefault="00511EBD"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9B4476">
              <w:t>&lt;0.01</w:t>
            </w:r>
          </w:p>
        </w:tc>
      </w:tr>
      <w:tr w:rsidR="00511EBD" w14:paraId="2EAE9FDB"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6C6D6D1" w14:textId="20243F2C" w:rsidR="00511EBD" w:rsidRDefault="00511EBD" w:rsidP="00B777D6">
            <w:pPr>
              <w:pStyle w:val="TableLeftText"/>
            </w:pPr>
            <w:r w:rsidRPr="009B4476">
              <w:t>Automatic Conveyor Broilers</w:t>
            </w:r>
          </w:p>
        </w:tc>
        <w:tc>
          <w:tcPr>
            <w:tcW w:w="1644" w:type="dxa"/>
            <w:tcBorders>
              <w:top w:val="none" w:sz="0" w:space="0" w:color="auto"/>
              <w:left w:val="none" w:sz="0" w:space="0" w:color="auto"/>
              <w:bottom w:val="none" w:sz="0" w:space="0" w:color="auto"/>
              <w:right w:val="none" w:sz="0" w:space="0" w:color="auto"/>
            </w:tcBorders>
          </w:tcPr>
          <w:p w14:paraId="152BB565" w14:textId="53291DC4"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0.01</w:t>
            </w:r>
          </w:p>
        </w:tc>
        <w:tc>
          <w:tcPr>
            <w:tcW w:w="1644" w:type="dxa"/>
            <w:tcBorders>
              <w:top w:val="none" w:sz="0" w:space="0" w:color="auto"/>
              <w:left w:val="none" w:sz="0" w:space="0" w:color="auto"/>
              <w:bottom w:val="none" w:sz="0" w:space="0" w:color="auto"/>
              <w:right w:val="none" w:sz="0" w:space="0" w:color="auto"/>
            </w:tcBorders>
          </w:tcPr>
          <w:p w14:paraId="48DA9046" w14:textId="0591DCEC" w:rsidR="00511EBD" w:rsidRPr="00987F21"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81%</w:t>
            </w:r>
          </w:p>
        </w:tc>
        <w:tc>
          <w:tcPr>
            <w:tcW w:w="1644" w:type="dxa"/>
            <w:tcBorders>
              <w:top w:val="none" w:sz="0" w:space="0" w:color="auto"/>
              <w:left w:val="none" w:sz="0" w:space="0" w:color="auto"/>
              <w:bottom w:val="none" w:sz="0" w:space="0" w:color="auto"/>
              <w:right w:val="none" w:sz="0" w:space="0" w:color="auto"/>
            </w:tcBorders>
          </w:tcPr>
          <w:p w14:paraId="03DDAA32" w14:textId="52F13C0B"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69D6EEB1" w14:textId="15F04089" w:rsidR="00511EBD" w:rsidRPr="00987F21"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0.800</w:t>
            </w:r>
          </w:p>
        </w:tc>
        <w:tc>
          <w:tcPr>
            <w:tcW w:w="1645" w:type="dxa"/>
            <w:tcBorders>
              <w:top w:val="none" w:sz="0" w:space="0" w:color="auto"/>
              <w:left w:val="none" w:sz="0" w:space="0" w:color="auto"/>
              <w:bottom w:val="none" w:sz="0" w:space="0" w:color="auto"/>
              <w:right w:val="none" w:sz="0" w:space="0" w:color="auto"/>
            </w:tcBorders>
          </w:tcPr>
          <w:p w14:paraId="758FF4C8" w14:textId="3CE6FBE8"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&lt;0.01</w:t>
            </w:r>
          </w:p>
        </w:tc>
      </w:tr>
      <w:tr w:rsidR="00511EBD" w14:paraId="00C0B38D"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C37707E" w14:textId="2814CB9C" w:rsidR="00511EBD" w:rsidRDefault="00511EBD" w:rsidP="00B777D6">
            <w:pPr>
              <w:pStyle w:val="TableLeftText"/>
            </w:pPr>
            <w:r w:rsidRPr="009B4476">
              <w:t>Convection Ovens</w:t>
            </w:r>
          </w:p>
        </w:tc>
        <w:tc>
          <w:tcPr>
            <w:tcW w:w="1644" w:type="dxa"/>
            <w:tcBorders>
              <w:top w:val="none" w:sz="0" w:space="0" w:color="auto"/>
              <w:left w:val="none" w:sz="0" w:space="0" w:color="auto"/>
              <w:bottom w:val="none" w:sz="0" w:space="0" w:color="auto"/>
              <w:right w:val="none" w:sz="0" w:space="0" w:color="auto"/>
            </w:tcBorders>
          </w:tcPr>
          <w:p w14:paraId="75E38D1A" w14:textId="1EF569D1"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35A91E0D" w14:textId="58A4B0B9" w:rsidR="00511EBD" w:rsidRPr="00987F21"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74%</w:t>
            </w:r>
          </w:p>
        </w:tc>
        <w:tc>
          <w:tcPr>
            <w:tcW w:w="1644" w:type="dxa"/>
            <w:tcBorders>
              <w:top w:val="none" w:sz="0" w:space="0" w:color="auto"/>
              <w:left w:val="none" w:sz="0" w:space="0" w:color="auto"/>
              <w:bottom w:val="none" w:sz="0" w:space="0" w:color="auto"/>
              <w:right w:val="none" w:sz="0" w:space="0" w:color="auto"/>
            </w:tcBorders>
          </w:tcPr>
          <w:p w14:paraId="33F29916" w14:textId="02150469"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7CE7BBF4" w14:textId="4D16F714" w:rsidR="00511EBD" w:rsidRPr="00987F21"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0.829</w:t>
            </w:r>
          </w:p>
        </w:tc>
        <w:tc>
          <w:tcPr>
            <w:tcW w:w="1645" w:type="dxa"/>
            <w:tcBorders>
              <w:top w:val="none" w:sz="0" w:space="0" w:color="auto"/>
              <w:left w:val="none" w:sz="0" w:space="0" w:color="auto"/>
              <w:bottom w:val="none" w:sz="0" w:space="0" w:color="auto"/>
              <w:right w:val="none" w:sz="0" w:space="0" w:color="auto"/>
            </w:tcBorders>
          </w:tcPr>
          <w:p w14:paraId="61226D1C" w14:textId="0CCDB41B"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r>
      <w:tr w:rsidR="00511EBD" w14:paraId="4B53CDA6"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094FC19" w14:textId="268E1AEE" w:rsidR="00511EBD" w:rsidRDefault="00511EBD" w:rsidP="00B777D6">
            <w:pPr>
              <w:pStyle w:val="TableLeftText"/>
            </w:pPr>
            <w:r w:rsidRPr="009B4476">
              <w:t>Ice Machines</w:t>
            </w:r>
          </w:p>
        </w:tc>
        <w:tc>
          <w:tcPr>
            <w:tcW w:w="1644" w:type="dxa"/>
            <w:tcBorders>
              <w:top w:val="none" w:sz="0" w:space="0" w:color="auto"/>
              <w:left w:val="none" w:sz="0" w:space="0" w:color="auto"/>
              <w:bottom w:val="none" w:sz="0" w:space="0" w:color="auto"/>
              <w:right w:val="none" w:sz="0" w:space="0" w:color="auto"/>
            </w:tcBorders>
          </w:tcPr>
          <w:p w14:paraId="2E982599" w14:textId="433A4379"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1DE7223F" w14:textId="58C463B1" w:rsidR="00511EBD" w:rsidRPr="00987F21"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89%</w:t>
            </w:r>
          </w:p>
        </w:tc>
        <w:tc>
          <w:tcPr>
            <w:tcW w:w="1644" w:type="dxa"/>
            <w:tcBorders>
              <w:top w:val="none" w:sz="0" w:space="0" w:color="auto"/>
              <w:left w:val="none" w:sz="0" w:space="0" w:color="auto"/>
              <w:bottom w:val="none" w:sz="0" w:space="0" w:color="auto"/>
              <w:right w:val="none" w:sz="0" w:space="0" w:color="auto"/>
            </w:tcBorders>
          </w:tcPr>
          <w:p w14:paraId="47197F30" w14:textId="6069A966"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38312609" w14:textId="6FE5DA07" w:rsidR="00511EBD" w:rsidRPr="00987F21"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0.800</w:t>
            </w:r>
          </w:p>
        </w:tc>
        <w:tc>
          <w:tcPr>
            <w:tcW w:w="1645" w:type="dxa"/>
            <w:tcBorders>
              <w:top w:val="none" w:sz="0" w:space="0" w:color="auto"/>
              <w:left w:val="none" w:sz="0" w:space="0" w:color="auto"/>
              <w:bottom w:val="none" w:sz="0" w:space="0" w:color="auto"/>
              <w:right w:val="none" w:sz="0" w:space="0" w:color="auto"/>
            </w:tcBorders>
          </w:tcPr>
          <w:p w14:paraId="508CF9B1" w14:textId="3736E56A" w:rsidR="00511EBD"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9B4476">
              <w:t>&lt;0.01</w:t>
            </w:r>
          </w:p>
        </w:tc>
      </w:tr>
      <w:tr w:rsidR="00511EBD" w14:paraId="6A77390C"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90524AE" w14:textId="741BE6D2" w:rsidR="00511EBD" w:rsidRDefault="00511EBD" w:rsidP="00B777D6">
            <w:pPr>
              <w:pStyle w:val="TableLeftText"/>
            </w:pPr>
            <w:r w:rsidRPr="009B4476">
              <w:t>Hot Food Holding Cabinets</w:t>
            </w:r>
          </w:p>
        </w:tc>
        <w:tc>
          <w:tcPr>
            <w:tcW w:w="1644" w:type="dxa"/>
            <w:tcBorders>
              <w:top w:val="none" w:sz="0" w:space="0" w:color="auto"/>
              <w:left w:val="none" w:sz="0" w:space="0" w:color="auto"/>
              <w:bottom w:val="none" w:sz="0" w:space="0" w:color="auto"/>
              <w:right w:val="none" w:sz="0" w:space="0" w:color="auto"/>
            </w:tcBorders>
          </w:tcPr>
          <w:p w14:paraId="055D1D14" w14:textId="6FC74D36"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60313106" w14:textId="6C3B298D" w:rsidR="00511EBD" w:rsidRPr="00987F21"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16%</w:t>
            </w:r>
          </w:p>
        </w:tc>
        <w:tc>
          <w:tcPr>
            <w:tcW w:w="1644" w:type="dxa"/>
            <w:tcBorders>
              <w:top w:val="none" w:sz="0" w:space="0" w:color="auto"/>
              <w:left w:val="none" w:sz="0" w:space="0" w:color="auto"/>
              <w:bottom w:val="none" w:sz="0" w:space="0" w:color="auto"/>
              <w:right w:val="none" w:sz="0" w:space="0" w:color="auto"/>
            </w:tcBorders>
          </w:tcPr>
          <w:p w14:paraId="5A32AC30" w14:textId="467A7169"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c>
          <w:tcPr>
            <w:tcW w:w="1644" w:type="dxa"/>
            <w:tcBorders>
              <w:top w:val="none" w:sz="0" w:space="0" w:color="auto"/>
              <w:left w:val="none" w:sz="0" w:space="0" w:color="auto"/>
              <w:bottom w:val="none" w:sz="0" w:space="0" w:color="auto"/>
              <w:right w:val="none" w:sz="0" w:space="0" w:color="auto"/>
            </w:tcBorders>
          </w:tcPr>
          <w:p w14:paraId="650494B0" w14:textId="3D620DCC" w:rsidR="00511EBD" w:rsidRPr="00987F21"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0.800</w:t>
            </w:r>
          </w:p>
        </w:tc>
        <w:tc>
          <w:tcPr>
            <w:tcW w:w="1645" w:type="dxa"/>
            <w:tcBorders>
              <w:top w:val="none" w:sz="0" w:space="0" w:color="auto"/>
              <w:left w:val="none" w:sz="0" w:space="0" w:color="auto"/>
              <w:bottom w:val="none" w:sz="0" w:space="0" w:color="auto"/>
              <w:right w:val="none" w:sz="0" w:space="0" w:color="auto"/>
            </w:tcBorders>
          </w:tcPr>
          <w:p w14:paraId="7BC90950" w14:textId="3351BCC1" w:rsidR="00511EBD" w:rsidRDefault="00511EBD"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9B4476">
              <w:t>&lt;0.01</w:t>
            </w:r>
          </w:p>
        </w:tc>
      </w:tr>
      <w:tr w:rsidR="00511EBD" w14:paraId="3573C1A5"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8FFBA9B" w14:textId="116CA825" w:rsidR="00511EBD" w:rsidRPr="00B777D6" w:rsidRDefault="00511EBD" w:rsidP="00B777D6">
            <w:pPr>
              <w:pStyle w:val="TableTextLeftMedium"/>
            </w:pPr>
            <w:r w:rsidRPr="00B777D6">
              <w:t>Total</w:t>
            </w:r>
          </w:p>
        </w:tc>
        <w:tc>
          <w:tcPr>
            <w:tcW w:w="1644" w:type="dxa"/>
            <w:tcBorders>
              <w:top w:val="none" w:sz="0" w:space="0" w:color="auto"/>
              <w:left w:val="none" w:sz="0" w:space="0" w:color="auto"/>
              <w:bottom w:val="none" w:sz="0" w:space="0" w:color="auto"/>
              <w:right w:val="none" w:sz="0" w:space="0" w:color="auto"/>
            </w:tcBorders>
          </w:tcPr>
          <w:p w14:paraId="75A69C54" w14:textId="67E30E6F" w:rsidR="00511EBD" w:rsidRPr="00B777D6"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0.08</w:t>
            </w:r>
          </w:p>
        </w:tc>
        <w:tc>
          <w:tcPr>
            <w:tcW w:w="1644" w:type="dxa"/>
            <w:tcBorders>
              <w:top w:val="none" w:sz="0" w:space="0" w:color="auto"/>
              <w:left w:val="none" w:sz="0" w:space="0" w:color="auto"/>
              <w:bottom w:val="none" w:sz="0" w:space="0" w:color="auto"/>
              <w:right w:val="none" w:sz="0" w:space="0" w:color="auto"/>
            </w:tcBorders>
          </w:tcPr>
          <w:p w14:paraId="13C8426C" w14:textId="7B4895DB" w:rsidR="00511EBD" w:rsidRPr="00B777D6"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55%</w:t>
            </w:r>
          </w:p>
        </w:tc>
        <w:tc>
          <w:tcPr>
            <w:tcW w:w="1644" w:type="dxa"/>
            <w:tcBorders>
              <w:top w:val="none" w:sz="0" w:space="0" w:color="auto"/>
              <w:left w:val="none" w:sz="0" w:space="0" w:color="auto"/>
              <w:bottom w:val="none" w:sz="0" w:space="0" w:color="auto"/>
              <w:right w:val="none" w:sz="0" w:space="0" w:color="auto"/>
            </w:tcBorders>
          </w:tcPr>
          <w:p w14:paraId="04A8DF1D" w14:textId="53B94142" w:rsidR="00511EBD" w:rsidRPr="00B777D6"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0.05</w:t>
            </w:r>
          </w:p>
        </w:tc>
        <w:tc>
          <w:tcPr>
            <w:tcW w:w="1644" w:type="dxa"/>
            <w:tcBorders>
              <w:top w:val="none" w:sz="0" w:space="0" w:color="auto"/>
              <w:left w:val="none" w:sz="0" w:space="0" w:color="auto"/>
              <w:bottom w:val="none" w:sz="0" w:space="0" w:color="auto"/>
              <w:right w:val="none" w:sz="0" w:space="0" w:color="auto"/>
            </w:tcBorders>
          </w:tcPr>
          <w:p w14:paraId="5D83FFA6" w14:textId="56F0076D" w:rsidR="00511EBD" w:rsidRPr="00B777D6"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0.853</w:t>
            </w:r>
          </w:p>
        </w:tc>
        <w:tc>
          <w:tcPr>
            <w:tcW w:w="1645" w:type="dxa"/>
            <w:tcBorders>
              <w:top w:val="none" w:sz="0" w:space="0" w:color="auto"/>
              <w:left w:val="none" w:sz="0" w:space="0" w:color="auto"/>
              <w:bottom w:val="none" w:sz="0" w:space="0" w:color="auto"/>
              <w:right w:val="none" w:sz="0" w:space="0" w:color="auto"/>
            </w:tcBorders>
          </w:tcPr>
          <w:p w14:paraId="2BF37246" w14:textId="7DFE2211" w:rsidR="00511EBD" w:rsidRPr="00B777D6" w:rsidRDefault="00511EBD" w:rsidP="00562725">
            <w:pPr>
              <w:pStyle w:val="TableCenterText"/>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highlight w:val="yellow"/>
              </w:rPr>
            </w:pPr>
            <w:r w:rsidRPr="00B777D6">
              <w:rPr>
                <w:rFonts w:ascii="Franklin Gothic Medium" w:hAnsi="Franklin Gothic Medium"/>
              </w:rPr>
              <w:t>0.04</w:t>
            </w:r>
          </w:p>
        </w:tc>
      </w:tr>
    </w:tbl>
    <w:p w14:paraId="54192B83" w14:textId="79BDE9E4" w:rsidR="00511EBD" w:rsidRDefault="00A83819" w:rsidP="00511EBD">
      <w:pPr>
        <w:spacing w:before="240"/>
      </w:pPr>
      <w:r>
        <w:fldChar w:fldCharType="begin"/>
      </w:r>
      <w:r>
        <w:instrText xml:space="preserve"> REF _Ref191648902 \h </w:instrText>
      </w:r>
      <w:r>
        <w:fldChar w:fldCharType="separate"/>
      </w:r>
      <w:r w:rsidR="00AA10F4">
        <w:t xml:space="preserve">Table </w:t>
      </w:r>
      <w:r w:rsidR="00AA10F4">
        <w:rPr>
          <w:noProof/>
        </w:rPr>
        <w:t>79</w:t>
      </w:r>
      <w:r>
        <w:fldChar w:fldCharType="end"/>
      </w:r>
      <w:r>
        <w:t xml:space="preserve"> </w:t>
      </w:r>
      <w:r w:rsidR="00824014">
        <w:t xml:space="preserve">presents the ex ante, verified gross, and verified net gas savings achieved through the Midstream </w:t>
      </w:r>
      <w:r w:rsidR="00F262C3">
        <w:t>Food Service</w:t>
      </w:r>
      <w:r w:rsidR="00824014">
        <w:t xml:space="preserve"> channel in 2024.</w:t>
      </w:r>
      <w:r w:rsidR="00577E29">
        <w:t xml:space="preserve"> </w:t>
      </w:r>
      <w:bookmarkStart w:id="341" w:name="_Ref187327221"/>
      <w:r w:rsidR="00511EBD" w:rsidRPr="00511EBD">
        <w:t xml:space="preserve">The channel achieved a realization rate of 114% for gas savings. Overall, the channel experienced </w:t>
      </w:r>
      <w:r w:rsidR="00404523" w:rsidRPr="00511EBD">
        <w:t>an</w:t>
      </w:r>
      <w:r w:rsidR="00511EBD" w:rsidRPr="00511EBD">
        <w:t xml:space="preserve"> 8</w:t>
      </w:r>
      <w:r w:rsidR="0098743C">
        <w:t>5</w:t>
      </w:r>
      <w:r w:rsidR="00511EBD" w:rsidRPr="00511EBD">
        <w:t>% increase in verified net gas savings compared to 2023.</w:t>
      </w:r>
    </w:p>
    <w:p w14:paraId="68CA7AF6" w14:textId="644DA5C8" w:rsidR="00824014" w:rsidRDefault="00824014" w:rsidP="00511EBD">
      <w:pPr>
        <w:spacing w:before="240"/>
        <w:jc w:val="center"/>
      </w:pPr>
      <w:bookmarkStart w:id="342" w:name="_Ref191648902"/>
      <w:bookmarkStart w:id="343" w:name="_Toc191992600"/>
      <w:bookmarkStart w:id="344" w:name="_Toc192767013"/>
      <w:r>
        <w:t xml:space="preserve">Table </w:t>
      </w:r>
      <w:r w:rsidR="009B4C9A">
        <w:fldChar w:fldCharType="begin"/>
      </w:r>
      <w:r w:rsidR="009B4C9A">
        <w:instrText xml:space="preserve"> SEQ Table \* ARABIC </w:instrText>
      </w:r>
      <w:r w:rsidR="009B4C9A">
        <w:fldChar w:fldCharType="separate"/>
      </w:r>
      <w:r w:rsidR="00AA10F4">
        <w:rPr>
          <w:noProof/>
        </w:rPr>
        <w:t>79</w:t>
      </w:r>
      <w:r w:rsidR="009B4C9A">
        <w:rPr>
          <w:noProof/>
        </w:rPr>
        <w:fldChar w:fldCharType="end"/>
      </w:r>
      <w:bookmarkEnd w:id="341"/>
      <w:bookmarkEnd w:id="342"/>
      <w:r>
        <w:t xml:space="preserve">. 2024 Midstream </w:t>
      </w:r>
      <w:r w:rsidR="00F262C3">
        <w:t>Food Service</w:t>
      </w:r>
      <w:r>
        <w:t xml:space="preserve"> Channel Gas Savings by Measure</w:t>
      </w:r>
      <w:bookmarkEnd w:id="343"/>
      <w:bookmarkEnd w:id="344"/>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ayout w:type="fixed"/>
        <w:tblCellMar>
          <w:top w:w="0" w:type="dxa"/>
          <w:bottom w:w="14" w:type="dxa"/>
        </w:tblCellMar>
        <w:tblLook w:val="04A0" w:firstRow="1" w:lastRow="0" w:firstColumn="1" w:lastColumn="0" w:noHBand="0" w:noVBand="1"/>
      </w:tblPr>
      <w:tblGrid>
        <w:gridCol w:w="2836"/>
        <w:gridCol w:w="1644"/>
        <w:gridCol w:w="1644"/>
        <w:gridCol w:w="1644"/>
        <w:gridCol w:w="1644"/>
        <w:gridCol w:w="1645"/>
      </w:tblGrid>
      <w:tr w:rsidR="00B777D6" w14:paraId="050E0B79" w14:textId="77777777" w:rsidTr="00562725">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46C561B5" w14:textId="77777777" w:rsidR="00B777D6" w:rsidRPr="00625570" w:rsidRDefault="00B777D6" w:rsidP="00B777D6">
            <w:pPr>
              <w:pStyle w:val="TableHeadingLeft"/>
              <w:keepNext/>
              <w:keepLines/>
            </w:pPr>
            <w:r>
              <w:t>Measure Category</w:t>
            </w:r>
          </w:p>
        </w:tc>
        <w:tc>
          <w:tcPr>
            <w:tcW w:w="1644" w:type="dxa"/>
            <w:tcBorders>
              <w:bottom w:val="none" w:sz="0" w:space="0" w:color="auto"/>
            </w:tcBorders>
          </w:tcPr>
          <w:p w14:paraId="1D4237B8" w14:textId="08C02019" w:rsidR="00B777D6" w:rsidRPr="00625570" w:rsidRDefault="00B777D6"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Ex Ante Gross Savings (</w:t>
            </w:r>
            <w:r>
              <w:t>Therms</w:t>
            </w:r>
            <w:r w:rsidRPr="00F87E60">
              <w:t xml:space="preserve">)  </w:t>
            </w:r>
          </w:p>
        </w:tc>
        <w:tc>
          <w:tcPr>
            <w:tcW w:w="1644" w:type="dxa"/>
            <w:tcBorders>
              <w:bottom w:val="none" w:sz="0" w:space="0" w:color="auto"/>
            </w:tcBorders>
          </w:tcPr>
          <w:p w14:paraId="106054F4" w14:textId="77138E88" w:rsidR="00B777D6" w:rsidRPr="00625570" w:rsidRDefault="00B777D6"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 xml:space="preserve">Gross Realization Rate  </w:t>
            </w:r>
          </w:p>
        </w:tc>
        <w:tc>
          <w:tcPr>
            <w:tcW w:w="1644" w:type="dxa"/>
            <w:tcBorders>
              <w:bottom w:val="none" w:sz="0" w:space="0" w:color="auto"/>
            </w:tcBorders>
          </w:tcPr>
          <w:p w14:paraId="5AA7D694" w14:textId="4B4268C3" w:rsidR="00B777D6" w:rsidRPr="00625570" w:rsidRDefault="00B777D6"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Gross Savings (</w:t>
            </w:r>
            <w:r>
              <w:t>Therms</w:t>
            </w:r>
            <w:r w:rsidRPr="00F87E60">
              <w:t xml:space="preserve">)  </w:t>
            </w:r>
          </w:p>
        </w:tc>
        <w:tc>
          <w:tcPr>
            <w:tcW w:w="1644" w:type="dxa"/>
            <w:tcBorders>
              <w:bottom w:val="none" w:sz="0" w:space="0" w:color="auto"/>
            </w:tcBorders>
          </w:tcPr>
          <w:p w14:paraId="73DFBF9C" w14:textId="6FC4A2D6" w:rsidR="00B777D6" w:rsidRPr="00625570" w:rsidRDefault="00B777D6"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NTGR</w:t>
            </w:r>
          </w:p>
        </w:tc>
        <w:tc>
          <w:tcPr>
            <w:tcW w:w="1645" w:type="dxa"/>
            <w:tcBorders>
              <w:bottom w:val="none" w:sz="0" w:space="0" w:color="auto"/>
            </w:tcBorders>
          </w:tcPr>
          <w:p w14:paraId="69C6A753" w14:textId="7245006D" w:rsidR="00B777D6" w:rsidRPr="00625570" w:rsidRDefault="00B777D6" w:rsidP="00B777D6">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F87E60">
              <w:t>Verified Net Savings (</w:t>
            </w:r>
            <w:r>
              <w:t>Therms</w:t>
            </w:r>
            <w:r w:rsidRPr="00F87E60">
              <w:t xml:space="preserve">)  </w:t>
            </w:r>
          </w:p>
        </w:tc>
      </w:tr>
      <w:tr w:rsidR="00B777D6" w14:paraId="360E4D2C"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06DADF27" w14:textId="08CB4A3B" w:rsidR="00B777D6" w:rsidRPr="00625570" w:rsidRDefault="00B777D6" w:rsidP="00B777D6">
            <w:pPr>
              <w:pStyle w:val="TableLeftText"/>
              <w:keepNext/>
              <w:keepLines/>
            </w:pPr>
            <w:r w:rsidRPr="004B016A">
              <w:t>Dishwashers</w:t>
            </w:r>
          </w:p>
        </w:tc>
        <w:tc>
          <w:tcPr>
            <w:tcW w:w="1644" w:type="dxa"/>
            <w:tcBorders>
              <w:top w:val="none" w:sz="0" w:space="0" w:color="auto"/>
              <w:left w:val="none" w:sz="0" w:space="0" w:color="auto"/>
              <w:bottom w:val="none" w:sz="0" w:space="0" w:color="auto"/>
              <w:right w:val="none" w:sz="0" w:space="0" w:color="auto"/>
            </w:tcBorders>
          </w:tcPr>
          <w:p w14:paraId="15AF8581" w14:textId="55AA303E"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588</w:t>
            </w:r>
          </w:p>
        </w:tc>
        <w:tc>
          <w:tcPr>
            <w:tcW w:w="1644" w:type="dxa"/>
            <w:tcBorders>
              <w:top w:val="none" w:sz="0" w:space="0" w:color="auto"/>
              <w:left w:val="none" w:sz="0" w:space="0" w:color="auto"/>
              <w:bottom w:val="none" w:sz="0" w:space="0" w:color="auto"/>
              <w:right w:val="none" w:sz="0" w:space="0" w:color="auto"/>
            </w:tcBorders>
          </w:tcPr>
          <w:p w14:paraId="09A17165" w14:textId="72C44E82"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100%</w:t>
            </w:r>
          </w:p>
        </w:tc>
        <w:tc>
          <w:tcPr>
            <w:tcW w:w="1644" w:type="dxa"/>
            <w:tcBorders>
              <w:top w:val="none" w:sz="0" w:space="0" w:color="auto"/>
              <w:left w:val="none" w:sz="0" w:space="0" w:color="auto"/>
              <w:bottom w:val="none" w:sz="0" w:space="0" w:color="auto"/>
              <w:right w:val="none" w:sz="0" w:space="0" w:color="auto"/>
            </w:tcBorders>
          </w:tcPr>
          <w:p w14:paraId="1187E6C4" w14:textId="010EDB4D"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588</w:t>
            </w:r>
          </w:p>
        </w:tc>
        <w:tc>
          <w:tcPr>
            <w:tcW w:w="1644" w:type="dxa"/>
            <w:tcBorders>
              <w:top w:val="none" w:sz="0" w:space="0" w:color="auto"/>
              <w:left w:val="none" w:sz="0" w:space="0" w:color="auto"/>
              <w:bottom w:val="none" w:sz="0" w:space="0" w:color="auto"/>
              <w:right w:val="none" w:sz="0" w:space="0" w:color="auto"/>
            </w:tcBorders>
          </w:tcPr>
          <w:p w14:paraId="25ACB416" w14:textId="3EB7996A"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0.800</w:t>
            </w:r>
          </w:p>
        </w:tc>
        <w:tc>
          <w:tcPr>
            <w:tcW w:w="1645" w:type="dxa"/>
            <w:tcBorders>
              <w:top w:val="none" w:sz="0" w:space="0" w:color="auto"/>
              <w:left w:val="none" w:sz="0" w:space="0" w:color="auto"/>
              <w:bottom w:val="none" w:sz="0" w:space="0" w:color="auto"/>
              <w:right w:val="none" w:sz="0" w:space="0" w:color="auto"/>
            </w:tcBorders>
          </w:tcPr>
          <w:p w14:paraId="6D858363" w14:textId="295F272D"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470</w:t>
            </w:r>
          </w:p>
        </w:tc>
      </w:tr>
      <w:tr w:rsidR="00B777D6" w14:paraId="0229F8C6"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5DB37383" w14:textId="2D6863F1" w:rsidR="00B777D6" w:rsidRPr="00625570" w:rsidRDefault="00B777D6" w:rsidP="00B777D6">
            <w:pPr>
              <w:pStyle w:val="TableLeftText"/>
              <w:keepNext/>
              <w:keepLines/>
            </w:pPr>
            <w:r w:rsidRPr="004B016A">
              <w:t>Fryers</w:t>
            </w:r>
          </w:p>
        </w:tc>
        <w:tc>
          <w:tcPr>
            <w:tcW w:w="1644" w:type="dxa"/>
            <w:tcBorders>
              <w:top w:val="none" w:sz="0" w:space="0" w:color="auto"/>
              <w:left w:val="none" w:sz="0" w:space="0" w:color="auto"/>
              <w:bottom w:val="none" w:sz="0" w:space="0" w:color="auto"/>
              <w:right w:val="none" w:sz="0" w:space="0" w:color="auto"/>
            </w:tcBorders>
          </w:tcPr>
          <w:p w14:paraId="48636352" w14:textId="50BCBC20"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38,306</w:t>
            </w:r>
          </w:p>
        </w:tc>
        <w:tc>
          <w:tcPr>
            <w:tcW w:w="1644" w:type="dxa"/>
            <w:tcBorders>
              <w:top w:val="none" w:sz="0" w:space="0" w:color="auto"/>
              <w:left w:val="none" w:sz="0" w:space="0" w:color="auto"/>
              <w:bottom w:val="none" w:sz="0" w:space="0" w:color="auto"/>
              <w:right w:val="none" w:sz="0" w:space="0" w:color="auto"/>
            </w:tcBorders>
          </w:tcPr>
          <w:p w14:paraId="27E62EDC" w14:textId="11820B8E"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B016A">
              <w:t>102%</w:t>
            </w:r>
          </w:p>
        </w:tc>
        <w:tc>
          <w:tcPr>
            <w:tcW w:w="1644" w:type="dxa"/>
            <w:tcBorders>
              <w:top w:val="none" w:sz="0" w:space="0" w:color="auto"/>
              <w:left w:val="none" w:sz="0" w:space="0" w:color="auto"/>
              <w:bottom w:val="none" w:sz="0" w:space="0" w:color="auto"/>
              <w:right w:val="none" w:sz="0" w:space="0" w:color="auto"/>
            </w:tcBorders>
          </w:tcPr>
          <w:p w14:paraId="44A0813E" w14:textId="7AA069ED"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B016A">
              <w:t>39,082</w:t>
            </w:r>
          </w:p>
        </w:tc>
        <w:tc>
          <w:tcPr>
            <w:tcW w:w="1644" w:type="dxa"/>
            <w:tcBorders>
              <w:top w:val="none" w:sz="0" w:space="0" w:color="auto"/>
              <w:left w:val="none" w:sz="0" w:space="0" w:color="auto"/>
              <w:bottom w:val="none" w:sz="0" w:space="0" w:color="auto"/>
              <w:right w:val="none" w:sz="0" w:space="0" w:color="auto"/>
            </w:tcBorders>
          </w:tcPr>
          <w:p w14:paraId="5C8B00C3" w14:textId="3A800F77"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0.846</w:t>
            </w:r>
          </w:p>
        </w:tc>
        <w:tc>
          <w:tcPr>
            <w:tcW w:w="1645" w:type="dxa"/>
            <w:tcBorders>
              <w:top w:val="none" w:sz="0" w:space="0" w:color="auto"/>
              <w:left w:val="none" w:sz="0" w:space="0" w:color="auto"/>
              <w:bottom w:val="none" w:sz="0" w:space="0" w:color="auto"/>
              <w:right w:val="none" w:sz="0" w:space="0" w:color="auto"/>
            </w:tcBorders>
          </w:tcPr>
          <w:p w14:paraId="5BA91F7E" w14:textId="2A7544C0"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highlight w:val="yellow"/>
              </w:rPr>
            </w:pPr>
            <w:r w:rsidRPr="004B016A">
              <w:t>33,059</w:t>
            </w:r>
          </w:p>
        </w:tc>
      </w:tr>
      <w:tr w:rsidR="00B777D6" w14:paraId="07DC69C5"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1F3968CC" w14:textId="4C229987" w:rsidR="00B777D6" w:rsidRPr="00625570" w:rsidRDefault="00B777D6" w:rsidP="00B777D6">
            <w:pPr>
              <w:pStyle w:val="TableLeftText"/>
              <w:keepNext/>
              <w:keepLines/>
            </w:pPr>
            <w:r w:rsidRPr="004B016A">
              <w:t>Steam Cookers</w:t>
            </w:r>
          </w:p>
        </w:tc>
        <w:tc>
          <w:tcPr>
            <w:tcW w:w="1644" w:type="dxa"/>
            <w:tcBorders>
              <w:top w:val="none" w:sz="0" w:space="0" w:color="auto"/>
              <w:left w:val="none" w:sz="0" w:space="0" w:color="auto"/>
              <w:bottom w:val="none" w:sz="0" w:space="0" w:color="auto"/>
              <w:right w:val="none" w:sz="0" w:space="0" w:color="auto"/>
            </w:tcBorders>
          </w:tcPr>
          <w:p w14:paraId="78761BAC" w14:textId="583E954A"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5,242</w:t>
            </w:r>
          </w:p>
        </w:tc>
        <w:tc>
          <w:tcPr>
            <w:tcW w:w="1644" w:type="dxa"/>
            <w:tcBorders>
              <w:top w:val="none" w:sz="0" w:space="0" w:color="auto"/>
              <w:left w:val="none" w:sz="0" w:space="0" w:color="auto"/>
              <w:bottom w:val="none" w:sz="0" w:space="0" w:color="auto"/>
              <w:right w:val="none" w:sz="0" w:space="0" w:color="auto"/>
            </w:tcBorders>
          </w:tcPr>
          <w:p w14:paraId="661083DA" w14:textId="2B05DC34"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98%</w:t>
            </w:r>
          </w:p>
        </w:tc>
        <w:tc>
          <w:tcPr>
            <w:tcW w:w="1644" w:type="dxa"/>
            <w:tcBorders>
              <w:top w:val="none" w:sz="0" w:space="0" w:color="auto"/>
              <w:left w:val="none" w:sz="0" w:space="0" w:color="auto"/>
              <w:bottom w:val="none" w:sz="0" w:space="0" w:color="auto"/>
              <w:right w:val="none" w:sz="0" w:space="0" w:color="auto"/>
            </w:tcBorders>
          </w:tcPr>
          <w:p w14:paraId="229F3177" w14:textId="4106279B"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5,160</w:t>
            </w:r>
          </w:p>
        </w:tc>
        <w:tc>
          <w:tcPr>
            <w:tcW w:w="1644" w:type="dxa"/>
            <w:tcBorders>
              <w:top w:val="none" w:sz="0" w:space="0" w:color="auto"/>
              <w:left w:val="none" w:sz="0" w:space="0" w:color="auto"/>
              <w:bottom w:val="none" w:sz="0" w:space="0" w:color="auto"/>
              <w:right w:val="none" w:sz="0" w:space="0" w:color="auto"/>
            </w:tcBorders>
          </w:tcPr>
          <w:p w14:paraId="503971F4" w14:textId="03B42742"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0.912</w:t>
            </w:r>
          </w:p>
        </w:tc>
        <w:tc>
          <w:tcPr>
            <w:tcW w:w="1645" w:type="dxa"/>
            <w:tcBorders>
              <w:top w:val="none" w:sz="0" w:space="0" w:color="auto"/>
              <w:left w:val="none" w:sz="0" w:space="0" w:color="auto"/>
              <w:bottom w:val="none" w:sz="0" w:space="0" w:color="auto"/>
              <w:right w:val="none" w:sz="0" w:space="0" w:color="auto"/>
            </w:tcBorders>
          </w:tcPr>
          <w:p w14:paraId="46D581AB" w14:textId="4CDE4620" w:rsidR="00B777D6" w:rsidRPr="00625570"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4,705</w:t>
            </w:r>
          </w:p>
        </w:tc>
      </w:tr>
      <w:tr w:rsidR="00B777D6" w14:paraId="7A84157C"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2DD26C94" w14:textId="3E46C1BF" w:rsidR="00B777D6" w:rsidRPr="00625570" w:rsidRDefault="00B777D6" w:rsidP="00B777D6">
            <w:pPr>
              <w:pStyle w:val="TableLeftText"/>
              <w:keepNext/>
              <w:keepLines/>
            </w:pPr>
            <w:r w:rsidRPr="004B016A">
              <w:t>Griddles</w:t>
            </w:r>
          </w:p>
        </w:tc>
        <w:tc>
          <w:tcPr>
            <w:tcW w:w="1644" w:type="dxa"/>
            <w:tcBorders>
              <w:top w:val="none" w:sz="0" w:space="0" w:color="auto"/>
              <w:left w:val="none" w:sz="0" w:space="0" w:color="auto"/>
              <w:bottom w:val="none" w:sz="0" w:space="0" w:color="auto"/>
              <w:right w:val="none" w:sz="0" w:space="0" w:color="auto"/>
            </w:tcBorders>
          </w:tcPr>
          <w:p w14:paraId="7C9C4493" w14:textId="418607FC"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2,501</w:t>
            </w:r>
          </w:p>
        </w:tc>
        <w:tc>
          <w:tcPr>
            <w:tcW w:w="1644" w:type="dxa"/>
            <w:tcBorders>
              <w:top w:val="none" w:sz="0" w:space="0" w:color="auto"/>
              <w:left w:val="none" w:sz="0" w:space="0" w:color="auto"/>
              <w:bottom w:val="none" w:sz="0" w:space="0" w:color="auto"/>
              <w:right w:val="none" w:sz="0" w:space="0" w:color="auto"/>
            </w:tcBorders>
          </w:tcPr>
          <w:p w14:paraId="11FFC14D" w14:textId="1E38EF61"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98%</w:t>
            </w:r>
          </w:p>
        </w:tc>
        <w:tc>
          <w:tcPr>
            <w:tcW w:w="1644" w:type="dxa"/>
            <w:tcBorders>
              <w:top w:val="none" w:sz="0" w:space="0" w:color="auto"/>
              <w:left w:val="none" w:sz="0" w:space="0" w:color="auto"/>
              <w:bottom w:val="none" w:sz="0" w:space="0" w:color="auto"/>
              <w:right w:val="none" w:sz="0" w:space="0" w:color="auto"/>
            </w:tcBorders>
          </w:tcPr>
          <w:p w14:paraId="1BA7713B" w14:textId="178DFDF1"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2,452</w:t>
            </w:r>
          </w:p>
        </w:tc>
        <w:tc>
          <w:tcPr>
            <w:tcW w:w="1644" w:type="dxa"/>
            <w:tcBorders>
              <w:top w:val="none" w:sz="0" w:space="0" w:color="auto"/>
              <w:left w:val="none" w:sz="0" w:space="0" w:color="auto"/>
              <w:bottom w:val="none" w:sz="0" w:space="0" w:color="auto"/>
              <w:right w:val="none" w:sz="0" w:space="0" w:color="auto"/>
            </w:tcBorders>
          </w:tcPr>
          <w:p w14:paraId="01AF9823" w14:textId="52A99278"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0.951</w:t>
            </w:r>
          </w:p>
        </w:tc>
        <w:tc>
          <w:tcPr>
            <w:tcW w:w="1645" w:type="dxa"/>
            <w:tcBorders>
              <w:top w:val="none" w:sz="0" w:space="0" w:color="auto"/>
              <w:left w:val="none" w:sz="0" w:space="0" w:color="auto"/>
              <w:bottom w:val="none" w:sz="0" w:space="0" w:color="auto"/>
              <w:right w:val="none" w:sz="0" w:space="0" w:color="auto"/>
            </w:tcBorders>
          </w:tcPr>
          <w:p w14:paraId="486C36EE" w14:textId="107A6460" w:rsidR="00B777D6" w:rsidRPr="00625570"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2,333</w:t>
            </w:r>
          </w:p>
        </w:tc>
      </w:tr>
      <w:tr w:rsidR="00B777D6" w14:paraId="3013341B"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383942C3" w14:textId="641E6DF7" w:rsidR="00B777D6" w:rsidRDefault="00B777D6" w:rsidP="00B777D6">
            <w:pPr>
              <w:pStyle w:val="TableLeftText"/>
              <w:keepNext/>
              <w:keepLines/>
            </w:pPr>
            <w:r w:rsidRPr="004B016A">
              <w:t>Automatic Conveyor Broilers</w:t>
            </w:r>
          </w:p>
        </w:tc>
        <w:tc>
          <w:tcPr>
            <w:tcW w:w="1644" w:type="dxa"/>
            <w:tcBorders>
              <w:top w:val="none" w:sz="0" w:space="0" w:color="auto"/>
              <w:left w:val="none" w:sz="0" w:space="0" w:color="auto"/>
              <w:bottom w:val="none" w:sz="0" w:space="0" w:color="auto"/>
              <w:right w:val="none" w:sz="0" w:space="0" w:color="auto"/>
            </w:tcBorders>
          </w:tcPr>
          <w:p w14:paraId="07C3117A" w14:textId="4ACBF54B" w:rsidR="00B777D6"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3,348</w:t>
            </w:r>
          </w:p>
        </w:tc>
        <w:tc>
          <w:tcPr>
            <w:tcW w:w="1644" w:type="dxa"/>
            <w:tcBorders>
              <w:top w:val="none" w:sz="0" w:space="0" w:color="auto"/>
              <w:left w:val="none" w:sz="0" w:space="0" w:color="auto"/>
              <w:bottom w:val="none" w:sz="0" w:space="0" w:color="auto"/>
              <w:right w:val="none" w:sz="0" w:space="0" w:color="auto"/>
            </w:tcBorders>
          </w:tcPr>
          <w:p w14:paraId="6182389B" w14:textId="2080C72F" w:rsidR="00B777D6" w:rsidRPr="00987F21"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99%</w:t>
            </w:r>
          </w:p>
        </w:tc>
        <w:tc>
          <w:tcPr>
            <w:tcW w:w="1644" w:type="dxa"/>
            <w:tcBorders>
              <w:top w:val="none" w:sz="0" w:space="0" w:color="auto"/>
              <w:left w:val="none" w:sz="0" w:space="0" w:color="auto"/>
              <w:bottom w:val="none" w:sz="0" w:space="0" w:color="auto"/>
              <w:right w:val="none" w:sz="0" w:space="0" w:color="auto"/>
            </w:tcBorders>
          </w:tcPr>
          <w:p w14:paraId="5BC2707E" w14:textId="7049FABD" w:rsidR="00B777D6"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3,322</w:t>
            </w:r>
          </w:p>
        </w:tc>
        <w:tc>
          <w:tcPr>
            <w:tcW w:w="1644" w:type="dxa"/>
            <w:tcBorders>
              <w:top w:val="none" w:sz="0" w:space="0" w:color="auto"/>
              <w:left w:val="none" w:sz="0" w:space="0" w:color="auto"/>
              <w:bottom w:val="none" w:sz="0" w:space="0" w:color="auto"/>
              <w:right w:val="none" w:sz="0" w:space="0" w:color="auto"/>
            </w:tcBorders>
          </w:tcPr>
          <w:p w14:paraId="4D6277FA" w14:textId="6549AEF7" w:rsidR="00B777D6" w:rsidRPr="00987F21"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0.800</w:t>
            </w:r>
          </w:p>
        </w:tc>
        <w:tc>
          <w:tcPr>
            <w:tcW w:w="1645" w:type="dxa"/>
            <w:tcBorders>
              <w:top w:val="none" w:sz="0" w:space="0" w:color="auto"/>
              <w:left w:val="none" w:sz="0" w:space="0" w:color="auto"/>
              <w:bottom w:val="none" w:sz="0" w:space="0" w:color="auto"/>
              <w:right w:val="none" w:sz="0" w:space="0" w:color="auto"/>
            </w:tcBorders>
          </w:tcPr>
          <w:p w14:paraId="55A1825E" w14:textId="2629027E" w:rsidR="00B777D6" w:rsidRDefault="00B777D6" w:rsidP="00562725">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4B016A">
              <w:t>2,657</w:t>
            </w:r>
          </w:p>
        </w:tc>
      </w:tr>
      <w:tr w:rsidR="00B777D6" w14:paraId="2AC8B690"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6BC2AF1F" w14:textId="61097408" w:rsidR="00B777D6" w:rsidRDefault="00B777D6" w:rsidP="00B777D6">
            <w:pPr>
              <w:pStyle w:val="TableLeftText"/>
              <w:keepNext/>
              <w:keepLines/>
            </w:pPr>
            <w:r w:rsidRPr="004B016A">
              <w:t>Convection Ovens</w:t>
            </w:r>
          </w:p>
        </w:tc>
        <w:tc>
          <w:tcPr>
            <w:tcW w:w="1644" w:type="dxa"/>
            <w:tcBorders>
              <w:top w:val="none" w:sz="0" w:space="0" w:color="auto"/>
              <w:left w:val="none" w:sz="0" w:space="0" w:color="auto"/>
              <w:bottom w:val="none" w:sz="0" w:space="0" w:color="auto"/>
              <w:right w:val="none" w:sz="0" w:space="0" w:color="auto"/>
            </w:tcBorders>
          </w:tcPr>
          <w:p w14:paraId="26C524C2" w14:textId="3E9CE438" w:rsidR="00B777D6"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922</w:t>
            </w:r>
          </w:p>
        </w:tc>
        <w:tc>
          <w:tcPr>
            <w:tcW w:w="1644" w:type="dxa"/>
            <w:tcBorders>
              <w:top w:val="none" w:sz="0" w:space="0" w:color="auto"/>
              <w:left w:val="none" w:sz="0" w:space="0" w:color="auto"/>
              <w:bottom w:val="none" w:sz="0" w:space="0" w:color="auto"/>
              <w:right w:val="none" w:sz="0" w:space="0" w:color="auto"/>
            </w:tcBorders>
          </w:tcPr>
          <w:p w14:paraId="742000EA" w14:textId="32B3448C" w:rsidR="00B777D6" w:rsidRPr="00987F21"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205%</w:t>
            </w:r>
          </w:p>
        </w:tc>
        <w:tc>
          <w:tcPr>
            <w:tcW w:w="1644" w:type="dxa"/>
            <w:tcBorders>
              <w:top w:val="none" w:sz="0" w:space="0" w:color="auto"/>
              <w:left w:val="none" w:sz="0" w:space="0" w:color="auto"/>
              <w:bottom w:val="none" w:sz="0" w:space="0" w:color="auto"/>
              <w:right w:val="none" w:sz="0" w:space="0" w:color="auto"/>
            </w:tcBorders>
          </w:tcPr>
          <w:p w14:paraId="0ACFF411" w14:textId="60CCA1F7" w:rsidR="00B777D6"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1,891</w:t>
            </w:r>
          </w:p>
        </w:tc>
        <w:tc>
          <w:tcPr>
            <w:tcW w:w="1644" w:type="dxa"/>
            <w:tcBorders>
              <w:top w:val="none" w:sz="0" w:space="0" w:color="auto"/>
              <w:left w:val="none" w:sz="0" w:space="0" w:color="auto"/>
              <w:bottom w:val="none" w:sz="0" w:space="0" w:color="auto"/>
              <w:right w:val="none" w:sz="0" w:space="0" w:color="auto"/>
            </w:tcBorders>
          </w:tcPr>
          <w:p w14:paraId="66D2E8BF" w14:textId="15FFBFEE" w:rsidR="00B777D6" w:rsidRPr="00987F21"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0.800</w:t>
            </w:r>
          </w:p>
        </w:tc>
        <w:tc>
          <w:tcPr>
            <w:tcW w:w="1645" w:type="dxa"/>
            <w:tcBorders>
              <w:top w:val="none" w:sz="0" w:space="0" w:color="auto"/>
              <w:left w:val="none" w:sz="0" w:space="0" w:color="auto"/>
              <w:bottom w:val="none" w:sz="0" w:space="0" w:color="auto"/>
              <w:right w:val="none" w:sz="0" w:space="0" w:color="auto"/>
            </w:tcBorders>
          </w:tcPr>
          <w:p w14:paraId="4437C68C" w14:textId="4074A7F4" w:rsidR="00B777D6" w:rsidRDefault="00B777D6" w:rsidP="00562725">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4B016A">
              <w:t>1,513</w:t>
            </w:r>
          </w:p>
        </w:tc>
      </w:tr>
      <w:tr w:rsidR="00B777D6" w14:paraId="5BB2CCEA" w14:textId="77777777" w:rsidTr="00562725">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11073A6" w14:textId="270CB1B5" w:rsidR="00B777D6" w:rsidRDefault="00B777D6" w:rsidP="00B777D6">
            <w:pPr>
              <w:pStyle w:val="TableLeftText"/>
            </w:pPr>
            <w:r w:rsidRPr="004B016A">
              <w:t>Conveyor Ovens</w:t>
            </w:r>
          </w:p>
        </w:tc>
        <w:tc>
          <w:tcPr>
            <w:tcW w:w="1644" w:type="dxa"/>
            <w:tcBorders>
              <w:top w:val="none" w:sz="0" w:space="0" w:color="auto"/>
              <w:left w:val="none" w:sz="0" w:space="0" w:color="auto"/>
              <w:bottom w:val="none" w:sz="0" w:space="0" w:color="auto"/>
              <w:right w:val="none" w:sz="0" w:space="0" w:color="auto"/>
            </w:tcBorders>
          </w:tcPr>
          <w:p w14:paraId="1F319022" w14:textId="7E34A789" w:rsidR="00B777D6" w:rsidRDefault="00B777D6"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B016A">
              <w:t>3,893</w:t>
            </w:r>
          </w:p>
        </w:tc>
        <w:tc>
          <w:tcPr>
            <w:tcW w:w="1644" w:type="dxa"/>
            <w:tcBorders>
              <w:top w:val="none" w:sz="0" w:space="0" w:color="auto"/>
              <w:left w:val="none" w:sz="0" w:space="0" w:color="auto"/>
              <w:bottom w:val="none" w:sz="0" w:space="0" w:color="auto"/>
              <w:right w:val="none" w:sz="0" w:space="0" w:color="auto"/>
            </w:tcBorders>
          </w:tcPr>
          <w:p w14:paraId="4B732053" w14:textId="7D51CB8D" w:rsidR="00B777D6" w:rsidRPr="00987F21" w:rsidRDefault="00B777D6"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B016A">
              <w:t>259%</w:t>
            </w:r>
          </w:p>
        </w:tc>
        <w:tc>
          <w:tcPr>
            <w:tcW w:w="1644" w:type="dxa"/>
            <w:tcBorders>
              <w:top w:val="none" w:sz="0" w:space="0" w:color="auto"/>
              <w:left w:val="none" w:sz="0" w:space="0" w:color="auto"/>
              <w:bottom w:val="none" w:sz="0" w:space="0" w:color="auto"/>
              <w:right w:val="none" w:sz="0" w:space="0" w:color="auto"/>
            </w:tcBorders>
          </w:tcPr>
          <w:p w14:paraId="1AABDDEE" w14:textId="4507A157" w:rsidR="00B777D6" w:rsidRDefault="00B777D6"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B016A">
              <w:t>10,074</w:t>
            </w:r>
          </w:p>
        </w:tc>
        <w:tc>
          <w:tcPr>
            <w:tcW w:w="1644" w:type="dxa"/>
            <w:tcBorders>
              <w:top w:val="none" w:sz="0" w:space="0" w:color="auto"/>
              <w:left w:val="none" w:sz="0" w:space="0" w:color="auto"/>
              <w:bottom w:val="none" w:sz="0" w:space="0" w:color="auto"/>
              <w:right w:val="none" w:sz="0" w:space="0" w:color="auto"/>
            </w:tcBorders>
          </w:tcPr>
          <w:p w14:paraId="4E6DBBC4" w14:textId="40CF530A" w:rsidR="00B777D6" w:rsidRPr="00987F21" w:rsidRDefault="00B777D6"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B016A">
              <w:t>0.936</w:t>
            </w:r>
          </w:p>
        </w:tc>
        <w:tc>
          <w:tcPr>
            <w:tcW w:w="1645" w:type="dxa"/>
            <w:tcBorders>
              <w:top w:val="none" w:sz="0" w:space="0" w:color="auto"/>
              <w:left w:val="none" w:sz="0" w:space="0" w:color="auto"/>
              <w:bottom w:val="none" w:sz="0" w:space="0" w:color="auto"/>
              <w:right w:val="none" w:sz="0" w:space="0" w:color="auto"/>
            </w:tcBorders>
          </w:tcPr>
          <w:p w14:paraId="62C932E8" w14:textId="728BBD41" w:rsidR="00B777D6" w:rsidRDefault="00B777D6" w:rsidP="00562725">
            <w:pPr>
              <w:pStyle w:val="TableCenterText"/>
              <w:jc w:val="right"/>
              <w:cnfStyle w:val="000000100000" w:firstRow="0" w:lastRow="0" w:firstColumn="0" w:lastColumn="0" w:oddVBand="0" w:evenVBand="0" w:oddHBand="1" w:evenHBand="0" w:firstRowFirstColumn="0" w:firstRowLastColumn="0" w:lastRowFirstColumn="0" w:lastRowLastColumn="0"/>
            </w:pPr>
            <w:r w:rsidRPr="004B016A">
              <w:t>9,432</w:t>
            </w:r>
          </w:p>
        </w:tc>
      </w:tr>
      <w:tr w:rsidR="00B777D6" w14:paraId="5C683B8B" w14:textId="77777777" w:rsidTr="00562725">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36" w:type="dxa"/>
            <w:tcBorders>
              <w:top w:val="none" w:sz="0" w:space="0" w:color="auto"/>
              <w:left w:val="none" w:sz="0" w:space="0" w:color="auto"/>
              <w:bottom w:val="none" w:sz="0" w:space="0" w:color="auto"/>
              <w:right w:val="none" w:sz="0" w:space="0" w:color="auto"/>
            </w:tcBorders>
          </w:tcPr>
          <w:p w14:paraId="756C16A7" w14:textId="6C5358FC" w:rsidR="00B777D6" w:rsidRDefault="00B777D6" w:rsidP="00B777D6">
            <w:pPr>
              <w:pStyle w:val="TableLeftText"/>
            </w:pPr>
            <w:r w:rsidRPr="00B777D6">
              <w:rPr>
                <w:rFonts w:ascii="Franklin Gothic Medium" w:hAnsi="Franklin Gothic Medium"/>
              </w:rPr>
              <w:t>Total</w:t>
            </w:r>
          </w:p>
        </w:tc>
        <w:tc>
          <w:tcPr>
            <w:tcW w:w="1644" w:type="dxa"/>
            <w:tcBorders>
              <w:top w:val="none" w:sz="0" w:space="0" w:color="auto"/>
              <w:left w:val="none" w:sz="0" w:space="0" w:color="auto"/>
              <w:bottom w:val="none" w:sz="0" w:space="0" w:color="auto"/>
              <w:right w:val="none" w:sz="0" w:space="0" w:color="auto"/>
            </w:tcBorders>
          </w:tcPr>
          <w:p w14:paraId="4EAE0937" w14:textId="41F791E1" w:rsidR="00B777D6" w:rsidRDefault="00B777D6"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B777D6">
              <w:rPr>
                <w:rFonts w:ascii="Franklin Gothic Medium" w:hAnsi="Franklin Gothic Medium"/>
              </w:rPr>
              <w:t>54,799</w:t>
            </w:r>
          </w:p>
        </w:tc>
        <w:tc>
          <w:tcPr>
            <w:tcW w:w="1644" w:type="dxa"/>
            <w:tcBorders>
              <w:top w:val="none" w:sz="0" w:space="0" w:color="auto"/>
              <w:left w:val="none" w:sz="0" w:space="0" w:color="auto"/>
              <w:bottom w:val="none" w:sz="0" w:space="0" w:color="auto"/>
              <w:right w:val="none" w:sz="0" w:space="0" w:color="auto"/>
            </w:tcBorders>
          </w:tcPr>
          <w:p w14:paraId="05A46943" w14:textId="22D6BE66" w:rsidR="00B777D6" w:rsidRPr="00987F21" w:rsidRDefault="00B777D6"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B777D6">
              <w:rPr>
                <w:rFonts w:ascii="Franklin Gothic Medium" w:hAnsi="Franklin Gothic Medium"/>
              </w:rPr>
              <w:t>114%</w:t>
            </w:r>
          </w:p>
        </w:tc>
        <w:tc>
          <w:tcPr>
            <w:tcW w:w="1644" w:type="dxa"/>
            <w:tcBorders>
              <w:top w:val="none" w:sz="0" w:space="0" w:color="auto"/>
              <w:left w:val="none" w:sz="0" w:space="0" w:color="auto"/>
              <w:bottom w:val="none" w:sz="0" w:space="0" w:color="auto"/>
              <w:right w:val="none" w:sz="0" w:space="0" w:color="auto"/>
            </w:tcBorders>
          </w:tcPr>
          <w:p w14:paraId="0F66E07F" w14:textId="46B99D5B" w:rsidR="00B777D6" w:rsidRDefault="00B777D6"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B777D6">
              <w:rPr>
                <w:rFonts w:ascii="Franklin Gothic Medium" w:hAnsi="Franklin Gothic Medium"/>
              </w:rPr>
              <w:t>62,568</w:t>
            </w:r>
          </w:p>
        </w:tc>
        <w:tc>
          <w:tcPr>
            <w:tcW w:w="1644" w:type="dxa"/>
            <w:tcBorders>
              <w:top w:val="none" w:sz="0" w:space="0" w:color="auto"/>
              <w:left w:val="none" w:sz="0" w:space="0" w:color="auto"/>
              <w:bottom w:val="none" w:sz="0" w:space="0" w:color="auto"/>
              <w:right w:val="none" w:sz="0" w:space="0" w:color="auto"/>
            </w:tcBorders>
          </w:tcPr>
          <w:p w14:paraId="78BF219B" w14:textId="17DE2314" w:rsidR="00B777D6" w:rsidRPr="00987F21" w:rsidRDefault="00B777D6"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B777D6">
              <w:rPr>
                <w:rFonts w:ascii="Franklin Gothic Medium" w:hAnsi="Franklin Gothic Medium"/>
              </w:rPr>
              <w:t>0.866</w:t>
            </w:r>
          </w:p>
        </w:tc>
        <w:tc>
          <w:tcPr>
            <w:tcW w:w="1645" w:type="dxa"/>
            <w:tcBorders>
              <w:top w:val="none" w:sz="0" w:space="0" w:color="auto"/>
              <w:left w:val="none" w:sz="0" w:space="0" w:color="auto"/>
              <w:bottom w:val="none" w:sz="0" w:space="0" w:color="auto"/>
              <w:right w:val="none" w:sz="0" w:space="0" w:color="auto"/>
            </w:tcBorders>
          </w:tcPr>
          <w:p w14:paraId="57791D5C" w14:textId="22E79D64" w:rsidR="00B777D6" w:rsidRDefault="00B777D6" w:rsidP="00562725">
            <w:pPr>
              <w:pStyle w:val="TableCenterText"/>
              <w:jc w:val="right"/>
              <w:cnfStyle w:val="000000010000" w:firstRow="0" w:lastRow="0" w:firstColumn="0" w:lastColumn="0" w:oddVBand="0" w:evenVBand="0" w:oddHBand="0" w:evenHBand="1" w:firstRowFirstColumn="0" w:firstRowLastColumn="0" w:lastRowFirstColumn="0" w:lastRowLastColumn="0"/>
            </w:pPr>
            <w:r w:rsidRPr="00B777D6">
              <w:rPr>
                <w:rFonts w:ascii="Franklin Gothic Medium" w:hAnsi="Franklin Gothic Medium"/>
              </w:rPr>
              <w:t>54,170</w:t>
            </w:r>
          </w:p>
        </w:tc>
      </w:tr>
    </w:tbl>
    <w:p w14:paraId="67098EEA" w14:textId="22A054D1" w:rsidR="00511EBD" w:rsidRDefault="00511EBD" w:rsidP="00B777D6">
      <w:pPr>
        <w:spacing w:before="100" w:beforeAutospacing="1"/>
      </w:pPr>
      <w:r w:rsidRPr="00511EBD">
        <w:t xml:space="preserve">We discuss </w:t>
      </w:r>
      <w:r w:rsidR="00257B2C">
        <w:t>significant</w:t>
      </w:r>
      <w:r w:rsidR="00257B2C" w:rsidRPr="00511EBD">
        <w:t xml:space="preserve"> </w:t>
      </w:r>
      <w:r w:rsidRPr="00511EBD">
        <w:t>discrepancies between ex ante claims and the verified analysis below.</w:t>
      </w:r>
    </w:p>
    <w:p w14:paraId="45B83FD4" w14:textId="6C61888B" w:rsidR="00511EBD" w:rsidRDefault="00511EBD" w:rsidP="00511EBD">
      <w:pPr>
        <w:pStyle w:val="ListBullet"/>
      </w:pPr>
      <w:r w:rsidRPr="00B47E63">
        <w:rPr>
          <w:b/>
          <w:bCs/>
        </w:rPr>
        <w:t>Fryers</w:t>
      </w:r>
      <w:r>
        <w:t xml:space="preserve"> (26% of ex ante energy savings, 12% of demand savings, and 70% of gas savings): The gross realization rates for Fryers are 54% for energy and demand savings and 102% for gas savings.</w:t>
      </w:r>
    </w:p>
    <w:p w14:paraId="48758C0B" w14:textId="569724A0" w:rsidR="00511EBD" w:rsidRDefault="00511EBD" w:rsidP="00511EBD">
      <w:pPr>
        <w:pStyle w:val="ListBullet2"/>
      </w:pPr>
      <w:r>
        <w:lastRenderedPageBreak/>
        <w:t>The implementation team applied the same value for PreheatEnergy</w:t>
      </w:r>
      <w:r w:rsidRPr="00511EBD">
        <w:rPr>
          <w:vertAlign w:val="subscript"/>
        </w:rPr>
        <w:t>Base</w:t>
      </w:r>
      <w:r>
        <w:t xml:space="preserve"> and PreheatEnergy</w:t>
      </w:r>
      <w:r w:rsidRPr="00511EBD">
        <w:rPr>
          <w:vertAlign w:val="subscript"/>
        </w:rPr>
        <w:t xml:space="preserve">ESTAR </w:t>
      </w:r>
      <w:r>
        <w:t>in the ex ante savings calculations. The evaluation team applied PreheatEnergy</w:t>
      </w:r>
      <w:r w:rsidRPr="00511EBD">
        <w:rPr>
          <w:vertAlign w:val="subscript"/>
        </w:rPr>
        <w:t>Base</w:t>
      </w:r>
      <w:r>
        <w:t xml:space="preserve"> and PreheatEnergy</w:t>
      </w:r>
      <w:r w:rsidRPr="00511EBD">
        <w:rPr>
          <w:vertAlign w:val="subscript"/>
        </w:rPr>
        <w:t>ESTAR</w:t>
      </w:r>
      <w:r>
        <w:t xml:space="preserve"> assumptions in accordance with IL-TRM V12.0, resulting in higher verified gas savings.</w:t>
      </w:r>
    </w:p>
    <w:p w14:paraId="608A6EA4" w14:textId="7228B0D8" w:rsidR="00511EBD" w:rsidRDefault="00511EBD" w:rsidP="00511EBD">
      <w:pPr>
        <w:pStyle w:val="ListBullet2"/>
      </w:pPr>
      <w:r>
        <w:t>The implementation team appears to be using Idle Energy Rate values in units of kW/h instead of W/h for the</w:t>
      </w:r>
      <w:r w:rsidR="00084362">
        <w:t xml:space="preserve"> </w:t>
      </w:r>
      <w:r>
        <w:t>efficient equipment. The evaluation team converted these efficient Idle Energy Rate values to W/h in the verified savings calculations, resulting in lower verified electric energy and demand savings.</w:t>
      </w:r>
    </w:p>
    <w:p w14:paraId="39C371F4" w14:textId="77777777" w:rsidR="00511EBD" w:rsidRDefault="00511EBD" w:rsidP="00C86382">
      <w:pPr>
        <w:pStyle w:val="ListBullet"/>
      </w:pPr>
      <w:r w:rsidRPr="00C86382">
        <w:rPr>
          <w:b/>
          <w:bCs/>
        </w:rPr>
        <w:t>Refrigerators and Freezers</w:t>
      </w:r>
      <w:r>
        <w:t xml:space="preserve"> (16% of ex ante energy savings and 12% of demand savings): The gross realization rate for Refrigerators and Freezers is 64% for energy and demand savings.</w:t>
      </w:r>
    </w:p>
    <w:p w14:paraId="19F77875" w14:textId="77777777" w:rsidR="00511EBD" w:rsidRDefault="00511EBD" w:rsidP="00511EBD">
      <w:pPr>
        <w:pStyle w:val="ListBullet2"/>
      </w:pPr>
      <w:r>
        <w:t>For all records, the implementation team applied kWh</w:t>
      </w:r>
      <w:r w:rsidRPr="00511EBD">
        <w:rPr>
          <w:vertAlign w:val="subscript"/>
        </w:rPr>
        <w:t>ee</w:t>
      </w:r>
      <w:r>
        <w:t xml:space="preserve"> values for efficient unit energy use that do not align with the value calculated using the IL-TRM V12.0 algorithm and the unit volumes from the tracking data. The evaluation team calculated the efficient equipment energy usage using the IL-TRM V12.0 algorithm and unit volumes provided in the tracking data to calculate the verified savings, resulting in lower verified electric energy and demand savings.</w:t>
      </w:r>
    </w:p>
    <w:p w14:paraId="45D4D9AD" w14:textId="77777777" w:rsidR="00511EBD" w:rsidRDefault="00511EBD" w:rsidP="00511EBD">
      <w:pPr>
        <w:pStyle w:val="ListBullet"/>
      </w:pPr>
      <w:r w:rsidRPr="00B47E63">
        <w:rPr>
          <w:b/>
          <w:bCs/>
        </w:rPr>
        <w:t>Combination Ovens</w:t>
      </w:r>
      <w:r>
        <w:t xml:space="preserve"> (10% of ex ante energy savings and 40% of demand savings): The gross realization rates for Combination Ovens are 105% for energy savings and 18% for demand savings.</w:t>
      </w:r>
    </w:p>
    <w:p w14:paraId="11AF8C08" w14:textId="77777777" w:rsidR="00511EBD" w:rsidRDefault="00511EBD" w:rsidP="00511EBD">
      <w:pPr>
        <w:pStyle w:val="ListBullet2"/>
      </w:pPr>
      <w:r>
        <w:t>The evaluation team used the IL-TRM V12.0 algorithms and assumptions to estimate the verified savings, using inputs from the tracking data where possible. Based on a review of ALEET, the implementation team appears to be using the algorithms from the IL-TRM V12.0 and applying the efficient inputs correctly. However, the reported ex ante demand savings value differs from what is calculated using those algorithms and assumptions, resulting in lower demand savings.</w:t>
      </w:r>
    </w:p>
    <w:p w14:paraId="169BBBA4" w14:textId="10050204" w:rsidR="00511EBD" w:rsidRDefault="00511EBD" w:rsidP="00511EBD">
      <w:pPr>
        <w:pStyle w:val="ListBullet2"/>
      </w:pPr>
      <w:r>
        <w:t xml:space="preserve">For all records, the implementation </w:t>
      </w:r>
      <w:r w:rsidR="00084362">
        <w:t xml:space="preserve">team </w:t>
      </w:r>
      <w:r>
        <w:t>applied an electric steam efficiency value for the efficient equipment that is not provided in the tracking data and does not align with IL-TRM V12.0 assumptions. The evaluation team applied the IL-TRM default assumption for the electric steam efficiency of the efficient equipment, which resulted in higher verified electric energy and demand savings. However, the effect on verified demand savings does not supersede the discrepancy mentioned in the previous bullet.</w:t>
      </w:r>
    </w:p>
    <w:p w14:paraId="6F7A46E9" w14:textId="294ED43C" w:rsidR="00511EBD" w:rsidRDefault="00511EBD" w:rsidP="00511EBD">
      <w:pPr>
        <w:pStyle w:val="ListBullet"/>
      </w:pPr>
      <w:r w:rsidRPr="00B47E63">
        <w:rPr>
          <w:b/>
          <w:bCs/>
        </w:rPr>
        <w:t>Steam Cookers</w:t>
      </w:r>
      <w:r>
        <w:t xml:space="preserve"> (5% of ex ante energy savings, 7% of demand savings, and 10% of gas savings): The gross realization rates for Steam Cookers are 101% for energy savings, 100% for demand savings</w:t>
      </w:r>
      <w:r w:rsidR="00257B2C">
        <w:t>,</w:t>
      </w:r>
      <w:r>
        <w:t xml:space="preserve"> and 98% for gas savings.</w:t>
      </w:r>
    </w:p>
    <w:p w14:paraId="40FF4BA9" w14:textId="77777777" w:rsidR="00511EBD" w:rsidRDefault="00511EBD" w:rsidP="00511EBD">
      <w:pPr>
        <w:pStyle w:val="ListBullet2"/>
      </w:pPr>
      <w:r>
        <w:t>The implementation team used the assumptions and inputs defined in IL-TRM V12.0 for “Steam Generation” units to calculate the ex ante savings. Based on the model numbers of the efficient equipment, the evaluation team used the “Boilerless” assumptions and inputs according to the IL-TRM in the verified calculations, resulting in higher verified electric energy savings.</w:t>
      </w:r>
    </w:p>
    <w:p w14:paraId="1D066558" w14:textId="6D3761AF" w:rsidR="00511EBD" w:rsidRDefault="00511EBD" w:rsidP="00511EBD">
      <w:pPr>
        <w:pStyle w:val="ListBullet2"/>
      </w:pPr>
      <w:r>
        <w:t>For two records</w:t>
      </w:r>
      <w:r w:rsidR="00257B2C">
        <w:t>,</w:t>
      </w:r>
      <w:r>
        <w:t xml:space="preserve"> the implementation team applied the IL-TRM V12.0 assumption for average daily hours of operation for an “unknown” building type in the ex ante savings calculations. The evaluation team applied the assumption for a “Fast Food Limited Menu” location based on the interpretation that it is the closest available option in the IL-TRM to the medical facility building type listed in the tracking data. This resulted in lower verified electric energy and gas savings.    </w:t>
      </w:r>
    </w:p>
    <w:p w14:paraId="196A975F" w14:textId="734EFAA7" w:rsidR="00511EBD" w:rsidRDefault="00511EBD" w:rsidP="00511EBD">
      <w:pPr>
        <w:pStyle w:val="ListBullet2"/>
      </w:pPr>
      <w:r>
        <w:t xml:space="preserve">For one record, the implementation team did not apply the element count from the tracking data </w:t>
      </w:r>
      <w:r w:rsidR="00257B2C">
        <w:t>to calculate</w:t>
      </w:r>
      <w:r>
        <w:t xml:space="preserve"> ex ante savings. The evaluation team applied the element count in the verified calculations, resulting in higher verified electric energy and demand savings. </w:t>
      </w:r>
    </w:p>
    <w:p w14:paraId="293DC60B" w14:textId="77777777" w:rsidR="00511EBD" w:rsidRDefault="00511EBD" w:rsidP="00511EBD">
      <w:pPr>
        <w:pStyle w:val="ListBullet"/>
      </w:pPr>
      <w:r w:rsidRPr="00B47E63">
        <w:rPr>
          <w:b/>
          <w:bCs/>
        </w:rPr>
        <w:t>Griddles</w:t>
      </w:r>
      <w:r>
        <w:t xml:space="preserve"> (5% of ex ante energy savings, 3% of demand savings, and 5% of gas savings): The gross realization rates for Griddles are 91% for energy and demand savings and 98% for gas savings.</w:t>
      </w:r>
    </w:p>
    <w:p w14:paraId="41E3661E" w14:textId="2B2B0009" w:rsidR="00511EBD" w:rsidRDefault="00511EBD" w:rsidP="00511EBD">
      <w:pPr>
        <w:pStyle w:val="ListBullet2"/>
      </w:pPr>
      <w:r>
        <w:lastRenderedPageBreak/>
        <w:t>For one record, the implementation team used equipment-specific values in the ex ante savings calculations that are not included in the tracking data. The evaluation team applied the default values from IL-TRM V12.0 for the efficient equipment characterization, resulting in lower verified electric energy, demand</w:t>
      </w:r>
      <w:r w:rsidR="00084362">
        <w:t>,</w:t>
      </w:r>
      <w:r>
        <w:t xml:space="preserve"> and gas savings. </w:t>
      </w:r>
    </w:p>
    <w:p w14:paraId="4BD169BC" w14:textId="296AAA62" w:rsidR="00511EBD" w:rsidRDefault="00511EBD" w:rsidP="00511EBD">
      <w:pPr>
        <w:pStyle w:val="ListBullet2"/>
      </w:pPr>
      <w:r>
        <w:t>The remaining discrepancies between the ex ante and verified savings appear to be due to the application of rounded values in the ex ante savings calculations, resulting in lower verified energy, demand</w:t>
      </w:r>
      <w:r w:rsidR="00084362">
        <w:t>,</w:t>
      </w:r>
      <w:r>
        <w:t xml:space="preserve"> and gas savings.    </w:t>
      </w:r>
    </w:p>
    <w:p w14:paraId="3BD22D29" w14:textId="77777777" w:rsidR="00511EBD" w:rsidRDefault="00511EBD" w:rsidP="00511EBD">
      <w:pPr>
        <w:pStyle w:val="ListBullet"/>
      </w:pPr>
      <w:r w:rsidRPr="00B47E63">
        <w:rPr>
          <w:b/>
          <w:bCs/>
        </w:rPr>
        <w:t>Automatic Conveyor Broilers</w:t>
      </w:r>
      <w:r>
        <w:t xml:space="preserve"> (4% of ex ante electric energy savings and 6% of demand and gas savings): The gross realizations rates for Automatic Conveyer Broilers are 103% for electric energy savings, 81% for demand savings, and 99% for gas savings.</w:t>
      </w:r>
    </w:p>
    <w:p w14:paraId="091B4BE6" w14:textId="674E0DAD" w:rsidR="00511EBD" w:rsidRDefault="00511EBD" w:rsidP="00511EBD">
      <w:pPr>
        <w:pStyle w:val="ListBullet2"/>
      </w:pPr>
      <w:r>
        <w:t>For both measures, the implementation team appears to have applied a CF in the ex ante calculations that differs from the assumption programmed in ALEET, or an unspecified adjustment factor</w:t>
      </w:r>
      <w:r w:rsidR="00084362">
        <w:t>,</w:t>
      </w:r>
      <w:r>
        <w:t xml:space="preserve"> resulting in increased ex ante demand savings. The evaluation team used the CF value and demand savings algorithm defined in the IL-TRM in the verified calculation. The assumptions and algorithms programmed in ALEET align with the evaluation team’s approach, but the ex ante savings in the tracking data do not. This discrepancy results in lower verified demand savings.      </w:t>
      </w:r>
    </w:p>
    <w:p w14:paraId="773B6D66" w14:textId="1EE1DACB" w:rsidR="00511EBD" w:rsidRDefault="00511EBD" w:rsidP="00511EBD">
      <w:pPr>
        <w:pStyle w:val="ListBullet2"/>
      </w:pPr>
      <w:r>
        <w:t xml:space="preserve">For one measure, the implementation team uses a value identical to the deemed cooking energy rate for the preheat energy. </w:t>
      </w:r>
      <w:r w:rsidR="00084362">
        <w:t>T</w:t>
      </w:r>
      <w:r>
        <w:t>he evaluation team used the deemed preheat energy value from the IL-TRM V12.0</w:t>
      </w:r>
      <w:r w:rsidR="00084362">
        <w:t>,</w:t>
      </w:r>
      <w:r>
        <w:t xml:space="preserve"> resulting in higher verified </w:t>
      </w:r>
      <w:r w:rsidR="00084362">
        <w:t xml:space="preserve">electric </w:t>
      </w:r>
      <w:r>
        <w:t xml:space="preserve">energy and gas savings. </w:t>
      </w:r>
    </w:p>
    <w:p w14:paraId="3DE0E0C2" w14:textId="14392A67" w:rsidR="00511EBD" w:rsidRDefault="00511EBD" w:rsidP="00511EBD">
      <w:pPr>
        <w:pStyle w:val="ListBullet2"/>
      </w:pPr>
      <w:r>
        <w:t xml:space="preserve">For one measure, the implementation team used the deemed cooking energy from </w:t>
      </w:r>
      <w:r w:rsidR="00084362">
        <w:t xml:space="preserve">the </w:t>
      </w:r>
      <w:r>
        <w:t>IL-TRM V12.0 in the ex ante calculations. The evaluation team used the cooking energy provided in the program data in the verified calculations, resulting in lower verified gas savings.</w:t>
      </w:r>
    </w:p>
    <w:p w14:paraId="771B524F" w14:textId="57FD3AB3" w:rsidR="00511EBD" w:rsidRDefault="00511EBD" w:rsidP="00511EBD">
      <w:pPr>
        <w:pStyle w:val="ListBullet"/>
      </w:pPr>
      <w:r w:rsidRPr="00B47E63">
        <w:rPr>
          <w:b/>
          <w:bCs/>
        </w:rPr>
        <w:t>Convection Ovens</w:t>
      </w:r>
      <w:r>
        <w:t xml:space="preserve"> (3% of ex ante electric energy savings, 4% of demand</w:t>
      </w:r>
      <w:r w:rsidR="00AB2BBE">
        <w:t>,</w:t>
      </w:r>
      <w:r>
        <w:t xml:space="preserve"> and 2% of gas savings): The gross realization rates for Convection Ovens are 184% for electric energy savings, 108% for demand savings, and 206% for gas savings.</w:t>
      </w:r>
    </w:p>
    <w:p w14:paraId="6E3186C0" w14:textId="0AF58EF7" w:rsidR="00511EBD" w:rsidRDefault="00511EBD" w:rsidP="00511EBD">
      <w:pPr>
        <w:pStyle w:val="ListBullet2"/>
      </w:pPr>
      <w:r>
        <w:t xml:space="preserve">For eight electric records, the implementation team appears to have either applied a CF value in the ex ante calculations that differs from the assumption programmed in ALEET or an unspecified adjustment factor. The evaluation team used the demand savings algorithm defined in IL-TRM V12.0 and CF values based on the facility type information in the tracking data to estimate the verified demand savings. The assumptions and algorithms programmed in ALEET align with the evaluation team’s approach, but the ex ante savings in the tracking data do not. This discrepancy results in lower verified demand savings.      </w:t>
      </w:r>
    </w:p>
    <w:p w14:paraId="7D0B5CDF" w14:textId="3CE4711C" w:rsidR="00511EBD" w:rsidRDefault="00511EBD" w:rsidP="00511EBD">
      <w:pPr>
        <w:pStyle w:val="ListBullet2"/>
      </w:pPr>
      <w:r>
        <w:t xml:space="preserve">The evaluation team believes a data transfer or ingestion issue occurred for five gas convection oven records, which resulted in the over-reporting of ex ante gas savings for some records. The evaluation team estimated verified savings using inputs from the tracking data, where possible, and default assumptions from the IL-TRM V12.0. These discrepancies resulted in lower verified gas savings; however, </w:t>
      </w:r>
      <w:r w:rsidR="00AB2BBE">
        <w:t>applying</w:t>
      </w:r>
      <w:r>
        <w:t xml:space="preserve"> element counts in the verified savings resulted in an overall increase in verified gas savings. The evaluation team reviewed backup documentation on ALEET for these records and found that the ex ante savings values included in that documentation were in the same range as the verified estimates. </w:t>
      </w:r>
    </w:p>
    <w:p w14:paraId="37F6D138" w14:textId="1BB38E0A" w:rsidR="00511EBD" w:rsidRDefault="00511EBD" w:rsidP="00511EBD">
      <w:pPr>
        <w:pStyle w:val="ListBullet2"/>
      </w:pPr>
      <w:r>
        <w:t xml:space="preserve">For three electric records, the implementation team did not use the element count to calculate ex ante savings. The evaluation team used the element count to calculate savings, resulting in higher verified electric energy and demand savings. However, the effect on demand savings does not supersede </w:t>
      </w:r>
      <w:r w:rsidR="00AB2BBE">
        <w:t>the previously mentioned discrepancies</w:t>
      </w:r>
      <w:r>
        <w:t>.</w:t>
      </w:r>
    </w:p>
    <w:p w14:paraId="12C53514" w14:textId="77777777" w:rsidR="00511EBD" w:rsidRDefault="00511EBD" w:rsidP="00511EBD">
      <w:pPr>
        <w:pStyle w:val="ListBullet2"/>
      </w:pPr>
      <w:r>
        <w:t>For one electric record, the implementation team applied the default efficient idle time assumption from IL-TRM V12.0 in the ex ante savings calculations. The evaluation team applied the IL-TRM V12.0 algorithm to calculate efficient idle time using the efficient production capacity provided in the tracking data, resulting in lower verified electric energy and demand savings.</w:t>
      </w:r>
    </w:p>
    <w:p w14:paraId="3291EAAD" w14:textId="77777777" w:rsidR="00511EBD" w:rsidRDefault="00511EBD" w:rsidP="00511EBD">
      <w:pPr>
        <w:pStyle w:val="ListBullet"/>
      </w:pPr>
      <w:r w:rsidRPr="00B47E63">
        <w:rPr>
          <w:b/>
          <w:bCs/>
        </w:rPr>
        <w:lastRenderedPageBreak/>
        <w:t>Ice Machines</w:t>
      </w:r>
      <w:r>
        <w:t xml:space="preserve"> (3% of ex ante electric energy savings and 5% of demand savings): The gross realization rates for Ice Machines are 101% for electric energy savings and 89% for demand savings.</w:t>
      </w:r>
    </w:p>
    <w:p w14:paraId="22E4C159" w14:textId="77777777" w:rsidR="00511EBD" w:rsidRDefault="00511EBD" w:rsidP="00511EBD">
      <w:pPr>
        <w:pStyle w:val="ListBullet2"/>
      </w:pPr>
      <w:r>
        <w:t>The implementation team appears to have applied the same algorithms and assumptions as the evaluation team to estimate the demand savings for all records. However, the evaluation team calculated lower verified demand savings. The source of the discrepancy is unclear, based on the evaluation team’s review of the tracking data and ALEET.</w:t>
      </w:r>
    </w:p>
    <w:p w14:paraId="3CDA2649" w14:textId="5D2DB24F" w:rsidR="00511EBD" w:rsidRDefault="00511EBD" w:rsidP="00511EBD">
      <w:pPr>
        <w:pStyle w:val="ListBullet2"/>
      </w:pPr>
      <w:r>
        <w:t xml:space="preserve">For one </w:t>
      </w:r>
      <w:r w:rsidR="00084362">
        <w:t>record</w:t>
      </w:r>
      <w:r>
        <w:t xml:space="preserve">, the evaluation team applied the assumptions from the IL-TRM V12.0 based on the harvest rate listed in the tracking data. The implementation team appears to have applied assumptions </w:t>
      </w:r>
      <w:r w:rsidR="00AB2BBE">
        <w:t>inconsistent with the incentivized equipment's harvest rate</w:t>
      </w:r>
      <w:r>
        <w:t>, resulting in higher verified electric energy savings.</w:t>
      </w:r>
    </w:p>
    <w:p w14:paraId="17FB85C7" w14:textId="77777777" w:rsidR="00511EBD" w:rsidRDefault="00511EBD" w:rsidP="00511EBD">
      <w:pPr>
        <w:pStyle w:val="ListBullet"/>
      </w:pPr>
      <w:r w:rsidRPr="00B47E63">
        <w:rPr>
          <w:b/>
          <w:bCs/>
        </w:rPr>
        <w:t>Hot Food Holding Cabinets</w:t>
      </w:r>
      <w:r>
        <w:t xml:space="preserve"> (&lt;1% of ex ante electric energy savings and 1% of demand savings): The gross realization rates for the Hot Food Holding Cabinets are 95% for energy savings and 16% for demand savings.</w:t>
      </w:r>
    </w:p>
    <w:p w14:paraId="2747F32B" w14:textId="23A96BF8" w:rsidR="00511EBD" w:rsidRDefault="00511EBD" w:rsidP="00511EBD">
      <w:pPr>
        <w:pStyle w:val="ListBullet2"/>
      </w:pPr>
      <w:r>
        <w:t xml:space="preserve">The implementation team applied an efficient idle energy rate that differs from the value </w:t>
      </w:r>
      <w:r w:rsidR="00AB2BBE">
        <w:t xml:space="preserve">calculated by applying the equipment volume </w:t>
      </w:r>
      <w:r>
        <w:t xml:space="preserve">in the tracking data to the algorithm provided in IL-TRM V12.0. The evaluation team applied the volume provided in the program tracking data to the algorithms defined in IL-TRM V12.0, resulting in lower verified </w:t>
      </w:r>
      <w:r w:rsidR="00084362">
        <w:t xml:space="preserve">electric </w:t>
      </w:r>
      <w:r>
        <w:t xml:space="preserve">energy savings and demand savings.  </w:t>
      </w:r>
    </w:p>
    <w:p w14:paraId="0E48843A" w14:textId="5EE62A99" w:rsidR="00511EBD" w:rsidRDefault="00511EBD" w:rsidP="00511EBD">
      <w:pPr>
        <w:pStyle w:val="ListBullet2"/>
      </w:pPr>
      <w:r>
        <w:t>The evaluation team believes there was a data entry error for the ex ante demand savings. The evaluation team applied the IL-TRM V12.0 algorithm with the volume provided in the tracking data to calculate the verified demand savings. The assumptions and algorithms programmed in ALEET align with the evaluation team’s approach, but the ex ante savings listed in the tracking data are significantly higher. This discrepancy results in lower verified demand savings.</w:t>
      </w:r>
    </w:p>
    <w:p w14:paraId="0F05631D" w14:textId="77777777" w:rsidR="00511EBD" w:rsidRDefault="00511EBD" w:rsidP="00511EBD">
      <w:pPr>
        <w:pStyle w:val="ListBullet"/>
      </w:pPr>
      <w:r w:rsidRPr="00B47E63">
        <w:rPr>
          <w:b/>
          <w:bCs/>
        </w:rPr>
        <w:t>Gas Conveyor Ovens</w:t>
      </w:r>
      <w:r>
        <w:t xml:space="preserve"> (7% of ex ante gas savings): The gross realization rate for Gas Conveyor Ovens is 259% for gas savings.</w:t>
      </w:r>
    </w:p>
    <w:p w14:paraId="5CB8124B" w14:textId="77777777" w:rsidR="00511EBD" w:rsidRDefault="00511EBD" w:rsidP="00511EBD">
      <w:pPr>
        <w:pStyle w:val="ListBullet2"/>
      </w:pPr>
      <w:r>
        <w:t xml:space="preserve">The implementation team did not apply the element count when calculating the ex ante savings. The evaluation team incorporated the element counts when calculating savings, resulting in higher verified gas savings. </w:t>
      </w:r>
    </w:p>
    <w:p w14:paraId="7473183D" w14:textId="77777777" w:rsidR="00D63894" w:rsidRDefault="00D63894" w:rsidP="00610569">
      <w:pPr>
        <w:pStyle w:val="ListBullet2"/>
        <w:sectPr w:rsidR="00D63894" w:rsidSect="00B45EFD">
          <w:pgSz w:w="12240" w:h="15840" w:code="1"/>
          <w:pgMar w:top="567" w:right="567" w:bottom="567" w:left="567" w:header="567" w:footer="340" w:gutter="0"/>
          <w:cols w:space="708"/>
          <w:docGrid w:linePitch="360"/>
        </w:sectPr>
      </w:pPr>
    </w:p>
    <w:p w14:paraId="6CDB006F" w14:textId="581F18B0" w:rsidR="00B47754" w:rsidRDefault="00B47754" w:rsidP="00526C94">
      <w:pPr>
        <w:pStyle w:val="Heading3"/>
        <w:tabs>
          <w:tab w:val="clear" w:pos="2160"/>
          <w:tab w:val="num" w:pos="1080"/>
        </w:tabs>
        <w:ind w:left="0"/>
      </w:pPr>
      <w:bookmarkStart w:id="345" w:name="_Toc191992454"/>
      <w:r>
        <w:lastRenderedPageBreak/>
        <w:t>Cumulative Persisting Annual Savings</w:t>
      </w:r>
      <w:bookmarkEnd w:id="345"/>
    </w:p>
    <w:p w14:paraId="70F63323" w14:textId="75FC8424" w:rsidR="00D63894" w:rsidRPr="00D63894" w:rsidRDefault="00D63894" w:rsidP="00D63894">
      <w:r>
        <w:fldChar w:fldCharType="begin"/>
      </w:r>
      <w:r>
        <w:instrText xml:space="preserve"> REF _Ref187327651 \h </w:instrText>
      </w:r>
      <w:r>
        <w:fldChar w:fldCharType="separate"/>
      </w:r>
      <w:r w:rsidR="00AA10F4">
        <w:t xml:space="preserve">Table </w:t>
      </w:r>
      <w:r w:rsidR="00AA10F4">
        <w:rPr>
          <w:noProof/>
        </w:rPr>
        <w:t>80</w:t>
      </w:r>
      <w:r>
        <w:fldChar w:fldCharType="end"/>
      </w:r>
      <w:r>
        <w:t xml:space="preserve"> through </w:t>
      </w:r>
      <w:r>
        <w:fldChar w:fldCharType="begin"/>
      </w:r>
      <w:r>
        <w:instrText xml:space="preserve"> REF _Ref187327657 \h </w:instrText>
      </w:r>
      <w:r>
        <w:fldChar w:fldCharType="separate"/>
      </w:r>
      <w:r w:rsidR="00AA10F4">
        <w:t xml:space="preserve">Table </w:t>
      </w:r>
      <w:r w:rsidR="00AA10F4">
        <w:rPr>
          <w:noProof/>
        </w:rPr>
        <w:t>83</w:t>
      </w:r>
      <w:r>
        <w:fldChar w:fldCharType="end"/>
      </w:r>
      <w:r>
        <w:t xml:space="preserve"> present CPAS and WAML for the 2024 Midstream Initiative by channel. The tables also include a summary of the </w:t>
      </w:r>
      <w:r w:rsidR="001A45D4">
        <w:t>measure-specific</w:t>
      </w:r>
      <w:r>
        <w:t xml:space="preserve"> and total verified gross savings for the Initiative and respective channels, as well as CPAS in each year from 2024</w:t>
      </w:r>
      <w:r w:rsidR="00AB2BBE">
        <w:t>–</w:t>
      </w:r>
      <w:r>
        <w:t>2027.</w:t>
      </w:r>
      <w:r w:rsidR="000A439D">
        <w:rPr>
          <w:rStyle w:val="FootnoteReference"/>
        </w:rPr>
        <w:footnoteReference w:id="35"/>
      </w:r>
      <w:r>
        <w:t xml:space="preserve"> The WAML for the Midstream Initiative is </w:t>
      </w:r>
      <w:r w:rsidR="00F138F3">
        <w:t>14.8</w:t>
      </w:r>
      <w:r>
        <w:t xml:space="preserve"> years</w:t>
      </w:r>
      <w:r w:rsidR="002C3C5A">
        <w:t>,</w:t>
      </w:r>
      <w:r>
        <w:t xml:space="preserve"> and the </w:t>
      </w:r>
      <w:r w:rsidR="000A439D">
        <w:t xml:space="preserve">WAML for the Lighting, HVAC, and Food Service channels are </w:t>
      </w:r>
      <w:r w:rsidR="00E92028">
        <w:t>14.9</w:t>
      </w:r>
      <w:r w:rsidR="000A439D">
        <w:t xml:space="preserve"> years, </w:t>
      </w:r>
      <w:r w:rsidR="00723CEA">
        <w:t>13.1</w:t>
      </w:r>
      <w:r w:rsidR="000A439D">
        <w:t xml:space="preserve"> years, and </w:t>
      </w:r>
      <w:r w:rsidR="00430495">
        <w:t>12.8</w:t>
      </w:r>
      <w:r w:rsidR="000A439D">
        <w:t xml:space="preserve"> years, respectively.</w:t>
      </w:r>
    </w:p>
    <w:p w14:paraId="2283AC9B" w14:textId="53E9FC22" w:rsidR="00D63894" w:rsidRDefault="00D63894" w:rsidP="00881B1B">
      <w:pPr>
        <w:pStyle w:val="Caption"/>
      </w:pPr>
      <w:bookmarkStart w:id="346" w:name="_Ref187327651"/>
      <w:bookmarkStart w:id="347" w:name="_Toc191992601"/>
      <w:bookmarkStart w:id="348" w:name="_Toc192767014"/>
      <w:r>
        <w:t xml:space="preserve">Table </w:t>
      </w:r>
      <w:r w:rsidR="009B4C9A">
        <w:fldChar w:fldCharType="begin"/>
      </w:r>
      <w:r w:rsidR="009B4C9A">
        <w:instrText xml:space="preserve"> SEQ Table \* ARABIC </w:instrText>
      </w:r>
      <w:r w:rsidR="009B4C9A">
        <w:fldChar w:fldCharType="separate"/>
      </w:r>
      <w:r w:rsidR="00AA10F4">
        <w:rPr>
          <w:noProof/>
        </w:rPr>
        <w:t>80</w:t>
      </w:r>
      <w:r w:rsidR="009B4C9A">
        <w:rPr>
          <w:noProof/>
        </w:rPr>
        <w:fldChar w:fldCharType="end"/>
      </w:r>
      <w:bookmarkEnd w:id="346"/>
      <w:r>
        <w:t>. 2024 Midstream Initiative CPAS and WAML</w:t>
      </w:r>
      <w:bookmarkEnd w:id="347"/>
      <w:bookmarkEnd w:id="348"/>
    </w:p>
    <w:tbl>
      <w:tblPr>
        <w:tblStyle w:val="TableGrid"/>
        <w:tblW w:w="5000" w:type="pct"/>
        <w:tblLook w:val="04A0" w:firstRow="1" w:lastRow="0" w:firstColumn="1" w:lastColumn="0" w:noHBand="0" w:noVBand="1"/>
      </w:tblPr>
      <w:tblGrid>
        <w:gridCol w:w="1437"/>
        <w:gridCol w:w="821"/>
        <w:gridCol w:w="3868"/>
        <w:gridCol w:w="776"/>
        <w:gridCol w:w="915"/>
        <w:gridCol w:w="915"/>
        <w:gridCol w:w="915"/>
        <w:gridCol w:w="915"/>
        <w:gridCol w:w="344"/>
        <w:gridCol w:w="915"/>
        <w:gridCol w:w="344"/>
        <w:gridCol w:w="2541"/>
      </w:tblGrid>
      <w:tr w:rsidR="00B777D6" w14:paraId="1582ABF9"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9" w:type="pct"/>
            <w:vMerge w:val="restart"/>
            <w:tcBorders>
              <w:bottom w:val="single" w:sz="4" w:space="0" w:color="4D4D4F"/>
            </w:tcBorders>
          </w:tcPr>
          <w:p w14:paraId="40427F5E" w14:textId="3D2C6173" w:rsidR="00D63894" w:rsidRDefault="000B1B6F" w:rsidP="00562725">
            <w:pPr>
              <w:pStyle w:val="TableHeadingLeft"/>
            </w:pPr>
            <w:r>
              <w:t>Channel</w:t>
            </w:r>
          </w:p>
        </w:tc>
        <w:tc>
          <w:tcPr>
            <w:tcW w:w="279" w:type="pct"/>
            <w:vMerge w:val="restart"/>
            <w:tcBorders>
              <w:top w:val="single" w:sz="4" w:space="0" w:color="4D4D4F"/>
              <w:left w:val="single" w:sz="4" w:space="0" w:color="4D4D4F"/>
              <w:bottom w:val="single" w:sz="4" w:space="0" w:color="4D4D4F"/>
              <w:right w:val="single" w:sz="4" w:space="0" w:color="4D4D4F"/>
            </w:tcBorders>
          </w:tcPr>
          <w:p w14:paraId="521D1E4D"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WAML</w:t>
            </w:r>
          </w:p>
        </w:tc>
        <w:tc>
          <w:tcPr>
            <w:tcW w:w="1315" w:type="pct"/>
            <w:vMerge w:val="restart"/>
            <w:tcBorders>
              <w:top w:val="single" w:sz="4" w:space="0" w:color="4D4D4F"/>
              <w:left w:val="single" w:sz="4" w:space="0" w:color="4D4D4F"/>
              <w:bottom w:val="single" w:sz="4" w:space="0" w:color="4D4D4F"/>
              <w:right w:val="single" w:sz="4" w:space="0" w:color="4D4D4F"/>
            </w:tcBorders>
          </w:tcPr>
          <w:p w14:paraId="4220520E"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64" w:type="pct"/>
            <w:vMerge w:val="restart"/>
            <w:tcBorders>
              <w:top w:val="single" w:sz="4" w:space="0" w:color="4D4D4F"/>
              <w:left w:val="single" w:sz="4" w:space="0" w:color="4D4D4F"/>
              <w:bottom w:val="single" w:sz="4" w:space="0" w:color="4D4D4F"/>
              <w:right w:val="single" w:sz="4" w:space="0" w:color="4D4D4F"/>
            </w:tcBorders>
          </w:tcPr>
          <w:p w14:paraId="6CF8B402"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87" w:type="pct"/>
            <w:gridSpan w:val="7"/>
            <w:tcBorders>
              <w:top w:val="single" w:sz="4" w:space="0" w:color="4D4D4F"/>
              <w:left w:val="single" w:sz="4" w:space="0" w:color="4D4D4F"/>
              <w:bottom w:val="single" w:sz="4" w:space="0" w:color="4D4D4F"/>
              <w:right w:val="single" w:sz="4" w:space="0" w:color="4D4D4F"/>
            </w:tcBorders>
          </w:tcPr>
          <w:p w14:paraId="1C1E9129"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66" w:type="pct"/>
            <w:vMerge w:val="restart"/>
            <w:tcBorders>
              <w:top w:val="single" w:sz="4" w:space="0" w:color="4D4D4F"/>
              <w:left w:val="single" w:sz="4" w:space="0" w:color="4D4D4F"/>
              <w:bottom w:val="single" w:sz="4" w:space="0" w:color="4D4D4F"/>
              <w:right w:val="single" w:sz="4" w:space="0" w:color="4D4D4F"/>
            </w:tcBorders>
          </w:tcPr>
          <w:p w14:paraId="5BB3A30A"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24C8CBEF"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89" w:type="pct"/>
            <w:vMerge/>
          </w:tcPr>
          <w:p w14:paraId="510C342A" w14:textId="77777777" w:rsidR="00D63894" w:rsidRDefault="00D63894" w:rsidP="00562725"/>
        </w:tc>
        <w:tc>
          <w:tcPr>
            <w:tcW w:w="279" w:type="pct"/>
            <w:vMerge/>
          </w:tcPr>
          <w:p w14:paraId="5C3A1EC0"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1315" w:type="pct"/>
            <w:vMerge/>
          </w:tcPr>
          <w:p w14:paraId="3CBA9061"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64" w:type="pct"/>
            <w:vMerge/>
          </w:tcPr>
          <w:p w14:paraId="5C41B0E7"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311" w:type="pct"/>
            <w:shd w:val="clear" w:color="auto" w:fill="053572" w:themeFill="text2"/>
          </w:tcPr>
          <w:p w14:paraId="5F2C7BB0"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311" w:type="pct"/>
            <w:shd w:val="clear" w:color="auto" w:fill="053572" w:themeFill="text2"/>
          </w:tcPr>
          <w:p w14:paraId="4891ECBF"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311" w:type="pct"/>
            <w:shd w:val="clear" w:color="auto" w:fill="053572" w:themeFill="text2"/>
          </w:tcPr>
          <w:p w14:paraId="2134451D"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311" w:type="pct"/>
            <w:shd w:val="clear" w:color="auto" w:fill="053572" w:themeFill="text2"/>
          </w:tcPr>
          <w:p w14:paraId="6D4C2853"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17" w:type="pct"/>
            <w:shd w:val="clear" w:color="auto" w:fill="053572" w:themeFill="text2"/>
          </w:tcPr>
          <w:p w14:paraId="1DB3DA3C"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311" w:type="pct"/>
            <w:shd w:val="clear" w:color="auto" w:fill="053572" w:themeFill="text2"/>
          </w:tcPr>
          <w:p w14:paraId="17C800CC"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17" w:type="pct"/>
            <w:shd w:val="clear" w:color="auto" w:fill="053572" w:themeFill="text2"/>
          </w:tcPr>
          <w:p w14:paraId="6ED35325"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66" w:type="pct"/>
            <w:vMerge/>
          </w:tcPr>
          <w:p w14:paraId="3C29A5C2"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r>
      <w:tr w:rsidR="00E92028" w14:paraId="63A87E7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pct"/>
          </w:tcPr>
          <w:p w14:paraId="46445C1A" w14:textId="1B28CC43" w:rsidR="00E92028" w:rsidRDefault="00E92028" w:rsidP="00562725">
            <w:r>
              <w:t>Lighting</w:t>
            </w:r>
          </w:p>
        </w:tc>
        <w:tc>
          <w:tcPr>
            <w:tcW w:w="279" w:type="pct"/>
          </w:tcPr>
          <w:p w14:paraId="478E27D6" w14:textId="3E738BC7"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t>14.9</w:t>
            </w:r>
          </w:p>
        </w:tc>
        <w:tc>
          <w:tcPr>
            <w:tcW w:w="1315" w:type="pct"/>
          </w:tcPr>
          <w:p w14:paraId="339B2724" w14:textId="63C0E773"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29,561</w:t>
            </w:r>
          </w:p>
        </w:tc>
        <w:tc>
          <w:tcPr>
            <w:tcW w:w="264" w:type="pct"/>
          </w:tcPr>
          <w:p w14:paraId="62396738" w14:textId="03F98A83"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0.979</w:t>
            </w:r>
          </w:p>
        </w:tc>
        <w:tc>
          <w:tcPr>
            <w:tcW w:w="311" w:type="pct"/>
          </w:tcPr>
          <w:p w14:paraId="4F39B2B3" w14:textId="11B75ECD"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28,949</w:t>
            </w:r>
          </w:p>
        </w:tc>
        <w:tc>
          <w:tcPr>
            <w:tcW w:w="311" w:type="pct"/>
          </w:tcPr>
          <w:p w14:paraId="73895152" w14:textId="56D06D9B"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28,949</w:t>
            </w:r>
          </w:p>
        </w:tc>
        <w:tc>
          <w:tcPr>
            <w:tcW w:w="311" w:type="pct"/>
          </w:tcPr>
          <w:p w14:paraId="76019DE3" w14:textId="2E6FA60C"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28,949</w:t>
            </w:r>
          </w:p>
        </w:tc>
        <w:tc>
          <w:tcPr>
            <w:tcW w:w="311" w:type="pct"/>
          </w:tcPr>
          <w:p w14:paraId="37130B45" w14:textId="58E61E56"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28,949</w:t>
            </w:r>
          </w:p>
        </w:tc>
        <w:tc>
          <w:tcPr>
            <w:tcW w:w="117" w:type="pct"/>
          </w:tcPr>
          <w:p w14:paraId="70A42F01" w14:textId="5ABDD21B" w:rsidR="00E92028"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C26366">
              <w:t>…</w:t>
            </w:r>
          </w:p>
        </w:tc>
        <w:tc>
          <w:tcPr>
            <w:tcW w:w="311" w:type="pct"/>
          </w:tcPr>
          <w:p w14:paraId="65AC2A81" w14:textId="06A21F38"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28,941</w:t>
            </w:r>
          </w:p>
        </w:tc>
        <w:tc>
          <w:tcPr>
            <w:tcW w:w="117" w:type="pct"/>
          </w:tcPr>
          <w:p w14:paraId="18E77B7F" w14:textId="183F550E" w:rsidR="00E92028"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C26366">
              <w:t>…</w:t>
            </w:r>
          </w:p>
        </w:tc>
        <w:tc>
          <w:tcPr>
            <w:tcW w:w="866" w:type="pct"/>
          </w:tcPr>
          <w:p w14:paraId="03796872" w14:textId="57484A5D" w:rsidR="00E92028" w:rsidRDefault="00E92028" w:rsidP="00562725">
            <w:pPr>
              <w:jc w:val="right"/>
              <w:cnfStyle w:val="000000010000" w:firstRow="0" w:lastRow="0" w:firstColumn="0" w:lastColumn="0" w:oddVBand="0" w:evenVBand="0" w:oddHBand="0" w:evenHBand="1" w:firstRowFirstColumn="0" w:firstRowLastColumn="0" w:lastRowFirstColumn="0" w:lastRowLastColumn="0"/>
            </w:pPr>
            <w:r w:rsidRPr="00C26366">
              <w:t>430,671</w:t>
            </w:r>
          </w:p>
        </w:tc>
      </w:tr>
      <w:tr w:rsidR="006D2461" w14:paraId="4C245AFF"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pct"/>
          </w:tcPr>
          <w:p w14:paraId="52082C50" w14:textId="5D6DA9FD" w:rsidR="006D2461" w:rsidRDefault="006D2461" w:rsidP="00562725">
            <w:r>
              <w:t>HVAC</w:t>
            </w:r>
          </w:p>
        </w:tc>
        <w:tc>
          <w:tcPr>
            <w:tcW w:w="279" w:type="pct"/>
          </w:tcPr>
          <w:p w14:paraId="1E98E2CA" w14:textId="658128D0"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t>13.1</w:t>
            </w:r>
          </w:p>
        </w:tc>
        <w:tc>
          <w:tcPr>
            <w:tcW w:w="1315" w:type="pct"/>
          </w:tcPr>
          <w:p w14:paraId="6A411E2C" w14:textId="484A2531"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394</w:t>
            </w:r>
          </w:p>
        </w:tc>
        <w:tc>
          <w:tcPr>
            <w:tcW w:w="264" w:type="pct"/>
          </w:tcPr>
          <w:p w14:paraId="5F2F6010" w14:textId="0BFB773C"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0.701</w:t>
            </w:r>
          </w:p>
        </w:tc>
        <w:tc>
          <w:tcPr>
            <w:tcW w:w="311" w:type="pct"/>
          </w:tcPr>
          <w:p w14:paraId="37853D19" w14:textId="046CF561"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276</w:t>
            </w:r>
          </w:p>
        </w:tc>
        <w:tc>
          <w:tcPr>
            <w:tcW w:w="311" w:type="pct"/>
          </w:tcPr>
          <w:p w14:paraId="0D85C885" w14:textId="340C2B08"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276</w:t>
            </w:r>
          </w:p>
        </w:tc>
        <w:tc>
          <w:tcPr>
            <w:tcW w:w="311" w:type="pct"/>
          </w:tcPr>
          <w:p w14:paraId="606A4106" w14:textId="748F0217"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276</w:t>
            </w:r>
          </w:p>
        </w:tc>
        <w:tc>
          <w:tcPr>
            <w:tcW w:w="311" w:type="pct"/>
          </w:tcPr>
          <w:p w14:paraId="674D718C" w14:textId="7443A44D"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272</w:t>
            </w:r>
          </w:p>
        </w:tc>
        <w:tc>
          <w:tcPr>
            <w:tcW w:w="117" w:type="pct"/>
          </w:tcPr>
          <w:p w14:paraId="2109F70E" w14:textId="2C16DC9E" w:rsidR="006D2461"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9B3FBB">
              <w:t>…</w:t>
            </w:r>
          </w:p>
        </w:tc>
        <w:tc>
          <w:tcPr>
            <w:tcW w:w="311" w:type="pct"/>
          </w:tcPr>
          <w:p w14:paraId="16579CD8" w14:textId="02B30024"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249</w:t>
            </w:r>
          </w:p>
        </w:tc>
        <w:tc>
          <w:tcPr>
            <w:tcW w:w="117" w:type="pct"/>
          </w:tcPr>
          <w:p w14:paraId="3A28CC42" w14:textId="679E9C70" w:rsidR="006D2461"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9B3FBB">
              <w:t>…</w:t>
            </w:r>
          </w:p>
        </w:tc>
        <w:tc>
          <w:tcPr>
            <w:tcW w:w="866" w:type="pct"/>
          </w:tcPr>
          <w:p w14:paraId="4A30C5E2" w14:textId="35548F51" w:rsidR="006D2461" w:rsidRDefault="006D2461" w:rsidP="00562725">
            <w:pPr>
              <w:jc w:val="right"/>
              <w:cnfStyle w:val="000000100000" w:firstRow="0" w:lastRow="0" w:firstColumn="0" w:lastColumn="0" w:oddVBand="0" w:evenVBand="0" w:oddHBand="1" w:evenHBand="0" w:firstRowFirstColumn="0" w:firstRowLastColumn="0" w:lastRowFirstColumn="0" w:lastRowLastColumn="0"/>
            </w:pPr>
            <w:r w:rsidRPr="009B3FBB">
              <w:t>3,565</w:t>
            </w:r>
          </w:p>
        </w:tc>
      </w:tr>
      <w:tr w:rsidR="00D42A84" w14:paraId="14485F58"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pct"/>
          </w:tcPr>
          <w:p w14:paraId="006286D8" w14:textId="35E48192" w:rsidR="00D42A84" w:rsidRDefault="00D42A84" w:rsidP="00562725">
            <w:r>
              <w:t>Food Service</w:t>
            </w:r>
          </w:p>
        </w:tc>
        <w:tc>
          <w:tcPr>
            <w:tcW w:w="279" w:type="pct"/>
          </w:tcPr>
          <w:p w14:paraId="5EDBB6A7" w14:textId="2BFB327C"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t>12.8</w:t>
            </w:r>
          </w:p>
        </w:tc>
        <w:tc>
          <w:tcPr>
            <w:tcW w:w="1315" w:type="pct"/>
          </w:tcPr>
          <w:p w14:paraId="2DFB08A0" w14:textId="7E87DB49"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495</w:t>
            </w:r>
          </w:p>
        </w:tc>
        <w:tc>
          <w:tcPr>
            <w:tcW w:w="264" w:type="pct"/>
          </w:tcPr>
          <w:p w14:paraId="1286AFD4" w14:textId="09A3FBAA"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0.863</w:t>
            </w:r>
          </w:p>
        </w:tc>
        <w:tc>
          <w:tcPr>
            <w:tcW w:w="311" w:type="pct"/>
          </w:tcPr>
          <w:p w14:paraId="5414195A" w14:textId="0CE4769D"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428</w:t>
            </w:r>
          </w:p>
        </w:tc>
        <w:tc>
          <w:tcPr>
            <w:tcW w:w="311" w:type="pct"/>
          </w:tcPr>
          <w:p w14:paraId="221D7A86" w14:textId="2E8C126F"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428</w:t>
            </w:r>
          </w:p>
        </w:tc>
        <w:tc>
          <w:tcPr>
            <w:tcW w:w="311" w:type="pct"/>
          </w:tcPr>
          <w:p w14:paraId="5FF21E93" w14:textId="34CC3517"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428</w:t>
            </w:r>
          </w:p>
        </w:tc>
        <w:tc>
          <w:tcPr>
            <w:tcW w:w="311" w:type="pct"/>
          </w:tcPr>
          <w:p w14:paraId="668BDA92" w14:textId="1DCA0852"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428</w:t>
            </w:r>
          </w:p>
        </w:tc>
        <w:tc>
          <w:tcPr>
            <w:tcW w:w="117" w:type="pct"/>
          </w:tcPr>
          <w:p w14:paraId="1E4D05D5" w14:textId="2F774E64" w:rsidR="00D42A84" w:rsidRPr="00780204" w:rsidRDefault="00D42A84" w:rsidP="00BC69D4">
            <w:pPr>
              <w:jc w:val="center"/>
              <w:cnfStyle w:val="000000010000" w:firstRow="0" w:lastRow="0" w:firstColumn="0" w:lastColumn="0" w:oddVBand="0" w:evenVBand="0" w:oddHBand="0" w:evenHBand="1" w:firstRowFirstColumn="0" w:firstRowLastColumn="0" w:lastRowFirstColumn="0" w:lastRowLastColumn="0"/>
            </w:pPr>
            <w:r w:rsidRPr="00E14512">
              <w:t>…</w:t>
            </w:r>
          </w:p>
        </w:tc>
        <w:tc>
          <w:tcPr>
            <w:tcW w:w="311" w:type="pct"/>
          </w:tcPr>
          <w:p w14:paraId="0BE57A59" w14:textId="1CFD6FEC"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428</w:t>
            </w:r>
          </w:p>
        </w:tc>
        <w:tc>
          <w:tcPr>
            <w:tcW w:w="117" w:type="pct"/>
          </w:tcPr>
          <w:p w14:paraId="7D93641F" w14:textId="4F2DE433" w:rsidR="00D42A84" w:rsidRPr="00780204" w:rsidRDefault="00D42A84" w:rsidP="00BC69D4">
            <w:pPr>
              <w:jc w:val="center"/>
              <w:cnfStyle w:val="000000010000" w:firstRow="0" w:lastRow="0" w:firstColumn="0" w:lastColumn="0" w:oddVBand="0" w:evenVBand="0" w:oddHBand="0" w:evenHBand="1" w:firstRowFirstColumn="0" w:firstRowLastColumn="0" w:lastRowFirstColumn="0" w:lastRowLastColumn="0"/>
            </w:pPr>
            <w:r w:rsidRPr="00E14512">
              <w:t>…</w:t>
            </w:r>
          </w:p>
        </w:tc>
        <w:tc>
          <w:tcPr>
            <w:tcW w:w="866" w:type="pct"/>
          </w:tcPr>
          <w:p w14:paraId="1A74F785" w14:textId="257727FE" w:rsidR="00D42A84" w:rsidRPr="00780204" w:rsidRDefault="00D42A84" w:rsidP="00562725">
            <w:pPr>
              <w:jc w:val="right"/>
              <w:cnfStyle w:val="000000010000" w:firstRow="0" w:lastRow="0" w:firstColumn="0" w:lastColumn="0" w:oddVBand="0" w:evenVBand="0" w:oddHBand="0" w:evenHBand="1" w:firstRowFirstColumn="0" w:firstRowLastColumn="0" w:lastRowFirstColumn="0" w:lastRowLastColumn="0"/>
            </w:pPr>
            <w:r w:rsidRPr="00E14512">
              <w:t>5,497</w:t>
            </w:r>
          </w:p>
        </w:tc>
      </w:tr>
      <w:tr w:rsidR="00BC69D4" w14:paraId="70B68217"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8" w:type="pct"/>
            <w:gridSpan w:val="2"/>
            <w:shd w:val="clear" w:color="auto" w:fill="D9D9D9" w:themeFill="background1" w:themeFillShade="D9"/>
          </w:tcPr>
          <w:p w14:paraId="59446EBF" w14:textId="2DD5E5B0" w:rsidR="004F4125" w:rsidRPr="00B777D6" w:rsidRDefault="004F4125" w:rsidP="00562725">
            <w:pPr>
              <w:rPr>
                <w:rFonts w:ascii="Franklin Gothic Medium" w:hAnsi="Franklin Gothic Medium"/>
              </w:rPr>
            </w:pPr>
            <w:r w:rsidRPr="00B777D6">
              <w:rPr>
                <w:rFonts w:ascii="Franklin Gothic Medium" w:hAnsi="Franklin Gothic Medium"/>
              </w:rPr>
              <w:t>2024 CPAS</w:t>
            </w:r>
          </w:p>
        </w:tc>
        <w:tc>
          <w:tcPr>
            <w:tcW w:w="1315" w:type="pct"/>
            <w:shd w:val="clear" w:color="auto" w:fill="D9D9D9" w:themeFill="background1" w:themeFillShade="D9"/>
          </w:tcPr>
          <w:p w14:paraId="3159712D" w14:textId="0401640C"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30,451</w:t>
            </w:r>
          </w:p>
        </w:tc>
        <w:tc>
          <w:tcPr>
            <w:tcW w:w="264" w:type="pct"/>
            <w:shd w:val="clear" w:color="auto" w:fill="D9D9D9" w:themeFill="background1" w:themeFillShade="D9"/>
          </w:tcPr>
          <w:p w14:paraId="4F579261" w14:textId="028D1595"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0.974</w:t>
            </w:r>
          </w:p>
        </w:tc>
        <w:tc>
          <w:tcPr>
            <w:tcW w:w="311" w:type="pct"/>
            <w:shd w:val="clear" w:color="auto" w:fill="D9D9D9" w:themeFill="background1" w:themeFillShade="D9"/>
          </w:tcPr>
          <w:p w14:paraId="6D977491" w14:textId="2921DF8B"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29,653</w:t>
            </w:r>
          </w:p>
        </w:tc>
        <w:tc>
          <w:tcPr>
            <w:tcW w:w="311" w:type="pct"/>
            <w:shd w:val="clear" w:color="auto" w:fill="D9D9D9" w:themeFill="background1" w:themeFillShade="D9"/>
          </w:tcPr>
          <w:p w14:paraId="665FDD01" w14:textId="4F514606"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29,653</w:t>
            </w:r>
          </w:p>
        </w:tc>
        <w:tc>
          <w:tcPr>
            <w:tcW w:w="311" w:type="pct"/>
            <w:shd w:val="clear" w:color="auto" w:fill="D9D9D9" w:themeFill="background1" w:themeFillShade="D9"/>
          </w:tcPr>
          <w:p w14:paraId="06AE52CC" w14:textId="1BC0B06B"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29,653</w:t>
            </w:r>
          </w:p>
        </w:tc>
        <w:tc>
          <w:tcPr>
            <w:tcW w:w="311" w:type="pct"/>
            <w:shd w:val="clear" w:color="auto" w:fill="D9D9D9" w:themeFill="background1" w:themeFillShade="D9"/>
          </w:tcPr>
          <w:p w14:paraId="68AB1102" w14:textId="2B8986DA"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29,649</w:t>
            </w:r>
          </w:p>
        </w:tc>
        <w:tc>
          <w:tcPr>
            <w:tcW w:w="117" w:type="pct"/>
            <w:shd w:val="clear" w:color="auto" w:fill="D9D9D9" w:themeFill="background1" w:themeFillShade="D9"/>
          </w:tcPr>
          <w:p w14:paraId="05B85CB6" w14:textId="77777777" w:rsidR="004F4125" w:rsidRPr="00B777D6"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311" w:type="pct"/>
            <w:shd w:val="clear" w:color="auto" w:fill="D9D9D9" w:themeFill="background1" w:themeFillShade="D9"/>
          </w:tcPr>
          <w:p w14:paraId="0CC96393" w14:textId="41CACB6B"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29,618</w:t>
            </w:r>
          </w:p>
        </w:tc>
        <w:tc>
          <w:tcPr>
            <w:tcW w:w="117" w:type="pct"/>
            <w:shd w:val="clear" w:color="auto" w:fill="D9D9D9" w:themeFill="background1" w:themeFillShade="D9"/>
          </w:tcPr>
          <w:p w14:paraId="24FDAD62" w14:textId="77777777" w:rsidR="004F4125" w:rsidRPr="00B777D6"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66" w:type="pct"/>
            <w:shd w:val="clear" w:color="auto" w:fill="D9D9D9" w:themeFill="background1" w:themeFillShade="D9"/>
          </w:tcPr>
          <w:p w14:paraId="32F15E2C" w14:textId="6079065A"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439,733</w:t>
            </w:r>
          </w:p>
        </w:tc>
      </w:tr>
      <w:tr w:rsidR="004F4125" w14:paraId="5004CEA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gridSpan w:val="4"/>
            <w:shd w:val="clear" w:color="auto" w:fill="D9D9D9" w:themeFill="background1" w:themeFillShade="D9"/>
          </w:tcPr>
          <w:p w14:paraId="46282DF3" w14:textId="692F97DD" w:rsidR="004F4125" w:rsidRPr="00B777D6" w:rsidRDefault="004F4125" w:rsidP="00562725">
            <w:pPr>
              <w:rPr>
                <w:rFonts w:ascii="Franklin Gothic Medium" w:hAnsi="Franklin Gothic Medium"/>
              </w:rPr>
            </w:pPr>
            <w:r w:rsidRPr="00B777D6">
              <w:rPr>
                <w:rFonts w:ascii="Franklin Gothic Medium" w:hAnsi="Franklin Gothic Medium"/>
              </w:rPr>
              <w:t>Expiring 2024 CPAS</w:t>
            </w:r>
          </w:p>
        </w:tc>
        <w:tc>
          <w:tcPr>
            <w:tcW w:w="311" w:type="pct"/>
            <w:shd w:val="clear" w:color="auto" w:fill="D9D9D9" w:themeFill="background1" w:themeFillShade="D9"/>
          </w:tcPr>
          <w:p w14:paraId="0E77AC8E" w14:textId="1878384B" w:rsidR="004F4125" w:rsidRPr="00B777D6" w:rsidRDefault="00BF4C20"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20237EEE" w14:textId="324C17CB" w:rsidR="004F4125" w:rsidRPr="00B777D6" w:rsidRDefault="00BF4C20"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0CC944E9" w14:textId="5F517BD1" w:rsidR="004F4125" w:rsidRPr="00B777D6" w:rsidRDefault="00BF4C20"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206546F5" w14:textId="6A695287" w:rsidR="004F4125" w:rsidRPr="00B777D6" w:rsidRDefault="00BF4C20"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4</w:t>
            </w:r>
          </w:p>
        </w:tc>
        <w:tc>
          <w:tcPr>
            <w:tcW w:w="117" w:type="pct"/>
            <w:shd w:val="clear" w:color="auto" w:fill="D9D9D9" w:themeFill="background1" w:themeFillShade="D9"/>
          </w:tcPr>
          <w:p w14:paraId="685FF433" w14:textId="77777777" w:rsidR="004F4125" w:rsidRPr="00B777D6"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311" w:type="pct"/>
            <w:shd w:val="clear" w:color="auto" w:fill="D9D9D9" w:themeFill="background1" w:themeFillShade="D9"/>
          </w:tcPr>
          <w:p w14:paraId="44284881" w14:textId="130B57A3" w:rsidR="004F4125" w:rsidRPr="00B777D6" w:rsidRDefault="00BF4C20"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117" w:type="pct"/>
            <w:shd w:val="clear" w:color="auto" w:fill="D9D9D9" w:themeFill="background1" w:themeFillShade="D9"/>
          </w:tcPr>
          <w:p w14:paraId="58725FFE" w14:textId="77777777" w:rsidR="004F4125" w:rsidRPr="00B777D6" w:rsidRDefault="004F4125"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66" w:type="pct"/>
            <w:tcBorders>
              <w:top w:val="nil"/>
              <w:bottom w:val="nil"/>
              <w:right w:val="nil"/>
            </w:tcBorders>
            <w:shd w:val="clear" w:color="auto" w:fill="FFFFFF" w:themeFill="background1"/>
            <w:vAlign w:val="top"/>
          </w:tcPr>
          <w:p w14:paraId="36D97907" w14:textId="77777777" w:rsidR="004F4125" w:rsidRPr="00B777D6" w:rsidRDefault="004F4125"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4F4125" w14:paraId="0B1FD310"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47" w:type="pct"/>
            <w:gridSpan w:val="4"/>
            <w:shd w:val="clear" w:color="auto" w:fill="D9D9D9" w:themeFill="background1" w:themeFillShade="D9"/>
          </w:tcPr>
          <w:p w14:paraId="4F00D2FA" w14:textId="2211176F" w:rsidR="004F4125" w:rsidRPr="00B777D6" w:rsidRDefault="004F4125" w:rsidP="00562725">
            <w:pPr>
              <w:rPr>
                <w:rFonts w:ascii="Franklin Gothic Medium" w:hAnsi="Franklin Gothic Medium"/>
              </w:rPr>
            </w:pPr>
            <w:r w:rsidRPr="00B777D6">
              <w:rPr>
                <w:rFonts w:ascii="Franklin Gothic Medium" w:hAnsi="Franklin Gothic Medium"/>
              </w:rPr>
              <w:t>Expired 2024 CPAS</w:t>
            </w:r>
          </w:p>
        </w:tc>
        <w:tc>
          <w:tcPr>
            <w:tcW w:w="311" w:type="pct"/>
            <w:shd w:val="clear" w:color="auto" w:fill="D9D9D9" w:themeFill="background1" w:themeFillShade="D9"/>
          </w:tcPr>
          <w:p w14:paraId="6DAA98A2" w14:textId="441F05E0"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44AE7A8F" w14:textId="7A9B35C6"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74A09597" w14:textId="3620B6B7"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311" w:type="pct"/>
            <w:shd w:val="clear" w:color="auto" w:fill="D9D9D9" w:themeFill="background1" w:themeFillShade="D9"/>
          </w:tcPr>
          <w:p w14:paraId="4F97B34C" w14:textId="617C4FAD"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w:t>
            </w:r>
          </w:p>
        </w:tc>
        <w:tc>
          <w:tcPr>
            <w:tcW w:w="117" w:type="pct"/>
            <w:shd w:val="clear" w:color="auto" w:fill="D9D9D9" w:themeFill="background1" w:themeFillShade="D9"/>
          </w:tcPr>
          <w:p w14:paraId="09C644C0" w14:textId="77777777" w:rsidR="004F4125" w:rsidRPr="00B777D6"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311" w:type="pct"/>
            <w:shd w:val="clear" w:color="auto" w:fill="D9D9D9" w:themeFill="background1" w:themeFillShade="D9"/>
          </w:tcPr>
          <w:p w14:paraId="164840EF" w14:textId="2067C8A3" w:rsidR="004F4125" w:rsidRPr="00B777D6" w:rsidRDefault="00BF4C20"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36</w:t>
            </w:r>
          </w:p>
        </w:tc>
        <w:tc>
          <w:tcPr>
            <w:tcW w:w="117" w:type="pct"/>
            <w:shd w:val="clear" w:color="auto" w:fill="D9D9D9" w:themeFill="background1" w:themeFillShade="D9"/>
          </w:tcPr>
          <w:p w14:paraId="6CEFD9BA" w14:textId="77777777" w:rsidR="004F4125" w:rsidRPr="00B777D6" w:rsidRDefault="004F4125"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66" w:type="pct"/>
            <w:tcBorders>
              <w:top w:val="nil"/>
              <w:bottom w:val="nil"/>
              <w:right w:val="nil"/>
            </w:tcBorders>
            <w:shd w:val="clear" w:color="auto" w:fill="FFFFFF" w:themeFill="background1"/>
            <w:vAlign w:val="top"/>
          </w:tcPr>
          <w:p w14:paraId="4880AAA8" w14:textId="77777777" w:rsidR="004F4125" w:rsidRPr="00B777D6" w:rsidRDefault="004F4125"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73C2154E"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 w:type="pct"/>
            <w:shd w:val="clear" w:color="auto" w:fill="D9D9D9" w:themeFill="background1" w:themeFillShade="D9"/>
          </w:tcPr>
          <w:p w14:paraId="5EF0D318" w14:textId="77777777" w:rsidR="00D63894" w:rsidRPr="00B777D6" w:rsidRDefault="00D63894" w:rsidP="00562725">
            <w:pPr>
              <w:rPr>
                <w:rFonts w:ascii="Franklin Gothic Medium" w:hAnsi="Franklin Gothic Medium"/>
              </w:rPr>
            </w:pPr>
            <w:r w:rsidRPr="00B777D6">
              <w:rPr>
                <w:rFonts w:ascii="Franklin Gothic Medium" w:hAnsi="Franklin Gothic Medium"/>
              </w:rPr>
              <w:t>WAML</w:t>
            </w:r>
          </w:p>
        </w:tc>
        <w:tc>
          <w:tcPr>
            <w:tcW w:w="279" w:type="pct"/>
            <w:shd w:val="clear" w:color="auto" w:fill="D9D9D9" w:themeFill="background1" w:themeFillShade="D9"/>
          </w:tcPr>
          <w:p w14:paraId="57DF2818" w14:textId="5D017C60" w:rsidR="00D63894" w:rsidRPr="00B777D6" w:rsidRDefault="00F138F3"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14.8</w:t>
            </w:r>
          </w:p>
        </w:tc>
        <w:tc>
          <w:tcPr>
            <w:tcW w:w="1315" w:type="pct"/>
            <w:tcBorders>
              <w:top w:val="nil"/>
              <w:bottom w:val="nil"/>
              <w:right w:val="nil"/>
            </w:tcBorders>
            <w:shd w:val="clear" w:color="auto" w:fill="FFFFFF" w:themeFill="background1"/>
          </w:tcPr>
          <w:p w14:paraId="2711FB89" w14:textId="77777777" w:rsidR="00D63894" w:rsidRPr="00B777D6" w:rsidRDefault="00D63894"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64" w:type="pct"/>
            <w:tcBorders>
              <w:top w:val="nil"/>
              <w:left w:val="nil"/>
              <w:bottom w:val="nil"/>
              <w:right w:val="nil"/>
            </w:tcBorders>
            <w:shd w:val="clear" w:color="auto" w:fill="FFFFFF" w:themeFill="background1"/>
            <w:vAlign w:val="top"/>
          </w:tcPr>
          <w:p w14:paraId="77EB6FF0"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1" w:type="pct"/>
            <w:tcBorders>
              <w:top w:val="nil"/>
              <w:left w:val="nil"/>
              <w:bottom w:val="nil"/>
              <w:right w:val="nil"/>
            </w:tcBorders>
            <w:shd w:val="clear" w:color="auto" w:fill="FFFFFF" w:themeFill="background1"/>
            <w:vAlign w:val="top"/>
          </w:tcPr>
          <w:p w14:paraId="1E323ABB"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1" w:type="pct"/>
            <w:tcBorders>
              <w:top w:val="nil"/>
              <w:left w:val="nil"/>
              <w:bottom w:val="nil"/>
              <w:right w:val="nil"/>
            </w:tcBorders>
            <w:shd w:val="clear" w:color="auto" w:fill="FFFFFF" w:themeFill="background1"/>
            <w:vAlign w:val="top"/>
          </w:tcPr>
          <w:p w14:paraId="0803EB2F"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1" w:type="pct"/>
            <w:tcBorders>
              <w:top w:val="nil"/>
              <w:left w:val="nil"/>
              <w:bottom w:val="nil"/>
              <w:right w:val="nil"/>
            </w:tcBorders>
            <w:shd w:val="clear" w:color="auto" w:fill="FFFFFF" w:themeFill="background1"/>
            <w:vAlign w:val="top"/>
          </w:tcPr>
          <w:p w14:paraId="196215FC"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1" w:type="pct"/>
            <w:tcBorders>
              <w:top w:val="nil"/>
              <w:left w:val="nil"/>
              <w:bottom w:val="nil"/>
              <w:right w:val="nil"/>
            </w:tcBorders>
            <w:shd w:val="clear" w:color="auto" w:fill="FFFFFF" w:themeFill="background1"/>
            <w:vAlign w:val="top"/>
          </w:tcPr>
          <w:p w14:paraId="62F228F4"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7" w:type="pct"/>
            <w:tcBorders>
              <w:top w:val="nil"/>
              <w:left w:val="nil"/>
              <w:bottom w:val="nil"/>
              <w:right w:val="nil"/>
            </w:tcBorders>
            <w:shd w:val="clear" w:color="auto" w:fill="FFFFFF" w:themeFill="background1"/>
            <w:vAlign w:val="top"/>
          </w:tcPr>
          <w:p w14:paraId="7F1A129F"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311" w:type="pct"/>
            <w:tcBorders>
              <w:top w:val="nil"/>
              <w:left w:val="nil"/>
              <w:bottom w:val="nil"/>
              <w:right w:val="nil"/>
            </w:tcBorders>
            <w:shd w:val="clear" w:color="auto" w:fill="FFFFFF" w:themeFill="background1"/>
            <w:vAlign w:val="top"/>
          </w:tcPr>
          <w:p w14:paraId="264952E0"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7" w:type="pct"/>
            <w:tcBorders>
              <w:top w:val="nil"/>
              <w:left w:val="nil"/>
              <w:bottom w:val="nil"/>
              <w:right w:val="nil"/>
            </w:tcBorders>
            <w:shd w:val="clear" w:color="auto" w:fill="FFFFFF" w:themeFill="background1"/>
            <w:vAlign w:val="top"/>
          </w:tcPr>
          <w:p w14:paraId="65FD319E"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66" w:type="pct"/>
            <w:tcBorders>
              <w:top w:val="nil"/>
              <w:left w:val="nil"/>
              <w:bottom w:val="nil"/>
              <w:right w:val="nil"/>
            </w:tcBorders>
            <w:shd w:val="clear" w:color="auto" w:fill="FFFFFF" w:themeFill="background1"/>
            <w:vAlign w:val="top"/>
          </w:tcPr>
          <w:p w14:paraId="3D6556DC"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7DDC0472" w14:textId="41F67873" w:rsidR="00D63894" w:rsidRDefault="00D63894" w:rsidP="00881B1B">
      <w:pPr>
        <w:pStyle w:val="Caption"/>
      </w:pPr>
      <w:bookmarkStart w:id="349" w:name="_Toc191992602"/>
      <w:bookmarkStart w:id="350" w:name="_Toc192767015"/>
      <w:r>
        <w:t xml:space="preserve">Table </w:t>
      </w:r>
      <w:r w:rsidR="009B4C9A">
        <w:fldChar w:fldCharType="begin"/>
      </w:r>
      <w:r w:rsidR="009B4C9A">
        <w:instrText xml:space="preserve"> SEQ Table \* ARABIC </w:instrText>
      </w:r>
      <w:r w:rsidR="009B4C9A">
        <w:fldChar w:fldCharType="separate"/>
      </w:r>
      <w:r w:rsidR="00AA10F4">
        <w:rPr>
          <w:noProof/>
        </w:rPr>
        <w:t>81</w:t>
      </w:r>
      <w:r w:rsidR="009B4C9A">
        <w:rPr>
          <w:noProof/>
        </w:rPr>
        <w:fldChar w:fldCharType="end"/>
      </w:r>
      <w:r>
        <w:t>. 2024 Midstream Lighting Channel CPAS and WAML</w:t>
      </w:r>
      <w:bookmarkEnd w:id="349"/>
      <w:bookmarkEnd w:id="350"/>
    </w:p>
    <w:tbl>
      <w:tblPr>
        <w:tblStyle w:val="TableGrid"/>
        <w:tblW w:w="5000" w:type="pct"/>
        <w:tblLook w:val="04A0" w:firstRow="1" w:lastRow="0" w:firstColumn="1" w:lastColumn="0" w:noHBand="0" w:noVBand="1"/>
      </w:tblPr>
      <w:tblGrid>
        <w:gridCol w:w="1298"/>
        <w:gridCol w:w="1416"/>
        <w:gridCol w:w="3727"/>
        <w:gridCol w:w="747"/>
        <w:gridCol w:w="879"/>
        <w:gridCol w:w="879"/>
        <w:gridCol w:w="879"/>
        <w:gridCol w:w="879"/>
        <w:gridCol w:w="332"/>
        <w:gridCol w:w="879"/>
        <w:gridCol w:w="335"/>
        <w:gridCol w:w="2456"/>
      </w:tblGrid>
      <w:tr w:rsidR="00D63894" w14:paraId="51AB1E5A"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41" w:type="pct"/>
            <w:vMerge w:val="restart"/>
            <w:tcBorders>
              <w:bottom w:val="single" w:sz="4" w:space="0" w:color="4D4D4F"/>
            </w:tcBorders>
          </w:tcPr>
          <w:p w14:paraId="4F8A9DF9" w14:textId="37D95035" w:rsidR="00D63894" w:rsidRDefault="000B1B6F" w:rsidP="008C6FBE">
            <w:pPr>
              <w:pStyle w:val="TableHeadingLeft"/>
            </w:pPr>
            <w:r>
              <w:t>Measure</w:t>
            </w:r>
          </w:p>
        </w:tc>
        <w:tc>
          <w:tcPr>
            <w:tcW w:w="480" w:type="pct"/>
            <w:vMerge w:val="restart"/>
            <w:tcBorders>
              <w:top w:val="single" w:sz="4" w:space="0" w:color="4D4D4F"/>
              <w:left w:val="single" w:sz="4" w:space="0" w:color="4D4D4F"/>
              <w:bottom w:val="single" w:sz="4" w:space="0" w:color="4D4D4F"/>
              <w:right w:val="single" w:sz="4" w:space="0" w:color="4D4D4F"/>
            </w:tcBorders>
          </w:tcPr>
          <w:p w14:paraId="13DB4B20" w14:textId="5AF0D4C9" w:rsidR="00D63894" w:rsidRDefault="000B1B6F" w:rsidP="008C6FB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267" w:type="pct"/>
            <w:vMerge w:val="restart"/>
            <w:tcBorders>
              <w:top w:val="single" w:sz="4" w:space="0" w:color="4D4D4F"/>
              <w:left w:val="single" w:sz="4" w:space="0" w:color="4D4D4F"/>
              <w:bottom w:val="single" w:sz="4" w:space="0" w:color="4D4D4F"/>
              <w:right w:val="single" w:sz="4" w:space="0" w:color="4D4D4F"/>
            </w:tcBorders>
          </w:tcPr>
          <w:p w14:paraId="5EDDD327"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54" w:type="pct"/>
            <w:vMerge w:val="restart"/>
            <w:tcBorders>
              <w:top w:val="single" w:sz="4" w:space="0" w:color="4D4D4F"/>
              <w:left w:val="single" w:sz="4" w:space="0" w:color="4D4D4F"/>
              <w:bottom w:val="single" w:sz="4" w:space="0" w:color="4D4D4F"/>
              <w:right w:val="single" w:sz="4" w:space="0" w:color="4D4D4F"/>
            </w:tcBorders>
          </w:tcPr>
          <w:p w14:paraId="7EFA78C6"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722" w:type="pct"/>
            <w:gridSpan w:val="7"/>
            <w:tcBorders>
              <w:top w:val="single" w:sz="4" w:space="0" w:color="4D4D4F"/>
              <w:left w:val="single" w:sz="4" w:space="0" w:color="4D4D4F"/>
              <w:bottom w:val="single" w:sz="4" w:space="0" w:color="4D4D4F"/>
              <w:right w:val="single" w:sz="4" w:space="0" w:color="4D4D4F"/>
            </w:tcBorders>
          </w:tcPr>
          <w:p w14:paraId="69F83C90"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35" w:type="pct"/>
            <w:vMerge w:val="restart"/>
            <w:tcBorders>
              <w:top w:val="single" w:sz="4" w:space="0" w:color="4D4D4F"/>
              <w:left w:val="single" w:sz="4" w:space="0" w:color="4D4D4F"/>
              <w:bottom w:val="single" w:sz="4" w:space="0" w:color="4D4D4F"/>
              <w:right w:val="single" w:sz="4" w:space="0" w:color="4D4D4F"/>
            </w:tcBorders>
          </w:tcPr>
          <w:p w14:paraId="73384B3B"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286F100E"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441" w:type="pct"/>
            <w:vMerge/>
          </w:tcPr>
          <w:p w14:paraId="2CB84FB8" w14:textId="77777777" w:rsidR="00D63894" w:rsidRDefault="00D63894" w:rsidP="008C6FBE"/>
        </w:tc>
        <w:tc>
          <w:tcPr>
            <w:tcW w:w="480" w:type="pct"/>
            <w:vMerge/>
          </w:tcPr>
          <w:p w14:paraId="35D70456"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1267" w:type="pct"/>
            <w:vMerge/>
          </w:tcPr>
          <w:p w14:paraId="14CE1D74"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54" w:type="pct"/>
            <w:vMerge/>
          </w:tcPr>
          <w:p w14:paraId="424CA62F"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99" w:type="pct"/>
            <w:shd w:val="clear" w:color="auto" w:fill="053572" w:themeFill="text2"/>
          </w:tcPr>
          <w:p w14:paraId="11903803"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99" w:type="pct"/>
            <w:shd w:val="clear" w:color="auto" w:fill="053572" w:themeFill="text2"/>
          </w:tcPr>
          <w:p w14:paraId="64C183E2"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99" w:type="pct"/>
            <w:shd w:val="clear" w:color="auto" w:fill="053572" w:themeFill="text2"/>
          </w:tcPr>
          <w:p w14:paraId="6EED692A"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99" w:type="pct"/>
            <w:shd w:val="clear" w:color="auto" w:fill="053572" w:themeFill="text2"/>
          </w:tcPr>
          <w:p w14:paraId="24E857F6"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13" w:type="pct"/>
            <w:shd w:val="clear" w:color="auto" w:fill="053572" w:themeFill="text2"/>
          </w:tcPr>
          <w:p w14:paraId="00833AD5"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99" w:type="pct"/>
            <w:shd w:val="clear" w:color="auto" w:fill="053572" w:themeFill="text2"/>
          </w:tcPr>
          <w:p w14:paraId="4574B547"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13" w:type="pct"/>
            <w:shd w:val="clear" w:color="auto" w:fill="053572" w:themeFill="text2"/>
          </w:tcPr>
          <w:p w14:paraId="295B2B9A"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35" w:type="pct"/>
            <w:vMerge/>
          </w:tcPr>
          <w:p w14:paraId="29A48AD6"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r>
      <w:tr w:rsidR="00E92028" w14:paraId="21DE718F"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47C7BA88" w14:textId="2D8BCF51" w:rsidR="00E92028" w:rsidRDefault="00E92028" w:rsidP="00313347">
            <w:r w:rsidRPr="00D865C9">
              <w:t xml:space="preserve">Linear LEDs </w:t>
            </w:r>
          </w:p>
        </w:tc>
        <w:tc>
          <w:tcPr>
            <w:tcW w:w="480" w:type="pct"/>
          </w:tcPr>
          <w:p w14:paraId="544BDE41" w14:textId="102CC219"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14.8</w:t>
            </w:r>
          </w:p>
        </w:tc>
        <w:tc>
          <w:tcPr>
            <w:tcW w:w="1267" w:type="pct"/>
          </w:tcPr>
          <w:p w14:paraId="7D9A3E33" w14:textId="6100B21B"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21,160</w:t>
            </w:r>
          </w:p>
        </w:tc>
        <w:tc>
          <w:tcPr>
            <w:tcW w:w="254" w:type="pct"/>
          </w:tcPr>
          <w:p w14:paraId="21511B85" w14:textId="7025237B"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0.980</w:t>
            </w:r>
          </w:p>
        </w:tc>
        <w:tc>
          <w:tcPr>
            <w:tcW w:w="299" w:type="pct"/>
          </w:tcPr>
          <w:p w14:paraId="3F9993DC" w14:textId="3024BE4E"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20,738</w:t>
            </w:r>
          </w:p>
        </w:tc>
        <w:tc>
          <w:tcPr>
            <w:tcW w:w="299" w:type="pct"/>
          </w:tcPr>
          <w:p w14:paraId="01CA30E6" w14:textId="4634448C"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20,738</w:t>
            </w:r>
          </w:p>
        </w:tc>
        <w:tc>
          <w:tcPr>
            <w:tcW w:w="299" w:type="pct"/>
          </w:tcPr>
          <w:p w14:paraId="44C29017" w14:textId="6BB43D61"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20,738</w:t>
            </w:r>
          </w:p>
        </w:tc>
        <w:tc>
          <w:tcPr>
            <w:tcW w:w="299" w:type="pct"/>
          </w:tcPr>
          <w:p w14:paraId="771EA675" w14:textId="2E1E54F1"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20,738</w:t>
            </w:r>
          </w:p>
        </w:tc>
        <w:tc>
          <w:tcPr>
            <w:tcW w:w="113" w:type="pct"/>
          </w:tcPr>
          <w:p w14:paraId="6DE4E11E" w14:textId="03611FAA" w:rsidR="00E92028"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299" w:type="pct"/>
          </w:tcPr>
          <w:p w14:paraId="009D3D9A" w14:textId="1D7ECE37"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20,738</w:t>
            </w:r>
          </w:p>
        </w:tc>
        <w:tc>
          <w:tcPr>
            <w:tcW w:w="113" w:type="pct"/>
          </w:tcPr>
          <w:p w14:paraId="2B51009B" w14:textId="077E95A9" w:rsidR="00E92028"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835" w:type="pct"/>
          </w:tcPr>
          <w:p w14:paraId="5D9114F9" w14:textId="1ED62138" w:rsidR="00E92028"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306,865</w:t>
            </w:r>
          </w:p>
        </w:tc>
      </w:tr>
      <w:tr w:rsidR="00E92028" w14:paraId="15F8D46D"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6DB735B1" w14:textId="17C52C80" w:rsidR="00E92028" w:rsidRDefault="00E92028" w:rsidP="00313347">
            <w:r w:rsidRPr="00D865C9">
              <w:t>Moguls</w:t>
            </w:r>
          </w:p>
        </w:tc>
        <w:tc>
          <w:tcPr>
            <w:tcW w:w="480" w:type="pct"/>
          </w:tcPr>
          <w:p w14:paraId="2893B0BA" w14:textId="4189A535"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14.8</w:t>
            </w:r>
          </w:p>
        </w:tc>
        <w:tc>
          <w:tcPr>
            <w:tcW w:w="1267" w:type="pct"/>
          </w:tcPr>
          <w:p w14:paraId="44EF98ED" w14:textId="3564BBC0"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4,557</w:t>
            </w:r>
          </w:p>
        </w:tc>
        <w:tc>
          <w:tcPr>
            <w:tcW w:w="254" w:type="pct"/>
          </w:tcPr>
          <w:p w14:paraId="36CA8F45" w14:textId="7424DDFE"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0.986</w:t>
            </w:r>
          </w:p>
        </w:tc>
        <w:tc>
          <w:tcPr>
            <w:tcW w:w="299" w:type="pct"/>
          </w:tcPr>
          <w:p w14:paraId="13E7155F" w14:textId="5B1DFAF7"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4,491</w:t>
            </w:r>
          </w:p>
        </w:tc>
        <w:tc>
          <w:tcPr>
            <w:tcW w:w="299" w:type="pct"/>
          </w:tcPr>
          <w:p w14:paraId="232BA60B" w14:textId="1576E239"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4,491</w:t>
            </w:r>
          </w:p>
        </w:tc>
        <w:tc>
          <w:tcPr>
            <w:tcW w:w="299" w:type="pct"/>
          </w:tcPr>
          <w:p w14:paraId="5C8DC73D" w14:textId="56B22EED"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4,491</w:t>
            </w:r>
          </w:p>
        </w:tc>
        <w:tc>
          <w:tcPr>
            <w:tcW w:w="299" w:type="pct"/>
          </w:tcPr>
          <w:p w14:paraId="462167CB" w14:textId="1A4FC5A5"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4,491</w:t>
            </w:r>
          </w:p>
        </w:tc>
        <w:tc>
          <w:tcPr>
            <w:tcW w:w="113" w:type="pct"/>
          </w:tcPr>
          <w:p w14:paraId="0A97C186" w14:textId="10D8DF4F" w:rsidR="00E92028" w:rsidRDefault="00E92028" w:rsidP="00BC69D4">
            <w:pPr>
              <w:jc w:val="center"/>
              <w:cnfStyle w:val="000000100000" w:firstRow="0" w:lastRow="0" w:firstColumn="0" w:lastColumn="0" w:oddVBand="0" w:evenVBand="0" w:oddHBand="1" w:evenHBand="0" w:firstRowFirstColumn="0" w:firstRowLastColumn="0" w:lastRowFirstColumn="0" w:lastRowLastColumn="0"/>
            </w:pPr>
            <w:r w:rsidRPr="00D865C9">
              <w:t>…</w:t>
            </w:r>
          </w:p>
        </w:tc>
        <w:tc>
          <w:tcPr>
            <w:tcW w:w="299" w:type="pct"/>
          </w:tcPr>
          <w:p w14:paraId="7AE7DEEF" w14:textId="51945B4D"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4,491</w:t>
            </w:r>
          </w:p>
        </w:tc>
        <w:tc>
          <w:tcPr>
            <w:tcW w:w="113" w:type="pct"/>
          </w:tcPr>
          <w:p w14:paraId="2C606BF0" w14:textId="0DD70B0B" w:rsidR="00E92028" w:rsidRDefault="00E92028" w:rsidP="00BC69D4">
            <w:pPr>
              <w:jc w:val="center"/>
              <w:cnfStyle w:val="000000100000" w:firstRow="0" w:lastRow="0" w:firstColumn="0" w:lastColumn="0" w:oddVBand="0" w:evenVBand="0" w:oddHBand="1" w:evenHBand="0" w:firstRowFirstColumn="0" w:firstRowLastColumn="0" w:lastRowFirstColumn="0" w:lastRowLastColumn="0"/>
            </w:pPr>
            <w:r w:rsidRPr="00D865C9">
              <w:t>…</w:t>
            </w:r>
          </w:p>
        </w:tc>
        <w:tc>
          <w:tcPr>
            <w:tcW w:w="835" w:type="pct"/>
          </w:tcPr>
          <w:p w14:paraId="0A19AC6F" w14:textId="69C945DD" w:rsidR="00E92028"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66,460</w:t>
            </w:r>
          </w:p>
        </w:tc>
      </w:tr>
      <w:tr w:rsidR="00E92028" w14:paraId="5E21A46C"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0B6CB3DD" w14:textId="698A20F3" w:rsidR="00E92028" w:rsidRDefault="00E92028" w:rsidP="00313347">
            <w:r w:rsidRPr="00D865C9">
              <w:t xml:space="preserve">Wall Packs  </w:t>
            </w:r>
          </w:p>
        </w:tc>
        <w:tc>
          <w:tcPr>
            <w:tcW w:w="480" w:type="pct"/>
          </w:tcPr>
          <w:p w14:paraId="643CE5B9" w14:textId="731EF92B"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16.0</w:t>
            </w:r>
          </w:p>
        </w:tc>
        <w:tc>
          <w:tcPr>
            <w:tcW w:w="1267" w:type="pct"/>
          </w:tcPr>
          <w:p w14:paraId="0F45CC24" w14:textId="0649E03C"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2,790</w:t>
            </w:r>
          </w:p>
        </w:tc>
        <w:tc>
          <w:tcPr>
            <w:tcW w:w="254" w:type="pct"/>
          </w:tcPr>
          <w:p w14:paraId="03B54411" w14:textId="5B2C09C7"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0.984</w:t>
            </w:r>
          </w:p>
        </w:tc>
        <w:tc>
          <w:tcPr>
            <w:tcW w:w="299" w:type="pct"/>
          </w:tcPr>
          <w:p w14:paraId="5C01027C" w14:textId="43800909"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2,747</w:t>
            </w:r>
          </w:p>
        </w:tc>
        <w:tc>
          <w:tcPr>
            <w:tcW w:w="299" w:type="pct"/>
          </w:tcPr>
          <w:p w14:paraId="2DC945BC" w14:textId="21E76DC5"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2,747</w:t>
            </w:r>
          </w:p>
        </w:tc>
        <w:tc>
          <w:tcPr>
            <w:tcW w:w="299" w:type="pct"/>
          </w:tcPr>
          <w:p w14:paraId="1D850C59" w14:textId="466AEDB1"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2,747</w:t>
            </w:r>
          </w:p>
        </w:tc>
        <w:tc>
          <w:tcPr>
            <w:tcW w:w="299" w:type="pct"/>
          </w:tcPr>
          <w:p w14:paraId="14377E03" w14:textId="0F2D71F3"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2,747</w:t>
            </w:r>
          </w:p>
        </w:tc>
        <w:tc>
          <w:tcPr>
            <w:tcW w:w="113" w:type="pct"/>
          </w:tcPr>
          <w:p w14:paraId="2FE9FE1A" w14:textId="5D79382A" w:rsidR="00E92028" w:rsidRPr="00780204"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299" w:type="pct"/>
          </w:tcPr>
          <w:p w14:paraId="3EC5EA16" w14:textId="0E6C88A4"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2,747</w:t>
            </w:r>
          </w:p>
        </w:tc>
        <w:tc>
          <w:tcPr>
            <w:tcW w:w="113" w:type="pct"/>
          </w:tcPr>
          <w:p w14:paraId="49B22223" w14:textId="74C2A5D6" w:rsidR="00E92028" w:rsidRPr="00780204"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835" w:type="pct"/>
          </w:tcPr>
          <w:p w14:paraId="51D471E1" w14:textId="6A60EDAA"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43,947</w:t>
            </w:r>
          </w:p>
        </w:tc>
      </w:tr>
      <w:tr w:rsidR="00E92028" w14:paraId="45766477"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4BAD9B5A" w14:textId="238A7464" w:rsidR="00E92028" w:rsidRDefault="00E92028" w:rsidP="00313347">
            <w:r w:rsidRPr="00D865C9">
              <w:t>4-Pin LEDs</w:t>
            </w:r>
          </w:p>
        </w:tc>
        <w:tc>
          <w:tcPr>
            <w:tcW w:w="480" w:type="pct"/>
          </w:tcPr>
          <w:p w14:paraId="5E2D968C" w14:textId="119FEDCF"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13.8</w:t>
            </w:r>
          </w:p>
        </w:tc>
        <w:tc>
          <w:tcPr>
            <w:tcW w:w="1267" w:type="pct"/>
          </w:tcPr>
          <w:p w14:paraId="15F5644F" w14:textId="3F72CAA2"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1,045</w:t>
            </w:r>
          </w:p>
        </w:tc>
        <w:tc>
          <w:tcPr>
            <w:tcW w:w="254" w:type="pct"/>
          </w:tcPr>
          <w:p w14:paraId="0215F050" w14:textId="31D477AD"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0.923</w:t>
            </w:r>
          </w:p>
        </w:tc>
        <w:tc>
          <w:tcPr>
            <w:tcW w:w="299" w:type="pct"/>
          </w:tcPr>
          <w:p w14:paraId="1EB0D6BA" w14:textId="3F0004FC"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965</w:t>
            </w:r>
          </w:p>
        </w:tc>
        <w:tc>
          <w:tcPr>
            <w:tcW w:w="299" w:type="pct"/>
          </w:tcPr>
          <w:p w14:paraId="012A50C1" w14:textId="7ECC08EA"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965</w:t>
            </w:r>
          </w:p>
        </w:tc>
        <w:tc>
          <w:tcPr>
            <w:tcW w:w="299" w:type="pct"/>
          </w:tcPr>
          <w:p w14:paraId="4F68A28D" w14:textId="747F033F"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965</w:t>
            </w:r>
          </w:p>
        </w:tc>
        <w:tc>
          <w:tcPr>
            <w:tcW w:w="299" w:type="pct"/>
          </w:tcPr>
          <w:p w14:paraId="7C30DC07" w14:textId="47AC8D09"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965</w:t>
            </w:r>
          </w:p>
        </w:tc>
        <w:tc>
          <w:tcPr>
            <w:tcW w:w="113" w:type="pct"/>
          </w:tcPr>
          <w:p w14:paraId="7975F7EB" w14:textId="41AB6391" w:rsidR="00E92028" w:rsidRPr="00780204" w:rsidRDefault="00E92028" w:rsidP="00BC69D4">
            <w:pPr>
              <w:jc w:val="center"/>
              <w:cnfStyle w:val="000000100000" w:firstRow="0" w:lastRow="0" w:firstColumn="0" w:lastColumn="0" w:oddVBand="0" w:evenVBand="0" w:oddHBand="1" w:evenHBand="0" w:firstRowFirstColumn="0" w:firstRowLastColumn="0" w:lastRowFirstColumn="0" w:lastRowLastColumn="0"/>
            </w:pPr>
            <w:r w:rsidRPr="00D865C9">
              <w:t>…</w:t>
            </w:r>
          </w:p>
        </w:tc>
        <w:tc>
          <w:tcPr>
            <w:tcW w:w="299" w:type="pct"/>
          </w:tcPr>
          <w:p w14:paraId="3DB4EA7B" w14:textId="67178E96"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965</w:t>
            </w:r>
          </w:p>
        </w:tc>
        <w:tc>
          <w:tcPr>
            <w:tcW w:w="113" w:type="pct"/>
          </w:tcPr>
          <w:p w14:paraId="6094511D" w14:textId="0DC5F353" w:rsidR="00E92028" w:rsidRPr="00780204" w:rsidRDefault="00E92028" w:rsidP="00BC69D4">
            <w:pPr>
              <w:jc w:val="center"/>
              <w:cnfStyle w:val="000000100000" w:firstRow="0" w:lastRow="0" w:firstColumn="0" w:lastColumn="0" w:oddVBand="0" w:evenVBand="0" w:oddHBand="1" w:evenHBand="0" w:firstRowFirstColumn="0" w:firstRowLastColumn="0" w:lastRowFirstColumn="0" w:lastRowLastColumn="0"/>
            </w:pPr>
            <w:r w:rsidRPr="00D865C9">
              <w:t>…</w:t>
            </w:r>
          </w:p>
        </w:tc>
        <w:tc>
          <w:tcPr>
            <w:tcW w:w="835" w:type="pct"/>
          </w:tcPr>
          <w:p w14:paraId="34F8BCF9" w14:textId="7E148107" w:rsidR="00E92028" w:rsidRPr="00780204" w:rsidRDefault="00E92028" w:rsidP="00E3116D">
            <w:pPr>
              <w:jc w:val="right"/>
              <w:cnfStyle w:val="000000100000" w:firstRow="0" w:lastRow="0" w:firstColumn="0" w:lastColumn="0" w:oddVBand="0" w:evenVBand="0" w:oddHBand="1" w:evenHBand="0" w:firstRowFirstColumn="0" w:firstRowLastColumn="0" w:lastRowFirstColumn="0" w:lastRowLastColumn="0"/>
            </w:pPr>
            <w:r w:rsidRPr="00D865C9">
              <w:t>13,357</w:t>
            </w:r>
          </w:p>
        </w:tc>
      </w:tr>
      <w:tr w:rsidR="00E92028" w14:paraId="05B2E1C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tcPr>
          <w:p w14:paraId="214320E5" w14:textId="73A6ED7D" w:rsidR="00E92028" w:rsidRDefault="00E92028" w:rsidP="00313347">
            <w:r w:rsidRPr="00D865C9">
              <w:t>Exit Signs</w:t>
            </w:r>
          </w:p>
        </w:tc>
        <w:tc>
          <w:tcPr>
            <w:tcW w:w="480" w:type="pct"/>
          </w:tcPr>
          <w:p w14:paraId="2751ADCF" w14:textId="65F1CFAA"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5.0</w:t>
            </w:r>
          </w:p>
        </w:tc>
        <w:tc>
          <w:tcPr>
            <w:tcW w:w="1267" w:type="pct"/>
          </w:tcPr>
          <w:p w14:paraId="0385B605" w14:textId="08B8A552"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9</w:t>
            </w:r>
          </w:p>
        </w:tc>
        <w:tc>
          <w:tcPr>
            <w:tcW w:w="254" w:type="pct"/>
          </w:tcPr>
          <w:p w14:paraId="3BA48CCC" w14:textId="2EAAF83B"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0.974</w:t>
            </w:r>
          </w:p>
        </w:tc>
        <w:tc>
          <w:tcPr>
            <w:tcW w:w="299" w:type="pct"/>
          </w:tcPr>
          <w:p w14:paraId="32BA43AE" w14:textId="7001C72C"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8</w:t>
            </w:r>
          </w:p>
        </w:tc>
        <w:tc>
          <w:tcPr>
            <w:tcW w:w="299" w:type="pct"/>
          </w:tcPr>
          <w:p w14:paraId="2EC32E52" w14:textId="0F42D7BA"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8</w:t>
            </w:r>
          </w:p>
        </w:tc>
        <w:tc>
          <w:tcPr>
            <w:tcW w:w="299" w:type="pct"/>
          </w:tcPr>
          <w:p w14:paraId="10D4DDE7" w14:textId="125AAE0D"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8</w:t>
            </w:r>
          </w:p>
        </w:tc>
        <w:tc>
          <w:tcPr>
            <w:tcW w:w="299" w:type="pct"/>
          </w:tcPr>
          <w:p w14:paraId="51519FCA" w14:textId="3BD3D408"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8</w:t>
            </w:r>
          </w:p>
        </w:tc>
        <w:tc>
          <w:tcPr>
            <w:tcW w:w="113" w:type="pct"/>
          </w:tcPr>
          <w:p w14:paraId="436BDD0D" w14:textId="487A104C" w:rsidR="00E92028" w:rsidRPr="00780204"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299" w:type="pct"/>
          </w:tcPr>
          <w:p w14:paraId="1C0C1F4E" w14:textId="0DD001D7"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0</w:t>
            </w:r>
          </w:p>
        </w:tc>
        <w:tc>
          <w:tcPr>
            <w:tcW w:w="113" w:type="pct"/>
          </w:tcPr>
          <w:p w14:paraId="1819B62D" w14:textId="7FE33A7E" w:rsidR="00E92028" w:rsidRPr="00780204" w:rsidRDefault="00E92028" w:rsidP="00BC69D4">
            <w:pPr>
              <w:jc w:val="center"/>
              <w:cnfStyle w:val="000000010000" w:firstRow="0" w:lastRow="0" w:firstColumn="0" w:lastColumn="0" w:oddVBand="0" w:evenVBand="0" w:oddHBand="0" w:evenHBand="1" w:firstRowFirstColumn="0" w:firstRowLastColumn="0" w:lastRowFirstColumn="0" w:lastRowLastColumn="0"/>
            </w:pPr>
            <w:r w:rsidRPr="00D865C9">
              <w:t>…</w:t>
            </w:r>
          </w:p>
        </w:tc>
        <w:tc>
          <w:tcPr>
            <w:tcW w:w="835" w:type="pct"/>
          </w:tcPr>
          <w:p w14:paraId="2D6E90B9" w14:textId="4B47E61D" w:rsidR="00E92028" w:rsidRPr="00780204" w:rsidRDefault="00E92028" w:rsidP="00E3116D">
            <w:pPr>
              <w:jc w:val="right"/>
              <w:cnfStyle w:val="000000010000" w:firstRow="0" w:lastRow="0" w:firstColumn="0" w:lastColumn="0" w:oddVBand="0" w:evenVBand="0" w:oddHBand="0" w:evenHBand="1" w:firstRowFirstColumn="0" w:firstRowLastColumn="0" w:lastRowFirstColumn="0" w:lastRowLastColumn="0"/>
            </w:pPr>
            <w:r w:rsidRPr="00D865C9">
              <w:t>42</w:t>
            </w:r>
          </w:p>
        </w:tc>
      </w:tr>
      <w:tr w:rsidR="00BC69D4" w14:paraId="30170E96"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2" w:type="pct"/>
            <w:gridSpan w:val="2"/>
            <w:shd w:val="clear" w:color="auto" w:fill="D9D9D9" w:themeFill="background1" w:themeFillShade="D9"/>
            <w:vAlign w:val="top"/>
          </w:tcPr>
          <w:p w14:paraId="65A91A01" w14:textId="58F5BCBF" w:rsidR="00E92028" w:rsidRPr="00B777D6" w:rsidRDefault="00E92028" w:rsidP="00E92028">
            <w:pPr>
              <w:rPr>
                <w:rFonts w:ascii="Franklin Gothic Medium" w:hAnsi="Franklin Gothic Medium"/>
              </w:rPr>
            </w:pPr>
            <w:r w:rsidRPr="00B777D6">
              <w:rPr>
                <w:rFonts w:ascii="Franklin Gothic Medium" w:hAnsi="Franklin Gothic Medium"/>
              </w:rPr>
              <w:t>2024 CPAS</w:t>
            </w:r>
          </w:p>
        </w:tc>
        <w:tc>
          <w:tcPr>
            <w:tcW w:w="1267" w:type="pct"/>
            <w:shd w:val="clear" w:color="auto" w:fill="D9D9D9" w:themeFill="background1" w:themeFillShade="D9"/>
          </w:tcPr>
          <w:p w14:paraId="235773B4" w14:textId="70EB8EB1"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29,561</w:t>
            </w:r>
          </w:p>
        </w:tc>
        <w:tc>
          <w:tcPr>
            <w:tcW w:w="254" w:type="pct"/>
            <w:shd w:val="clear" w:color="auto" w:fill="D9D9D9" w:themeFill="background1" w:themeFillShade="D9"/>
          </w:tcPr>
          <w:p w14:paraId="6CFE83F9" w14:textId="5942315F"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0.979</w:t>
            </w:r>
          </w:p>
        </w:tc>
        <w:tc>
          <w:tcPr>
            <w:tcW w:w="299" w:type="pct"/>
            <w:shd w:val="clear" w:color="auto" w:fill="D9D9D9" w:themeFill="background1" w:themeFillShade="D9"/>
          </w:tcPr>
          <w:p w14:paraId="7B19E183" w14:textId="7B7A63F1"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28,949</w:t>
            </w:r>
          </w:p>
        </w:tc>
        <w:tc>
          <w:tcPr>
            <w:tcW w:w="299" w:type="pct"/>
            <w:shd w:val="clear" w:color="auto" w:fill="D9D9D9" w:themeFill="background1" w:themeFillShade="D9"/>
          </w:tcPr>
          <w:p w14:paraId="2AED5ABF" w14:textId="70616E96"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28,949</w:t>
            </w:r>
          </w:p>
        </w:tc>
        <w:tc>
          <w:tcPr>
            <w:tcW w:w="299" w:type="pct"/>
            <w:shd w:val="clear" w:color="auto" w:fill="D9D9D9" w:themeFill="background1" w:themeFillShade="D9"/>
          </w:tcPr>
          <w:p w14:paraId="6EBF2A79" w14:textId="75B16771"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28,949</w:t>
            </w:r>
          </w:p>
        </w:tc>
        <w:tc>
          <w:tcPr>
            <w:tcW w:w="299" w:type="pct"/>
            <w:shd w:val="clear" w:color="auto" w:fill="D9D9D9" w:themeFill="background1" w:themeFillShade="D9"/>
          </w:tcPr>
          <w:p w14:paraId="36CD6309" w14:textId="2140DBE0"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28,949</w:t>
            </w:r>
          </w:p>
        </w:tc>
        <w:tc>
          <w:tcPr>
            <w:tcW w:w="113" w:type="pct"/>
            <w:shd w:val="clear" w:color="auto" w:fill="D9D9D9" w:themeFill="background1" w:themeFillShade="D9"/>
          </w:tcPr>
          <w:p w14:paraId="005D2C83" w14:textId="3FE5135F" w:rsidR="00E92028" w:rsidRPr="00B777D6" w:rsidRDefault="00E92028"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299" w:type="pct"/>
            <w:shd w:val="clear" w:color="auto" w:fill="D9D9D9" w:themeFill="background1" w:themeFillShade="D9"/>
          </w:tcPr>
          <w:p w14:paraId="118141B5" w14:textId="6E662AE5"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28,941</w:t>
            </w:r>
          </w:p>
        </w:tc>
        <w:tc>
          <w:tcPr>
            <w:tcW w:w="113" w:type="pct"/>
            <w:shd w:val="clear" w:color="auto" w:fill="D9D9D9" w:themeFill="background1" w:themeFillShade="D9"/>
          </w:tcPr>
          <w:p w14:paraId="26C2855D" w14:textId="6DFF2FE3" w:rsidR="00E92028" w:rsidRPr="00B777D6" w:rsidRDefault="00E92028"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35" w:type="pct"/>
            <w:shd w:val="clear" w:color="auto" w:fill="D9D9D9" w:themeFill="background1" w:themeFillShade="D9"/>
          </w:tcPr>
          <w:p w14:paraId="0F830302" w14:textId="490FF662"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430,671</w:t>
            </w:r>
          </w:p>
        </w:tc>
      </w:tr>
      <w:tr w:rsidR="00E92028" w14:paraId="5CC58852"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gridSpan w:val="4"/>
            <w:shd w:val="clear" w:color="auto" w:fill="D9D9D9" w:themeFill="background1" w:themeFillShade="D9"/>
            <w:vAlign w:val="top"/>
          </w:tcPr>
          <w:p w14:paraId="13C92C89" w14:textId="1E9AEBB9" w:rsidR="00E92028" w:rsidRPr="00B777D6" w:rsidRDefault="00E92028" w:rsidP="00E92028">
            <w:pPr>
              <w:rPr>
                <w:rFonts w:ascii="Franklin Gothic Medium" w:hAnsi="Franklin Gothic Medium"/>
              </w:rPr>
            </w:pPr>
            <w:r w:rsidRPr="00B777D6">
              <w:rPr>
                <w:rFonts w:ascii="Franklin Gothic Medium" w:hAnsi="Franklin Gothic Medium"/>
              </w:rPr>
              <w:t>Expiring 2024 CPAS</w:t>
            </w:r>
          </w:p>
        </w:tc>
        <w:tc>
          <w:tcPr>
            <w:tcW w:w="299" w:type="pct"/>
            <w:shd w:val="clear" w:color="auto" w:fill="D9D9D9" w:themeFill="background1" w:themeFillShade="D9"/>
          </w:tcPr>
          <w:p w14:paraId="27BE458F" w14:textId="2D094416" w:rsidR="00E92028"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497F44DB" w14:textId="42E90A3C" w:rsidR="00E92028"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32817175" w14:textId="3BC94ED8" w:rsidR="00E92028"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2AEA5E90" w14:textId="71523727" w:rsidR="00E92028"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113" w:type="pct"/>
            <w:shd w:val="clear" w:color="auto" w:fill="D9D9D9" w:themeFill="background1" w:themeFillShade="D9"/>
          </w:tcPr>
          <w:p w14:paraId="7C3A719B" w14:textId="7145BF9A" w:rsidR="00E92028" w:rsidRPr="00B777D6" w:rsidRDefault="00E92028"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299" w:type="pct"/>
            <w:shd w:val="clear" w:color="auto" w:fill="D9D9D9" w:themeFill="background1" w:themeFillShade="D9"/>
          </w:tcPr>
          <w:p w14:paraId="69254975" w14:textId="3F92CE12" w:rsidR="00E92028"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113" w:type="pct"/>
            <w:shd w:val="clear" w:color="auto" w:fill="D9D9D9" w:themeFill="background1" w:themeFillShade="D9"/>
          </w:tcPr>
          <w:p w14:paraId="567FFAF9" w14:textId="3D3C10E7" w:rsidR="00E92028" w:rsidRPr="00B777D6" w:rsidRDefault="00E92028"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35" w:type="pct"/>
            <w:tcBorders>
              <w:top w:val="nil"/>
              <w:bottom w:val="nil"/>
              <w:right w:val="nil"/>
            </w:tcBorders>
            <w:shd w:val="clear" w:color="auto" w:fill="FFFFFF" w:themeFill="background1"/>
            <w:vAlign w:val="top"/>
          </w:tcPr>
          <w:p w14:paraId="06CC0AC3" w14:textId="77777777" w:rsidR="00E92028" w:rsidRPr="00B777D6" w:rsidRDefault="00E92028" w:rsidP="00E92028">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E92028" w14:paraId="3AAB2630"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3" w:type="pct"/>
            <w:gridSpan w:val="4"/>
            <w:shd w:val="clear" w:color="auto" w:fill="D9D9D9" w:themeFill="background1" w:themeFillShade="D9"/>
            <w:vAlign w:val="top"/>
          </w:tcPr>
          <w:p w14:paraId="523CC84E" w14:textId="67BF9DE8" w:rsidR="00E92028" w:rsidRPr="00B777D6" w:rsidRDefault="00E92028" w:rsidP="00E92028">
            <w:pPr>
              <w:rPr>
                <w:rFonts w:ascii="Franklin Gothic Medium" w:hAnsi="Franklin Gothic Medium"/>
              </w:rPr>
            </w:pPr>
            <w:r w:rsidRPr="00B777D6">
              <w:rPr>
                <w:rFonts w:ascii="Franklin Gothic Medium" w:hAnsi="Franklin Gothic Medium"/>
              </w:rPr>
              <w:t>Expired 2024 CPAS</w:t>
            </w:r>
          </w:p>
        </w:tc>
        <w:tc>
          <w:tcPr>
            <w:tcW w:w="299" w:type="pct"/>
            <w:shd w:val="clear" w:color="auto" w:fill="D9D9D9" w:themeFill="background1" w:themeFillShade="D9"/>
          </w:tcPr>
          <w:p w14:paraId="00DD497B" w14:textId="611685A6"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4458B1CD" w14:textId="2B2AAF1C"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19A9CF35" w14:textId="6E7861E2"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299" w:type="pct"/>
            <w:shd w:val="clear" w:color="auto" w:fill="D9D9D9" w:themeFill="background1" w:themeFillShade="D9"/>
          </w:tcPr>
          <w:p w14:paraId="227ED901" w14:textId="696865C6"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0</w:t>
            </w:r>
          </w:p>
        </w:tc>
        <w:tc>
          <w:tcPr>
            <w:tcW w:w="113" w:type="pct"/>
            <w:shd w:val="clear" w:color="auto" w:fill="D9D9D9" w:themeFill="background1" w:themeFillShade="D9"/>
          </w:tcPr>
          <w:p w14:paraId="7757D067" w14:textId="7BF0FD91" w:rsidR="00E92028" w:rsidRPr="00B777D6" w:rsidRDefault="00E92028"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299" w:type="pct"/>
            <w:shd w:val="clear" w:color="auto" w:fill="D9D9D9" w:themeFill="background1" w:themeFillShade="D9"/>
          </w:tcPr>
          <w:p w14:paraId="7EE305D6" w14:textId="1E4D8A8E" w:rsidR="00E92028" w:rsidRPr="00B777D6" w:rsidRDefault="00E92028" w:rsidP="00562725">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8</w:t>
            </w:r>
          </w:p>
        </w:tc>
        <w:tc>
          <w:tcPr>
            <w:tcW w:w="113" w:type="pct"/>
            <w:shd w:val="clear" w:color="auto" w:fill="D9D9D9" w:themeFill="background1" w:themeFillShade="D9"/>
          </w:tcPr>
          <w:p w14:paraId="6663DDD9" w14:textId="06382944" w:rsidR="00E92028" w:rsidRPr="00B777D6" w:rsidRDefault="00E92028"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B777D6">
              <w:rPr>
                <w:rFonts w:ascii="Franklin Gothic Medium" w:hAnsi="Franklin Gothic Medium"/>
              </w:rPr>
              <w:t>…</w:t>
            </w:r>
          </w:p>
        </w:tc>
        <w:tc>
          <w:tcPr>
            <w:tcW w:w="835" w:type="pct"/>
            <w:tcBorders>
              <w:top w:val="nil"/>
              <w:bottom w:val="nil"/>
              <w:right w:val="nil"/>
            </w:tcBorders>
            <w:shd w:val="clear" w:color="auto" w:fill="FFFFFF" w:themeFill="background1"/>
            <w:vAlign w:val="top"/>
          </w:tcPr>
          <w:p w14:paraId="2042B875" w14:textId="77777777" w:rsidR="00E92028" w:rsidRPr="00B777D6" w:rsidRDefault="00E92028" w:rsidP="00E92028">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BC69D4" w14:paraId="08FD68F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 w:type="pct"/>
            <w:shd w:val="clear" w:color="auto" w:fill="D9D9D9" w:themeFill="background1" w:themeFillShade="D9"/>
            <w:vAlign w:val="top"/>
          </w:tcPr>
          <w:p w14:paraId="52E4D66E" w14:textId="77777777" w:rsidR="00D63894" w:rsidRPr="00B777D6" w:rsidRDefault="00D63894" w:rsidP="008C6FBE">
            <w:pPr>
              <w:rPr>
                <w:rFonts w:ascii="Franklin Gothic Medium" w:hAnsi="Franklin Gothic Medium"/>
              </w:rPr>
            </w:pPr>
            <w:r w:rsidRPr="00B777D6">
              <w:rPr>
                <w:rFonts w:ascii="Franklin Gothic Medium" w:hAnsi="Franklin Gothic Medium"/>
              </w:rPr>
              <w:t>WAML</w:t>
            </w:r>
          </w:p>
        </w:tc>
        <w:tc>
          <w:tcPr>
            <w:tcW w:w="480" w:type="pct"/>
            <w:shd w:val="clear" w:color="auto" w:fill="D9D9D9" w:themeFill="background1" w:themeFillShade="D9"/>
          </w:tcPr>
          <w:p w14:paraId="30030F61" w14:textId="530060C3" w:rsidR="00D63894" w:rsidRPr="00B777D6" w:rsidRDefault="00E92028"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B777D6">
              <w:rPr>
                <w:rFonts w:ascii="Franklin Gothic Medium" w:hAnsi="Franklin Gothic Medium"/>
              </w:rPr>
              <w:t>14.9</w:t>
            </w:r>
          </w:p>
        </w:tc>
        <w:tc>
          <w:tcPr>
            <w:tcW w:w="1267" w:type="pct"/>
            <w:tcBorders>
              <w:top w:val="nil"/>
              <w:bottom w:val="nil"/>
              <w:right w:val="nil"/>
            </w:tcBorders>
            <w:shd w:val="clear" w:color="auto" w:fill="FFFFFF" w:themeFill="background1"/>
          </w:tcPr>
          <w:p w14:paraId="0071D8C7" w14:textId="77777777" w:rsidR="00D63894" w:rsidRPr="00B777D6" w:rsidRDefault="00D63894" w:rsidP="00562725">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54" w:type="pct"/>
            <w:tcBorders>
              <w:top w:val="nil"/>
              <w:left w:val="nil"/>
              <w:bottom w:val="nil"/>
              <w:right w:val="nil"/>
            </w:tcBorders>
            <w:shd w:val="clear" w:color="auto" w:fill="FFFFFF" w:themeFill="background1"/>
            <w:vAlign w:val="top"/>
          </w:tcPr>
          <w:p w14:paraId="2A960A49"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shd w:val="clear" w:color="auto" w:fill="FFFFFF" w:themeFill="background1"/>
            <w:vAlign w:val="top"/>
          </w:tcPr>
          <w:p w14:paraId="59154AA4"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shd w:val="clear" w:color="auto" w:fill="FFFFFF" w:themeFill="background1"/>
            <w:vAlign w:val="top"/>
          </w:tcPr>
          <w:p w14:paraId="20DD5CCB"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shd w:val="clear" w:color="auto" w:fill="FFFFFF" w:themeFill="background1"/>
            <w:vAlign w:val="top"/>
          </w:tcPr>
          <w:p w14:paraId="673DA66B"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shd w:val="clear" w:color="auto" w:fill="FFFFFF" w:themeFill="background1"/>
            <w:vAlign w:val="top"/>
          </w:tcPr>
          <w:p w14:paraId="43264C6F"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3" w:type="pct"/>
            <w:tcBorders>
              <w:top w:val="nil"/>
              <w:left w:val="nil"/>
              <w:bottom w:val="nil"/>
              <w:right w:val="nil"/>
            </w:tcBorders>
            <w:shd w:val="clear" w:color="auto" w:fill="FFFFFF" w:themeFill="background1"/>
            <w:vAlign w:val="top"/>
          </w:tcPr>
          <w:p w14:paraId="2F4F17F1"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99" w:type="pct"/>
            <w:tcBorders>
              <w:top w:val="nil"/>
              <w:left w:val="nil"/>
              <w:bottom w:val="nil"/>
              <w:right w:val="nil"/>
            </w:tcBorders>
            <w:shd w:val="clear" w:color="auto" w:fill="FFFFFF" w:themeFill="background1"/>
            <w:vAlign w:val="top"/>
          </w:tcPr>
          <w:p w14:paraId="08563552"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3" w:type="pct"/>
            <w:tcBorders>
              <w:top w:val="nil"/>
              <w:left w:val="nil"/>
              <w:bottom w:val="nil"/>
              <w:right w:val="nil"/>
            </w:tcBorders>
            <w:shd w:val="clear" w:color="auto" w:fill="FFFFFF" w:themeFill="background1"/>
            <w:vAlign w:val="top"/>
          </w:tcPr>
          <w:p w14:paraId="6E484A2D"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835" w:type="pct"/>
            <w:tcBorders>
              <w:top w:val="nil"/>
              <w:left w:val="nil"/>
              <w:bottom w:val="nil"/>
              <w:right w:val="nil"/>
            </w:tcBorders>
            <w:shd w:val="clear" w:color="auto" w:fill="FFFFFF" w:themeFill="background1"/>
            <w:vAlign w:val="top"/>
          </w:tcPr>
          <w:p w14:paraId="665293CF" w14:textId="77777777" w:rsidR="00D63894" w:rsidRPr="00B777D6" w:rsidRDefault="00D63894" w:rsidP="008C6FBE">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bl>
    <w:p w14:paraId="0868734D" w14:textId="3E9CA188" w:rsidR="00D63894" w:rsidRDefault="00D63894" w:rsidP="00881B1B">
      <w:pPr>
        <w:pStyle w:val="Caption"/>
      </w:pPr>
      <w:bookmarkStart w:id="351" w:name="_Toc191992603"/>
      <w:bookmarkStart w:id="352" w:name="_Toc192767016"/>
      <w:r>
        <w:lastRenderedPageBreak/>
        <w:t xml:space="preserve">Table </w:t>
      </w:r>
      <w:r w:rsidR="009B4C9A">
        <w:fldChar w:fldCharType="begin"/>
      </w:r>
      <w:r w:rsidR="009B4C9A">
        <w:instrText xml:space="preserve"> SEQ Table \* ARABIC </w:instrText>
      </w:r>
      <w:r w:rsidR="009B4C9A">
        <w:fldChar w:fldCharType="separate"/>
      </w:r>
      <w:r w:rsidR="00AA10F4">
        <w:rPr>
          <w:noProof/>
        </w:rPr>
        <w:t>82</w:t>
      </w:r>
      <w:r w:rsidR="009B4C9A">
        <w:rPr>
          <w:noProof/>
        </w:rPr>
        <w:fldChar w:fldCharType="end"/>
      </w:r>
      <w:r>
        <w:t>. 2024 Midstream HVAC Channel CPAS and WAML</w:t>
      </w:r>
      <w:bookmarkEnd w:id="351"/>
      <w:bookmarkEnd w:id="352"/>
    </w:p>
    <w:tbl>
      <w:tblPr>
        <w:tblStyle w:val="TableGrid"/>
        <w:tblW w:w="5000" w:type="pct"/>
        <w:tblLook w:val="04A0" w:firstRow="1" w:lastRow="0" w:firstColumn="1" w:lastColumn="0" w:noHBand="0" w:noVBand="1"/>
      </w:tblPr>
      <w:tblGrid>
        <w:gridCol w:w="2492"/>
        <w:gridCol w:w="1386"/>
        <w:gridCol w:w="3653"/>
        <w:gridCol w:w="732"/>
        <w:gridCol w:w="679"/>
        <w:gridCol w:w="679"/>
        <w:gridCol w:w="679"/>
        <w:gridCol w:w="679"/>
        <w:gridCol w:w="324"/>
        <w:gridCol w:w="679"/>
        <w:gridCol w:w="324"/>
        <w:gridCol w:w="2400"/>
      </w:tblGrid>
      <w:tr w:rsidR="00D63894" w14:paraId="3A45864D" w14:textId="77777777" w:rsidTr="00AA10F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7" w:type="pct"/>
            <w:vMerge w:val="restart"/>
            <w:tcBorders>
              <w:bottom w:val="single" w:sz="4" w:space="0" w:color="4D4D4F"/>
            </w:tcBorders>
          </w:tcPr>
          <w:p w14:paraId="7ACCCCDB" w14:textId="67AD44FF" w:rsidR="00D63894" w:rsidRDefault="000B1B6F" w:rsidP="008C6FBE">
            <w:pPr>
              <w:pStyle w:val="TableHeadingLeft"/>
            </w:pPr>
            <w:r>
              <w:t>Measure</w:t>
            </w:r>
          </w:p>
        </w:tc>
        <w:tc>
          <w:tcPr>
            <w:tcW w:w="471" w:type="pct"/>
            <w:vMerge w:val="restart"/>
            <w:tcBorders>
              <w:top w:val="single" w:sz="4" w:space="0" w:color="4D4D4F"/>
              <w:left w:val="single" w:sz="4" w:space="0" w:color="4D4D4F"/>
              <w:bottom w:val="single" w:sz="4" w:space="0" w:color="4D4D4F"/>
              <w:right w:val="single" w:sz="4" w:space="0" w:color="4D4D4F"/>
            </w:tcBorders>
          </w:tcPr>
          <w:p w14:paraId="1DDBF70E" w14:textId="36A5D0AB" w:rsidR="00D63894" w:rsidRDefault="000B1B6F" w:rsidP="008C6FB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242" w:type="pct"/>
            <w:vMerge w:val="restart"/>
            <w:tcBorders>
              <w:top w:val="single" w:sz="4" w:space="0" w:color="4D4D4F"/>
              <w:left w:val="single" w:sz="4" w:space="0" w:color="4D4D4F"/>
              <w:bottom w:val="single" w:sz="4" w:space="0" w:color="4D4D4F"/>
              <w:right w:val="single" w:sz="4" w:space="0" w:color="4D4D4F"/>
            </w:tcBorders>
          </w:tcPr>
          <w:p w14:paraId="1AA1938E"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49" w:type="pct"/>
            <w:vMerge w:val="restart"/>
            <w:tcBorders>
              <w:top w:val="single" w:sz="4" w:space="0" w:color="4D4D4F"/>
              <w:left w:val="single" w:sz="4" w:space="0" w:color="4D4D4F"/>
              <w:bottom w:val="single" w:sz="4" w:space="0" w:color="4D4D4F"/>
              <w:right w:val="single" w:sz="4" w:space="0" w:color="4D4D4F"/>
            </w:tcBorders>
          </w:tcPr>
          <w:p w14:paraId="43A65C4B"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73" w:type="pct"/>
            <w:gridSpan w:val="7"/>
            <w:tcBorders>
              <w:top w:val="single" w:sz="4" w:space="0" w:color="4D4D4F"/>
              <w:left w:val="single" w:sz="4" w:space="0" w:color="4D4D4F"/>
              <w:bottom w:val="single" w:sz="4" w:space="0" w:color="4D4D4F"/>
              <w:right w:val="single" w:sz="4" w:space="0" w:color="4D4D4F"/>
            </w:tcBorders>
          </w:tcPr>
          <w:p w14:paraId="602F7B71"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18" w:type="pct"/>
            <w:vMerge w:val="restart"/>
            <w:tcBorders>
              <w:top w:val="single" w:sz="4" w:space="0" w:color="4D4D4F"/>
              <w:left w:val="single" w:sz="4" w:space="0" w:color="4D4D4F"/>
              <w:bottom w:val="single" w:sz="4" w:space="0" w:color="4D4D4F"/>
              <w:right w:val="single" w:sz="4" w:space="0" w:color="4D4D4F"/>
            </w:tcBorders>
          </w:tcPr>
          <w:p w14:paraId="189F81DC"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AA10F4" w14:paraId="44DDD113" w14:textId="77777777" w:rsidTr="00AA10F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847" w:type="pct"/>
            <w:vMerge/>
          </w:tcPr>
          <w:p w14:paraId="183E065A" w14:textId="77777777" w:rsidR="00D63894" w:rsidRDefault="00D63894" w:rsidP="008C6FBE"/>
        </w:tc>
        <w:tc>
          <w:tcPr>
            <w:tcW w:w="471" w:type="pct"/>
            <w:vMerge/>
          </w:tcPr>
          <w:p w14:paraId="1E865E06"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1242" w:type="pct"/>
            <w:vMerge/>
          </w:tcPr>
          <w:p w14:paraId="23D1CFEB"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49" w:type="pct"/>
            <w:vMerge/>
          </w:tcPr>
          <w:p w14:paraId="432225A4"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31" w:type="pct"/>
            <w:shd w:val="clear" w:color="auto" w:fill="053572" w:themeFill="text2"/>
          </w:tcPr>
          <w:p w14:paraId="100AD20F"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31" w:type="pct"/>
            <w:shd w:val="clear" w:color="auto" w:fill="053572" w:themeFill="text2"/>
          </w:tcPr>
          <w:p w14:paraId="0A2935E3"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31" w:type="pct"/>
            <w:shd w:val="clear" w:color="auto" w:fill="053572" w:themeFill="text2"/>
          </w:tcPr>
          <w:p w14:paraId="6A04EDED"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31" w:type="pct"/>
            <w:shd w:val="clear" w:color="auto" w:fill="053572" w:themeFill="text2"/>
          </w:tcPr>
          <w:p w14:paraId="5A287A3B"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10" w:type="pct"/>
            <w:shd w:val="clear" w:color="auto" w:fill="053572" w:themeFill="text2"/>
          </w:tcPr>
          <w:p w14:paraId="5DE6212B"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31" w:type="pct"/>
            <w:shd w:val="clear" w:color="auto" w:fill="053572" w:themeFill="text2"/>
          </w:tcPr>
          <w:p w14:paraId="60935280"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10" w:type="pct"/>
            <w:shd w:val="clear" w:color="auto" w:fill="053572" w:themeFill="text2"/>
          </w:tcPr>
          <w:p w14:paraId="0ED0D736" w14:textId="77777777" w:rsidR="00D63894" w:rsidRDefault="00D63894" w:rsidP="00BC69D4">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18" w:type="pct"/>
            <w:vMerge/>
          </w:tcPr>
          <w:p w14:paraId="7CDCFCDE"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r>
      <w:tr w:rsidR="00F02C26" w14:paraId="42536D40" w14:textId="77777777" w:rsidTr="00AA1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0CAAACA2" w14:textId="71B2C304" w:rsidR="00F02C26" w:rsidRDefault="00F02C26" w:rsidP="00F02C26">
            <w:r w:rsidRPr="000037FB">
              <w:t>Unitary DMSHP</w:t>
            </w:r>
          </w:p>
        </w:tc>
        <w:tc>
          <w:tcPr>
            <w:tcW w:w="471" w:type="pct"/>
          </w:tcPr>
          <w:p w14:paraId="0AAD7774" w14:textId="2EA8FF97"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15.0</w:t>
            </w:r>
          </w:p>
        </w:tc>
        <w:tc>
          <w:tcPr>
            <w:tcW w:w="1242" w:type="pct"/>
          </w:tcPr>
          <w:p w14:paraId="3BCC6440" w14:textId="63E33E48"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168</w:t>
            </w:r>
          </w:p>
        </w:tc>
        <w:tc>
          <w:tcPr>
            <w:tcW w:w="249" w:type="pct"/>
          </w:tcPr>
          <w:p w14:paraId="2B2EAD30" w14:textId="6BDECE45"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0.674</w:t>
            </w:r>
          </w:p>
        </w:tc>
        <w:tc>
          <w:tcPr>
            <w:tcW w:w="231" w:type="pct"/>
          </w:tcPr>
          <w:p w14:paraId="38B6DE48" w14:textId="46F27652"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113</w:t>
            </w:r>
          </w:p>
        </w:tc>
        <w:tc>
          <w:tcPr>
            <w:tcW w:w="231" w:type="pct"/>
          </w:tcPr>
          <w:p w14:paraId="5A7A53CF" w14:textId="6CB63D83"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113</w:t>
            </w:r>
          </w:p>
        </w:tc>
        <w:tc>
          <w:tcPr>
            <w:tcW w:w="231" w:type="pct"/>
          </w:tcPr>
          <w:p w14:paraId="21EE1C5E" w14:textId="36894563"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113</w:t>
            </w:r>
          </w:p>
        </w:tc>
        <w:tc>
          <w:tcPr>
            <w:tcW w:w="231" w:type="pct"/>
          </w:tcPr>
          <w:p w14:paraId="46C318C4" w14:textId="35FD8439"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113</w:t>
            </w:r>
          </w:p>
        </w:tc>
        <w:tc>
          <w:tcPr>
            <w:tcW w:w="110" w:type="pct"/>
          </w:tcPr>
          <w:p w14:paraId="4599F025" w14:textId="2800B2E3" w:rsidR="00F02C26" w:rsidRDefault="00F02C26" w:rsidP="00BC69D4">
            <w:pPr>
              <w:jc w:val="center"/>
              <w:cnfStyle w:val="000000010000" w:firstRow="0" w:lastRow="0" w:firstColumn="0" w:lastColumn="0" w:oddVBand="0" w:evenVBand="0" w:oddHBand="0" w:evenHBand="1" w:firstRowFirstColumn="0" w:firstRowLastColumn="0" w:lastRowFirstColumn="0" w:lastRowLastColumn="0"/>
            </w:pPr>
            <w:r w:rsidRPr="000037FB">
              <w:t>…</w:t>
            </w:r>
          </w:p>
        </w:tc>
        <w:tc>
          <w:tcPr>
            <w:tcW w:w="231" w:type="pct"/>
          </w:tcPr>
          <w:p w14:paraId="3D9E8638" w14:textId="29878FD4"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113</w:t>
            </w:r>
          </w:p>
        </w:tc>
        <w:tc>
          <w:tcPr>
            <w:tcW w:w="110" w:type="pct"/>
          </w:tcPr>
          <w:p w14:paraId="058FF6D4" w14:textId="79D3BBFF" w:rsidR="00F02C26" w:rsidRDefault="00F02C26" w:rsidP="00BC69D4">
            <w:pPr>
              <w:jc w:val="center"/>
              <w:cnfStyle w:val="000000010000" w:firstRow="0" w:lastRow="0" w:firstColumn="0" w:lastColumn="0" w:oddVBand="0" w:evenVBand="0" w:oddHBand="0" w:evenHBand="1" w:firstRowFirstColumn="0" w:firstRowLastColumn="0" w:lastRowFirstColumn="0" w:lastRowLastColumn="0"/>
            </w:pPr>
            <w:r w:rsidRPr="000037FB">
              <w:t>…</w:t>
            </w:r>
          </w:p>
        </w:tc>
        <w:tc>
          <w:tcPr>
            <w:tcW w:w="818" w:type="pct"/>
          </w:tcPr>
          <w:p w14:paraId="7EFCC661" w14:textId="12BCAA94" w:rsidR="00F02C26" w:rsidRDefault="00F02C26" w:rsidP="00E3116D">
            <w:pPr>
              <w:jc w:val="right"/>
              <w:cnfStyle w:val="000000010000" w:firstRow="0" w:lastRow="0" w:firstColumn="0" w:lastColumn="0" w:oddVBand="0" w:evenVBand="0" w:oddHBand="0" w:evenHBand="1" w:firstRowFirstColumn="0" w:firstRowLastColumn="0" w:lastRowFirstColumn="0" w:lastRowLastColumn="0"/>
            </w:pPr>
            <w:r w:rsidRPr="000037FB">
              <w:t>1,696</w:t>
            </w:r>
          </w:p>
        </w:tc>
      </w:tr>
      <w:tr w:rsidR="006D2461" w14:paraId="3BA79824" w14:textId="77777777" w:rsidTr="00AA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15930D64" w14:textId="23993C2F" w:rsidR="006D2461" w:rsidRDefault="006D2461" w:rsidP="006D2461">
            <w:r w:rsidRPr="00FE385F">
              <w:t>Advanced Thermostat</w:t>
            </w:r>
          </w:p>
        </w:tc>
        <w:tc>
          <w:tcPr>
            <w:tcW w:w="471" w:type="pct"/>
          </w:tcPr>
          <w:p w14:paraId="45756056" w14:textId="3B570FC7"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11.0</w:t>
            </w:r>
          </w:p>
        </w:tc>
        <w:tc>
          <w:tcPr>
            <w:tcW w:w="1242" w:type="pct"/>
          </w:tcPr>
          <w:p w14:paraId="42FDA71F" w14:textId="5E71028C"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96</w:t>
            </w:r>
          </w:p>
        </w:tc>
        <w:tc>
          <w:tcPr>
            <w:tcW w:w="249" w:type="pct"/>
          </w:tcPr>
          <w:p w14:paraId="18012EF9" w14:textId="10C4C7B1"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0.762</w:t>
            </w:r>
          </w:p>
        </w:tc>
        <w:tc>
          <w:tcPr>
            <w:tcW w:w="231" w:type="pct"/>
          </w:tcPr>
          <w:p w14:paraId="0073D0B7" w14:textId="366DEAE7"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74</w:t>
            </w:r>
          </w:p>
        </w:tc>
        <w:tc>
          <w:tcPr>
            <w:tcW w:w="231" w:type="pct"/>
          </w:tcPr>
          <w:p w14:paraId="761AB02E" w14:textId="7FECEFF6"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74</w:t>
            </w:r>
          </w:p>
        </w:tc>
        <w:tc>
          <w:tcPr>
            <w:tcW w:w="231" w:type="pct"/>
          </w:tcPr>
          <w:p w14:paraId="78E5BB49" w14:textId="139C6ACA"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74</w:t>
            </w:r>
          </w:p>
        </w:tc>
        <w:tc>
          <w:tcPr>
            <w:tcW w:w="231" w:type="pct"/>
          </w:tcPr>
          <w:p w14:paraId="204EDE86" w14:textId="5154B3F6"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74</w:t>
            </w:r>
          </w:p>
        </w:tc>
        <w:tc>
          <w:tcPr>
            <w:tcW w:w="110" w:type="pct"/>
          </w:tcPr>
          <w:p w14:paraId="0CBB9007" w14:textId="51B5DDBB" w:rsidR="006D2461"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FE385F">
              <w:t>…</w:t>
            </w:r>
          </w:p>
        </w:tc>
        <w:tc>
          <w:tcPr>
            <w:tcW w:w="231" w:type="pct"/>
          </w:tcPr>
          <w:p w14:paraId="12910BC0" w14:textId="59B1FE5C"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74</w:t>
            </w:r>
          </w:p>
        </w:tc>
        <w:tc>
          <w:tcPr>
            <w:tcW w:w="110" w:type="pct"/>
          </w:tcPr>
          <w:p w14:paraId="617C88DC" w14:textId="3F1442D3" w:rsidR="006D2461"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FE385F">
              <w:t>…</w:t>
            </w:r>
          </w:p>
        </w:tc>
        <w:tc>
          <w:tcPr>
            <w:tcW w:w="818" w:type="pct"/>
          </w:tcPr>
          <w:p w14:paraId="019B3E09" w14:textId="4ACDBF12" w:rsidR="006D2461"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FE385F">
              <w:t>809</w:t>
            </w:r>
          </w:p>
        </w:tc>
      </w:tr>
      <w:tr w:rsidR="006D2461" w14:paraId="55F335EB" w14:textId="77777777" w:rsidTr="00AA1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43DF6B3C" w14:textId="69E6F6ED" w:rsidR="006D2461" w:rsidRDefault="006D2461" w:rsidP="006D2461">
            <w:r w:rsidRPr="005D33A9">
              <w:t>Notched V-Belt</w:t>
            </w:r>
          </w:p>
        </w:tc>
        <w:tc>
          <w:tcPr>
            <w:tcW w:w="471" w:type="pct"/>
          </w:tcPr>
          <w:p w14:paraId="6D21B07D" w14:textId="61120EFE"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3.8</w:t>
            </w:r>
          </w:p>
        </w:tc>
        <w:tc>
          <w:tcPr>
            <w:tcW w:w="1242" w:type="pct"/>
          </w:tcPr>
          <w:p w14:paraId="407CA77E" w14:textId="090E675E"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34</w:t>
            </w:r>
          </w:p>
        </w:tc>
        <w:tc>
          <w:tcPr>
            <w:tcW w:w="249" w:type="pct"/>
          </w:tcPr>
          <w:p w14:paraId="09325ED3" w14:textId="02E7C8A2"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0.800</w:t>
            </w:r>
          </w:p>
        </w:tc>
        <w:tc>
          <w:tcPr>
            <w:tcW w:w="231" w:type="pct"/>
          </w:tcPr>
          <w:p w14:paraId="6C6C7428" w14:textId="110F1BCD"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27</w:t>
            </w:r>
          </w:p>
        </w:tc>
        <w:tc>
          <w:tcPr>
            <w:tcW w:w="231" w:type="pct"/>
          </w:tcPr>
          <w:p w14:paraId="17B10284" w14:textId="1BD27764"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27</w:t>
            </w:r>
          </w:p>
        </w:tc>
        <w:tc>
          <w:tcPr>
            <w:tcW w:w="231" w:type="pct"/>
          </w:tcPr>
          <w:p w14:paraId="7CBA4FA6" w14:textId="18145B8C"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27</w:t>
            </w:r>
          </w:p>
        </w:tc>
        <w:tc>
          <w:tcPr>
            <w:tcW w:w="231" w:type="pct"/>
          </w:tcPr>
          <w:p w14:paraId="128EA15F" w14:textId="4C42C7AB"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23</w:t>
            </w:r>
          </w:p>
        </w:tc>
        <w:tc>
          <w:tcPr>
            <w:tcW w:w="110" w:type="pct"/>
          </w:tcPr>
          <w:p w14:paraId="04D17BFA" w14:textId="576C0128" w:rsidR="006D2461" w:rsidRPr="00780204" w:rsidRDefault="006D2461" w:rsidP="00BC69D4">
            <w:pPr>
              <w:jc w:val="center"/>
              <w:cnfStyle w:val="000000010000" w:firstRow="0" w:lastRow="0" w:firstColumn="0" w:lastColumn="0" w:oddVBand="0" w:evenVBand="0" w:oddHBand="0" w:evenHBand="1" w:firstRowFirstColumn="0" w:firstRowLastColumn="0" w:lastRowFirstColumn="0" w:lastRowLastColumn="0"/>
            </w:pPr>
            <w:r w:rsidRPr="005D33A9">
              <w:t>…</w:t>
            </w:r>
          </w:p>
        </w:tc>
        <w:tc>
          <w:tcPr>
            <w:tcW w:w="231" w:type="pct"/>
          </w:tcPr>
          <w:p w14:paraId="738DDDB7" w14:textId="5BA75987"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0</w:t>
            </w:r>
          </w:p>
        </w:tc>
        <w:tc>
          <w:tcPr>
            <w:tcW w:w="110" w:type="pct"/>
          </w:tcPr>
          <w:p w14:paraId="247FA2A7" w14:textId="4C9D6E3C" w:rsidR="006D2461" w:rsidRPr="00780204" w:rsidRDefault="006D2461" w:rsidP="00BC69D4">
            <w:pPr>
              <w:jc w:val="center"/>
              <w:cnfStyle w:val="000000010000" w:firstRow="0" w:lastRow="0" w:firstColumn="0" w:lastColumn="0" w:oddVBand="0" w:evenVBand="0" w:oddHBand="0" w:evenHBand="1" w:firstRowFirstColumn="0" w:firstRowLastColumn="0" w:lastRowFirstColumn="0" w:lastRowLastColumn="0"/>
            </w:pPr>
            <w:r w:rsidRPr="005D33A9">
              <w:t>…</w:t>
            </w:r>
          </w:p>
        </w:tc>
        <w:tc>
          <w:tcPr>
            <w:tcW w:w="818" w:type="pct"/>
          </w:tcPr>
          <w:p w14:paraId="4F8FAD2B" w14:textId="23AD3971"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5D33A9">
              <w:t>104</w:t>
            </w:r>
          </w:p>
        </w:tc>
      </w:tr>
      <w:tr w:rsidR="006D2461" w14:paraId="7835975C" w14:textId="77777777" w:rsidTr="00AA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7D649625" w14:textId="690D23A1" w:rsidR="006D2461" w:rsidRDefault="006D2461" w:rsidP="006D2461">
            <w:r w:rsidRPr="00806508">
              <w:t>Unitary AC</w:t>
            </w:r>
          </w:p>
        </w:tc>
        <w:tc>
          <w:tcPr>
            <w:tcW w:w="471" w:type="pct"/>
          </w:tcPr>
          <w:p w14:paraId="16E1169C" w14:textId="42E5117E"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15.0</w:t>
            </w:r>
          </w:p>
        </w:tc>
        <w:tc>
          <w:tcPr>
            <w:tcW w:w="1242" w:type="pct"/>
          </w:tcPr>
          <w:p w14:paraId="542D1A3D" w14:textId="7FC8CA33"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43</w:t>
            </w:r>
          </w:p>
        </w:tc>
        <w:tc>
          <w:tcPr>
            <w:tcW w:w="249" w:type="pct"/>
          </w:tcPr>
          <w:p w14:paraId="61547F82" w14:textId="4B7DF206"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0.651</w:t>
            </w:r>
          </w:p>
        </w:tc>
        <w:tc>
          <w:tcPr>
            <w:tcW w:w="231" w:type="pct"/>
          </w:tcPr>
          <w:p w14:paraId="01AC86E8" w14:textId="48307DF7"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28</w:t>
            </w:r>
          </w:p>
        </w:tc>
        <w:tc>
          <w:tcPr>
            <w:tcW w:w="231" w:type="pct"/>
          </w:tcPr>
          <w:p w14:paraId="52C01C3E" w14:textId="1EA01547"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28</w:t>
            </w:r>
          </w:p>
        </w:tc>
        <w:tc>
          <w:tcPr>
            <w:tcW w:w="231" w:type="pct"/>
          </w:tcPr>
          <w:p w14:paraId="2F084594" w14:textId="5011DC36"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28</w:t>
            </w:r>
          </w:p>
        </w:tc>
        <w:tc>
          <w:tcPr>
            <w:tcW w:w="231" w:type="pct"/>
          </w:tcPr>
          <w:p w14:paraId="6B61FB15" w14:textId="4044D3EA"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28</w:t>
            </w:r>
          </w:p>
        </w:tc>
        <w:tc>
          <w:tcPr>
            <w:tcW w:w="110" w:type="pct"/>
          </w:tcPr>
          <w:p w14:paraId="28EA36F0" w14:textId="4CEDEED0" w:rsidR="006D2461" w:rsidRPr="00780204"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806508">
              <w:t>…</w:t>
            </w:r>
          </w:p>
        </w:tc>
        <w:tc>
          <w:tcPr>
            <w:tcW w:w="231" w:type="pct"/>
          </w:tcPr>
          <w:p w14:paraId="3C4A54A7" w14:textId="2338BD48"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28</w:t>
            </w:r>
          </w:p>
        </w:tc>
        <w:tc>
          <w:tcPr>
            <w:tcW w:w="110" w:type="pct"/>
          </w:tcPr>
          <w:p w14:paraId="0A9E5EBE" w14:textId="02C027EF" w:rsidR="006D2461" w:rsidRPr="00780204"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806508">
              <w:t>…</w:t>
            </w:r>
          </w:p>
        </w:tc>
        <w:tc>
          <w:tcPr>
            <w:tcW w:w="818" w:type="pct"/>
          </w:tcPr>
          <w:p w14:paraId="78A54ADA" w14:textId="4DF42EE8"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806508">
              <w:t>418</w:t>
            </w:r>
          </w:p>
        </w:tc>
      </w:tr>
      <w:tr w:rsidR="006D2461" w14:paraId="166521AF" w14:textId="77777777" w:rsidTr="00AA1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3AFCA287" w14:textId="762542F3" w:rsidR="006D2461" w:rsidRDefault="006D2461" w:rsidP="006D2461">
            <w:r w:rsidRPr="00806F0F">
              <w:t>Unitary A</w:t>
            </w:r>
            <w:r w:rsidR="00F415CF">
              <w:t>SHP</w:t>
            </w:r>
          </w:p>
        </w:tc>
        <w:tc>
          <w:tcPr>
            <w:tcW w:w="471" w:type="pct"/>
          </w:tcPr>
          <w:p w14:paraId="08F3E37F" w14:textId="20480FD8"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806F0F">
              <w:t>15.0</w:t>
            </w:r>
          </w:p>
        </w:tc>
        <w:tc>
          <w:tcPr>
            <w:tcW w:w="1242" w:type="pct"/>
          </w:tcPr>
          <w:p w14:paraId="0F6B396F" w14:textId="6B1882EA"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806F0F">
              <w:t>43</w:t>
            </w:r>
          </w:p>
        </w:tc>
        <w:tc>
          <w:tcPr>
            <w:tcW w:w="249" w:type="pct"/>
          </w:tcPr>
          <w:p w14:paraId="1F8716F1" w14:textId="110CF83B" w:rsidR="006D2461" w:rsidRPr="00780204" w:rsidRDefault="006D2461" w:rsidP="00E3116D">
            <w:pPr>
              <w:jc w:val="right"/>
              <w:cnfStyle w:val="000000010000" w:firstRow="0" w:lastRow="0" w:firstColumn="0" w:lastColumn="0" w:oddVBand="0" w:evenVBand="0" w:oddHBand="0" w:evenHBand="1" w:firstRowFirstColumn="0" w:firstRowLastColumn="0" w:lastRowFirstColumn="0" w:lastRowLastColumn="0"/>
            </w:pPr>
            <w:r w:rsidRPr="00806F0F">
              <w:t>0.</w:t>
            </w:r>
            <w:r w:rsidR="00F415CF">
              <w:t>708</w:t>
            </w:r>
          </w:p>
        </w:tc>
        <w:tc>
          <w:tcPr>
            <w:tcW w:w="231" w:type="pct"/>
          </w:tcPr>
          <w:p w14:paraId="1C87D732" w14:textId="14B408BB"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19</w:t>
            </w:r>
          </w:p>
        </w:tc>
        <w:tc>
          <w:tcPr>
            <w:tcW w:w="231" w:type="pct"/>
          </w:tcPr>
          <w:p w14:paraId="2257631F" w14:textId="0223ADD1"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19</w:t>
            </w:r>
          </w:p>
        </w:tc>
        <w:tc>
          <w:tcPr>
            <w:tcW w:w="231" w:type="pct"/>
          </w:tcPr>
          <w:p w14:paraId="0D825A75" w14:textId="0DAF3B21"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19</w:t>
            </w:r>
          </w:p>
        </w:tc>
        <w:tc>
          <w:tcPr>
            <w:tcW w:w="231" w:type="pct"/>
          </w:tcPr>
          <w:p w14:paraId="5CD4E4D6" w14:textId="7D3CF25C"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19</w:t>
            </w:r>
          </w:p>
        </w:tc>
        <w:tc>
          <w:tcPr>
            <w:tcW w:w="110" w:type="pct"/>
          </w:tcPr>
          <w:p w14:paraId="6E5BD7A1" w14:textId="3A919C1A" w:rsidR="006D2461" w:rsidRPr="00780204" w:rsidRDefault="006D2461" w:rsidP="00BC69D4">
            <w:pPr>
              <w:jc w:val="center"/>
              <w:cnfStyle w:val="000000010000" w:firstRow="0" w:lastRow="0" w:firstColumn="0" w:lastColumn="0" w:oddVBand="0" w:evenVBand="0" w:oddHBand="0" w:evenHBand="1" w:firstRowFirstColumn="0" w:firstRowLastColumn="0" w:lastRowFirstColumn="0" w:lastRowLastColumn="0"/>
            </w:pPr>
            <w:r w:rsidRPr="00806F0F">
              <w:t>…</w:t>
            </w:r>
          </w:p>
        </w:tc>
        <w:tc>
          <w:tcPr>
            <w:tcW w:w="231" w:type="pct"/>
          </w:tcPr>
          <w:p w14:paraId="546C3F49" w14:textId="4ED385C4"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19</w:t>
            </w:r>
          </w:p>
        </w:tc>
        <w:tc>
          <w:tcPr>
            <w:tcW w:w="110" w:type="pct"/>
          </w:tcPr>
          <w:p w14:paraId="57C4C0D7" w14:textId="3CA87114" w:rsidR="006D2461" w:rsidRPr="00780204" w:rsidRDefault="006D2461" w:rsidP="00BC69D4">
            <w:pPr>
              <w:jc w:val="center"/>
              <w:cnfStyle w:val="000000010000" w:firstRow="0" w:lastRow="0" w:firstColumn="0" w:lastColumn="0" w:oddVBand="0" w:evenVBand="0" w:oddHBand="0" w:evenHBand="1" w:firstRowFirstColumn="0" w:firstRowLastColumn="0" w:lastRowFirstColumn="0" w:lastRowLastColumn="0"/>
            </w:pPr>
            <w:r w:rsidRPr="00806F0F">
              <w:t>…</w:t>
            </w:r>
          </w:p>
        </w:tc>
        <w:tc>
          <w:tcPr>
            <w:tcW w:w="818" w:type="pct"/>
          </w:tcPr>
          <w:p w14:paraId="3226D278" w14:textId="0AD52BB6" w:rsidR="006D2461" w:rsidRPr="00780204" w:rsidRDefault="00F415CF" w:rsidP="00E3116D">
            <w:pPr>
              <w:jc w:val="right"/>
              <w:cnfStyle w:val="000000010000" w:firstRow="0" w:lastRow="0" w:firstColumn="0" w:lastColumn="0" w:oddVBand="0" w:evenVBand="0" w:oddHBand="0" w:evenHBand="1" w:firstRowFirstColumn="0" w:firstRowLastColumn="0" w:lastRowFirstColumn="0" w:lastRowLastColumn="0"/>
            </w:pPr>
            <w:r>
              <w:t>205</w:t>
            </w:r>
          </w:p>
        </w:tc>
      </w:tr>
      <w:tr w:rsidR="006D2461" w14:paraId="2FC56C7D" w14:textId="77777777" w:rsidTr="00AA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vAlign w:val="top"/>
          </w:tcPr>
          <w:p w14:paraId="40C9F31E" w14:textId="5E224FAB" w:rsidR="006D2461" w:rsidRDefault="006D2461" w:rsidP="006D2461">
            <w:r w:rsidRPr="002F3BAF">
              <w:t>Heat Pump Water Heater</w:t>
            </w:r>
          </w:p>
        </w:tc>
        <w:tc>
          <w:tcPr>
            <w:tcW w:w="471" w:type="pct"/>
          </w:tcPr>
          <w:p w14:paraId="1E8096C0" w14:textId="5F6FA7FD"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15.0</w:t>
            </w:r>
          </w:p>
        </w:tc>
        <w:tc>
          <w:tcPr>
            <w:tcW w:w="1242" w:type="pct"/>
          </w:tcPr>
          <w:p w14:paraId="4623F6DA" w14:textId="008C335C"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26</w:t>
            </w:r>
          </w:p>
        </w:tc>
        <w:tc>
          <w:tcPr>
            <w:tcW w:w="249" w:type="pct"/>
          </w:tcPr>
          <w:p w14:paraId="6CC1DE63" w14:textId="5D8A1064"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0.600</w:t>
            </w:r>
          </w:p>
        </w:tc>
        <w:tc>
          <w:tcPr>
            <w:tcW w:w="231" w:type="pct"/>
          </w:tcPr>
          <w:p w14:paraId="647D69F5" w14:textId="694811DB"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16</w:t>
            </w:r>
          </w:p>
        </w:tc>
        <w:tc>
          <w:tcPr>
            <w:tcW w:w="231" w:type="pct"/>
          </w:tcPr>
          <w:p w14:paraId="3A56CEB8" w14:textId="523FAFCF"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16</w:t>
            </w:r>
          </w:p>
        </w:tc>
        <w:tc>
          <w:tcPr>
            <w:tcW w:w="231" w:type="pct"/>
          </w:tcPr>
          <w:p w14:paraId="2F454635" w14:textId="2634BC57"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16</w:t>
            </w:r>
          </w:p>
        </w:tc>
        <w:tc>
          <w:tcPr>
            <w:tcW w:w="231" w:type="pct"/>
          </w:tcPr>
          <w:p w14:paraId="0FA31F2C" w14:textId="7C9083E9"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16</w:t>
            </w:r>
          </w:p>
        </w:tc>
        <w:tc>
          <w:tcPr>
            <w:tcW w:w="110" w:type="pct"/>
          </w:tcPr>
          <w:p w14:paraId="7FEF8C22" w14:textId="545F697E" w:rsidR="006D2461" w:rsidRPr="00780204"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2F3BAF">
              <w:t>…</w:t>
            </w:r>
          </w:p>
        </w:tc>
        <w:tc>
          <w:tcPr>
            <w:tcW w:w="231" w:type="pct"/>
          </w:tcPr>
          <w:p w14:paraId="23DFFA8D" w14:textId="30A8268C"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16</w:t>
            </w:r>
          </w:p>
        </w:tc>
        <w:tc>
          <w:tcPr>
            <w:tcW w:w="110" w:type="pct"/>
          </w:tcPr>
          <w:p w14:paraId="629BB2FC" w14:textId="2B06A0D8" w:rsidR="006D2461" w:rsidRPr="00780204" w:rsidRDefault="006D2461" w:rsidP="00BC69D4">
            <w:pPr>
              <w:jc w:val="center"/>
              <w:cnfStyle w:val="000000100000" w:firstRow="0" w:lastRow="0" w:firstColumn="0" w:lastColumn="0" w:oddVBand="0" w:evenVBand="0" w:oddHBand="1" w:evenHBand="0" w:firstRowFirstColumn="0" w:firstRowLastColumn="0" w:lastRowFirstColumn="0" w:lastRowLastColumn="0"/>
            </w:pPr>
            <w:r w:rsidRPr="002F3BAF">
              <w:t>…</w:t>
            </w:r>
          </w:p>
        </w:tc>
        <w:tc>
          <w:tcPr>
            <w:tcW w:w="818" w:type="pct"/>
          </w:tcPr>
          <w:p w14:paraId="0A2E5D7E" w14:textId="39698B91" w:rsidR="006D2461" w:rsidRPr="00780204" w:rsidRDefault="006D2461" w:rsidP="00E3116D">
            <w:pPr>
              <w:jc w:val="right"/>
              <w:cnfStyle w:val="000000100000" w:firstRow="0" w:lastRow="0" w:firstColumn="0" w:lastColumn="0" w:oddVBand="0" w:evenVBand="0" w:oddHBand="1" w:evenHBand="0" w:firstRowFirstColumn="0" w:firstRowLastColumn="0" w:lastRowFirstColumn="0" w:lastRowLastColumn="0"/>
            </w:pPr>
            <w:r w:rsidRPr="002F3BAF">
              <w:t>233</w:t>
            </w:r>
          </w:p>
        </w:tc>
      </w:tr>
      <w:tr w:rsidR="00AA10F4" w14:paraId="3B208C85" w14:textId="77777777" w:rsidTr="00AA10F4">
        <w:trPr>
          <w:cnfStyle w:val="000000010000" w:firstRow="0" w:lastRow="0" w:firstColumn="0" w:lastColumn="0" w:oddVBand="0" w:evenVBand="0" w:oddHBand="0" w:evenHBand="1"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317" w:type="pct"/>
            <w:gridSpan w:val="2"/>
            <w:shd w:val="clear" w:color="auto" w:fill="D9D9D9" w:themeFill="background1" w:themeFillShade="D9"/>
            <w:vAlign w:val="top"/>
          </w:tcPr>
          <w:p w14:paraId="1F0C9B6F" w14:textId="2B5B3A10" w:rsidR="006D2461" w:rsidRPr="00313347" w:rsidRDefault="006D2461" w:rsidP="006D2461">
            <w:pPr>
              <w:rPr>
                <w:rFonts w:ascii="Franklin Gothic Medium" w:hAnsi="Franklin Gothic Medium"/>
              </w:rPr>
            </w:pPr>
            <w:r w:rsidRPr="00313347">
              <w:rPr>
                <w:rFonts w:ascii="Franklin Gothic Medium" w:hAnsi="Franklin Gothic Medium"/>
              </w:rPr>
              <w:t>2024 CPAS</w:t>
            </w:r>
          </w:p>
        </w:tc>
        <w:tc>
          <w:tcPr>
            <w:tcW w:w="1242" w:type="pct"/>
            <w:shd w:val="clear" w:color="auto" w:fill="D9D9D9" w:themeFill="background1" w:themeFillShade="D9"/>
          </w:tcPr>
          <w:p w14:paraId="41B3AC25" w14:textId="48F08302"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394</w:t>
            </w:r>
          </w:p>
        </w:tc>
        <w:tc>
          <w:tcPr>
            <w:tcW w:w="249" w:type="pct"/>
            <w:shd w:val="clear" w:color="auto" w:fill="D9D9D9" w:themeFill="background1" w:themeFillShade="D9"/>
          </w:tcPr>
          <w:p w14:paraId="24DFD179" w14:textId="74A83A85"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0.701</w:t>
            </w:r>
          </w:p>
        </w:tc>
        <w:tc>
          <w:tcPr>
            <w:tcW w:w="231" w:type="pct"/>
            <w:shd w:val="clear" w:color="auto" w:fill="D9D9D9" w:themeFill="background1" w:themeFillShade="D9"/>
          </w:tcPr>
          <w:p w14:paraId="3973D41E" w14:textId="6636AF65"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276</w:t>
            </w:r>
          </w:p>
        </w:tc>
        <w:tc>
          <w:tcPr>
            <w:tcW w:w="231" w:type="pct"/>
            <w:shd w:val="clear" w:color="auto" w:fill="D9D9D9" w:themeFill="background1" w:themeFillShade="D9"/>
          </w:tcPr>
          <w:p w14:paraId="2B9D4F7A" w14:textId="4FA4C5BF"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276</w:t>
            </w:r>
          </w:p>
        </w:tc>
        <w:tc>
          <w:tcPr>
            <w:tcW w:w="231" w:type="pct"/>
            <w:shd w:val="clear" w:color="auto" w:fill="D9D9D9" w:themeFill="background1" w:themeFillShade="D9"/>
          </w:tcPr>
          <w:p w14:paraId="4CFEC739" w14:textId="4AAF9BF3"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276</w:t>
            </w:r>
          </w:p>
        </w:tc>
        <w:tc>
          <w:tcPr>
            <w:tcW w:w="231" w:type="pct"/>
            <w:shd w:val="clear" w:color="auto" w:fill="D9D9D9" w:themeFill="background1" w:themeFillShade="D9"/>
          </w:tcPr>
          <w:p w14:paraId="652DAF9E" w14:textId="3892CC43"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272</w:t>
            </w:r>
          </w:p>
        </w:tc>
        <w:tc>
          <w:tcPr>
            <w:tcW w:w="110" w:type="pct"/>
            <w:shd w:val="clear" w:color="auto" w:fill="D9D9D9" w:themeFill="background1" w:themeFillShade="D9"/>
          </w:tcPr>
          <w:p w14:paraId="24B73F67" w14:textId="591D6ABE" w:rsidR="006D2461" w:rsidRPr="00313347" w:rsidRDefault="006D2461"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31" w:type="pct"/>
            <w:shd w:val="clear" w:color="auto" w:fill="D9D9D9" w:themeFill="background1" w:themeFillShade="D9"/>
          </w:tcPr>
          <w:p w14:paraId="250827B0" w14:textId="628E5EBF"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249</w:t>
            </w:r>
          </w:p>
        </w:tc>
        <w:tc>
          <w:tcPr>
            <w:tcW w:w="110" w:type="pct"/>
            <w:shd w:val="clear" w:color="auto" w:fill="D9D9D9" w:themeFill="background1" w:themeFillShade="D9"/>
          </w:tcPr>
          <w:p w14:paraId="44E7598A" w14:textId="426C6D2C" w:rsidR="006D2461" w:rsidRPr="00313347" w:rsidRDefault="006D2461"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18" w:type="pct"/>
            <w:shd w:val="clear" w:color="auto" w:fill="D9D9D9" w:themeFill="background1" w:themeFillShade="D9"/>
          </w:tcPr>
          <w:p w14:paraId="7A62CB5C" w14:textId="58302E42"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3,565</w:t>
            </w:r>
          </w:p>
        </w:tc>
      </w:tr>
      <w:tr w:rsidR="00AA10F4" w14:paraId="0D7D65A0" w14:textId="77777777" w:rsidTr="00AA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pct"/>
            <w:gridSpan w:val="3"/>
            <w:shd w:val="clear" w:color="auto" w:fill="D9D9D9" w:themeFill="background1" w:themeFillShade="D9"/>
            <w:vAlign w:val="top"/>
          </w:tcPr>
          <w:p w14:paraId="58BD711F" w14:textId="77777777" w:rsidR="006D2461" w:rsidRPr="00313347" w:rsidRDefault="006D2461" w:rsidP="006D2461">
            <w:pPr>
              <w:rPr>
                <w:rFonts w:ascii="Franklin Gothic Medium" w:hAnsi="Franklin Gothic Medium"/>
              </w:rPr>
            </w:pPr>
            <w:r w:rsidRPr="00313347">
              <w:rPr>
                <w:rFonts w:ascii="Franklin Gothic Medium" w:hAnsi="Franklin Gothic Medium"/>
              </w:rPr>
              <w:t>Expiring 2024 CPAS</w:t>
            </w:r>
          </w:p>
        </w:tc>
        <w:tc>
          <w:tcPr>
            <w:tcW w:w="249" w:type="pct"/>
            <w:shd w:val="clear" w:color="auto" w:fill="D9D9D9" w:themeFill="background1" w:themeFillShade="D9"/>
          </w:tcPr>
          <w:p w14:paraId="3CD448B7" w14:textId="241B64BE"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shd w:val="clear" w:color="auto" w:fill="D9D9D9" w:themeFill="background1" w:themeFillShade="D9"/>
          </w:tcPr>
          <w:p w14:paraId="36F65FA2" w14:textId="60F8DA74"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24BFAAD0" w14:textId="782D5AD9"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6808A2AF" w14:textId="371E8024"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2E560B76" w14:textId="70B95793"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4</w:t>
            </w:r>
          </w:p>
        </w:tc>
        <w:tc>
          <w:tcPr>
            <w:tcW w:w="110" w:type="pct"/>
            <w:shd w:val="clear" w:color="auto" w:fill="D9D9D9" w:themeFill="background1" w:themeFillShade="D9"/>
          </w:tcPr>
          <w:p w14:paraId="36027952" w14:textId="42B6784E" w:rsidR="006D2461" w:rsidRPr="00313347" w:rsidRDefault="006D2461"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31" w:type="pct"/>
            <w:shd w:val="clear" w:color="auto" w:fill="D9D9D9" w:themeFill="background1" w:themeFillShade="D9"/>
          </w:tcPr>
          <w:p w14:paraId="17F51542" w14:textId="38BA59FC" w:rsidR="006D2461" w:rsidRPr="00313347" w:rsidRDefault="006D2461"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110" w:type="pct"/>
            <w:shd w:val="clear" w:color="auto" w:fill="D9D9D9" w:themeFill="background1" w:themeFillShade="D9"/>
          </w:tcPr>
          <w:p w14:paraId="303D4FFB" w14:textId="77777777" w:rsidR="006D2461" w:rsidRPr="00313347" w:rsidRDefault="006D2461" w:rsidP="00BC69D4">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18" w:type="pct"/>
            <w:tcBorders>
              <w:top w:val="nil"/>
              <w:bottom w:val="nil"/>
              <w:right w:val="nil"/>
            </w:tcBorders>
            <w:shd w:val="clear" w:color="auto" w:fill="FFFFFF" w:themeFill="background1"/>
            <w:vAlign w:val="top"/>
          </w:tcPr>
          <w:p w14:paraId="3B322334" w14:textId="77777777" w:rsidR="006D2461" w:rsidRPr="00313347" w:rsidRDefault="006D2461" w:rsidP="006D2461">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AA10F4" w14:paraId="34B8A6CE" w14:textId="77777777" w:rsidTr="00AA10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9" w:type="pct"/>
            <w:gridSpan w:val="3"/>
            <w:shd w:val="clear" w:color="auto" w:fill="D9D9D9" w:themeFill="background1" w:themeFillShade="D9"/>
            <w:vAlign w:val="top"/>
          </w:tcPr>
          <w:p w14:paraId="55B7F446" w14:textId="77777777" w:rsidR="006D2461" w:rsidRPr="00313347" w:rsidRDefault="006D2461" w:rsidP="006D2461">
            <w:pPr>
              <w:rPr>
                <w:rFonts w:ascii="Franklin Gothic Medium" w:hAnsi="Franklin Gothic Medium"/>
              </w:rPr>
            </w:pPr>
            <w:r w:rsidRPr="00313347">
              <w:rPr>
                <w:rFonts w:ascii="Franklin Gothic Medium" w:hAnsi="Franklin Gothic Medium"/>
              </w:rPr>
              <w:t>Expired 2024 CPAS</w:t>
            </w:r>
          </w:p>
        </w:tc>
        <w:tc>
          <w:tcPr>
            <w:tcW w:w="249" w:type="pct"/>
            <w:shd w:val="clear" w:color="auto" w:fill="D9D9D9" w:themeFill="background1" w:themeFillShade="D9"/>
          </w:tcPr>
          <w:p w14:paraId="5B637C12" w14:textId="49F49B2C"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231" w:type="pct"/>
            <w:shd w:val="clear" w:color="auto" w:fill="D9D9D9" w:themeFill="background1" w:themeFillShade="D9"/>
          </w:tcPr>
          <w:p w14:paraId="129BB4C7" w14:textId="6A1AE0E1"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7A7301E4" w14:textId="301272A1"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291C9299" w14:textId="5F1E9E20"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0</w:t>
            </w:r>
          </w:p>
        </w:tc>
        <w:tc>
          <w:tcPr>
            <w:tcW w:w="231" w:type="pct"/>
            <w:shd w:val="clear" w:color="auto" w:fill="D9D9D9" w:themeFill="background1" w:themeFillShade="D9"/>
          </w:tcPr>
          <w:p w14:paraId="4830BA58" w14:textId="3E281E33"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4</w:t>
            </w:r>
          </w:p>
        </w:tc>
        <w:tc>
          <w:tcPr>
            <w:tcW w:w="110" w:type="pct"/>
            <w:shd w:val="clear" w:color="auto" w:fill="D9D9D9" w:themeFill="background1" w:themeFillShade="D9"/>
          </w:tcPr>
          <w:p w14:paraId="106995BE" w14:textId="2A2DB144" w:rsidR="006D2461" w:rsidRPr="00313347" w:rsidRDefault="006D2461"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31" w:type="pct"/>
            <w:shd w:val="clear" w:color="auto" w:fill="D9D9D9" w:themeFill="background1" w:themeFillShade="D9"/>
          </w:tcPr>
          <w:p w14:paraId="3DA25059" w14:textId="415C1CCA" w:rsidR="006D2461" w:rsidRPr="00313347" w:rsidRDefault="006D2461"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color w:val="4A4D56"/>
              </w:rPr>
              <w:t>27</w:t>
            </w:r>
          </w:p>
        </w:tc>
        <w:tc>
          <w:tcPr>
            <w:tcW w:w="110" w:type="pct"/>
            <w:shd w:val="clear" w:color="auto" w:fill="D9D9D9" w:themeFill="background1" w:themeFillShade="D9"/>
          </w:tcPr>
          <w:p w14:paraId="16F13443" w14:textId="77777777" w:rsidR="006D2461" w:rsidRPr="00313347" w:rsidRDefault="006D2461" w:rsidP="00BC69D4">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18" w:type="pct"/>
            <w:tcBorders>
              <w:top w:val="nil"/>
              <w:bottom w:val="nil"/>
              <w:right w:val="nil"/>
            </w:tcBorders>
            <w:shd w:val="clear" w:color="auto" w:fill="FFFFFF" w:themeFill="background1"/>
            <w:vAlign w:val="top"/>
          </w:tcPr>
          <w:p w14:paraId="3E6E9E38" w14:textId="77777777" w:rsidR="006D2461" w:rsidRPr="00313347" w:rsidRDefault="006D2461" w:rsidP="006D2461">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AA10F4" w14:paraId="3678F694" w14:textId="77777777" w:rsidTr="00AA1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shd w:val="clear" w:color="auto" w:fill="D9D9D9" w:themeFill="background1" w:themeFillShade="D9"/>
            <w:vAlign w:val="top"/>
          </w:tcPr>
          <w:p w14:paraId="2AE40C39" w14:textId="77777777" w:rsidR="00D63894" w:rsidRPr="00313347" w:rsidRDefault="00D63894" w:rsidP="008C6FBE">
            <w:pPr>
              <w:rPr>
                <w:rFonts w:ascii="Franklin Gothic Medium" w:hAnsi="Franklin Gothic Medium"/>
              </w:rPr>
            </w:pPr>
            <w:r w:rsidRPr="00313347">
              <w:rPr>
                <w:rFonts w:ascii="Franklin Gothic Medium" w:hAnsi="Franklin Gothic Medium"/>
              </w:rPr>
              <w:t>WAML</w:t>
            </w:r>
          </w:p>
        </w:tc>
        <w:tc>
          <w:tcPr>
            <w:tcW w:w="471" w:type="pct"/>
            <w:shd w:val="clear" w:color="auto" w:fill="D9D9D9" w:themeFill="background1" w:themeFillShade="D9"/>
          </w:tcPr>
          <w:p w14:paraId="09B5A2F4" w14:textId="2608F877" w:rsidR="00D63894" w:rsidRPr="00313347" w:rsidRDefault="001D0BB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13.1</w:t>
            </w:r>
          </w:p>
        </w:tc>
        <w:tc>
          <w:tcPr>
            <w:tcW w:w="1242" w:type="pct"/>
            <w:tcBorders>
              <w:top w:val="nil"/>
              <w:bottom w:val="nil"/>
              <w:right w:val="nil"/>
            </w:tcBorders>
            <w:shd w:val="clear" w:color="auto" w:fill="FFFFFF" w:themeFill="background1"/>
          </w:tcPr>
          <w:p w14:paraId="18391F9E"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49" w:type="pct"/>
            <w:tcBorders>
              <w:top w:val="nil"/>
              <w:left w:val="nil"/>
              <w:bottom w:val="nil"/>
              <w:right w:val="nil"/>
            </w:tcBorders>
            <w:shd w:val="clear" w:color="auto" w:fill="FFFFFF" w:themeFill="background1"/>
          </w:tcPr>
          <w:p w14:paraId="627EB3FB"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tcBorders>
              <w:top w:val="nil"/>
              <w:left w:val="nil"/>
              <w:bottom w:val="nil"/>
              <w:right w:val="nil"/>
            </w:tcBorders>
            <w:shd w:val="clear" w:color="auto" w:fill="FFFFFF" w:themeFill="background1"/>
          </w:tcPr>
          <w:p w14:paraId="31CB9E3E"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tcBorders>
              <w:top w:val="nil"/>
              <w:left w:val="nil"/>
              <w:bottom w:val="nil"/>
              <w:right w:val="nil"/>
            </w:tcBorders>
            <w:shd w:val="clear" w:color="auto" w:fill="FFFFFF" w:themeFill="background1"/>
          </w:tcPr>
          <w:p w14:paraId="6B82863D"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tcBorders>
              <w:top w:val="nil"/>
              <w:left w:val="nil"/>
              <w:bottom w:val="nil"/>
              <w:right w:val="nil"/>
            </w:tcBorders>
            <w:shd w:val="clear" w:color="auto" w:fill="FFFFFF" w:themeFill="background1"/>
          </w:tcPr>
          <w:p w14:paraId="0964CA93"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tcBorders>
              <w:top w:val="nil"/>
              <w:left w:val="nil"/>
              <w:bottom w:val="nil"/>
              <w:right w:val="nil"/>
            </w:tcBorders>
            <w:shd w:val="clear" w:color="auto" w:fill="FFFFFF" w:themeFill="background1"/>
          </w:tcPr>
          <w:p w14:paraId="7ABC18FB"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0" w:type="pct"/>
            <w:tcBorders>
              <w:top w:val="nil"/>
              <w:left w:val="nil"/>
              <w:bottom w:val="nil"/>
              <w:right w:val="nil"/>
            </w:tcBorders>
            <w:shd w:val="clear" w:color="auto" w:fill="FFFFFF" w:themeFill="background1"/>
          </w:tcPr>
          <w:p w14:paraId="1D173C23"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31" w:type="pct"/>
            <w:tcBorders>
              <w:top w:val="nil"/>
              <w:left w:val="nil"/>
              <w:bottom w:val="nil"/>
              <w:right w:val="nil"/>
            </w:tcBorders>
            <w:shd w:val="clear" w:color="auto" w:fill="FFFFFF" w:themeFill="background1"/>
          </w:tcPr>
          <w:p w14:paraId="1F6AD45F"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10" w:type="pct"/>
            <w:tcBorders>
              <w:top w:val="nil"/>
              <w:left w:val="nil"/>
              <w:bottom w:val="nil"/>
              <w:right w:val="nil"/>
            </w:tcBorders>
            <w:shd w:val="clear" w:color="auto" w:fill="FFFFFF" w:themeFill="background1"/>
          </w:tcPr>
          <w:p w14:paraId="60620931"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18" w:type="pct"/>
            <w:tcBorders>
              <w:top w:val="nil"/>
              <w:left w:val="nil"/>
              <w:bottom w:val="nil"/>
              <w:right w:val="nil"/>
            </w:tcBorders>
            <w:shd w:val="clear" w:color="auto" w:fill="FFFFFF" w:themeFill="background1"/>
            <w:vAlign w:val="top"/>
          </w:tcPr>
          <w:p w14:paraId="2C077DFC"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1FDB6473" w14:textId="163915E1" w:rsidR="00D63894" w:rsidRDefault="00D63894" w:rsidP="00881B1B">
      <w:pPr>
        <w:pStyle w:val="Caption"/>
      </w:pPr>
      <w:bookmarkStart w:id="353" w:name="_Ref187327657"/>
      <w:bookmarkStart w:id="354" w:name="_Toc191992604"/>
      <w:bookmarkStart w:id="355" w:name="_Toc192767017"/>
      <w:r>
        <w:t xml:space="preserve">Table </w:t>
      </w:r>
      <w:r w:rsidR="009B4C9A">
        <w:fldChar w:fldCharType="begin"/>
      </w:r>
      <w:r w:rsidR="009B4C9A">
        <w:instrText xml:space="preserve"> SEQ Table \* ARABIC </w:instrText>
      </w:r>
      <w:r w:rsidR="009B4C9A">
        <w:fldChar w:fldCharType="separate"/>
      </w:r>
      <w:r w:rsidR="00AA10F4">
        <w:rPr>
          <w:noProof/>
        </w:rPr>
        <w:t>83</w:t>
      </w:r>
      <w:r w:rsidR="009B4C9A">
        <w:rPr>
          <w:noProof/>
        </w:rPr>
        <w:fldChar w:fldCharType="end"/>
      </w:r>
      <w:bookmarkEnd w:id="353"/>
      <w:r>
        <w:t>. 2024 Midstream Food Service Channel CPAS and WAML</w:t>
      </w:r>
      <w:bookmarkEnd w:id="354"/>
      <w:bookmarkEnd w:id="355"/>
    </w:p>
    <w:tbl>
      <w:tblPr>
        <w:tblStyle w:val="TableGrid"/>
        <w:tblW w:w="5000" w:type="pct"/>
        <w:tblLook w:val="04A0" w:firstRow="1" w:lastRow="0" w:firstColumn="1" w:lastColumn="0" w:noHBand="0" w:noVBand="1"/>
      </w:tblPr>
      <w:tblGrid>
        <w:gridCol w:w="2723"/>
        <w:gridCol w:w="1358"/>
        <w:gridCol w:w="3581"/>
        <w:gridCol w:w="721"/>
        <w:gridCol w:w="665"/>
        <w:gridCol w:w="665"/>
        <w:gridCol w:w="665"/>
        <w:gridCol w:w="665"/>
        <w:gridCol w:w="318"/>
        <w:gridCol w:w="665"/>
        <w:gridCol w:w="321"/>
        <w:gridCol w:w="2359"/>
      </w:tblGrid>
      <w:tr w:rsidR="00D63894" w14:paraId="773E6602" w14:textId="77777777" w:rsidTr="00BC69D4">
        <w:trPr>
          <w:cnfStyle w:val="100000000000" w:firstRow="1" w:lastRow="0" w:firstColumn="0" w:lastColumn="0" w:oddVBand="0" w:evenVBand="0" w:oddHBand="0"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26" w:type="pct"/>
            <w:vMerge w:val="restart"/>
            <w:tcBorders>
              <w:bottom w:val="single" w:sz="4" w:space="0" w:color="4D4D4F"/>
            </w:tcBorders>
          </w:tcPr>
          <w:p w14:paraId="090DBB09" w14:textId="5A6B1279" w:rsidR="00D63894" w:rsidRDefault="000B1B6F" w:rsidP="00E3116D">
            <w:pPr>
              <w:pStyle w:val="TableHeadingLeft"/>
            </w:pPr>
            <w:r>
              <w:t>Measure</w:t>
            </w:r>
          </w:p>
        </w:tc>
        <w:tc>
          <w:tcPr>
            <w:tcW w:w="462" w:type="pct"/>
            <w:vMerge w:val="restart"/>
            <w:tcBorders>
              <w:top w:val="single" w:sz="4" w:space="0" w:color="4D4D4F"/>
              <w:left w:val="single" w:sz="4" w:space="0" w:color="4D4D4F"/>
              <w:bottom w:val="single" w:sz="4" w:space="0" w:color="4D4D4F"/>
              <w:right w:val="single" w:sz="4" w:space="0" w:color="4D4D4F"/>
            </w:tcBorders>
          </w:tcPr>
          <w:p w14:paraId="6ECCF932" w14:textId="6B114E13" w:rsidR="00D63894" w:rsidRDefault="000B1B6F" w:rsidP="008C6FBE">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1218" w:type="pct"/>
            <w:vMerge w:val="restart"/>
            <w:tcBorders>
              <w:top w:val="single" w:sz="4" w:space="0" w:color="4D4D4F"/>
              <w:left w:val="single" w:sz="4" w:space="0" w:color="4D4D4F"/>
              <w:bottom w:val="single" w:sz="4" w:space="0" w:color="4D4D4F"/>
              <w:right w:val="single" w:sz="4" w:space="0" w:color="4D4D4F"/>
            </w:tcBorders>
          </w:tcPr>
          <w:p w14:paraId="4880E475"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Annual Verified Gross Savings (MWh)</w:t>
            </w:r>
          </w:p>
        </w:tc>
        <w:tc>
          <w:tcPr>
            <w:tcW w:w="245" w:type="pct"/>
            <w:vMerge w:val="restart"/>
            <w:tcBorders>
              <w:top w:val="single" w:sz="4" w:space="0" w:color="4D4D4F"/>
              <w:left w:val="single" w:sz="4" w:space="0" w:color="4D4D4F"/>
              <w:bottom w:val="single" w:sz="4" w:space="0" w:color="4D4D4F"/>
              <w:right w:val="single" w:sz="4" w:space="0" w:color="4D4D4F"/>
            </w:tcBorders>
          </w:tcPr>
          <w:p w14:paraId="13C9288F"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347" w:type="pct"/>
            <w:gridSpan w:val="7"/>
            <w:tcBorders>
              <w:top w:val="single" w:sz="4" w:space="0" w:color="4D4D4F"/>
              <w:left w:val="single" w:sz="4" w:space="0" w:color="4D4D4F"/>
              <w:bottom w:val="single" w:sz="4" w:space="0" w:color="4D4D4F"/>
              <w:right w:val="single" w:sz="4" w:space="0" w:color="4D4D4F"/>
            </w:tcBorders>
          </w:tcPr>
          <w:p w14:paraId="2725B770"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CPAS – Verified Net Savings (MWh)</w:t>
            </w:r>
          </w:p>
        </w:tc>
        <w:tc>
          <w:tcPr>
            <w:tcW w:w="802" w:type="pct"/>
            <w:vMerge w:val="restart"/>
            <w:tcBorders>
              <w:top w:val="single" w:sz="4" w:space="0" w:color="4D4D4F"/>
              <w:left w:val="single" w:sz="4" w:space="0" w:color="4D4D4F"/>
              <w:bottom w:val="single" w:sz="4" w:space="0" w:color="4D4D4F"/>
              <w:right w:val="single" w:sz="4" w:space="0" w:color="4D4D4F"/>
            </w:tcBorders>
          </w:tcPr>
          <w:p w14:paraId="6CFB1415" w14:textId="77777777" w:rsidR="00D63894" w:rsidRDefault="00D63894" w:rsidP="008C6FBE">
            <w:pPr>
              <w:pStyle w:val="TableHeadingCentered"/>
              <w:cnfStyle w:val="100000000000" w:firstRow="1" w:lastRow="0" w:firstColumn="0" w:lastColumn="0" w:oddVBand="0" w:evenVBand="0" w:oddHBand="0" w:evenHBand="0" w:firstRowFirstColumn="0" w:firstRowLastColumn="0" w:lastRowFirstColumn="0" w:lastRowLastColumn="0"/>
            </w:pPr>
            <w:r>
              <w:t>Lifetime Savings (MWh)</w:t>
            </w:r>
          </w:p>
        </w:tc>
      </w:tr>
      <w:tr w:rsidR="00BC69D4" w14:paraId="0B957134" w14:textId="77777777" w:rsidTr="00BC69D4">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926" w:type="pct"/>
            <w:vMerge/>
          </w:tcPr>
          <w:p w14:paraId="2FDC48A6" w14:textId="77777777" w:rsidR="00D63894" w:rsidRDefault="00D63894" w:rsidP="00E3116D"/>
        </w:tc>
        <w:tc>
          <w:tcPr>
            <w:tcW w:w="462" w:type="pct"/>
            <w:vMerge/>
          </w:tcPr>
          <w:p w14:paraId="30DBCDC4"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1218" w:type="pct"/>
            <w:vMerge/>
          </w:tcPr>
          <w:p w14:paraId="7B719A49"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45" w:type="pct"/>
            <w:vMerge/>
          </w:tcPr>
          <w:p w14:paraId="5038EAAA"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c>
          <w:tcPr>
            <w:tcW w:w="226" w:type="pct"/>
            <w:shd w:val="clear" w:color="auto" w:fill="053572" w:themeFill="text2"/>
          </w:tcPr>
          <w:p w14:paraId="328F573F"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2024</w:t>
            </w:r>
          </w:p>
        </w:tc>
        <w:tc>
          <w:tcPr>
            <w:tcW w:w="226" w:type="pct"/>
            <w:shd w:val="clear" w:color="auto" w:fill="053572" w:themeFill="text2"/>
          </w:tcPr>
          <w:p w14:paraId="4012DD69"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2025</w:t>
            </w:r>
          </w:p>
        </w:tc>
        <w:tc>
          <w:tcPr>
            <w:tcW w:w="226" w:type="pct"/>
            <w:shd w:val="clear" w:color="auto" w:fill="053572" w:themeFill="text2"/>
          </w:tcPr>
          <w:p w14:paraId="2EC4D099"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2026</w:t>
            </w:r>
          </w:p>
        </w:tc>
        <w:tc>
          <w:tcPr>
            <w:tcW w:w="226" w:type="pct"/>
            <w:shd w:val="clear" w:color="auto" w:fill="053572" w:themeFill="text2"/>
          </w:tcPr>
          <w:p w14:paraId="4F83540C"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2027</w:t>
            </w:r>
          </w:p>
        </w:tc>
        <w:tc>
          <w:tcPr>
            <w:tcW w:w="108" w:type="pct"/>
            <w:shd w:val="clear" w:color="auto" w:fill="053572" w:themeFill="text2"/>
          </w:tcPr>
          <w:p w14:paraId="7C3C41B9"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226" w:type="pct"/>
            <w:shd w:val="clear" w:color="auto" w:fill="053572" w:themeFill="text2"/>
          </w:tcPr>
          <w:p w14:paraId="2EB24F98"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2030</w:t>
            </w:r>
          </w:p>
        </w:tc>
        <w:tc>
          <w:tcPr>
            <w:tcW w:w="108" w:type="pct"/>
            <w:shd w:val="clear" w:color="auto" w:fill="053572" w:themeFill="text2"/>
          </w:tcPr>
          <w:p w14:paraId="09A43797" w14:textId="77777777" w:rsidR="00D63894" w:rsidRDefault="00D63894" w:rsidP="008C6FBE">
            <w:pPr>
              <w:pStyle w:val="TableHeadingCentered"/>
              <w:cnfStyle w:val="000000100000" w:firstRow="0" w:lastRow="0" w:firstColumn="0" w:lastColumn="0" w:oddVBand="0" w:evenVBand="0" w:oddHBand="1" w:evenHBand="0" w:firstRowFirstColumn="0" w:firstRowLastColumn="0" w:lastRowFirstColumn="0" w:lastRowLastColumn="0"/>
            </w:pPr>
            <w:r>
              <w:t>…</w:t>
            </w:r>
          </w:p>
        </w:tc>
        <w:tc>
          <w:tcPr>
            <w:tcW w:w="802" w:type="pct"/>
            <w:vMerge/>
          </w:tcPr>
          <w:p w14:paraId="7BF54643" w14:textId="77777777" w:rsidR="00D63894" w:rsidRDefault="00D63894" w:rsidP="008C6FBE">
            <w:pPr>
              <w:cnfStyle w:val="000000100000" w:firstRow="0" w:lastRow="0" w:firstColumn="0" w:lastColumn="0" w:oddVBand="0" w:evenVBand="0" w:oddHBand="1" w:evenHBand="0" w:firstRowFirstColumn="0" w:firstRowLastColumn="0" w:lastRowFirstColumn="0" w:lastRowLastColumn="0"/>
            </w:pPr>
          </w:p>
        </w:tc>
      </w:tr>
      <w:tr w:rsidR="00D42A84" w14:paraId="517ADFF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7F248AEA" w14:textId="27B37A25" w:rsidR="00D42A84" w:rsidRDefault="00D42A84" w:rsidP="00E3116D">
            <w:r w:rsidRPr="00C96CF5">
              <w:t>Dishwashers</w:t>
            </w:r>
          </w:p>
        </w:tc>
        <w:tc>
          <w:tcPr>
            <w:tcW w:w="462" w:type="pct"/>
          </w:tcPr>
          <w:p w14:paraId="37F22799" w14:textId="5E457C63"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15.1  </w:t>
            </w:r>
          </w:p>
        </w:tc>
        <w:tc>
          <w:tcPr>
            <w:tcW w:w="1218" w:type="pct"/>
          </w:tcPr>
          <w:p w14:paraId="5FE5E455" w14:textId="68CC9749"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154 </w:t>
            </w:r>
          </w:p>
        </w:tc>
        <w:tc>
          <w:tcPr>
            <w:tcW w:w="245" w:type="pct"/>
          </w:tcPr>
          <w:p w14:paraId="11758339" w14:textId="7B2E45AE"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0.857 </w:t>
            </w:r>
          </w:p>
        </w:tc>
        <w:tc>
          <w:tcPr>
            <w:tcW w:w="226" w:type="pct"/>
          </w:tcPr>
          <w:p w14:paraId="6437DC39" w14:textId="20E162C5"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c>
          <w:tcPr>
            <w:tcW w:w="226" w:type="pct"/>
          </w:tcPr>
          <w:p w14:paraId="4E087197" w14:textId="16610E2C"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c>
          <w:tcPr>
            <w:tcW w:w="226" w:type="pct"/>
          </w:tcPr>
          <w:p w14:paraId="34FA8380" w14:textId="7DDA7A5A"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c>
          <w:tcPr>
            <w:tcW w:w="226" w:type="pct"/>
          </w:tcPr>
          <w:p w14:paraId="09939095" w14:textId="0277EA5D"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c>
          <w:tcPr>
            <w:tcW w:w="108" w:type="pct"/>
          </w:tcPr>
          <w:p w14:paraId="7D1E57C0" w14:textId="737A888F"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226" w:type="pct"/>
          </w:tcPr>
          <w:p w14:paraId="101966BA" w14:textId="29778B18"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c>
          <w:tcPr>
            <w:tcW w:w="108" w:type="pct"/>
          </w:tcPr>
          <w:p w14:paraId="3986985B" w14:textId="62FF1519"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802" w:type="pct"/>
          </w:tcPr>
          <w:p w14:paraId="7B8FAA08" w14:textId="22139BEE" w:rsidR="00D42A8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1,983 </w:t>
            </w:r>
          </w:p>
        </w:tc>
      </w:tr>
      <w:tr w:rsidR="00D42A84" w14:paraId="4851E305"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71EF6963" w14:textId="0B80AC8D" w:rsidR="00D42A84" w:rsidRDefault="00D42A84" w:rsidP="00E3116D">
            <w:r w:rsidRPr="00C96CF5">
              <w:t>Fryers</w:t>
            </w:r>
          </w:p>
        </w:tc>
        <w:tc>
          <w:tcPr>
            <w:tcW w:w="462" w:type="pct"/>
          </w:tcPr>
          <w:p w14:paraId="08AAE691" w14:textId="55BC0268"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12.0</w:t>
            </w:r>
          </w:p>
        </w:tc>
        <w:tc>
          <w:tcPr>
            <w:tcW w:w="1218" w:type="pct"/>
          </w:tcPr>
          <w:p w14:paraId="1F5BF5DC" w14:textId="4B32719A"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94 </w:t>
            </w:r>
          </w:p>
        </w:tc>
        <w:tc>
          <w:tcPr>
            <w:tcW w:w="245" w:type="pct"/>
          </w:tcPr>
          <w:p w14:paraId="25F3C0B5" w14:textId="65846AA3"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0.912 </w:t>
            </w:r>
          </w:p>
        </w:tc>
        <w:tc>
          <w:tcPr>
            <w:tcW w:w="226" w:type="pct"/>
          </w:tcPr>
          <w:p w14:paraId="133493AF" w14:textId="0D686F3E"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86 </w:t>
            </w:r>
          </w:p>
        </w:tc>
        <w:tc>
          <w:tcPr>
            <w:tcW w:w="226" w:type="pct"/>
          </w:tcPr>
          <w:p w14:paraId="63124F54" w14:textId="2AE659B0"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86 </w:t>
            </w:r>
          </w:p>
        </w:tc>
        <w:tc>
          <w:tcPr>
            <w:tcW w:w="226" w:type="pct"/>
          </w:tcPr>
          <w:p w14:paraId="507A308B" w14:textId="6C386A97"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86 </w:t>
            </w:r>
          </w:p>
        </w:tc>
        <w:tc>
          <w:tcPr>
            <w:tcW w:w="226" w:type="pct"/>
          </w:tcPr>
          <w:p w14:paraId="7AA514F7" w14:textId="71E1B152"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86 </w:t>
            </w:r>
          </w:p>
        </w:tc>
        <w:tc>
          <w:tcPr>
            <w:tcW w:w="108" w:type="pct"/>
          </w:tcPr>
          <w:p w14:paraId="2A224B15" w14:textId="493F6C4E"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226" w:type="pct"/>
          </w:tcPr>
          <w:p w14:paraId="00A72825" w14:textId="001008E3"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86 </w:t>
            </w:r>
          </w:p>
        </w:tc>
        <w:tc>
          <w:tcPr>
            <w:tcW w:w="108" w:type="pct"/>
          </w:tcPr>
          <w:p w14:paraId="27BBB9CE" w14:textId="44E2F173"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802" w:type="pct"/>
          </w:tcPr>
          <w:p w14:paraId="67D3EDAD" w14:textId="5B9264EF" w:rsidR="00D42A8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1,032 </w:t>
            </w:r>
          </w:p>
        </w:tc>
      </w:tr>
      <w:tr w:rsidR="00D42A84" w14:paraId="500A88D3"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087F1ED2" w14:textId="4D78130A" w:rsidR="00D42A84" w:rsidRDefault="00D42A84" w:rsidP="00E3116D">
            <w:r w:rsidRPr="00C96CF5">
              <w:t>Combination Ovens</w:t>
            </w:r>
          </w:p>
        </w:tc>
        <w:tc>
          <w:tcPr>
            <w:tcW w:w="462" w:type="pct"/>
          </w:tcPr>
          <w:p w14:paraId="0FCE1644" w14:textId="3560A492"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12.0</w:t>
            </w:r>
          </w:p>
        </w:tc>
        <w:tc>
          <w:tcPr>
            <w:tcW w:w="1218" w:type="pct"/>
          </w:tcPr>
          <w:p w14:paraId="7038D61D" w14:textId="3CB5FB6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63 </w:t>
            </w:r>
          </w:p>
        </w:tc>
        <w:tc>
          <w:tcPr>
            <w:tcW w:w="245" w:type="pct"/>
          </w:tcPr>
          <w:p w14:paraId="4F7B0534" w14:textId="6F6D444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0.857 </w:t>
            </w:r>
          </w:p>
        </w:tc>
        <w:tc>
          <w:tcPr>
            <w:tcW w:w="226" w:type="pct"/>
          </w:tcPr>
          <w:p w14:paraId="3D8380AB" w14:textId="57C0518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54 </w:t>
            </w:r>
          </w:p>
        </w:tc>
        <w:tc>
          <w:tcPr>
            <w:tcW w:w="226" w:type="pct"/>
          </w:tcPr>
          <w:p w14:paraId="78EC05B9" w14:textId="588ED942"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54 </w:t>
            </w:r>
          </w:p>
        </w:tc>
        <w:tc>
          <w:tcPr>
            <w:tcW w:w="226" w:type="pct"/>
          </w:tcPr>
          <w:p w14:paraId="11A46FBD" w14:textId="3BA2E204"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54 </w:t>
            </w:r>
          </w:p>
        </w:tc>
        <w:tc>
          <w:tcPr>
            <w:tcW w:w="226" w:type="pct"/>
          </w:tcPr>
          <w:p w14:paraId="6C5F5DEE" w14:textId="1E93D5E3"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54 </w:t>
            </w:r>
          </w:p>
        </w:tc>
        <w:tc>
          <w:tcPr>
            <w:tcW w:w="108" w:type="pct"/>
          </w:tcPr>
          <w:p w14:paraId="21A35D1D" w14:textId="7F107FE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226" w:type="pct"/>
          </w:tcPr>
          <w:p w14:paraId="1337D982" w14:textId="41713E06"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54 </w:t>
            </w:r>
          </w:p>
        </w:tc>
        <w:tc>
          <w:tcPr>
            <w:tcW w:w="108" w:type="pct"/>
          </w:tcPr>
          <w:p w14:paraId="60A01E00" w14:textId="37B4E591"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802" w:type="pct"/>
          </w:tcPr>
          <w:p w14:paraId="79ABD4AA" w14:textId="3DF7C82B"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649 </w:t>
            </w:r>
          </w:p>
        </w:tc>
      </w:tr>
      <w:tr w:rsidR="00D42A84" w14:paraId="7BA36C6C"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48BE2532" w14:textId="1C292B09" w:rsidR="00D42A84" w:rsidRDefault="00D42A84" w:rsidP="00E3116D">
            <w:r w:rsidRPr="00C96CF5">
              <w:t>Refrigerators and Freezers</w:t>
            </w:r>
          </w:p>
        </w:tc>
        <w:tc>
          <w:tcPr>
            <w:tcW w:w="462" w:type="pct"/>
          </w:tcPr>
          <w:p w14:paraId="41A5DD89" w14:textId="1A79B76F"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12.0</w:t>
            </w:r>
          </w:p>
        </w:tc>
        <w:tc>
          <w:tcPr>
            <w:tcW w:w="1218" w:type="pct"/>
          </w:tcPr>
          <w:p w14:paraId="1330999A" w14:textId="7EC3D2A4"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59 </w:t>
            </w:r>
          </w:p>
        </w:tc>
        <w:tc>
          <w:tcPr>
            <w:tcW w:w="245" w:type="pct"/>
          </w:tcPr>
          <w:p w14:paraId="4A8171B3" w14:textId="5208A370"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0.881 </w:t>
            </w:r>
          </w:p>
        </w:tc>
        <w:tc>
          <w:tcPr>
            <w:tcW w:w="226" w:type="pct"/>
          </w:tcPr>
          <w:p w14:paraId="62F3C82D" w14:textId="43E16141"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52 </w:t>
            </w:r>
          </w:p>
        </w:tc>
        <w:tc>
          <w:tcPr>
            <w:tcW w:w="226" w:type="pct"/>
          </w:tcPr>
          <w:p w14:paraId="3D53529F" w14:textId="5C749621"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52 </w:t>
            </w:r>
          </w:p>
        </w:tc>
        <w:tc>
          <w:tcPr>
            <w:tcW w:w="226" w:type="pct"/>
          </w:tcPr>
          <w:p w14:paraId="4095634C" w14:textId="2C741481"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52 </w:t>
            </w:r>
          </w:p>
        </w:tc>
        <w:tc>
          <w:tcPr>
            <w:tcW w:w="226" w:type="pct"/>
          </w:tcPr>
          <w:p w14:paraId="3E0F23AA" w14:textId="3F5E1A0D"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52 </w:t>
            </w:r>
          </w:p>
        </w:tc>
        <w:tc>
          <w:tcPr>
            <w:tcW w:w="108" w:type="pct"/>
          </w:tcPr>
          <w:p w14:paraId="65D80E6B" w14:textId="40357F20"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226" w:type="pct"/>
          </w:tcPr>
          <w:p w14:paraId="2CADFAA9" w14:textId="38229667"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52 </w:t>
            </w:r>
          </w:p>
        </w:tc>
        <w:tc>
          <w:tcPr>
            <w:tcW w:w="108" w:type="pct"/>
          </w:tcPr>
          <w:p w14:paraId="2975EC6E" w14:textId="2E5AF22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802" w:type="pct"/>
          </w:tcPr>
          <w:p w14:paraId="2BFBF2EE" w14:textId="6055C699"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625 </w:t>
            </w:r>
          </w:p>
        </w:tc>
      </w:tr>
      <w:tr w:rsidR="00D42A84" w14:paraId="08DB086F"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478374E1" w14:textId="79322AA0" w:rsidR="00D42A84" w:rsidRDefault="00D42A84" w:rsidP="00E3116D">
            <w:r w:rsidRPr="00C96CF5">
              <w:t>Steam Cookers</w:t>
            </w:r>
          </w:p>
        </w:tc>
        <w:tc>
          <w:tcPr>
            <w:tcW w:w="462" w:type="pct"/>
          </w:tcPr>
          <w:p w14:paraId="1927A924" w14:textId="7A098B4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12.0</w:t>
            </w:r>
          </w:p>
        </w:tc>
        <w:tc>
          <w:tcPr>
            <w:tcW w:w="1218" w:type="pct"/>
          </w:tcPr>
          <w:p w14:paraId="219095E8" w14:textId="08C4AF0B"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31 </w:t>
            </w:r>
          </w:p>
        </w:tc>
        <w:tc>
          <w:tcPr>
            <w:tcW w:w="245" w:type="pct"/>
          </w:tcPr>
          <w:p w14:paraId="42D3B83A" w14:textId="3911D0CB"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0.802 </w:t>
            </w:r>
          </w:p>
        </w:tc>
        <w:tc>
          <w:tcPr>
            <w:tcW w:w="226" w:type="pct"/>
          </w:tcPr>
          <w:p w14:paraId="4F4F65D5" w14:textId="0B667003"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226" w:type="pct"/>
          </w:tcPr>
          <w:p w14:paraId="34027146" w14:textId="08B0B313"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226" w:type="pct"/>
          </w:tcPr>
          <w:p w14:paraId="5CC05C8D" w14:textId="1072D8AD"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226" w:type="pct"/>
          </w:tcPr>
          <w:p w14:paraId="5AAB6A0F" w14:textId="0EEF808D"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108" w:type="pct"/>
          </w:tcPr>
          <w:p w14:paraId="7D109D4F" w14:textId="0AC242A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226" w:type="pct"/>
          </w:tcPr>
          <w:p w14:paraId="016FD411" w14:textId="5736D6B5"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108" w:type="pct"/>
          </w:tcPr>
          <w:p w14:paraId="3A274719" w14:textId="0B5FA93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802" w:type="pct"/>
          </w:tcPr>
          <w:p w14:paraId="0FDF6965" w14:textId="3579F47C"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302 </w:t>
            </w:r>
          </w:p>
        </w:tc>
      </w:tr>
      <w:tr w:rsidR="00D42A84" w14:paraId="68CBA63D"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55DF3B67" w14:textId="2E0C8B97" w:rsidR="00D42A84" w:rsidRDefault="00D42A84" w:rsidP="00E3116D">
            <w:r w:rsidRPr="00C96CF5">
              <w:t>Griddles</w:t>
            </w:r>
          </w:p>
        </w:tc>
        <w:tc>
          <w:tcPr>
            <w:tcW w:w="462" w:type="pct"/>
          </w:tcPr>
          <w:p w14:paraId="6FF6B748" w14:textId="5B17ADE7"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12.0</w:t>
            </w:r>
          </w:p>
        </w:tc>
        <w:tc>
          <w:tcPr>
            <w:tcW w:w="1218" w:type="pct"/>
          </w:tcPr>
          <w:p w14:paraId="66E22F54" w14:textId="1D1F5498"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27 </w:t>
            </w:r>
          </w:p>
        </w:tc>
        <w:tc>
          <w:tcPr>
            <w:tcW w:w="245" w:type="pct"/>
          </w:tcPr>
          <w:p w14:paraId="0E3E9232" w14:textId="6A3BD0DD"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0.902 </w:t>
            </w:r>
          </w:p>
        </w:tc>
        <w:tc>
          <w:tcPr>
            <w:tcW w:w="226" w:type="pct"/>
          </w:tcPr>
          <w:p w14:paraId="117B3221" w14:textId="1073F5C8"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226" w:type="pct"/>
          </w:tcPr>
          <w:p w14:paraId="3E3EC4AD" w14:textId="21967C8F"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226" w:type="pct"/>
          </w:tcPr>
          <w:p w14:paraId="090BEC87" w14:textId="07A8D768"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226" w:type="pct"/>
          </w:tcPr>
          <w:p w14:paraId="297DBC0E" w14:textId="3ABE46CE"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108" w:type="pct"/>
          </w:tcPr>
          <w:p w14:paraId="57A423BA" w14:textId="4843A55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226" w:type="pct"/>
          </w:tcPr>
          <w:p w14:paraId="4EFB6AB7" w14:textId="232AFE0D"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108" w:type="pct"/>
          </w:tcPr>
          <w:p w14:paraId="1E39C7A6" w14:textId="79CDA120"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802" w:type="pct"/>
          </w:tcPr>
          <w:p w14:paraId="29ACE4A0" w14:textId="24FC0B70"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293 </w:t>
            </w:r>
          </w:p>
        </w:tc>
      </w:tr>
      <w:tr w:rsidR="00D42A84" w14:paraId="68CC438D"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725AFE62" w14:textId="2C36FDC3" w:rsidR="00D42A84" w:rsidRDefault="00D42A84" w:rsidP="00E3116D">
            <w:r w:rsidRPr="00C96CF5">
              <w:t>Automatic Conveyor Broilers</w:t>
            </w:r>
          </w:p>
        </w:tc>
        <w:tc>
          <w:tcPr>
            <w:tcW w:w="462" w:type="pct"/>
          </w:tcPr>
          <w:p w14:paraId="27DDEDA3" w14:textId="49002BA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12.0</w:t>
            </w:r>
          </w:p>
        </w:tc>
        <w:tc>
          <w:tcPr>
            <w:tcW w:w="1218" w:type="pct"/>
          </w:tcPr>
          <w:p w14:paraId="07F25FC2" w14:textId="43D770B1"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25 </w:t>
            </w:r>
          </w:p>
        </w:tc>
        <w:tc>
          <w:tcPr>
            <w:tcW w:w="245" w:type="pct"/>
          </w:tcPr>
          <w:p w14:paraId="78504B46" w14:textId="2FB9A64F"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0.800 </w:t>
            </w:r>
          </w:p>
        </w:tc>
        <w:tc>
          <w:tcPr>
            <w:tcW w:w="226" w:type="pct"/>
          </w:tcPr>
          <w:p w14:paraId="3B64A64E" w14:textId="7AF03AD3"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20 </w:t>
            </w:r>
          </w:p>
        </w:tc>
        <w:tc>
          <w:tcPr>
            <w:tcW w:w="226" w:type="pct"/>
          </w:tcPr>
          <w:p w14:paraId="1F4CCB24" w14:textId="41749F9F"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20 </w:t>
            </w:r>
          </w:p>
        </w:tc>
        <w:tc>
          <w:tcPr>
            <w:tcW w:w="226" w:type="pct"/>
          </w:tcPr>
          <w:p w14:paraId="6019DE85" w14:textId="09FB7FE5"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20 </w:t>
            </w:r>
          </w:p>
        </w:tc>
        <w:tc>
          <w:tcPr>
            <w:tcW w:w="226" w:type="pct"/>
          </w:tcPr>
          <w:p w14:paraId="5B7A883B" w14:textId="39B660AC"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20 </w:t>
            </w:r>
          </w:p>
        </w:tc>
        <w:tc>
          <w:tcPr>
            <w:tcW w:w="108" w:type="pct"/>
          </w:tcPr>
          <w:p w14:paraId="06C91934" w14:textId="4A2933DB"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226" w:type="pct"/>
          </w:tcPr>
          <w:p w14:paraId="6BD8843A" w14:textId="764E6B1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20 </w:t>
            </w:r>
          </w:p>
        </w:tc>
        <w:tc>
          <w:tcPr>
            <w:tcW w:w="108" w:type="pct"/>
          </w:tcPr>
          <w:p w14:paraId="6C55A8F1" w14:textId="2538EFD1"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802" w:type="pct"/>
          </w:tcPr>
          <w:p w14:paraId="2D3F19C4" w14:textId="19AAAEC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237 </w:t>
            </w:r>
          </w:p>
        </w:tc>
      </w:tr>
      <w:tr w:rsidR="00D42A84" w14:paraId="09F2F52F"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7F485FC5" w14:textId="6C455FEA" w:rsidR="00D42A84" w:rsidRDefault="00D42A84" w:rsidP="00E3116D">
            <w:r w:rsidRPr="00C96CF5">
              <w:t>Convection Ovens</w:t>
            </w:r>
          </w:p>
        </w:tc>
        <w:tc>
          <w:tcPr>
            <w:tcW w:w="462" w:type="pct"/>
          </w:tcPr>
          <w:p w14:paraId="168F09D2" w14:textId="367566EB"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12.0</w:t>
            </w:r>
          </w:p>
        </w:tc>
        <w:tc>
          <w:tcPr>
            <w:tcW w:w="1218" w:type="pct"/>
          </w:tcPr>
          <w:p w14:paraId="08787D82" w14:textId="23C06C7E"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24 </w:t>
            </w:r>
          </w:p>
        </w:tc>
        <w:tc>
          <w:tcPr>
            <w:tcW w:w="245" w:type="pct"/>
          </w:tcPr>
          <w:p w14:paraId="11738AE5" w14:textId="5FBA052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0.829 </w:t>
            </w:r>
          </w:p>
        </w:tc>
        <w:tc>
          <w:tcPr>
            <w:tcW w:w="226" w:type="pct"/>
          </w:tcPr>
          <w:p w14:paraId="18A41C2E" w14:textId="05136E4C"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20 </w:t>
            </w:r>
          </w:p>
        </w:tc>
        <w:tc>
          <w:tcPr>
            <w:tcW w:w="226" w:type="pct"/>
          </w:tcPr>
          <w:p w14:paraId="6AD9D1E5" w14:textId="6CDA14D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20 </w:t>
            </w:r>
          </w:p>
        </w:tc>
        <w:tc>
          <w:tcPr>
            <w:tcW w:w="226" w:type="pct"/>
          </w:tcPr>
          <w:p w14:paraId="41563F71" w14:textId="231C0FF2"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20 </w:t>
            </w:r>
          </w:p>
        </w:tc>
        <w:tc>
          <w:tcPr>
            <w:tcW w:w="226" w:type="pct"/>
          </w:tcPr>
          <w:p w14:paraId="24CCB8A1" w14:textId="3CB54CF4"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20 </w:t>
            </w:r>
          </w:p>
        </w:tc>
        <w:tc>
          <w:tcPr>
            <w:tcW w:w="108" w:type="pct"/>
          </w:tcPr>
          <w:p w14:paraId="5CD3C583" w14:textId="088E5682"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226" w:type="pct"/>
          </w:tcPr>
          <w:p w14:paraId="434D284D" w14:textId="3284B73B"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20 </w:t>
            </w:r>
          </w:p>
        </w:tc>
        <w:tc>
          <w:tcPr>
            <w:tcW w:w="108" w:type="pct"/>
          </w:tcPr>
          <w:p w14:paraId="020FF987" w14:textId="5531D1C5"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802" w:type="pct"/>
          </w:tcPr>
          <w:p w14:paraId="39E46492" w14:textId="5EA31C57"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234 </w:t>
            </w:r>
          </w:p>
        </w:tc>
      </w:tr>
      <w:tr w:rsidR="00D42A84" w14:paraId="0B5099E3"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48B4C2C6" w14:textId="696D14A7" w:rsidR="00D42A84" w:rsidRDefault="00D42A84" w:rsidP="00E3116D">
            <w:r w:rsidRPr="00C96CF5">
              <w:t>Ice Machines</w:t>
            </w:r>
          </w:p>
        </w:tc>
        <w:tc>
          <w:tcPr>
            <w:tcW w:w="462" w:type="pct"/>
          </w:tcPr>
          <w:p w14:paraId="59A0F055" w14:textId="5448C158"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9.0</w:t>
            </w:r>
          </w:p>
        </w:tc>
        <w:tc>
          <w:tcPr>
            <w:tcW w:w="1218" w:type="pct"/>
          </w:tcPr>
          <w:p w14:paraId="0E30D4E2" w14:textId="324BF39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18 </w:t>
            </w:r>
          </w:p>
        </w:tc>
        <w:tc>
          <w:tcPr>
            <w:tcW w:w="245" w:type="pct"/>
          </w:tcPr>
          <w:p w14:paraId="02639A14" w14:textId="3C06FE8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0.800 </w:t>
            </w:r>
          </w:p>
        </w:tc>
        <w:tc>
          <w:tcPr>
            <w:tcW w:w="226" w:type="pct"/>
          </w:tcPr>
          <w:p w14:paraId="421A98AE" w14:textId="2CBE1B4F"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 </w:t>
            </w:r>
          </w:p>
        </w:tc>
        <w:tc>
          <w:tcPr>
            <w:tcW w:w="226" w:type="pct"/>
          </w:tcPr>
          <w:p w14:paraId="11601386" w14:textId="3B383C27"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 </w:t>
            </w:r>
          </w:p>
        </w:tc>
        <w:tc>
          <w:tcPr>
            <w:tcW w:w="226" w:type="pct"/>
          </w:tcPr>
          <w:p w14:paraId="2DD9AAA9" w14:textId="7EF6218D"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 </w:t>
            </w:r>
          </w:p>
        </w:tc>
        <w:tc>
          <w:tcPr>
            <w:tcW w:w="226" w:type="pct"/>
          </w:tcPr>
          <w:p w14:paraId="1274EAF7" w14:textId="09DE262E"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 </w:t>
            </w:r>
          </w:p>
        </w:tc>
        <w:tc>
          <w:tcPr>
            <w:tcW w:w="108" w:type="pct"/>
          </w:tcPr>
          <w:p w14:paraId="2A66C9D8" w14:textId="740E3EB0"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226" w:type="pct"/>
          </w:tcPr>
          <w:p w14:paraId="445A1B37" w14:textId="315ED540"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15 </w:t>
            </w:r>
          </w:p>
        </w:tc>
        <w:tc>
          <w:tcPr>
            <w:tcW w:w="108" w:type="pct"/>
          </w:tcPr>
          <w:p w14:paraId="4FD2EC37" w14:textId="74835E43"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w:t>
            </w:r>
          </w:p>
        </w:tc>
        <w:tc>
          <w:tcPr>
            <w:tcW w:w="802" w:type="pct"/>
          </w:tcPr>
          <w:p w14:paraId="69BCCEA6" w14:textId="77DA726A" w:rsidR="00D42A84" w:rsidRPr="00780204" w:rsidRDefault="00D42A84" w:rsidP="00E3116D">
            <w:pPr>
              <w:jc w:val="right"/>
              <w:cnfStyle w:val="000000010000" w:firstRow="0" w:lastRow="0" w:firstColumn="0" w:lastColumn="0" w:oddVBand="0" w:evenVBand="0" w:oddHBand="0" w:evenHBand="1" w:firstRowFirstColumn="0" w:firstRowLastColumn="0" w:lastRowFirstColumn="0" w:lastRowLastColumn="0"/>
            </w:pPr>
            <w:r w:rsidRPr="00C96CF5">
              <w:t xml:space="preserve">131 </w:t>
            </w:r>
          </w:p>
        </w:tc>
      </w:tr>
      <w:tr w:rsidR="00D42A84" w14:paraId="47B3B52C"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tcPr>
          <w:p w14:paraId="2E2C5C4D" w14:textId="2C27BC24" w:rsidR="00D42A84" w:rsidRDefault="00D42A84" w:rsidP="00E3116D">
            <w:r w:rsidRPr="00C96CF5">
              <w:t>Hot Food Holding Cabinets</w:t>
            </w:r>
          </w:p>
        </w:tc>
        <w:tc>
          <w:tcPr>
            <w:tcW w:w="462" w:type="pct"/>
          </w:tcPr>
          <w:p w14:paraId="76DDD0B5" w14:textId="6B454811"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12.0</w:t>
            </w:r>
          </w:p>
        </w:tc>
        <w:tc>
          <w:tcPr>
            <w:tcW w:w="1218" w:type="pct"/>
          </w:tcPr>
          <w:p w14:paraId="369CAEAF" w14:textId="5350BED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245" w:type="pct"/>
          </w:tcPr>
          <w:p w14:paraId="33E63E06" w14:textId="0800276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0.800 </w:t>
            </w:r>
          </w:p>
        </w:tc>
        <w:tc>
          <w:tcPr>
            <w:tcW w:w="226" w:type="pct"/>
          </w:tcPr>
          <w:p w14:paraId="22E64CD7" w14:textId="325FA0EA"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226" w:type="pct"/>
          </w:tcPr>
          <w:p w14:paraId="781E93B7" w14:textId="1F3B105C"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226" w:type="pct"/>
          </w:tcPr>
          <w:p w14:paraId="4815DBDA" w14:textId="73AAB69C"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226" w:type="pct"/>
          </w:tcPr>
          <w:p w14:paraId="09A00427" w14:textId="002ED329"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108" w:type="pct"/>
          </w:tcPr>
          <w:p w14:paraId="5ACC0A5B" w14:textId="5E664A04"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226" w:type="pct"/>
          </w:tcPr>
          <w:p w14:paraId="60B63C1E" w14:textId="46EDB0B2"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 </w:t>
            </w:r>
          </w:p>
        </w:tc>
        <w:tc>
          <w:tcPr>
            <w:tcW w:w="108" w:type="pct"/>
          </w:tcPr>
          <w:p w14:paraId="4A2D3CCA" w14:textId="4FD29CD9"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w:t>
            </w:r>
          </w:p>
        </w:tc>
        <w:tc>
          <w:tcPr>
            <w:tcW w:w="802" w:type="pct"/>
          </w:tcPr>
          <w:p w14:paraId="4481EED2" w14:textId="452C6E00" w:rsidR="00D42A84" w:rsidRPr="00780204" w:rsidRDefault="00D42A84" w:rsidP="00E3116D">
            <w:pPr>
              <w:jc w:val="right"/>
              <w:cnfStyle w:val="000000100000" w:firstRow="0" w:lastRow="0" w:firstColumn="0" w:lastColumn="0" w:oddVBand="0" w:evenVBand="0" w:oddHBand="1" w:evenHBand="0" w:firstRowFirstColumn="0" w:firstRowLastColumn="0" w:lastRowFirstColumn="0" w:lastRowLastColumn="0"/>
            </w:pPr>
            <w:r w:rsidRPr="00C96CF5">
              <w:t xml:space="preserve">11 </w:t>
            </w:r>
          </w:p>
        </w:tc>
      </w:tr>
      <w:tr w:rsidR="00BC69D4" w14:paraId="778DFD5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8" w:type="pct"/>
            <w:gridSpan w:val="2"/>
            <w:shd w:val="clear" w:color="auto" w:fill="D9D9D9" w:themeFill="background1" w:themeFillShade="D9"/>
          </w:tcPr>
          <w:p w14:paraId="2B7C0B2C" w14:textId="34B65078" w:rsidR="00D42A84" w:rsidRPr="00313347" w:rsidRDefault="00D42A84" w:rsidP="00E3116D">
            <w:pPr>
              <w:rPr>
                <w:rFonts w:ascii="Franklin Gothic Medium" w:hAnsi="Franklin Gothic Medium"/>
              </w:rPr>
            </w:pPr>
            <w:r w:rsidRPr="00313347">
              <w:rPr>
                <w:rFonts w:ascii="Franklin Gothic Medium" w:hAnsi="Franklin Gothic Medium"/>
              </w:rPr>
              <w:t>2024 CPAS</w:t>
            </w:r>
          </w:p>
        </w:tc>
        <w:tc>
          <w:tcPr>
            <w:tcW w:w="1218" w:type="pct"/>
            <w:shd w:val="clear" w:color="auto" w:fill="D9D9D9" w:themeFill="background1" w:themeFillShade="D9"/>
          </w:tcPr>
          <w:p w14:paraId="50C54ECE" w14:textId="7B19DB9F"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49</w:t>
            </w:r>
            <w:r w:rsidR="00F415CF" w:rsidRPr="00313347">
              <w:rPr>
                <w:rFonts w:ascii="Franklin Gothic Medium" w:hAnsi="Franklin Gothic Medium"/>
              </w:rPr>
              <w:t>6</w:t>
            </w:r>
          </w:p>
        </w:tc>
        <w:tc>
          <w:tcPr>
            <w:tcW w:w="245" w:type="pct"/>
            <w:shd w:val="clear" w:color="auto" w:fill="D9D9D9" w:themeFill="background1" w:themeFillShade="D9"/>
          </w:tcPr>
          <w:p w14:paraId="3C6D1B0A" w14:textId="310C0CBD"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0.863</w:t>
            </w:r>
          </w:p>
        </w:tc>
        <w:tc>
          <w:tcPr>
            <w:tcW w:w="226" w:type="pct"/>
            <w:shd w:val="clear" w:color="auto" w:fill="D9D9D9" w:themeFill="background1" w:themeFillShade="D9"/>
          </w:tcPr>
          <w:p w14:paraId="40B31F2E" w14:textId="716162FF"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428</w:t>
            </w:r>
          </w:p>
        </w:tc>
        <w:tc>
          <w:tcPr>
            <w:tcW w:w="226" w:type="pct"/>
            <w:shd w:val="clear" w:color="auto" w:fill="D9D9D9" w:themeFill="background1" w:themeFillShade="D9"/>
          </w:tcPr>
          <w:p w14:paraId="32C00BAB" w14:textId="1DD56E4A"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428</w:t>
            </w:r>
          </w:p>
        </w:tc>
        <w:tc>
          <w:tcPr>
            <w:tcW w:w="226" w:type="pct"/>
            <w:shd w:val="clear" w:color="auto" w:fill="D9D9D9" w:themeFill="background1" w:themeFillShade="D9"/>
          </w:tcPr>
          <w:p w14:paraId="0C8C5E70" w14:textId="0C5631A8"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428</w:t>
            </w:r>
          </w:p>
        </w:tc>
        <w:tc>
          <w:tcPr>
            <w:tcW w:w="226" w:type="pct"/>
            <w:shd w:val="clear" w:color="auto" w:fill="D9D9D9" w:themeFill="background1" w:themeFillShade="D9"/>
          </w:tcPr>
          <w:p w14:paraId="000FB4D3" w14:textId="78D3BC32"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428</w:t>
            </w:r>
          </w:p>
        </w:tc>
        <w:tc>
          <w:tcPr>
            <w:tcW w:w="108" w:type="pct"/>
            <w:shd w:val="clear" w:color="auto" w:fill="D9D9D9" w:themeFill="background1" w:themeFillShade="D9"/>
          </w:tcPr>
          <w:p w14:paraId="7598B6B9" w14:textId="6FE6AE58"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26" w:type="pct"/>
            <w:shd w:val="clear" w:color="auto" w:fill="D9D9D9" w:themeFill="background1" w:themeFillShade="D9"/>
          </w:tcPr>
          <w:p w14:paraId="7EA6E0A0" w14:textId="51DB8849"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428</w:t>
            </w:r>
          </w:p>
        </w:tc>
        <w:tc>
          <w:tcPr>
            <w:tcW w:w="108" w:type="pct"/>
            <w:shd w:val="clear" w:color="auto" w:fill="D9D9D9" w:themeFill="background1" w:themeFillShade="D9"/>
          </w:tcPr>
          <w:p w14:paraId="630446B2" w14:textId="4B0DCA44"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02" w:type="pct"/>
            <w:shd w:val="clear" w:color="auto" w:fill="D9D9D9" w:themeFill="background1" w:themeFillShade="D9"/>
          </w:tcPr>
          <w:p w14:paraId="3618FC26" w14:textId="319B4F07" w:rsidR="00D42A84" w:rsidRPr="00313347" w:rsidRDefault="00D42A84"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5,497</w:t>
            </w:r>
          </w:p>
        </w:tc>
      </w:tr>
      <w:tr w:rsidR="00430495" w14:paraId="71F23FE3"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pct"/>
            <w:gridSpan w:val="4"/>
            <w:shd w:val="clear" w:color="auto" w:fill="D9D9D9" w:themeFill="background1" w:themeFillShade="D9"/>
          </w:tcPr>
          <w:p w14:paraId="7DB81EC6" w14:textId="3A8D2CAF" w:rsidR="00430495" w:rsidRPr="00313347" w:rsidRDefault="00430495" w:rsidP="00E3116D">
            <w:pPr>
              <w:rPr>
                <w:rFonts w:ascii="Franklin Gothic Medium" w:hAnsi="Franklin Gothic Medium"/>
              </w:rPr>
            </w:pPr>
            <w:r w:rsidRPr="00313347">
              <w:rPr>
                <w:rFonts w:ascii="Franklin Gothic Medium" w:hAnsi="Franklin Gothic Medium"/>
              </w:rPr>
              <w:t>Expiring 2024 CPAS</w:t>
            </w:r>
          </w:p>
        </w:tc>
        <w:tc>
          <w:tcPr>
            <w:tcW w:w="226" w:type="pct"/>
            <w:shd w:val="clear" w:color="auto" w:fill="D9D9D9" w:themeFill="background1" w:themeFillShade="D9"/>
          </w:tcPr>
          <w:p w14:paraId="1B8198CE" w14:textId="7FE12BCB"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55CFC883" w14:textId="24F2C2FF"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1F4C33D7" w14:textId="0628F250"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496D884F" w14:textId="3CA4AAD2"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108" w:type="pct"/>
            <w:shd w:val="clear" w:color="auto" w:fill="D9D9D9" w:themeFill="background1" w:themeFillShade="D9"/>
          </w:tcPr>
          <w:p w14:paraId="0A132A4D" w14:textId="1436FB3F"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26" w:type="pct"/>
            <w:shd w:val="clear" w:color="auto" w:fill="D9D9D9" w:themeFill="background1" w:themeFillShade="D9"/>
          </w:tcPr>
          <w:p w14:paraId="1C4A7928" w14:textId="7ADA7BB5"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108" w:type="pct"/>
            <w:shd w:val="clear" w:color="auto" w:fill="D9D9D9" w:themeFill="background1" w:themeFillShade="D9"/>
          </w:tcPr>
          <w:p w14:paraId="7016BB4F" w14:textId="73AFEAA5" w:rsidR="00430495"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02" w:type="pct"/>
            <w:tcBorders>
              <w:bottom w:val="nil"/>
              <w:right w:val="nil"/>
            </w:tcBorders>
            <w:shd w:val="clear" w:color="auto" w:fill="FFFFFF" w:themeFill="background1"/>
            <w:vAlign w:val="top"/>
          </w:tcPr>
          <w:p w14:paraId="331CC65A" w14:textId="77777777" w:rsidR="00430495" w:rsidRPr="00313347" w:rsidRDefault="00430495" w:rsidP="00430495">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r w:rsidR="00430495" w14:paraId="631CB10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50" w:type="pct"/>
            <w:gridSpan w:val="4"/>
            <w:shd w:val="clear" w:color="auto" w:fill="D9D9D9" w:themeFill="background1" w:themeFillShade="D9"/>
          </w:tcPr>
          <w:p w14:paraId="3360188A" w14:textId="37F91DC4" w:rsidR="00430495" w:rsidRPr="00313347" w:rsidRDefault="00430495" w:rsidP="00E3116D">
            <w:pPr>
              <w:rPr>
                <w:rFonts w:ascii="Franklin Gothic Medium" w:hAnsi="Franklin Gothic Medium"/>
              </w:rPr>
            </w:pPr>
            <w:r w:rsidRPr="00313347">
              <w:rPr>
                <w:rFonts w:ascii="Franklin Gothic Medium" w:hAnsi="Franklin Gothic Medium"/>
              </w:rPr>
              <w:t>Expired 2024 CPAS</w:t>
            </w:r>
          </w:p>
        </w:tc>
        <w:tc>
          <w:tcPr>
            <w:tcW w:w="226" w:type="pct"/>
            <w:shd w:val="clear" w:color="auto" w:fill="D9D9D9" w:themeFill="background1" w:themeFillShade="D9"/>
          </w:tcPr>
          <w:p w14:paraId="089A39AE" w14:textId="5C9145C5"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1FA38FFF" w14:textId="2F331995"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60D7DD8F" w14:textId="1A7B0C79"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226" w:type="pct"/>
            <w:shd w:val="clear" w:color="auto" w:fill="D9D9D9" w:themeFill="background1" w:themeFillShade="D9"/>
          </w:tcPr>
          <w:p w14:paraId="545BB26E" w14:textId="21DCC4AD"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108" w:type="pct"/>
            <w:shd w:val="clear" w:color="auto" w:fill="D9D9D9" w:themeFill="background1" w:themeFillShade="D9"/>
          </w:tcPr>
          <w:p w14:paraId="5CD90CFC" w14:textId="0597670C"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226" w:type="pct"/>
            <w:shd w:val="clear" w:color="auto" w:fill="D9D9D9" w:themeFill="background1" w:themeFillShade="D9"/>
          </w:tcPr>
          <w:p w14:paraId="0DD41663" w14:textId="1CA2C97B"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0</w:t>
            </w:r>
          </w:p>
        </w:tc>
        <w:tc>
          <w:tcPr>
            <w:tcW w:w="108" w:type="pct"/>
            <w:shd w:val="clear" w:color="auto" w:fill="D9D9D9" w:themeFill="background1" w:themeFillShade="D9"/>
          </w:tcPr>
          <w:p w14:paraId="1C6B8A97" w14:textId="3A26AD94" w:rsidR="00430495" w:rsidRPr="00313347" w:rsidRDefault="00430495" w:rsidP="00E3116D">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313347">
              <w:rPr>
                <w:rFonts w:ascii="Franklin Gothic Medium" w:hAnsi="Franklin Gothic Medium"/>
              </w:rPr>
              <w:t>…</w:t>
            </w:r>
          </w:p>
        </w:tc>
        <w:tc>
          <w:tcPr>
            <w:tcW w:w="802" w:type="pct"/>
            <w:tcBorders>
              <w:top w:val="nil"/>
              <w:bottom w:val="nil"/>
              <w:right w:val="nil"/>
            </w:tcBorders>
            <w:shd w:val="clear" w:color="auto" w:fill="FFFFFF" w:themeFill="background1"/>
            <w:vAlign w:val="top"/>
          </w:tcPr>
          <w:p w14:paraId="64B0864A" w14:textId="77777777" w:rsidR="00430495" w:rsidRPr="00313347" w:rsidRDefault="00430495" w:rsidP="00430495">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r>
      <w:tr w:rsidR="00BC69D4" w14:paraId="38DAA3E5"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6" w:type="pct"/>
            <w:shd w:val="clear" w:color="auto" w:fill="D9D9D9" w:themeFill="background1" w:themeFillShade="D9"/>
          </w:tcPr>
          <w:p w14:paraId="5EBF5152" w14:textId="77777777" w:rsidR="00D63894" w:rsidRPr="00313347" w:rsidRDefault="00D63894" w:rsidP="00E3116D">
            <w:pPr>
              <w:rPr>
                <w:rFonts w:ascii="Franklin Gothic Medium" w:hAnsi="Franklin Gothic Medium"/>
              </w:rPr>
            </w:pPr>
            <w:r w:rsidRPr="00313347">
              <w:rPr>
                <w:rFonts w:ascii="Franklin Gothic Medium" w:hAnsi="Franklin Gothic Medium"/>
              </w:rPr>
              <w:t>WAML</w:t>
            </w:r>
          </w:p>
        </w:tc>
        <w:tc>
          <w:tcPr>
            <w:tcW w:w="462" w:type="pct"/>
            <w:shd w:val="clear" w:color="auto" w:fill="D9D9D9" w:themeFill="background1" w:themeFillShade="D9"/>
          </w:tcPr>
          <w:p w14:paraId="6C9FAE72" w14:textId="44EB32A0" w:rsidR="00D63894" w:rsidRPr="00313347" w:rsidRDefault="00430495"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313347">
              <w:rPr>
                <w:rFonts w:ascii="Franklin Gothic Medium" w:hAnsi="Franklin Gothic Medium"/>
              </w:rPr>
              <w:t>12.8</w:t>
            </w:r>
          </w:p>
        </w:tc>
        <w:tc>
          <w:tcPr>
            <w:tcW w:w="1218" w:type="pct"/>
            <w:tcBorders>
              <w:top w:val="nil"/>
              <w:bottom w:val="nil"/>
              <w:right w:val="nil"/>
            </w:tcBorders>
            <w:shd w:val="clear" w:color="auto" w:fill="FFFFFF" w:themeFill="background1"/>
          </w:tcPr>
          <w:p w14:paraId="44F44EB0" w14:textId="77777777" w:rsidR="00D63894" w:rsidRPr="00313347" w:rsidRDefault="00D63894" w:rsidP="00E3116D">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45" w:type="pct"/>
            <w:tcBorders>
              <w:top w:val="nil"/>
              <w:left w:val="nil"/>
              <w:bottom w:val="nil"/>
              <w:right w:val="nil"/>
            </w:tcBorders>
            <w:shd w:val="clear" w:color="auto" w:fill="FFFFFF" w:themeFill="background1"/>
            <w:vAlign w:val="top"/>
          </w:tcPr>
          <w:p w14:paraId="6B7B98C4"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7FA08771"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4C78FE26"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58BADAA2"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13626919"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 w:type="pct"/>
            <w:tcBorders>
              <w:top w:val="nil"/>
              <w:left w:val="nil"/>
              <w:bottom w:val="nil"/>
              <w:right w:val="nil"/>
            </w:tcBorders>
            <w:shd w:val="clear" w:color="auto" w:fill="FFFFFF" w:themeFill="background1"/>
            <w:vAlign w:val="top"/>
          </w:tcPr>
          <w:p w14:paraId="41669B4E"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6" w:type="pct"/>
            <w:tcBorders>
              <w:top w:val="nil"/>
              <w:left w:val="nil"/>
              <w:bottom w:val="nil"/>
              <w:right w:val="nil"/>
            </w:tcBorders>
            <w:shd w:val="clear" w:color="auto" w:fill="FFFFFF" w:themeFill="background1"/>
            <w:vAlign w:val="top"/>
          </w:tcPr>
          <w:p w14:paraId="1860D428"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108" w:type="pct"/>
            <w:tcBorders>
              <w:top w:val="nil"/>
              <w:left w:val="nil"/>
              <w:bottom w:val="nil"/>
              <w:right w:val="nil"/>
            </w:tcBorders>
            <w:shd w:val="clear" w:color="auto" w:fill="FFFFFF" w:themeFill="background1"/>
            <w:vAlign w:val="top"/>
          </w:tcPr>
          <w:p w14:paraId="55B7CDAF"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802" w:type="pct"/>
            <w:tcBorders>
              <w:top w:val="nil"/>
              <w:left w:val="nil"/>
              <w:bottom w:val="nil"/>
              <w:right w:val="nil"/>
            </w:tcBorders>
            <w:shd w:val="clear" w:color="auto" w:fill="FFFFFF" w:themeFill="background1"/>
            <w:vAlign w:val="top"/>
          </w:tcPr>
          <w:p w14:paraId="075A9389" w14:textId="77777777" w:rsidR="00D63894" w:rsidRPr="00313347" w:rsidRDefault="00D63894" w:rsidP="008C6FBE">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r>
    </w:tbl>
    <w:p w14:paraId="7B868DC5" w14:textId="3BB18DCB" w:rsidR="00D63894" w:rsidRDefault="00D63894">
      <w:r>
        <w:br w:type="page"/>
      </w:r>
    </w:p>
    <w:p w14:paraId="7E75D252" w14:textId="77777777" w:rsidR="00D63894" w:rsidRDefault="00D63894" w:rsidP="00D63894">
      <w:pPr>
        <w:pStyle w:val="Heading3"/>
        <w:numPr>
          <w:ilvl w:val="0"/>
          <w:numId w:val="0"/>
        </w:numPr>
        <w:sectPr w:rsidR="00D63894" w:rsidSect="00D63894">
          <w:pgSz w:w="15840" w:h="12240" w:orient="landscape" w:code="1"/>
          <w:pgMar w:top="562" w:right="562" w:bottom="562" w:left="562" w:header="562" w:footer="346" w:gutter="0"/>
          <w:cols w:space="708"/>
          <w:docGrid w:linePitch="360"/>
        </w:sectPr>
      </w:pPr>
    </w:p>
    <w:p w14:paraId="58610CB2" w14:textId="74F83C04" w:rsidR="00B47754" w:rsidRDefault="00B47754" w:rsidP="00526C94">
      <w:pPr>
        <w:pStyle w:val="Heading3"/>
        <w:tabs>
          <w:tab w:val="clear" w:pos="2160"/>
          <w:tab w:val="num" w:pos="1080"/>
        </w:tabs>
        <w:ind w:left="0"/>
      </w:pPr>
      <w:bookmarkStart w:id="356" w:name="_Toc191992455"/>
      <w:r>
        <w:lastRenderedPageBreak/>
        <w:t>Conclusions and Recommendations</w:t>
      </w:r>
      <w:bookmarkEnd w:id="356"/>
    </w:p>
    <w:p w14:paraId="17E50F31" w14:textId="25AE044E" w:rsidR="000A439D" w:rsidRPr="000A439D" w:rsidRDefault="000A439D" w:rsidP="000A439D">
      <w:r>
        <w:t>Based on the results of this evaluation, the evaluation team offers the following key findings and recommendations for the Midstream Initiative moving forward:</w:t>
      </w:r>
    </w:p>
    <w:p w14:paraId="526196D1" w14:textId="3BCC74F2" w:rsidR="00B47754" w:rsidRDefault="00B47754" w:rsidP="00B47754">
      <w:pPr>
        <w:pStyle w:val="Heading4"/>
      </w:pPr>
      <w:r>
        <w:t>Lighting Channel</w:t>
      </w:r>
    </w:p>
    <w:p w14:paraId="25C0FFE1" w14:textId="27C612E8" w:rsidR="00723E7F" w:rsidRPr="00723E7F" w:rsidRDefault="00723E7F" w:rsidP="00723E7F">
      <w:pPr>
        <w:pStyle w:val="ListBullet"/>
      </w:pPr>
      <w:r w:rsidRPr="00723E7F">
        <w:rPr>
          <w:b/>
        </w:rPr>
        <w:t xml:space="preserve">Finding #1: </w:t>
      </w:r>
      <w:r w:rsidRPr="00723E7F">
        <w:t xml:space="preserve">For wall packs, the implementation team applied </w:t>
      </w:r>
      <w:r w:rsidR="00CB568A">
        <w:t>HOU</w:t>
      </w:r>
      <w:r w:rsidRPr="00723E7F">
        <w:t xml:space="preserve"> and </w:t>
      </w:r>
      <w:r w:rsidR="00CB568A">
        <w:t>CF</w:t>
      </w:r>
      <w:r w:rsidRPr="00723E7F">
        <w:t xml:space="preserve"> assumptions for interior spaces rather than the HOU and CF associated with exterior spaces. Since the fixtures are installed in an exterior location, the evaluation team applied hours of use and coincidence factor assumptions in accordance with the IL-TRM V12.0 values for an “Exterior – dusk to dawn” space type.</w:t>
      </w:r>
    </w:p>
    <w:p w14:paraId="78250F69" w14:textId="41563918" w:rsidR="00723E7F" w:rsidRPr="00723E7F" w:rsidRDefault="00723E7F" w:rsidP="00723E7F">
      <w:pPr>
        <w:pStyle w:val="ListBullet2"/>
      </w:pPr>
      <w:r w:rsidRPr="00723E7F">
        <w:rPr>
          <w:b/>
        </w:rPr>
        <w:t xml:space="preserve">Recommendation: </w:t>
      </w:r>
      <w:r w:rsidRPr="00723E7F">
        <w:t xml:space="preserve">We recommend that the implementation team review the savings algorithms and default assumptions in their internal tracking systems to ensure this measure is characterized appropriately. These changes will </w:t>
      </w:r>
      <w:r w:rsidR="002C3C5A">
        <w:t>improve channel realization rates</w:t>
      </w:r>
      <w:r w:rsidRPr="00723E7F">
        <w:t xml:space="preserve">. </w:t>
      </w:r>
    </w:p>
    <w:p w14:paraId="40CD2395" w14:textId="2FD5DDEF" w:rsidR="00723E7F" w:rsidRPr="00723E7F" w:rsidRDefault="00723E7F" w:rsidP="00723E7F">
      <w:pPr>
        <w:pStyle w:val="ListBullet"/>
      </w:pPr>
      <w:r w:rsidRPr="00723E7F">
        <w:rPr>
          <w:b/>
        </w:rPr>
        <w:t xml:space="preserve">Finding #2: </w:t>
      </w:r>
      <w:r w:rsidRPr="00723E7F">
        <w:t xml:space="preserve">For all </w:t>
      </w:r>
      <w:r w:rsidR="00082A18">
        <w:t>four-pin</w:t>
      </w:r>
      <w:r w:rsidRPr="00723E7F">
        <w:t xml:space="preserve"> base LEDs, the implementation team estimated ex ante savings using a fixture HOU assumption and a baseline wattage of 18</w:t>
      </w:r>
      <w:r w:rsidR="003D582A">
        <w:t>W</w:t>
      </w:r>
      <w:r w:rsidRPr="00723E7F">
        <w:t xml:space="preserve">. After researching the specific equipment model numbers for the incentivized equipment and reviewing the available measure characteristics in the Initiative tracking data, the evaluation believes that savings for </w:t>
      </w:r>
      <w:r w:rsidR="00082A18">
        <w:t>four-pin</w:t>
      </w:r>
      <w:r w:rsidRPr="00723E7F">
        <w:t xml:space="preserve"> </w:t>
      </w:r>
      <w:r w:rsidR="00CB568A">
        <w:t xml:space="preserve">base </w:t>
      </w:r>
      <w:r w:rsidRPr="00723E7F">
        <w:t xml:space="preserve">LEDs should be estimated using assumptions from the IL-TRM V12.0 for LED lamps because the only products found in our research to use </w:t>
      </w:r>
      <w:r w:rsidR="00082A18">
        <w:t>four-pin</w:t>
      </w:r>
      <w:r w:rsidRPr="00723E7F">
        <w:t xml:space="preserve"> bases were specialty LED lamps, such as directional BR30s.</w:t>
      </w:r>
    </w:p>
    <w:p w14:paraId="18DAEF76" w14:textId="5DC8531B" w:rsidR="00723E7F" w:rsidRPr="00723E7F" w:rsidRDefault="00723E7F" w:rsidP="00723E7F">
      <w:pPr>
        <w:pStyle w:val="ListBullet2"/>
        <w:rPr>
          <w:b/>
        </w:rPr>
      </w:pPr>
      <w:r w:rsidRPr="00723E7F">
        <w:rPr>
          <w:b/>
        </w:rPr>
        <w:t xml:space="preserve">Recommendation: </w:t>
      </w:r>
      <w:r w:rsidRPr="00723E7F">
        <w:t xml:space="preserve">We recommend that the Leidos team review their current characterization of pin-base bulbs and that the implementation and evaluation teams meet to discuss how to appropriately estimate savings for these measures if the implementation team disagrees with how the evaluation team characterized these measures. If the implementation team agrees with our characterization, we recommend they update their savings algorithms and assumptions accordingly. Lastly, if this equipment </w:t>
      </w:r>
      <w:r w:rsidR="003D582A">
        <w:t>continues</w:t>
      </w:r>
      <w:r w:rsidRPr="00723E7F">
        <w:t xml:space="preserve"> to be incentivized in greater quantities in future years, we recommend submitting updates to the TRM to include specific provisions for </w:t>
      </w:r>
      <w:r w:rsidR="00082A18">
        <w:t>four-pin</w:t>
      </w:r>
      <w:r w:rsidRPr="00723E7F">
        <w:t xml:space="preserve"> base LEDs.</w:t>
      </w:r>
      <w:r w:rsidRPr="00723E7F">
        <w:rPr>
          <w:b/>
        </w:rPr>
        <w:t xml:space="preserve">    </w:t>
      </w:r>
    </w:p>
    <w:p w14:paraId="33C2E598" w14:textId="5DF5E8DA" w:rsidR="00B47754" w:rsidRDefault="00B47754" w:rsidP="00B47754">
      <w:pPr>
        <w:pStyle w:val="Heading4"/>
      </w:pPr>
      <w:r>
        <w:t>HVAC Channel</w:t>
      </w:r>
    </w:p>
    <w:p w14:paraId="6B1273CF" w14:textId="77777777" w:rsidR="00132696" w:rsidRDefault="00132696" w:rsidP="00132696">
      <w:pPr>
        <w:pStyle w:val="ListBullet"/>
        <w:numPr>
          <w:ilvl w:val="0"/>
          <w:numId w:val="25"/>
        </w:numPr>
        <w:ind w:left="465" w:hanging="285"/>
      </w:pPr>
      <w:r>
        <w:rPr>
          <w:b/>
          <w:bCs/>
        </w:rPr>
        <w:t>Finding #1:</w:t>
      </w:r>
      <w:r>
        <w:t xml:space="preserve"> The implementation team effectively estimated savings for the HVAC channel in 2024, exemplified by the 95% or greater realization rates achieved within the channel for all savings categories. However, the evaluation team identified several systematic discrepancies that, while having a minimal impact on savings, can be easily corrected through a review of internal initiative tracking systems.</w:t>
      </w:r>
    </w:p>
    <w:p w14:paraId="3DF1C7DE" w14:textId="57B99E73" w:rsidR="00132696" w:rsidRDefault="00132696" w:rsidP="00132696">
      <w:pPr>
        <w:pStyle w:val="ListBullet2"/>
        <w:rPr>
          <w:rFonts w:ascii="Times New Roman" w:eastAsiaTheme="minorHAnsi" w:hAnsi="Times New Roman"/>
          <w:color w:val="auto"/>
          <w:sz w:val="24"/>
          <w:szCs w:val="24"/>
        </w:rPr>
      </w:pPr>
      <w:r>
        <w:rPr>
          <w:b/>
          <w:bCs/>
        </w:rPr>
        <w:t>Recommendation:</w:t>
      </w:r>
      <w:r>
        <w:t xml:space="preserve"> We recommend that the implementation team review the discrepancies noted in this report and attempt to rectify them through their data tracking system, ALEET, or the IL-TRM update process</w:t>
      </w:r>
      <w:r w:rsidR="00BB6EE4">
        <w:t>.</w:t>
      </w:r>
      <w:r>
        <w:rPr>
          <w:rFonts w:ascii="Times New Roman" w:eastAsiaTheme="minorHAnsi" w:hAnsi="Times New Roman"/>
          <w:color w:val="auto"/>
          <w:sz w:val="24"/>
          <w:szCs w:val="24"/>
        </w:rPr>
        <w:t xml:space="preserve"> </w:t>
      </w:r>
    </w:p>
    <w:p w14:paraId="2793B9BA" w14:textId="13C17AD4" w:rsidR="00B47754" w:rsidRDefault="00B47754" w:rsidP="00B47754">
      <w:pPr>
        <w:pStyle w:val="Heading4"/>
      </w:pPr>
      <w:r>
        <w:t>Food Service Channel</w:t>
      </w:r>
    </w:p>
    <w:p w14:paraId="06EE143A" w14:textId="347E1115" w:rsidR="00D42A84" w:rsidRDefault="0028504E" w:rsidP="00D42A84">
      <w:pPr>
        <w:pStyle w:val="ListBullet"/>
      </w:pPr>
      <w:r w:rsidRPr="0028504E">
        <w:rPr>
          <w:b/>
          <w:bCs/>
        </w:rPr>
        <w:t xml:space="preserve">Finding #1: </w:t>
      </w:r>
      <w:r w:rsidR="00D42A84">
        <w:t xml:space="preserve">The evaluation team identified several discrepancies in the ex ante savings calculations stemming from the misapplication of deemed values and inputs from IL-TRM V12.0. Notably, the implementation team appeared to be applying the TRM correctly for some of these measures in previous versions of the tracking data. For example, the evaluation team found realization rates of 100% for </w:t>
      </w:r>
      <w:r w:rsidR="00CB568A">
        <w:t>refrigerators and freezers</w:t>
      </w:r>
      <w:r w:rsidR="00D42A84">
        <w:t xml:space="preserve"> in an interim analysis of the tracking data. However, the method utilized by the implementation team to calculate the energy usage of the efficient equipment appeared to change in the year-end data, resulting in a significant change in the realization rates. </w:t>
      </w:r>
    </w:p>
    <w:p w14:paraId="768A96A3" w14:textId="77777777" w:rsidR="00D42A84" w:rsidRDefault="00D42A84" w:rsidP="00D42A84">
      <w:pPr>
        <w:pStyle w:val="ListBullet2"/>
      </w:pPr>
      <w:r w:rsidRPr="00D42A84">
        <w:rPr>
          <w:b/>
          <w:bCs/>
        </w:rPr>
        <w:lastRenderedPageBreak/>
        <w:t xml:space="preserve">Recommendation: </w:t>
      </w:r>
      <w:r>
        <w:t xml:space="preserve">The evaluation team suggests reviewing the algorithms and deemed values in ALEET to ensure that savings calculations and other assumptions align with the IL-TRM. </w:t>
      </w:r>
    </w:p>
    <w:p w14:paraId="3DC1D371" w14:textId="31F3AC5D" w:rsidR="00D42A84" w:rsidRDefault="00D42A84" w:rsidP="00D42A84">
      <w:pPr>
        <w:pStyle w:val="ListBullet"/>
      </w:pPr>
      <w:r w:rsidRPr="00D42A84">
        <w:rPr>
          <w:b/>
          <w:bCs/>
        </w:rPr>
        <w:t>Finding #2:</w:t>
      </w:r>
      <w:r>
        <w:t xml:space="preserve"> Other discrepancies were driven by gaps in the Initiative tracking data. For several measures, the tracking data did not include specific equipment characteristics that are needed to apply the appropriate assumptions from the IL-TRM. For example, the tracking </w:t>
      </w:r>
      <w:r w:rsidR="003D582A">
        <w:t>data were</w:t>
      </w:r>
      <w:r>
        <w:t xml:space="preserve"> missing information for the steamed cooking efficiency of the efficient units for combination oven records, which resulted in discrepancies between the ex ante and verified savings calculations because the evaluation applied the IL-TRM default value. In other cases, key fields included in the tracking data were only partially populated. Within a given measure, some records had values in these fields, and others did not, resulting in the evaluation team applying IL-TRM defaults in cases where </w:t>
      </w:r>
      <w:r w:rsidR="003D582A">
        <w:t>data were</w:t>
      </w:r>
      <w:r>
        <w:t xml:space="preserve"> missing. For example, the Initiative tracking data </w:t>
      </w:r>
      <w:r w:rsidR="003D582A">
        <w:t xml:space="preserve">for electric convection ovens </w:t>
      </w:r>
      <w:r>
        <w:t xml:space="preserve">only contains information on the efficient equipment’s production capacity for one out of eight records. </w:t>
      </w:r>
    </w:p>
    <w:p w14:paraId="1C08461E" w14:textId="770804C4" w:rsidR="00893CFA" w:rsidRPr="0028504E" w:rsidRDefault="00D42A84" w:rsidP="00D42A84">
      <w:pPr>
        <w:pStyle w:val="ListBullet2"/>
      </w:pPr>
      <w:r w:rsidRPr="00D42A84">
        <w:rPr>
          <w:b/>
          <w:bCs/>
        </w:rPr>
        <w:t>Recommendation:</w:t>
      </w:r>
      <w:r>
        <w:t xml:space="preserve"> The evaluation team understands that the midstream implementation model limits </w:t>
      </w:r>
      <w:r w:rsidR="003D582A">
        <w:t>how much data</w:t>
      </w:r>
      <w:r>
        <w:t xml:space="preserve"> can be collected and tracked. However, we recommend that the implementation team collect data on equipment characteristics wherever possible</w:t>
      </w:r>
      <w:r w:rsidR="003D582A">
        <w:t xml:space="preserve"> and include this information in the Initiative tracking data</w:t>
      </w:r>
      <w:r>
        <w:t xml:space="preserve"> to reduce the evaluation risk around these measures.</w:t>
      </w:r>
    </w:p>
    <w:p w14:paraId="7828665E" w14:textId="3E4074FA" w:rsidR="00B47754" w:rsidRDefault="008616E9" w:rsidP="008616E9">
      <w:pPr>
        <w:pStyle w:val="Alpha"/>
      </w:pPr>
      <w:bookmarkStart w:id="357" w:name="_Ref187157397"/>
      <w:bookmarkStart w:id="358" w:name="_Toc191992456"/>
      <w:bookmarkStart w:id="359" w:name="_Toc192766911"/>
      <w:r>
        <w:lastRenderedPageBreak/>
        <w:t>Impact Analysis Methodology</w:t>
      </w:r>
      <w:bookmarkEnd w:id="357"/>
      <w:bookmarkEnd w:id="358"/>
      <w:bookmarkEnd w:id="359"/>
    </w:p>
    <w:p w14:paraId="751025C1" w14:textId="2D1BE491" w:rsidR="008616E9" w:rsidRDefault="008616E9" w:rsidP="008616E9">
      <w:pPr>
        <w:pStyle w:val="AppendixBeta"/>
      </w:pPr>
      <w:bookmarkStart w:id="360" w:name="_Toc191992457"/>
      <w:bookmarkStart w:id="361" w:name="_Toc192766912"/>
      <w:r>
        <w:t>Standard Initiative</w:t>
      </w:r>
      <w:bookmarkEnd w:id="360"/>
      <w:bookmarkEnd w:id="361"/>
    </w:p>
    <w:p w14:paraId="79436B16" w14:textId="393B9D96" w:rsidR="008616E9" w:rsidRDefault="008616E9" w:rsidP="008616E9">
      <w:pPr>
        <w:pStyle w:val="AppendixGamma"/>
      </w:pPr>
      <w:bookmarkStart w:id="362" w:name="_Toc191992458"/>
      <w:r>
        <w:t>Gross Impact Methodology</w:t>
      </w:r>
      <w:bookmarkEnd w:id="362"/>
    </w:p>
    <w:p w14:paraId="1AA2D7E7" w14:textId="346A6E6A" w:rsidR="00155BED" w:rsidRDefault="00155BED" w:rsidP="00155BED">
      <w:r w:rsidRPr="00155BED">
        <w:t>The evaluation team calculated verified savings for the Standard Initiative by applying savings algorithms from the IL-TRM V1</w:t>
      </w:r>
      <w:r w:rsidR="00695041">
        <w:t>2</w:t>
      </w:r>
      <w:r w:rsidRPr="00155BED">
        <w:t xml:space="preserve">.0. The team leveraged information from the </w:t>
      </w:r>
      <w:r w:rsidR="003F35FE">
        <w:t>I</w:t>
      </w:r>
      <w:r w:rsidRPr="00155BED">
        <w:t>nitiative tracking data</w:t>
      </w:r>
      <w:r w:rsidR="003D582A">
        <w:t>,</w:t>
      </w:r>
      <w:r w:rsidRPr="00155BED">
        <w:t xml:space="preserve"> such </w:t>
      </w:r>
      <w:r w:rsidR="003D582A">
        <w:t xml:space="preserve">as </w:t>
      </w:r>
      <w:r w:rsidR="00941E9C" w:rsidRPr="00941E9C">
        <w:t xml:space="preserve">primary heating and cooling type, LED wattage, LED lamp type, </w:t>
      </w:r>
      <w:r w:rsidR="003D582A">
        <w:t>and project location (for weather-dependent variables),</w:t>
      </w:r>
      <w:r w:rsidR="00941E9C" w:rsidRPr="00941E9C">
        <w:t xml:space="preserve"> to</w:t>
      </w:r>
      <w:r w:rsidRPr="00155BED">
        <w:t xml:space="preserve"> inform savings assumptions. For variables outside these parameters, the evaluation team relied on defaults from the IL-TRM V1</w:t>
      </w:r>
      <w:r w:rsidR="00695041">
        <w:t>2</w:t>
      </w:r>
      <w:r w:rsidRPr="00155BED">
        <w:t xml:space="preserve">.0.  </w:t>
      </w:r>
      <w:r w:rsidR="00695041">
        <w:fldChar w:fldCharType="begin"/>
      </w:r>
      <w:r w:rsidR="00695041">
        <w:instrText xml:space="preserve"> REF _Ref187403243 \h </w:instrText>
      </w:r>
      <w:r w:rsidR="00695041">
        <w:fldChar w:fldCharType="separate"/>
      </w:r>
      <w:r w:rsidR="00AA10F4">
        <w:t xml:space="preserve">Table </w:t>
      </w:r>
      <w:r w:rsidR="00AA10F4">
        <w:rPr>
          <w:noProof/>
        </w:rPr>
        <w:t>84</w:t>
      </w:r>
      <w:r w:rsidR="00695041">
        <w:fldChar w:fldCharType="end"/>
      </w:r>
      <w:r w:rsidR="00A37484">
        <w:t xml:space="preserve"> </w:t>
      </w:r>
      <w:r w:rsidRPr="00155BED">
        <w:t xml:space="preserve">lists the measures in the Standard Initiative, their corresponding IL-TRM </w:t>
      </w:r>
      <w:r w:rsidR="003F35FE">
        <w:t>section</w:t>
      </w:r>
      <w:r w:rsidRPr="00155BED">
        <w:t>, and whether or not TRM errata applied to the measure in the 202</w:t>
      </w:r>
      <w:r w:rsidR="00695041">
        <w:t>4</w:t>
      </w:r>
      <w:r w:rsidRPr="00155BED">
        <w:t xml:space="preserve"> evaluation.</w:t>
      </w:r>
    </w:p>
    <w:p w14:paraId="102E8B7A" w14:textId="6FB89E99" w:rsidR="00695041" w:rsidRDefault="00695041" w:rsidP="00881B1B">
      <w:pPr>
        <w:pStyle w:val="Caption"/>
      </w:pPr>
      <w:bookmarkStart w:id="363" w:name="_Ref187403243"/>
      <w:bookmarkStart w:id="364" w:name="_Toc191992605"/>
      <w:bookmarkStart w:id="365" w:name="_Toc192767018"/>
      <w:r>
        <w:t xml:space="preserve">Table </w:t>
      </w:r>
      <w:r w:rsidR="009B4C9A">
        <w:fldChar w:fldCharType="begin"/>
      </w:r>
      <w:r w:rsidR="009B4C9A">
        <w:instrText xml:space="preserve"> SEQ Table \* ARABIC </w:instrText>
      </w:r>
      <w:r w:rsidR="009B4C9A">
        <w:fldChar w:fldCharType="separate"/>
      </w:r>
      <w:r w:rsidR="00AA10F4">
        <w:rPr>
          <w:noProof/>
        </w:rPr>
        <w:t>84</w:t>
      </w:r>
      <w:r w:rsidR="009B4C9A">
        <w:rPr>
          <w:noProof/>
        </w:rPr>
        <w:fldChar w:fldCharType="end"/>
      </w:r>
      <w:bookmarkEnd w:id="363"/>
      <w:r>
        <w:t>. Standard Initiative Evaluated Measures</w:t>
      </w:r>
      <w:bookmarkEnd w:id="364"/>
      <w:bookmarkEnd w:id="36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5665"/>
        <w:gridCol w:w="2160"/>
        <w:gridCol w:w="3271"/>
      </w:tblGrid>
      <w:tr w:rsidR="00695041" w14:paraId="42E1A5E0" w14:textId="77777777" w:rsidTr="00BC69D4">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08D727D8" w14:textId="5689B7B4" w:rsidR="00695041" w:rsidRDefault="00695041" w:rsidP="00695041">
            <w:pPr>
              <w:pStyle w:val="TableHeadingLeft"/>
            </w:pPr>
            <w:r>
              <w:t>IL-TRM Measure Name</w:t>
            </w:r>
          </w:p>
        </w:tc>
        <w:tc>
          <w:tcPr>
            <w:tcW w:w="2160" w:type="dxa"/>
            <w:tcBorders>
              <w:bottom w:val="none" w:sz="0" w:space="0" w:color="auto"/>
            </w:tcBorders>
          </w:tcPr>
          <w:p w14:paraId="41202E8F" w14:textId="3B9A0199" w:rsidR="00695041" w:rsidRDefault="00695041" w:rsidP="00695041">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3271" w:type="dxa"/>
            <w:tcBorders>
              <w:bottom w:val="none" w:sz="0" w:space="0" w:color="auto"/>
            </w:tcBorders>
          </w:tcPr>
          <w:p w14:paraId="0AA6FA6C" w14:textId="515F90AA" w:rsidR="00695041" w:rsidRDefault="00695041" w:rsidP="00695041">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CF08AF" w14:paraId="6BA77E38"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65A55565" w14:textId="3AE09D22" w:rsidR="00CF08AF" w:rsidRDefault="00CF08AF" w:rsidP="00CF08AF">
            <w:r w:rsidRPr="00882600">
              <w:t>Small Commercial Thermostats</w:t>
            </w:r>
          </w:p>
        </w:tc>
        <w:tc>
          <w:tcPr>
            <w:tcW w:w="2160" w:type="dxa"/>
            <w:tcBorders>
              <w:top w:val="none" w:sz="0" w:space="0" w:color="auto"/>
              <w:left w:val="none" w:sz="0" w:space="0" w:color="auto"/>
              <w:bottom w:val="none" w:sz="0" w:space="0" w:color="auto"/>
              <w:right w:val="none" w:sz="0" w:space="0" w:color="auto"/>
            </w:tcBorders>
          </w:tcPr>
          <w:p w14:paraId="12C9E76D" w14:textId="55F8FDAA" w:rsidR="00CF08AF" w:rsidRDefault="00CF08AF" w:rsidP="003F35FE">
            <w:pPr>
              <w:jc w:val="center"/>
              <w:cnfStyle w:val="000000100000" w:firstRow="0" w:lastRow="0" w:firstColumn="0" w:lastColumn="0" w:oddVBand="0" w:evenVBand="0" w:oddHBand="1" w:evenHBand="0" w:firstRowFirstColumn="0" w:firstRowLastColumn="0" w:lastRowFirstColumn="0" w:lastRowLastColumn="0"/>
            </w:pPr>
            <w:r>
              <w:t>4.4.48</w:t>
            </w:r>
          </w:p>
        </w:tc>
        <w:tc>
          <w:tcPr>
            <w:tcW w:w="3271" w:type="dxa"/>
            <w:tcBorders>
              <w:top w:val="none" w:sz="0" w:space="0" w:color="auto"/>
              <w:left w:val="none" w:sz="0" w:space="0" w:color="auto"/>
              <w:bottom w:val="none" w:sz="0" w:space="0" w:color="auto"/>
              <w:right w:val="none" w:sz="0" w:space="0" w:color="auto"/>
            </w:tcBorders>
          </w:tcPr>
          <w:p w14:paraId="66BFEB01" w14:textId="4C283434" w:rsidR="00CF08AF" w:rsidRDefault="00CF08AF" w:rsidP="00927C3A">
            <w:pPr>
              <w:jc w:val="center"/>
              <w:cnfStyle w:val="000000100000" w:firstRow="0" w:lastRow="0" w:firstColumn="0" w:lastColumn="0" w:oddVBand="0" w:evenVBand="0" w:oddHBand="1" w:evenHBand="0" w:firstRowFirstColumn="0" w:firstRowLastColumn="0" w:lastRowFirstColumn="0" w:lastRowLastColumn="0"/>
            </w:pPr>
            <w:r w:rsidRPr="007049B2">
              <w:t>No errata present for this measure</w:t>
            </w:r>
          </w:p>
        </w:tc>
      </w:tr>
      <w:tr w:rsidR="00CF08AF" w14:paraId="73E33EE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13A22A06" w14:textId="3D6799BD" w:rsidR="00CF08AF" w:rsidRDefault="00CF08AF" w:rsidP="00CF08AF">
            <w:r w:rsidRPr="00E417E4">
              <w:t>LED Bulbs and Fixtures</w:t>
            </w:r>
          </w:p>
        </w:tc>
        <w:tc>
          <w:tcPr>
            <w:tcW w:w="2160" w:type="dxa"/>
            <w:tcBorders>
              <w:top w:val="none" w:sz="0" w:space="0" w:color="auto"/>
              <w:left w:val="none" w:sz="0" w:space="0" w:color="auto"/>
              <w:bottom w:val="none" w:sz="0" w:space="0" w:color="auto"/>
              <w:right w:val="none" w:sz="0" w:space="0" w:color="auto"/>
            </w:tcBorders>
          </w:tcPr>
          <w:p w14:paraId="4F32EF70" w14:textId="4A81C240" w:rsidR="00CF08AF" w:rsidRDefault="00CF08AF" w:rsidP="003F35FE">
            <w:pPr>
              <w:jc w:val="center"/>
              <w:cnfStyle w:val="000000010000" w:firstRow="0" w:lastRow="0" w:firstColumn="0" w:lastColumn="0" w:oddVBand="0" w:evenVBand="0" w:oddHBand="0" w:evenHBand="1" w:firstRowFirstColumn="0" w:firstRowLastColumn="0" w:lastRowFirstColumn="0" w:lastRowLastColumn="0"/>
            </w:pPr>
            <w:r>
              <w:t>4.5.4</w:t>
            </w:r>
          </w:p>
        </w:tc>
        <w:tc>
          <w:tcPr>
            <w:tcW w:w="3271" w:type="dxa"/>
            <w:tcBorders>
              <w:top w:val="none" w:sz="0" w:space="0" w:color="auto"/>
              <w:left w:val="none" w:sz="0" w:space="0" w:color="auto"/>
              <w:bottom w:val="none" w:sz="0" w:space="0" w:color="auto"/>
              <w:right w:val="none" w:sz="0" w:space="0" w:color="auto"/>
            </w:tcBorders>
          </w:tcPr>
          <w:p w14:paraId="70186B8F" w14:textId="6F05DBE0" w:rsidR="00CF08AF" w:rsidRDefault="00CF08AF" w:rsidP="00927C3A">
            <w:pPr>
              <w:jc w:val="center"/>
              <w:cnfStyle w:val="000000010000" w:firstRow="0" w:lastRow="0" w:firstColumn="0" w:lastColumn="0" w:oddVBand="0" w:evenVBand="0" w:oddHBand="0" w:evenHBand="1" w:firstRowFirstColumn="0" w:firstRowLastColumn="0" w:lastRowFirstColumn="0" w:lastRowLastColumn="0"/>
            </w:pPr>
            <w:r w:rsidRPr="007049B2">
              <w:t>No errata present for this measure</w:t>
            </w:r>
          </w:p>
        </w:tc>
      </w:tr>
      <w:tr w:rsidR="00CF08AF" w14:paraId="1786BE65"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6FF17B7C" w14:textId="4ED11D48" w:rsidR="00CF08AF" w:rsidRDefault="00CF08AF" w:rsidP="00CF08AF">
            <w:r w:rsidRPr="00E417E4">
              <w:t>Lighting Controls</w:t>
            </w:r>
          </w:p>
        </w:tc>
        <w:tc>
          <w:tcPr>
            <w:tcW w:w="2160" w:type="dxa"/>
            <w:tcBorders>
              <w:top w:val="none" w:sz="0" w:space="0" w:color="auto"/>
              <w:left w:val="none" w:sz="0" w:space="0" w:color="auto"/>
              <w:bottom w:val="none" w:sz="0" w:space="0" w:color="auto"/>
              <w:right w:val="none" w:sz="0" w:space="0" w:color="auto"/>
            </w:tcBorders>
          </w:tcPr>
          <w:p w14:paraId="1E1B3438" w14:textId="475D2534" w:rsidR="00CF08AF" w:rsidRDefault="00CF08AF" w:rsidP="003F35FE">
            <w:pPr>
              <w:jc w:val="center"/>
              <w:cnfStyle w:val="000000100000" w:firstRow="0" w:lastRow="0" w:firstColumn="0" w:lastColumn="0" w:oddVBand="0" w:evenVBand="0" w:oddHBand="1" w:evenHBand="0" w:firstRowFirstColumn="0" w:firstRowLastColumn="0" w:lastRowFirstColumn="0" w:lastRowLastColumn="0"/>
            </w:pPr>
            <w:r>
              <w:t>4.5.10</w:t>
            </w:r>
          </w:p>
        </w:tc>
        <w:tc>
          <w:tcPr>
            <w:tcW w:w="3271" w:type="dxa"/>
            <w:tcBorders>
              <w:top w:val="none" w:sz="0" w:space="0" w:color="auto"/>
              <w:left w:val="none" w:sz="0" w:space="0" w:color="auto"/>
              <w:bottom w:val="none" w:sz="0" w:space="0" w:color="auto"/>
              <w:right w:val="none" w:sz="0" w:space="0" w:color="auto"/>
            </w:tcBorders>
          </w:tcPr>
          <w:p w14:paraId="14AEF8AD" w14:textId="5B6911C2" w:rsidR="00CF08AF" w:rsidRDefault="00CF08AF" w:rsidP="00927C3A">
            <w:pPr>
              <w:jc w:val="center"/>
              <w:cnfStyle w:val="000000100000" w:firstRow="0" w:lastRow="0" w:firstColumn="0" w:lastColumn="0" w:oddVBand="0" w:evenVBand="0" w:oddHBand="1" w:evenHBand="0" w:firstRowFirstColumn="0" w:firstRowLastColumn="0" w:lastRowFirstColumn="0" w:lastRowLastColumn="0"/>
            </w:pPr>
            <w:r w:rsidRPr="007049B2">
              <w:t>No errata present for this measure</w:t>
            </w:r>
          </w:p>
        </w:tc>
      </w:tr>
      <w:tr w:rsidR="00CF08AF" w14:paraId="1E3E545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2742EF5A" w14:textId="68DB1F75" w:rsidR="00CF08AF" w:rsidRDefault="00CF08AF" w:rsidP="00CF08AF">
            <w:r w:rsidRPr="00882600">
              <w:t>Advanced Power Strip – Tier 1 Commercial</w:t>
            </w:r>
          </w:p>
        </w:tc>
        <w:tc>
          <w:tcPr>
            <w:tcW w:w="2160" w:type="dxa"/>
            <w:tcBorders>
              <w:top w:val="none" w:sz="0" w:space="0" w:color="auto"/>
              <w:left w:val="none" w:sz="0" w:space="0" w:color="auto"/>
              <w:bottom w:val="none" w:sz="0" w:space="0" w:color="auto"/>
              <w:right w:val="none" w:sz="0" w:space="0" w:color="auto"/>
            </w:tcBorders>
          </w:tcPr>
          <w:p w14:paraId="4DE50E2F" w14:textId="3952BF7E" w:rsidR="00CF08AF" w:rsidRDefault="00CF08AF" w:rsidP="003F35FE">
            <w:pPr>
              <w:jc w:val="center"/>
              <w:cnfStyle w:val="000000010000" w:firstRow="0" w:lastRow="0" w:firstColumn="0" w:lastColumn="0" w:oddVBand="0" w:evenVBand="0" w:oddHBand="0" w:evenHBand="1" w:firstRowFirstColumn="0" w:firstRowLastColumn="0" w:lastRowFirstColumn="0" w:lastRowLastColumn="0"/>
            </w:pPr>
            <w:r>
              <w:t>4.8.7</w:t>
            </w:r>
          </w:p>
        </w:tc>
        <w:tc>
          <w:tcPr>
            <w:tcW w:w="3271" w:type="dxa"/>
            <w:tcBorders>
              <w:top w:val="none" w:sz="0" w:space="0" w:color="auto"/>
              <w:left w:val="none" w:sz="0" w:space="0" w:color="auto"/>
              <w:bottom w:val="none" w:sz="0" w:space="0" w:color="auto"/>
              <w:right w:val="none" w:sz="0" w:space="0" w:color="auto"/>
            </w:tcBorders>
          </w:tcPr>
          <w:p w14:paraId="675E0DA5" w14:textId="36892582" w:rsidR="00CF08AF" w:rsidRDefault="00CF08AF" w:rsidP="00927C3A">
            <w:pPr>
              <w:jc w:val="center"/>
              <w:cnfStyle w:val="000000010000" w:firstRow="0" w:lastRow="0" w:firstColumn="0" w:lastColumn="0" w:oddVBand="0" w:evenVBand="0" w:oddHBand="0" w:evenHBand="1" w:firstRowFirstColumn="0" w:firstRowLastColumn="0" w:lastRowFirstColumn="0" w:lastRowLastColumn="0"/>
            </w:pPr>
            <w:r w:rsidRPr="007049B2">
              <w:t>No errata present for this measure</w:t>
            </w:r>
          </w:p>
        </w:tc>
      </w:tr>
      <w:tr w:rsidR="00CF08AF" w14:paraId="3C8A6E40"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tcPr>
          <w:p w14:paraId="5836B944" w14:textId="4670B2CF" w:rsidR="00CF08AF" w:rsidRDefault="00CF08AF" w:rsidP="00CF08AF">
            <w:r w:rsidRPr="00882600">
              <w:t>Smart Sockets</w:t>
            </w:r>
          </w:p>
        </w:tc>
        <w:tc>
          <w:tcPr>
            <w:tcW w:w="2160" w:type="dxa"/>
            <w:tcBorders>
              <w:top w:val="none" w:sz="0" w:space="0" w:color="auto"/>
              <w:left w:val="none" w:sz="0" w:space="0" w:color="auto"/>
              <w:bottom w:val="none" w:sz="0" w:space="0" w:color="auto"/>
              <w:right w:val="none" w:sz="0" w:space="0" w:color="auto"/>
            </w:tcBorders>
          </w:tcPr>
          <w:p w14:paraId="466E44DD" w14:textId="6C888D15" w:rsidR="00CF08AF" w:rsidRDefault="00CF08AF" w:rsidP="003F35FE">
            <w:pPr>
              <w:jc w:val="center"/>
              <w:cnfStyle w:val="000000100000" w:firstRow="0" w:lastRow="0" w:firstColumn="0" w:lastColumn="0" w:oddVBand="0" w:evenVBand="0" w:oddHBand="1" w:evenHBand="0" w:firstRowFirstColumn="0" w:firstRowLastColumn="0" w:lastRowFirstColumn="0" w:lastRowLastColumn="0"/>
            </w:pPr>
            <w:r>
              <w:t>4.8.22</w:t>
            </w:r>
          </w:p>
        </w:tc>
        <w:tc>
          <w:tcPr>
            <w:tcW w:w="3271" w:type="dxa"/>
            <w:tcBorders>
              <w:top w:val="none" w:sz="0" w:space="0" w:color="auto"/>
              <w:left w:val="none" w:sz="0" w:space="0" w:color="auto"/>
              <w:bottom w:val="none" w:sz="0" w:space="0" w:color="auto"/>
              <w:right w:val="none" w:sz="0" w:space="0" w:color="auto"/>
            </w:tcBorders>
          </w:tcPr>
          <w:p w14:paraId="0F549FFD" w14:textId="4D994F52" w:rsidR="00CF08AF" w:rsidRDefault="00CF08AF" w:rsidP="00927C3A">
            <w:pPr>
              <w:jc w:val="center"/>
              <w:cnfStyle w:val="000000100000" w:firstRow="0" w:lastRow="0" w:firstColumn="0" w:lastColumn="0" w:oddVBand="0" w:evenVBand="0" w:oddHBand="1" w:evenHBand="0" w:firstRowFirstColumn="0" w:firstRowLastColumn="0" w:lastRowFirstColumn="0" w:lastRowLastColumn="0"/>
            </w:pPr>
            <w:r w:rsidRPr="007049B2">
              <w:t>No errata present for this measure</w:t>
            </w:r>
          </w:p>
        </w:tc>
      </w:tr>
      <w:tr w:rsidR="00815892" w14:paraId="5B409CB0"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15570BE6" w14:textId="7074BC11" w:rsidR="00815892" w:rsidRDefault="00815892" w:rsidP="00815892">
            <w:r>
              <w:rPr>
                <w:color w:val="4A4D56"/>
              </w:rPr>
              <w:t>Commercial LED Grow Lights</w:t>
            </w:r>
          </w:p>
        </w:tc>
        <w:tc>
          <w:tcPr>
            <w:tcW w:w="2160" w:type="dxa"/>
            <w:tcBorders>
              <w:top w:val="none" w:sz="0" w:space="0" w:color="auto"/>
              <w:left w:val="none" w:sz="0" w:space="0" w:color="auto"/>
              <w:bottom w:val="none" w:sz="0" w:space="0" w:color="auto"/>
              <w:right w:val="none" w:sz="0" w:space="0" w:color="auto"/>
            </w:tcBorders>
          </w:tcPr>
          <w:p w14:paraId="47703292" w14:textId="495FBC81"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4.1.11</w:t>
            </w:r>
          </w:p>
        </w:tc>
        <w:tc>
          <w:tcPr>
            <w:tcW w:w="3271" w:type="dxa"/>
            <w:tcBorders>
              <w:top w:val="none" w:sz="0" w:space="0" w:color="auto"/>
              <w:left w:val="none" w:sz="0" w:space="0" w:color="auto"/>
              <w:bottom w:val="none" w:sz="0" w:space="0" w:color="auto"/>
              <w:right w:val="none" w:sz="0" w:space="0" w:color="auto"/>
            </w:tcBorders>
          </w:tcPr>
          <w:p w14:paraId="3650F7D6" w14:textId="78CF8317"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rPr>
                <w:color w:val="4A4D56"/>
              </w:rPr>
              <w:t>Errata applied</w:t>
            </w:r>
          </w:p>
        </w:tc>
      </w:tr>
      <w:tr w:rsidR="00815892" w14:paraId="64DB4F98"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5F2C48C3" w14:textId="4BE50E94" w:rsidR="00815892" w:rsidRDefault="00815892" w:rsidP="00815892">
            <w:r>
              <w:rPr>
                <w:color w:val="4A4D56"/>
              </w:rPr>
              <w:t>Water Heater</w:t>
            </w:r>
          </w:p>
        </w:tc>
        <w:tc>
          <w:tcPr>
            <w:tcW w:w="2160" w:type="dxa"/>
            <w:tcBorders>
              <w:top w:val="none" w:sz="0" w:space="0" w:color="auto"/>
              <w:left w:val="none" w:sz="0" w:space="0" w:color="auto"/>
              <w:bottom w:val="none" w:sz="0" w:space="0" w:color="auto"/>
              <w:right w:val="none" w:sz="0" w:space="0" w:color="auto"/>
            </w:tcBorders>
          </w:tcPr>
          <w:p w14:paraId="40F051E8" w14:textId="2D6D1C1C"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4.3.1</w:t>
            </w:r>
          </w:p>
        </w:tc>
        <w:tc>
          <w:tcPr>
            <w:tcW w:w="3271" w:type="dxa"/>
            <w:tcBorders>
              <w:top w:val="none" w:sz="0" w:space="0" w:color="auto"/>
              <w:left w:val="none" w:sz="0" w:space="0" w:color="auto"/>
              <w:bottom w:val="none" w:sz="0" w:space="0" w:color="auto"/>
              <w:right w:val="none" w:sz="0" w:space="0" w:color="auto"/>
            </w:tcBorders>
          </w:tcPr>
          <w:p w14:paraId="5E830ECA" w14:textId="4DDC1791"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rPr>
                <w:color w:val="4A4D56"/>
              </w:rPr>
              <w:t>Errata applied</w:t>
            </w:r>
          </w:p>
        </w:tc>
      </w:tr>
      <w:tr w:rsidR="00815892" w14:paraId="627CD31E"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C896FDB" w14:textId="0F80F4C3" w:rsidR="00815892" w:rsidRDefault="00815892" w:rsidP="00815892">
            <w:r>
              <w:rPr>
                <w:color w:val="4A4D56"/>
              </w:rPr>
              <w:t>Ozone Laundry</w:t>
            </w:r>
          </w:p>
        </w:tc>
        <w:tc>
          <w:tcPr>
            <w:tcW w:w="2160" w:type="dxa"/>
            <w:tcBorders>
              <w:top w:val="none" w:sz="0" w:space="0" w:color="auto"/>
              <w:left w:val="none" w:sz="0" w:space="0" w:color="auto"/>
              <w:bottom w:val="none" w:sz="0" w:space="0" w:color="auto"/>
              <w:right w:val="none" w:sz="0" w:space="0" w:color="auto"/>
            </w:tcBorders>
          </w:tcPr>
          <w:p w14:paraId="4F950524" w14:textId="613AA392"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4.3.6</w:t>
            </w:r>
          </w:p>
        </w:tc>
        <w:tc>
          <w:tcPr>
            <w:tcW w:w="3271" w:type="dxa"/>
            <w:tcBorders>
              <w:top w:val="none" w:sz="0" w:space="0" w:color="auto"/>
              <w:left w:val="none" w:sz="0" w:space="0" w:color="auto"/>
              <w:bottom w:val="none" w:sz="0" w:space="0" w:color="auto"/>
              <w:right w:val="none" w:sz="0" w:space="0" w:color="auto"/>
            </w:tcBorders>
          </w:tcPr>
          <w:p w14:paraId="22F31517" w14:textId="21A203DD"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385C4E1C"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69BC15D7" w14:textId="5F7AF75F" w:rsidR="00815892" w:rsidRDefault="00815892" w:rsidP="00815892">
            <w:r>
              <w:rPr>
                <w:color w:val="4A4D56"/>
              </w:rPr>
              <w:t>Tank Insulation</w:t>
            </w:r>
          </w:p>
        </w:tc>
        <w:tc>
          <w:tcPr>
            <w:tcW w:w="2160" w:type="dxa"/>
            <w:tcBorders>
              <w:top w:val="none" w:sz="0" w:space="0" w:color="auto"/>
              <w:left w:val="none" w:sz="0" w:space="0" w:color="auto"/>
              <w:bottom w:val="none" w:sz="0" w:space="0" w:color="auto"/>
              <w:right w:val="none" w:sz="0" w:space="0" w:color="auto"/>
            </w:tcBorders>
          </w:tcPr>
          <w:p w14:paraId="6F9EC12E" w14:textId="0B70D94C"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4.3.12</w:t>
            </w:r>
          </w:p>
        </w:tc>
        <w:tc>
          <w:tcPr>
            <w:tcW w:w="3271" w:type="dxa"/>
            <w:tcBorders>
              <w:top w:val="none" w:sz="0" w:space="0" w:color="auto"/>
              <w:left w:val="none" w:sz="0" w:space="0" w:color="auto"/>
              <w:bottom w:val="none" w:sz="0" w:space="0" w:color="auto"/>
              <w:right w:val="none" w:sz="0" w:space="0" w:color="auto"/>
            </w:tcBorders>
          </w:tcPr>
          <w:p w14:paraId="3865E704" w14:textId="034CEDAA"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2CD7BF3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82D50DA" w14:textId="394636F3" w:rsidR="00815892" w:rsidRDefault="00815892" w:rsidP="00815892">
            <w:r>
              <w:rPr>
                <w:color w:val="4A4D56"/>
              </w:rPr>
              <w:t>Space Heating Boiler Tune-up</w:t>
            </w:r>
          </w:p>
        </w:tc>
        <w:tc>
          <w:tcPr>
            <w:tcW w:w="2160" w:type="dxa"/>
            <w:tcBorders>
              <w:top w:val="none" w:sz="0" w:space="0" w:color="auto"/>
              <w:left w:val="none" w:sz="0" w:space="0" w:color="auto"/>
              <w:bottom w:val="none" w:sz="0" w:space="0" w:color="auto"/>
              <w:right w:val="none" w:sz="0" w:space="0" w:color="auto"/>
            </w:tcBorders>
          </w:tcPr>
          <w:p w14:paraId="0D839C61" w14:textId="55B6D7DA"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4.4.2</w:t>
            </w:r>
          </w:p>
        </w:tc>
        <w:tc>
          <w:tcPr>
            <w:tcW w:w="3271" w:type="dxa"/>
            <w:tcBorders>
              <w:top w:val="none" w:sz="0" w:space="0" w:color="auto"/>
              <w:left w:val="none" w:sz="0" w:space="0" w:color="auto"/>
              <w:bottom w:val="none" w:sz="0" w:space="0" w:color="auto"/>
              <w:right w:val="none" w:sz="0" w:space="0" w:color="auto"/>
            </w:tcBorders>
          </w:tcPr>
          <w:p w14:paraId="0D12FF45" w14:textId="6283B34A"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1E65552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6BCFE0A5" w14:textId="718209B4" w:rsidR="00815892" w:rsidRDefault="00815892" w:rsidP="00815892">
            <w:r>
              <w:rPr>
                <w:color w:val="4A4D56"/>
              </w:rPr>
              <w:t>Process Boiler Tune-up</w:t>
            </w:r>
          </w:p>
        </w:tc>
        <w:tc>
          <w:tcPr>
            <w:tcW w:w="2160" w:type="dxa"/>
            <w:tcBorders>
              <w:top w:val="none" w:sz="0" w:space="0" w:color="auto"/>
              <w:left w:val="none" w:sz="0" w:space="0" w:color="auto"/>
              <w:bottom w:val="none" w:sz="0" w:space="0" w:color="auto"/>
              <w:right w:val="none" w:sz="0" w:space="0" w:color="auto"/>
            </w:tcBorders>
          </w:tcPr>
          <w:p w14:paraId="20EA0C36" w14:textId="24BB26D8"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4.4.3</w:t>
            </w:r>
          </w:p>
        </w:tc>
        <w:tc>
          <w:tcPr>
            <w:tcW w:w="3271" w:type="dxa"/>
            <w:tcBorders>
              <w:top w:val="none" w:sz="0" w:space="0" w:color="auto"/>
              <w:left w:val="none" w:sz="0" w:space="0" w:color="auto"/>
              <w:bottom w:val="none" w:sz="0" w:space="0" w:color="auto"/>
              <w:right w:val="none" w:sz="0" w:space="0" w:color="auto"/>
            </w:tcBorders>
          </w:tcPr>
          <w:p w14:paraId="4DE3273E" w14:textId="3ACDE80A"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04794C0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307FCA80" w14:textId="084B8A9F" w:rsidR="00815892" w:rsidRDefault="00815892" w:rsidP="00815892">
            <w:r>
              <w:rPr>
                <w:color w:val="4A4D56"/>
              </w:rPr>
              <w:t>Electric Chiller</w:t>
            </w:r>
          </w:p>
        </w:tc>
        <w:tc>
          <w:tcPr>
            <w:tcW w:w="2160" w:type="dxa"/>
            <w:tcBorders>
              <w:top w:val="none" w:sz="0" w:space="0" w:color="auto"/>
              <w:left w:val="none" w:sz="0" w:space="0" w:color="auto"/>
              <w:bottom w:val="none" w:sz="0" w:space="0" w:color="auto"/>
              <w:right w:val="none" w:sz="0" w:space="0" w:color="auto"/>
            </w:tcBorders>
          </w:tcPr>
          <w:p w14:paraId="31885F7A" w14:textId="5511B813"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4.4.6</w:t>
            </w:r>
          </w:p>
        </w:tc>
        <w:tc>
          <w:tcPr>
            <w:tcW w:w="3271" w:type="dxa"/>
            <w:tcBorders>
              <w:top w:val="none" w:sz="0" w:space="0" w:color="auto"/>
              <w:left w:val="none" w:sz="0" w:space="0" w:color="auto"/>
              <w:bottom w:val="none" w:sz="0" w:space="0" w:color="auto"/>
              <w:right w:val="none" w:sz="0" w:space="0" w:color="auto"/>
            </w:tcBorders>
          </w:tcPr>
          <w:p w14:paraId="57C39007" w14:textId="23CF813A"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3F5C1839"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34FE4459" w14:textId="6A9D5D1E" w:rsidR="00815892" w:rsidRDefault="00815892" w:rsidP="00815892">
            <w:r>
              <w:rPr>
                <w:color w:val="4A4D56"/>
              </w:rPr>
              <w:t>Guest Room Energy Management (PTAC &amp; PTHP)</w:t>
            </w:r>
          </w:p>
        </w:tc>
        <w:tc>
          <w:tcPr>
            <w:tcW w:w="2160" w:type="dxa"/>
            <w:tcBorders>
              <w:top w:val="none" w:sz="0" w:space="0" w:color="auto"/>
              <w:left w:val="none" w:sz="0" w:space="0" w:color="auto"/>
              <w:bottom w:val="none" w:sz="0" w:space="0" w:color="auto"/>
              <w:right w:val="none" w:sz="0" w:space="0" w:color="auto"/>
            </w:tcBorders>
          </w:tcPr>
          <w:p w14:paraId="1990CDB2" w14:textId="320A39F1"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4.4.8</w:t>
            </w:r>
          </w:p>
        </w:tc>
        <w:tc>
          <w:tcPr>
            <w:tcW w:w="3271" w:type="dxa"/>
            <w:tcBorders>
              <w:top w:val="none" w:sz="0" w:space="0" w:color="auto"/>
              <w:left w:val="none" w:sz="0" w:space="0" w:color="auto"/>
              <w:bottom w:val="none" w:sz="0" w:space="0" w:color="auto"/>
              <w:right w:val="none" w:sz="0" w:space="0" w:color="auto"/>
            </w:tcBorders>
          </w:tcPr>
          <w:p w14:paraId="632FE474" w14:textId="4D5D978F"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42E7E23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B1A13A1" w14:textId="1A8C2DF5" w:rsidR="00815892" w:rsidRDefault="00815892" w:rsidP="00815892">
            <w:r>
              <w:rPr>
                <w:color w:val="4A4D56"/>
              </w:rPr>
              <w:t>High Efficiency Boiler</w:t>
            </w:r>
          </w:p>
        </w:tc>
        <w:tc>
          <w:tcPr>
            <w:tcW w:w="2160" w:type="dxa"/>
            <w:tcBorders>
              <w:top w:val="none" w:sz="0" w:space="0" w:color="auto"/>
              <w:left w:val="none" w:sz="0" w:space="0" w:color="auto"/>
              <w:bottom w:val="none" w:sz="0" w:space="0" w:color="auto"/>
              <w:right w:val="none" w:sz="0" w:space="0" w:color="auto"/>
            </w:tcBorders>
          </w:tcPr>
          <w:p w14:paraId="426FE7EC" w14:textId="0ECBBDCA"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4.4.10</w:t>
            </w:r>
          </w:p>
        </w:tc>
        <w:tc>
          <w:tcPr>
            <w:tcW w:w="3271" w:type="dxa"/>
            <w:tcBorders>
              <w:top w:val="none" w:sz="0" w:space="0" w:color="auto"/>
              <w:left w:val="none" w:sz="0" w:space="0" w:color="auto"/>
              <w:bottom w:val="none" w:sz="0" w:space="0" w:color="auto"/>
              <w:right w:val="none" w:sz="0" w:space="0" w:color="auto"/>
            </w:tcBorders>
          </w:tcPr>
          <w:p w14:paraId="5A2119CE" w14:textId="393CA12F"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rPr>
                <w:color w:val="4A4D56"/>
              </w:rPr>
              <w:t>Errata applied</w:t>
            </w:r>
          </w:p>
        </w:tc>
      </w:tr>
      <w:tr w:rsidR="00815892" w14:paraId="5F9A570A"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54DDD415" w14:textId="660067C1" w:rsidR="00815892" w:rsidRDefault="00815892" w:rsidP="00815892">
            <w:r>
              <w:rPr>
                <w:color w:val="4A4D56"/>
              </w:rPr>
              <w:t>High Efficiency Furnace</w:t>
            </w:r>
          </w:p>
        </w:tc>
        <w:tc>
          <w:tcPr>
            <w:tcW w:w="2160" w:type="dxa"/>
            <w:tcBorders>
              <w:top w:val="none" w:sz="0" w:space="0" w:color="auto"/>
              <w:left w:val="none" w:sz="0" w:space="0" w:color="auto"/>
              <w:bottom w:val="none" w:sz="0" w:space="0" w:color="auto"/>
              <w:right w:val="none" w:sz="0" w:space="0" w:color="auto"/>
            </w:tcBorders>
          </w:tcPr>
          <w:p w14:paraId="5D1E18BF" w14:textId="38995598"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4.4.11</w:t>
            </w:r>
          </w:p>
        </w:tc>
        <w:tc>
          <w:tcPr>
            <w:tcW w:w="3271" w:type="dxa"/>
            <w:tcBorders>
              <w:top w:val="none" w:sz="0" w:space="0" w:color="auto"/>
              <w:left w:val="none" w:sz="0" w:space="0" w:color="auto"/>
              <w:bottom w:val="none" w:sz="0" w:space="0" w:color="auto"/>
              <w:right w:val="none" w:sz="0" w:space="0" w:color="auto"/>
            </w:tcBorders>
          </w:tcPr>
          <w:p w14:paraId="66A83F89" w14:textId="6D757312"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1EF00AFB"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3F0A0688" w14:textId="4DCC64FC" w:rsidR="00815892" w:rsidRDefault="00815892" w:rsidP="00815892">
            <w:r>
              <w:rPr>
                <w:color w:val="4A4D56"/>
              </w:rPr>
              <w:t>Infrared Heaters</w:t>
            </w:r>
          </w:p>
        </w:tc>
        <w:tc>
          <w:tcPr>
            <w:tcW w:w="2160" w:type="dxa"/>
            <w:tcBorders>
              <w:top w:val="none" w:sz="0" w:space="0" w:color="auto"/>
              <w:left w:val="none" w:sz="0" w:space="0" w:color="auto"/>
              <w:bottom w:val="none" w:sz="0" w:space="0" w:color="auto"/>
              <w:right w:val="none" w:sz="0" w:space="0" w:color="auto"/>
            </w:tcBorders>
          </w:tcPr>
          <w:p w14:paraId="7EA95875" w14:textId="354B03AB"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4.4.12</w:t>
            </w:r>
          </w:p>
        </w:tc>
        <w:tc>
          <w:tcPr>
            <w:tcW w:w="3271" w:type="dxa"/>
            <w:tcBorders>
              <w:top w:val="none" w:sz="0" w:space="0" w:color="auto"/>
              <w:left w:val="none" w:sz="0" w:space="0" w:color="auto"/>
              <w:bottom w:val="none" w:sz="0" w:space="0" w:color="auto"/>
              <w:right w:val="none" w:sz="0" w:space="0" w:color="auto"/>
            </w:tcBorders>
          </w:tcPr>
          <w:p w14:paraId="41B38487" w14:textId="19D89515"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6CB8EB7B"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79E21426" w14:textId="24DC17EE" w:rsidR="00815892" w:rsidRDefault="00815892" w:rsidP="00815892">
            <w:r>
              <w:rPr>
                <w:color w:val="4A4D56"/>
              </w:rPr>
              <w:t>Package Terminal Air Conditioner (PTAC) and Package Terminal Heat Pump (PTHP)</w:t>
            </w:r>
          </w:p>
        </w:tc>
        <w:tc>
          <w:tcPr>
            <w:tcW w:w="2160" w:type="dxa"/>
            <w:tcBorders>
              <w:top w:val="none" w:sz="0" w:space="0" w:color="auto"/>
              <w:left w:val="none" w:sz="0" w:space="0" w:color="auto"/>
              <w:bottom w:val="none" w:sz="0" w:space="0" w:color="auto"/>
              <w:right w:val="none" w:sz="0" w:space="0" w:color="auto"/>
            </w:tcBorders>
          </w:tcPr>
          <w:p w14:paraId="712BF541" w14:textId="2A8EBC03"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4.4.13</w:t>
            </w:r>
          </w:p>
        </w:tc>
        <w:tc>
          <w:tcPr>
            <w:tcW w:w="3271" w:type="dxa"/>
            <w:tcBorders>
              <w:top w:val="none" w:sz="0" w:space="0" w:color="auto"/>
              <w:left w:val="none" w:sz="0" w:space="0" w:color="auto"/>
              <w:bottom w:val="none" w:sz="0" w:space="0" w:color="auto"/>
              <w:right w:val="none" w:sz="0" w:space="0" w:color="auto"/>
            </w:tcBorders>
          </w:tcPr>
          <w:p w14:paraId="3E6CBDC4" w14:textId="40CF7B8F"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5841472C"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0D2EC160" w14:textId="72C3E6D3" w:rsidR="00815892" w:rsidRDefault="00815892" w:rsidP="00815892">
            <w:r>
              <w:rPr>
                <w:color w:val="4A4D56"/>
              </w:rPr>
              <w:t>Steam Trap Replacement or Repair</w:t>
            </w:r>
          </w:p>
        </w:tc>
        <w:tc>
          <w:tcPr>
            <w:tcW w:w="2160" w:type="dxa"/>
            <w:tcBorders>
              <w:top w:val="none" w:sz="0" w:space="0" w:color="auto"/>
              <w:left w:val="none" w:sz="0" w:space="0" w:color="auto"/>
              <w:bottom w:val="none" w:sz="0" w:space="0" w:color="auto"/>
              <w:right w:val="none" w:sz="0" w:space="0" w:color="auto"/>
            </w:tcBorders>
          </w:tcPr>
          <w:p w14:paraId="55BD44BC" w14:textId="607B3099" w:rsidR="00815892" w:rsidRDefault="00815892" w:rsidP="003F35FE">
            <w:pPr>
              <w:jc w:val="center"/>
              <w:cnfStyle w:val="000000010000" w:firstRow="0" w:lastRow="0" w:firstColumn="0" w:lastColumn="0" w:oddVBand="0" w:evenVBand="0" w:oddHBand="0" w:evenHBand="1" w:firstRowFirstColumn="0" w:firstRowLastColumn="0" w:lastRowFirstColumn="0" w:lastRowLastColumn="0"/>
            </w:pPr>
            <w:r>
              <w:rPr>
                <w:color w:val="4A4D56"/>
              </w:rPr>
              <w:t>4.4.16</w:t>
            </w:r>
          </w:p>
        </w:tc>
        <w:tc>
          <w:tcPr>
            <w:tcW w:w="3271" w:type="dxa"/>
            <w:tcBorders>
              <w:top w:val="none" w:sz="0" w:space="0" w:color="auto"/>
              <w:left w:val="none" w:sz="0" w:space="0" w:color="auto"/>
              <w:bottom w:val="none" w:sz="0" w:space="0" w:color="auto"/>
              <w:right w:val="none" w:sz="0" w:space="0" w:color="auto"/>
            </w:tcBorders>
          </w:tcPr>
          <w:p w14:paraId="5902B75D" w14:textId="710458D6"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35964FDF"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5B543B66" w14:textId="4ED1023A" w:rsidR="00815892" w:rsidRDefault="00815892" w:rsidP="00815892">
            <w:r>
              <w:rPr>
                <w:color w:val="4A4D56"/>
              </w:rPr>
              <w:t>Variable Speed Drives for HVAC Pumps and Cooling Tower Fans</w:t>
            </w:r>
          </w:p>
        </w:tc>
        <w:tc>
          <w:tcPr>
            <w:tcW w:w="2160" w:type="dxa"/>
            <w:tcBorders>
              <w:top w:val="none" w:sz="0" w:space="0" w:color="auto"/>
              <w:left w:val="none" w:sz="0" w:space="0" w:color="auto"/>
              <w:bottom w:val="none" w:sz="0" w:space="0" w:color="auto"/>
              <w:right w:val="none" w:sz="0" w:space="0" w:color="auto"/>
            </w:tcBorders>
          </w:tcPr>
          <w:p w14:paraId="49779EC8" w14:textId="434F47E8" w:rsidR="00815892" w:rsidRDefault="00815892" w:rsidP="003F35FE">
            <w:pPr>
              <w:jc w:val="center"/>
              <w:cnfStyle w:val="000000100000" w:firstRow="0" w:lastRow="0" w:firstColumn="0" w:lastColumn="0" w:oddVBand="0" w:evenVBand="0" w:oddHBand="1" w:evenHBand="0" w:firstRowFirstColumn="0" w:firstRowLastColumn="0" w:lastRowFirstColumn="0" w:lastRowLastColumn="0"/>
            </w:pPr>
            <w:r>
              <w:rPr>
                <w:color w:val="4A4D56"/>
              </w:rPr>
              <w:t>4.4.17</w:t>
            </w:r>
          </w:p>
        </w:tc>
        <w:tc>
          <w:tcPr>
            <w:tcW w:w="3271" w:type="dxa"/>
            <w:tcBorders>
              <w:top w:val="none" w:sz="0" w:space="0" w:color="auto"/>
              <w:left w:val="none" w:sz="0" w:space="0" w:color="auto"/>
              <w:bottom w:val="none" w:sz="0" w:space="0" w:color="auto"/>
              <w:right w:val="none" w:sz="0" w:space="0" w:color="auto"/>
            </w:tcBorders>
          </w:tcPr>
          <w:p w14:paraId="0D13399F" w14:textId="53866B24"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0EC22BE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70B54E0D" w14:textId="1B6737FC" w:rsidR="00815892" w:rsidRDefault="00815892" w:rsidP="00815892">
            <w:pPr>
              <w:rPr>
                <w:color w:val="4A4D56"/>
              </w:rPr>
            </w:pPr>
            <w:r>
              <w:rPr>
                <w:color w:val="4A4D56"/>
              </w:rPr>
              <w:t>Unitary HVAC Condensing Furnace</w:t>
            </w:r>
          </w:p>
        </w:tc>
        <w:tc>
          <w:tcPr>
            <w:tcW w:w="2160" w:type="dxa"/>
            <w:tcBorders>
              <w:top w:val="none" w:sz="0" w:space="0" w:color="auto"/>
              <w:left w:val="none" w:sz="0" w:space="0" w:color="auto"/>
              <w:bottom w:val="none" w:sz="0" w:space="0" w:color="auto"/>
              <w:right w:val="none" w:sz="0" w:space="0" w:color="auto"/>
            </w:tcBorders>
          </w:tcPr>
          <w:p w14:paraId="76803F42" w14:textId="61DB7D1C"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4.4.37</w:t>
            </w:r>
          </w:p>
        </w:tc>
        <w:tc>
          <w:tcPr>
            <w:tcW w:w="3271" w:type="dxa"/>
            <w:tcBorders>
              <w:top w:val="none" w:sz="0" w:space="0" w:color="auto"/>
              <w:left w:val="none" w:sz="0" w:space="0" w:color="auto"/>
              <w:bottom w:val="none" w:sz="0" w:space="0" w:color="auto"/>
              <w:right w:val="none" w:sz="0" w:space="0" w:color="auto"/>
            </w:tcBorders>
          </w:tcPr>
          <w:p w14:paraId="3107AE9B" w14:textId="3C5B8EB6"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4AB440A6"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A1A19B9" w14:textId="1F7EB968" w:rsidR="00815892" w:rsidRDefault="00815892" w:rsidP="00815892">
            <w:pPr>
              <w:rPr>
                <w:color w:val="4A4D56"/>
              </w:rPr>
            </w:pPr>
            <w:r>
              <w:rPr>
                <w:color w:val="4A4D56"/>
              </w:rPr>
              <w:t>Steam Trap Monitoring System</w:t>
            </w:r>
          </w:p>
        </w:tc>
        <w:tc>
          <w:tcPr>
            <w:tcW w:w="2160" w:type="dxa"/>
            <w:tcBorders>
              <w:top w:val="none" w:sz="0" w:space="0" w:color="auto"/>
              <w:left w:val="none" w:sz="0" w:space="0" w:color="auto"/>
              <w:bottom w:val="none" w:sz="0" w:space="0" w:color="auto"/>
              <w:right w:val="none" w:sz="0" w:space="0" w:color="auto"/>
            </w:tcBorders>
          </w:tcPr>
          <w:p w14:paraId="6659B6E1" w14:textId="5B9B83BA"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4.4.58</w:t>
            </w:r>
          </w:p>
        </w:tc>
        <w:tc>
          <w:tcPr>
            <w:tcW w:w="3271" w:type="dxa"/>
            <w:tcBorders>
              <w:top w:val="none" w:sz="0" w:space="0" w:color="auto"/>
              <w:left w:val="none" w:sz="0" w:space="0" w:color="auto"/>
              <w:bottom w:val="none" w:sz="0" w:space="0" w:color="auto"/>
              <w:right w:val="none" w:sz="0" w:space="0" w:color="auto"/>
            </w:tcBorders>
          </w:tcPr>
          <w:p w14:paraId="1AC9CC6D" w14:textId="78195234"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1366DE6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0020EBFD" w14:textId="292CC84D" w:rsidR="00815892" w:rsidRDefault="00815892" w:rsidP="00815892">
            <w:pPr>
              <w:rPr>
                <w:color w:val="4A4D56"/>
              </w:rPr>
            </w:pPr>
            <w:r>
              <w:rPr>
                <w:color w:val="4A4D56"/>
              </w:rPr>
              <w:t>Automatic Door Closer for Walk-In Coolers and Freezers</w:t>
            </w:r>
          </w:p>
        </w:tc>
        <w:tc>
          <w:tcPr>
            <w:tcW w:w="2160" w:type="dxa"/>
            <w:tcBorders>
              <w:top w:val="none" w:sz="0" w:space="0" w:color="auto"/>
              <w:left w:val="none" w:sz="0" w:space="0" w:color="auto"/>
              <w:bottom w:val="none" w:sz="0" w:space="0" w:color="auto"/>
              <w:right w:val="none" w:sz="0" w:space="0" w:color="auto"/>
            </w:tcBorders>
          </w:tcPr>
          <w:p w14:paraId="0A09E78F" w14:textId="360D0C0A"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4.6.1</w:t>
            </w:r>
          </w:p>
        </w:tc>
        <w:tc>
          <w:tcPr>
            <w:tcW w:w="3271" w:type="dxa"/>
            <w:tcBorders>
              <w:top w:val="none" w:sz="0" w:space="0" w:color="auto"/>
              <w:left w:val="none" w:sz="0" w:space="0" w:color="auto"/>
              <w:bottom w:val="none" w:sz="0" w:space="0" w:color="auto"/>
              <w:right w:val="none" w:sz="0" w:space="0" w:color="auto"/>
            </w:tcBorders>
          </w:tcPr>
          <w:p w14:paraId="39051797" w14:textId="2D939BD9"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455720B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6C6DF452" w14:textId="31B0253C" w:rsidR="00815892" w:rsidRDefault="00815892" w:rsidP="00815892">
            <w:pPr>
              <w:rPr>
                <w:color w:val="4A4D56"/>
              </w:rPr>
            </w:pPr>
            <w:r>
              <w:rPr>
                <w:color w:val="4A4D56"/>
              </w:rPr>
              <w:t>ECM</w:t>
            </w:r>
            <w:r w:rsidR="008732BD">
              <w:rPr>
                <w:color w:val="4A4D56"/>
              </w:rPr>
              <w:t>s</w:t>
            </w:r>
            <w:r>
              <w:rPr>
                <w:color w:val="4A4D56"/>
              </w:rPr>
              <w:t xml:space="preserve"> for Walk-in and Reach-in Coolers / Freezers</w:t>
            </w:r>
          </w:p>
        </w:tc>
        <w:tc>
          <w:tcPr>
            <w:tcW w:w="2160" w:type="dxa"/>
            <w:tcBorders>
              <w:top w:val="none" w:sz="0" w:space="0" w:color="auto"/>
              <w:left w:val="none" w:sz="0" w:space="0" w:color="auto"/>
              <w:bottom w:val="none" w:sz="0" w:space="0" w:color="auto"/>
              <w:right w:val="none" w:sz="0" w:space="0" w:color="auto"/>
            </w:tcBorders>
          </w:tcPr>
          <w:p w14:paraId="5142D9C3" w14:textId="1BFDE746"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4.6.4</w:t>
            </w:r>
          </w:p>
        </w:tc>
        <w:tc>
          <w:tcPr>
            <w:tcW w:w="3271" w:type="dxa"/>
            <w:tcBorders>
              <w:top w:val="none" w:sz="0" w:space="0" w:color="auto"/>
              <w:left w:val="none" w:sz="0" w:space="0" w:color="auto"/>
              <w:bottom w:val="none" w:sz="0" w:space="0" w:color="auto"/>
              <w:right w:val="none" w:sz="0" w:space="0" w:color="auto"/>
            </w:tcBorders>
          </w:tcPr>
          <w:p w14:paraId="0CA8DDF1" w14:textId="769E299D"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02343F55"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3A8E24B5" w14:textId="2CAF6D4A" w:rsidR="00815892" w:rsidRDefault="00815892" w:rsidP="00815892">
            <w:pPr>
              <w:rPr>
                <w:color w:val="4A4D56"/>
              </w:rPr>
            </w:pPr>
            <w:r>
              <w:rPr>
                <w:color w:val="4A4D56"/>
              </w:rPr>
              <w:t>Evaporator Fan Control for Electrically Commutated Motors</w:t>
            </w:r>
          </w:p>
        </w:tc>
        <w:tc>
          <w:tcPr>
            <w:tcW w:w="2160" w:type="dxa"/>
            <w:tcBorders>
              <w:top w:val="none" w:sz="0" w:space="0" w:color="auto"/>
              <w:left w:val="none" w:sz="0" w:space="0" w:color="auto"/>
              <w:bottom w:val="none" w:sz="0" w:space="0" w:color="auto"/>
              <w:right w:val="none" w:sz="0" w:space="0" w:color="auto"/>
            </w:tcBorders>
          </w:tcPr>
          <w:p w14:paraId="7A22F7A3" w14:textId="61007018"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4.6.6</w:t>
            </w:r>
          </w:p>
        </w:tc>
        <w:tc>
          <w:tcPr>
            <w:tcW w:w="3271" w:type="dxa"/>
            <w:tcBorders>
              <w:top w:val="none" w:sz="0" w:space="0" w:color="auto"/>
              <w:left w:val="none" w:sz="0" w:space="0" w:color="auto"/>
              <w:bottom w:val="none" w:sz="0" w:space="0" w:color="auto"/>
              <w:right w:val="none" w:sz="0" w:space="0" w:color="auto"/>
            </w:tcBorders>
          </w:tcPr>
          <w:p w14:paraId="2A8317C9" w14:textId="68D93C1B"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6F963E7F"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296E5408" w14:textId="70E3CD85" w:rsidR="00815892" w:rsidRDefault="00815892" w:rsidP="00815892">
            <w:pPr>
              <w:rPr>
                <w:color w:val="4A4D56"/>
              </w:rPr>
            </w:pPr>
            <w:r>
              <w:rPr>
                <w:color w:val="4A4D56"/>
              </w:rPr>
              <w:t>Add Doors to Open Refrigerated Display Cases</w:t>
            </w:r>
          </w:p>
        </w:tc>
        <w:tc>
          <w:tcPr>
            <w:tcW w:w="2160" w:type="dxa"/>
            <w:tcBorders>
              <w:top w:val="none" w:sz="0" w:space="0" w:color="auto"/>
              <w:left w:val="none" w:sz="0" w:space="0" w:color="auto"/>
              <w:bottom w:val="none" w:sz="0" w:space="0" w:color="auto"/>
              <w:right w:val="none" w:sz="0" w:space="0" w:color="auto"/>
            </w:tcBorders>
          </w:tcPr>
          <w:p w14:paraId="089A7A93" w14:textId="6E504EDD"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4.6.13</w:t>
            </w:r>
          </w:p>
        </w:tc>
        <w:tc>
          <w:tcPr>
            <w:tcW w:w="3271" w:type="dxa"/>
            <w:tcBorders>
              <w:top w:val="none" w:sz="0" w:space="0" w:color="auto"/>
              <w:left w:val="none" w:sz="0" w:space="0" w:color="auto"/>
              <w:bottom w:val="none" w:sz="0" w:space="0" w:color="auto"/>
              <w:right w:val="none" w:sz="0" w:space="0" w:color="auto"/>
            </w:tcBorders>
          </w:tcPr>
          <w:p w14:paraId="295CFE58" w14:textId="19EE75B0"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70AEB337"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71E887BE" w14:textId="6C25AF16" w:rsidR="00815892" w:rsidRDefault="00815892" w:rsidP="00815892">
            <w:pPr>
              <w:rPr>
                <w:color w:val="4A4D56"/>
              </w:rPr>
            </w:pPr>
            <w:r>
              <w:rPr>
                <w:color w:val="4A4D56"/>
              </w:rPr>
              <w:t>VSD Air Compressor</w:t>
            </w:r>
          </w:p>
        </w:tc>
        <w:tc>
          <w:tcPr>
            <w:tcW w:w="2160" w:type="dxa"/>
            <w:tcBorders>
              <w:top w:val="none" w:sz="0" w:space="0" w:color="auto"/>
              <w:left w:val="none" w:sz="0" w:space="0" w:color="auto"/>
              <w:bottom w:val="none" w:sz="0" w:space="0" w:color="auto"/>
              <w:right w:val="none" w:sz="0" w:space="0" w:color="auto"/>
            </w:tcBorders>
          </w:tcPr>
          <w:p w14:paraId="00AC7CBD" w14:textId="7CBACA23"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4.7.1</w:t>
            </w:r>
          </w:p>
        </w:tc>
        <w:tc>
          <w:tcPr>
            <w:tcW w:w="3271" w:type="dxa"/>
            <w:tcBorders>
              <w:top w:val="none" w:sz="0" w:space="0" w:color="auto"/>
              <w:left w:val="none" w:sz="0" w:space="0" w:color="auto"/>
              <w:bottom w:val="none" w:sz="0" w:space="0" w:color="auto"/>
              <w:right w:val="none" w:sz="0" w:space="0" w:color="auto"/>
            </w:tcBorders>
          </w:tcPr>
          <w:p w14:paraId="743A03BF" w14:textId="24E99754"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70B9CE5B"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791E41E2" w14:textId="305F39AC" w:rsidR="00815892" w:rsidRDefault="00815892" w:rsidP="00815892">
            <w:pPr>
              <w:rPr>
                <w:color w:val="4A4D56"/>
              </w:rPr>
            </w:pPr>
            <w:r>
              <w:rPr>
                <w:color w:val="4A4D56"/>
              </w:rPr>
              <w:t>Compressed Air Low Pressure Drop Filters</w:t>
            </w:r>
          </w:p>
        </w:tc>
        <w:tc>
          <w:tcPr>
            <w:tcW w:w="2160" w:type="dxa"/>
            <w:tcBorders>
              <w:top w:val="none" w:sz="0" w:space="0" w:color="auto"/>
              <w:left w:val="none" w:sz="0" w:space="0" w:color="auto"/>
              <w:bottom w:val="none" w:sz="0" w:space="0" w:color="auto"/>
              <w:right w:val="none" w:sz="0" w:space="0" w:color="auto"/>
            </w:tcBorders>
          </w:tcPr>
          <w:p w14:paraId="18D27384" w14:textId="50345240"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4.7.2</w:t>
            </w:r>
          </w:p>
        </w:tc>
        <w:tc>
          <w:tcPr>
            <w:tcW w:w="3271" w:type="dxa"/>
            <w:tcBorders>
              <w:top w:val="none" w:sz="0" w:space="0" w:color="auto"/>
              <w:left w:val="none" w:sz="0" w:space="0" w:color="auto"/>
              <w:bottom w:val="none" w:sz="0" w:space="0" w:color="auto"/>
              <w:right w:val="none" w:sz="0" w:space="0" w:color="auto"/>
            </w:tcBorders>
          </w:tcPr>
          <w:p w14:paraId="5CA63E88" w14:textId="02444821"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0A550F9A"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232E68EE" w14:textId="108FDC87" w:rsidR="00815892" w:rsidRDefault="00815892" w:rsidP="00815892">
            <w:pPr>
              <w:rPr>
                <w:color w:val="4A4D56"/>
              </w:rPr>
            </w:pPr>
            <w:r>
              <w:rPr>
                <w:color w:val="4A4D56"/>
              </w:rPr>
              <w:t>Compressed Air No-Loss Condensate Drains</w:t>
            </w:r>
          </w:p>
        </w:tc>
        <w:tc>
          <w:tcPr>
            <w:tcW w:w="2160" w:type="dxa"/>
            <w:tcBorders>
              <w:top w:val="none" w:sz="0" w:space="0" w:color="auto"/>
              <w:left w:val="none" w:sz="0" w:space="0" w:color="auto"/>
              <w:bottom w:val="none" w:sz="0" w:space="0" w:color="auto"/>
              <w:right w:val="none" w:sz="0" w:space="0" w:color="auto"/>
            </w:tcBorders>
          </w:tcPr>
          <w:p w14:paraId="467C2D48" w14:textId="7A0BE5E8"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4.7.3</w:t>
            </w:r>
          </w:p>
        </w:tc>
        <w:tc>
          <w:tcPr>
            <w:tcW w:w="3271" w:type="dxa"/>
            <w:tcBorders>
              <w:top w:val="none" w:sz="0" w:space="0" w:color="auto"/>
              <w:left w:val="none" w:sz="0" w:space="0" w:color="auto"/>
              <w:bottom w:val="none" w:sz="0" w:space="0" w:color="auto"/>
              <w:right w:val="none" w:sz="0" w:space="0" w:color="auto"/>
            </w:tcBorders>
          </w:tcPr>
          <w:p w14:paraId="24E1ED30" w14:textId="357FF556"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006A2BB2"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7C442D28" w14:textId="08F3A80E" w:rsidR="00815892" w:rsidRDefault="00815892" w:rsidP="00815892">
            <w:pPr>
              <w:rPr>
                <w:color w:val="4A4D56"/>
              </w:rPr>
            </w:pPr>
            <w:r>
              <w:rPr>
                <w:color w:val="4A4D56"/>
              </w:rPr>
              <w:lastRenderedPageBreak/>
              <w:t>Compressed Air Storage Receiver Tank</w:t>
            </w:r>
          </w:p>
        </w:tc>
        <w:tc>
          <w:tcPr>
            <w:tcW w:w="2160" w:type="dxa"/>
            <w:tcBorders>
              <w:top w:val="none" w:sz="0" w:space="0" w:color="auto"/>
              <w:left w:val="none" w:sz="0" w:space="0" w:color="auto"/>
              <w:bottom w:val="none" w:sz="0" w:space="0" w:color="auto"/>
              <w:right w:val="none" w:sz="0" w:space="0" w:color="auto"/>
            </w:tcBorders>
          </w:tcPr>
          <w:p w14:paraId="5E8549CC" w14:textId="0682E354"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4.7.10</w:t>
            </w:r>
          </w:p>
        </w:tc>
        <w:tc>
          <w:tcPr>
            <w:tcW w:w="3271" w:type="dxa"/>
            <w:tcBorders>
              <w:top w:val="none" w:sz="0" w:space="0" w:color="auto"/>
              <w:left w:val="none" w:sz="0" w:space="0" w:color="auto"/>
              <w:bottom w:val="none" w:sz="0" w:space="0" w:color="auto"/>
              <w:right w:val="none" w:sz="0" w:space="0" w:color="auto"/>
            </w:tcBorders>
          </w:tcPr>
          <w:p w14:paraId="3A6CF119" w14:textId="6657B081"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7FD90DF1"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041AF674" w14:textId="4D1B3E66" w:rsidR="00815892" w:rsidRDefault="00815892" w:rsidP="00815892">
            <w:pPr>
              <w:rPr>
                <w:color w:val="4A4D56"/>
              </w:rPr>
            </w:pPr>
            <w:r>
              <w:rPr>
                <w:color w:val="4A4D56"/>
              </w:rPr>
              <w:t>Reduce Compressed Air Setpoint</w:t>
            </w:r>
          </w:p>
        </w:tc>
        <w:tc>
          <w:tcPr>
            <w:tcW w:w="2160" w:type="dxa"/>
            <w:tcBorders>
              <w:top w:val="none" w:sz="0" w:space="0" w:color="auto"/>
              <w:left w:val="none" w:sz="0" w:space="0" w:color="auto"/>
              <w:bottom w:val="none" w:sz="0" w:space="0" w:color="auto"/>
              <w:right w:val="none" w:sz="0" w:space="0" w:color="auto"/>
            </w:tcBorders>
          </w:tcPr>
          <w:p w14:paraId="196D68C1" w14:textId="29359A5C"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4.7.11</w:t>
            </w:r>
          </w:p>
        </w:tc>
        <w:tc>
          <w:tcPr>
            <w:tcW w:w="3271" w:type="dxa"/>
            <w:tcBorders>
              <w:top w:val="none" w:sz="0" w:space="0" w:color="auto"/>
              <w:left w:val="none" w:sz="0" w:space="0" w:color="auto"/>
              <w:bottom w:val="none" w:sz="0" w:space="0" w:color="auto"/>
              <w:right w:val="none" w:sz="0" w:space="0" w:color="auto"/>
            </w:tcBorders>
          </w:tcPr>
          <w:p w14:paraId="15588452" w14:textId="086F83F5"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26D5A810"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4F8C5E0" w14:textId="3925FAE3" w:rsidR="00815892" w:rsidRDefault="00815892" w:rsidP="00815892">
            <w:pPr>
              <w:rPr>
                <w:color w:val="4A4D56"/>
              </w:rPr>
            </w:pPr>
            <w:r>
              <w:rPr>
                <w:color w:val="4A4D56"/>
              </w:rPr>
              <w:t>High Frequency Battery Chargers</w:t>
            </w:r>
          </w:p>
        </w:tc>
        <w:tc>
          <w:tcPr>
            <w:tcW w:w="2160" w:type="dxa"/>
            <w:tcBorders>
              <w:top w:val="none" w:sz="0" w:space="0" w:color="auto"/>
              <w:left w:val="none" w:sz="0" w:space="0" w:color="auto"/>
              <w:bottom w:val="none" w:sz="0" w:space="0" w:color="auto"/>
              <w:right w:val="none" w:sz="0" w:space="0" w:color="auto"/>
            </w:tcBorders>
          </w:tcPr>
          <w:p w14:paraId="16CC0103" w14:textId="0116A8BE"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4.8.9</w:t>
            </w:r>
          </w:p>
        </w:tc>
        <w:tc>
          <w:tcPr>
            <w:tcW w:w="3271" w:type="dxa"/>
            <w:tcBorders>
              <w:top w:val="none" w:sz="0" w:space="0" w:color="auto"/>
              <w:left w:val="none" w:sz="0" w:space="0" w:color="auto"/>
              <w:bottom w:val="none" w:sz="0" w:space="0" w:color="auto"/>
              <w:right w:val="none" w:sz="0" w:space="0" w:color="auto"/>
            </w:tcBorders>
          </w:tcPr>
          <w:p w14:paraId="2B4F9361" w14:textId="5D541F11"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rPr>
                <w:color w:val="4A4D56"/>
              </w:rPr>
              <w:t>Errata applied</w:t>
            </w:r>
          </w:p>
        </w:tc>
      </w:tr>
      <w:tr w:rsidR="00815892" w14:paraId="4471435F"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6D9D2DA6" w14:textId="7F38C928" w:rsidR="00815892" w:rsidRDefault="00815892" w:rsidP="00815892">
            <w:pPr>
              <w:rPr>
                <w:color w:val="4A4D56"/>
              </w:rPr>
            </w:pPr>
            <w:r>
              <w:rPr>
                <w:color w:val="4A4D56"/>
              </w:rPr>
              <w:t>Variable Speed Drives for Process Fans</w:t>
            </w:r>
          </w:p>
        </w:tc>
        <w:tc>
          <w:tcPr>
            <w:tcW w:w="2160" w:type="dxa"/>
            <w:tcBorders>
              <w:top w:val="none" w:sz="0" w:space="0" w:color="auto"/>
              <w:left w:val="none" w:sz="0" w:space="0" w:color="auto"/>
              <w:bottom w:val="none" w:sz="0" w:space="0" w:color="auto"/>
              <w:right w:val="none" w:sz="0" w:space="0" w:color="auto"/>
            </w:tcBorders>
          </w:tcPr>
          <w:p w14:paraId="41ED3037" w14:textId="408A041C"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4.8.13</w:t>
            </w:r>
          </w:p>
        </w:tc>
        <w:tc>
          <w:tcPr>
            <w:tcW w:w="3271" w:type="dxa"/>
            <w:tcBorders>
              <w:top w:val="none" w:sz="0" w:space="0" w:color="auto"/>
              <w:left w:val="none" w:sz="0" w:space="0" w:color="auto"/>
              <w:bottom w:val="none" w:sz="0" w:space="0" w:color="auto"/>
              <w:right w:val="none" w:sz="0" w:space="0" w:color="auto"/>
            </w:tcBorders>
          </w:tcPr>
          <w:p w14:paraId="435F9203" w14:textId="09CC7453"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815892" w14:paraId="7D9A75B1"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48327BE3" w14:textId="039758F1" w:rsidR="00815892" w:rsidRDefault="00815892" w:rsidP="00815892">
            <w:pPr>
              <w:rPr>
                <w:color w:val="4A4D56"/>
              </w:rPr>
            </w:pPr>
            <w:r>
              <w:rPr>
                <w:color w:val="4A4D56"/>
              </w:rPr>
              <w:t>Commercial Weather Stripping</w:t>
            </w:r>
          </w:p>
        </w:tc>
        <w:tc>
          <w:tcPr>
            <w:tcW w:w="2160" w:type="dxa"/>
            <w:tcBorders>
              <w:top w:val="none" w:sz="0" w:space="0" w:color="auto"/>
              <w:left w:val="none" w:sz="0" w:space="0" w:color="auto"/>
              <w:bottom w:val="none" w:sz="0" w:space="0" w:color="auto"/>
              <w:right w:val="none" w:sz="0" w:space="0" w:color="auto"/>
            </w:tcBorders>
          </w:tcPr>
          <w:p w14:paraId="53C78E47" w14:textId="603BBF49" w:rsidR="00815892" w:rsidRDefault="00815892"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4.8.16</w:t>
            </w:r>
          </w:p>
        </w:tc>
        <w:tc>
          <w:tcPr>
            <w:tcW w:w="3271" w:type="dxa"/>
            <w:tcBorders>
              <w:top w:val="none" w:sz="0" w:space="0" w:color="auto"/>
              <w:left w:val="none" w:sz="0" w:space="0" w:color="auto"/>
              <w:bottom w:val="none" w:sz="0" w:space="0" w:color="auto"/>
              <w:right w:val="none" w:sz="0" w:space="0" w:color="auto"/>
            </w:tcBorders>
          </w:tcPr>
          <w:p w14:paraId="29AA1954" w14:textId="6F263406" w:rsidR="00815892" w:rsidRDefault="00815892"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r w:rsidR="00815892" w14:paraId="3CF960C3" w14:textId="77777777" w:rsidTr="00BC69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29A200C3" w14:textId="27A6C896" w:rsidR="00815892" w:rsidRDefault="00815892" w:rsidP="00815892">
            <w:pPr>
              <w:rPr>
                <w:color w:val="4A4D56"/>
              </w:rPr>
            </w:pPr>
            <w:r>
              <w:rPr>
                <w:color w:val="4A4D56"/>
              </w:rPr>
              <w:t>Lithium Ion Forklift Batteries</w:t>
            </w:r>
          </w:p>
        </w:tc>
        <w:tc>
          <w:tcPr>
            <w:tcW w:w="2160" w:type="dxa"/>
            <w:tcBorders>
              <w:top w:val="none" w:sz="0" w:space="0" w:color="auto"/>
              <w:left w:val="none" w:sz="0" w:space="0" w:color="auto"/>
              <w:bottom w:val="none" w:sz="0" w:space="0" w:color="auto"/>
              <w:right w:val="none" w:sz="0" w:space="0" w:color="auto"/>
            </w:tcBorders>
          </w:tcPr>
          <w:p w14:paraId="4703FD40" w14:textId="4469E674" w:rsidR="00815892" w:rsidRDefault="00815892" w:rsidP="003F35FE">
            <w:pPr>
              <w:jc w:val="center"/>
              <w:cnfStyle w:val="000000010000" w:firstRow="0" w:lastRow="0" w:firstColumn="0" w:lastColumn="0" w:oddVBand="0" w:evenVBand="0" w:oddHBand="0" w:evenHBand="1" w:firstRowFirstColumn="0" w:firstRowLastColumn="0" w:lastRowFirstColumn="0" w:lastRowLastColumn="0"/>
              <w:rPr>
                <w:color w:val="4A4D56"/>
              </w:rPr>
            </w:pPr>
            <w:r>
              <w:rPr>
                <w:color w:val="4A4D56"/>
              </w:rPr>
              <w:t>4.8.23</w:t>
            </w:r>
          </w:p>
        </w:tc>
        <w:tc>
          <w:tcPr>
            <w:tcW w:w="3271" w:type="dxa"/>
            <w:tcBorders>
              <w:top w:val="none" w:sz="0" w:space="0" w:color="auto"/>
              <w:left w:val="none" w:sz="0" w:space="0" w:color="auto"/>
              <w:bottom w:val="none" w:sz="0" w:space="0" w:color="auto"/>
              <w:right w:val="none" w:sz="0" w:space="0" w:color="auto"/>
            </w:tcBorders>
          </w:tcPr>
          <w:p w14:paraId="7F1753DE" w14:textId="2DBAC051" w:rsidR="00815892" w:rsidRDefault="00815892" w:rsidP="00927C3A">
            <w:pPr>
              <w:jc w:val="center"/>
              <w:cnfStyle w:val="000000010000" w:firstRow="0" w:lastRow="0" w:firstColumn="0" w:lastColumn="0" w:oddVBand="0" w:evenVBand="0" w:oddHBand="0" w:evenHBand="1" w:firstRowFirstColumn="0" w:firstRowLastColumn="0" w:lastRowFirstColumn="0" w:lastRowLastColumn="0"/>
            </w:pPr>
            <w:r>
              <w:t>No errata present for this measure</w:t>
            </w:r>
          </w:p>
        </w:tc>
      </w:tr>
      <w:tr w:rsidR="003F3C7E" w14:paraId="73CB521A" w14:textId="77777777" w:rsidTr="00BC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Borders>
              <w:top w:val="none" w:sz="0" w:space="0" w:color="auto"/>
              <w:left w:val="none" w:sz="0" w:space="0" w:color="auto"/>
              <w:bottom w:val="none" w:sz="0" w:space="0" w:color="auto"/>
              <w:right w:val="none" w:sz="0" w:space="0" w:color="auto"/>
            </w:tcBorders>
            <w:vAlign w:val="bottom"/>
          </w:tcPr>
          <w:p w14:paraId="0DF5E1D0" w14:textId="15F1DEF0" w:rsidR="003F3C7E" w:rsidRDefault="003F3C7E" w:rsidP="003F3C7E">
            <w:pPr>
              <w:rPr>
                <w:color w:val="4A4D56"/>
              </w:rPr>
            </w:pPr>
            <w:r>
              <w:rPr>
                <w:color w:val="4A4D56"/>
              </w:rPr>
              <w:t>Building Operator Certification</w:t>
            </w:r>
          </w:p>
        </w:tc>
        <w:tc>
          <w:tcPr>
            <w:tcW w:w="2160" w:type="dxa"/>
            <w:tcBorders>
              <w:top w:val="none" w:sz="0" w:space="0" w:color="auto"/>
              <w:left w:val="none" w:sz="0" w:space="0" w:color="auto"/>
              <w:bottom w:val="none" w:sz="0" w:space="0" w:color="auto"/>
              <w:right w:val="none" w:sz="0" w:space="0" w:color="auto"/>
            </w:tcBorders>
          </w:tcPr>
          <w:p w14:paraId="2CE4A76E" w14:textId="7A1BC7FB" w:rsidR="003F3C7E" w:rsidRDefault="003F3C7E" w:rsidP="003F35FE">
            <w:pPr>
              <w:jc w:val="center"/>
              <w:cnfStyle w:val="000000100000" w:firstRow="0" w:lastRow="0" w:firstColumn="0" w:lastColumn="0" w:oddVBand="0" w:evenVBand="0" w:oddHBand="1" w:evenHBand="0" w:firstRowFirstColumn="0" w:firstRowLastColumn="0" w:lastRowFirstColumn="0" w:lastRowLastColumn="0"/>
              <w:rPr>
                <w:color w:val="4A4D56"/>
              </w:rPr>
            </w:pPr>
            <w:r>
              <w:rPr>
                <w:color w:val="4A4D56"/>
              </w:rPr>
              <w:t>4.8.24</w:t>
            </w:r>
          </w:p>
        </w:tc>
        <w:tc>
          <w:tcPr>
            <w:tcW w:w="3271" w:type="dxa"/>
            <w:tcBorders>
              <w:top w:val="none" w:sz="0" w:space="0" w:color="auto"/>
              <w:left w:val="none" w:sz="0" w:space="0" w:color="auto"/>
              <w:bottom w:val="none" w:sz="0" w:space="0" w:color="auto"/>
              <w:right w:val="none" w:sz="0" w:space="0" w:color="auto"/>
            </w:tcBorders>
          </w:tcPr>
          <w:p w14:paraId="5AF7E9A5" w14:textId="3288D2D4" w:rsidR="003F3C7E" w:rsidRDefault="003F3C7E" w:rsidP="00927C3A">
            <w:pPr>
              <w:jc w:val="center"/>
              <w:cnfStyle w:val="000000100000" w:firstRow="0" w:lastRow="0" w:firstColumn="0" w:lastColumn="0" w:oddVBand="0" w:evenVBand="0" w:oddHBand="1" w:evenHBand="0" w:firstRowFirstColumn="0" w:firstRowLastColumn="0" w:lastRowFirstColumn="0" w:lastRowLastColumn="0"/>
            </w:pPr>
            <w:r>
              <w:t>No errata present for this measure</w:t>
            </w:r>
          </w:p>
        </w:tc>
      </w:tr>
    </w:tbl>
    <w:p w14:paraId="499D28E1" w14:textId="3B522962" w:rsidR="008616E9" w:rsidRDefault="008616E9" w:rsidP="008616E9">
      <w:pPr>
        <w:pStyle w:val="Heading4"/>
      </w:pPr>
      <w:r>
        <w:t>Non-TRM Measures and Assumptions</w:t>
      </w:r>
    </w:p>
    <w:p w14:paraId="5D91F2D7" w14:textId="1F768121" w:rsidR="008616E9" w:rsidRDefault="008616E9" w:rsidP="000071FF">
      <w:pPr>
        <w:pStyle w:val="Heading5"/>
      </w:pPr>
      <w:r>
        <w:t>Variable-Speed Drives for Process Pumps</w:t>
      </w:r>
    </w:p>
    <w:p w14:paraId="1F7DE1C6" w14:textId="5BA83647" w:rsidR="005A4919" w:rsidRDefault="005A4919" w:rsidP="005A4919">
      <w:r>
        <w:t xml:space="preserve">Process </w:t>
      </w:r>
      <w:r w:rsidR="00D95FFB">
        <w:t xml:space="preserve">VFDs are available through the Standard Core channel’s VFD offering and include installations for both process fans and process pumps. The IL-TRM V12.0 Volume 2 includes a VFD measure for process fans but does not provide an approach for calculating gross </w:t>
      </w:r>
      <w:r w:rsidR="008552F0">
        <w:t>impacts</w:t>
      </w:r>
      <w:r w:rsidR="00D95FFB">
        <w:t xml:space="preserve"> for </w:t>
      </w:r>
      <w:r w:rsidR="003F35FE">
        <w:t xml:space="preserve">VFDs on </w:t>
      </w:r>
      <w:r w:rsidR="00D95FFB">
        <w:t xml:space="preserve">process </w:t>
      </w:r>
      <w:r w:rsidR="00902C34">
        <w:t>pumps</w:t>
      </w:r>
      <w:r w:rsidR="00D95FFB">
        <w:t xml:space="preserve">. For the VFDs controlling process pumps, the evaluation team applied a mix of methods to evaluate verified savings, including the use of IL-TRM V12.0 Section 4.8.13 algorithms and assumptions in coordination with a 2010 </w:t>
      </w:r>
      <w:r w:rsidR="00902C34">
        <w:t>memorandum that provides guidance on capping savings at a percentage of estimated base energy consumption.</w:t>
      </w:r>
      <w:r w:rsidR="008552F0">
        <w:rPr>
          <w:rStyle w:val="FootnoteReference"/>
        </w:rPr>
        <w:footnoteReference w:id="36"/>
      </w:r>
      <w:r w:rsidR="00D95FFB">
        <w:t xml:space="preserve"> The following discussion details the evaluation team’s methods for evaluating verified savings. </w:t>
      </w:r>
    </w:p>
    <w:p w14:paraId="12842A68" w14:textId="15C83225" w:rsidR="008552F0" w:rsidRDefault="00D95FFB" w:rsidP="00C0286B">
      <w:pPr>
        <w:pStyle w:val="BodyText"/>
      </w:pPr>
      <w:r>
        <w:t xml:space="preserve">The evaluation team adopted the IL-TRM V12.0 Section 4.8.13 algorithms for calculating the base energy consumption of processes before the installation of VFDs. </w:t>
      </w:r>
      <w:r w:rsidR="008552F0">
        <w:t xml:space="preserve">The algorithms for calculating verified energy and demand savings are provided below in </w:t>
      </w:r>
      <w:r w:rsidR="008552F0">
        <w:fldChar w:fldCharType="begin"/>
      </w:r>
      <w:r w:rsidR="008552F0">
        <w:instrText xml:space="preserve"> REF _Ref189215150 \h </w:instrText>
      </w:r>
      <w:r w:rsidR="008552F0">
        <w:fldChar w:fldCharType="separate"/>
      </w:r>
      <w:r w:rsidR="00AA10F4">
        <w:t xml:space="preserve">Equation </w:t>
      </w:r>
      <w:r w:rsidR="00AA10F4">
        <w:rPr>
          <w:noProof/>
        </w:rPr>
        <w:t>1</w:t>
      </w:r>
      <w:r w:rsidR="008552F0">
        <w:fldChar w:fldCharType="end"/>
      </w:r>
      <w:r w:rsidR="008552F0">
        <w:t xml:space="preserve"> through</w:t>
      </w:r>
      <w:r w:rsidR="009B4C9A">
        <w:t xml:space="preserve"> </w:t>
      </w:r>
      <w:r w:rsidR="008851E7">
        <w:fldChar w:fldCharType="begin"/>
      </w:r>
      <w:r w:rsidR="008851E7">
        <w:instrText xml:space="preserve"> REF _Ref192683292 \h </w:instrText>
      </w:r>
      <w:r w:rsidR="008851E7">
        <w:fldChar w:fldCharType="separate"/>
      </w:r>
      <w:r w:rsidR="00AA10F4">
        <w:t xml:space="preserve">Equation </w:t>
      </w:r>
      <w:r w:rsidR="00AA10F4">
        <w:rPr>
          <w:noProof/>
        </w:rPr>
        <w:t>3</w:t>
      </w:r>
      <w:r w:rsidR="008851E7">
        <w:fldChar w:fldCharType="end"/>
      </w:r>
      <w:r w:rsidR="003F35FE">
        <w:t>. The deemed assumptions applied by the evaluation team in these algorithms are</w:t>
      </w:r>
      <w:r w:rsidR="009B4C9A">
        <w:t xml:space="preserve"> </w:t>
      </w:r>
      <w:r w:rsidR="008552F0">
        <w:t>provided in</w:t>
      </w:r>
      <w:r w:rsidR="009B4C9A">
        <w:t xml:space="preserve"> </w:t>
      </w:r>
      <w:r w:rsidR="009B4C9A">
        <w:fldChar w:fldCharType="begin"/>
      </w:r>
      <w:r w:rsidR="009B4C9A">
        <w:instrText xml:space="preserve"> REF _Ref189222908 \h </w:instrText>
      </w:r>
      <w:r w:rsidR="009B4C9A">
        <w:fldChar w:fldCharType="separate"/>
      </w:r>
      <w:r w:rsidR="00AA10F4">
        <w:t xml:space="preserve">Table </w:t>
      </w:r>
      <w:r w:rsidR="00AA10F4">
        <w:rPr>
          <w:noProof/>
        </w:rPr>
        <w:t>85</w:t>
      </w:r>
      <w:r w:rsidR="009B4C9A">
        <w:fldChar w:fldCharType="end"/>
      </w:r>
      <w:r w:rsidR="003F35FE">
        <w:t>.</w:t>
      </w:r>
    </w:p>
    <w:p w14:paraId="726DF212" w14:textId="2BFB7100" w:rsidR="00D95FFB" w:rsidRDefault="008552F0" w:rsidP="00881B1B">
      <w:pPr>
        <w:pStyle w:val="Caption"/>
      </w:pPr>
      <w:bookmarkStart w:id="366" w:name="_Ref189215150"/>
      <w:r>
        <w:t xml:space="preserve">Equation </w:t>
      </w:r>
      <w:r w:rsidR="000966E9">
        <w:fldChar w:fldCharType="begin"/>
      </w:r>
      <w:r w:rsidR="000966E9">
        <w:instrText xml:space="preserve"> SEQ Equation \* ARABIC </w:instrText>
      </w:r>
      <w:r w:rsidR="000966E9">
        <w:fldChar w:fldCharType="separate"/>
      </w:r>
      <w:r w:rsidR="00AA10F4">
        <w:rPr>
          <w:noProof/>
        </w:rPr>
        <w:t>1</w:t>
      </w:r>
      <w:r w:rsidR="000966E9">
        <w:rPr>
          <w:noProof/>
        </w:rPr>
        <w:fldChar w:fldCharType="end"/>
      </w:r>
      <w:bookmarkEnd w:id="366"/>
      <w:r>
        <w:t xml:space="preserve">. Base Annual Electric Energy Usage </w:t>
      </w:r>
    </w:p>
    <w:p w14:paraId="21B8958E" w14:textId="32D73EF2" w:rsidR="00902C34" w:rsidRDefault="000458DD" w:rsidP="00090275">
      <w:pPr>
        <w:pStyle w:val="BodyText"/>
      </w:pPr>
      <m:oMathPara>
        <m:oMath>
          <m:sSub>
            <m:sSubPr>
              <m:ctrlPr>
                <w:rPr>
                  <w:rFonts w:ascii="Cambria Math" w:hAnsi="Cambria Math"/>
                </w:rPr>
              </m:ctrlPr>
            </m:sSubPr>
            <m:e>
              <m:r>
                <w:rPr>
                  <w:rFonts w:ascii="Cambria Math" w:hAnsi="Cambria Math"/>
                </w:rPr>
                <m:t>kWh</m:t>
              </m:r>
            </m:e>
            <m:sub>
              <m:r>
                <w:rPr>
                  <w:rFonts w:ascii="Cambria Math" w:hAnsi="Cambria Math"/>
                </w:rPr>
                <m:t>base</m:t>
              </m:r>
            </m:sub>
          </m:sSub>
          <m:r>
            <w:rPr>
              <w:rFonts w:ascii="Cambria Math" w:hAnsi="Cambria Math"/>
            </w:rPr>
            <m:t>=</m:t>
          </m:r>
          <m:d>
            <m:dPr>
              <m:begChr m:val="["/>
              <m:endChr m:val="]"/>
              <m:ctrlPr>
                <w:rPr>
                  <w:rFonts w:ascii="Cambria Math" w:hAnsi="Cambria Math"/>
                </w:rPr>
              </m:ctrlPr>
            </m:dPr>
            <m:e>
              <m:d>
                <m:dPr>
                  <m:ctrlPr>
                    <w:rPr>
                      <w:rFonts w:ascii="Cambria Math" w:hAnsi="Cambria Math"/>
                    </w:rPr>
                  </m:ctrlPr>
                </m:dPr>
                <m:e>
                  <m:r>
                    <w:rPr>
                      <w:rFonts w:ascii="Cambria Math" w:hAnsi="Cambria Math"/>
                    </w:rPr>
                    <m:t>0.746×HP×</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e>
              </m:d>
              <m:r>
                <w:rPr>
                  <w:rFonts w:ascii="Cambria Math" w:hAnsi="Cambria Math"/>
                </w:rPr>
                <m:t>×</m:t>
              </m:r>
              <m:sSub>
                <m:sSubPr>
                  <m:ctrlPr>
                    <w:rPr>
                      <w:rFonts w:ascii="Cambria Math" w:hAnsi="Cambria Math"/>
                    </w:rPr>
                  </m:ctrlPr>
                </m:sSubPr>
                <m:e>
                  <m:r>
                    <w:rPr>
                      <w:rFonts w:ascii="Cambria Math" w:hAnsi="Cambria Math"/>
                    </w:rPr>
                    <m:t>RHRS</m:t>
                  </m:r>
                </m:e>
                <m:sub>
                  <m:r>
                    <w:rPr>
                      <w:rFonts w:ascii="Cambria Math" w:hAnsi="Cambria Math"/>
                    </w:rPr>
                    <m:t>Base</m:t>
                  </m:r>
                </m:sub>
              </m:sSub>
              <m:r>
                <w:rPr>
                  <w:rFonts w:ascii="Cambria Math" w:hAnsi="Cambria Math"/>
                </w:rPr>
                <m:t>×</m:t>
              </m:r>
              <m:nary>
                <m:naryPr>
                  <m:chr m:val="∑"/>
                  <m:limLoc m:val="undOvr"/>
                  <m:ctrlPr>
                    <w:rPr>
                      <w:rFonts w:ascii="Cambria Math" w:hAnsi="Cambria Math"/>
                    </w:rPr>
                  </m:ctrlPr>
                </m:naryPr>
                <m:sub>
                  <m:r>
                    <w:rPr>
                      <w:rFonts w:ascii="Cambria Math" w:hAnsi="Cambria Math"/>
                    </w:rPr>
                    <m:t>0%</m:t>
                  </m:r>
                </m:sub>
                <m:sup>
                  <m:r>
                    <w:rPr>
                      <w:rFonts w:ascii="Cambria Math" w:hAnsi="Cambria Math"/>
                    </w:rPr>
                    <m:t>100%</m:t>
                  </m:r>
                </m:sup>
                <m:e>
                  <m:d>
                    <m:dPr>
                      <m:ctrlPr>
                        <w:rPr>
                          <w:rFonts w:ascii="Cambria Math" w:hAnsi="Cambria Math"/>
                        </w:rPr>
                      </m:ctrlPr>
                    </m:dPr>
                    <m:e>
                      <m:r>
                        <w:rPr>
                          <w:rFonts w:ascii="Cambria Math" w:hAnsi="Cambria Math"/>
                        </w:rPr>
                        <m:t>%FF×</m:t>
                      </m:r>
                      <m:sSub>
                        <m:sSubPr>
                          <m:ctrlPr>
                            <w:rPr>
                              <w:rFonts w:ascii="Cambria Math" w:hAnsi="Cambria Math"/>
                            </w:rPr>
                          </m:ctrlPr>
                        </m:sSubPr>
                        <m:e>
                          <m:r>
                            <w:rPr>
                              <w:rFonts w:ascii="Cambria Math" w:hAnsi="Cambria Math"/>
                            </w:rPr>
                            <m:t>PLR</m:t>
                          </m:r>
                        </m:e>
                        <m:sub>
                          <m:r>
                            <w:rPr>
                              <w:rFonts w:ascii="Cambria Math" w:hAnsi="Cambria Math"/>
                            </w:rPr>
                            <m:t>Base</m:t>
                          </m:r>
                        </m:sub>
                      </m:sSub>
                    </m:e>
                  </m:d>
                </m:e>
              </m:nary>
            </m:e>
          </m:d>
        </m:oMath>
      </m:oMathPara>
      <w:bookmarkStart w:id="367" w:name="_Ref189222827"/>
    </w:p>
    <w:p w14:paraId="7416448F" w14:textId="03DDF7A9" w:rsidR="000966E9" w:rsidRDefault="000966E9" w:rsidP="00881B1B">
      <w:pPr>
        <w:pStyle w:val="Caption"/>
      </w:pPr>
      <w:r>
        <w:t xml:space="preserve">Equation </w:t>
      </w:r>
      <w:r>
        <w:fldChar w:fldCharType="begin"/>
      </w:r>
      <w:r>
        <w:instrText xml:space="preserve"> SEQ Equation \* ARABIC </w:instrText>
      </w:r>
      <w:r>
        <w:fldChar w:fldCharType="separate"/>
      </w:r>
      <w:r w:rsidR="00AA10F4">
        <w:rPr>
          <w:noProof/>
        </w:rPr>
        <w:t>2</w:t>
      </w:r>
      <w:r>
        <w:rPr>
          <w:noProof/>
        </w:rPr>
        <w:fldChar w:fldCharType="end"/>
      </w:r>
      <w:bookmarkEnd w:id="367"/>
      <w:r>
        <w:t>. VFD Electric Energy Savings for Process Pumps</w:t>
      </w:r>
    </w:p>
    <w:p w14:paraId="706E7741" w14:textId="0C584EE4" w:rsidR="00902C34" w:rsidRDefault="000966E9" w:rsidP="00090275">
      <w:pPr>
        <w:pStyle w:val="BodyText"/>
      </w:pPr>
      <m:oMathPara>
        <m:oMath>
          <m:r>
            <w:rPr>
              <w:rFonts w:ascii="Cambria Math" w:hAnsi="Cambria Math"/>
            </w:rPr>
            <m:t xml:space="preserve">Energy </m:t>
          </m:r>
          <m:d>
            <m:dPr>
              <m:ctrlPr>
                <w:rPr>
                  <w:rFonts w:ascii="Cambria Math" w:hAnsi="Cambria Math"/>
                  <w:i/>
                </w:rPr>
              </m:ctrlPr>
            </m:dPr>
            <m:e>
              <m:r>
                <w:rPr>
                  <w:rFonts w:ascii="Cambria Math" w:hAnsi="Cambria Math"/>
                </w:rPr>
                <m:t>kWh</m:t>
              </m:r>
            </m:e>
          </m:d>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X ESF</m:t>
          </m:r>
        </m:oMath>
      </m:oMathPara>
      <w:bookmarkStart w:id="368" w:name="_Ref189222837"/>
    </w:p>
    <w:p w14:paraId="21BBC762" w14:textId="4FF0A90F" w:rsidR="000966E9" w:rsidRDefault="000966E9" w:rsidP="00881B1B">
      <w:pPr>
        <w:pStyle w:val="Caption"/>
      </w:pPr>
      <w:bookmarkStart w:id="369" w:name="_Ref192683292"/>
      <w:r>
        <w:t xml:space="preserve">Equation </w:t>
      </w:r>
      <w:r>
        <w:fldChar w:fldCharType="begin"/>
      </w:r>
      <w:r>
        <w:instrText xml:space="preserve"> SEQ Equation \* ARABIC </w:instrText>
      </w:r>
      <w:r>
        <w:fldChar w:fldCharType="separate"/>
      </w:r>
      <w:r w:rsidR="00AA10F4">
        <w:rPr>
          <w:noProof/>
        </w:rPr>
        <w:t>3</w:t>
      </w:r>
      <w:r>
        <w:rPr>
          <w:noProof/>
        </w:rPr>
        <w:fldChar w:fldCharType="end"/>
      </w:r>
      <w:bookmarkEnd w:id="368"/>
      <w:bookmarkEnd w:id="369"/>
      <w:r>
        <w:t xml:space="preserve">. VFD </w:t>
      </w:r>
      <w:r w:rsidR="00313347">
        <w:t>Electric</w:t>
      </w:r>
      <w:r>
        <w:t xml:space="preserve"> Demand Savings for Process Pumps</w:t>
      </w:r>
    </w:p>
    <w:p w14:paraId="0B08115E" w14:textId="0175DD69" w:rsidR="000966E9" w:rsidRPr="00771054" w:rsidRDefault="000966E9" w:rsidP="000966E9">
      <w:pPr>
        <w:pStyle w:val="BodyText"/>
      </w:pPr>
      <m:oMathPara>
        <m:oMath>
          <m:r>
            <m:rPr>
              <m:sty m:val="p"/>
            </m:rPr>
            <w:rPr>
              <w:rFonts w:ascii="Cambria Math" w:hAnsi="Cambria Math"/>
            </w:rPr>
            <m:t xml:space="preserve">Demand </m:t>
          </m:r>
          <m:d>
            <m:dPr>
              <m:ctrlPr>
                <w:rPr>
                  <w:rFonts w:ascii="Cambria Math" w:hAnsi="Cambria Math"/>
                </w:rPr>
              </m:ctrlPr>
            </m:dPr>
            <m:e>
              <m:r>
                <m:rPr>
                  <m:sty m:val="p"/>
                </m:rPr>
                <w:rPr>
                  <w:rFonts w:ascii="Cambria Math" w:hAnsi="Cambria Math"/>
                </w:rPr>
                <m:t>kW</m:t>
              </m:r>
            </m:e>
          </m:d>
          <m:r>
            <w:rPr>
              <w:rFonts w:ascii="Cambria Math" w:hAnsi="Cambria Math"/>
            </w:rPr>
            <m:t>=</m:t>
          </m:r>
          <m:d>
            <m:dPr>
              <m:begChr m:val="["/>
              <m:endChr m:val="]"/>
              <m:ctrlPr>
                <w:rPr>
                  <w:rFonts w:ascii="Cambria Math" w:hAnsi="Cambria Math"/>
                </w:rPr>
              </m:ctrlPr>
            </m:dPr>
            <m:e>
              <m:d>
                <m:dPr>
                  <m:ctrlPr>
                    <w:rPr>
                      <w:rFonts w:ascii="Cambria Math" w:hAnsi="Cambria Math"/>
                    </w:rPr>
                  </m:ctrlPr>
                </m:dPr>
                <m:e>
                  <m:r>
                    <w:rPr>
                      <w:rFonts w:ascii="Cambria Math" w:hAnsi="Cambria Math"/>
                    </w:rPr>
                    <m:t>0.746×HP×</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e>
              </m:d>
              <m:r>
                <w:rPr>
                  <w:rFonts w:ascii="Cambria Math" w:hAnsi="Cambria Math"/>
                </w:rPr>
                <m:t>×</m:t>
              </m:r>
              <m:sSub>
                <m:sSubPr>
                  <m:ctrlPr>
                    <w:rPr>
                      <w:rFonts w:ascii="Cambria Math" w:hAnsi="Cambria Math"/>
                    </w:rPr>
                  </m:ctrlPr>
                </m:sSubPr>
                <m:e>
                  <m:r>
                    <w:rPr>
                      <w:rFonts w:ascii="Cambria Math" w:hAnsi="Cambria Math"/>
                    </w:rPr>
                    <m:t>PLR</m:t>
                  </m:r>
                </m:e>
                <m:sub>
                  <m:r>
                    <w:rPr>
                      <w:rFonts w:ascii="Cambria Math" w:hAnsi="Cambria Math"/>
                    </w:rPr>
                    <m:t>Base, FFpeak</m:t>
                  </m:r>
                </m:sub>
              </m:sSub>
            </m:e>
          </m:d>
          <m:r>
            <w:rPr>
              <w:rFonts w:ascii="Cambria Math" w:hAnsi="Cambria Math"/>
            </w:rPr>
            <m:t>×ESF</m:t>
          </m:r>
        </m:oMath>
      </m:oMathPara>
    </w:p>
    <w:p w14:paraId="43378D98" w14:textId="31BBCAFC" w:rsidR="009B4C9A" w:rsidRDefault="009B4C9A" w:rsidP="00E3116D">
      <w:pPr>
        <w:pStyle w:val="Caption"/>
      </w:pPr>
      <w:bookmarkStart w:id="370" w:name="_Ref189222908"/>
      <w:bookmarkStart w:id="371" w:name="_Toc191992606"/>
      <w:bookmarkStart w:id="372" w:name="_Toc192767019"/>
      <w:r>
        <w:lastRenderedPageBreak/>
        <w:t xml:space="preserve">Table </w:t>
      </w:r>
      <w:r>
        <w:fldChar w:fldCharType="begin"/>
      </w:r>
      <w:r>
        <w:instrText xml:space="preserve"> SEQ Table \* ARABIC </w:instrText>
      </w:r>
      <w:r>
        <w:fldChar w:fldCharType="separate"/>
      </w:r>
      <w:r w:rsidR="00AA10F4">
        <w:rPr>
          <w:noProof/>
        </w:rPr>
        <w:t>85</w:t>
      </w:r>
      <w:r>
        <w:rPr>
          <w:noProof/>
        </w:rPr>
        <w:fldChar w:fldCharType="end"/>
      </w:r>
      <w:bookmarkEnd w:id="370"/>
      <w:r>
        <w:t>. Deemed Inputs for VFD Calculations</w:t>
      </w:r>
      <w:bookmarkEnd w:id="371"/>
      <w:bookmarkEnd w:id="372"/>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386"/>
        <w:gridCol w:w="4893"/>
        <w:gridCol w:w="1275"/>
        <w:gridCol w:w="3542"/>
      </w:tblGrid>
      <w:tr w:rsidR="00D80A65" w14:paraId="279EDD95" w14:textId="77777777" w:rsidTr="00E311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03FD928" w14:textId="282D4B51" w:rsidR="00D80A65" w:rsidRDefault="00D80A65" w:rsidP="00E3116D">
            <w:pPr>
              <w:pStyle w:val="TableHeadingLeft"/>
              <w:keepNext/>
              <w:keepLines/>
            </w:pPr>
            <w:r>
              <w:t>Algorithm Variable</w:t>
            </w:r>
          </w:p>
        </w:tc>
        <w:tc>
          <w:tcPr>
            <w:tcW w:w="0" w:type="auto"/>
            <w:tcBorders>
              <w:bottom w:val="none" w:sz="0" w:space="0" w:color="auto"/>
            </w:tcBorders>
          </w:tcPr>
          <w:p w14:paraId="5C7AC3FF" w14:textId="4B5A9039" w:rsidR="00D80A65" w:rsidRDefault="00D80A65"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Description</w:t>
            </w:r>
          </w:p>
        </w:tc>
        <w:tc>
          <w:tcPr>
            <w:tcW w:w="0" w:type="auto"/>
            <w:tcBorders>
              <w:bottom w:val="none" w:sz="0" w:space="0" w:color="auto"/>
            </w:tcBorders>
          </w:tcPr>
          <w:p w14:paraId="6CBE0033" w14:textId="2F40F988" w:rsidR="00D80A65" w:rsidRDefault="00D80A65"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Value</w:t>
            </w:r>
          </w:p>
        </w:tc>
        <w:tc>
          <w:tcPr>
            <w:tcW w:w="0" w:type="auto"/>
            <w:tcBorders>
              <w:bottom w:val="none" w:sz="0" w:space="0" w:color="auto"/>
            </w:tcBorders>
          </w:tcPr>
          <w:p w14:paraId="501A9A50" w14:textId="1048575F" w:rsidR="00D80A65" w:rsidRDefault="00D80A65"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Source</w:t>
            </w:r>
          </w:p>
        </w:tc>
      </w:tr>
      <w:tr w:rsidR="00D80A65" w14:paraId="6927B909"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4A773E6" w14:textId="5A415D9D" w:rsidR="00D80A65" w:rsidRPr="00D80A65" w:rsidRDefault="00D80A65" w:rsidP="00E3116D">
            <w:pPr>
              <w:keepNext/>
              <w:keepLines/>
              <w:rPr>
                <w:vertAlign w:val="subscript"/>
              </w:rPr>
            </w:pPr>
            <w:r>
              <w:t>kWh</w:t>
            </w:r>
            <w:r>
              <w:rPr>
                <w:vertAlign w:val="subscript"/>
              </w:rPr>
              <w:t>base</w:t>
            </w:r>
          </w:p>
        </w:tc>
        <w:tc>
          <w:tcPr>
            <w:tcW w:w="0" w:type="auto"/>
            <w:tcBorders>
              <w:top w:val="none" w:sz="0" w:space="0" w:color="auto"/>
              <w:left w:val="none" w:sz="0" w:space="0" w:color="auto"/>
              <w:bottom w:val="none" w:sz="0" w:space="0" w:color="auto"/>
              <w:right w:val="none" w:sz="0" w:space="0" w:color="auto"/>
            </w:tcBorders>
          </w:tcPr>
          <w:p w14:paraId="7715FF11" w14:textId="093F8A2A" w:rsidR="00D80A65" w:rsidRDefault="000069D1" w:rsidP="00E3116D">
            <w:pPr>
              <w:keepNext/>
              <w:keepLines/>
              <w:cnfStyle w:val="000000100000" w:firstRow="0" w:lastRow="0" w:firstColumn="0" w:lastColumn="0" w:oddVBand="0" w:evenVBand="0" w:oddHBand="1" w:evenHBand="0" w:firstRowFirstColumn="0" w:firstRowLastColumn="0" w:lastRowFirstColumn="0" w:lastRowLastColumn="0"/>
            </w:pPr>
            <w:r>
              <w:t>Base energy consumption of the existing motor prior to installation of the VFD</w:t>
            </w:r>
          </w:p>
        </w:tc>
        <w:tc>
          <w:tcPr>
            <w:tcW w:w="0" w:type="auto"/>
            <w:tcBorders>
              <w:top w:val="none" w:sz="0" w:space="0" w:color="auto"/>
              <w:left w:val="none" w:sz="0" w:space="0" w:color="auto"/>
              <w:bottom w:val="none" w:sz="0" w:space="0" w:color="auto"/>
              <w:right w:val="none" w:sz="0" w:space="0" w:color="auto"/>
            </w:tcBorders>
          </w:tcPr>
          <w:p w14:paraId="21E71814" w14:textId="767C9E51" w:rsidR="00D80A65" w:rsidRDefault="00D76D1E" w:rsidP="00E3116D">
            <w:pPr>
              <w:keepNext/>
              <w:keepLines/>
              <w:jc w:val="center"/>
              <w:cnfStyle w:val="000000100000" w:firstRow="0" w:lastRow="0" w:firstColumn="0" w:lastColumn="0" w:oddVBand="0" w:evenVBand="0" w:oddHBand="1" w:evenHBand="0" w:firstRowFirstColumn="0" w:firstRowLastColumn="0" w:lastRowFirstColumn="0" w:lastRowLastColumn="0"/>
            </w:pPr>
            <w:r>
              <w:t>Calculated</w:t>
            </w:r>
          </w:p>
        </w:tc>
        <w:tc>
          <w:tcPr>
            <w:tcW w:w="0" w:type="auto"/>
            <w:tcBorders>
              <w:top w:val="none" w:sz="0" w:space="0" w:color="auto"/>
              <w:left w:val="none" w:sz="0" w:space="0" w:color="auto"/>
              <w:bottom w:val="none" w:sz="0" w:space="0" w:color="auto"/>
              <w:right w:val="none" w:sz="0" w:space="0" w:color="auto"/>
            </w:tcBorders>
          </w:tcPr>
          <w:p w14:paraId="39937622" w14:textId="48D66F96" w:rsidR="00D80A65" w:rsidRDefault="00D76D1E" w:rsidP="00927C3A">
            <w:pPr>
              <w:keepNext/>
              <w:keepLines/>
              <w:jc w:val="center"/>
              <w:cnfStyle w:val="000000100000" w:firstRow="0" w:lastRow="0" w:firstColumn="0" w:lastColumn="0" w:oddVBand="0" w:evenVBand="0" w:oddHBand="1" w:evenHBand="0" w:firstRowFirstColumn="0" w:firstRowLastColumn="0" w:lastRowFirstColumn="0" w:lastRowLastColumn="0"/>
            </w:pPr>
            <w:r>
              <w:t>IL-TRM V12.0</w:t>
            </w:r>
          </w:p>
        </w:tc>
      </w:tr>
      <w:tr w:rsidR="00D80A65" w14:paraId="02FDCC27"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33F2816F" w14:textId="6171F318" w:rsidR="00D80A65" w:rsidRDefault="00D80A65" w:rsidP="00E3116D">
            <w:pPr>
              <w:keepNext/>
              <w:keepLines/>
            </w:pPr>
            <w:r>
              <w:t>HP</w:t>
            </w:r>
          </w:p>
        </w:tc>
        <w:tc>
          <w:tcPr>
            <w:tcW w:w="0" w:type="auto"/>
            <w:tcBorders>
              <w:top w:val="none" w:sz="0" w:space="0" w:color="auto"/>
              <w:left w:val="none" w:sz="0" w:space="0" w:color="auto"/>
              <w:bottom w:val="none" w:sz="0" w:space="0" w:color="auto"/>
              <w:right w:val="none" w:sz="0" w:space="0" w:color="auto"/>
            </w:tcBorders>
          </w:tcPr>
          <w:p w14:paraId="795C6021" w14:textId="01CAC911" w:rsidR="00D80A65" w:rsidRDefault="000069D1" w:rsidP="00E3116D">
            <w:pPr>
              <w:keepNext/>
              <w:keepLines/>
              <w:cnfStyle w:val="000000010000" w:firstRow="0" w:lastRow="0" w:firstColumn="0" w:lastColumn="0" w:oddVBand="0" w:evenVBand="0" w:oddHBand="0" w:evenHBand="1" w:firstRowFirstColumn="0" w:firstRowLastColumn="0" w:lastRowFirstColumn="0" w:lastRowLastColumn="0"/>
            </w:pPr>
            <w:r>
              <w:t>Nominal horsepower of controlled motor</w:t>
            </w:r>
          </w:p>
        </w:tc>
        <w:tc>
          <w:tcPr>
            <w:tcW w:w="0" w:type="auto"/>
            <w:tcBorders>
              <w:top w:val="none" w:sz="0" w:space="0" w:color="auto"/>
              <w:left w:val="none" w:sz="0" w:space="0" w:color="auto"/>
              <w:bottom w:val="none" w:sz="0" w:space="0" w:color="auto"/>
              <w:right w:val="none" w:sz="0" w:space="0" w:color="auto"/>
            </w:tcBorders>
          </w:tcPr>
          <w:p w14:paraId="67E0C5E6" w14:textId="1918DEB7" w:rsidR="00D80A65" w:rsidRDefault="008E69BB" w:rsidP="00E3116D">
            <w:pPr>
              <w:keepNext/>
              <w:keepLines/>
              <w:jc w:val="center"/>
              <w:cnfStyle w:val="000000010000" w:firstRow="0" w:lastRow="0" w:firstColumn="0" w:lastColumn="0" w:oddVBand="0" w:evenVBand="0" w:oddHBand="0" w:evenHBand="1" w:firstRowFirstColumn="0" w:firstRowLastColumn="0" w:lastRowFirstColumn="0" w:lastRowLastColumn="0"/>
            </w:pPr>
            <w:r>
              <w:t>Actual value</w:t>
            </w:r>
          </w:p>
        </w:tc>
        <w:tc>
          <w:tcPr>
            <w:tcW w:w="0" w:type="auto"/>
            <w:tcBorders>
              <w:top w:val="none" w:sz="0" w:space="0" w:color="auto"/>
              <w:left w:val="none" w:sz="0" w:space="0" w:color="auto"/>
              <w:bottom w:val="none" w:sz="0" w:space="0" w:color="auto"/>
              <w:right w:val="none" w:sz="0" w:space="0" w:color="auto"/>
            </w:tcBorders>
          </w:tcPr>
          <w:p w14:paraId="351508C2" w14:textId="46304E46" w:rsidR="00D80A65" w:rsidRDefault="00D76D1E" w:rsidP="00927C3A">
            <w:pPr>
              <w:keepNext/>
              <w:keepLines/>
              <w:jc w:val="center"/>
              <w:cnfStyle w:val="000000010000" w:firstRow="0" w:lastRow="0" w:firstColumn="0" w:lastColumn="0" w:oddVBand="0" w:evenVBand="0" w:oddHBand="0" w:evenHBand="1" w:firstRowFirstColumn="0" w:firstRowLastColumn="0" w:lastRowFirstColumn="0" w:lastRowLastColumn="0"/>
            </w:pPr>
            <w:r>
              <w:t>Initiative tracking database</w:t>
            </w:r>
          </w:p>
        </w:tc>
      </w:tr>
      <w:tr w:rsidR="00D80A65" w14:paraId="55397FA0"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D8DA731" w14:textId="38DFBC2D" w:rsidR="00D80A65" w:rsidRDefault="00D80A65" w:rsidP="00E3116D">
            <w:pPr>
              <w:keepNext/>
              <w:keepLines/>
            </w:pPr>
            <w:r>
              <w:t>Motor LF</w:t>
            </w:r>
          </w:p>
        </w:tc>
        <w:tc>
          <w:tcPr>
            <w:tcW w:w="0" w:type="auto"/>
            <w:tcBorders>
              <w:top w:val="none" w:sz="0" w:space="0" w:color="auto"/>
              <w:left w:val="none" w:sz="0" w:space="0" w:color="auto"/>
              <w:bottom w:val="none" w:sz="0" w:space="0" w:color="auto"/>
              <w:right w:val="none" w:sz="0" w:space="0" w:color="auto"/>
            </w:tcBorders>
          </w:tcPr>
          <w:p w14:paraId="1E53F765" w14:textId="1F38F785" w:rsidR="00D80A65" w:rsidRDefault="000069D1" w:rsidP="00E3116D">
            <w:pPr>
              <w:keepNext/>
              <w:keepLines/>
              <w:cnfStyle w:val="000000100000" w:firstRow="0" w:lastRow="0" w:firstColumn="0" w:lastColumn="0" w:oddVBand="0" w:evenVBand="0" w:oddHBand="1" w:evenHBand="0" w:firstRowFirstColumn="0" w:firstRowLastColumn="0" w:lastRowFirstColumn="0" w:lastRowLastColumn="0"/>
            </w:pPr>
            <w:r>
              <w:t>Motor load factor</w:t>
            </w:r>
          </w:p>
        </w:tc>
        <w:tc>
          <w:tcPr>
            <w:tcW w:w="0" w:type="auto"/>
            <w:tcBorders>
              <w:top w:val="none" w:sz="0" w:space="0" w:color="auto"/>
              <w:left w:val="none" w:sz="0" w:space="0" w:color="auto"/>
              <w:bottom w:val="none" w:sz="0" w:space="0" w:color="auto"/>
              <w:right w:val="none" w:sz="0" w:space="0" w:color="auto"/>
            </w:tcBorders>
          </w:tcPr>
          <w:p w14:paraId="16469A16" w14:textId="3F603E27" w:rsidR="00D80A65" w:rsidRDefault="008E69BB" w:rsidP="00E3116D">
            <w:pPr>
              <w:keepNext/>
              <w:keepLines/>
              <w:jc w:val="center"/>
              <w:cnfStyle w:val="000000100000" w:firstRow="0" w:lastRow="0" w:firstColumn="0" w:lastColumn="0" w:oddVBand="0" w:evenVBand="0" w:oddHBand="1" w:evenHBand="0" w:firstRowFirstColumn="0" w:firstRowLastColumn="0" w:lastRowFirstColumn="0" w:lastRowLastColumn="0"/>
            </w:pPr>
            <w:r>
              <w:t>75%</w:t>
            </w:r>
          </w:p>
        </w:tc>
        <w:tc>
          <w:tcPr>
            <w:tcW w:w="0" w:type="auto"/>
            <w:tcBorders>
              <w:top w:val="none" w:sz="0" w:space="0" w:color="auto"/>
              <w:left w:val="none" w:sz="0" w:space="0" w:color="auto"/>
              <w:bottom w:val="none" w:sz="0" w:space="0" w:color="auto"/>
              <w:right w:val="none" w:sz="0" w:space="0" w:color="auto"/>
            </w:tcBorders>
          </w:tcPr>
          <w:p w14:paraId="2D9200E8" w14:textId="073B111A" w:rsidR="00D80A65" w:rsidRPr="00D76D1E" w:rsidRDefault="00D76D1E" w:rsidP="00927C3A">
            <w:pPr>
              <w:keepNext/>
              <w:keepLines/>
              <w:jc w:val="center"/>
              <w:cnfStyle w:val="000000100000" w:firstRow="0" w:lastRow="0" w:firstColumn="0" w:lastColumn="0" w:oddVBand="0" w:evenVBand="0" w:oddHBand="1" w:evenHBand="0" w:firstRowFirstColumn="0" w:firstRowLastColumn="0" w:lastRowFirstColumn="0" w:lastRowLastColumn="0"/>
              <w:rPr>
                <w:vertAlign w:val="superscript"/>
              </w:rPr>
            </w:pPr>
            <w:r>
              <w:t>2010 memorandum</w:t>
            </w:r>
            <w:r>
              <w:rPr>
                <w:vertAlign w:val="superscript"/>
              </w:rPr>
              <w:t>b</w:t>
            </w:r>
          </w:p>
        </w:tc>
      </w:tr>
      <w:tr w:rsidR="00D80A65" w14:paraId="514FBCC8"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9E1F192" w14:textId="49438626" w:rsidR="00D80A65" w:rsidRPr="00D80A65" w:rsidRDefault="00980293" w:rsidP="00E3116D">
            <w:pPr>
              <w:keepNext/>
              <w:keepLines/>
              <w:jc w:val="right"/>
              <w:rPr>
                <w:rFonts w:asciiTheme="minorHAnsi" w:hAnsiTheme="minorHAnsi"/>
              </w:rPr>
            </w:pPr>
            <w:r>
              <w:rPr>
                <w:rFonts w:asciiTheme="minorHAnsi" w:hAnsiTheme="minorHAnsi"/>
              </w:rPr>
              <w:t xml:space="preserve">∑ (%FF </w:t>
            </w:r>
            <w:r w:rsidR="0025231E">
              <w:rPr>
                <w:rFonts w:asciiTheme="minorHAnsi" w:hAnsiTheme="minorHAnsi"/>
              </w:rPr>
              <w:t>×</w:t>
            </w:r>
            <w:r>
              <w:rPr>
                <w:rFonts w:asciiTheme="minorHAnsi" w:hAnsiTheme="minorHAnsi"/>
              </w:rPr>
              <w:t xml:space="preserve"> PLR)</w:t>
            </w:r>
          </w:p>
        </w:tc>
        <w:tc>
          <w:tcPr>
            <w:tcW w:w="0" w:type="auto"/>
            <w:tcBorders>
              <w:top w:val="none" w:sz="0" w:space="0" w:color="auto"/>
              <w:left w:val="none" w:sz="0" w:space="0" w:color="auto"/>
              <w:bottom w:val="none" w:sz="0" w:space="0" w:color="auto"/>
              <w:right w:val="none" w:sz="0" w:space="0" w:color="auto"/>
            </w:tcBorders>
          </w:tcPr>
          <w:p w14:paraId="0BFD3CB8" w14:textId="4DCE364C" w:rsidR="00D80A65" w:rsidRDefault="000069D1" w:rsidP="00BC69D4">
            <w:pPr>
              <w:keepNext/>
              <w:keepLines/>
              <w:cnfStyle w:val="000000010000" w:firstRow="0" w:lastRow="0" w:firstColumn="0" w:lastColumn="0" w:oddVBand="0" w:evenVBand="0" w:oddHBand="0" w:evenHBand="1" w:firstRowFirstColumn="0" w:firstRowLastColumn="0" w:lastRowFirstColumn="0" w:lastRowLastColumn="0"/>
            </w:pPr>
            <w:r>
              <w:t xml:space="preserve">Flow </w:t>
            </w:r>
            <w:r w:rsidR="008E69BB">
              <w:t>Fraction</w:t>
            </w:r>
            <w:r>
              <w:t xml:space="preserve"> and Part Load Ratio (PLR) factor: assumes “No Control or Bypass Damper”</w:t>
            </w:r>
          </w:p>
        </w:tc>
        <w:tc>
          <w:tcPr>
            <w:tcW w:w="0" w:type="auto"/>
            <w:tcBorders>
              <w:top w:val="none" w:sz="0" w:space="0" w:color="auto"/>
              <w:left w:val="none" w:sz="0" w:space="0" w:color="auto"/>
              <w:bottom w:val="none" w:sz="0" w:space="0" w:color="auto"/>
              <w:right w:val="none" w:sz="0" w:space="0" w:color="auto"/>
            </w:tcBorders>
          </w:tcPr>
          <w:p w14:paraId="0D0F07AF" w14:textId="6A3D330F" w:rsidR="00D80A65" w:rsidRDefault="008E69BB" w:rsidP="00E3116D">
            <w:pPr>
              <w:keepNext/>
              <w:keepLines/>
              <w:jc w:val="center"/>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14A677D4" w14:textId="3BDAC869" w:rsidR="00D80A65" w:rsidRDefault="00D76D1E" w:rsidP="00927C3A">
            <w:pPr>
              <w:keepNext/>
              <w:keepLines/>
              <w:jc w:val="center"/>
              <w:cnfStyle w:val="000000010000" w:firstRow="0" w:lastRow="0" w:firstColumn="0" w:lastColumn="0" w:oddVBand="0" w:evenVBand="0" w:oddHBand="0" w:evenHBand="1" w:firstRowFirstColumn="0" w:firstRowLastColumn="0" w:lastRowFirstColumn="0" w:lastRowLastColumn="0"/>
            </w:pPr>
            <w:r>
              <w:t>IL-TRM V12.0</w:t>
            </w:r>
          </w:p>
        </w:tc>
      </w:tr>
      <w:tr w:rsidR="00D80A65" w14:paraId="29687AF2"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B0A2A68" w14:textId="05E80E9C" w:rsidR="00D80A65" w:rsidRDefault="00D76D1E" w:rsidP="00E3116D">
            <w:pPr>
              <w:keepNext/>
              <w:keepLines/>
            </w:pPr>
            <w:r>
              <w:t>nm</w:t>
            </w:r>
            <w:r w:rsidR="00980293">
              <w:t>otor</w:t>
            </w:r>
          </w:p>
        </w:tc>
        <w:tc>
          <w:tcPr>
            <w:tcW w:w="0" w:type="auto"/>
            <w:tcBorders>
              <w:top w:val="none" w:sz="0" w:space="0" w:color="auto"/>
              <w:left w:val="none" w:sz="0" w:space="0" w:color="auto"/>
              <w:bottom w:val="none" w:sz="0" w:space="0" w:color="auto"/>
              <w:right w:val="none" w:sz="0" w:space="0" w:color="auto"/>
            </w:tcBorders>
          </w:tcPr>
          <w:p w14:paraId="5009CB3F" w14:textId="1AD0D493" w:rsidR="00D80A65" w:rsidRPr="008E69BB" w:rsidRDefault="008E69BB" w:rsidP="00E3116D">
            <w:pPr>
              <w:keepNext/>
              <w:keepLines/>
              <w:cnfStyle w:val="000000100000" w:firstRow="0" w:lastRow="0" w:firstColumn="0" w:lastColumn="0" w:oddVBand="0" w:evenVBand="0" w:oddHBand="1" w:evenHBand="0" w:firstRowFirstColumn="0" w:firstRowLastColumn="0" w:lastRowFirstColumn="0" w:lastRowLastColumn="0"/>
              <w:rPr>
                <w:vertAlign w:val="superscript"/>
              </w:rPr>
            </w:pPr>
            <w:r>
              <w:t>Installed nominal/nameplate motor efficiency, based on horsepower</w:t>
            </w:r>
            <w:r>
              <w:rPr>
                <w:vertAlign w:val="superscript"/>
              </w:rPr>
              <w:t>a</w:t>
            </w:r>
          </w:p>
        </w:tc>
        <w:tc>
          <w:tcPr>
            <w:tcW w:w="0" w:type="auto"/>
            <w:tcBorders>
              <w:top w:val="none" w:sz="0" w:space="0" w:color="auto"/>
              <w:left w:val="none" w:sz="0" w:space="0" w:color="auto"/>
              <w:bottom w:val="none" w:sz="0" w:space="0" w:color="auto"/>
              <w:right w:val="none" w:sz="0" w:space="0" w:color="auto"/>
            </w:tcBorders>
          </w:tcPr>
          <w:p w14:paraId="22C70648" w14:textId="3E4801EF" w:rsidR="00D80A65" w:rsidRDefault="008E69BB" w:rsidP="00E3116D">
            <w:pPr>
              <w:keepNext/>
              <w:keepLines/>
              <w:jc w:val="center"/>
              <w:cnfStyle w:val="000000100000" w:firstRow="0" w:lastRow="0" w:firstColumn="0" w:lastColumn="0" w:oddVBand="0" w:evenVBand="0" w:oddHBand="1" w:evenHBand="0" w:firstRowFirstColumn="0" w:firstRowLastColumn="0" w:lastRowFirstColumn="0" w:lastRowLastColumn="0"/>
            </w:pPr>
            <w:r>
              <w:t xml:space="preserve">NEMA </w:t>
            </w:r>
            <w:r w:rsidR="00D76D1E">
              <w:t>Standard</w:t>
            </w:r>
          </w:p>
        </w:tc>
        <w:tc>
          <w:tcPr>
            <w:tcW w:w="0" w:type="auto"/>
            <w:tcBorders>
              <w:top w:val="none" w:sz="0" w:space="0" w:color="auto"/>
              <w:left w:val="none" w:sz="0" w:space="0" w:color="auto"/>
              <w:bottom w:val="none" w:sz="0" w:space="0" w:color="auto"/>
              <w:right w:val="none" w:sz="0" w:space="0" w:color="auto"/>
            </w:tcBorders>
          </w:tcPr>
          <w:p w14:paraId="4848BC31" w14:textId="68D85707" w:rsidR="00D80A65" w:rsidRDefault="00B20147" w:rsidP="00927C3A">
            <w:pPr>
              <w:keepNext/>
              <w:keepLines/>
              <w:jc w:val="center"/>
              <w:cnfStyle w:val="000000100000" w:firstRow="0" w:lastRow="0" w:firstColumn="0" w:lastColumn="0" w:oddVBand="0" w:evenVBand="0" w:oddHBand="1" w:evenHBand="0" w:firstRowFirstColumn="0" w:firstRowLastColumn="0" w:lastRowFirstColumn="0" w:lastRowLastColumn="0"/>
            </w:pPr>
            <w:r>
              <w:t>Extracted from IL-TRM V12.0 Table of NEMA Motor Efficiencies</w:t>
            </w:r>
          </w:p>
        </w:tc>
      </w:tr>
      <w:tr w:rsidR="00D80A65" w14:paraId="5795F61A"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504D9C5F" w14:textId="0FEBC151" w:rsidR="00D80A65" w:rsidRPr="00980293" w:rsidRDefault="00980293" w:rsidP="00E3116D">
            <w:pPr>
              <w:keepNext/>
              <w:keepLines/>
              <w:rPr>
                <w:vertAlign w:val="subscript"/>
              </w:rPr>
            </w:pPr>
            <w:r>
              <w:t>RHRS</w:t>
            </w:r>
            <w:r>
              <w:rPr>
                <w:vertAlign w:val="subscript"/>
              </w:rPr>
              <w:t>base</w:t>
            </w:r>
          </w:p>
        </w:tc>
        <w:tc>
          <w:tcPr>
            <w:tcW w:w="0" w:type="auto"/>
            <w:tcBorders>
              <w:top w:val="none" w:sz="0" w:space="0" w:color="auto"/>
              <w:left w:val="none" w:sz="0" w:space="0" w:color="auto"/>
              <w:bottom w:val="none" w:sz="0" w:space="0" w:color="auto"/>
              <w:right w:val="none" w:sz="0" w:space="0" w:color="auto"/>
            </w:tcBorders>
          </w:tcPr>
          <w:p w14:paraId="4C74B610" w14:textId="551EE2CF" w:rsidR="00D80A65" w:rsidRDefault="008E69BB" w:rsidP="00E3116D">
            <w:pPr>
              <w:keepNext/>
              <w:keepLines/>
              <w:cnfStyle w:val="000000010000" w:firstRow="0" w:lastRow="0" w:firstColumn="0" w:lastColumn="0" w:oddVBand="0" w:evenVBand="0" w:oddHBand="0" w:evenHBand="1" w:firstRowFirstColumn="0" w:firstRowLastColumn="0" w:lastRowFirstColumn="0" w:lastRowLastColumn="0"/>
            </w:pPr>
            <w:r>
              <w:t>Annual operating hours of base motor</w:t>
            </w:r>
          </w:p>
        </w:tc>
        <w:tc>
          <w:tcPr>
            <w:tcW w:w="0" w:type="auto"/>
            <w:tcBorders>
              <w:top w:val="none" w:sz="0" w:space="0" w:color="auto"/>
              <w:left w:val="none" w:sz="0" w:space="0" w:color="auto"/>
              <w:bottom w:val="none" w:sz="0" w:space="0" w:color="auto"/>
              <w:right w:val="none" w:sz="0" w:space="0" w:color="auto"/>
            </w:tcBorders>
          </w:tcPr>
          <w:p w14:paraId="34795D94" w14:textId="5B0D6042" w:rsidR="00D80A65" w:rsidRDefault="008E69BB" w:rsidP="00E3116D">
            <w:pPr>
              <w:keepNext/>
              <w:keepLines/>
              <w:jc w:val="center"/>
              <w:cnfStyle w:val="000000010000" w:firstRow="0" w:lastRow="0" w:firstColumn="0" w:lastColumn="0" w:oddVBand="0" w:evenVBand="0" w:oddHBand="0" w:evenHBand="1" w:firstRowFirstColumn="0" w:firstRowLastColumn="0" w:lastRowFirstColumn="0" w:lastRowLastColumn="0"/>
            </w:pPr>
            <w:r>
              <w:t>Actual value</w:t>
            </w:r>
          </w:p>
        </w:tc>
        <w:tc>
          <w:tcPr>
            <w:tcW w:w="0" w:type="auto"/>
            <w:tcBorders>
              <w:top w:val="none" w:sz="0" w:space="0" w:color="auto"/>
              <w:left w:val="none" w:sz="0" w:space="0" w:color="auto"/>
              <w:bottom w:val="none" w:sz="0" w:space="0" w:color="auto"/>
              <w:right w:val="none" w:sz="0" w:space="0" w:color="auto"/>
            </w:tcBorders>
          </w:tcPr>
          <w:p w14:paraId="2F07C178" w14:textId="09C16267" w:rsidR="00D80A65" w:rsidRDefault="00B20147" w:rsidP="00927C3A">
            <w:pPr>
              <w:keepNext/>
              <w:keepLines/>
              <w:jc w:val="center"/>
              <w:cnfStyle w:val="000000010000" w:firstRow="0" w:lastRow="0" w:firstColumn="0" w:lastColumn="0" w:oddVBand="0" w:evenVBand="0" w:oddHBand="0" w:evenHBand="1" w:firstRowFirstColumn="0" w:firstRowLastColumn="0" w:lastRowFirstColumn="0" w:lastRowLastColumn="0"/>
            </w:pPr>
            <w:r>
              <w:t>Initiative tracking database</w:t>
            </w:r>
          </w:p>
        </w:tc>
      </w:tr>
      <w:tr w:rsidR="00D80A65" w14:paraId="633E980D"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F0F37A9" w14:textId="63ADE5FB" w:rsidR="00D80A65" w:rsidRDefault="00980293" w:rsidP="00E3116D">
            <w:pPr>
              <w:keepNext/>
              <w:keepLines/>
            </w:pPr>
            <w:r>
              <w:t>ESF (pump)</w:t>
            </w:r>
          </w:p>
        </w:tc>
        <w:tc>
          <w:tcPr>
            <w:tcW w:w="0" w:type="auto"/>
            <w:tcBorders>
              <w:top w:val="none" w:sz="0" w:space="0" w:color="auto"/>
              <w:left w:val="none" w:sz="0" w:space="0" w:color="auto"/>
              <w:bottom w:val="none" w:sz="0" w:space="0" w:color="auto"/>
              <w:right w:val="none" w:sz="0" w:space="0" w:color="auto"/>
            </w:tcBorders>
          </w:tcPr>
          <w:p w14:paraId="75D71DAA" w14:textId="7C91DF0B" w:rsidR="00D80A65" w:rsidRDefault="008E69BB" w:rsidP="00E3116D">
            <w:pPr>
              <w:keepNext/>
              <w:keepLines/>
              <w:cnfStyle w:val="000000100000" w:firstRow="0" w:lastRow="0" w:firstColumn="0" w:lastColumn="0" w:oddVBand="0" w:evenVBand="0" w:oddHBand="1" w:evenHBand="0" w:firstRowFirstColumn="0" w:firstRowLastColumn="0" w:lastRowFirstColumn="0" w:lastRowLastColumn="0"/>
            </w:pPr>
            <w:r>
              <w:t xml:space="preserve">Energy Savings Factor for pump </w:t>
            </w:r>
            <w:r w:rsidR="00D76D1E">
              <w:t>applications</w:t>
            </w:r>
          </w:p>
        </w:tc>
        <w:tc>
          <w:tcPr>
            <w:tcW w:w="0" w:type="auto"/>
            <w:tcBorders>
              <w:top w:val="none" w:sz="0" w:space="0" w:color="auto"/>
              <w:left w:val="none" w:sz="0" w:space="0" w:color="auto"/>
              <w:bottom w:val="none" w:sz="0" w:space="0" w:color="auto"/>
              <w:right w:val="none" w:sz="0" w:space="0" w:color="auto"/>
            </w:tcBorders>
          </w:tcPr>
          <w:p w14:paraId="589A09B4" w14:textId="7F15E5C0" w:rsidR="00D80A65" w:rsidRDefault="008E69BB" w:rsidP="00E3116D">
            <w:pPr>
              <w:keepNext/>
              <w:keepLines/>
              <w:jc w:val="center"/>
              <w:cnfStyle w:val="000000100000" w:firstRow="0" w:lastRow="0" w:firstColumn="0" w:lastColumn="0" w:oddVBand="0" w:evenVBand="0" w:oddHBand="1" w:evenHBand="0" w:firstRowFirstColumn="0" w:firstRowLastColumn="0" w:lastRowFirstColumn="0" w:lastRowLastColumn="0"/>
            </w:pPr>
            <w:r>
              <w:t>4</w:t>
            </w:r>
            <w:r w:rsidR="00D76D1E">
              <w:t>2</w:t>
            </w:r>
            <w:r>
              <w:t>%</w:t>
            </w:r>
          </w:p>
        </w:tc>
        <w:tc>
          <w:tcPr>
            <w:tcW w:w="0" w:type="auto"/>
            <w:tcBorders>
              <w:top w:val="none" w:sz="0" w:space="0" w:color="auto"/>
              <w:left w:val="none" w:sz="0" w:space="0" w:color="auto"/>
              <w:bottom w:val="none" w:sz="0" w:space="0" w:color="auto"/>
              <w:right w:val="none" w:sz="0" w:space="0" w:color="auto"/>
            </w:tcBorders>
          </w:tcPr>
          <w:p w14:paraId="28731D7A" w14:textId="3192D3E9" w:rsidR="00D80A65" w:rsidRPr="00B20147" w:rsidRDefault="00B20147" w:rsidP="00927C3A">
            <w:pPr>
              <w:keepNext/>
              <w:keepLines/>
              <w:jc w:val="center"/>
              <w:cnfStyle w:val="000000100000" w:firstRow="0" w:lastRow="0" w:firstColumn="0" w:lastColumn="0" w:oddVBand="0" w:evenVBand="0" w:oddHBand="1" w:evenHBand="0" w:firstRowFirstColumn="0" w:firstRowLastColumn="0" w:lastRowFirstColumn="0" w:lastRowLastColumn="0"/>
              <w:rPr>
                <w:vertAlign w:val="superscript"/>
              </w:rPr>
            </w:pPr>
            <w:r>
              <w:t>2010 memorandum</w:t>
            </w:r>
            <w:r>
              <w:rPr>
                <w:vertAlign w:val="superscript"/>
              </w:rPr>
              <w:t>b</w:t>
            </w:r>
          </w:p>
        </w:tc>
      </w:tr>
    </w:tbl>
    <w:p w14:paraId="36148F84" w14:textId="1CEBE3D6" w:rsidR="00D80A65" w:rsidRDefault="00B20147" w:rsidP="00E3116D">
      <w:pPr>
        <w:pStyle w:val="Source"/>
        <w:contextualSpacing/>
      </w:pPr>
      <w:r>
        <w:rPr>
          <w:vertAlign w:val="superscript"/>
        </w:rPr>
        <w:t>a</w:t>
      </w:r>
      <w:r w:rsidR="003F35FE">
        <w:rPr>
          <w:vertAlign w:val="superscript"/>
        </w:rPr>
        <w:t xml:space="preserve"> </w:t>
      </w:r>
      <w:r>
        <w:t xml:space="preserve">Default motor type is a National Electrical Manufacturers Association (NEMA) Premium </w:t>
      </w:r>
      <w:r w:rsidR="00A00014">
        <w:t>Efficiency</w:t>
      </w:r>
      <w:r>
        <w:t>, Open Drip Proof, 4-pole/1800 RPM fan motor.</w:t>
      </w:r>
    </w:p>
    <w:p w14:paraId="0DFCE32C" w14:textId="209039F9" w:rsidR="00A00014" w:rsidRDefault="00A00014" w:rsidP="0090266A">
      <w:pPr>
        <w:pStyle w:val="Source"/>
        <w:rPr>
          <w:rStyle w:val="SourceChar"/>
        </w:rPr>
      </w:pPr>
      <w:r>
        <w:rPr>
          <w:vertAlign w:val="superscript"/>
        </w:rPr>
        <w:t>b</w:t>
      </w:r>
      <w:r w:rsidR="003F35FE">
        <w:rPr>
          <w:vertAlign w:val="superscript"/>
        </w:rPr>
        <w:t xml:space="preserve"> </w:t>
      </w:r>
      <w:r w:rsidRPr="00A00014">
        <w:rPr>
          <w:rStyle w:val="SourceChar"/>
        </w:rPr>
        <w:t xml:space="preserve">Recommendations for Verifying Savings for non-HVAC VFDs provides details on load factor and ESF assumptions. </w:t>
      </w:r>
    </w:p>
    <w:p w14:paraId="52442FD5" w14:textId="30D3CDAE" w:rsidR="003F35FE" w:rsidRDefault="003F35FE" w:rsidP="0090266A">
      <w:pPr>
        <w:spacing w:before="100" w:beforeAutospacing="1"/>
      </w:pPr>
      <w:r>
        <w:t xml:space="preserve">Energy and demand savings are capped by the energy savings factor (ESF) of 42% for pump applications. </w:t>
      </w:r>
      <w:r w:rsidR="005D183A">
        <w:t>T</w:t>
      </w:r>
      <w:r>
        <w:t>he evaluation team compares the verified electric energy and demand savings against the claimed savings</w:t>
      </w:r>
      <w:r w:rsidR="005D183A">
        <w:t xml:space="preserve"> to ensure savings are capped.</w:t>
      </w:r>
      <w:r>
        <w:t xml:space="preserve"> If the proportion of claimed savings to kWh</w:t>
      </w:r>
      <w:r>
        <w:rPr>
          <w:vertAlign w:val="subscript"/>
        </w:rPr>
        <w:t>base</w:t>
      </w:r>
      <w:r>
        <w:t xml:space="preserve"> is greater than the savings limit, then the savings limit is applied to the kWh</w:t>
      </w:r>
      <w:r>
        <w:rPr>
          <w:vertAlign w:val="subscript"/>
        </w:rPr>
        <w:t>base</w:t>
      </w:r>
      <w:r>
        <w:t xml:space="preserve">. If the proportion is less than the claimed savings, the claimed savings are accepted as verified savings. </w:t>
      </w:r>
    </w:p>
    <w:p w14:paraId="4B28E3A6" w14:textId="13E50146" w:rsidR="00A00014" w:rsidRPr="00A00014" w:rsidRDefault="00A00014" w:rsidP="00A00014">
      <w:pPr>
        <w:rPr>
          <w:rStyle w:val="SourceChar"/>
          <w:sz w:val="22"/>
          <w:szCs w:val="24"/>
        </w:rPr>
      </w:pPr>
      <w:r w:rsidRPr="00A00014">
        <w:rPr>
          <w:rStyle w:val="SourceChar"/>
          <w:sz w:val="22"/>
          <w:szCs w:val="24"/>
        </w:rPr>
        <w:t>The evaluation team will continue to apply the method outlined above to calculate verified savings for VFDs installed on process pumps until the IL-TRM provides guidance for this application of VFDs.</w:t>
      </w:r>
    </w:p>
    <w:p w14:paraId="294CE26A" w14:textId="7896D972" w:rsidR="008616E9" w:rsidRDefault="008616E9" w:rsidP="000071FF">
      <w:pPr>
        <w:pStyle w:val="Heading5"/>
      </w:pPr>
      <w:r>
        <w:t>Measure Lives and Cumulative Persisting Annual Savings</w:t>
      </w:r>
    </w:p>
    <w:p w14:paraId="40CA8ADD" w14:textId="1B082C56" w:rsidR="00695041" w:rsidRPr="00695041" w:rsidRDefault="00695041" w:rsidP="008616E9">
      <w:r>
        <w:t>For prescriptive measures, the evaluation team applied measure lives and mid-life adjustments from the IL-TRM V12.0.</w:t>
      </w:r>
    </w:p>
    <w:p w14:paraId="0EBD70D2" w14:textId="13C155A4" w:rsidR="008616E9" w:rsidRDefault="008616E9" w:rsidP="008616E9">
      <w:pPr>
        <w:pStyle w:val="AppendixGamma"/>
      </w:pPr>
      <w:bookmarkStart w:id="373" w:name="_Toc191992459"/>
      <w:r>
        <w:t>Net Impact Methodology</w:t>
      </w:r>
      <w:bookmarkEnd w:id="373"/>
    </w:p>
    <w:p w14:paraId="2AD88570" w14:textId="24D2624D" w:rsidR="001C77F6" w:rsidRDefault="001C77F6" w:rsidP="001C77F6">
      <w:r>
        <w:t>The evaluation team applied SAG-approved 2024 NTGRs to the verified gross savings to calculate verified net savings.</w:t>
      </w:r>
    </w:p>
    <w:p w14:paraId="48C2C90C" w14:textId="01B56CFB" w:rsidR="001C77F6" w:rsidRDefault="001C77F6" w:rsidP="00881B1B">
      <w:pPr>
        <w:pStyle w:val="Caption"/>
      </w:pPr>
      <w:bookmarkStart w:id="374" w:name="_Toc191992607"/>
      <w:bookmarkStart w:id="375" w:name="_Toc192767020"/>
      <w:r>
        <w:t xml:space="preserve">Table </w:t>
      </w:r>
      <w:r w:rsidR="009B4C9A">
        <w:fldChar w:fldCharType="begin"/>
      </w:r>
      <w:r w:rsidR="009B4C9A">
        <w:instrText xml:space="preserve"> SEQ Table \* ARABIC </w:instrText>
      </w:r>
      <w:r w:rsidR="009B4C9A">
        <w:fldChar w:fldCharType="separate"/>
      </w:r>
      <w:r w:rsidR="00AA10F4">
        <w:rPr>
          <w:noProof/>
        </w:rPr>
        <w:t>86</w:t>
      </w:r>
      <w:r w:rsidR="009B4C9A">
        <w:rPr>
          <w:noProof/>
        </w:rPr>
        <w:fldChar w:fldCharType="end"/>
      </w:r>
      <w:r>
        <w:t>. 2024 SAG-Approved Standard Initiative NTGRs</w:t>
      </w:r>
      <w:bookmarkEnd w:id="374"/>
      <w:bookmarkEnd w:id="375"/>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79"/>
        <w:gridCol w:w="5544"/>
        <w:gridCol w:w="2075"/>
        <w:gridCol w:w="1598"/>
      </w:tblGrid>
      <w:tr w:rsidR="001C77F6" w14:paraId="386721F0" w14:textId="77777777" w:rsidTr="0090266A">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544A5014" w14:textId="636E2603" w:rsidR="001C77F6" w:rsidRDefault="001C77F6" w:rsidP="001C77F6">
            <w:pPr>
              <w:pStyle w:val="TableHeadingLeft"/>
            </w:pPr>
            <w:r>
              <w:t>Channel</w:t>
            </w:r>
          </w:p>
        </w:tc>
        <w:tc>
          <w:tcPr>
            <w:tcW w:w="2498" w:type="pct"/>
            <w:tcBorders>
              <w:bottom w:val="none" w:sz="0" w:space="0" w:color="auto"/>
            </w:tcBorders>
          </w:tcPr>
          <w:p w14:paraId="41EEE968" w14:textId="7B1FAB8C" w:rsidR="001C77F6" w:rsidRDefault="001C77F6" w:rsidP="001C77F6">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935" w:type="pct"/>
            <w:tcBorders>
              <w:bottom w:val="none" w:sz="0" w:space="0" w:color="auto"/>
            </w:tcBorders>
          </w:tcPr>
          <w:p w14:paraId="057D01F8" w14:textId="6A999CB4" w:rsidR="001C77F6" w:rsidRDefault="001C77F6" w:rsidP="001C77F6">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720" w:type="pct"/>
            <w:tcBorders>
              <w:bottom w:val="none" w:sz="0" w:space="0" w:color="auto"/>
            </w:tcBorders>
          </w:tcPr>
          <w:p w14:paraId="27C129A3" w14:textId="4CEE7670" w:rsidR="001C77F6" w:rsidRDefault="001C77F6" w:rsidP="001C77F6">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CF08AF" w14:paraId="2AD0BD99" w14:textId="77777777" w:rsidTr="00E31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vAlign w:val="top"/>
          </w:tcPr>
          <w:p w14:paraId="678DD837" w14:textId="13725F4B" w:rsidR="00CF08AF" w:rsidRDefault="00CF08AF" w:rsidP="00CF08AF">
            <w:r w:rsidRPr="00004536">
              <w:t>Online Store</w:t>
            </w:r>
          </w:p>
        </w:tc>
        <w:tc>
          <w:tcPr>
            <w:tcW w:w="2498" w:type="pct"/>
            <w:tcBorders>
              <w:top w:val="none" w:sz="0" w:space="0" w:color="auto"/>
              <w:left w:val="none" w:sz="0" w:space="0" w:color="auto"/>
              <w:bottom w:val="none" w:sz="0" w:space="0" w:color="auto"/>
              <w:right w:val="none" w:sz="0" w:space="0" w:color="auto"/>
            </w:tcBorders>
          </w:tcPr>
          <w:p w14:paraId="47ACA2A0" w14:textId="34904AA1" w:rsidR="00CF08AF" w:rsidRDefault="005D183A" w:rsidP="00E3116D">
            <w:pPr>
              <w:cnfStyle w:val="000000100000" w:firstRow="0" w:lastRow="0" w:firstColumn="0" w:lastColumn="0" w:oddVBand="0" w:evenVBand="0" w:oddHBand="1" w:evenHBand="0" w:firstRowFirstColumn="0" w:firstRowLastColumn="0" w:lastRowFirstColumn="0" w:lastRowLastColumn="0"/>
            </w:pPr>
            <w:r w:rsidRPr="00004536">
              <w:t>Advanced Thermostats</w:t>
            </w:r>
          </w:p>
        </w:tc>
        <w:tc>
          <w:tcPr>
            <w:tcW w:w="935" w:type="pct"/>
            <w:tcBorders>
              <w:top w:val="none" w:sz="0" w:space="0" w:color="auto"/>
              <w:left w:val="none" w:sz="0" w:space="0" w:color="auto"/>
              <w:bottom w:val="none" w:sz="0" w:space="0" w:color="auto"/>
              <w:right w:val="none" w:sz="0" w:space="0" w:color="auto"/>
            </w:tcBorders>
          </w:tcPr>
          <w:p w14:paraId="44E7BC80" w14:textId="153F5F55" w:rsidR="00CF08AF" w:rsidRDefault="00CF08AF" w:rsidP="00DA1791">
            <w:pPr>
              <w:jc w:val="center"/>
              <w:cnfStyle w:val="000000100000" w:firstRow="0" w:lastRow="0" w:firstColumn="0" w:lastColumn="0" w:oddVBand="0" w:evenVBand="0" w:oddHBand="1" w:evenHBand="0" w:firstRowFirstColumn="0" w:firstRowLastColumn="0" w:lastRowFirstColumn="0" w:lastRowLastColumn="0"/>
            </w:pPr>
            <w:r w:rsidRPr="00004536">
              <w:t>0.880</w:t>
            </w:r>
          </w:p>
        </w:tc>
        <w:tc>
          <w:tcPr>
            <w:tcW w:w="720" w:type="pct"/>
            <w:tcBorders>
              <w:top w:val="none" w:sz="0" w:space="0" w:color="auto"/>
              <w:left w:val="none" w:sz="0" w:space="0" w:color="auto"/>
              <w:bottom w:val="none" w:sz="0" w:space="0" w:color="auto"/>
              <w:right w:val="none" w:sz="0" w:space="0" w:color="auto"/>
            </w:tcBorders>
          </w:tcPr>
          <w:p w14:paraId="09375551" w14:textId="3B38F980" w:rsidR="00CF08AF" w:rsidRDefault="00CF08AF" w:rsidP="00DA1791">
            <w:pPr>
              <w:jc w:val="center"/>
              <w:cnfStyle w:val="000000100000" w:firstRow="0" w:lastRow="0" w:firstColumn="0" w:lastColumn="0" w:oddVBand="0" w:evenVBand="0" w:oddHBand="1" w:evenHBand="0" w:firstRowFirstColumn="0" w:firstRowLastColumn="0" w:lastRowFirstColumn="0" w:lastRowLastColumn="0"/>
            </w:pPr>
            <w:r w:rsidRPr="00004536">
              <w:t>0.880</w:t>
            </w:r>
          </w:p>
        </w:tc>
      </w:tr>
      <w:tr w:rsidR="00CF08AF" w14:paraId="6C01C240" w14:textId="77777777" w:rsidTr="00E31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vAlign w:val="top"/>
          </w:tcPr>
          <w:p w14:paraId="250660C3" w14:textId="13C87121" w:rsidR="00CF08AF" w:rsidRDefault="00CF08AF" w:rsidP="00CF08AF">
            <w:r w:rsidRPr="00004536">
              <w:t>Online Store</w:t>
            </w:r>
          </w:p>
        </w:tc>
        <w:tc>
          <w:tcPr>
            <w:tcW w:w="2498" w:type="pct"/>
            <w:tcBorders>
              <w:top w:val="none" w:sz="0" w:space="0" w:color="auto"/>
              <w:left w:val="none" w:sz="0" w:space="0" w:color="auto"/>
              <w:bottom w:val="none" w:sz="0" w:space="0" w:color="auto"/>
              <w:right w:val="none" w:sz="0" w:space="0" w:color="auto"/>
            </w:tcBorders>
          </w:tcPr>
          <w:p w14:paraId="00BAEBF1" w14:textId="738B16F9" w:rsidR="00CF08AF" w:rsidRDefault="005D183A" w:rsidP="00E3116D">
            <w:pPr>
              <w:cnfStyle w:val="000000010000" w:firstRow="0" w:lastRow="0" w:firstColumn="0" w:lastColumn="0" w:oddVBand="0" w:evenVBand="0" w:oddHBand="0" w:evenHBand="1" w:firstRowFirstColumn="0" w:firstRowLastColumn="0" w:lastRowFirstColumn="0" w:lastRowLastColumn="0"/>
            </w:pPr>
            <w:r w:rsidRPr="00004536">
              <w:t>All Other Measures</w:t>
            </w:r>
          </w:p>
        </w:tc>
        <w:tc>
          <w:tcPr>
            <w:tcW w:w="935" w:type="pct"/>
            <w:tcBorders>
              <w:top w:val="none" w:sz="0" w:space="0" w:color="auto"/>
              <w:left w:val="none" w:sz="0" w:space="0" w:color="auto"/>
              <w:bottom w:val="none" w:sz="0" w:space="0" w:color="auto"/>
              <w:right w:val="none" w:sz="0" w:space="0" w:color="auto"/>
            </w:tcBorders>
          </w:tcPr>
          <w:p w14:paraId="1DFA1A86" w14:textId="5FEB95C5" w:rsidR="00CF08AF" w:rsidRDefault="00CF08AF" w:rsidP="00DA1791">
            <w:pPr>
              <w:jc w:val="center"/>
              <w:cnfStyle w:val="000000010000" w:firstRow="0" w:lastRow="0" w:firstColumn="0" w:lastColumn="0" w:oddVBand="0" w:evenVBand="0" w:oddHBand="0" w:evenHBand="1" w:firstRowFirstColumn="0" w:firstRowLastColumn="0" w:lastRowFirstColumn="0" w:lastRowLastColumn="0"/>
            </w:pPr>
            <w:r w:rsidRPr="00004536">
              <w:t>1.1</w:t>
            </w:r>
            <w:r w:rsidR="00D77DA5">
              <w:t>61</w:t>
            </w:r>
          </w:p>
        </w:tc>
        <w:tc>
          <w:tcPr>
            <w:tcW w:w="720" w:type="pct"/>
            <w:tcBorders>
              <w:top w:val="none" w:sz="0" w:space="0" w:color="auto"/>
              <w:left w:val="none" w:sz="0" w:space="0" w:color="auto"/>
              <w:bottom w:val="none" w:sz="0" w:space="0" w:color="auto"/>
              <w:right w:val="none" w:sz="0" w:space="0" w:color="auto"/>
            </w:tcBorders>
          </w:tcPr>
          <w:p w14:paraId="1ED85356" w14:textId="24219540" w:rsidR="00CF08AF" w:rsidRDefault="00CF08AF" w:rsidP="00DA1791">
            <w:pPr>
              <w:jc w:val="center"/>
              <w:cnfStyle w:val="000000010000" w:firstRow="0" w:lastRow="0" w:firstColumn="0" w:lastColumn="0" w:oddVBand="0" w:evenVBand="0" w:oddHBand="0" w:evenHBand="1" w:firstRowFirstColumn="0" w:firstRowLastColumn="0" w:lastRowFirstColumn="0" w:lastRowLastColumn="0"/>
            </w:pPr>
            <w:r w:rsidRPr="00004536">
              <w:t>0.800</w:t>
            </w:r>
          </w:p>
        </w:tc>
      </w:tr>
      <w:tr w:rsidR="00AC68EA" w14:paraId="2E79007E" w14:textId="77777777" w:rsidTr="00E31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1A85F5B2" w14:textId="317042C8" w:rsidR="00AC68EA" w:rsidRDefault="00AC68EA" w:rsidP="00AC68EA">
            <w:r>
              <w:t>SLB</w:t>
            </w:r>
          </w:p>
        </w:tc>
        <w:tc>
          <w:tcPr>
            <w:tcW w:w="2498" w:type="pct"/>
            <w:tcBorders>
              <w:top w:val="none" w:sz="0" w:space="0" w:color="auto"/>
              <w:left w:val="none" w:sz="0" w:space="0" w:color="auto"/>
              <w:bottom w:val="none" w:sz="0" w:space="0" w:color="auto"/>
              <w:right w:val="none" w:sz="0" w:space="0" w:color="auto"/>
            </w:tcBorders>
          </w:tcPr>
          <w:p w14:paraId="202F60D8" w14:textId="4515E2B2" w:rsidR="00AC68EA" w:rsidRDefault="00AC68EA" w:rsidP="00E3116D">
            <w:pPr>
              <w:cnfStyle w:val="000000100000" w:firstRow="0" w:lastRow="0" w:firstColumn="0" w:lastColumn="0" w:oddVBand="0" w:evenVBand="0" w:oddHBand="1" w:evenHBand="0" w:firstRowFirstColumn="0" w:firstRowLastColumn="0" w:lastRowFirstColumn="0" w:lastRowLastColumn="0"/>
            </w:pPr>
            <w:r>
              <w:t xml:space="preserve">All </w:t>
            </w:r>
            <w:r w:rsidR="005D183A">
              <w:t>Measures</w:t>
            </w:r>
          </w:p>
        </w:tc>
        <w:tc>
          <w:tcPr>
            <w:tcW w:w="935" w:type="pct"/>
            <w:tcBorders>
              <w:top w:val="none" w:sz="0" w:space="0" w:color="auto"/>
              <w:left w:val="none" w:sz="0" w:space="0" w:color="auto"/>
              <w:bottom w:val="none" w:sz="0" w:space="0" w:color="auto"/>
              <w:right w:val="none" w:sz="0" w:space="0" w:color="auto"/>
            </w:tcBorders>
          </w:tcPr>
          <w:p w14:paraId="54A2F444" w14:textId="5F3849FB" w:rsidR="00AC68EA" w:rsidRDefault="00AC68EA" w:rsidP="00DA1791">
            <w:pPr>
              <w:jc w:val="center"/>
              <w:cnfStyle w:val="000000100000" w:firstRow="0" w:lastRow="0" w:firstColumn="0" w:lastColumn="0" w:oddVBand="0" w:evenVBand="0" w:oddHBand="1" w:evenHBand="0" w:firstRowFirstColumn="0" w:firstRowLastColumn="0" w:lastRowFirstColumn="0" w:lastRowLastColumn="0"/>
            </w:pPr>
            <w:r w:rsidRPr="00AC68EA">
              <w:t>0.902</w:t>
            </w:r>
          </w:p>
        </w:tc>
        <w:tc>
          <w:tcPr>
            <w:tcW w:w="720" w:type="pct"/>
            <w:tcBorders>
              <w:top w:val="none" w:sz="0" w:space="0" w:color="auto"/>
              <w:left w:val="none" w:sz="0" w:space="0" w:color="auto"/>
              <w:bottom w:val="none" w:sz="0" w:space="0" w:color="auto"/>
              <w:right w:val="none" w:sz="0" w:space="0" w:color="auto"/>
            </w:tcBorders>
          </w:tcPr>
          <w:p w14:paraId="0A81BE95" w14:textId="5BF68B02" w:rsidR="00AC68EA" w:rsidRDefault="003F3C7E" w:rsidP="00DA1791">
            <w:pPr>
              <w:jc w:val="center"/>
              <w:cnfStyle w:val="000000100000" w:firstRow="0" w:lastRow="0" w:firstColumn="0" w:lastColumn="0" w:oddVBand="0" w:evenVBand="0" w:oddHBand="1" w:evenHBand="0" w:firstRowFirstColumn="0" w:firstRowLastColumn="0" w:lastRowFirstColumn="0" w:lastRowLastColumn="0"/>
            </w:pPr>
            <w:r>
              <w:t>N/A</w:t>
            </w:r>
          </w:p>
        </w:tc>
      </w:tr>
      <w:tr w:rsidR="00AC68EA" w14:paraId="426D5887" w14:textId="77777777" w:rsidTr="00E31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7314BB9C" w14:textId="58550E84" w:rsidR="00AC68EA" w:rsidRDefault="00AC68EA" w:rsidP="00AC68EA">
            <w:r>
              <w:t>HVAC</w:t>
            </w:r>
          </w:p>
        </w:tc>
        <w:tc>
          <w:tcPr>
            <w:tcW w:w="2498" w:type="pct"/>
            <w:tcBorders>
              <w:top w:val="none" w:sz="0" w:space="0" w:color="auto"/>
              <w:left w:val="none" w:sz="0" w:space="0" w:color="auto"/>
              <w:bottom w:val="none" w:sz="0" w:space="0" w:color="auto"/>
              <w:right w:val="none" w:sz="0" w:space="0" w:color="auto"/>
            </w:tcBorders>
          </w:tcPr>
          <w:p w14:paraId="7D6E47B4" w14:textId="42F157DA" w:rsidR="00AC68EA" w:rsidRDefault="00AC68EA" w:rsidP="00E3116D">
            <w:pPr>
              <w:cnfStyle w:val="000000010000" w:firstRow="0" w:lastRow="0" w:firstColumn="0" w:lastColumn="0" w:oddVBand="0" w:evenVBand="0" w:oddHBand="0" w:evenHBand="1" w:firstRowFirstColumn="0" w:firstRowLastColumn="0" w:lastRowFirstColumn="0" w:lastRowLastColumn="0"/>
            </w:pPr>
            <w:r>
              <w:t xml:space="preserve">All </w:t>
            </w:r>
            <w:r w:rsidR="005D183A">
              <w:t>Non-</w:t>
            </w:r>
            <w:r>
              <w:t>Advanced Thermostat Measures</w:t>
            </w:r>
          </w:p>
        </w:tc>
        <w:tc>
          <w:tcPr>
            <w:tcW w:w="935" w:type="pct"/>
            <w:tcBorders>
              <w:top w:val="none" w:sz="0" w:space="0" w:color="auto"/>
              <w:left w:val="none" w:sz="0" w:space="0" w:color="auto"/>
              <w:bottom w:val="none" w:sz="0" w:space="0" w:color="auto"/>
              <w:right w:val="none" w:sz="0" w:space="0" w:color="auto"/>
            </w:tcBorders>
          </w:tcPr>
          <w:p w14:paraId="0AC1C44C" w14:textId="1C3FB8D3" w:rsidR="00AC68EA" w:rsidRDefault="00AC68EA" w:rsidP="00DA1791">
            <w:pPr>
              <w:jc w:val="center"/>
              <w:cnfStyle w:val="000000010000" w:firstRow="0" w:lastRow="0" w:firstColumn="0" w:lastColumn="0" w:oddVBand="0" w:evenVBand="0" w:oddHBand="0" w:evenHBand="1" w:firstRowFirstColumn="0" w:firstRowLastColumn="0" w:lastRowFirstColumn="0" w:lastRowLastColumn="0"/>
            </w:pPr>
            <w:r w:rsidRPr="00AC68EA">
              <w:t>0.759</w:t>
            </w:r>
          </w:p>
        </w:tc>
        <w:tc>
          <w:tcPr>
            <w:tcW w:w="720" w:type="pct"/>
            <w:tcBorders>
              <w:top w:val="none" w:sz="0" w:space="0" w:color="auto"/>
              <w:left w:val="none" w:sz="0" w:space="0" w:color="auto"/>
              <w:bottom w:val="none" w:sz="0" w:space="0" w:color="auto"/>
              <w:right w:val="none" w:sz="0" w:space="0" w:color="auto"/>
            </w:tcBorders>
          </w:tcPr>
          <w:p w14:paraId="46944D7C" w14:textId="2EE4438B" w:rsidR="00AC68EA" w:rsidRDefault="00AC68EA" w:rsidP="00DA1791">
            <w:pPr>
              <w:jc w:val="center"/>
              <w:cnfStyle w:val="000000010000" w:firstRow="0" w:lastRow="0" w:firstColumn="0" w:lastColumn="0" w:oddVBand="0" w:evenVBand="0" w:oddHBand="0" w:evenHBand="1" w:firstRowFirstColumn="0" w:firstRowLastColumn="0" w:lastRowFirstColumn="0" w:lastRowLastColumn="0"/>
            </w:pPr>
            <w:r w:rsidRPr="00AC68EA">
              <w:t>0.48</w:t>
            </w:r>
            <w:r w:rsidR="003F3C7E">
              <w:t>3</w:t>
            </w:r>
          </w:p>
        </w:tc>
      </w:tr>
      <w:tr w:rsidR="00AC68EA" w14:paraId="7A564255" w14:textId="77777777" w:rsidTr="00E31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77E9FBA5" w14:textId="468A414B" w:rsidR="00AC68EA" w:rsidRDefault="00AC68EA" w:rsidP="00AC68EA">
            <w:r>
              <w:t>VFD</w:t>
            </w:r>
          </w:p>
        </w:tc>
        <w:tc>
          <w:tcPr>
            <w:tcW w:w="2498" w:type="pct"/>
            <w:tcBorders>
              <w:top w:val="none" w:sz="0" w:space="0" w:color="auto"/>
              <w:left w:val="none" w:sz="0" w:space="0" w:color="auto"/>
              <w:bottom w:val="none" w:sz="0" w:space="0" w:color="auto"/>
              <w:right w:val="none" w:sz="0" w:space="0" w:color="auto"/>
            </w:tcBorders>
          </w:tcPr>
          <w:p w14:paraId="6667E984" w14:textId="632D3E02" w:rsidR="00AC68EA" w:rsidRDefault="00AC68EA" w:rsidP="00E3116D">
            <w:pPr>
              <w:cnfStyle w:val="000000100000" w:firstRow="0" w:lastRow="0" w:firstColumn="0" w:lastColumn="0" w:oddVBand="0" w:evenVBand="0" w:oddHBand="1" w:evenHBand="0" w:firstRowFirstColumn="0" w:firstRowLastColumn="0" w:lastRowFirstColumn="0" w:lastRowLastColumn="0"/>
            </w:pPr>
            <w:r>
              <w:t xml:space="preserve">All </w:t>
            </w:r>
            <w:r w:rsidR="005D183A">
              <w:t>Measures</w:t>
            </w:r>
          </w:p>
        </w:tc>
        <w:tc>
          <w:tcPr>
            <w:tcW w:w="935" w:type="pct"/>
            <w:tcBorders>
              <w:top w:val="none" w:sz="0" w:space="0" w:color="auto"/>
              <w:left w:val="none" w:sz="0" w:space="0" w:color="auto"/>
              <w:bottom w:val="none" w:sz="0" w:space="0" w:color="auto"/>
              <w:right w:val="none" w:sz="0" w:space="0" w:color="auto"/>
            </w:tcBorders>
          </w:tcPr>
          <w:p w14:paraId="3B766178" w14:textId="060006EA" w:rsidR="00AC68EA" w:rsidRDefault="00AC68EA" w:rsidP="00DA1791">
            <w:pPr>
              <w:jc w:val="center"/>
              <w:cnfStyle w:val="000000100000" w:firstRow="0" w:lastRow="0" w:firstColumn="0" w:lastColumn="0" w:oddVBand="0" w:evenVBand="0" w:oddHBand="1" w:evenHBand="0" w:firstRowFirstColumn="0" w:firstRowLastColumn="0" w:lastRowFirstColumn="0" w:lastRowLastColumn="0"/>
            </w:pPr>
            <w:r w:rsidRPr="00AC68EA">
              <w:t>0.908</w:t>
            </w:r>
          </w:p>
        </w:tc>
        <w:tc>
          <w:tcPr>
            <w:tcW w:w="720" w:type="pct"/>
            <w:tcBorders>
              <w:top w:val="none" w:sz="0" w:space="0" w:color="auto"/>
              <w:left w:val="none" w:sz="0" w:space="0" w:color="auto"/>
              <w:bottom w:val="none" w:sz="0" w:space="0" w:color="auto"/>
              <w:right w:val="none" w:sz="0" w:space="0" w:color="auto"/>
            </w:tcBorders>
          </w:tcPr>
          <w:p w14:paraId="4785FD61" w14:textId="2B7D1A8A" w:rsidR="00AC68EA" w:rsidRDefault="003F3C7E" w:rsidP="00DA1791">
            <w:pPr>
              <w:jc w:val="center"/>
              <w:cnfStyle w:val="000000100000" w:firstRow="0" w:lastRow="0" w:firstColumn="0" w:lastColumn="0" w:oddVBand="0" w:evenVBand="0" w:oddHBand="1" w:evenHBand="0" w:firstRowFirstColumn="0" w:firstRowLastColumn="0" w:lastRowFirstColumn="0" w:lastRowLastColumn="0"/>
            </w:pPr>
            <w:r>
              <w:t>N/A</w:t>
            </w:r>
          </w:p>
        </w:tc>
      </w:tr>
      <w:tr w:rsidR="00AC68EA" w14:paraId="055A3BD4" w14:textId="77777777" w:rsidTr="00E311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5D892688" w14:textId="3E0AEA5F" w:rsidR="00AC68EA" w:rsidRDefault="00AC68EA" w:rsidP="00AC68EA">
            <w:r>
              <w:t>SE</w:t>
            </w:r>
          </w:p>
        </w:tc>
        <w:tc>
          <w:tcPr>
            <w:tcW w:w="2498" w:type="pct"/>
            <w:tcBorders>
              <w:top w:val="none" w:sz="0" w:space="0" w:color="auto"/>
              <w:left w:val="none" w:sz="0" w:space="0" w:color="auto"/>
              <w:bottom w:val="none" w:sz="0" w:space="0" w:color="auto"/>
              <w:right w:val="none" w:sz="0" w:space="0" w:color="auto"/>
            </w:tcBorders>
          </w:tcPr>
          <w:p w14:paraId="719806FF" w14:textId="6B43380D" w:rsidR="00AC68EA" w:rsidRDefault="00AC68EA" w:rsidP="00E3116D">
            <w:pPr>
              <w:cnfStyle w:val="000000010000" w:firstRow="0" w:lastRow="0" w:firstColumn="0" w:lastColumn="0" w:oddVBand="0" w:evenVBand="0" w:oddHBand="0" w:evenHBand="1" w:firstRowFirstColumn="0" w:firstRowLastColumn="0" w:lastRowFirstColumn="0" w:lastRowLastColumn="0"/>
            </w:pPr>
            <w:r>
              <w:t xml:space="preserve">All </w:t>
            </w:r>
            <w:r w:rsidR="005D183A">
              <w:t>Measures</w:t>
            </w:r>
          </w:p>
        </w:tc>
        <w:tc>
          <w:tcPr>
            <w:tcW w:w="935" w:type="pct"/>
            <w:tcBorders>
              <w:top w:val="none" w:sz="0" w:space="0" w:color="auto"/>
              <w:left w:val="none" w:sz="0" w:space="0" w:color="auto"/>
              <w:bottom w:val="none" w:sz="0" w:space="0" w:color="auto"/>
              <w:right w:val="none" w:sz="0" w:space="0" w:color="auto"/>
            </w:tcBorders>
          </w:tcPr>
          <w:p w14:paraId="70514B70" w14:textId="796FEEA8" w:rsidR="00AC68EA" w:rsidRDefault="00AC68EA" w:rsidP="00DA1791">
            <w:pPr>
              <w:jc w:val="center"/>
              <w:cnfStyle w:val="000000010000" w:firstRow="0" w:lastRow="0" w:firstColumn="0" w:lastColumn="0" w:oddVBand="0" w:evenVBand="0" w:oddHBand="0" w:evenHBand="1" w:firstRowFirstColumn="0" w:firstRowLastColumn="0" w:lastRowFirstColumn="0" w:lastRowLastColumn="0"/>
            </w:pPr>
            <w:r w:rsidRPr="00AC68EA">
              <w:t>0.924</w:t>
            </w:r>
          </w:p>
        </w:tc>
        <w:tc>
          <w:tcPr>
            <w:tcW w:w="720" w:type="pct"/>
            <w:tcBorders>
              <w:top w:val="none" w:sz="0" w:space="0" w:color="auto"/>
              <w:left w:val="none" w:sz="0" w:space="0" w:color="auto"/>
              <w:bottom w:val="none" w:sz="0" w:space="0" w:color="auto"/>
              <w:right w:val="none" w:sz="0" w:space="0" w:color="auto"/>
            </w:tcBorders>
          </w:tcPr>
          <w:p w14:paraId="79C7E99E" w14:textId="72E236B7" w:rsidR="00AC68EA" w:rsidRDefault="00AC68EA" w:rsidP="00DA1791">
            <w:pPr>
              <w:jc w:val="center"/>
              <w:cnfStyle w:val="000000010000" w:firstRow="0" w:lastRow="0" w:firstColumn="0" w:lastColumn="0" w:oddVBand="0" w:evenVBand="0" w:oddHBand="0" w:evenHBand="1" w:firstRowFirstColumn="0" w:firstRowLastColumn="0" w:lastRowFirstColumn="0" w:lastRowLastColumn="0"/>
            </w:pPr>
            <w:r w:rsidRPr="00AC68EA">
              <w:t>0.73</w:t>
            </w:r>
            <w:r w:rsidR="003F3C7E">
              <w:t>2</w:t>
            </w:r>
          </w:p>
        </w:tc>
      </w:tr>
      <w:tr w:rsidR="00AC68EA" w14:paraId="0F06EAA6" w14:textId="77777777" w:rsidTr="00E311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pct"/>
            <w:tcBorders>
              <w:top w:val="none" w:sz="0" w:space="0" w:color="auto"/>
              <w:left w:val="none" w:sz="0" w:space="0" w:color="auto"/>
              <w:bottom w:val="none" w:sz="0" w:space="0" w:color="auto"/>
              <w:right w:val="none" w:sz="0" w:space="0" w:color="auto"/>
            </w:tcBorders>
          </w:tcPr>
          <w:p w14:paraId="727ED8C8" w14:textId="2740807E" w:rsidR="00AC68EA" w:rsidRDefault="00AC68EA" w:rsidP="00AC68EA">
            <w:r>
              <w:t>STRR</w:t>
            </w:r>
          </w:p>
        </w:tc>
        <w:tc>
          <w:tcPr>
            <w:tcW w:w="2498" w:type="pct"/>
            <w:tcBorders>
              <w:top w:val="none" w:sz="0" w:space="0" w:color="auto"/>
              <w:left w:val="none" w:sz="0" w:space="0" w:color="auto"/>
              <w:bottom w:val="none" w:sz="0" w:space="0" w:color="auto"/>
              <w:right w:val="none" w:sz="0" w:space="0" w:color="auto"/>
            </w:tcBorders>
          </w:tcPr>
          <w:p w14:paraId="074F74D5" w14:textId="44845C0E" w:rsidR="00AC68EA" w:rsidRDefault="00AC68EA" w:rsidP="00E3116D">
            <w:pPr>
              <w:cnfStyle w:val="000000100000" w:firstRow="0" w:lastRow="0" w:firstColumn="0" w:lastColumn="0" w:oddVBand="0" w:evenVBand="0" w:oddHBand="1" w:evenHBand="0" w:firstRowFirstColumn="0" w:firstRowLastColumn="0" w:lastRowFirstColumn="0" w:lastRowLastColumn="0"/>
            </w:pPr>
            <w:r>
              <w:t xml:space="preserve">All </w:t>
            </w:r>
            <w:r w:rsidR="005D183A">
              <w:t>Measures</w:t>
            </w:r>
          </w:p>
        </w:tc>
        <w:tc>
          <w:tcPr>
            <w:tcW w:w="935" w:type="pct"/>
            <w:tcBorders>
              <w:top w:val="none" w:sz="0" w:space="0" w:color="auto"/>
              <w:left w:val="none" w:sz="0" w:space="0" w:color="auto"/>
              <w:bottom w:val="none" w:sz="0" w:space="0" w:color="auto"/>
              <w:right w:val="none" w:sz="0" w:space="0" w:color="auto"/>
            </w:tcBorders>
          </w:tcPr>
          <w:p w14:paraId="0E41D2BE" w14:textId="6B59F327" w:rsidR="00AC68EA" w:rsidRDefault="00AC68EA" w:rsidP="00DA1791">
            <w:pPr>
              <w:jc w:val="center"/>
              <w:cnfStyle w:val="000000100000" w:firstRow="0" w:lastRow="0" w:firstColumn="0" w:lastColumn="0" w:oddVBand="0" w:evenVBand="0" w:oddHBand="1" w:evenHBand="0" w:firstRowFirstColumn="0" w:firstRowLastColumn="0" w:lastRowFirstColumn="0" w:lastRowLastColumn="0"/>
            </w:pPr>
            <w:r w:rsidRPr="00AC68EA">
              <w:t>0.684</w:t>
            </w:r>
          </w:p>
        </w:tc>
        <w:tc>
          <w:tcPr>
            <w:tcW w:w="720" w:type="pct"/>
            <w:tcBorders>
              <w:top w:val="none" w:sz="0" w:space="0" w:color="auto"/>
              <w:left w:val="none" w:sz="0" w:space="0" w:color="auto"/>
              <w:bottom w:val="none" w:sz="0" w:space="0" w:color="auto"/>
              <w:right w:val="none" w:sz="0" w:space="0" w:color="auto"/>
            </w:tcBorders>
          </w:tcPr>
          <w:p w14:paraId="0E3E81D1" w14:textId="2C341330" w:rsidR="00AC68EA" w:rsidRDefault="00AC68EA" w:rsidP="00DA1791">
            <w:pPr>
              <w:jc w:val="center"/>
              <w:cnfStyle w:val="000000100000" w:firstRow="0" w:lastRow="0" w:firstColumn="0" w:lastColumn="0" w:oddVBand="0" w:evenVBand="0" w:oddHBand="1" w:evenHBand="0" w:firstRowFirstColumn="0" w:firstRowLastColumn="0" w:lastRowFirstColumn="0" w:lastRowLastColumn="0"/>
            </w:pPr>
            <w:r w:rsidRPr="00AC68EA">
              <w:t>0.66</w:t>
            </w:r>
            <w:r w:rsidR="003F3C7E">
              <w:t>5</w:t>
            </w:r>
          </w:p>
        </w:tc>
      </w:tr>
    </w:tbl>
    <w:p w14:paraId="54631D8B" w14:textId="4A43A8CF" w:rsidR="008616E9" w:rsidRDefault="008616E9" w:rsidP="008616E9">
      <w:pPr>
        <w:pStyle w:val="AppendixBeta"/>
      </w:pPr>
      <w:bookmarkStart w:id="376" w:name="_Toc191992460"/>
      <w:bookmarkStart w:id="377" w:name="_Toc192766913"/>
      <w:r>
        <w:lastRenderedPageBreak/>
        <w:t>Custom Initiative</w:t>
      </w:r>
      <w:bookmarkEnd w:id="376"/>
      <w:bookmarkEnd w:id="377"/>
    </w:p>
    <w:p w14:paraId="17A6B7A7" w14:textId="727BBFEA" w:rsidR="008616E9" w:rsidRDefault="008616E9" w:rsidP="008616E9">
      <w:pPr>
        <w:pStyle w:val="AppendixGamma"/>
      </w:pPr>
      <w:bookmarkStart w:id="378" w:name="_Toc191992461"/>
      <w:r>
        <w:t>Gross Impact Methodology – Custom Incentives Channel</w:t>
      </w:r>
      <w:bookmarkEnd w:id="378"/>
    </w:p>
    <w:p w14:paraId="1E49B591" w14:textId="6F146ED4" w:rsidR="00130CAB" w:rsidRPr="00A932A2" w:rsidRDefault="00130CAB" w:rsidP="00130CAB">
      <w:r>
        <w:t xml:space="preserve">The evaluation team’s gross impact analysis for the Custom Incentives channel used desk reviews and on-site M&amp;V to determine verified gross impacts. Overall, the evaluation team </w:t>
      </w:r>
      <w:r w:rsidRPr="00A932A2">
        <w:t>reviewed 38 Custom Incentives channel projects.</w:t>
      </w:r>
    </w:p>
    <w:p w14:paraId="72E02E0E" w14:textId="4376E62D" w:rsidR="00130CAB" w:rsidRDefault="00130CAB" w:rsidP="00130CAB">
      <w:r w:rsidRPr="00A932A2">
        <w:t>The evaluation team completed desk reviews</w:t>
      </w:r>
      <w:r w:rsidR="006519F8">
        <w:t xml:space="preserve"> and</w:t>
      </w:r>
      <w:r w:rsidRPr="00A932A2">
        <w:t xml:space="preserve"> (in most cases</w:t>
      </w:r>
      <w:r w:rsidR="006519F8">
        <w:t>)</w:t>
      </w:r>
      <w:r w:rsidRPr="00A932A2">
        <w:t xml:space="preserve"> on-site M&amp;V to provide increased accuracy for the 38 sampled projects to determine gross impact results. Desk reviews were used to compare the inputs provided</w:t>
      </w:r>
      <w:r>
        <w:t xml:space="preserve"> in the application to the assumptions used in the analysis, verify consistency in savings estimates throughout the project file, and provide insight into the validity of the ex ante savings. The team accomplished this by reviewing the </w:t>
      </w:r>
      <w:r w:rsidR="007C59EC">
        <w:t>project documentation</w:t>
      </w:r>
      <w:r>
        <w:t xml:space="preserve"> and calculations for consistency, accuracy, and correct application of engineering principles.</w:t>
      </w:r>
    </w:p>
    <w:p w14:paraId="5AE193F5" w14:textId="0A51DE61" w:rsidR="008616E9" w:rsidRDefault="008616E9" w:rsidP="008616E9">
      <w:pPr>
        <w:pStyle w:val="Heading4"/>
      </w:pPr>
      <w:r>
        <w:t>Sampling Approach</w:t>
      </w:r>
    </w:p>
    <w:p w14:paraId="2DC0526D" w14:textId="3C30C987" w:rsidR="00130CAB" w:rsidRDefault="00130CAB" w:rsidP="00130CAB">
      <w:r>
        <w:t>We selected the sample of 2024 projects for evaluation in three waves, drawing each sample from the population of completed Custom Incentives channel projects. As part of this process, we selected projects independently by fuel type and by wave to satisfy random sampling requirements.</w:t>
      </w:r>
    </w:p>
    <w:p w14:paraId="0EDFA64B" w14:textId="6A5EBCB5" w:rsidR="00130CAB" w:rsidRPr="00A932A2" w:rsidRDefault="00130CAB" w:rsidP="00130CAB">
      <w:r>
        <w:t xml:space="preserve">We chose a </w:t>
      </w:r>
      <w:r w:rsidRPr="00A932A2">
        <w:t xml:space="preserve">sample of 38 projects using a stratified random sample design targeting 10% relative precision at </w:t>
      </w:r>
      <w:r w:rsidR="006519F8">
        <w:t xml:space="preserve">a </w:t>
      </w:r>
      <w:r w:rsidRPr="00A932A2">
        <w:t>90% level of confidence for each fuel</w:t>
      </w:r>
      <w:r w:rsidR="009968ED">
        <w:t xml:space="preserve"> across all the sample waves</w:t>
      </w:r>
      <w:r w:rsidRPr="00A932A2">
        <w:t xml:space="preserve">. </w:t>
      </w:r>
      <w:r w:rsidR="005D183A">
        <w:t>We</w:t>
      </w:r>
      <w:r w:rsidRPr="00A932A2">
        <w:t xml:space="preserve"> used the Dalenius-Hodges</w:t>
      </w:r>
      <w:r w:rsidRPr="00A932A2">
        <w:rPr>
          <w:rStyle w:val="FootnoteReference"/>
        </w:rPr>
        <w:t xml:space="preserve"> </w:t>
      </w:r>
      <w:r w:rsidRPr="00A932A2">
        <w:t>method</w:t>
      </w:r>
      <w:r w:rsidR="005D183A">
        <w:t xml:space="preserve"> </w:t>
      </w:r>
      <w:r w:rsidR="005D183A" w:rsidRPr="00A932A2">
        <w:t>to determine strata boundaries</w:t>
      </w:r>
      <w:r w:rsidR="005D183A">
        <w:t>,</w:t>
      </w:r>
      <w:r w:rsidRPr="00A932A2">
        <w:rPr>
          <w:rStyle w:val="FootnoteReference"/>
        </w:rPr>
        <w:footnoteReference w:id="37"/>
      </w:r>
      <w:r w:rsidRPr="00A932A2">
        <w:t xml:space="preserve"> and the Neyman allocation</w:t>
      </w:r>
      <w:r w:rsidR="005D183A">
        <w:t xml:space="preserve"> </w:t>
      </w:r>
      <w:r w:rsidR="005D183A" w:rsidRPr="00A932A2">
        <w:t>to determine the optimal allocation of the available projects to the strata.</w:t>
      </w:r>
      <w:r w:rsidRPr="00A932A2">
        <w:rPr>
          <w:rStyle w:val="FootnoteReference"/>
        </w:rPr>
        <w:footnoteReference w:id="38"/>
      </w:r>
      <w:r w:rsidRPr="00A932A2">
        <w:t xml:space="preserve"> </w:t>
      </w:r>
    </w:p>
    <w:p w14:paraId="3D0CD9E9" w14:textId="685DF084" w:rsidR="00130CAB" w:rsidRDefault="005D183A" w:rsidP="00130CAB">
      <w:r>
        <w:t>T</w:t>
      </w:r>
      <w:r w:rsidR="00130CAB" w:rsidRPr="00A932A2">
        <w:t>he sample included 22 projects chosen for the Custom Incentives electric sample and 21 projects chosen for the gas sample.</w:t>
      </w:r>
      <w:r w:rsidR="009C1EBC" w:rsidRPr="00A932A2">
        <w:rPr>
          <w:rStyle w:val="FootnoteReference"/>
        </w:rPr>
        <w:footnoteReference w:id="39"/>
      </w:r>
      <w:r w:rsidR="00130CAB" w:rsidRPr="00A932A2">
        <w:t xml:space="preserve"> We also sampled four projects the implementation team identified as having </w:t>
      </w:r>
      <w:r>
        <w:t>fuel-switching</w:t>
      </w:r>
      <w:r w:rsidR="00130CAB" w:rsidRPr="00A932A2">
        <w:t xml:space="preserve"> impacts. The evaluation team </w:t>
      </w:r>
      <w:r w:rsidR="00090275">
        <w:t>classified</w:t>
      </w:r>
      <w:r w:rsidR="00090275" w:rsidRPr="00A932A2">
        <w:t xml:space="preserve"> </w:t>
      </w:r>
      <w:r w:rsidR="00130CAB" w:rsidRPr="00A932A2">
        <w:t xml:space="preserve">these </w:t>
      </w:r>
      <w:r>
        <w:t xml:space="preserve">fuel-switching projects into a </w:t>
      </w:r>
      <w:r w:rsidR="00090275">
        <w:t>separate</w:t>
      </w:r>
      <w:r>
        <w:t xml:space="preserve"> sample and reviewed a census of projects. The 38 total project reviews accounted for 52% of the total ex ante gross Custom Incentives electric energy savings and 82% of the </w:t>
      </w:r>
      <w:r w:rsidR="00130CAB" w:rsidRPr="00130CAB">
        <w:t xml:space="preserve">total ex ante gross gas savings. </w:t>
      </w:r>
      <w:r w:rsidR="00271D2D">
        <w:fldChar w:fldCharType="begin"/>
      </w:r>
      <w:r w:rsidR="00271D2D">
        <w:instrText xml:space="preserve"> REF _Ref191737130 \h </w:instrText>
      </w:r>
      <w:r w:rsidR="00271D2D">
        <w:fldChar w:fldCharType="separate"/>
      </w:r>
      <w:r w:rsidR="00AA10F4">
        <w:t xml:space="preserve">Table </w:t>
      </w:r>
      <w:r w:rsidR="00AA10F4">
        <w:rPr>
          <w:noProof/>
        </w:rPr>
        <w:t>87</w:t>
      </w:r>
      <w:r w:rsidR="00271D2D">
        <w:fldChar w:fldCharType="end"/>
      </w:r>
      <w:r w:rsidR="009968ED">
        <w:t xml:space="preserve">, </w:t>
      </w:r>
      <w:r w:rsidR="00271D2D">
        <w:fldChar w:fldCharType="begin"/>
      </w:r>
      <w:r w:rsidR="00271D2D">
        <w:instrText xml:space="preserve"> REF _Ref191737131 \h </w:instrText>
      </w:r>
      <w:r w:rsidR="00271D2D">
        <w:fldChar w:fldCharType="separate"/>
      </w:r>
      <w:r w:rsidR="00AA10F4">
        <w:t xml:space="preserve">Table </w:t>
      </w:r>
      <w:r w:rsidR="00AA10F4">
        <w:rPr>
          <w:noProof/>
        </w:rPr>
        <w:t>88</w:t>
      </w:r>
      <w:r w:rsidR="00271D2D">
        <w:fldChar w:fldCharType="end"/>
      </w:r>
      <w:r w:rsidR="009968ED">
        <w:t xml:space="preserve">, and </w:t>
      </w:r>
      <w:r w:rsidR="009968ED">
        <w:fldChar w:fldCharType="begin"/>
      </w:r>
      <w:r w:rsidR="009968ED">
        <w:instrText xml:space="preserve"> REF _Ref192673342 \h </w:instrText>
      </w:r>
      <w:r w:rsidR="009968ED">
        <w:fldChar w:fldCharType="separate"/>
      </w:r>
      <w:r w:rsidR="00AA10F4">
        <w:t xml:space="preserve">Table </w:t>
      </w:r>
      <w:r w:rsidR="00AA10F4">
        <w:rPr>
          <w:noProof/>
        </w:rPr>
        <w:t>89</w:t>
      </w:r>
      <w:r w:rsidR="009968ED">
        <w:fldChar w:fldCharType="end"/>
      </w:r>
      <w:r w:rsidR="00271D2D">
        <w:t xml:space="preserve"> </w:t>
      </w:r>
      <w:r w:rsidR="00271D2D" w:rsidRPr="00271D2D">
        <w:t>present details around the sample of electric</w:t>
      </w:r>
      <w:r w:rsidR="009968ED">
        <w:t xml:space="preserve">, </w:t>
      </w:r>
      <w:r w:rsidR="00271D2D" w:rsidRPr="00271D2D">
        <w:t>gas</w:t>
      </w:r>
      <w:r w:rsidR="009968ED">
        <w:t>, and fuel-switching</w:t>
      </w:r>
      <w:r w:rsidR="00271D2D" w:rsidRPr="00271D2D">
        <w:t xml:space="preserve"> projects chosen for the 2024 evaluation</w:t>
      </w:r>
      <w:r w:rsidR="00271D2D">
        <w:t>.</w:t>
      </w:r>
    </w:p>
    <w:p w14:paraId="51832524" w14:textId="71218B58" w:rsidR="00130CAB" w:rsidRDefault="00130CAB" w:rsidP="00E3116D">
      <w:pPr>
        <w:pStyle w:val="Caption"/>
      </w:pPr>
      <w:bookmarkStart w:id="379" w:name="_Ref191737130"/>
      <w:bookmarkStart w:id="380" w:name="_Toc191992608"/>
      <w:bookmarkStart w:id="381" w:name="_Toc192767021"/>
      <w:r>
        <w:lastRenderedPageBreak/>
        <w:t xml:space="preserve">Table </w:t>
      </w:r>
      <w:r>
        <w:fldChar w:fldCharType="begin"/>
      </w:r>
      <w:r>
        <w:instrText xml:space="preserve"> SEQ Table \* ARABIC </w:instrText>
      </w:r>
      <w:r>
        <w:fldChar w:fldCharType="separate"/>
      </w:r>
      <w:r w:rsidR="00AA10F4">
        <w:rPr>
          <w:noProof/>
        </w:rPr>
        <w:t>87</w:t>
      </w:r>
      <w:r>
        <w:rPr>
          <w:noProof/>
        </w:rPr>
        <w:fldChar w:fldCharType="end"/>
      </w:r>
      <w:bookmarkEnd w:id="379"/>
      <w:r>
        <w:t xml:space="preserve">. </w:t>
      </w:r>
      <w:r w:rsidRPr="00130CAB">
        <w:t>Custom Incentives Channel Sampling Approach for Projects with Electric Savings</w:t>
      </w:r>
      <w:bookmarkEnd w:id="380"/>
      <w:bookmarkEnd w:id="381"/>
    </w:p>
    <w:tbl>
      <w:tblPr>
        <w:tblStyle w:val="ODCBasic-1"/>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E0" w:firstRow="1" w:lastRow="1" w:firstColumn="1" w:lastColumn="0" w:noHBand="0" w:noVBand="1"/>
      </w:tblPr>
      <w:tblGrid>
        <w:gridCol w:w="688"/>
        <w:gridCol w:w="1886"/>
        <w:gridCol w:w="2816"/>
        <w:gridCol w:w="1436"/>
        <w:gridCol w:w="1418"/>
        <w:gridCol w:w="1436"/>
        <w:gridCol w:w="1416"/>
      </w:tblGrid>
      <w:tr w:rsidR="00C26534" w14:paraId="4E51D5AB" w14:textId="77777777" w:rsidTr="00E3116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10" w:type="pct"/>
            <w:vMerge w:val="restart"/>
            <w:tcBorders>
              <w:top w:val="none" w:sz="0" w:space="0" w:color="auto"/>
              <w:left w:val="none" w:sz="0" w:space="0" w:color="auto"/>
              <w:bottom w:val="none" w:sz="0" w:space="0" w:color="auto"/>
              <w:right w:val="none" w:sz="0" w:space="0" w:color="auto"/>
            </w:tcBorders>
          </w:tcPr>
          <w:p w14:paraId="2F34A7E7" w14:textId="3E67EB0D" w:rsidR="00C26534" w:rsidRPr="00625570" w:rsidRDefault="00C26534" w:rsidP="00E3116D">
            <w:pPr>
              <w:pStyle w:val="TableHeadingLeft"/>
              <w:keepNext/>
              <w:keepLines/>
            </w:pPr>
            <w:r>
              <w:t>Wave</w:t>
            </w:r>
          </w:p>
        </w:tc>
        <w:tc>
          <w:tcPr>
            <w:tcW w:w="850" w:type="pct"/>
            <w:vMerge w:val="restart"/>
            <w:tcBorders>
              <w:bottom w:val="none" w:sz="0" w:space="0" w:color="auto"/>
            </w:tcBorders>
          </w:tcPr>
          <w:p w14:paraId="121A09E2" w14:textId="74A106C2" w:rsidR="00C26534" w:rsidRPr="00625570" w:rsidRDefault="00C26534"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Sampling Stratum</w:t>
            </w:r>
          </w:p>
        </w:tc>
        <w:tc>
          <w:tcPr>
            <w:tcW w:w="1269" w:type="pct"/>
            <w:vMerge w:val="restart"/>
            <w:tcBorders>
              <w:bottom w:val="none" w:sz="0" w:space="0" w:color="auto"/>
            </w:tcBorders>
          </w:tcPr>
          <w:p w14:paraId="0BF9E917" w14:textId="2296E353" w:rsidR="00C26534" w:rsidRPr="00625570" w:rsidRDefault="00C26534"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Savings Range</w:t>
            </w:r>
          </w:p>
        </w:tc>
        <w:tc>
          <w:tcPr>
            <w:tcW w:w="1286" w:type="pct"/>
            <w:gridSpan w:val="2"/>
            <w:tcBorders>
              <w:bottom w:val="none" w:sz="0" w:space="0" w:color="auto"/>
            </w:tcBorders>
          </w:tcPr>
          <w:p w14:paraId="0D6FBD7F" w14:textId="760FB640" w:rsidR="00C26534" w:rsidRPr="00625570" w:rsidRDefault="00C26534"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Population of Projects</w:t>
            </w:r>
          </w:p>
        </w:tc>
        <w:tc>
          <w:tcPr>
            <w:tcW w:w="1286" w:type="pct"/>
            <w:gridSpan w:val="2"/>
            <w:tcBorders>
              <w:bottom w:val="none" w:sz="0" w:space="0" w:color="auto"/>
            </w:tcBorders>
          </w:tcPr>
          <w:p w14:paraId="3C4F6E93" w14:textId="560F954D" w:rsidR="00C26534" w:rsidRPr="00625570" w:rsidRDefault="00C26534" w:rsidP="00E3116D">
            <w:pPr>
              <w:pStyle w:val="TableHeadingCentered"/>
              <w:keepNext/>
              <w:keepLines/>
              <w:cnfStyle w:val="100000000000" w:firstRow="1" w:lastRow="0" w:firstColumn="0" w:lastColumn="0" w:oddVBand="0" w:evenVBand="0" w:oddHBand="0" w:evenHBand="0" w:firstRowFirstColumn="0" w:firstRowLastColumn="0" w:lastRowFirstColumn="0" w:lastRowLastColumn="0"/>
            </w:pPr>
            <w:r>
              <w:t>Completed Reviews</w:t>
            </w:r>
          </w:p>
        </w:tc>
      </w:tr>
      <w:tr w:rsidR="00C26534" w14:paraId="54DF1161" w14:textId="77777777" w:rsidTr="00E3116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shd w:val="clear" w:color="auto" w:fill="053572" w:themeFill="text2"/>
          </w:tcPr>
          <w:p w14:paraId="347ED9EA" w14:textId="05697799" w:rsidR="00C26534" w:rsidRPr="00625570" w:rsidRDefault="00C26534" w:rsidP="00E3116D">
            <w:pPr>
              <w:pStyle w:val="TableLeftText"/>
              <w:keepNext/>
              <w:keepLines/>
            </w:pPr>
          </w:p>
        </w:tc>
        <w:tc>
          <w:tcPr>
            <w:tcW w:w="850" w:type="pct"/>
            <w:vMerge/>
            <w:tcBorders>
              <w:top w:val="none" w:sz="0" w:space="0" w:color="auto"/>
              <w:left w:val="none" w:sz="0" w:space="0" w:color="auto"/>
              <w:bottom w:val="none" w:sz="0" w:space="0" w:color="auto"/>
              <w:right w:val="none" w:sz="0" w:space="0" w:color="auto"/>
            </w:tcBorders>
            <w:shd w:val="clear" w:color="auto" w:fill="053572" w:themeFill="text2"/>
          </w:tcPr>
          <w:p w14:paraId="017AA2DB" w14:textId="77777777" w:rsidR="00C26534" w:rsidRPr="000B7901" w:rsidRDefault="00C26534" w:rsidP="00E3116D">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1269" w:type="pct"/>
            <w:vMerge/>
            <w:tcBorders>
              <w:top w:val="none" w:sz="0" w:space="0" w:color="auto"/>
              <w:left w:val="none" w:sz="0" w:space="0" w:color="auto"/>
              <w:bottom w:val="none" w:sz="0" w:space="0" w:color="auto"/>
              <w:right w:val="none" w:sz="0" w:space="0" w:color="auto"/>
            </w:tcBorders>
            <w:shd w:val="clear" w:color="auto" w:fill="053572" w:themeFill="text2"/>
          </w:tcPr>
          <w:p w14:paraId="58C64B8D" w14:textId="77777777" w:rsidR="00C26534" w:rsidRPr="000B7901" w:rsidRDefault="00C26534" w:rsidP="00E3116D">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647" w:type="pct"/>
            <w:tcBorders>
              <w:top w:val="none" w:sz="0" w:space="0" w:color="auto"/>
              <w:left w:val="none" w:sz="0" w:space="0" w:color="auto"/>
              <w:bottom w:val="none" w:sz="0" w:space="0" w:color="auto"/>
              <w:right w:val="none" w:sz="0" w:space="0" w:color="auto"/>
            </w:tcBorders>
            <w:shd w:val="clear" w:color="auto" w:fill="053572" w:themeFill="text2"/>
          </w:tcPr>
          <w:p w14:paraId="14E9A247" w14:textId="7A70FFFF" w:rsidR="00C26534" w:rsidRPr="000B7901" w:rsidRDefault="00C26534" w:rsidP="00E3116D">
            <w:pPr>
              <w:pStyle w:val="TableHeadingCentered"/>
              <w:keepNext/>
              <w:keepLines/>
              <w:cnfStyle w:val="000000100000" w:firstRow="0" w:lastRow="0" w:firstColumn="0" w:lastColumn="0" w:oddVBand="0" w:evenVBand="0" w:oddHBand="1" w:evenHBand="0" w:firstRowFirstColumn="0" w:firstRowLastColumn="0" w:lastRowFirstColumn="0" w:lastRowLastColumn="0"/>
            </w:pPr>
            <w:r>
              <w:t>Project Count</w:t>
            </w:r>
          </w:p>
        </w:tc>
        <w:tc>
          <w:tcPr>
            <w:tcW w:w="639" w:type="pct"/>
            <w:tcBorders>
              <w:top w:val="none" w:sz="0" w:space="0" w:color="auto"/>
              <w:left w:val="none" w:sz="0" w:space="0" w:color="auto"/>
              <w:bottom w:val="none" w:sz="0" w:space="0" w:color="auto"/>
              <w:right w:val="none" w:sz="0" w:space="0" w:color="auto"/>
            </w:tcBorders>
            <w:shd w:val="clear" w:color="auto" w:fill="053572" w:themeFill="text2"/>
          </w:tcPr>
          <w:p w14:paraId="4A4D4F91" w14:textId="21C1C9FA" w:rsidR="00C26534" w:rsidRPr="000B7901" w:rsidRDefault="00C26534" w:rsidP="00E3116D">
            <w:pPr>
              <w:pStyle w:val="TableHeadingCentered"/>
              <w:keepNext/>
              <w:keepLines/>
              <w:cnfStyle w:val="000000100000" w:firstRow="0" w:lastRow="0" w:firstColumn="0" w:lastColumn="0" w:oddVBand="0" w:evenVBand="0" w:oddHBand="1" w:evenHBand="0" w:firstRowFirstColumn="0" w:firstRowLastColumn="0" w:lastRowFirstColumn="0" w:lastRowLastColumn="0"/>
            </w:pPr>
            <w:r>
              <w:t>Ex Ante MWh</w:t>
            </w:r>
          </w:p>
        </w:tc>
        <w:tc>
          <w:tcPr>
            <w:tcW w:w="647" w:type="pct"/>
            <w:tcBorders>
              <w:top w:val="none" w:sz="0" w:space="0" w:color="auto"/>
              <w:left w:val="none" w:sz="0" w:space="0" w:color="auto"/>
              <w:bottom w:val="none" w:sz="0" w:space="0" w:color="auto"/>
              <w:right w:val="none" w:sz="0" w:space="0" w:color="auto"/>
            </w:tcBorders>
            <w:shd w:val="clear" w:color="auto" w:fill="053572" w:themeFill="text2"/>
          </w:tcPr>
          <w:p w14:paraId="12F24FD6" w14:textId="4E134FE7" w:rsidR="00C26534" w:rsidRPr="000B7901" w:rsidRDefault="00C26534" w:rsidP="00E3116D">
            <w:pPr>
              <w:pStyle w:val="TableHeadingCentered"/>
              <w:keepNext/>
              <w:keepLines/>
              <w:cnfStyle w:val="000000100000" w:firstRow="0" w:lastRow="0" w:firstColumn="0" w:lastColumn="0" w:oddVBand="0" w:evenVBand="0" w:oddHBand="1" w:evenHBand="0" w:firstRowFirstColumn="0" w:firstRowLastColumn="0" w:lastRowFirstColumn="0" w:lastRowLastColumn="0"/>
            </w:pPr>
            <w:r>
              <w:t>Project Count</w:t>
            </w:r>
          </w:p>
        </w:tc>
        <w:tc>
          <w:tcPr>
            <w:tcW w:w="639" w:type="pct"/>
            <w:tcBorders>
              <w:top w:val="none" w:sz="0" w:space="0" w:color="auto"/>
              <w:left w:val="none" w:sz="0" w:space="0" w:color="auto"/>
              <w:bottom w:val="none" w:sz="0" w:space="0" w:color="auto"/>
              <w:right w:val="none" w:sz="0" w:space="0" w:color="auto"/>
            </w:tcBorders>
            <w:shd w:val="clear" w:color="auto" w:fill="053572" w:themeFill="text2"/>
          </w:tcPr>
          <w:p w14:paraId="74ED7644" w14:textId="74C6B761" w:rsidR="00C26534" w:rsidRPr="000B7901" w:rsidRDefault="00C26534" w:rsidP="00E3116D">
            <w:pPr>
              <w:pStyle w:val="TableHeadingCentered"/>
              <w:keepNext/>
              <w:keepLines/>
              <w:cnfStyle w:val="000000100000" w:firstRow="0" w:lastRow="0" w:firstColumn="0" w:lastColumn="0" w:oddVBand="0" w:evenVBand="0" w:oddHBand="1" w:evenHBand="0" w:firstRowFirstColumn="0" w:firstRowLastColumn="0" w:lastRowFirstColumn="0" w:lastRowLastColumn="0"/>
            </w:pPr>
            <w:r>
              <w:t>Ex Ante MWh</w:t>
            </w:r>
          </w:p>
        </w:tc>
      </w:tr>
      <w:tr w:rsidR="00F93E47" w14:paraId="6EDB48E6"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val="restart"/>
            <w:tcBorders>
              <w:top w:val="none" w:sz="0" w:space="0" w:color="auto"/>
              <w:left w:val="none" w:sz="0" w:space="0" w:color="auto"/>
              <w:bottom w:val="none" w:sz="0" w:space="0" w:color="auto"/>
              <w:right w:val="none" w:sz="0" w:space="0" w:color="auto"/>
            </w:tcBorders>
          </w:tcPr>
          <w:p w14:paraId="0CAA87B0" w14:textId="175E608C" w:rsidR="00F93E47" w:rsidRPr="00625570" w:rsidRDefault="00F93E47" w:rsidP="0056690A">
            <w:pPr>
              <w:pStyle w:val="TableLeftText"/>
              <w:keepNext/>
              <w:keepLines/>
              <w:jc w:val="center"/>
            </w:pPr>
            <w:r>
              <w:t>1</w:t>
            </w:r>
          </w:p>
        </w:tc>
        <w:tc>
          <w:tcPr>
            <w:tcW w:w="850" w:type="pct"/>
            <w:tcBorders>
              <w:top w:val="none" w:sz="0" w:space="0" w:color="auto"/>
              <w:left w:val="none" w:sz="0" w:space="0" w:color="auto"/>
              <w:bottom w:val="none" w:sz="0" w:space="0" w:color="auto"/>
              <w:right w:val="none" w:sz="0" w:space="0" w:color="auto"/>
            </w:tcBorders>
          </w:tcPr>
          <w:p w14:paraId="05242F6D" w14:textId="0666F604"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1</w:t>
            </w:r>
          </w:p>
        </w:tc>
        <w:tc>
          <w:tcPr>
            <w:tcW w:w="1269" w:type="pct"/>
            <w:tcBorders>
              <w:top w:val="none" w:sz="0" w:space="0" w:color="auto"/>
              <w:left w:val="none" w:sz="0" w:space="0" w:color="auto"/>
              <w:bottom w:val="none" w:sz="0" w:space="0" w:color="auto"/>
              <w:right w:val="none" w:sz="0" w:space="0" w:color="auto"/>
            </w:tcBorders>
          </w:tcPr>
          <w:p w14:paraId="583C1CD2" w14:textId="7E589945"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Census</w:t>
            </w:r>
          </w:p>
        </w:tc>
        <w:tc>
          <w:tcPr>
            <w:tcW w:w="647" w:type="pct"/>
            <w:tcBorders>
              <w:top w:val="none" w:sz="0" w:space="0" w:color="auto"/>
              <w:left w:val="none" w:sz="0" w:space="0" w:color="auto"/>
              <w:bottom w:val="none" w:sz="0" w:space="0" w:color="auto"/>
              <w:right w:val="none" w:sz="0" w:space="0" w:color="auto"/>
            </w:tcBorders>
          </w:tcPr>
          <w:p w14:paraId="30B6A808" w14:textId="2B5B3641"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639" w:type="pct"/>
            <w:tcBorders>
              <w:top w:val="none" w:sz="0" w:space="0" w:color="auto"/>
              <w:left w:val="none" w:sz="0" w:space="0" w:color="auto"/>
              <w:bottom w:val="none" w:sz="0" w:space="0" w:color="auto"/>
              <w:right w:val="none" w:sz="0" w:space="0" w:color="auto"/>
            </w:tcBorders>
          </w:tcPr>
          <w:p w14:paraId="152A9549" w14:textId="03720578"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1,061 </w:t>
            </w:r>
          </w:p>
        </w:tc>
        <w:tc>
          <w:tcPr>
            <w:tcW w:w="647" w:type="pct"/>
            <w:tcBorders>
              <w:top w:val="none" w:sz="0" w:space="0" w:color="auto"/>
              <w:left w:val="none" w:sz="0" w:space="0" w:color="auto"/>
              <w:bottom w:val="none" w:sz="0" w:space="0" w:color="auto"/>
              <w:right w:val="none" w:sz="0" w:space="0" w:color="auto"/>
            </w:tcBorders>
          </w:tcPr>
          <w:p w14:paraId="1DADC1B3" w14:textId="6207AA54"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8</w:t>
            </w:r>
          </w:p>
        </w:tc>
        <w:tc>
          <w:tcPr>
            <w:tcW w:w="639" w:type="pct"/>
            <w:tcBorders>
              <w:top w:val="none" w:sz="0" w:space="0" w:color="auto"/>
              <w:left w:val="none" w:sz="0" w:space="0" w:color="auto"/>
              <w:bottom w:val="none" w:sz="0" w:space="0" w:color="auto"/>
              <w:right w:val="none" w:sz="0" w:space="0" w:color="auto"/>
            </w:tcBorders>
          </w:tcPr>
          <w:p w14:paraId="2DECC200" w14:textId="0F8B1A1A"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1,061 </w:t>
            </w:r>
          </w:p>
        </w:tc>
      </w:tr>
      <w:tr w:rsidR="00F93E47" w14:paraId="32FD9FA4"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6D8883A8" w14:textId="04F2E2D3" w:rsidR="00F93E47" w:rsidRPr="00625570" w:rsidRDefault="00F93E47" w:rsidP="0056690A">
            <w:pPr>
              <w:pStyle w:val="TableLeftText"/>
              <w:keepNext/>
              <w:keepLines/>
              <w:jc w:val="center"/>
            </w:pPr>
          </w:p>
        </w:tc>
        <w:tc>
          <w:tcPr>
            <w:tcW w:w="2119" w:type="pct"/>
            <w:gridSpan w:val="2"/>
            <w:tcBorders>
              <w:top w:val="none" w:sz="0" w:space="0" w:color="auto"/>
              <w:left w:val="none" w:sz="0" w:space="0" w:color="auto"/>
              <w:bottom w:val="none" w:sz="0" w:space="0" w:color="auto"/>
              <w:right w:val="none" w:sz="0" w:space="0" w:color="auto"/>
            </w:tcBorders>
          </w:tcPr>
          <w:p w14:paraId="26A51946" w14:textId="4D2C4425" w:rsidR="00F93E47" w:rsidRPr="00E3116D" w:rsidRDefault="00F93E47" w:rsidP="0056690A">
            <w:pPr>
              <w:pStyle w:val="TableRightText"/>
              <w:keepNext/>
              <w:keepLines/>
              <w:jc w:val="left"/>
              <w:cnfStyle w:val="000000100000" w:firstRow="0" w:lastRow="0" w:firstColumn="0" w:lastColumn="0" w:oddVBand="0" w:evenVBand="0" w:oddHBand="1" w:evenHBand="0" w:firstRowFirstColumn="0" w:firstRowLastColumn="0" w:lastRowFirstColumn="0" w:lastRowLastColumn="0"/>
              <w:rPr>
                <w:i/>
                <w:iCs/>
              </w:rPr>
            </w:pPr>
            <w:r w:rsidRPr="00E3116D">
              <w:rPr>
                <w:i/>
                <w:iCs/>
              </w:rPr>
              <w:t>Subtotal</w:t>
            </w:r>
          </w:p>
        </w:tc>
        <w:tc>
          <w:tcPr>
            <w:tcW w:w="647" w:type="pct"/>
            <w:tcBorders>
              <w:top w:val="none" w:sz="0" w:space="0" w:color="auto"/>
              <w:left w:val="none" w:sz="0" w:space="0" w:color="auto"/>
              <w:bottom w:val="none" w:sz="0" w:space="0" w:color="auto"/>
              <w:right w:val="none" w:sz="0" w:space="0" w:color="auto"/>
            </w:tcBorders>
          </w:tcPr>
          <w:p w14:paraId="74334F70" w14:textId="653D1B00" w:rsidR="00F93E47" w:rsidRPr="00E3116D"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8</w:t>
            </w:r>
          </w:p>
        </w:tc>
        <w:tc>
          <w:tcPr>
            <w:tcW w:w="639" w:type="pct"/>
            <w:tcBorders>
              <w:top w:val="none" w:sz="0" w:space="0" w:color="auto"/>
              <w:left w:val="none" w:sz="0" w:space="0" w:color="auto"/>
              <w:bottom w:val="none" w:sz="0" w:space="0" w:color="auto"/>
              <w:right w:val="none" w:sz="0" w:space="0" w:color="auto"/>
            </w:tcBorders>
          </w:tcPr>
          <w:p w14:paraId="26C74E39" w14:textId="65A402B6" w:rsidR="00F93E47" w:rsidRPr="00E3116D"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 xml:space="preserve"> 1,061 </w:t>
            </w:r>
          </w:p>
        </w:tc>
        <w:tc>
          <w:tcPr>
            <w:tcW w:w="647" w:type="pct"/>
            <w:tcBorders>
              <w:top w:val="none" w:sz="0" w:space="0" w:color="auto"/>
              <w:left w:val="none" w:sz="0" w:space="0" w:color="auto"/>
              <w:bottom w:val="none" w:sz="0" w:space="0" w:color="auto"/>
              <w:right w:val="none" w:sz="0" w:space="0" w:color="auto"/>
            </w:tcBorders>
          </w:tcPr>
          <w:p w14:paraId="4710B899" w14:textId="5B1E4AEE" w:rsidR="00F93E47" w:rsidRPr="00E3116D"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8</w:t>
            </w:r>
          </w:p>
        </w:tc>
        <w:tc>
          <w:tcPr>
            <w:tcW w:w="639" w:type="pct"/>
            <w:tcBorders>
              <w:top w:val="none" w:sz="0" w:space="0" w:color="auto"/>
              <w:left w:val="none" w:sz="0" w:space="0" w:color="auto"/>
              <w:bottom w:val="none" w:sz="0" w:space="0" w:color="auto"/>
              <w:right w:val="none" w:sz="0" w:space="0" w:color="auto"/>
            </w:tcBorders>
          </w:tcPr>
          <w:p w14:paraId="6786A1E4" w14:textId="58E22343" w:rsidR="00F93E47" w:rsidRPr="00E3116D"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 xml:space="preserve"> 1,061 </w:t>
            </w:r>
          </w:p>
        </w:tc>
      </w:tr>
      <w:tr w:rsidR="00F93E47" w14:paraId="33043091"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val="restart"/>
            <w:tcBorders>
              <w:top w:val="none" w:sz="0" w:space="0" w:color="auto"/>
              <w:left w:val="none" w:sz="0" w:space="0" w:color="auto"/>
              <w:bottom w:val="none" w:sz="0" w:space="0" w:color="auto"/>
              <w:right w:val="none" w:sz="0" w:space="0" w:color="auto"/>
            </w:tcBorders>
          </w:tcPr>
          <w:p w14:paraId="46E21B10" w14:textId="1CEC81DD" w:rsidR="00F93E47" w:rsidRPr="00625570" w:rsidRDefault="00F93E47" w:rsidP="0056690A">
            <w:pPr>
              <w:pStyle w:val="TableLeftText"/>
              <w:keepNext/>
              <w:keepLines/>
              <w:jc w:val="center"/>
            </w:pPr>
            <w:r>
              <w:t>2</w:t>
            </w:r>
          </w:p>
        </w:tc>
        <w:tc>
          <w:tcPr>
            <w:tcW w:w="850" w:type="pct"/>
            <w:tcBorders>
              <w:top w:val="none" w:sz="0" w:space="0" w:color="auto"/>
              <w:left w:val="none" w:sz="0" w:space="0" w:color="auto"/>
              <w:bottom w:val="none" w:sz="0" w:space="0" w:color="auto"/>
              <w:right w:val="none" w:sz="0" w:space="0" w:color="auto"/>
            </w:tcBorders>
          </w:tcPr>
          <w:p w14:paraId="6B350F66" w14:textId="65AF476D"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1</w:t>
            </w:r>
          </w:p>
        </w:tc>
        <w:tc>
          <w:tcPr>
            <w:tcW w:w="1269" w:type="pct"/>
            <w:tcBorders>
              <w:top w:val="none" w:sz="0" w:space="0" w:color="auto"/>
              <w:left w:val="none" w:sz="0" w:space="0" w:color="auto"/>
              <w:bottom w:val="none" w:sz="0" w:space="0" w:color="auto"/>
              <w:right w:val="none" w:sz="0" w:space="0" w:color="auto"/>
            </w:tcBorders>
          </w:tcPr>
          <w:p w14:paraId="6D9CAD0B" w14:textId="55553DDD"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F93E47">
              <w:t>&lt; 127 MWh</w:t>
            </w:r>
          </w:p>
        </w:tc>
        <w:tc>
          <w:tcPr>
            <w:tcW w:w="647" w:type="pct"/>
            <w:tcBorders>
              <w:top w:val="none" w:sz="0" w:space="0" w:color="auto"/>
              <w:left w:val="none" w:sz="0" w:space="0" w:color="auto"/>
              <w:bottom w:val="none" w:sz="0" w:space="0" w:color="auto"/>
              <w:right w:val="none" w:sz="0" w:space="0" w:color="auto"/>
            </w:tcBorders>
          </w:tcPr>
          <w:p w14:paraId="6EBCF20A" w14:textId="7441C276"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6</w:t>
            </w:r>
          </w:p>
        </w:tc>
        <w:tc>
          <w:tcPr>
            <w:tcW w:w="639" w:type="pct"/>
            <w:tcBorders>
              <w:top w:val="none" w:sz="0" w:space="0" w:color="auto"/>
              <w:left w:val="none" w:sz="0" w:space="0" w:color="auto"/>
              <w:bottom w:val="none" w:sz="0" w:space="0" w:color="auto"/>
              <w:right w:val="none" w:sz="0" w:space="0" w:color="auto"/>
            </w:tcBorders>
          </w:tcPr>
          <w:p w14:paraId="2EA77BE7" w14:textId="244921D2"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411 </w:t>
            </w:r>
          </w:p>
        </w:tc>
        <w:tc>
          <w:tcPr>
            <w:tcW w:w="647" w:type="pct"/>
            <w:tcBorders>
              <w:top w:val="none" w:sz="0" w:space="0" w:color="auto"/>
              <w:left w:val="none" w:sz="0" w:space="0" w:color="auto"/>
              <w:bottom w:val="none" w:sz="0" w:space="0" w:color="auto"/>
              <w:right w:val="none" w:sz="0" w:space="0" w:color="auto"/>
            </w:tcBorders>
          </w:tcPr>
          <w:p w14:paraId="6A491EF6" w14:textId="342D7450"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w:t>
            </w:r>
          </w:p>
        </w:tc>
        <w:tc>
          <w:tcPr>
            <w:tcW w:w="639" w:type="pct"/>
            <w:tcBorders>
              <w:top w:val="none" w:sz="0" w:space="0" w:color="auto"/>
              <w:left w:val="none" w:sz="0" w:space="0" w:color="auto"/>
              <w:bottom w:val="none" w:sz="0" w:space="0" w:color="auto"/>
              <w:right w:val="none" w:sz="0" w:space="0" w:color="auto"/>
            </w:tcBorders>
          </w:tcPr>
          <w:p w14:paraId="1235BF9A" w14:textId="43BD10EC"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77 </w:t>
            </w:r>
          </w:p>
        </w:tc>
      </w:tr>
      <w:tr w:rsidR="00F93E47" w14:paraId="5F645FF5"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42C7F84D" w14:textId="74F474D1" w:rsidR="00F93E47" w:rsidRPr="00625570" w:rsidRDefault="00F93E47" w:rsidP="0056690A">
            <w:pPr>
              <w:pStyle w:val="TableLeftText"/>
              <w:keepNext/>
              <w:keepLines/>
              <w:jc w:val="center"/>
            </w:pPr>
          </w:p>
        </w:tc>
        <w:tc>
          <w:tcPr>
            <w:tcW w:w="850" w:type="pct"/>
            <w:tcBorders>
              <w:top w:val="none" w:sz="0" w:space="0" w:color="auto"/>
              <w:left w:val="none" w:sz="0" w:space="0" w:color="auto"/>
              <w:bottom w:val="none" w:sz="0" w:space="0" w:color="auto"/>
              <w:right w:val="none" w:sz="0" w:space="0" w:color="auto"/>
            </w:tcBorders>
          </w:tcPr>
          <w:p w14:paraId="0C8D82B5" w14:textId="1054181D"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t>2</w:t>
            </w:r>
          </w:p>
        </w:tc>
        <w:tc>
          <w:tcPr>
            <w:tcW w:w="1269" w:type="pct"/>
            <w:tcBorders>
              <w:top w:val="none" w:sz="0" w:space="0" w:color="auto"/>
              <w:left w:val="none" w:sz="0" w:space="0" w:color="auto"/>
              <w:bottom w:val="none" w:sz="0" w:space="0" w:color="auto"/>
              <w:right w:val="none" w:sz="0" w:space="0" w:color="auto"/>
            </w:tcBorders>
          </w:tcPr>
          <w:p w14:paraId="2BDC2057" w14:textId="5333FB6B"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rsidRPr="00F93E47">
              <w:t>&gt; 127 MWh &amp; &lt; 251 MWh</w:t>
            </w:r>
          </w:p>
        </w:tc>
        <w:tc>
          <w:tcPr>
            <w:tcW w:w="647" w:type="pct"/>
            <w:tcBorders>
              <w:top w:val="none" w:sz="0" w:space="0" w:color="auto"/>
              <w:left w:val="none" w:sz="0" w:space="0" w:color="auto"/>
              <w:bottom w:val="none" w:sz="0" w:space="0" w:color="auto"/>
              <w:right w:val="none" w:sz="0" w:space="0" w:color="auto"/>
            </w:tcBorders>
          </w:tcPr>
          <w:p w14:paraId="12AE66C1" w14:textId="19CE258D" w:rsidR="00F93E47" w:rsidRPr="000B7901"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w:t>
            </w:r>
          </w:p>
        </w:tc>
        <w:tc>
          <w:tcPr>
            <w:tcW w:w="639" w:type="pct"/>
            <w:tcBorders>
              <w:top w:val="none" w:sz="0" w:space="0" w:color="auto"/>
              <w:left w:val="none" w:sz="0" w:space="0" w:color="auto"/>
              <w:bottom w:val="none" w:sz="0" w:space="0" w:color="auto"/>
              <w:right w:val="none" w:sz="0" w:space="0" w:color="auto"/>
            </w:tcBorders>
          </w:tcPr>
          <w:p w14:paraId="36D16121" w14:textId="0EB46313"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367 </w:t>
            </w:r>
          </w:p>
        </w:tc>
        <w:tc>
          <w:tcPr>
            <w:tcW w:w="647" w:type="pct"/>
            <w:tcBorders>
              <w:top w:val="none" w:sz="0" w:space="0" w:color="auto"/>
              <w:left w:val="none" w:sz="0" w:space="0" w:color="auto"/>
              <w:bottom w:val="none" w:sz="0" w:space="0" w:color="auto"/>
              <w:right w:val="none" w:sz="0" w:space="0" w:color="auto"/>
            </w:tcBorders>
          </w:tcPr>
          <w:p w14:paraId="1987F952" w14:textId="4ED3F176" w:rsidR="00F93E47" w:rsidRPr="000B7901"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w:t>
            </w:r>
          </w:p>
        </w:tc>
        <w:tc>
          <w:tcPr>
            <w:tcW w:w="639" w:type="pct"/>
            <w:tcBorders>
              <w:top w:val="none" w:sz="0" w:space="0" w:color="auto"/>
              <w:left w:val="none" w:sz="0" w:space="0" w:color="auto"/>
              <w:bottom w:val="none" w:sz="0" w:space="0" w:color="auto"/>
              <w:right w:val="none" w:sz="0" w:space="0" w:color="auto"/>
            </w:tcBorders>
          </w:tcPr>
          <w:p w14:paraId="10747976" w14:textId="0842E6E6"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367 </w:t>
            </w:r>
          </w:p>
        </w:tc>
      </w:tr>
      <w:tr w:rsidR="00F93E47" w14:paraId="769FA5F9"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311260E8" w14:textId="77777777" w:rsidR="00F93E47" w:rsidRDefault="00F93E47" w:rsidP="0056690A">
            <w:pPr>
              <w:pStyle w:val="TableLeftText"/>
              <w:keepNext/>
              <w:keepLines/>
              <w:jc w:val="center"/>
            </w:pPr>
          </w:p>
        </w:tc>
        <w:tc>
          <w:tcPr>
            <w:tcW w:w="850" w:type="pct"/>
            <w:tcBorders>
              <w:top w:val="none" w:sz="0" w:space="0" w:color="auto"/>
              <w:left w:val="none" w:sz="0" w:space="0" w:color="auto"/>
              <w:bottom w:val="none" w:sz="0" w:space="0" w:color="auto"/>
              <w:right w:val="none" w:sz="0" w:space="0" w:color="auto"/>
            </w:tcBorders>
          </w:tcPr>
          <w:p w14:paraId="291C6CF7" w14:textId="052DB926"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3</w:t>
            </w:r>
          </w:p>
        </w:tc>
        <w:tc>
          <w:tcPr>
            <w:tcW w:w="1269" w:type="pct"/>
            <w:tcBorders>
              <w:top w:val="none" w:sz="0" w:space="0" w:color="auto"/>
              <w:left w:val="none" w:sz="0" w:space="0" w:color="auto"/>
              <w:bottom w:val="none" w:sz="0" w:space="0" w:color="auto"/>
              <w:right w:val="none" w:sz="0" w:space="0" w:color="auto"/>
            </w:tcBorders>
          </w:tcPr>
          <w:p w14:paraId="428CFA8D" w14:textId="4AEC1A5D"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F93E47">
              <w:t>&gt; 251 MWh</w:t>
            </w:r>
          </w:p>
        </w:tc>
        <w:tc>
          <w:tcPr>
            <w:tcW w:w="647" w:type="pct"/>
            <w:tcBorders>
              <w:top w:val="none" w:sz="0" w:space="0" w:color="auto"/>
              <w:left w:val="none" w:sz="0" w:space="0" w:color="auto"/>
              <w:bottom w:val="none" w:sz="0" w:space="0" w:color="auto"/>
              <w:right w:val="none" w:sz="0" w:space="0" w:color="auto"/>
            </w:tcBorders>
          </w:tcPr>
          <w:p w14:paraId="3574BD41" w14:textId="14834F4B"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5</w:t>
            </w:r>
          </w:p>
        </w:tc>
        <w:tc>
          <w:tcPr>
            <w:tcW w:w="639" w:type="pct"/>
            <w:tcBorders>
              <w:top w:val="none" w:sz="0" w:space="0" w:color="auto"/>
              <w:left w:val="none" w:sz="0" w:space="0" w:color="auto"/>
              <w:bottom w:val="none" w:sz="0" w:space="0" w:color="auto"/>
              <w:right w:val="none" w:sz="0" w:space="0" w:color="auto"/>
            </w:tcBorders>
          </w:tcPr>
          <w:p w14:paraId="5A8D2BC5" w14:textId="11FF870A"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2,783 </w:t>
            </w:r>
          </w:p>
        </w:tc>
        <w:tc>
          <w:tcPr>
            <w:tcW w:w="647" w:type="pct"/>
            <w:tcBorders>
              <w:top w:val="none" w:sz="0" w:space="0" w:color="auto"/>
              <w:left w:val="none" w:sz="0" w:space="0" w:color="auto"/>
              <w:bottom w:val="none" w:sz="0" w:space="0" w:color="auto"/>
              <w:right w:val="none" w:sz="0" w:space="0" w:color="auto"/>
            </w:tcBorders>
          </w:tcPr>
          <w:p w14:paraId="74D51781" w14:textId="33E311E3"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4</w:t>
            </w:r>
          </w:p>
        </w:tc>
        <w:tc>
          <w:tcPr>
            <w:tcW w:w="639" w:type="pct"/>
            <w:tcBorders>
              <w:top w:val="none" w:sz="0" w:space="0" w:color="auto"/>
              <w:left w:val="none" w:sz="0" w:space="0" w:color="auto"/>
              <w:bottom w:val="none" w:sz="0" w:space="0" w:color="auto"/>
              <w:right w:val="none" w:sz="0" w:space="0" w:color="auto"/>
            </w:tcBorders>
          </w:tcPr>
          <w:p w14:paraId="2DF3A221" w14:textId="49C04975"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2,472 </w:t>
            </w:r>
          </w:p>
        </w:tc>
      </w:tr>
      <w:tr w:rsidR="00F93E47" w:rsidRPr="00E3116D" w14:paraId="7412F11F"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286775D3" w14:textId="77777777" w:rsidR="00F93E47" w:rsidRDefault="00F93E47" w:rsidP="0056690A">
            <w:pPr>
              <w:pStyle w:val="TableLeftText"/>
              <w:keepNext/>
              <w:keepLines/>
              <w:jc w:val="center"/>
            </w:pPr>
          </w:p>
        </w:tc>
        <w:tc>
          <w:tcPr>
            <w:tcW w:w="2119" w:type="pct"/>
            <w:gridSpan w:val="2"/>
            <w:tcBorders>
              <w:top w:val="none" w:sz="0" w:space="0" w:color="auto"/>
              <w:left w:val="none" w:sz="0" w:space="0" w:color="auto"/>
              <w:bottom w:val="none" w:sz="0" w:space="0" w:color="auto"/>
              <w:right w:val="none" w:sz="0" w:space="0" w:color="auto"/>
            </w:tcBorders>
          </w:tcPr>
          <w:p w14:paraId="78A4F499" w14:textId="1B617E0C" w:rsidR="00F93E47" w:rsidRPr="00E3116D" w:rsidRDefault="00F93E47" w:rsidP="0056690A">
            <w:pPr>
              <w:pStyle w:val="TableRightText"/>
              <w:keepNext/>
              <w:keepLines/>
              <w:jc w:val="left"/>
              <w:cnfStyle w:val="000000100000" w:firstRow="0" w:lastRow="0" w:firstColumn="0" w:lastColumn="0" w:oddVBand="0" w:evenVBand="0" w:oddHBand="1" w:evenHBand="0" w:firstRowFirstColumn="0" w:firstRowLastColumn="0" w:lastRowFirstColumn="0" w:lastRowLastColumn="0"/>
              <w:rPr>
                <w:i/>
                <w:iCs/>
              </w:rPr>
            </w:pPr>
            <w:r w:rsidRPr="00E3116D">
              <w:rPr>
                <w:i/>
                <w:iCs/>
              </w:rPr>
              <w:t>Subtotal</w:t>
            </w:r>
          </w:p>
        </w:tc>
        <w:tc>
          <w:tcPr>
            <w:tcW w:w="647" w:type="pct"/>
            <w:tcBorders>
              <w:top w:val="none" w:sz="0" w:space="0" w:color="auto"/>
              <w:left w:val="none" w:sz="0" w:space="0" w:color="auto"/>
              <w:bottom w:val="none" w:sz="0" w:space="0" w:color="auto"/>
              <w:right w:val="none" w:sz="0" w:space="0" w:color="auto"/>
            </w:tcBorders>
          </w:tcPr>
          <w:p w14:paraId="6B489514" w14:textId="24EBC8D7" w:rsidR="00F93E47" w:rsidRPr="00E3116D"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13</w:t>
            </w:r>
          </w:p>
        </w:tc>
        <w:tc>
          <w:tcPr>
            <w:tcW w:w="639" w:type="pct"/>
            <w:tcBorders>
              <w:top w:val="none" w:sz="0" w:space="0" w:color="auto"/>
              <w:left w:val="none" w:sz="0" w:space="0" w:color="auto"/>
              <w:bottom w:val="none" w:sz="0" w:space="0" w:color="auto"/>
              <w:right w:val="none" w:sz="0" w:space="0" w:color="auto"/>
            </w:tcBorders>
          </w:tcPr>
          <w:p w14:paraId="5A8C1813" w14:textId="3BD31EA3" w:rsidR="00F93E47" w:rsidRPr="00E3116D"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 xml:space="preserve"> 3,561 </w:t>
            </w:r>
          </w:p>
        </w:tc>
        <w:tc>
          <w:tcPr>
            <w:tcW w:w="647" w:type="pct"/>
            <w:tcBorders>
              <w:top w:val="none" w:sz="0" w:space="0" w:color="auto"/>
              <w:left w:val="none" w:sz="0" w:space="0" w:color="auto"/>
              <w:bottom w:val="none" w:sz="0" w:space="0" w:color="auto"/>
              <w:right w:val="none" w:sz="0" w:space="0" w:color="auto"/>
            </w:tcBorders>
          </w:tcPr>
          <w:p w14:paraId="4B847BD3" w14:textId="2931F906" w:rsidR="00F93E47" w:rsidRPr="00E3116D"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7</w:t>
            </w:r>
          </w:p>
        </w:tc>
        <w:tc>
          <w:tcPr>
            <w:tcW w:w="639" w:type="pct"/>
            <w:tcBorders>
              <w:top w:val="none" w:sz="0" w:space="0" w:color="auto"/>
              <w:left w:val="none" w:sz="0" w:space="0" w:color="auto"/>
              <w:bottom w:val="none" w:sz="0" w:space="0" w:color="auto"/>
              <w:right w:val="none" w:sz="0" w:space="0" w:color="auto"/>
            </w:tcBorders>
          </w:tcPr>
          <w:p w14:paraId="348F2F36" w14:textId="2CF05842" w:rsidR="00F93E47" w:rsidRPr="00E3116D"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 xml:space="preserve"> 2,916 </w:t>
            </w:r>
          </w:p>
        </w:tc>
      </w:tr>
      <w:tr w:rsidR="00F93E47" w14:paraId="202A2DC9"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val="restart"/>
            <w:tcBorders>
              <w:top w:val="none" w:sz="0" w:space="0" w:color="auto"/>
              <w:left w:val="none" w:sz="0" w:space="0" w:color="auto"/>
              <w:bottom w:val="none" w:sz="0" w:space="0" w:color="auto"/>
              <w:right w:val="none" w:sz="0" w:space="0" w:color="auto"/>
            </w:tcBorders>
          </w:tcPr>
          <w:p w14:paraId="28C22DC5" w14:textId="7A861F2D" w:rsidR="00F93E47" w:rsidRPr="00625570" w:rsidRDefault="00F93E47" w:rsidP="0056690A">
            <w:pPr>
              <w:pStyle w:val="TableLeftText"/>
              <w:keepNext/>
              <w:keepLines/>
              <w:jc w:val="center"/>
            </w:pPr>
            <w:r>
              <w:t>3</w:t>
            </w:r>
          </w:p>
        </w:tc>
        <w:tc>
          <w:tcPr>
            <w:tcW w:w="850" w:type="pct"/>
            <w:tcBorders>
              <w:top w:val="none" w:sz="0" w:space="0" w:color="auto"/>
              <w:left w:val="none" w:sz="0" w:space="0" w:color="auto"/>
              <w:bottom w:val="none" w:sz="0" w:space="0" w:color="auto"/>
              <w:right w:val="none" w:sz="0" w:space="0" w:color="auto"/>
            </w:tcBorders>
          </w:tcPr>
          <w:p w14:paraId="3C62AA65" w14:textId="4624AB84"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1</w:t>
            </w:r>
          </w:p>
        </w:tc>
        <w:tc>
          <w:tcPr>
            <w:tcW w:w="1269" w:type="pct"/>
            <w:tcBorders>
              <w:top w:val="none" w:sz="0" w:space="0" w:color="auto"/>
              <w:left w:val="none" w:sz="0" w:space="0" w:color="auto"/>
              <w:bottom w:val="none" w:sz="0" w:space="0" w:color="auto"/>
              <w:right w:val="none" w:sz="0" w:space="0" w:color="auto"/>
            </w:tcBorders>
          </w:tcPr>
          <w:p w14:paraId="302FB7A3" w14:textId="45F0F78B"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F93E47">
              <w:t>&lt; 239 MWh</w:t>
            </w:r>
          </w:p>
        </w:tc>
        <w:tc>
          <w:tcPr>
            <w:tcW w:w="647" w:type="pct"/>
            <w:tcBorders>
              <w:top w:val="none" w:sz="0" w:space="0" w:color="auto"/>
              <w:left w:val="none" w:sz="0" w:space="0" w:color="auto"/>
              <w:bottom w:val="none" w:sz="0" w:space="0" w:color="auto"/>
              <w:right w:val="none" w:sz="0" w:space="0" w:color="auto"/>
            </w:tcBorders>
          </w:tcPr>
          <w:p w14:paraId="2EDB9739" w14:textId="71FE14AC"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40</w:t>
            </w:r>
          </w:p>
        </w:tc>
        <w:tc>
          <w:tcPr>
            <w:tcW w:w="639" w:type="pct"/>
            <w:tcBorders>
              <w:top w:val="none" w:sz="0" w:space="0" w:color="auto"/>
              <w:left w:val="none" w:sz="0" w:space="0" w:color="auto"/>
              <w:bottom w:val="none" w:sz="0" w:space="0" w:color="auto"/>
              <w:right w:val="none" w:sz="0" w:space="0" w:color="auto"/>
            </w:tcBorders>
          </w:tcPr>
          <w:p w14:paraId="31A4C4FA" w14:textId="3D53D863"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3,342 </w:t>
            </w:r>
          </w:p>
        </w:tc>
        <w:tc>
          <w:tcPr>
            <w:tcW w:w="647" w:type="pct"/>
            <w:tcBorders>
              <w:top w:val="none" w:sz="0" w:space="0" w:color="auto"/>
              <w:left w:val="none" w:sz="0" w:space="0" w:color="auto"/>
              <w:bottom w:val="none" w:sz="0" w:space="0" w:color="auto"/>
              <w:right w:val="none" w:sz="0" w:space="0" w:color="auto"/>
            </w:tcBorders>
          </w:tcPr>
          <w:p w14:paraId="19257FB7" w14:textId="300B1561"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639" w:type="pct"/>
            <w:tcBorders>
              <w:top w:val="none" w:sz="0" w:space="0" w:color="auto"/>
              <w:left w:val="none" w:sz="0" w:space="0" w:color="auto"/>
              <w:bottom w:val="none" w:sz="0" w:space="0" w:color="auto"/>
              <w:right w:val="none" w:sz="0" w:space="0" w:color="auto"/>
            </w:tcBorders>
          </w:tcPr>
          <w:p w14:paraId="4EA1619A" w14:textId="1F386699"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108 </w:t>
            </w:r>
          </w:p>
        </w:tc>
      </w:tr>
      <w:tr w:rsidR="00F93E47" w14:paraId="211D9C55"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02C4FF8A" w14:textId="77777777" w:rsidR="00F93E47" w:rsidRDefault="00F93E47" w:rsidP="0056690A">
            <w:pPr>
              <w:pStyle w:val="TableLeftText"/>
              <w:keepNext/>
              <w:keepLines/>
            </w:pPr>
          </w:p>
        </w:tc>
        <w:tc>
          <w:tcPr>
            <w:tcW w:w="850" w:type="pct"/>
            <w:tcBorders>
              <w:top w:val="none" w:sz="0" w:space="0" w:color="auto"/>
              <w:left w:val="none" w:sz="0" w:space="0" w:color="auto"/>
              <w:bottom w:val="none" w:sz="0" w:space="0" w:color="auto"/>
              <w:right w:val="none" w:sz="0" w:space="0" w:color="auto"/>
            </w:tcBorders>
          </w:tcPr>
          <w:p w14:paraId="5A8C117F" w14:textId="7EC7297D"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t>2</w:t>
            </w:r>
          </w:p>
        </w:tc>
        <w:tc>
          <w:tcPr>
            <w:tcW w:w="1269" w:type="pct"/>
            <w:tcBorders>
              <w:top w:val="none" w:sz="0" w:space="0" w:color="auto"/>
              <w:left w:val="none" w:sz="0" w:space="0" w:color="auto"/>
              <w:bottom w:val="none" w:sz="0" w:space="0" w:color="auto"/>
              <w:right w:val="none" w:sz="0" w:space="0" w:color="auto"/>
            </w:tcBorders>
          </w:tcPr>
          <w:p w14:paraId="4A88101A" w14:textId="34BE5820"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rsidRPr="00F93E47">
              <w:t>&gt; 239 MWh &amp; &lt; 682 MWh</w:t>
            </w:r>
          </w:p>
        </w:tc>
        <w:tc>
          <w:tcPr>
            <w:tcW w:w="647" w:type="pct"/>
            <w:tcBorders>
              <w:top w:val="none" w:sz="0" w:space="0" w:color="auto"/>
              <w:left w:val="none" w:sz="0" w:space="0" w:color="auto"/>
              <w:bottom w:val="none" w:sz="0" w:space="0" w:color="auto"/>
              <w:right w:val="none" w:sz="0" w:space="0" w:color="auto"/>
            </w:tcBorders>
          </w:tcPr>
          <w:p w14:paraId="60DE938E" w14:textId="373F7D96" w:rsidR="00F93E47" w:rsidRPr="000B7901"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25</w:t>
            </w:r>
          </w:p>
        </w:tc>
        <w:tc>
          <w:tcPr>
            <w:tcW w:w="639" w:type="pct"/>
            <w:tcBorders>
              <w:top w:val="none" w:sz="0" w:space="0" w:color="auto"/>
              <w:left w:val="none" w:sz="0" w:space="0" w:color="auto"/>
              <w:bottom w:val="none" w:sz="0" w:space="0" w:color="auto"/>
              <w:right w:val="none" w:sz="0" w:space="0" w:color="auto"/>
            </w:tcBorders>
          </w:tcPr>
          <w:p w14:paraId="55CF8DD2" w14:textId="029741B5"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10,483 </w:t>
            </w:r>
          </w:p>
        </w:tc>
        <w:tc>
          <w:tcPr>
            <w:tcW w:w="647" w:type="pct"/>
            <w:tcBorders>
              <w:top w:val="none" w:sz="0" w:space="0" w:color="auto"/>
              <w:left w:val="none" w:sz="0" w:space="0" w:color="auto"/>
              <w:bottom w:val="none" w:sz="0" w:space="0" w:color="auto"/>
              <w:right w:val="none" w:sz="0" w:space="0" w:color="auto"/>
            </w:tcBorders>
          </w:tcPr>
          <w:p w14:paraId="168085F6" w14:textId="5CFCFF18"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2</w:t>
            </w:r>
          </w:p>
        </w:tc>
        <w:tc>
          <w:tcPr>
            <w:tcW w:w="639" w:type="pct"/>
            <w:tcBorders>
              <w:top w:val="none" w:sz="0" w:space="0" w:color="auto"/>
              <w:left w:val="none" w:sz="0" w:space="0" w:color="auto"/>
              <w:bottom w:val="none" w:sz="0" w:space="0" w:color="auto"/>
              <w:right w:val="none" w:sz="0" w:space="0" w:color="auto"/>
            </w:tcBorders>
          </w:tcPr>
          <w:p w14:paraId="5B9FEB95" w14:textId="02E0A790"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897 </w:t>
            </w:r>
          </w:p>
        </w:tc>
      </w:tr>
      <w:tr w:rsidR="00F93E47" w14:paraId="34ACA162"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3FC424CA" w14:textId="77777777" w:rsidR="00F93E47" w:rsidRDefault="00F93E47" w:rsidP="0056690A">
            <w:pPr>
              <w:pStyle w:val="TableLeftText"/>
              <w:keepNext/>
              <w:keepLines/>
            </w:pPr>
          </w:p>
        </w:tc>
        <w:tc>
          <w:tcPr>
            <w:tcW w:w="850" w:type="pct"/>
            <w:tcBorders>
              <w:top w:val="none" w:sz="0" w:space="0" w:color="auto"/>
              <w:left w:val="none" w:sz="0" w:space="0" w:color="auto"/>
              <w:bottom w:val="none" w:sz="0" w:space="0" w:color="auto"/>
              <w:right w:val="none" w:sz="0" w:space="0" w:color="auto"/>
            </w:tcBorders>
          </w:tcPr>
          <w:p w14:paraId="62C43757" w14:textId="79F4CE9E"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3</w:t>
            </w:r>
          </w:p>
        </w:tc>
        <w:tc>
          <w:tcPr>
            <w:tcW w:w="1269" w:type="pct"/>
            <w:tcBorders>
              <w:top w:val="none" w:sz="0" w:space="0" w:color="auto"/>
              <w:left w:val="none" w:sz="0" w:space="0" w:color="auto"/>
              <w:bottom w:val="none" w:sz="0" w:space="0" w:color="auto"/>
              <w:right w:val="none" w:sz="0" w:space="0" w:color="auto"/>
            </w:tcBorders>
          </w:tcPr>
          <w:p w14:paraId="1C8BFC45" w14:textId="648B8B4C" w:rsidR="00F93E47" w:rsidRPr="000B7901" w:rsidRDefault="00F93E47"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F93E47">
              <w:t>&gt; 682 MWh &amp; &lt; 3,546 MWh</w:t>
            </w:r>
          </w:p>
        </w:tc>
        <w:tc>
          <w:tcPr>
            <w:tcW w:w="647" w:type="pct"/>
            <w:tcBorders>
              <w:top w:val="none" w:sz="0" w:space="0" w:color="auto"/>
              <w:left w:val="none" w:sz="0" w:space="0" w:color="auto"/>
              <w:bottom w:val="none" w:sz="0" w:space="0" w:color="auto"/>
              <w:right w:val="none" w:sz="0" w:space="0" w:color="auto"/>
            </w:tcBorders>
          </w:tcPr>
          <w:p w14:paraId="4159999D" w14:textId="19C1BC5C" w:rsidR="00F93E47" w:rsidRPr="000B7901"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7</w:t>
            </w:r>
          </w:p>
        </w:tc>
        <w:tc>
          <w:tcPr>
            <w:tcW w:w="639" w:type="pct"/>
            <w:tcBorders>
              <w:top w:val="none" w:sz="0" w:space="0" w:color="auto"/>
              <w:left w:val="none" w:sz="0" w:space="0" w:color="auto"/>
              <w:bottom w:val="none" w:sz="0" w:space="0" w:color="auto"/>
              <w:right w:val="none" w:sz="0" w:space="0" w:color="auto"/>
            </w:tcBorders>
          </w:tcPr>
          <w:p w14:paraId="2566FEDE" w14:textId="7EBA16BF"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7,725 </w:t>
            </w:r>
          </w:p>
        </w:tc>
        <w:tc>
          <w:tcPr>
            <w:tcW w:w="647" w:type="pct"/>
            <w:tcBorders>
              <w:top w:val="none" w:sz="0" w:space="0" w:color="auto"/>
              <w:left w:val="none" w:sz="0" w:space="0" w:color="auto"/>
              <w:bottom w:val="none" w:sz="0" w:space="0" w:color="auto"/>
              <w:right w:val="none" w:sz="0" w:space="0" w:color="auto"/>
            </w:tcBorders>
          </w:tcPr>
          <w:p w14:paraId="7B4C5486" w14:textId="70D32E95"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639" w:type="pct"/>
            <w:tcBorders>
              <w:top w:val="none" w:sz="0" w:space="0" w:color="auto"/>
              <w:left w:val="none" w:sz="0" w:space="0" w:color="auto"/>
              <w:bottom w:val="none" w:sz="0" w:space="0" w:color="auto"/>
              <w:right w:val="none" w:sz="0" w:space="0" w:color="auto"/>
            </w:tcBorders>
          </w:tcPr>
          <w:p w14:paraId="3A539CA1" w14:textId="0FB1CFEC" w:rsidR="00F93E47" w:rsidRPr="000B7901"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rsidRPr="00A932A2">
              <w:t xml:space="preserve"> 1,834 </w:t>
            </w:r>
          </w:p>
        </w:tc>
      </w:tr>
      <w:tr w:rsidR="00F93E47" w14:paraId="50AE9AF4"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3D4154D2" w14:textId="77777777" w:rsidR="00F93E47" w:rsidRDefault="00F93E47" w:rsidP="0056690A">
            <w:pPr>
              <w:pStyle w:val="TableLeftText"/>
              <w:keepNext/>
              <w:keepLines/>
            </w:pPr>
          </w:p>
        </w:tc>
        <w:tc>
          <w:tcPr>
            <w:tcW w:w="850" w:type="pct"/>
            <w:tcBorders>
              <w:top w:val="none" w:sz="0" w:space="0" w:color="auto"/>
              <w:left w:val="none" w:sz="0" w:space="0" w:color="auto"/>
              <w:bottom w:val="none" w:sz="0" w:space="0" w:color="auto"/>
              <w:right w:val="none" w:sz="0" w:space="0" w:color="auto"/>
            </w:tcBorders>
          </w:tcPr>
          <w:p w14:paraId="0E5FE27F" w14:textId="3FA7833A"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t>4</w:t>
            </w:r>
          </w:p>
        </w:tc>
        <w:tc>
          <w:tcPr>
            <w:tcW w:w="1269" w:type="pct"/>
            <w:tcBorders>
              <w:top w:val="none" w:sz="0" w:space="0" w:color="auto"/>
              <w:left w:val="none" w:sz="0" w:space="0" w:color="auto"/>
              <w:bottom w:val="none" w:sz="0" w:space="0" w:color="auto"/>
              <w:right w:val="none" w:sz="0" w:space="0" w:color="auto"/>
            </w:tcBorders>
          </w:tcPr>
          <w:p w14:paraId="0F80CC53" w14:textId="5BDE79F7" w:rsidR="00F93E47" w:rsidRPr="000B7901" w:rsidRDefault="00F93E4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rsidRPr="00F93E47">
              <w:t>&gt; 3,546 MWh</w:t>
            </w:r>
          </w:p>
        </w:tc>
        <w:tc>
          <w:tcPr>
            <w:tcW w:w="647" w:type="pct"/>
            <w:tcBorders>
              <w:top w:val="none" w:sz="0" w:space="0" w:color="auto"/>
              <w:left w:val="none" w:sz="0" w:space="0" w:color="auto"/>
              <w:bottom w:val="none" w:sz="0" w:space="0" w:color="auto"/>
              <w:right w:val="none" w:sz="0" w:space="0" w:color="auto"/>
            </w:tcBorders>
          </w:tcPr>
          <w:p w14:paraId="5B2B49BE" w14:textId="3863D93C" w:rsidR="00F93E47" w:rsidRPr="000B7901" w:rsidRDefault="00F93E47"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639" w:type="pct"/>
            <w:tcBorders>
              <w:top w:val="none" w:sz="0" w:space="0" w:color="auto"/>
              <w:left w:val="none" w:sz="0" w:space="0" w:color="auto"/>
              <w:bottom w:val="none" w:sz="0" w:space="0" w:color="auto"/>
              <w:right w:val="none" w:sz="0" w:space="0" w:color="auto"/>
            </w:tcBorders>
          </w:tcPr>
          <w:p w14:paraId="26B8E3B4" w14:textId="0EF39A19"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3,547 </w:t>
            </w:r>
          </w:p>
        </w:tc>
        <w:tc>
          <w:tcPr>
            <w:tcW w:w="647" w:type="pct"/>
            <w:tcBorders>
              <w:top w:val="none" w:sz="0" w:space="0" w:color="auto"/>
              <w:left w:val="none" w:sz="0" w:space="0" w:color="auto"/>
              <w:bottom w:val="none" w:sz="0" w:space="0" w:color="auto"/>
              <w:right w:val="none" w:sz="0" w:space="0" w:color="auto"/>
            </w:tcBorders>
          </w:tcPr>
          <w:p w14:paraId="1E043687" w14:textId="70AEF56C"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639" w:type="pct"/>
            <w:tcBorders>
              <w:top w:val="none" w:sz="0" w:space="0" w:color="auto"/>
              <w:left w:val="none" w:sz="0" w:space="0" w:color="auto"/>
              <w:bottom w:val="none" w:sz="0" w:space="0" w:color="auto"/>
              <w:right w:val="none" w:sz="0" w:space="0" w:color="auto"/>
            </w:tcBorders>
          </w:tcPr>
          <w:p w14:paraId="22AC8D1F" w14:textId="2A04DB16" w:rsidR="00F93E47" w:rsidRPr="000B7901" w:rsidRDefault="00A932A2" w:rsidP="00E3116D">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rsidRPr="00A932A2">
              <w:t xml:space="preserve"> 3,547 </w:t>
            </w:r>
          </w:p>
        </w:tc>
      </w:tr>
      <w:tr w:rsidR="00F93E47" w14:paraId="6E61C261"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10" w:type="pct"/>
            <w:vMerge/>
            <w:tcBorders>
              <w:top w:val="none" w:sz="0" w:space="0" w:color="auto"/>
              <w:left w:val="none" w:sz="0" w:space="0" w:color="auto"/>
              <w:bottom w:val="none" w:sz="0" w:space="0" w:color="auto"/>
              <w:right w:val="none" w:sz="0" w:space="0" w:color="auto"/>
            </w:tcBorders>
          </w:tcPr>
          <w:p w14:paraId="4A3A8DB0" w14:textId="77777777" w:rsidR="00F93E47" w:rsidRDefault="00F93E47" w:rsidP="0056690A">
            <w:pPr>
              <w:pStyle w:val="TableLeftText"/>
              <w:keepNext/>
              <w:keepLines/>
            </w:pPr>
          </w:p>
        </w:tc>
        <w:tc>
          <w:tcPr>
            <w:tcW w:w="2119" w:type="pct"/>
            <w:gridSpan w:val="2"/>
            <w:tcBorders>
              <w:top w:val="none" w:sz="0" w:space="0" w:color="auto"/>
              <w:left w:val="none" w:sz="0" w:space="0" w:color="auto"/>
              <w:bottom w:val="none" w:sz="0" w:space="0" w:color="auto"/>
              <w:right w:val="none" w:sz="0" w:space="0" w:color="auto"/>
            </w:tcBorders>
          </w:tcPr>
          <w:p w14:paraId="00C6C466" w14:textId="13FA092D" w:rsidR="00F93E47" w:rsidRPr="00E3116D" w:rsidRDefault="00F93E47" w:rsidP="0056690A">
            <w:pPr>
              <w:pStyle w:val="TableRightText"/>
              <w:keepNext/>
              <w:keepLines/>
              <w:jc w:val="left"/>
              <w:cnfStyle w:val="000000010000" w:firstRow="0" w:lastRow="0" w:firstColumn="0" w:lastColumn="0" w:oddVBand="0" w:evenVBand="0" w:oddHBand="0" w:evenHBand="1" w:firstRowFirstColumn="0" w:firstRowLastColumn="0" w:lastRowFirstColumn="0" w:lastRowLastColumn="0"/>
              <w:rPr>
                <w:i/>
                <w:iCs/>
              </w:rPr>
            </w:pPr>
            <w:r w:rsidRPr="00E3116D">
              <w:rPr>
                <w:i/>
                <w:iCs/>
              </w:rPr>
              <w:t>Subtotal</w:t>
            </w:r>
          </w:p>
        </w:tc>
        <w:tc>
          <w:tcPr>
            <w:tcW w:w="647" w:type="pct"/>
            <w:tcBorders>
              <w:top w:val="none" w:sz="0" w:space="0" w:color="auto"/>
              <w:left w:val="none" w:sz="0" w:space="0" w:color="auto"/>
              <w:bottom w:val="none" w:sz="0" w:space="0" w:color="auto"/>
              <w:right w:val="none" w:sz="0" w:space="0" w:color="auto"/>
            </w:tcBorders>
          </w:tcPr>
          <w:p w14:paraId="64693207" w14:textId="616B2D96" w:rsidR="00F93E47" w:rsidRPr="00E3116D" w:rsidRDefault="00F93E47"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73</w:t>
            </w:r>
          </w:p>
        </w:tc>
        <w:tc>
          <w:tcPr>
            <w:tcW w:w="639" w:type="pct"/>
            <w:tcBorders>
              <w:top w:val="none" w:sz="0" w:space="0" w:color="auto"/>
              <w:left w:val="none" w:sz="0" w:space="0" w:color="auto"/>
              <w:bottom w:val="none" w:sz="0" w:space="0" w:color="auto"/>
              <w:right w:val="none" w:sz="0" w:space="0" w:color="auto"/>
            </w:tcBorders>
          </w:tcPr>
          <w:p w14:paraId="32B1207E" w14:textId="06EECA28" w:rsidR="00F93E47" w:rsidRPr="00E3116D"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 xml:space="preserve"> 25,097 </w:t>
            </w:r>
          </w:p>
        </w:tc>
        <w:tc>
          <w:tcPr>
            <w:tcW w:w="647" w:type="pct"/>
            <w:tcBorders>
              <w:top w:val="none" w:sz="0" w:space="0" w:color="auto"/>
              <w:left w:val="none" w:sz="0" w:space="0" w:color="auto"/>
              <w:bottom w:val="none" w:sz="0" w:space="0" w:color="auto"/>
              <w:right w:val="none" w:sz="0" w:space="0" w:color="auto"/>
            </w:tcBorders>
          </w:tcPr>
          <w:p w14:paraId="503860EF" w14:textId="030A34A3" w:rsidR="00F93E47" w:rsidRPr="00E3116D"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7</w:t>
            </w:r>
          </w:p>
        </w:tc>
        <w:tc>
          <w:tcPr>
            <w:tcW w:w="639" w:type="pct"/>
            <w:tcBorders>
              <w:top w:val="none" w:sz="0" w:space="0" w:color="auto"/>
              <w:left w:val="none" w:sz="0" w:space="0" w:color="auto"/>
              <w:bottom w:val="none" w:sz="0" w:space="0" w:color="auto"/>
              <w:right w:val="none" w:sz="0" w:space="0" w:color="auto"/>
            </w:tcBorders>
          </w:tcPr>
          <w:p w14:paraId="1DEB7E87" w14:textId="79E2CFE1" w:rsidR="00F93E47" w:rsidRPr="00E3116D" w:rsidRDefault="00A932A2" w:rsidP="00E3116D">
            <w:pPr>
              <w:pStyle w:val="TableCenterText"/>
              <w:keepNext/>
              <w:keepLines/>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 xml:space="preserve"> 6,385 </w:t>
            </w:r>
          </w:p>
        </w:tc>
      </w:tr>
      <w:tr w:rsidR="00F93E47" w14:paraId="50927B8F" w14:textId="77777777" w:rsidTr="0056690A">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1" w:firstRow="0" w:lastRow="0" w:firstColumn="1" w:lastColumn="0" w:oddVBand="0" w:evenVBand="0" w:oddHBand="0" w:evenHBand="0" w:firstRowFirstColumn="0" w:firstRowLastColumn="0" w:lastRowFirstColumn="1" w:lastRowLastColumn="0"/>
            <w:tcW w:w="2429" w:type="pct"/>
            <w:gridSpan w:val="3"/>
            <w:tcBorders>
              <w:top w:val="none" w:sz="0" w:space="0" w:color="auto"/>
              <w:left w:val="none" w:sz="0" w:space="0" w:color="auto"/>
              <w:bottom w:val="none" w:sz="0" w:space="0" w:color="auto"/>
              <w:right w:val="none" w:sz="0" w:space="0" w:color="auto"/>
            </w:tcBorders>
          </w:tcPr>
          <w:p w14:paraId="1C04A1A4" w14:textId="45CA57B7" w:rsidR="00F93E47" w:rsidRPr="00313347" w:rsidRDefault="00F93E47" w:rsidP="0056690A">
            <w:pPr>
              <w:pStyle w:val="TableLeftText"/>
              <w:keepNext/>
              <w:keepLines/>
              <w:rPr>
                <w:rFonts w:ascii="Franklin Gothic Medium" w:hAnsi="Franklin Gothic Medium"/>
                <w:b w:val="0"/>
                <w:bCs w:val="0"/>
              </w:rPr>
            </w:pPr>
            <w:r w:rsidRPr="00313347">
              <w:rPr>
                <w:rFonts w:ascii="Franklin Gothic Medium" w:hAnsi="Franklin Gothic Medium"/>
                <w:b w:val="0"/>
                <w:bCs w:val="0"/>
              </w:rPr>
              <w:t>Total</w:t>
            </w:r>
          </w:p>
        </w:tc>
        <w:tc>
          <w:tcPr>
            <w:tcW w:w="647" w:type="pct"/>
            <w:tcBorders>
              <w:top w:val="none" w:sz="0" w:space="0" w:color="auto"/>
              <w:left w:val="none" w:sz="0" w:space="0" w:color="auto"/>
              <w:bottom w:val="none" w:sz="0" w:space="0" w:color="auto"/>
              <w:right w:val="none" w:sz="0" w:space="0" w:color="auto"/>
            </w:tcBorders>
          </w:tcPr>
          <w:p w14:paraId="3158C763" w14:textId="7B321250" w:rsidR="00F93E47" w:rsidRPr="00313347" w:rsidRDefault="00F93E47" w:rsidP="00E3116D">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94</w:t>
            </w:r>
          </w:p>
        </w:tc>
        <w:tc>
          <w:tcPr>
            <w:tcW w:w="639" w:type="pct"/>
            <w:tcBorders>
              <w:top w:val="none" w:sz="0" w:space="0" w:color="auto"/>
              <w:left w:val="none" w:sz="0" w:space="0" w:color="auto"/>
              <w:bottom w:val="none" w:sz="0" w:space="0" w:color="auto"/>
              <w:right w:val="none" w:sz="0" w:space="0" w:color="auto"/>
            </w:tcBorders>
          </w:tcPr>
          <w:p w14:paraId="78B9C28D" w14:textId="3974F36C" w:rsidR="00F93E47" w:rsidRPr="00313347" w:rsidRDefault="00F93E47" w:rsidP="00E3116D">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29,718</w:t>
            </w:r>
          </w:p>
        </w:tc>
        <w:tc>
          <w:tcPr>
            <w:tcW w:w="647" w:type="pct"/>
            <w:tcBorders>
              <w:top w:val="none" w:sz="0" w:space="0" w:color="auto"/>
              <w:left w:val="none" w:sz="0" w:space="0" w:color="auto"/>
              <w:bottom w:val="none" w:sz="0" w:space="0" w:color="auto"/>
              <w:right w:val="none" w:sz="0" w:space="0" w:color="auto"/>
            </w:tcBorders>
          </w:tcPr>
          <w:p w14:paraId="0969A159" w14:textId="0423467A" w:rsidR="00F93E47" w:rsidRPr="00313347" w:rsidRDefault="00F93E47" w:rsidP="00E3116D">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22</w:t>
            </w:r>
          </w:p>
        </w:tc>
        <w:tc>
          <w:tcPr>
            <w:tcW w:w="639" w:type="pct"/>
            <w:tcBorders>
              <w:top w:val="none" w:sz="0" w:space="0" w:color="auto"/>
              <w:left w:val="none" w:sz="0" w:space="0" w:color="auto"/>
              <w:bottom w:val="none" w:sz="0" w:space="0" w:color="auto"/>
              <w:right w:val="none" w:sz="0" w:space="0" w:color="auto"/>
            </w:tcBorders>
          </w:tcPr>
          <w:p w14:paraId="345F8C34" w14:textId="203D5D22" w:rsidR="00F93E47" w:rsidRPr="00313347" w:rsidRDefault="00F93E47" w:rsidP="00E3116D">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10,362</w:t>
            </w:r>
          </w:p>
        </w:tc>
      </w:tr>
    </w:tbl>
    <w:p w14:paraId="1AD022DC" w14:textId="14ABED85" w:rsidR="00130CAB" w:rsidRDefault="00130CAB" w:rsidP="00881B1B">
      <w:pPr>
        <w:pStyle w:val="Caption"/>
      </w:pPr>
      <w:bookmarkStart w:id="382" w:name="_Ref191737131"/>
      <w:bookmarkStart w:id="383" w:name="_Toc191992609"/>
      <w:bookmarkStart w:id="384" w:name="_Toc192767022"/>
      <w:r>
        <w:t xml:space="preserve">Table </w:t>
      </w:r>
      <w:r>
        <w:fldChar w:fldCharType="begin"/>
      </w:r>
      <w:r>
        <w:instrText xml:space="preserve"> SEQ Table \* ARABIC </w:instrText>
      </w:r>
      <w:r>
        <w:fldChar w:fldCharType="separate"/>
      </w:r>
      <w:r w:rsidR="00AA10F4">
        <w:rPr>
          <w:noProof/>
        </w:rPr>
        <w:t>88</w:t>
      </w:r>
      <w:r>
        <w:rPr>
          <w:noProof/>
        </w:rPr>
        <w:fldChar w:fldCharType="end"/>
      </w:r>
      <w:bookmarkEnd w:id="382"/>
      <w:r>
        <w:t xml:space="preserve">. </w:t>
      </w:r>
      <w:r w:rsidRPr="00130CAB">
        <w:t>Custom Incentives Channel Sampling Approach for Projects with Gas Savings</w:t>
      </w:r>
      <w:bookmarkEnd w:id="383"/>
      <w:bookmarkEnd w:id="384"/>
    </w:p>
    <w:tbl>
      <w:tblPr>
        <w:tblStyle w:val="ODCBasic-1"/>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E0" w:firstRow="1" w:lastRow="1" w:firstColumn="1" w:lastColumn="0" w:noHBand="0" w:noVBand="1"/>
      </w:tblPr>
      <w:tblGrid>
        <w:gridCol w:w="639"/>
        <w:gridCol w:w="1753"/>
        <w:gridCol w:w="2996"/>
        <w:gridCol w:w="1336"/>
        <w:gridCol w:w="1518"/>
        <w:gridCol w:w="1336"/>
        <w:gridCol w:w="1518"/>
      </w:tblGrid>
      <w:tr w:rsidR="00C26534" w14:paraId="193E9139" w14:textId="77777777" w:rsidTr="00E3116D">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tcPr>
          <w:p w14:paraId="3DD60194" w14:textId="3C37D5FD" w:rsidR="00C26534" w:rsidRPr="00625570" w:rsidRDefault="00C26534" w:rsidP="001A2AF7">
            <w:pPr>
              <w:pStyle w:val="TableHeadingLeft"/>
            </w:pPr>
            <w:r>
              <w:t>Wave</w:t>
            </w:r>
          </w:p>
        </w:tc>
        <w:tc>
          <w:tcPr>
            <w:tcW w:w="790" w:type="pct"/>
            <w:vMerge w:val="restart"/>
            <w:tcBorders>
              <w:bottom w:val="none" w:sz="0" w:space="0" w:color="auto"/>
            </w:tcBorders>
          </w:tcPr>
          <w:p w14:paraId="56075252" w14:textId="59A662E0" w:rsidR="00C26534" w:rsidRPr="00625570" w:rsidRDefault="00C26534" w:rsidP="001A2AF7">
            <w:pPr>
              <w:pStyle w:val="TableHeadingCentered"/>
              <w:cnfStyle w:val="100000000000" w:firstRow="1" w:lastRow="0" w:firstColumn="0" w:lastColumn="0" w:oddVBand="0" w:evenVBand="0" w:oddHBand="0" w:evenHBand="0" w:firstRowFirstColumn="0" w:firstRowLastColumn="0" w:lastRowFirstColumn="0" w:lastRowLastColumn="0"/>
            </w:pPr>
            <w:r>
              <w:t>Sampling Stratum</w:t>
            </w:r>
          </w:p>
        </w:tc>
        <w:tc>
          <w:tcPr>
            <w:tcW w:w="1349" w:type="pct"/>
            <w:vMerge w:val="restart"/>
            <w:tcBorders>
              <w:bottom w:val="none" w:sz="0" w:space="0" w:color="auto"/>
            </w:tcBorders>
          </w:tcPr>
          <w:p w14:paraId="71EDFF89" w14:textId="4726FD0F" w:rsidR="00C26534" w:rsidRPr="00625570" w:rsidRDefault="00C26534" w:rsidP="001A2AF7">
            <w:pPr>
              <w:pStyle w:val="TableHeadingCentered"/>
              <w:cnfStyle w:val="100000000000" w:firstRow="1" w:lastRow="0" w:firstColumn="0" w:lastColumn="0" w:oddVBand="0" w:evenVBand="0" w:oddHBand="0" w:evenHBand="0" w:firstRowFirstColumn="0" w:firstRowLastColumn="0" w:lastRowFirstColumn="0" w:lastRowLastColumn="0"/>
            </w:pPr>
            <w:r>
              <w:t>Savings Range</w:t>
            </w:r>
          </w:p>
        </w:tc>
        <w:tc>
          <w:tcPr>
            <w:tcW w:w="1286" w:type="pct"/>
            <w:gridSpan w:val="2"/>
            <w:tcBorders>
              <w:bottom w:val="none" w:sz="0" w:space="0" w:color="auto"/>
            </w:tcBorders>
          </w:tcPr>
          <w:p w14:paraId="52710C40" w14:textId="4F54AF06" w:rsidR="00C26534" w:rsidRPr="00C26534" w:rsidRDefault="00C26534" w:rsidP="00C26534">
            <w:pPr>
              <w:pStyle w:val="TableHeadingCentered"/>
              <w:cnfStyle w:val="100000000000" w:firstRow="1" w:lastRow="0" w:firstColumn="0" w:lastColumn="0" w:oddVBand="0" w:evenVBand="0" w:oddHBand="0" w:evenHBand="0" w:firstRowFirstColumn="0" w:firstRowLastColumn="0" w:lastRowFirstColumn="0" w:lastRowLastColumn="0"/>
              <w:rPr>
                <w:iCs w:val="0"/>
              </w:rPr>
            </w:pPr>
            <w:r>
              <w:t>Population of Projects</w:t>
            </w:r>
          </w:p>
        </w:tc>
        <w:tc>
          <w:tcPr>
            <w:tcW w:w="1286" w:type="pct"/>
            <w:gridSpan w:val="2"/>
            <w:tcBorders>
              <w:bottom w:val="none" w:sz="0" w:space="0" w:color="auto"/>
            </w:tcBorders>
          </w:tcPr>
          <w:p w14:paraId="6D6D6813" w14:textId="77861493" w:rsidR="00C26534" w:rsidRPr="00C26534" w:rsidRDefault="00C26534" w:rsidP="00C26534">
            <w:pPr>
              <w:pStyle w:val="TableHeadingCentered"/>
              <w:cnfStyle w:val="100000000000" w:firstRow="1" w:lastRow="0" w:firstColumn="0" w:lastColumn="0" w:oddVBand="0" w:evenVBand="0" w:oddHBand="0" w:evenHBand="0" w:firstRowFirstColumn="0" w:firstRowLastColumn="0" w:lastRowFirstColumn="0" w:lastRowLastColumn="0"/>
              <w:rPr>
                <w:iCs w:val="0"/>
              </w:rPr>
            </w:pPr>
            <w:r>
              <w:t>Completed Reviews</w:t>
            </w:r>
          </w:p>
        </w:tc>
      </w:tr>
      <w:tr w:rsidR="00C26534" w14:paraId="75D6BE5F" w14:textId="77777777" w:rsidTr="00E3116D">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shd w:val="clear" w:color="auto" w:fill="053572" w:themeFill="text2"/>
          </w:tcPr>
          <w:p w14:paraId="1055F5FA" w14:textId="099E5A36" w:rsidR="00C26534" w:rsidRPr="00625570" w:rsidRDefault="00C26534" w:rsidP="001A2AF7">
            <w:pPr>
              <w:pStyle w:val="TableLeftText"/>
            </w:pPr>
          </w:p>
        </w:tc>
        <w:tc>
          <w:tcPr>
            <w:tcW w:w="790" w:type="pct"/>
            <w:vMerge/>
            <w:tcBorders>
              <w:top w:val="none" w:sz="0" w:space="0" w:color="auto"/>
              <w:left w:val="none" w:sz="0" w:space="0" w:color="auto"/>
              <w:bottom w:val="none" w:sz="0" w:space="0" w:color="auto"/>
              <w:right w:val="none" w:sz="0" w:space="0" w:color="auto"/>
            </w:tcBorders>
            <w:shd w:val="clear" w:color="auto" w:fill="053572" w:themeFill="text2"/>
          </w:tcPr>
          <w:p w14:paraId="4CCA291F" w14:textId="77777777" w:rsidR="00C26534" w:rsidRPr="000B7901" w:rsidRDefault="00C26534"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1349" w:type="pct"/>
            <w:vMerge/>
            <w:tcBorders>
              <w:top w:val="none" w:sz="0" w:space="0" w:color="auto"/>
              <w:left w:val="none" w:sz="0" w:space="0" w:color="auto"/>
              <w:bottom w:val="none" w:sz="0" w:space="0" w:color="auto"/>
              <w:right w:val="none" w:sz="0" w:space="0" w:color="auto"/>
            </w:tcBorders>
            <w:shd w:val="clear" w:color="auto" w:fill="053572" w:themeFill="text2"/>
          </w:tcPr>
          <w:p w14:paraId="02987809" w14:textId="77777777" w:rsidR="00C26534" w:rsidRPr="000B7901" w:rsidRDefault="00C26534" w:rsidP="001A2AF7">
            <w:pPr>
              <w:pStyle w:val="TableCenterText"/>
              <w:cnfStyle w:val="000000100000" w:firstRow="0" w:lastRow="0" w:firstColumn="0" w:lastColumn="0" w:oddVBand="0" w:evenVBand="0" w:oddHBand="1" w:evenHBand="0" w:firstRowFirstColumn="0" w:firstRowLastColumn="0" w:lastRowFirstColumn="0" w:lastRowLastColumn="0"/>
            </w:pPr>
          </w:p>
        </w:tc>
        <w:tc>
          <w:tcPr>
            <w:tcW w:w="602" w:type="pct"/>
            <w:tcBorders>
              <w:top w:val="none" w:sz="0" w:space="0" w:color="auto"/>
              <w:left w:val="none" w:sz="0" w:space="0" w:color="auto"/>
              <w:bottom w:val="none" w:sz="0" w:space="0" w:color="auto"/>
              <w:right w:val="none" w:sz="0" w:space="0" w:color="auto"/>
            </w:tcBorders>
            <w:shd w:val="clear" w:color="auto" w:fill="053572" w:themeFill="text2"/>
          </w:tcPr>
          <w:p w14:paraId="3A6757A5" w14:textId="4C904BE5" w:rsidR="00C26534" w:rsidRPr="000B7901" w:rsidRDefault="00C26534" w:rsidP="00C26534">
            <w:pPr>
              <w:pStyle w:val="TableHeadingCentered"/>
              <w:cnfStyle w:val="000000100000" w:firstRow="0" w:lastRow="0" w:firstColumn="0" w:lastColumn="0" w:oddVBand="0" w:evenVBand="0" w:oddHBand="1" w:evenHBand="0" w:firstRowFirstColumn="0" w:firstRowLastColumn="0" w:lastRowFirstColumn="0" w:lastRowLastColumn="0"/>
            </w:pPr>
            <w:r>
              <w:t>Project Count</w:t>
            </w:r>
          </w:p>
        </w:tc>
        <w:tc>
          <w:tcPr>
            <w:tcW w:w="684" w:type="pct"/>
            <w:tcBorders>
              <w:top w:val="none" w:sz="0" w:space="0" w:color="auto"/>
              <w:left w:val="none" w:sz="0" w:space="0" w:color="auto"/>
              <w:bottom w:val="none" w:sz="0" w:space="0" w:color="auto"/>
              <w:right w:val="none" w:sz="0" w:space="0" w:color="auto"/>
            </w:tcBorders>
            <w:shd w:val="clear" w:color="auto" w:fill="053572" w:themeFill="text2"/>
          </w:tcPr>
          <w:p w14:paraId="2E41A8B8" w14:textId="1CA7E566" w:rsidR="00C26534" w:rsidRPr="000B7901" w:rsidRDefault="00C26534" w:rsidP="00C26534">
            <w:pPr>
              <w:pStyle w:val="TableHeadingCentered"/>
              <w:cnfStyle w:val="000000100000" w:firstRow="0" w:lastRow="0" w:firstColumn="0" w:lastColumn="0" w:oddVBand="0" w:evenVBand="0" w:oddHBand="1" w:evenHBand="0" w:firstRowFirstColumn="0" w:firstRowLastColumn="0" w:lastRowFirstColumn="0" w:lastRowLastColumn="0"/>
            </w:pPr>
            <w:r>
              <w:t>Ex Ante Therms</w:t>
            </w:r>
          </w:p>
        </w:tc>
        <w:tc>
          <w:tcPr>
            <w:tcW w:w="602" w:type="pct"/>
            <w:tcBorders>
              <w:top w:val="none" w:sz="0" w:space="0" w:color="auto"/>
              <w:left w:val="none" w:sz="0" w:space="0" w:color="auto"/>
              <w:bottom w:val="none" w:sz="0" w:space="0" w:color="auto"/>
              <w:right w:val="none" w:sz="0" w:space="0" w:color="auto"/>
            </w:tcBorders>
            <w:shd w:val="clear" w:color="auto" w:fill="053572" w:themeFill="text2"/>
          </w:tcPr>
          <w:p w14:paraId="27F25E35" w14:textId="7A008CF5" w:rsidR="00C26534" w:rsidRPr="000B7901" w:rsidRDefault="00C26534" w:rsidP="00C26534">
            <w:pPr>
              <w:pStyle w:val="TableHeadingCentered"/>
              <w:cnfStyle w:val="000000100000" w:firstRow="0" w:lastRow="0" w:firstColumn="0" w:lastColumn="0" w:oddVBand="0" w:evenVBand="0" w:oddHBand="1" w:evenHBand="0" w:firstRowFirstColumn="0" w:firstRowLastColumn="0" w:lastRowFirstColumn="0" w:lastRowLastColumn="0"/>
            </w:pPr>
            <w:r>
              <w:t>Project Count</w:t>
            </w:r>
          </w:p>
        </w:tc>
        <w:tc>
          <w:tcPr>
            <w:tcW w:w="684" w:type="pct"/>
            <w:tcBorders>
              <w:top w:val="none" w:sz="0" w:space="0" w:color="auto"/>
              <w:left w:val="none" w:sz="0" w:space="0" w:color="auto"/>
              <w:bottom w:val="none" w:sz="0" w:space="0" w:color="auto"/>
              <w:right w:val="none" w:sz="0" w:space="0" w:color="auto"/>
            </w:tcBorders>
            <w:shd w:val="clear" w:color="auto" w:fill="053572" w:themeFill="text2"/>
          </w:tcPr>
          <w:p w14:paraId="1814ED0D" w14:textId="11FE3802" w:rsidR="00C26534" w:rsidRPr="000B7901" w:rsidRDefault="00C26534" w:rsidP="00C26534">
            <w:pPr>
              <w:pStyle w:val="TableHeadingCentered"/>
              <w:cnfStyle w:val="000000100000" w:firstRow="0" w:lastRow="0" w:firstColumn="0" w:lastColumn="0" w:oddVBand="0" w:evenVBand="0" w:oddHBand="1" w:evenHBand="0" w:firstRowFirstColumn="0" w:firstRowLastColumn="0" w:lastRowFirstColumn="0" w:lastRowLastColumn="0"/>
            </w:pPr>
            <w:r>
              <w:t>Ex Ante Therms</w:t>
            </w:r>
          </w:p>
        </w:tc>
      </w:tr>
      <w:tr w:rsidR="00F93E47" w14:paraId="1CC86E6B" w14:textId="77777777" w:rsidTr="00BB518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tcPr>
          <w:p w14:paraId="4A523A9F" w14:textId="54CE82B2" w:rsidR="00F93E47" w:rsidRPr="00625570" w:rsidRDefault="00F93E47" w:rsidP="00E3116D">
            <w:pPr>
              <w:pStyle w:val="TableLeftText"/>
              <w:jc w:val="center"/>
            </w:pPr>
            <w:r>
              <w:t>1</w:t>
            </w:r>
          </w:p>
        </w:tc>
        <w:tc>
          <w:tcPr>
            <w:tcW w:w="790" w:type="pct"/>
            <w:tcBorders>
              <w:top w:val="none" w:sz="0" w:space="0" w:color="auto"/>
              <w:left w:val="none" w:sz="0" w:space="0" w:color="auto"/>
              <w:bottom w:val="none" w:sz="0" w:space="0" w:color="auto"/>
              <w:right w:val="none" w:sz="0" w:space="0" w:color="auto"/>
            </w:tcBorders>
          </w:tcPr>
          <w:p w14:paraId="4F9FC632" w14:textId="3E0F523D"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1349" w:type="pct"/>
            <w:tcBorders>
              <w:top w:val="none" w:sz="0" w:space="0" w:color="auto"/>
              <w:left w:val="none" w:sz="0" w:space="0" w:color="auto"/>
              <w:bottom w:val="none" w:sz="0" w:space="0" w:color="auto"/>
              <w:right w:val="none" w:sz="0" w:space="0" w:color="auto"/>
            </w:tcBorders>
          </w:tcPr>
          <w:p w14:paraId="3F833D3D" w14:textId="1FD011E4"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Census</w:t>
            </w:r>
          </w:p>
        </w:tc>
        <w:tc>
          <w:tcPr>
            <w:tcW w:w="602" w:type="pct"/>
            <w:tcBorders>
              <w:top w:val="none" w:sz="0" w:space="0" w:color="auto"/>
              <w:left w:val="none" w:sz="0" w:space="0" w:color="auto"/>
              <w:bottom w:val="none" w:sz="0" w:space="0" w:color="auto"/>
              <w:right w:val="none" w:sz="0" w:space="0" w:color="auto"/>
            </w:tcBorders>
          </w:tcPr>
          <w:p w14:paraId="1AFBC097" w14:textId="41766E00" w:rsidR="00F93E47" w:rsidRPr="000B7901" w:rsidRDefault="00F93E47" w:rsidP="00E3116D">
            <w:pPr>
              <w:pStyle w:val="TableCenterText"/>
              <w:jc w:val="right"/>
              <w:cnfStyle w:val="000000010000" w:firstRow="0" w:lastRow="0" w:firstColumn="0" w:lastColumn="0" w:oddVBand="0" w:evenVBand="0" w:oddHBand="0" w:evenHBand="1" w:firstRowFirstColumn="0" w:firstRowLastColumn="0" w:lastRowFirstColumn="0" w:lastRowLastColumn="0"/>
            </w:pPr>
            <w:r>
              <w:t>9</w:t>
            </w:r>
          </w:p>
        </w:tc>
        <w:tc>
          <w:tcPr>
            <w:tcW w:w="684" w:type="pct"/>
            <w:tcBorders>
              <w:top w:val="none" w:sz="0" w:space="0" w:color="auto"/>
              <w:left w:val="none" w:sz="0" w:space="0" w:color="auto"/>
              <w:bottom w:val="none" w:sz="0" w:space="0" w:color="auto"/>
              <w:right w:val="none" w:sz="0" w:space="0" w:color="auto"/>
            </w:tcBorders>
          </w:tcPr>
          <w:p w14:paraId="28D1152B" w14:textId="3380C063"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59,615</w:t>
            </w:r>
          </w:p>
        </w:tc>
        <w:tc>
          <w:tcPr>
            <w:tcW w:w="602" w:type="pct"/>
            <w:tcBorders>
              <w:top w:val="none" w:sz="0" w:space="0" w:color="auto"/>
              <w:left w:val="none" w:sz="0" w:space="0" w:color="auto"/>
              <w:bottom w:val="none" w:sz="0" w:space="0" w:color="auto"/>
              <w:right w:val="none" w:sz="0" w:space="0" w:color="auto"/>
            </w:tcBorders>
          </w:tcPr>
          <w:p w14:paraId="7825DB73" w14:textId="39920331"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t>9</w:t>
            </w:r>
          </w:p>
        </w:tc>
        <w:tc>
          <w:tcPr>
            <w:tcW w:w="684" w:type="pct"/>
            <w:tcBorders>
              <w:top w:val="none" w:sz="0" w:space="0" w:color="auto"/>
              <w:left w:val="none" w:sz="0" w:space="0" w:color="auto"/>
              <w:bottom w:val="none" w:sz="0" w:space="0" w:color="auto"/>
              <w:right w:val="none" w:sz="0" w:space="0" w:color="auto"/>
            </w:tcBorders>
          </w:tcPr>
          <w:p w14:paraId="5F60B9E5" w14:textId="468420C4"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59,615</w:t>
            </w:r>
          </w:p>
        </w:tc>
      </w:tr>
      <w:tr w:rsidR="00F93E47" w14:paraId="120D8110" w14:textId="77777777" w:rsidTr="00BB518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5040CBBF" w14:textId="7CEA280C" w:rsidR="00F93E47" w:rsidRPr="00625570" w:rsidRDefault="00F93E47" w:rsidP="00E3116D">
            <w:pPr>
              <w:pStyle w:val="TableLeftText"/>
              <w:jc w:val="center"/>
            </w:pPr>
          </w:p>
        </w:tc>
        <w:tc>
          <w:tcPr>
            <w:tcW w:w="2139" w:type="pct"/>
            <w:gridSpan w:val="2"/>
            <w:tcBorders>
              <w:top w:val="none" w:sz="0" w:space="0" w:color="auto"/>
              <w:left w:val="none" w:sz="0" w:space="0" w:color="auto"/>
              <w:bottom w:val="none" w:sz="0" w:space="0" w:color="auto"/>
              <w:right w:val="none" w:sz="0" w:space="0" w:color="auto"/>
            </w:tcBorders>
          </w:tcPr>
          <w:p w14:paraId="70F182AF" w14:textId="7C36CC4C" w:rsidR="00F93E47" w:rsidRPr="00E3116D" w:rsidRDefault="00F93E47" w:rsidP="00BB5189">
            <w:pPr>
              <w:pStyle w:val="TableRightText"/>
              <w:jc w:val="left"/>
              <w:cnfStyle w:val="000000100000" w:firstRow="0" w:lastRow="0" w:firstColumn="0" w:lastColumn="0" w:oddVBand="0" w:evenVBand="0" w:oddHBand="1" w:evenHBand="0" w:firstRowFirstColumn="0" w:firstRowLastColumn="0" w:lastRowFirstColumn="0" w:lastRowLastColumn="0"/>
              <w:rPr>
                <w:i/>
                <w:iCs/>
              </w:rPr>
            </w:pPr>
            <w:r w:rsidRPr="00E3116D">
              <w:rPr>
                <w:i/>
                <w:iCs/>
              </w:rPr>
              <w:t>Subtotal</w:t>
            </w:r>
          </w:p>
        </w:tc>
        <w:tc>
          <w:tcPr>
            <w:tcW w:w="602" w:type="pct"/>
            <w:tcBorders>
              <w:top w:val="none" w:sz="0" w:space="0" w:color="auto"/>
              <w:left w:val="none" w:sz="0" w:space="0" w:color="auto"/>
              <w:bottom w:val="none" w:sz="0" w:space="0" w:color="auto"/>
              <w:right w:val="none" w:sz="0" w:space="0" w:color="auto"/>
            </w:tcBorders>
          </w:tcPr>
          <w:p w14:paraId="02FBC51B" w14:textId="7766CE6A" w:rsidR="00F93E47" w:rsidRPr="00E3116D" w:rsidRDefault="00F93E47"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9</w:t>
            </w:r>
          </w:p>
        </w:tc>
        <w:tc>
          <w:tcPr>
            <w:tcW w:w="684" w:type="pct"/>
            <w:tcBorders>
              <w:top w:val="none" w:sz="0" w:space="0" w:color="auto"/>
              <w:left w:val="none" w:sz="0" w:space="0" w:color="auto"/>
              <w:bottom w:val="none" w:sz="0" w:space="0" w:color="auto"/>
              <w:right w:val="none" w:sz="0" w:space="0" w:color="auto"/>
            </w:tcBorders>
          </w:tcPr>
          <w:p w14:paraId="7C2F7413" w14:textId="48ED2658"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59,615</w:t>
            </w:r>
          </w:p>
        </w:tc>
        <w:tc>
          <w:tcPr>
            <w:tcW w:w="602" w:type="pct"/>
            <w:tcBorders>
              <w:top w:val="none" w:sz="0" w:space="0" w:color="auto"/>
              <w:left w:val="none" w:sz="0" w:space="0" w:color="auto"/>
              <w:bottom w:val="none" w:sz="0" w:space="0" w:color="auto"/>
              <w:right w:val="none" w:sz="0" w:space="0" w:color="auto"/>
            </w:tcBorders>
          </w:tcPr>
          <w:p w14:paraId="4384EA86" w14:textId="31914E90"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9</w:t>
            </w:r>
          </w:p>
        </w:tc>
        <w:tc>
          <w:tcPr>
            <w:tcW w:w="684" w:type="pct"/>
            <w:tcBorders>
              <w:top w:val="none" w:sz="0" w:space="0" w:color="auto"/>
              <w:left w:val="none" w:sz="0" w:space="0" w:color="auto"/>
              <w:bottom w:val="none" w:sz="0" w:space="0" w:color="auto"/>
              <w:right w:val="none" w:sz="0" w:space="0" w:color="auto"/>
            </w:tcBorders>
          </w:tcPr>
          <w:p w14:paraId="5D25E6A0" w14:textId="10D68D68"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59,615</w:t>
            </w:r>
          </w:p>
        </w:tc>
      </w:tr>
      <w:tr w:rsidR="00F93E47" w14:paraId="2F2DC2C2" w14:textId="77777777" w:rsidTr="00BB518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tcPr>
          <w:p w14:paraId="2B1CFCBC" w14:textId="62CC9BFF" w:rsidR="00F93E47" w:rsidRPr="00625570" w:rsidRDefault="00F93E47" w:rsidP="00E3116D">
            <w:pPr>
              <w:pStyle w:val="TableLeftText"/>
              <w:jc w:val="center"/>
            </w:pPr>
            <w:r>
              <w:t>2</w:t>
            </w:r>
          </w:p>
        </w:tc>
        <w:tc>
          <w:tcPr>
            <w:tcW w:w="790" w:type="pct"/>
            <w:tcBorders>
              <w:top w:val="none" w:sz="0" w:space="0" w:color="auto"/>
              <w:left w:val="none" w:sz="0" w:space="0" w:color="auto"/>
              <w:bottom w:val="none" w:sz="0" w:space="0" w:color="auto"/>
              <w:right w:val="none" w:sz="0" w:space="0" w:color="auto"/>
            </w:tcBorders>
          </w:tcPr>
          <w:p w14:paraId="12187B70" w14:textId="6CD2CDFE"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1349" w:type="pct"/>
            <w:tcBorders>
              <w:top w:val="none" w:sz="0" w:space="0" w:color="auto"/>
              <w:left w:val="none" w:sz="0" w:space="0" w:color="auto"/>
              <w:bottom w:val="none" w:sz="0" w:space="0" w:color="auto"/>
              <w:right w:val="none" w:sz="0" w:space="0" w:color="auto"/>
            </w:tcBorders>
          </w:tcPr>
          <w:p w14:paraId="50442192" w14:textId="1D44B0E7"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Census</w:t>
            </w:r>
          </w:p>
        </w:tc>
        <w:tc>
          <w:tcPr>
            <w:tcW w:w="602" w:type="pct"/>
            <w:tcBorders>
              <w:top w:val="none" w:sz="0" w:space="0" w:color="auto"/>
              <w:left w:val="none" w:sz="0" w:space="0" w:color="auto"/>
              <w:bottom w:val="none" w:sz="0" w:space="0" w:color="auto"/>
              <w:right w:val="none" w:sz="0" w:space="0" w:color="auto"/>
            </w:tcBorders>
          </w:tcPr>
          <w:p w14:paraId="1E979E5A" w14:textId="3E099F3C" w:rsidR="00F93E47" w:rsidRPr="000B7901" w:rsidRDefault="00F93E47" w:rsidP="00E3116D">
            <w:pPr>
              <w:pStyle w:val="TableCenterText"/>
              <w:jc w:val="right"/>
              <w:cnfStyle w:val="000000010000" w:firstRow="0" w:lastRow="0" w:firstColumn="0" w:lastColumn="0" w:oddVBand="0" w:evenVBand="0" w:oddHBand="0" w:evenHBand="1" w:firstRowFirstColumn="0" w:firstRowLastColumn="0" w:lastRowFirstColumn="0" w:lastRowLastColumn="0"/>
            </w:pPr>
            <w:r>
              <w:t>5</w:t>
            </w:r>
          </w:p>
        </w:tc>
        <w:tc>
          <w:tcPr>
            <w:tcW w:w="684" w:type="pct"/>
            <w:tcBorders>
              <w:top w:val="none" w:sz="0" w:space="0" w:color="auto"/>
              <w:left w:val="none" w:sz="0" w:space="0" w:color="auto"/>
              <w:bottom w:val="none" w:sz="0" w:space="0" w:color="auto"/>
              <w:right w:val="none" w:sz="0" w:space="0" w:color="auto"/>
            </w:tcBorders>
          </w:tcPr>
          <w:p w14:paraId="60C8CC7B" w14:textId="5F68DB70"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124,837</w:t>
            </w:r>
          </w:p>
        </w:tc>
        <w:tc>
          <w:tcPr>
            <w:tcW w:w="602" w:type="pct"/>
            <w:tcBorders>
              <w:top w:val="none" w:sz="0" w:space="0" w:color="auto"/>
              <w:left w:val="none" w:sz="0" w:space="0" w:color="auto"/>
              <w:bottom w:val="none" w:sz="0" w:space="0" w:color="auto"/>
              <w:right w:val="none" w:sz="0" w:space="0" w:color="auto"/>
            </w:tcBorders>
          </w:tcPr>
          <w:p w14:paraId="125980D9" w14:textId="2E7FBA0A"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t>5</w:t>
            </w:r>
          </w:p>
        </w:tc>
        <w:tc>
          <w:tcPr>
            <w:tcW w:w="684" w:type="pct"/>
            <w:tcBorders>
              <w:top w:val="none" w:sz="0" w:space="0" w:color="auto"/>
              <w:left w:val="none" w:sz="0" w:space="0" w:color="auto"/>
              <w:bottom w:val="none" w:sz="0" w:space="0" w:color="auto"/>
              <w:right w:val="none" w:sz="0" w:space="0" w:color="auto"/>
            </w:tcBorders>
          </w:tcPr>
          <w:p w14:paraId="0EB0C978" w14:textId="1A67255D"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124,837</w:t>
            </w:r>
          </w:p>
        </w:tc>
      </w:tr>
      <w:tr w:rsidR="00F93E47" w14:paraId="3641E5E3" w14:textId="77777777" w:rsidTr="00BB518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09954EDE" w14:textId="2B8DE07F" w:rsidR="00F93E47" w:rsidRPr="00625570" w:rsidRDefault="00F93E47" w:rsidP="00E3116D">
            <w:pPr>
              <w:pStyle w:val="TableLeftText"/>
              <w:jc w:val="center"/>
            </w:pPr>
          </w:p>
        </w:tc>
        <w:tc>
          <w:tcPr>
            <w:tcW w:w="2139" w:type="pct"/>
            <w:gridSpan w:val="2"/>
            <w:tcBorders>
              <w:top w:val="none" w:sz="0" w:space="0" w:color="auto"/>
              <w:left w:val="none" w:sz="0" w:space="0" w:color="auto"/>
              <w:bottom w:val="none" w:sz="0" w:space="0" w:color="auto"/>
              <w:right w:val="none" w:sz="0" w:space="0" w:color="auto"/>
            </w:tcBorders>
          </w:tcPr>
          <w:p w14:paraId="400337B2" w14:textId="09E339CF" w:rsidR="00F93E47" w:rsidRPr="00E3116D" w:rsidRDefault="00F93E47" w:rsidP="00BB5189">
            <w:pPr>
              <w:pStyle w:val="TableRightText"/>
              <w:jc w:val="left"/>
              <w:cnfStyle w:val="000000100000" w:firstRow="0" w:lastRow="0" w:firstColumn="0" w:lastColumn="0" w:oddVBand="0" w:evenVBand="0" w:oddHBand="1" w:evenHBand="0" w:firstRowFirstColumn="0" w:firstRowLastColumn="0" w:lastRowFirstColumn="0" w:lastRowLastColumn="0"/>
              <w:rPr>
                <w:i/>
                <w:iCs/>
              </w:rPr>
            </w:pPr>
            <w:r w:rsidRPr="00E3116D">
              <w:rPr>
                <w:i/>
                <w:iCs/>
              </w:rPr>
              <w:t>Subtotal</w:t>
            </w:r>
          </w:p>
        </w:tc>
        <w:tc>
          <w:tcPr>
            <w:tcW w:w="602" w:type="pct"/>
            <w:tcBorders>
              <w:top w:val="none" w:sz="0" w:space="0" w:color="auto"/>
              <w:left w:val="none" w:sz="0" w:space="0" w:color="auto"/>
              <w:bottom w:val="none" w:sz="0" w:space="0" w:color="auto"/>
              <w:right w:val="none" w:sz="0" w:space="0" w:color="auto"/>
            </w:tcBorders>
          </w:tcPr>
          <w:p w14:paraId="3158DA44" w14:textId="122E9BD6" w:rsidR="00F93E47" w:rsidRPr="00E3116D" w:rsidRDefault="00F93E47"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5</w:t>
            </w:r>
          </w:p>
        </w:tc>
        <w:tc>
          <w:tcPr>
            <w:tcW w:w="684" w:type="pct"/>
            <w:tcBorders>
              <w:top w:val="none" w:sz="0" w:space="0" w:color="auto"/>
              <w:left w:val="none" w:sz="0" w:space="0" w:color="auto"/>
              <w:bottom w:val="none" w:sz="0" w:space="0" w:color="auto"/>
              <w:right w:val="none" w:sz="0" w:space="0" w:color="auto"/>
            </w:tcBorders>
          </w:tcPr>
          <w:p w14:paraId="567C73B7" w14:textId="4C1904E4"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124,837</w:t>
            </w:r>
          </w:p>
        </w:tc>
        <w:tc>
          <w:tcPr>
            <w:tcW w:w="602" w:type="pct"/>
            <w:tcBorders>
              <w:top w:val="none" w:sz="0" w:space="0" w:color="auto"/>
              <w:left w:val="none" w:sz="0" w:space="0" w:color="auto"/>
              <w:bottom w:val="none" w:sz="0" w:space="0" w:color="auto"/>
              <w:right w:val="none" w:sz="0" w:space="0" w:color="auto"/>
            </w:tcBorders>
          </w:tcPr>
          <w:p w14:paraId="7F701B54" w14:textId="7510CF4C"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5</w:t>
            </w:r>
          </w:p>
        </w:tc>
        <w:tc>
          <w:tcPr>
            <w:tcW w:w="684" w:type="pct"/>
            <w:tcBorders>
              <w:top w:val="none" w:sz="0" w:space="0" w:color="auto"/>
              <w:left w:val="none" w:sz="0" w:space="0" w:color="auto"/>
              <w:bottom w:val="none" w:sz="0" w:space="0" w:color="auto"/>
              <w:right w:val="none" w:sz="0" w:space="0" w:color="auto"/>
            </w:tcBorders>
          </w:tcPr>
          <w:p w14:paraId="0AD55C48" w14:textId="0D33FAAA" w:rsidR="00F93E47" w:rsidRPr="00E3116D"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rPr>
                <w:i/>
                <w:iCs/>
              </w:rPr>
            </w:pPr>
            <w:r w:rsidRPr="00E3116D">
              <w:rPr>
                <w:i/>
                <w:iCs/>
              </w:rPr>
              <w:t>124,837</w:t>
            </w:r>
          </w:p>
        </w:tc>
      </w:tr>
      <w:tr w:rsidR="00F93E47" w14:paraId="3E618F8A" w14:textId="77777777" w:rsidTr="00BB518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val="restart"/>
            <w:tcBorders>
              <w:top w:val="none" w:sz="0" w:space="0" w:color="auto"/>
              <w:left w:val="none" w:sz="0" w:space="0" w:color="auto"/>
              <w:bottom w:val="none" w:sz="0" w:space="0" w:color="auto"/>
              <w:right w:val="none" w:sz="0" w:space="0" w:color="auto"/>
            </w:tcBorders>
          </w:tcPr>
          <w:p w14:paraId="191D03FE" w14:textId="564846B1" w:rsidR="00F93E47" w:rsidRPr="00625570" w:rsidRDefault="00F93E47" w:rsidP="00E3116D">
            <w:pPr>
              <w:pStyle w:val="TableLeftText"/>
              <w:jc w:val="center"/>
            </w:pPr>
            <w:r>
              <w:t>3</w:t>
            </w:r>
          </w:p>
        </w:tc>
        <w:tc>
          <w:tcPr>
            <w:tcW w:w="790" w:type="pct"/>
            <w:tcBorders>
              <w:top w:val="none" w:sz="0" w:space="0" w:color="auto"/>
              <w:left w:val="none" w:sz="0" w:space="0" w:color="auto"/>
              <w:bottom w:val="none" w:sz="0" w:space="0" w:color="auto"/>
              <w:right w:val="none" w:sz="0" w:space="0" w:color="auto"/>
            </w:tcBorders>
          </w:tcPr>
          <w:p w14:paraId="092EE88A" w14:textId="6E356F53"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1</w:t>
            </w:r>
          </w:p>
        </w:tc>
        <w:tc>
          <w:tcPr>
            <w:tcW w:w="1349" w:type="pct"/>
            <w:tcBorders>
              <w:top w:val="none" w:sz="0" w:space="0" w:color="auto"/>
              <w:left w:val="none" w:sz="0" w:space="0" w:color="auto"/>
              <w:bottom w:val="none" w:sz="0" w:space="0" w:color="auto"/>
              <w:right w:val="none" w:sz="0" w:space="0" w:color="auto"/>
            </w:tcBorders>
          </w:tcPr>
          <w:p w14:paraId="679BB1A0" w14:textId="5675E585"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&lt;15,856 therms</w:t>
            </w:r>
          </w:p>
        </w:tc>
        <w:tc>
          <w:tcPr>
            <w:tcW w:w="602" w:type="pct"/>
            <w:tcBorders>
              <w:top w:val="none" w:sz="0" w:space="0" w:color="auto"/>
              <w:left w:val="none" w:sz="0" w:space="0" w:color="auto"/>
              <w:bottom w:val="none" w:sz="0" w:space="0" w:color="auto"/>
              <w:right w:val="none" w:sz="0" w:space="0" w:color="auto"/>
            </w:tcBorders>
          </w:tcPr>
          <w:p w14:paraId="579281A1" w14:textId="7799EC1A" w:rsidR="00F93E47" w:rsidRPr="000B7901" w:rsidRDefault="00F93E47" w:rsidP="00E3116D">
            <w:pPr>
              <w:pStyle w:val="TableCenterText"/>
              <w:jc w:val="right"/>
              <w:cnfStyle w:val="000000010000" w:firstRow="0" w:lastRow="0" w:firstColumn="0" w:lastColumn="0" w:oddVBand="0" w:evenVBand="0" w:oddHBand="0" w:evenHBand="1" w:firstRowFirstColumn="0" w:firstRowLastColumn="0" w:lastRowFirstColumn="0" w:lastRowLastColumn="0"/>
            </w:pPr>
            <w:r>
              <w:t>15</w:t>
            </w:r>
          </w:p>
        </w:tc>
        <w:tc>
          <w:tcPr>
            <w:tcW w:w="684" w:type="pct"/>
            <w:tcBorders>
              <w:top w:val="none" w:sz="0" w:space="0" w:color="auto"/>
              <w:left w:val="none" w:sz="0" w:space="0" w:color="auto"/>
              <w:bottom w:val="none" w:sz="0" w:space="0" w:color="auto"/>
              <w:right w:val="none" w:sz="0" w:space="0" w:color="auto"/>
            </w:tcBorders>
          </w:tcPr>
          <w:p w14:paraId="5AFA2981" w14:textId="104BA8C4"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94,133</w:t>
            </w:r>
          </w:p>
        </w:tc>
        <w:tc>
          <w:tcPr>
            <w:tcW w:w="602" w:type="pct"/>
            <w:tcBorders>
              <w:top w:val="none" w:sz="0" w:space="0" w:color="auto"/>
              <w:left w:val="none" w:sz="0" w:space="0" w:color="auto"/>
              <w:bottom w:val="none" w:sz="0" w:space="0" w:color="auto"/>
              <w:right w:val="none" w:sz="0" w:space="0" w:color="auto"/>
            </w:tcBorders>
          </w:tcPr>
          <w:p w14:paraId="4A1726A9" w14:textId="20ED8342"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t>1</w:t>
            </w:r>
          </w:p>
        </w:tc>
        <w:tc>
          <w:tcPr>
            <w:tcW w:w="684" w:type="pct"/>
            <w:tcBorders>
              <w:top w:val="none" w:sz="0" w:space="0" w:color="auto"/>
              <w:left w:val="none" w:sz="0" w:space="0" w:color="auto"/>
              <w:bottom w:val="none" w:sz="0" w:space="0" w:color="auto"/>
              <w:right w:val="none" w:sz="0" w:space="0" w:color="auto"/>
            </w:tcBorders>
          </w:tcPr>
          <w:p w14:paraId="7532F157" w14:textId="2C2A866B"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9,524</w:t>
            </w:r>
          </w:p>
        </w:tc>
      </w:tr>
      <w:tr w:rsidR="00F93E47" w14:paraId="4B54D9C0" w14:textId="77777777" w:rsidTr="00BB518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77DFC577" w14:textId="77777777" w:rsidR="00F93E47" w:rsidRDefault="00F93E47" w:rsidP="001A2AF7">
            <w:pPr>
              <w:pStyle w:val="TableLeftText"/>
            </w:pPr>
          </w:p>
        </w:tc>
        <w:tc>
          <w:tcPr>
            <w:tcW w:w="790" w:type="pct"/>
            <w:tcBorders>
              <w:top w:val="none" w:sz="0" w:space="0" w:color="auto"/>
              <w:left w:val="none" w:sz="0" w:space="0" w:color="auto"/>
              <w:bottom w:val="none" w:sz="0" w:space="0" w:color="auto"/>
              <w:right w:val="none" w:sz="0" w:space="0" w:color="auto"/>
            </w:tcBorders>
          </w:tcPr>
          <w:p w14:paraId="5EA75460" w14:textId="12FCAC48" w:rsidR="00F93E47" w:rsidRPr="000B7901" w:rsidRDefault="00F93E47" w:rsidP="00BB5189">
            <w:pPr>
              <w:pStyle w:val="TableCenterText"/>
              <w:cnfStyle w:val="000000100000" w:firstRow="0" w:lastRow="0" w:firstColumn="0" w:lastColumn="0" w:oddVBand="0" w:evenVBand="0" w:oddHBand="1" w:evenHBand="0" w:firstRowFirstColumn="0" w:firstRowLastColumn="0" w:lastRowFirstColumn="0" w:lastRowLastColumn="0"/>
            </w:pPr>
            <w:r>
              <w:t>2</w:t>
            </w:r>
          </w:p>
        </w:tc>
        <w:tc>
          <w:tcPr>
            <w:tcW w:w="1349" w:type="pct"/>
            <w:tcBorders>
              <w:top w:val="none" w:sz="0" w:space="0" w:color="auto"/>
              <w:left w:val="none" w:sz="0" w:space="0" w:color="auto"/>
              <w:bottom w:val="none" w:sz="0" w:space="0" w:color="auto"/>
              <w:right w:val="none" w:sz="0" w:space="0" w:color="auto"/>
            </w:tcBorders>
          </w:tcPr>
          <w:p w14:paraId="545CC150" w14:textId="7F74874F" w:rsidR="00F93E47" w:rsidRPr="000B7901" w:rsidRDefault="00F93E47" w:rsidP="00BB5189">
            <w:pPr>
              <w:pStyle w:val="TableCenterText"/>
              <w:cnfStyle w:val="000000100000" w:firstRow="0" w:lastRow="0" w:firstColumn="0" w:lastColumn="0" w:oddVBand="0" w:evenVBand="0" w:oddHBand="1" w:evenHBand="0" w:firstRowFirstColumn="0" w:firstRowLastColumn="0" w:lastRowFirstColumn="0" w:lastRowLastColumn="0"/>
            </w:pPr>
            <w:r>
              <w:t>&gt;15,856 &amp; &lt;59,719 therms</w:t>
            </w:r>
          </w:p>
        </w:tc>
        <w:tc>
          <w:tcPr>
            <w:tcW w:w="602" w:type="pct"/>
            <w:tcBorders>
              <w:top w:val="none" w:sz="0" w:space="0" w:color="auto"/>
              <w:left w:val="none" w:sz="0" w:space="0" w:color="auto"/>
              <w:bottom w:val="none" w:sz="0" w:space="0" w:color="auto"/>
              <w:right w:val="none" w:sz="0" w:space="0" w:color="auto"/>
            </w:tcBorders>
          </w:tcPr>
          <w:p w14:paraId="0570FD1F" w14:textId="108598AE" w:rsidR="00F93E47" w:rsidRPr="000B7901" w:rsidRDefault="00F93E47" w:rsidP="00E3116D">
            <w:pPr>
              <w:pStyle w:val="TableCenterText"/>
              <w:jc w:val="right"/>
              <w:cnfStyle w:val="000000100000" w:firstRow="0" w:lastRow="0" w:firstColumn="0" w:lastColumn="0" w:oddVBand="0" w:evenVBand="0" w:oddHBand="1" w:evenHBand="0" w:firstRowFirstColumn="0" w:firstRowLastColumn="0" w:lastRowFirstColumn="0" w:lastRowLastColumn="0"/>
            </w:pPr>
            <w:r>
              <w:t>13</w:t>
            </w:r>
          </w:p>
        </w:tc>
        <w:tc>
          <w:tcPr>
            <w:tcW w:w="684" w:type="pct"/>
            <w:tcBorders>
              <w:top w:val="none" w:sz="0" w:space="0" w:color="auto"/>
              <w:left w:val="none" w:sz="0" w:space="0" w:color="auto"/>
              <w:bottom w:val="none" w:sz="0" w:space="0" w:color="auto"/>
              <w:right w:val="none" w:sz="0" w:space="0" w:color="auto"/>
            </w:tcBorders>
          </w:tcPr>
          <w:p w14:paraId="5AAB46AE" w14:textId="4F1B706F"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rsidRPr="00A932A2">
              <w:t>343,224</w:t>
            </w:r>
          </w:p>
        </w:tc>
        <w:tc>
          <w:tcPr>
            <w:tcW w:w="602" w:type="pct"/>
            <w:tcBorders>
              <w:top w:val="none" w:sz="0" w:space="0" w:color="auto"/>
              <w:left w:val="none" w:sz="0" w:space="0" w:color="auto"/>
              <w:bottom w:val="none" w:sz="0" w:space="0" w:color="auto"/>
              <w:right w:val="none" w:sz="0" w:space="0" w:color="auto"/>
            </w:tcBorders>
          </w:tcPr>
          <w:p w14:paraId="77C378CB" w14:textId="52D13D23"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684" w:type="pct"/>
            <w:tcBorders>
              <w:top w:val="none" w:sz="0" w:space="0" w:color="auto"/>
              <w:left w:val="none" w:sz="0" w:space="0" w:color="auto"/>
              <w:bottom w:val="none" w:sz="0" w:space="0" w:color="auto"/>
              <w:right w:val="none" w:sz="0" w:space="0" w:color="auto"/>
            </w:tcBorders>
          </w:tcPr>
          <w:p w14:paraId="20FE000E" w14:textId="5DECC604"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rsidRPr="00A932A2">
              <w:t>40,025</w:t>
            </w:r>
          </w:p>
        </w:tc>
      </w:tr>
      <w:tr w:rsidR="00F93E47" w14:paraId="14231931" w14:textId="77777777" w:rsidTr="00BB518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3B5087C0" w14:textId="77777777" w:rsidR="00F93E47" w:rsidRDefault="00F93E47" w:rsidP="001A2AF7">
            <w:pPr>
              <w:pStyle w:val="TableLeftText"/>
            </w:pPr>
          </w:p>
        </w:tc>
        <w:tc>
          <w:tcPr>
            <w:tcW w:w="790" w:type="pct"/>
            <w:tcBorders>
              <w:top w:val="none" w:sz="0" w:space="0" w:color="auto"/>
              <w:left w:val="none" w:sz="0" w:space="0" w:color="auto"/>
              <w:bottom w:val="none" w:sz="0" w:space="0" w:color="auto"/>
              <w:right w:val="none" w:sz="0" w:space="0" w:color="auto"/>
            </w:tcBorders>
          </w:tcPr>
          <w:p w14:paraId="1B74A6C5" w14:textId="0269F3A4"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t>3</w:t>
            </w:r>
          </w:p>
        </w:tc>
        <w:tc>
          <w:tcPr>
            <w:tcW w:w="1349" w:type="pct"/>
            <w:tcBorders>
              <w:top w:val="none" w:sz="0" w:space="0" w:color="auto"/>
              <w:left w:val="none" w:sz="0" w:space="0" w:color="auto"/>
              <w:bottom w:val="none" w:sz="0" w:space="0" w:color="auto"/>
              <w:right w:val="none" w:sz="0" w:space="0" w:color="auto"/>
            </w:tcBorders>
          </w:tcPr>
          <w:p w14:paraId="652E9B1F" w14:textId="345523A9" w:rsidR="00F93E47" w:rsidRPr="000B7901" w:rsidRDefault="00F93E47" w:rsidP="00BB5189">
            <w:pPr>
              <w:pStyle w:val="TableCenterText"/>
              <w:cnfStyle w:val="000000010000" w:firstRow="0" w:lastRow="0" w:firstColumn="0" w:lastColumn="0" w:oddVBand="0" w:evenVBand="0" w:oddHBand="0" w:evenHBand="1" w:firstRowFirstColumn="0" w:firstRowLastColumn="0" w:lastRowFirstColumn="0" w:lastRowLastColumn="0"/>
            </w:pPr>
            <w:r w:rsidRPr="00F93E47">
              <w:t>&gt; 59,719 &amp; &lt; 1,577,310 therms</w:t>
            </w:r>
          </w:p>
        </w:tc>
        <w:tc>
          <w:tcPr>
            <w:tcW w:w="602" w:type="pct"/>
            <w:tcBorders>
              <w:top w:val="none" w:sz="0" w:space="0" w:color="auto"/>
              <w:left w:val="none" w:sz="0" w:space="0" w:color="auto"/>
              <w:bottom w:val="none" w:sz="0" w:space="0" w:color="auto"/>
              <w:right w:val="none" w:sz="0" w:space="0" w:color="auto"/>
            </w:tcBorders>
          </w:tcPr>
          <w:p w14:paraId="4801E002" w14:textId="703F0068" w:rsidR="00F93E47" w:rsidRPr="000B7901" w:rsidRDefault="00F93E47" w:rsidP="00E3116D">
            <w:pPr>
              <w:pStyle w:val="TableCenterText"/>
              <w:jc w:val="right"/>
              <w:cnfStyle w:val="000000010000" w:firstRow="0" w:lastRow="0" w:firstColumn="0" w:lastColumn="0" w:oddVBand="0" w:evenVBand="0" w:oddHBand="0" w:evenHBand="1" w:firstRowFirstColumn="0" w:firstRowLastColumn="0" w:lastRowFirstColumn="0" w:lastRowLastColumn="0"/>
            </w:pPr>
            <w:r>
              <w:t>5</w:t>
            </w:r>
          </w:p>
        </w:tc>
        <w:tc>
          <w:tcPr>
            <w:tcW w:w="684" w:type="pct"/>
            <w:tcBorders>
              <w:top w:val="none" w:sz="0" w:space="0" w:color="auto"/>
              <w:left w:val="none" w:sz="0" w:space="0" w:color="auto"/>
              <w:bottom w:val="none" w:sz="0" w:space="0" w:color="auto"/>
              <w:right w:val="none" w:sz="0" w:space="0" w:color="auto"/>
            </w:tcBorders>
          </w:tcPr>
          <w:p w14:paraId="0AFB8E36" w14:textId="7A6AF14C"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926,035</w:t>
            </w:r>
          </w:p>
        </w:tc>
        <w:tc>
          <w:tcPr>
            <w:tcW w:w="602" w:type="pct"/>
            <w:tcBorders>
              <w:top w:val="none" w:sz="0" w:space="0" w:color="auto"/>
              <w:left w:val="none" w:sz="0" w:space="0" w:color="auto"/>
              <w:bottom w:val="none" w:sz="0" w:space="0" w:color="auto"/>
              <w:right w:val="none" w:sz="0" w:space="0" w:color="auto"/>
            </w:tcBorders>
          </w:tcPr>
          <w:p w14:paraId="6F8B6D27" w14:textId="40235077"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t>4</w:t>
            </w:r>
          </w:p>
        </w:tc>
        <w:tc>
          <w:tcPr>
            <w:tcW w:w="684" w:type="pct"/>
            <w:tcBorders>
              <w:top w:val="none" w:sz="0" w:space="0" w:color="auto"/>
              <w:left w:val="none" w:sz="0" w:space="0" w:color="auto"/>
              <w:bottom w:val="none" w:sz="0" w:space="0" w:color="auto"/>
              <w:right w:val="none" w:sz="0" w:space="0" w:color="auto"/>
            </w:tcBorders>
          </w:tcPr>
          <w:p w14:paraId="52E77291" w14:textId="75B7D55E" w:rsidR="00F93E47" w:rsidRPr="000B7901"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pPr>
            <w:r w:rsidRPr="00A932A2">
              <w:t>749,127</w:t>
            </w:r>
          </w:p>
        </w:tc>
      </w:tr>
      <w:tr w:rsidR="00F93E47" w14:paraId="6C25DA1A" w14:textId="77777777" w:rsidTr="00BB518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79C66A38" w14:textId="77777777" w:rsidR="00F93E47" w:rsidRDefault="00F93E47" w:rsidP="001A2AF7">
            <w:pPr>
              <w:pStyle w:val="TableLeftText"/>
            </w:pPr>
          </w:p>
        </w:tc>
        <w:tc>
          <w:tcPr>
            <w:tcW w:w="790" w:type="pct"/>
            <w:tcBorders>
              <w:top w:val="none" w:sz="0" w:space="0" w:color="auto"/>
              <w:left w:val="none" w:sz="0" w:space="0" w:color="auto"/>
              <w:bottom w:val="none" w:sz="0" w:space="0" w:color="auto"/>
              <w:right w:val="none" w:sz="0" w:space="0" w:color="auto"/>
            </w:tcBorders>
          </w:tcPr>
          <w:p w14:paraId="4BE5CE58" w14:textId="35B497DF" w:rsidR="00F93E47" w:rsidRPr="000B7901" w:rsidRDefault="00F93E47" w:rsidP="00BB5189">
            <w:pPr>
              <w:pStyle w:val="TableCenterText"/>
              <w:cnfStyle w:val="000000100000" w:firstRow="0" w:lastRow="0" w:firstColumn="0" w:lastColumn="0" w:oddVBand="0" w:evenVBand="0" w:oddHBand="1" w:evenHBand="0" w:firstRowFirstColumn="0" w:firstRowLastColumn="0" w:lastRowFirstColumn="0" w:lastRowLastColumn="0"/>
            </w:pPr>
            <w:r>
              <w:t>4</w:t>
            </w:r>
          </w:p>
        </w:tc>
        <w:tc>
          <w:tcPr>
            <w:tcW w:w="1349" w:type="pct"/>
            <w:tcBorders>
              <w:top w:val="none" w:sz="0" w:space="0" w:color="auto"/>
              <w:left w:val="none" w:sz="0" w:space="0" w:color="auto"/>
              <w:bottom w:val="none" w:sz="0" w:space="0" w:color="auto"/>
              <w:right w:val="none" w:sz="0" w:space="0" w:color="auto"/>
            </w:tcBorders>
          </w:tcPr>
          <w:p w14:paraId="4A29E44E" w14:textId="61969E9C" w:rsidR="00F93E47" w:rsidRPr="000B7901" w:rsidRDefault="00F93E47" w:rsidP="00BB5189">
            <w:pPr>
              <w:pStyle w:val="TableCenterText"/>
              <w:cnfStyle w:val="000000100000" w:firstRow="0" w:lastRow="0" w:firstColumn="0" w:lastColumn="0" w:oddVBand="0" w:evenVBand="0" w:oddHBand="1" w:evenHBand="0" w:firstRowFirstColumn="0" w:firstRowLastColumn="0" w:lastRowFirstColumn="0" w:lastRowLastColumn="0"/>
            </w:pPr>
            <w:r w:rsidRPr="00F93E47">
              <w:t>&gt; 1,577,310 therms</w:t>
            </w:r>
          </w:p>
        </w:tc>
        <w:tc>
          <w:tcPr>
            <w:tcW w:w="602" w:type="pct"/>
            <w:tcBorders>
              <w:top w:val="none" w:sz="0" w:space="0" w:color="auto"/>
              <w:left w:val="none" w:sz="0" w:space="0" w:color="auto"/>
              <w:bottom w:val="none" w:sz="0" w:space="0" w:color="auto"/>
              <w:right w:val="none" w:sz="0" w:space="0" w:color="auto"/>
            </w:tcBorders>
          </w:tcPr>
          <w:p w14:paraId="4428521D" w14:textId="3BFF94A3" w:rsidR="00F93E47" w:rsidRPr="000B7901" w:rsidRDefault="00F93E47" w:rsidP="00E3116D">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684" w:type="pct"/>
            <w:tcBorders>
              <w:top w:val="none" w:sz="0" w:space="0" w:color="auto"/>
              <w:left w:val="none" w:sz="0" w:space="0" w:color="auto"/>
              <w:bottom w:val="none" w:sz="0" w:space="0" w:color="auto"/>
              <w:right w:val="none" w:sz="0" w:space="0" w:color="auto"/>
            </w:tcBorders>
          </w:tcPr>
          <w:p w14:paraId="59E2EAD7" w14:textId="20E19D6D"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rsidRPr="00A932A2">
              <w:t>1,577,311</w:t>
            </w:r>
          </w:p>
        </w:tc>
        <w:tc>
          <w:tcPr>
            <w:tcW w:w="602" w:type="pct"/>
            <w:tcBorders>
              <w:top w:val="none" w:sz="0" w:space="0" w:color="auto"/>
              <w:left w:val="none" w:sz="0" w:space="0" w:color="auto"/>
              <w:bottom w:val="none" w:sz="0" w:space="0" w:color="auto"/>
              <w:right w:val="none" w:sz="0" w:space="0" w:color="auto"/>
            </w:tcBorders>
          </w:tcPr>
          <w:p w14:paraId="71581ECE" w14:textId="25D2BC86"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t>1</w:t>
            </w:r>
          </w:p>
        </w:tc>
        <w:tc>
          <w:tcPr>
            <w:tcW w:w="684" w:type="pct"/>
            <w:tcBorders>
              <w:top w:val="none" w:sz="0" w:space="0" w:color="auto"/>
              <w:left w:val="none" w:sz="0" w:space="0" w:color="auto"/>
              <w:bottom w:val="none" w:sz="0" w:space="0" w:color="auto"/>
              <w:right w:val="none" w:sz="0" w:space="0" w:color="auto"/>
            </w:tcBorders>
          </w:tcPr>
          <w:p w14:paraId="5CA2C9D5" w14:textId="5389C1A5" w:rsidR="00F93E47" w:rsidRPr="000B7901" w:rsidRDefault="00A932A2" w:rsidP="00E3116D">
            <w:pPr>
              <w:pStyle w:val="TableCenterText"/>
              <w:jc w:val="right"/>
              <w:cnfStyle w:val="000000100000" w:firstRow="0" w:lastRow="0" w:firstColumn="0" w:lastColumn="0" w:oddVBand="0" w:evenVBand="0" w:oddHBand="1" w:evenHBand="0" w:firstRowFirstColumn="0" w:firstRowLastColumn="0" w:lastRowFirstColumn="0" w:lastRowLastColumn="0"/>
            </w:pPr>
            <w:r w:rsidRPr="00A932A2">
              <w:t>1,577,311</w:t>
            </w:r>
          </w:p>
        </w:tc>
      </w:tr>
      <w:tr w:rsidR="00F93E47" w14:paraId="65E0695F" w14:textId="77777777" w:rsidTr="00BB518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88" w:type="pct"/>
            <w:vMerge/>
            <w:tcBorders>
              <w:top w:val="none" w:sz="0" w:space="0" w:color="auto"/>
              <w:left w:val="none" w:sz="0" w:space="0" w:color="auto"/>
              <w:bottom w:val="none" w:sz="0" w:space="0" w:color="auto"/>
              <w:right w:val="none" w:sz="0" w:space="0" w:color="auto"/>
            </w:tcBorders>
          </w:tcPr>
          <w:p w14:paraId="03D258A6" w14:textId="77777777" w:rsidR="00F93E47" w:rsidRDefault="00F93E47" w:rsidP="001A2AF7">
            <w:pPr>
              <w:pStyle w:val="TableLeftText"/>
            </w:pPr>
          </w:p>
        </w:tc>
        <w:tc>
          <w:tcPr>
            <w:tcW w:w="2139" w:type="pct"/>
            <w:gridSpan w:val="2"/>
            <w:tcBorders>
              <w:top w:val="none" w:sz="0" w:space="0" w:color="auto"/>
              <w:left w:val="none" w:sz="0" w:space="0" w:color="auto"/>
              <w:bottom w:val="none" w:sz="0" w:space="0" w:color="auto"/>
              <w:right w:val="none" w:sz="0" w:space="0" w:color="auto"/>
            </w:tcBorders>
          </w:tcPr>
          <w:p w14:paraId="7E1BA7D2" w14:textId="20A68705" w:rsidR="00F93E47" w:rsidRPr="00E3116D" w:rsidRDefault="00F93E47" w:rsidP="00BB5189">
            <w:pPr>
              <w:pStyle w:val="TableRightText"/>
              <w:jc w:val="left"/>
              <w:cnfStyle w:val="000000010000" w:firstRow="0" w:lastRow="0" w:firstColumn="0" w:lastColumn="0" w:oddVBand="0" w:evenVBand="0" w:oddHBand="0" w:evenHBand="1" w:firstRowFirstColumn="0" w:firstRowLastColumn="0" w:lastRowFirstColumn="0" w:lastRowLastColumn="0"/>
              <w:rPr>
                <w:i/>
                <w:iCs/>
              </w:rPr>
            </w:pPr>
            <w:r w:rsidRPr="00E3116D">
              <w:rPr>
                <w:i/>
                <w:iCs/>
              </w:rPr>
              <w:t>Subtotal</w:t>
            </w:r>
          </w:p>
        </w:tc>
        <w:tc>
          <w:tcPr>
            <w:tcW w:w="602" w:type="pct"/>
            <w:tcBorders>
              <w:top w:val="none" w:sz="0" w:space="0" w:color="auto"/>
              <w:left w:val="none" w:sz="0" w:space="0" w:color="auto"/>
              <w:bottom w:val="none" w:sz="0" w:space="0" w:color="auto"/>
              <w:right w:val="none" w:sz="0" w:space="0" w:color="auto"/>
            </w:tcBorders>
          </w:tcPr>
          <w:p w14:paraId="06021389" w14:textId="354FC993" w:rsidR="00F93E47" w:rsidRPr="00E3116D" w:rsidRDefault="00F93E47" w:rsidP="00E3116D">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34</w:t>
            </w:r>
          </w:p>
        </w:tc>
        <w:tc>
          <w:tcPr>
            <w:tcW w:w="684" w:type="pct"/>
            <w:tcBorders>
              <w:top w:val="none" w:sz="0" w:space="0" w:color="auto"/>
              <w:left w:val="none" w:sz="0" w:space="0" w:color="auto"/>
              <w:bottom w:val="none" w:sz="0" w:space="0" w:color="auto"/>
              <w:right w:val="none" w:sz="0" w:space="0" w:color="auto"/>
            </w:tcBorders>
          </w:tcPr>
          <w:p w14:paraId="18B42625" w14:textId="6D292ED7" w:rsidR="00F93E47" w:rsidRPr="00E3116D"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2,940,703</w:t>
            </w:r>
          </w:p>
        </w:tc>
        <w:tc>
          <w:tcPr>
            <w:tcW w:w="602" w:type="pct"/>
            <w:tcBorders>
              <w:top w:val="none" w:sz="0" w:space="0" w:color="auto"/>
              <w:left w:val="none" w:sz="0" w:space="0" w:color="auto"/>
              <w:bottom w:val="none" w:sz="0" w:space="0" w:color="auto"/>
              <w:right w:val="none" w:sz="0" w:space="0" w:color="auto"/>
            </w:tcBorders>
          </w:tcPr>
          <w:p w14:paraId="522815D5" w14:textId="20972B9C" w:rsidR="00F93E47" w:rsidRPr="00E3116D"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7</w:t>
            </w:r>
          </w:p>
        </w:tc>
        <w:tc>
          <w:tcPr>
            <w:tcW w:w="684" w:type="pct"/>
            <w:tcBorders>
              <w:top w:val="none" w:sz="0" w:space="0" w:color="auto"/>
              <w:left w:val="none" w:sz="0" w:space="0" w:color="auto"/>
              <w:bottom w:val="none" w:sz="0" w:space="0" w:color="auto"/>
              <w:right w:val="none" w:sz="0" w:space="0" w:color="auto"/>
            </w:tcBorders>
          </w:tcPr>
          <w:p w14:paraId="66DA75A7" w14:textId="018F3068" w:rsidR="00F93E47" w:rsidRPr="00E3116D" w:rsidRDefault="00A932A2" w:rsidP="00E3116D">
            <w:pPr>
              <w:pStyle w:val="TableCenterText"/>
              <w:jc w:val="right"/>
              <w:cnfStyle w:val="000000010000" w:firstRow="0" w:lastRow="0" w:firstColumn="0" w:lastColumn="0" w:oddVBand="0" w:evenVBand="0" w:oddHBand="0" w:evenHBand="1" w:firstRowFirstColumn="0" w:firstRowLastColumn="0" w:lastRowFirstColumn="0" w:lastRowLastColumn="0"/>
              <w:rPr>
                <w:i/>
                <w:iCs/>
              </w:rPr>
            </w:pPr>
            <w:r w:rsidRPr="00E3116D">
              <w:rPr>
                <w:i/>
                <w:iCs/>
              </w:rPr>
              <w:t>2,375,986</w:t>
            </w:r>
          </w:p>
        </w:tc>
      </w:tr>
      <w:tr w:rsidR="00F93E47" w14:paraId="2937481A" w14:textId="77777777" w:rsidTr="00BB5189">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1" w:firstRow="0" w:lastRow="0" w:firstColumn="1" w:lastColumn="0" w:oddVBand="0" w:evenVBand="0" w:oddHBand="0" w:evenHBand="0" w:firstRowFirstColumn="0" w:firstRowLastColumn="0" w:lastRowFirstColumn="1" w:lastRowLastColumn="0"/>
            <w:tcW w:w="2428" w:type="pct"/>
            <w:gridSpan w:val="3"/>
            <w:tcBorders>
              <w:top w:val="none" w:sz="0" w:space="0" w:color="auto"/>
              <w:left w:val="none" w:sz="0" w:space="0" w:color="auto"/>
              <w:bottom w:val="none" w:sz="0" w:space="0" w:color="auto"/>
              <w:right w:val="none" w:sz="0" w:space="0" w:color="auto"/>
            </w:tcBorders>
          </w:tcPr>
          <w:p w14:paraId="692655C1" w14:textId="4BC3BA6D" w:rsidR="00F93E47" w:rsidRPr="00313347" w:rsidRDefault="00F93E47" w:rsidP="00BB5189">
            <w:pPr>
              <w:pStyle w:val="TableLeftText"/>
              <w:rPr>
                <w:rFonts w:ascii="Franklin Gothic Medium" w:hAnsi="Franklin Gothic Medium"/>
                <w:b w:val="0"/>
                <w:bCs w:val="0"/>
              </w:rPr>
            </w:pPr>
            <w:r w:rsidRPr="00313347">
              <w:rPr>
                <w:rFonts w:ascii="Franklin Gothic Medium" w:hAnsi="Franklin Gothic Medium"/>
                <w:b w:val="0"/>
                <w:bCs w:val="0"/>
              </w:rPr>
              <w:t xml:space="preserve">Total </w:t>
            </w:r>
          </w:p>
        </w:tc>
        <w:tc>
          <w:tcPr>
            <w:tcW w:w="602" w:type="pct"/>
            <w:tcBorders>
              <w:top w:val="none" w:sz="0" w:space="0" w:color="auto"/>
              <w:left w:val="none" w:sz="0" w:space="0" w:color="auto"/>
              <w:bottom w:val="none" w:sz="0" w:space="0" w:color="auto"/>
              <w:right w:val="none" w:sz="0" w:space="0" w:color="auto"/>
            </w:tcBorders>
          </w:tcPr>
          <w:p w14:paraId="214707E7" w14:textId="5AD350FE" w:rsidR="00F93E47" w:rsidRPr="00313347" w:rsidRDefault="00F93E47" w:rsidP="00E3116D">
            <w:pPr>
              <w:pStyle w:val="TableCenterText"/>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48</w:t>
            </w:r>
          </w:p>
        </w:tc>
        <w:tc>
          <w:tcPr>
            <w:tcW w:w="684" w:type="pct"/>
            <w:tcBorders>
              <w:top w:val="none" w:sz="0" w:space="0" w:color="auto"/>
              <w:left w:val="none" w:sz="0" w:space="0" w:color="auto"/>
              <w:bottom w:val="none" w:sz="0" w:space="0" w:color="auto"/>
              <w:right w:val="none" w:sz="0" w:space="0" w:color="auto"/>
            </w:tcBorders>
          </w:tcPr>
          <w:p w14:paraId="7EB4BC4E" w14:textId="04115A10" w:rsidR="00F93E47" w:rsidRPr="00313347" w:rsidRDefault="00F93E47" w:rsidP="00E3116D">
            <w:pPr>
              <w:pStyle w:val="TableCenterText"/>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3,125,155</w:t>
            </w:r>
          </w:p>
        </w:tc>
        <w:tc>
          <w:tcPr>
            <w:tcW w:w="602" w:type="pct"/>
            <w:tcBorders>
              <w:top w:val="none" w:sz="0" w:space="0" w:color="auto"/>
              <w:left w:val="none" w:sz="0" w:space="0" w:color="auto"/>
              <w:bottom w:val="none" w:sz="0" w:space="0" w:color="auto"/>
              <w:right w:val="none" w:sz="0" w:space="0" w:color="auto"/>
            </w:tcBorders>
          </w:tcPr>
          <w:p w14:paraId="76A8EB74" w14:textId="546CE6C7" w:rsidR="00F93E47" w:rsidRPr="00313347" w:rsidRDefault="00F93E47" w:rsidP="00E3116D">
            <w:pPr>
              <w:pStyle w:val="TableCenterText"/>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21</w:t>
            </w:r>
          </w:p>
        </w:tc>
        <w:tc>
          <w:tcPr>
            <w:tcW w:w="684" w:type="pct"/>
            <w:tcBorders>
              <w:top w:val="none" w:sz="0" w:space="0" w:color="auto"/>
              <w:left w:val="none" w:sz="0" w:space="0" w:color="auto"/>
              <w:bottom w:val="none" w:sz="0" w:space="0" w:color="auto"/>
              <w:right w:val="none" w:sz="0" w:space="0" w:color="auto"/>
            </w:tcBorders>
          </w:tcPr>
          <w:p w14:paraId="495DA95E" w14:textId="77FFD0BC" w:rsidR="00F93E47" w:rsidRPr="00313347" w:rsidRDefault="00F93E47" w:rsidP="00E3116D">
            <w:pPr>
              <w:pStyle w:val="TableCenterText"/>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313347">
              <w:rPr>
                <w:rFonts w:ascii="Franklin Gothic Medium" w:hAnsi="Franklin Gothic Medium"/>
                <w:b w:val="0"/>
              </w:rPr>
              <w:t>2,560,439</w:t>
            </w:r>
          </w:p>
        </w:tc>
      </w:tr>
    </w:tbl>
    <w:p w14:paraId="48D5D5D3" w14:textId="38DFC88C" w:rsidR="00130CAB" w:rsidRPr="009B0103" w:rsidRDefault="00130CAB" w:rsidP="009B0103">
      <w:pPr>
        <w:spacing w:after="0"/>
        <w:rPr>
          <w:sz w:val="18"/>
          <w:szCs w:val="18"/>
        </w:rPr>
      </w:pPr>
      <w:r w:rsidRPr="009B0103">
        <w:rPr>
          <w:sz w:val="18"/>
          <w:szCs w:val="18"/>
        </w:rPr>
        <w:t>Note:</w:t>
      </w:r>
      <w:r>
        <w:rPr>
          <w:sz w:val="18"/>
          <w:szCs w:val="18"/>
        </w:rPr>
        <w:t xml:space="preserve"> </w:t>
      </w:r>
      <w:r w:rsidRPr="00130CAB">
        <w:rPr>
          <w:sz w:val="18"/>
          <w:szCs w:val="18"/>
        </w:rPr>
        <w:t xml:space="preserve">The therm savings presented in this table include savings for </w:t>
      </w:r>
      <w:r>
        <w:rPr>
          <w:sz w:val="18"/>
          <w:szCs w:val="18"/>
        </w:rPr>
        <w:t>three</w:t>
      </w:r>
      <w:r w:rsidRPr="00130CAB">
        <w:rPr>
          <w:sz w:val="18"/>
          <w:szCs w:val="18"/>
        </w:rPr>
        <w:t xml:space="preserve"> non-AIC gas customers. These savings are not directly claimable by AIC. However, we present the savings in this table because </w:t>
      </w:r>
      <w:r w:rsidR="005D183A">
        <w:rPr>
          <w:sz w:val="18"/>
          <w:szCs w:val="18"/>
        </w:rPr>
        <w:t>they</w:t>
      </w:r>
      <w:r w:rsidRPr="00130CAB">
        <w:rPr>
          <w:sz w:val="18"/>
          <w:szCs w:val="18"/>
        </w:rPr>
        <w:t xml:space="preserve"> inform</w:t>
      </w:r>
      <w:r w:rsidR="005D183A">
        <w:rPr>
          <w:sz w:val="18"/>
          <w:szCs w:val="18"/>
        </w:rPr>
        <w:t>ed</w:t>
      </w:r>
      <w:r w:rsidRPr="00130CAB">
        <w:rPr>
          <w:sz w:val="18"/>
          <w:szCs w:val="18"/>
        </w:rPr>
        <w:t xml:space="preserve"> the ratio estimator used to develop Initiative-level savings. Additionally, AIC chose to convert the therm savings achieved through this project to electric savings under </w:t>
      </w:r>
      <w:r w:rsidR="00313347">
        <w:rPr>
          <w:sz w:val="18"/>
          <w:szCs w:val="18"/>
        </w:rPr>
        <w:t>sub</w:t>
      </w:r>
      <w:r w:rsidRPr="00130CAB">
        <w:rPr>
          <w:sz w:val="18"/>
          <w:szCs w:val="18"/>
        </w:rPr>
        <w:t>section b-25.</w:t>
      </w:r>
    </w:p>
    <w:p w14:paraId="4163B367" w14:textId="36951490" w:rsidR="009968ED" w:rsidRDefault="009968ED" w:rsidP="00E71EF3">
      <w:pPr>
        <w:pStyle w:val="Caption"/>
      </w:pPr>
      <w:bookmarkStart w:id="385" w:name="_Ref192673342"/>
      <w:bookmarkStart w:id="386" w:name="_Toc192767023"/>
      <w:r>
        <w:t xml:space="preserve">Table </w:t>
      </w:r>
      <w:r>
        <w:fldChar w:fldCharType="begin"/>
      </w:r>
      <w:r>
        <w:instrText xml:space="preserve"> SEQ Table \* ARABIC </w:instrText>
      </w:r>
      <w:r>
        <w:fldChar w:fldCharType="separate"/>
      </w:r>
      <w:r w:rsidR="00AA10F4">
        <w:rPr>
          <w:noProof/>
        </w:rPr>
        <w:t>89</w:t>
      </w:r>
      <w:r>
        <w:rPr>
          <w:noProof/>
        </w:rPr>
        <w:fldChar w:fldCharType="end"/>
      </w:r>
      <w:bookmarkEnd w:id="385"/>
      <w:r>
        <w:t xml:space="preserve">. </w:t>
      </w:r>
      <w:r w:rsidRPr="009968ED">
        <w:t xml:space="preserve">Custom Incentives Channel Sampling Approach for </w:t>
      </w:r>
      <w:r>
        <w:t xml:space="preserve">Fuel-Switching </w:t>
      </w:r>
      <w:r w:rsidRPr="009968ED">
        <w:t>Projects</w:t>
      </w:r>
      <w:bookmarkEnd w:id="386"/>
    </w:p>
    <w:tbl>
      <w:tblPr>
        <w:tblStyle w:val="ODCBasic-1"/>
        <w:tblW w:w="5000" w:type="pct"/>
        <w:tblCellMar>
          <w:top w:w="0" w:type="dxa"/>
          <w:bottom w:w="14" w:type="dxa"/>
        </w:tblCellMar>
        <w:tblLook w:val="04A0" w:firstRow="1" w:lastRow="0" w:firstColumn="1" w:lastColumn="0" w:noHBand="0" w:noVBand="1"/>
      </w:tblPr>
      <w:tblGrid>
        <w:gridCol w:w="681"/>
        <w:gridCol w:w="1540"/>
        <w:gridCol w:w="1420"/>
        <w:gridCol w:w="1403"/>
        <w:gridCol w:w="1616"/>
        <w:gridCol w:w="1420"/>
        <w:gridCol w:w="1403"/>
        <w:gridCol w:w="1613"/>
      </w:tblGrid>
      <w:tr w:rsidR="00593503" w14:paraId="737D43C9" w14:textId="77777777" w:rsidTr="00FB14E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07" w:type="pct"/>
            <w:vMerge w:val="restart"/>
            <w:tcBorders>
              <w:right w:val="single" w:sz="4" w:space="0" w:color="4A4D56" w:themeColor="text1"/>
            </w:tcBorders>
          </w:tcPr>
          <w:p w14:paraId="28E652BB" w14:textId="649E6E71" w:rsidR="00593503" w:rsidRPr="00625570" w:rsidRDefault="00593503" w:rsidP="001A2AF7">
            <w:pPr>
              <w:pStyle w:val="TableHeadingLeft"/>
            </w:pPr>
            <w:r>
              <w:t>Wave</w:t>
            </w:r>
          </w:p>
        </w:tc>
        <w:tc>
          <w:tcPr>
            <w:tcW w:w="694" w:type="pct"/>
            <w:vMerge w:val="restart"/>
            <w:tcBorders>
              <w:left w:val="single" w:sz="4" w:space="0" w:color="4A4D56" w:themeColor="text1"/>
              <w:right w:val="single" w:sz="4" w:space="0" w:color="4A4D56" w:themeColor="text1"/>
            </w:tcBorders>
          </w:tcPr>
          <w:p w14:paraId="2700A162" w14:textId="2864A962" w:rsidR="00593503" w:rsidRPr="00625570" w:rsidRDefault="00593503" w:rsidP="001A2AF7">
            <w:pPr>
              <w:pStyle w:val="TableHeadingCentered"/>
              <w:cnfStyle w:val="100000000000" w:firstRow="1" w:lastRow="0" w:firstColumn="0" w:lastColumn="0" w:oddVBand="0" w:evenVBand="0" w:oddHBand="0" w:evenHBand="0" w:firstRowFirstColumn="0" w:firstRowLastColumn="0" w:lastRowFirstColumn="0" w:lastRowLastColumn="0"/>
            </w:pPr>
            <w:r>
              <w:t>Savings Range</w:t>
            </w:r>
          </w:p>
        </w:tc>
        <w:tc>
          <w:tcPr>
            <w:tcW w:w="2000" w:type="pct"/>
            <w:gridSpan w:val="3"/>
            <w:tcBorders>
              <w:left w:val="single" w:sz="4" w:space="0" w:color="4A4D56" w:themeColor="text1"/>
              <w:bottom w:val="single" w:sz="4" w:space="0" w:color="4A4D56" w:themeColor="text1"/>
              <w:right w:val="single" w:sz="4" w:space="0" w:color="4A4D56" w:themeColor="text1"/>
            </w:tcBorders>
          </w:tcPr>
          <w:p w14:paraId="44D70C7D" w14:textId="6D2268CB" w:rsidR="00593503" w:rsidRDefault="00593503" w:rsidP="001A2AF7">
            <w:pPr>
              <w:pStyle w:val="TableHeadingCentered"/>
              <w:cnfStyle w:val="100000000000" w:firstRow="1" w:lastRow="0" w:firstColumn="0" w:lastColumn="0" w:oddVBand="0" w:evenVBand="0" w:oddHBand="0" w:evenHBand="0" w:firstRowFirstColumn="0" w:firstRowLastColumn="0" w:lastRowFirstColumn="0" w:lastRowLastColumn="0"/>
            </w:pPr>
            <w:r>
              <w:t>Population of Projects</w:t>
            </w:r>
          </w:p>
        </w:tc>
        <w:tc>
          <w:tcPr>
            <w:tcW w:w="2000" w:type="pct"/>
            <w:gridSpan w:val="3"/>
            <w:tcBorders>
              <w:left w:val="single" w:sz="4" w:space="0" w:color="4A4D56" w:themeColor="text1"/>
              <w:bottom w:val="single" w:sz="4" w:space="0" w:color="4A4D56" w:themeColor="text1"/>
            </w:tcBorders>
          </w:tcPr>
          <w:p w14:paraId="018F5A06" w14:textId="76483DE2" w:rsidR="00593503" w:rsidRPr="00625570" w:rsidRDefault="00593503" w:rsidP="001A2AF7">
            <w:pPr>
              <w:pStyle w:val="TableHeadingCentered"/>
              <w:cnfStyle w:val="100000000000" w:firstRow="1" w:lastRow="0" w:firstColumn="0" w:lastColumn="0" w:oddVBand="0" w:evenVBand="0" w:oddHBand="0" w:evenHBand="0" w:firstRowFirstColumn="0" w:firstRowLastColumn="0" w:lastRowFirstColumn="0" w:lastRowLastColumn="0"/>
            </w:pPr>
            <w:r>
              <w:t>Completed Reviews</w:t>
            </w:r>
          </w:p>
        </w:tc>
      </w:tr>
      <w:tr w:rsidR="00593503" w14:paraId="460CCFC2"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7" w:type="pct"/>
            <w:vMerge/>
            <w:tcBorders>
              <w:right w:val="single" w:sz="4" w:space="0" w:color="4A4D56" w:themeColor="text1"/>
            </w:tcBorders>
            <w:shd w:val="clear" w:color="auto" w:fill="053572" w:themeFill="text2"/>
          </w:tcPr>
          <w:p w14:paraId="279E6B49" w14:textId="65D66656" w:rsidR="00593503" w:rsidRPr="00593503" w:rsidRDefault="00593503" w:rsidP="00C0286B">
            <w:pPr>
              <w:pStyle w:val="TableHeadingLeft"/>
              <w:contextualSpacing/>
              <w:rPr>
                <w:iCs/>
              </w:rPr>
            </w:pPr>
          </w:p>
        </w:tc>
        <w:tc>
          <w:tcPr>
            <w:tcW w:w="694" w:type="pct"/>
            <w:vMerge/>
            <w:tcBorders>
              <w:left w:val="single" w:sz="4" w:space="0" w:color="4A4D56" w:themeColor="text1"/>
              <w:right w:val="single" w:sz="4" w:space="0" w:color="4A4D56" w:themeColor="text1"/>
            </w:tcBorders>
            <w:shd w:val="clear" w:color="auto" w:fill="053572" w:themeFill="text2"/>
          </w:tcPr>
          <w:p w14:paraId="038698E1" w14:textId="77777777" w:rsidR="00593503" w:rsidRPr="00593503" w:rsidRDefault="00593503" w:rsidP="00C0286B">
            <w:pPr>
              <w:pStyle w:val="TableHeadingLeft"/>
              <w:contextualSpacing/>
              <w:cnfStyle w:val="000000100000" w:firstRow="0" w:lastRow="0" w:firstColumn="0" w:lastColumn="0" w:oddVBand="0" w:evenVBand="0" w:oddHBand="1" w:evenHBand="0" w:firstRowFirstColumn="0" w:firstRowLastColumn="0" w:lastRowFirstColumn="0" w:lastRowLastColumn="0"/>
              <w:rPr>
                <w:iCs/>
              </w:rPr>
            </w:pPr>
          </w:p>
        </w:tc>
        <w:tc>
          <w:tcPr>
            <w:tcW w:w="640" w:type="pct"/>
            <w:tcBorders>
              <w:top w:val="single" w:sz="4" w:space="0" w:color="4A4D56" w:themeColor="text1"/>
              <w:left w:val="single" w:sz="4" w:space="0" w:color="4A4D56" w:themeColor="text1"/>
            </w:tcBorders>
            <w:shd w:val="clear" w:color="auto" w:fill="053572" w:themeFill="text2"/>
          </w:tcPr>
          <w:p w14:paraId="5DA39C8B" w14:textId="6402A7D5"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rsidRPr="00593503">
              <w:t>Project Count</w:t>
            </w:r>
          </w:p>
        </w:tc>
        <w:tc>
          <w:tcPr>
            <w:tcW w:w="632" w:type="pct"/>
            <w:tcBorders>
              <w:top w:val="single" w:sz="4" w:space="0" w:color="4A4D56" w:themeColor="text1"/>
            </w:tcBorders>
            <w:shd w:val="clear" w:color="auto" w:fill="053572" w:themeFill="text2"/>
          </w:tcPr>
          <w:p w14:paraId="68B97229" w14:textId="0B896CD1"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t>Ex Ante MWh</w:t>
            </w:r>
          </w:p>
        </w:tc>
        <w:tc>
          <w:tcPr>
            <w:tcW w:w="728" w:type="pct"/>
            <w:tcBorders>
              <w:top w:val="single" w:sz="4" w:space="0" w:color="4A4D56" w:themeColor="text1"/>
            </w:tcBorders>
            <w:shd w:val="clear" w:color="auto" w:fill="053572" w:themeFill="text2"/>
          </w:tcPr>
          <w:p w14:paraId="6BCF057F" w14:textId="2EFBD1F8"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t>Ex Ante Therms</w:t>
            </w:r>
          </w:p>
        </w:tc>
        <w:tc>
          <w:tcPr>
            <w:tcW w:w="640" w:type="pct"/>
            <w:tcBorders>
              <w:top w:val="single" w:sz="4" w:space="0" w:color="4A4D56" w:themeColor="text1"/>
            </w:tcBorders>
            <w:shd w:val="clear" w:color="auto" w:fill="053572" w:themeFill="text2"/>
          </w:tcPr>
          <w:p w14:paraId="2D5D7DCA" w14:textId="0906FAC5"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rsidRPr="00593503">
              <w:t>Project Count</w:t>
            </w:r>
          </w:p>
        </w:tc>
        <w:tc>
          <w:tcPr>
            <w:tcW w:w="632" w:type="pct"/>
            <w:tcBorders>
              <w:top w:val="single" w:sz="4" w:space="0" w:color="4A4D56" w:themeColor="text1"/>
            </w:tcBorders>
            <w:shd w:val="clear" w:color="auto" w:fill="053572" w:themeFill="text2"/>
          </w:tcPr>
          <w:p w14:paraId="58AAA190" w14:textId="0E8BD068"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t>Ex Ante MWh</w:t>
            </w:r>
          </w:p>
        </w:tc>
        <w:tc>
          <w:tcPr>
            <w:tcW w:w="728" w:type="pct"/>
            <w:tcBorders>
              <w:top w:val="single" w:sz="4" w:space="0" w:color="4A4D56" w:themeColor="text1"/>
            </w:tcBorders>
            <w:shd w:val="clear" w:color="auto" w:fill="053572" w:themeFill="text2"/>
          </w:tcPr>
          <w:p w14:paraId="76AF81A0" w14:textId="24C6DCB5" w:rsidR="00593503" w:rsidRPr="00593503" w:rsidRDefault="00593503" w:rsidP="00C0286B">
            <w:pPr>
              <w:pStyle w:val="TableHeadingCentered"/>
              <w:cnfStyle w:val="000000100000" w:firstRow="0" w:lastRow="0" w:firstColumn="0" w:lastColumn="0" w:oddVBand="0" w:evenVBand="0" w:oddHBand="1" w:evenHBand="0" w:firstRowFirstColumn="0" w:firstRowLastColumn="0" w:lastRowFirstColumn="0" w:lastRowLastColumn="0"/>
            </w:pPr>
            <w:r>
              <w:t>Ex Ante Therms</w:t>
            </w:r>
          </w:p>
        </w:tc>
      </w:tr>
      <w:tr w:rsidR="00593503" w14:paraId="13ACB91D"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307" w:type="pct"/>
          </w:tcPr>
          <w:p w14:paraId="748B3065" w14:textId="5E61E15B" w:rsidR="00593503" w:rsidRPr="00625570" w:rsidRDefault="00593503" w:rsidP="00593503">
            <w:pPr>
              <w:pStyle w:val="TableLeftText"/>
            </w:pPr>
            <w:r>
              <w:t>FS</w:t>
            </w:r>
          </w:p>
        </w:tc>
        <w:tc>
          <w:tcPr>
            <w:tcW w:w="694" w:type="pct"/>
          </w:tcPr>
          <w:p w14:paraId="1ACC9A9D" w14:textId="61389E9E" w:rsidR="00593503" w:rsidRPr="000B7901" w:rsidRDefault="00593503" w:rsidP="00593503">
            <w:pPr>
              <w:pStyle w:val="TableCenterText"/>
              <w:cnfStyle w:val="000000010000" w:firstRow="0" w:lastRow="0" w:firstColumn="0" w:lastColumn="0" w:oddVBand="0" w:evenVBand="0" w:oddHBand="0" w:evenHBand="1" w:firstRowFirstColumn="0" w:firstRowLastColumn="0" w:lastRowFirstColumn="0" w:lastRowLastColumn="0"/>
            </w:pPr>
            <w:r>
              <w:t>Census</w:t>
            </w:r>
          </w:p>
        </w:tc>
        <w:tc>
          <w:tcPr>
            <w:tcW w:w="640" w:type="pct"/>
          </w:tcPr>
          <w:p w14:paraId="36543FB2" w14:textId="6EC262B8" w:rsidR="00593503" w:rsidRPr="000B7901" w:rsidRDefault="00593503" w:rsidP="00593503">
            <w:pPr>
              <w:pStyle w:val="TableCenterText"/>
              <w:cnfStyle w:val="000000010000" w:firstRow="0" w:lastRow="0" w:firstColumn="0" w:lastColumn="0" w:oddVBand="0" w:evenVBand="0" w:oddHBand="0" w:evenHBand="1" w:firstRowFirstColumn="0" w:firstRowLastColumn="0" w:lastRowFirstColumn="0" w:lastRowLastColumn="0"/>
            </w:pPr>
            <w:r>
              <w:t>4</w:t>
            </w:r>
          </w:p>
        </w:tc>
        <w:tc>
          <w:tcPr>
            <w:tcW w:w="632" w:type="pct"/>
          </w:tcPr>
          <w:p w14:paraId="591C4E27" w14:textId="24DB0B4C" w:rsidR="00593503" w:rsidRPr="000B7901" w:rsidRDefault="001A36B5" w:rsidP="00593503">
            <w:pPr>
              <w:pStyle w:val="TableCenterText"/>
              <w:cnfStyle w:val="000000010000" w:firstRow="0" w:lastRow="0" w:firstColumn="0" w:lastColumn="0" w:oddVBand="0" w:evenVBand="0" w:oddHBand="0" w:evenHBand="1" w:firstRowFirstColumn="0" w:firstRowLastColumn="0" w:lastRowFirstColumn="0" w:lastRowLastColumn="0"/>
            </w:pPr>
            <w:r>
              <w:t>10,210</w:t>
            </w:r>
          </w:p>
        </w:tc>
        <w:tc>
          <w:tcPr>
            <w:tcW w:w="728" w:type="pct"/>
          </w:tcPr>
          <w:p w14:paraId="6A65BB99" w14:textId="789B50D2" w:rsidR="00593503" w:rsidRPr="000B7901" w:rsidRDefault="001A36B5" w:rsidP="00593503">
            <w:pPr>
              <w:pStyle w:val="TableCenterText"/>
              <w:cnfStyle w:val="000000010000" w:firstRow="0" w:lastRow="0" w:firstColumn="0" w:lastColumn="0" w:oddVBand="0" w:evenVBand="0" w:oddHBand="0" w:evenHBand="1" w:firstRowFirstColumn="0" w:firstRowLastColumn="0" w:lastRowFirstColumn="0" w:lastRowLastColumn="0"/>
            </w:pPr>
            <w:r>
              <w:t>17,591</w:t>
            </w:r>
          </w:p>
        </w:tc>
        <w:tc>
          <w:tcPr>
            <w:tcW w:w="640" w:type="pct"/>
          </w:tcPr>
          <w:p w14:paraId="2DEF1ABE" w14:textId="1E5047AD" w:rsidR="00593503" w:rsidRPr="000B7901" w:rsidRDefault="00593503" w:rsidP="00593503">
            <w:pPr>
              <w:pStyle w:val="TableCenterText"/>
              <w:cnfStyle w:val="000000010000" w:firstRow="0" w:lastRow="0" w:firstColumn="0" w:lastColumn="0" w:oddVBand="0" w:evenVBand="0" w:oddHBand="0" w:evenHBand="1" w:firstRowFirstColumn="0" w:firstRowLastColumn="0" w:lastRowFirstColumn="0" w:lastRowLastColumn="0"/>
            </w:pPr>
            <w:r>
              <w:t>4</w:t>
            </w:r>
          </w:p>
        </w:tc>
        <w:tc>
          <w:tcPr>
            <w:tcW w:w="632" w:type="pct"/>
          </w:tcPr>
          <w:p w14:paraId="47E392AB" w14:textId="71FEDFF1" w:rsidR="00593503" w:rsidRPr="000B7901" w:rsidRDefault="001A36B5" w:rsidP="00593503">
            <w:pPr>
              <w:pStyle w:val="TableCenterText"/>
              <w:cnfStyle w:val="000000010000" w:firstRow="0" w:lastRow="0" w:firstColumn="0" w:lastColumn="0" w:oddVBand="0" w:evenVBand="0" w:oddHBand="0" w:evenHBand="1" w:firstRowFirstColumn="0" w:firstRowLastColumn="0" w:lastRowFirstColumn="0" w:lastRowLastColumn="0"/>
            </w:pPr>
            <w:r>
              <w:t>10,210</w:t>
            </w:r>
          </w:p>
        </w:tc>
        <w:tc>
          <w:tcPr>
            <w:tcW w:w="728" w:type="pct"/>
            <w:tcBorders>
              <w:bottom w:val="single" w:sz="4" w:space="0" w:color="416DCB" w:themeColor="accent1" w:themeTint="99"/>
            </w:tcBorders>
          </w:tcPr>
          <w:p w14:paraId="48E1A611" w14:textId="74CD605D" w:rsidR="00593503" w:rsidRPr="000B7901" w:rsidRDefault="001A36B5" w:rsidP="00593503">
            <w:pPr>
              <w:pStyle w:val="TableCenterText"/>
              <w:cnfStyle w:val="000000010000" w:firstRow="0" w:lastRow="0" w:firstColumn="0" w:lastColumn="0" w:oddVBand="0" w:evenVBand="0" w:oddHBand="0" w:evenHBand="1" w:firstRowFirstColumn="0" w:firstRowLastColumn="0" w:lastRowFirstColumn="0" w:lastRowLastColumn="0"/>
            </w:pPr>
            <w:r w:rsidRPr="001A36B5">
              <w:t>17,591</w:t>
            </w:r>
          </w:p>
        </w:tc>
      </w:tr>
    </w:tbl>
    <w:p w14:paraId="785B5BED" w14:textId="3BAA064B" w:rsidR="00130CAB" w:rsidRDefault="00130CAB" w:rsidP="00130CAB">
      <w:pPr>
        <w:spacing w:before="240"/>
      </w:pPr>
      <w:r w:rsidRPr="00130CAB">
        <w:t>To estimate the channel’s verified savings, the evaluation team used the combined ratio adjustment method.</w:t>
      </w:r>
      <w:r>
        <w:rPr>
          <w:rStyle w:val="FootnoteReference"/>
        </w:rPr>
        <w:footnoteReference w:id="40"/>
      </w:r>
      <w:r w:rsidRPr="00130CAB">
        <w:rPr>
          <w:vertAlign w:val="superscript"/>
        </w:rPr>
        <w:t>,</w:t>
      </w:r>
      <w:r>
        <w:rPr>
          <w:rStyle w:val="FootnoteReference"/>
        </w:rPr>
        <w:footnoteReference w:id="41"/>
      </w:r>
      <w:r>
        <w:t xml:space="preserve"> </w:t>
      </w:r>
      <w:r w:rsidRPr="00130CAB">
        <w:t xml:space="preserve">As described in </w:t>
      </w:r>
      <w:r w:rsidR="005D183A">
        <w:fldChar w:fldCharType="begin"/>
      </w:r>
      <w:r w:rsidR="005D183A">
        <w:instrText xml:space="preserve"> REF _Ref192585777 \h </w:instrText>
      </w:r>
      <w:r w:rsidR="005D183A">
        <w:fldChar w:fldCharType="separate"/>
      </w:r>
      <w:r w:rsidR="00AA10F4">
        <w:t xml:space="preserve">Equation </w:t>
      </w:r>
      <w:r w:rsidR="00AA10F4">
        <w:rPr>
          <w:noProof/>
        </w:rPr>
        <w:t>4</w:t>
      </w:r>
      <w:r w:rsidR="005D183A">
        <w:fldChar w:fldCharType="end"/>
      </w:r>
      <w:r w:rsidRPr="00130CAB">
        <w:t xml:space="preserve">, we calculated the gross realization rate based on the desk reviews and on-site M&amp;V for a </w:t>
      </w:r>
      <w:r w:rsidRPr="00130CAB">
        <w:lastRenderedPageBreak/>
        <w:t>stratified random sample of projects. For each wave and fuel, we then applied the ratio of the verified gross savings to the ex ante gross savings (the realization rate) to adjust the ex ante gross savings for the population of all 2024 Custom Incentives channel projects (N=111)</w:t>
      </w:r>
      <w:r w:rsidR="00090275">
        <w:t>.</w:t>
      </w:r>
      <w:r>
        <w:rPr>
          <w:rStyle w:val="FootnoteReference"/>
        </w:rPr>
        <w:footnoteReference w:id="42"/>
      </w:r>
    </w:p>
    <w:p w14:paraId="5646B66F" w14:textId="43451491" w:rsidR="0047600E" w:rsidRDefault="0047600E" w:rsidP="00881B1B">
      <w:pPr>
        <w:pStyle w:val="Caption"/>
      </w:pPr>
      <w:bookmarkStart w:id="387" w:name="_Ref192585777"/>
      <w:r>
        <w:t xml:space="preserve">Equation </w:t>
      </w:r>
      <w:r>
        <w:fldChar w:fldCharType="begin"/>
      </w:r>
      <w:r>
        <w:instrText xml:space="preserve"> SEQ Equation \* ARABIC </w:instrText>
      </w:r>
      <w:r>
        <w:fldChar w:fldCharType="separate"/>
      </w:r>
      <w:r w:rsidR="00AA10F4">
        <w:rPr>
          <w:noProof/>
        </w:rPr>
        <w:t>4</w:t>
      </w:r>
      <w:r>
        <w:fldChar w:fldCharType="end"/>
      </w:r>
      <w:bookmarkEnd w:id="387"/>
      <w:r>
        <w:t xml:space="preserve">. </w:t>
      </w:r>
      <w:r w:rsidRPr="0047600E">
        <w:t>Ratio Adjustment Method</w:t>
      </w:r>
    </w:p>
    <w:p w14:paraId="7EFC41C0" w14:textId="0C2BD76D" w:rsidR="0047600E" w:rsidRDefault="000458DD" w:rsidP="00881B1B">
      <w:pPr>
        <w:pStyle w:val="Caption"/>
      </w:pPr>
      <m:oMathPara>
        <m:oMath>
          <m:sSub>
            <m:sSubPr>
              <m:ctrlPr>
                <w:rPr>
                  <w:rFonts w:ascii="Cambria Math" w:hAnsi="Cambria Math"/>
                </w:rPr>
              </m:ctrlPr>
            </m:sSubPr>
            <m:e>
              <m:r>
                <w:rPr>
                  <w:rFonts w:ascii="Cambria Math" w:hAnsi="Cambria Math"/>
                </w:rPr>
                <m:t>I</m:t>
              </m:r>
            </m:e>
            <m:sub>
              <m:r>
                <w:rPr>
                  <w:rFonts w:ascii="Cambria Math" w:hAnsi="Cambria Math"/>
                </w:rPr>
                <m:t>EP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EPS</m:t>
                  </m:r>
                </m:sub>
              </m:sSub>
            </m:num>
            <m:den>
              <m:sSub>
                <m:sSubPr>
                  <m:ctrlPr>
                    <w:rPr>
                      <w:rFonts w:ascii="Cambria Math" w:hAnsi="Cambria Math"/>
                    </w:rPr>
                  </m:ctrlPr>
                </m:sSubPr>
                <m:e>
                  <m:r>
                    <w:rPr>
                      <w:rFonts w:ascii="Cambria Math" w:hAnsi="Cambria Math"/>
                    </w:rPr>
                    <m:t>I</m:t>
                  </m:r>
                </m:e>
                <m:sub>
                  <m:r>
                    <w:rPr>
                      <w:rFonts w:ascii="Cambria Math" w:hAnsi="Cambria Math"/>
                    </w:rPr>
                    <m:t>EAS</m:t>
                  </m:r>
                </m:sub>
              </m:sSub>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EA</m:t>
              </m:r>
            </m:sub>
          </m:sSub>
        </m:oMath>
      </m:oMathPara>
    </w:p>
    <w:p w14:paraId="2E735E75" w14:textId="2B660A28" w:rsidR="0047600E" w:rsidRDefault="00E463A0" w:rsidP="0047600E">
      <w:r>
        <w:t>Where</w:t>
      </w:r>
      <w:r w:rsidR="0047600E">
        <w:t>:</w:t>
      </w:r>
    </w:p>
    <w:p w14:paraId="1AFB8426" w14:textId="77777777" w:rsidR="0047600E" w:rsidRDefault="0047600E" w:rsidP="0047600E">
      <w:pPr>
        <w:ind w:left="1440"/>
      </w:pPr>
      <w:r w:rsidRPr="00BE5B54">
        <w:rPr>
          <w:rFonts w:ascii="Cambria Math" w:hAnsi="Cambria Math"/>
          <w:i/>
          <w:iCs/>
        </w:rPr>
        <w:t>I</w:t>
      </w:r>
      <w:r w:rsidRPr="00BE5B54">
        <w:rPr>
          <w:rFonts w:ascii="Cambria Math" w:hAnsi="Cambria Math"/>
          <w:i/>
          <w:iCs/>
          <w:vertAlign w:val="subscript"/>
        </w:rPr>
        <w:t>EP</w:t>
      </w:r>
      <w:r>
        <w:t xml:space="preserve"> = the verified population energy and demand impacts</w:t>
      </w:r>
    </w:p>
    <w:p w14:paraId="3E0970E2" w14:textId="77777777" w:rsidR="0047600E" w:rsidRDefault="0047600E" w:rsidP="0047600E">
      <w:pPr>
        <w:ind w:left="1440"/>
      </w:pPr>
      <w:r w:rsidRPr="00BE5B54">
        <w:rPr>
          <w:rFonts w:ascii="Cambria Math" w:hAnsi="Cambria Math"/>
          <w:i/>
          <w:iCs/>
        </w:rPr>
        <w:t>I</w:t>
      </w:r>
      <w:r w:rsidRPr="00BE5B54">
        <w:rPr>
          <w:rFonts w:ascii="Cambria Math" w:hAnsi="Cambria Math"/>
          <w:i/>
          <w:iCs/>
          <w:vertAlign w:val="subscript"/>
        </w:rPr>
        <w:t>EA</w:t>
      </w:r>
      <w:r>
        <w:t xml:space="preserve"> = the ex ante population energy and demand impacts</w:t>
      </w:r>
    </w:p>
    <w:p w14:paraId="0B3C6818" w14:textId="77777777" w:rsidR="0047600E" w:rsidRDefault="0047600E" w:rsidP="0047600E">
      <w:pPr>
        <w:ind w:left="1440"/>
      </w:pPr>
      <w:r w:rsidRPr="00BE5B54">
        <w:rPr>
          <w:rFonts w:ascii="Cambria Math" w:hAnsi="Cambria Math"/>
          <w:i/>
          <w:iCs/>
        </w:rPr>
        <w:t>I</w:t>
      </w:r>
      <w:r w:rsidRPr="00BE5B54">
        <w:rPr>
          <w:rFonts w:ascii="Cambria Math" w:hAnsi="Cambria Math"/>
          <w:i/>
          <w:iCs/>
          <w:vertAlign w:val="subscript"/>
        </w:rPr>
        <w:t>EPS</w:t>
      </w:r>
      <w:r>
        <w:t xml:space="preserve"> = the verified sample energy and demand impacts </w:t>
      </w:r>
    </w:p>
    <w:p w14:paraId="277219F7" w14:textId="77777777" w:rsidR="0047600E" w:rsidRPr="0071596C" w:rsidRDefault="0047600E" w:rsidP="0047600E">
      <w:pPr>
        <w:ind w:left="1440"/>
      </w:pPr>
      <w:r w:rsidRPr="00BE5B54">
        <w:rPr>
          <w:rFonts w:ascii="Cambria Math" w:hAnsi="Cambria Math"/>
          <w:i/>
          <w:iCs/>
        </w:rPr>
        <w:t>I</w:t>
      </w:r>
      <w:r w:rsidRPr="00BE5B54">
        <w:rPr>
          <w:rFonts w:ascii="Cambria Math" w:hAnsi="Cambria Math"/>
          <w:i/>
          <w:iCs/>
          <w:vertAlign w:val="subscript"/>
        </w:rPr>
        <w:t>EAS</w:t>
      </w:r>
      <w:r>
        <w:t xml:space="preserve"> = the ex ante sample energy and demand impacts</w:t>
      </w:r>
    </w:p>
    <w:p w14:paraId="2AE066A3" w14:textId="02E90EB0" w:rsidR="008616E9" w:rsidRDefault="008616E9" w:rsidP="000071FF">
      <w:pPr>
        <w:pStyle w:val="Heading5"/>
      </w:pPr>
      <w:r>
        <w:t>Precision Calculations</w:t>
      </w:r>
    </w:p>
    <w:p w14:paraId="368143FE" w14:textId="3D240D3B" w:rsidR="0047600E" w:rsidRDefault="009C1EBC" w:rsidP="0047600E">
      <w:r w:rsidRPr="009C1EBC">
        <w:t xml:space="preserve">We calculated </w:t>
      </w:r>
      <w:r>
        <w:t xml:space="preserve">the </w:t>
      </w:r>
      <w:r w:rsidRPr="009C1EBC">
        <w:t>precision for our gross impact results by pooling the results from all waves of project reviews.</w:t>
      </w:r>
      <w:r>
        <w:rPr>
          <w:rStyle w:val="FootnoteReference"/>
        </w:rPr>
        <w:footnoteReference w:id="43"/>
      </w:r>
      <w:r w:rsidRPr="009C1EBC">
        <w:t xml:space="preserve"> To calculate relative precision, the team first determined the variance in the sample and then calculated the standard error and confidence interval</w:t>
      </w:r>
      <w:r>
        <w:t xml:space="preserve">. We used </w:t>
      </w:r>
      <w:r>
        <w:fldChar w:fldCharType="begin"/>
      </w:r>
      <w:r>
        <w:instrText xml:space="preserve"> REF _Ref191737466 \h </w:instrText>
      </w:r>
      <w:r>
        <w:fldChar w:fldCharType="separate"/>
      </w:r>
      <w:r w:rsidR="00AA10F4">
        <w:t xml:space="preserve">Equation </w:t>
      </w:r>
      <w:r w:rsidR="00AA10F4">
        <w:rPr>
          <w:noProof/>
        </w:rPr>
        <w:t>5</w:t>
      </w:r>
      <w:r>
        <w:fldChar w:fldCharType="end"/>
      </w:r>
      <w:r>
        <w:t xml:space="preserve"> through </w:t>
      </w:r>
      <w:r>
        <w:fldChar w:fldCharType="begin"/>
      </w:r>
      <w:r>
        <w:instrText xml:space="preserve"> REF _Ref191737479 \h </w:instrText>
      </w:r>
      <w:r>
        <w:fldChar w:fldCharType="separate"/>
      </w:r>
      <w:r w:rsidR="00AA10F4">
        <w:t xml:space="preserve">Equation </w:t>
      </w:r>
      <w:r w:rsidR="00AA10F4">
        <w:rPr>
          <w:noProof/>
        </w:rPr>
        <w:t>8</w:t>
      </w:r>
      <w:r>
        <w:fldChar w:fldCharType="end"/>
      </w:r>
      <w:r>
        <w:t xml:space="preserve"> to support these calculations.</w:t>
      </w:r>
    </w:p>
    <w:p w14:paraId="47A2E691" w14:textId="15057C26" w:rsidR="0047600E" w:rsidRDefault="0047600E" w:rsidP="00881B1B">
      <w:pPr>
        <w:pStyle w:val="Caption"/>
      </w:pPr>
      <w:bookmarkStart w:id="388" w:name="_Ref191737466"/>
      <w:r>
        <w:t xml:space="preserve">Equation </w:t>
      </w:r>
      <w:r>
        <w:fldChar w:fldCharType="begin"/>
      </w:r>
      <w:r>
        <w:instrText xml:space="preserve"> SEQ Equation \* ARABIC </w:instrText>
      </w:r>
      <w:r>
        <w:fldChar w:fldCharType="separate"/>
      </w:r>
      <w:r w:rsidR="00AA10F4">
        <w:rPr>
          <w:noProof/>
        </w:rPr>
        <w:t>5</w:t>
      </w:r>
      <w:r>
        <w:fldChar w:fldCharType="end"/>
      </w:r>
      <w:bookmarkEnd w:id="388"/>
      <w:r>
        <w:t>.</w:t>
      </w:r>
      <w:r w:rsidR="009C1EBC">
        <w:t xml:space="preserve"> </w:t>
      </w:r>
      <w:r w:rsidR="009C1EBC" w:rsidRPr="009C1EBC">
        <w:t>Stratified Ratio Estimator</w:t>
      </w:r>
    </w:p>
    <w:p w14:paraId="35535BC8" w14:textId="59F4D4D5" w:rsidR="0047600E" w:rsidRDefault="0047600E" w:rsidP="0047600E">
      <m:oMathPara>
        <m:oMath>
          <m:r>
            <w:rPr>
              <w:rFonts w:ascii="Cambria Math" w:hAnsi="Cambria Math"/>
            </w:rPr>
            <m:t xml:space="preserve">Stratified Ratio Estimator=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den>
          </m:f>
        </m:oMath>
      </m:oMathPara>
    </w:p>
    <w:p w14:paraId="13D0E263" w14:textId="10DBF3BA" w:rsidR="0047600E" w:rsidRDefault="0047600E" w:rsidP="00881B1B">
      <w:pPr>
        <w:pStyle w:val="Caption"/>
      </w:pPr>
      <w:r>
        <w:t xml:space="preserve">Equation </w:t>
      </w:r>
      <w:r>
        <w:fldChar w:fldCharType="begin"/>
      </w:r>
      <w:r>
        <w:instrText xml:space="preserve"> SEQ Equation \* ARABIC </w:instrText>
      </w:r>
      <w:r>
        <w:fldChar w:fldCharType="separate"/>
      </w:r>
      <w:r w:rsidR="00AA10F4">
        <w:rPr>
          <w:noProof/>
        </w:rPr>
        <w:t>6</w:t>
      </w:r>
      <w:r>
        <w:fldChar w:fldCharType="end"/>
      </w:r>
      <w:r>
        <w:t xml:space="preserve">. </w:t>
      </w:r>
      <w:r w:rsidR="009C1EBC" w:rsidRPr="009C1EBC">
        <w:t>Standard Error</w:t>
      </w:r>
    </w:p>
    <w:p w14:paraId="5CC127BA" w14:textId="791DE6BB" w:rsidR="0047600E" w:rsidRDefault="0047600E" w:rsidP="0047600E">
      <m:oMathPara>
        <m:oMath>
          <m:r>
            <w:rPr>
              <w:rFonts w:ascii="Cambria Math" w:hAnsi="Cambria Math"/>
            </w:rPr>
            <m:t xml:space="preserve">Standard Error= </m:t>
          </m:r>
          <m:f>
            <m:fPr>
              <m:ctrlPr>
                <w:rPr>
                  <w:rFonts w:ascii="Cambria Math" w:hAnsi="Cambria Math"/>
                </w:rPr>
              </m:ctrlPr>
            </m:fPr>
            <m:num>
              <m:r>
                <w:rPr>
                  <w:rFonts w:ascii="Cambria Math" w:hAnsi="Cambria Math"/>
                </w:rPr>
                <m:t>1</m:t>
              </m:r>
            </m:num>
            <m:den>
              <m:acc>
                <m:accPr>
                  <m:ctrlPr>
                    <w:rPr>
                      <w:rFonts w:ascii="Cambria Math" w:hAnsi="Cambria Math"/>
                    </w:rPr>
                  </m:ctrlPr>
                </m:accPr>
                <m:e>
                  <m:r>
                    <w:rPr>
                      <w:rFonts w:ascii="Cambria Math" w:hAnsi="Cambria Math"/>
                    </w:rPr>
                    <m:t>X</m:t>
                  </m:r>
                </m:e>
              </m:acc>
            </m:den>
          </m:f>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-1</m:t>
                      </m:r>
                    </m:e>
                  </m:d>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p w14:paraId="789737EF" w14:textId="6FF03CAC" w:rsidR="0047600E" w:rsidRDefault="0047600E" w:rsidP="00881B1B">
      <w:pPr>
        <w:pStyle w:val="Caption"/>
      </w:pPr>
      <w:r>
        <w:t xml:space="preserve">Equation </w:t>
      </w:r>
      <w:r>
        <w:fldChar w:fldCharType="begin"/>
      </w:r>
      <w:r>
        <w:instrText xml:space="preserve"> SEQ Equation \* ARABIC </w:instrText>
      </w:r>
      <w:r>
        <w:fldChar w:fldCharType="separate"/>
      </w:r>
      <w:r w:rsidR="00AA10F4">
        <w:rPr>
          <w:noProof/>
        </w:rPr>
        <w:t>7</w:t>
      </w:r>
      <w:r>
        <w:fldChar w:fldCharType="end"/>
      </w:r>
      <w:r>
        <w:t xml:space="preserve">. </w:t>
      </w:r>
      <w:r w:rsidR="009C1EBC" w:rsidRPr="009C1EBC">
        <w:t>Confidence Interval</w:t>
      </w:r>
    </w:p>
    <w:p w14:paraId="6608E97B" w14:textId="6E2E3E9F" w:rsidR="0047600E" w:rsidRDefault="0047600E" w:rsidP="0047600E">
      <m:oMathPara>
        <m:oMath>
          <m:r>
            <w:rPr>
              <w:rFonts w:ascii="Cambria Math" w:hAnsi="Cambria Math"/>
            </w:rPr>
            <m:t>90% Confidence Interval= 1.645×Standard Error</m:t>
          </m:r>
        </m:oMath>
      </m:oMathPara>
    </w:p>
    <w:p w14:paraId="11F0E0AA" w14:textId="2A1F15B8" w:rsidR="0047600E" w:rsidRDefault="0047600E" w:rsidP="00881B1B">
      <w:pPr>
        <w:pStyle w:val="Caption"/>
      </w:pPr>
      <w:bookmarkStart w:id="389" w:name="_Ref191737479"/>
      <w:r>
        <w:t xml:space="preserve">Equation </w:t>
      </w:r>
      <w:r>
        <w:fldChar w:fldCharType="begin"/>
      </w:r>
      <w:r>
        <w:instrText xml:space="preserve"> SEQ Equation \* ARABIC </w:instrText>
      </w:r>
      <w:r>
        <w:fldChar w:fldCharType="separate"/>
      </w:r>
      <w:r w:rsidR="00AA10F4">
        <w:rPr>
          <w:noProof/>
        </w:rPr>
        <w:t>8</w:t>
      </w:r>
      <w:r>
        <w:fldChar w:fldCharType="end"/>
      </w:r>
      <w:bookmarkEnd w:id="389"/>
      <w:r>
        <w:t xml:space="preserve">. </w:t>
      </w:r>
      <w:r w:rsidR="009C1EBC" w:rsidRPr="009C1EBC">
        <w:t>Relative Precision</w:t>
      </w:r>
    </w:p>
    <w:p w14:paraId="5C8D65D6" w14:textId="77777777" w:rsidR="0047600E" w:rsidRPr="0071596C" w:rsidRDefault="0047600E" w:rsidP="0047600E">
      <m:oMathPara>
        <m:oMath>
          <m:r>
            <w:rPr>
              <w:rFonts w:ascii="Cambria Math" w:hAnsi="Cambria Math"/>
            </w:rPr>
            <m:t>Relative Precision=</m:t>
          </m:r>
          <m:f>
            <m:fPr>
              <m:ctrlPr>
                <w:rPr>
                  <w:rFonts w:ascii="Cambria Math" w:hAnsi="Cambria Math"/>
                </w:rPr>
              </m:ctrlPr>
            </m:fPr>
            <m:num>
              <m:r>
                <w:rPr>
                  <w:rFonts w:ascii="Cambria Math" w:hAnsi="Cambria Math"/>
                </w:rPr>
                <m:t>90% Confidence Interval</m:t>
              </m:r>
            </m:num>
            <m:den>
              <m:r>
                <w:rPr>
                  <w:rFonts w:ascii="Cambria Math" w:hAnsi="Cambria Math"/>
                </w:rPr>
                <m:t>Stratified Ratio Estimator</m:t>
              </m:r>
            </m:den>
          </m:f>
        </m:oMath>
      </m:oMathPara>
    </w:p>
    <w:p w14:paraId="37889FCE" w14:textId="0F393533" w:rsidR="0047600E" w:rsidRPr="0071596C" w:rsidRDefault="00021C08" w:rsidP="00E3116D">
      <w:pPr>
        <w:keepNext/>
        <w:keepLines/>
        <w:spacing w:before="200" w:after="200" w:line="240" w:lineRule="auto"/>
        <w:jc w:val="both"/>
        <w:rPr>
          <w:rFonts w:asciiTheme="minorHAnsi" w:hAnsiTheme="minorHAnsi"/>
        </w:rPr>
      </w:pPr>
      <w:r w:rsidRPr="0071596C">
        <w:rPr>
          <w:rFonts w:asciiTheme="minorHAnsi" w:hAnsiTheme="minorHAnsi"/>
        </w:rPr>
        <w:lastRenderedPageBreak/>
        <w:t>Where</w:t>
      </w:r>
      <w:r w:rsidR="0047600E" w:rsidRPr="0071596C">
        <w:rPr>
          <w:rFonts w:asciiTheme="minorHAnsi" w:hAnsiTheme="minorHAnsi"/>
        </w:rPr>
        <w:t>:</w:t>
      </w:r>
    </w:p>
    <w:p w14:paraId="0F676C3E" w14:textId="77777777" w:rsidR="0047600E" w:rsidRPr="0071596C" w:rsidRDefault="0047600E" w:rsidP="00E3116D">
      <w:pPr>
        <w:keepNext/>
        <w:keepLines/>
        <w:spacing w:before="200" w:after="200" w:line="240" w:lineRule="auto"/>
        <w:ind w:left="1440"/>
        <w:jc w:val="both"/>
        <w:rPr>
          <w:rFonts w:asciiTheme="minorHAnsi" w:hAnsiTheme="minorHAnsi"/>
        </w:rPr>
      </w:pPr>
      <w:r w:rsidRPr="0071596C">
        <w:rPr>
          <w:rFonts w:ascii="Cambria Math" w:hAnsi="Cambria Math"/>
          <w:i/>
          <w:iCs/>
        </w:rPr>
        <w:t>w</w:t>
      </w:r>
      <w:r w:rsidRPr="0071596C">
        <w:rPr>
          <w:rFonts w:asciiTheme="minorHAnsi" w:hAnsiTheme="minorHAnsi"/>
        </w:rPr>
        <w:t xml:space="preserve"> = case weights for each stratum h (Nh/nh)</w:t>
      </w:r>
    </w:p>
    <w:p w14:paraId="0DB0482A" w14:textId="77777777" w:rsidR="0047600E" w:rsidRPr="0071596C" w:rsidRDefault="0047600E" w:rsidP="00E3116D">
      <w:pPr>
        <w:keepNext/>
        <w:keepLines/>
        <w:spacing w:before="200" w:after="200" w:line="240" w:lineRule="auto"/>
        <w:ind w:left="1440"/>
        <w:jc w:val="both"/>
        <w:rPr>
          <w:rFonts w:asciiTheme="minorHAnsi" w:hAnsiTheme="minorHAnsi"/>
        </w:rPr>
      </w:pPr>
      <w:r w:rsidRPr="0071596C">
        <w:rPr>
          <w:rFonts w:ascii="Cambria Math" w:hAnsi="Cambria Math"/>
        </w:rPr>
        <w:t>y</w:t>
      </w:r>
      <w:r w:rsidRPr="0071596C">
        <w:rPr>
          <w:rFonts w:asciiTheme="minorHAnsi" w:hAnsiTheme="minorHAnsi"/>
        </w:rPr>
        <w:t xml:space="preserve"> = verified savings</w:t>
      </w:r>
    </w:p>
    <w:p w14:paraId="3ECD2B3B" w14:textId="77777777" w:rsidR="0047600E" w:rsidRPr="0071596C" w:rsidRDefault="0047600E" w:rsidP="00E3116D">
      <w:pPr>
        <w:keepNext/>
        <w:keepLines/>
        <w:spacing w:before="200" w:after="200" w:line="240" w:lineRule="auto"/>
        <w:ind w:left="1440"/>
        <w:jc w:val="both"/>
        <w:rPr>
          <w:rFonts w:asciiTheme="minorHAnsi" w:hAnsiTheme="minorHAnsi"/>
        </w:rPr>
      </w:pPr>
      <w:r w:rsidRPr="0071596C">
        <w:rPr>
          <w:rFonts w:ascii="Cambria Math" w:hAnsi="Cambria Math"/>
          <w:i/>
          <w:iCs/>
        </w:rPr>
        <w:t>x</w:t>
      </w:r>
      <w:r w:rsidRPr="0071596C">
        <w:rPr>
          <w:rFonts w:asciiTheme="minorHAnsi" w:hAnsiTheme="minorHAnsi"/>
        </w:rPr>
        <w:t xml:space="preserve"> = ex ante savings</w:t>
      </w:r>
    </w:p>
    <w:p w14:paraId="60004435" w14:textId="77777777" w:rsidR="0047600E" w:rsidRPr="0071596C" w:rsidRDefault="0047600E" w:rsidP="00E3116D">
      <w:pPr>
        <w:keepNext/>
        <w:keepLines/>
        <w:spacing w:before="200" w:after="200" w:line="240" w:lineRule="auto"/>
        <w:ind w:left="1440"/>
        <w:jc w:val="both"/>
        <w:rPr>
          <w:rFonts w:asciiTheme="minorHAnsi" w:hAnsiTheme="minorHAnsi"/>
        </w:rPr>
      </w:pPr>
      <w:r w:rsidRPr="0071596C">
        <w:rPr>
          <w:rFonts w:ascii="Cambria Math" w:hAnsi="Cambria Math"/>
          <w:i/>
          <w:iCs/>
        </w:rPr>
        <w:t>e</w:t>
      </w:r>
      <w:r w:rsidRPr="0071596C">
        <w:rPr>
          <w:rFonts w:asciiTheme="minorHAnsi" w:hAnsiTheme="minorHAnsi"/>
        </w:rPr>
        <w:t xml:space="preserve"> = yi – b xi</w:t>
      </w:r>
    </w:p>
    <w:p w14:paraId="054593ED" w14:textId="771B0C8D" w:rsidR="0047600E" w:rsidRPr="0071596C" w:rsidRDefault="000458DD" w:rsidP="00E3116D">
      <w:pPr>
        <w:keepNext/>
        <w:keepLines/>
        <w:spacing w:before="200" w:after="200" w:line="240" w:lineRule="auto"/>
        <w:ind w:left="1440"/>
        <w:jc w:val="both"/>
        <w:rPr>
          <w:rFonts w:asciiTheme="minorHAnsi" w:hAnsiTheme="minorHAnsi"/>
        </w:rPr>
      </w:pPr>
      <m:oMathPara>
        <m:oMathParaPr>
          <m:jc m:val="left"/>
        </m:oMathParaPr>
        <m:oMath>
          <m:acc>
            <m:accPr>
              <m:ctrlPr>
                <w:rPr>
                  <w:rFonts w:ascii="Cambria Math" w:hAnsi="Cambria Math"/>
                </w:rPr>
              </m:ctrlPr>
            </m:accPr>
            <m:e>
              <m:r>
                <w:rPr>
                  <w:rFonts w:ascii="Cambria Math" w:hAnsi="Cambria Math"/>
                </w:rPr>
                <m:t>X</m:t>
              </m:r>
            </m:e>
          </m:acc>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0EFCBE7D" w14:textId="23414EC8" w:rsidR="008616E9" w:rsidRDefault="008616E9" w:rsidP="008616E9">
      <w:pPr>
        <w:pStyle w:val="Heading4"/>
      </w:pPr>
      <w:r>
        <w:t>Measure Lives and Cumulative Persisting Annual Savings</w:t>
      </w:r>
    </w:p>
    <w:p w14:paraId="57A9E356" w14:textId="374AE5D6" w:rsidR="00157B19" w:rsidRDefault="00F71AB0" w:rsidP="0047619D">
      <w:r w:rsidRPr="00F71AB0">
        <w:t>In accordance with methods presented and discussed in the IL-TRM V1</w:t>
      </w:r>
      <w:r>
        <w:t>2</w:t>
      </w:r>
      <w:r w:rsidRPr="00F71AB0">
        <w:t>.0 Attachment B,</w:t>
      </w:r>
      <w:r>
        <w:rPr>
          <w:rStyle w:val="FootnoteReference"/>
        </w:rPr>
        <w:footnoteReference w:id="44"/>
      </w:r>
      <w:r w:rsidRPr="00F71AB0">
        <w:t xml:space="preserve"> the evaluation team reviewed the ex ante measure life assumptions provided by the implementation team for sampled Custom Incentives channel projects in 202</w:t>
      </w:r>
      <w:r>
        <w:t>4</w:t>
      </w:r>
      <w:r w:rsidR="00157B19">
        <w:t xml:space="preserve"> and revised these assumptions where necessary</w:t>
      </w:r>
      <w:r w:rsidR="0047619D">
        <w:t>.</w:t>
      </w:r>
      <w:r w:rsidR="00157B19">
        <w:t xml:space="preserve"> </w:t>
      </w:r>
      <w:r w:rsidR="00157B19" w:rsidRPr="00157B19">
        <w:t xml:space="preserve">We then calculated an adjustment to ex ante measure lives in a manner similar to that of calculating a gross savings realization rate and applied that adjustment to </w:t>
      </w:r>
      <w:r w:rsidR="00157B19">
        <w:t>the</w:t>
      </w:r>
      <w:r w:rsidR="00157B19" w:rsidRPr="00157B19">
        <w:t xml:space="preserve"> population </w:t>
      </w:r>
      <w:r w:rsidR="00157B19">
        <w:t xml:space="preserve">of </w:t>
      </w:r>
      <w:r w:rsidR="00157B19" w:rsidRPr="00157B19">
        <w:t xml:space="preserve">ex ante measure lives. </w:t>
      </w:r>
      <w:r w:rsidR="00157B19">
        <w:fldChar w:fldCharType="begin"/>
      </w:r>
      <w:r w:rsidR="00157B19">
        <w:instrText xml:space="preserve"> REF _Ref192674706 \h </w:instrText>
      </w:r>
      <w:r w:rsidR="00157B19">
        <w:fldChar w:fldCharType="separate"/>
      </w:r>
      <w:r w:rsidR="00AA10F4">
        <w:t xml:space="preserve">Table </w:t>
      </w:r>
      <w:r w:rsidR="00AA10F4">
        <w:rPr>
          <w:noProof/>
        </w:rPr>
        <w:t>90</w:t>
      </w:r>
      <w:r w:rsidR="00157B19">
        <w:fldChar w:fldCharType="end"/>
      </w:r>
      <w:r w:rsidR="00157B19">
        <w:t xml:space="preserve"> </w:t>
      </w:r>
      <w:r w:rsidR="00157B19" w:rsidRPr="00157B19">
        <w:t>provides a summary of Custom Incentives channel project measure lives that were adjusted after evaluation. All other ex ante measure lives in our sample were determined to have been applied</w:t>
      </w:r>
      <w:r w:rsidR="00157B19">
        <w:t xml:space="preserve"> </w:t>
      </w:r>
      <w:r w:rsidR="00157B19" w:rsidRPr="00157B19">
        <w:t>appropriately.</w:t>
      </w:r>
    </w:p>
    <w:p w14:paraId="7B1EEEA5" w14:textId="4DB58147" w:rsidR="00157B19" w:rsidRDefault="00157B19" w:rsidP="00E71EF3">
      <w:pPr>
        <w:pStyle w:val="Caption"/>
      </w:pPr>
      <w:bookmarkStart w:id="390" w:name="_Ref192674706"/>
      <w:bookmarkStart w:id="391" w:name="_Toc192767024"/>
      <w:r>
        <w:t xml:space="preserve">Table </w:t>
      </w:r>
      <w:r>
        <w:fldChar w:fldCharType="begin"/>
      </w:r>
      <w:r>
        <w:instrText xml:space="preserve"> SEQ Table \* ARABIC </w:instrText>
      </w:r>
      <w:r>
        <w:fldChar w:fldCharType="separate"/>
      </w:r>
      <w:r w:rsidR="00AA10F4">
        <w:rPr>
          <w:noProof/>
        </w:rPr>
        <w:t>90</w:t>
      </w:r>
      <w:r>
        <w:rPr>
          <w:noProof/>
        </w:rPr>
        <w:fldChar w:fldCharType="end"/>
      </w:r>
      <w:bookmarkEnd w:id="390"/>
      <w:r>
        <w:t xml:space="preserve">. </w:t>
      </w:r>
      <w:r w:rsidRPr="00157B19">
        <w:t>Custom Incentives Channel Measure Life Adjustments Due to Evaluation</w:t>
      </w:r>
      <w:bookmarkEnd w:id="391"/>
    </w:p>
    <w:tbl>
      <w:tblPr>
        <w:tblStyle w:val="ODCBasic-1"/>
        <w:tblW w:w="0" w:type="auto"/>
        <w:tblLayout w:type="fixed"/>
        <w:tblCellMar>
          <w:top w:w="0" w:type="dxa"/>
          <w:bottom w:w="14" w:type="dxa"/>
        </w:tblCellMar>
        <w:tblLook w:val="04A0" w:firstRow="1" w:lastRow="0" w:firstColumn="1" w:lastColumn="0" w:noHBand="0" w:noVBand="1"/>
      </w:tblPr>
      <w:tblGrid>
        <w:gridCol w:w="985"/>
        <w:gridCol w:w="1440"/>
        <w:gridCol w:w="811"/>
        <w:gridCol w:w="797"/>
        <w:gridCol w:w="7063"/>
      </w:tblGrid>
      <w:tr w:rsidR="00157B19" w14:paraId="3CED7546" w14:textId="77777777" w:rsidTr="0090266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85" w:type="dxa"/>
            <w:vMerge w:val="restart"/>
            <w:tcBorders>
              <w:right w:val="single" w:sz="4" w:space="0" w:color="4A4D56" w:themeColor="text1"/>
            </w:tcBorders>
          </w:tcPr>
          <w:p w14:paraId="6CB6377C" w14:textId="2E56FC9F" w:rsidR="00157B19" w:rsidRPr="00625570" w:rsidRDefault="00157B19" w:rsidP="00157B19">
            <w:pPr>
              <w:pStyle w:val="TableHeadingLeft"/>
            </w:pPr>
            <w:r>
              <w:t>Project Number</w:t>
            </w:r>
          </w:p>
        </w:tc>
        <w:tc>
          <w:tcPr>
            <w:tcW w:w="1440" w:type="dxa"/>
            <w:vMerge w:val="restart"/>
            <w:tcBorders>
              <w:left w:val="single" w:sz="4" w:space="0" w:color="4A4D56" w:themeColor="text1"/>
              <w:right w:val="single" w:sz="4" w:space="0" w:color="4A4D56" w:themeColor="text1"/>
            </w:tcBorders>
          </w:tcPr>
          <w:p w14:paraId="257B8084" w14:textId="381FCCBD" w:rsidR="00157B19" w:rsidRPr="00625570" w:rsidRDefault="00157B19" w:rsidP="001A2AF7">
            <w:pPr>
              <w:pStyle w:val="TableHeadingCentered"/>
              <w:cnfStyle w:val="100000000000" w:firstRow="1" w:lastRow="0" w:firstColumn="0" w:lastColumn="0" w:oddVBand="0" w:evenVBand="0" w:oddHBand="0" w:evenHBand="0" w:firstRowFirstColumn="0" w:firstRowLastColumn="0" w:lastRowFirstColumn="0" w:lastRowLastColumn="0"/>
            </w:pPr>
            <w:r>
              <w:t>End</w:t>
            </w:r>
            <w:r w:rsidR="0090266A">
              <w:t>u</w:t>
            </w:r>
            <w:r>
              <w:t>se</w:t>
            </w:r>
          </w:p>
        </w:tc>
        <w:tc>
          <w:tcPr>
            <w:tcW w:w="1608" w:type="dxa"/>
            <w:gridSpan w:val="2"/>
            <w:tcBorders>
              <w:left w:val="single" w:sz="4" w:space="0" w:color="4A4D56" w:themeColor="text1"/>
              <w:bottom w:val="single" w:sz="4" w:space="0" w:color="4A4D56" w:themeColor="text1"/>
              <w:right w:val="single" w:sz="4" w:space="0" w:color="4A4D56" w:themeColor="text1"/>
            </w:tcBorders>
          </w:tcPr>
          <w:p w14:paraId="675811F4" w14:textId="50FE40AF" w:rsidR="00157B19" w:rsidRPr="00625570" w:rsidRDefault="00157B19" w:rsidP="001A2AF7">
            <w:pPr>
              <w:pStyle w:val="TableHeadingCentered"/>
              <w:cnfStyle w:val="100000000000" w:firstRow="1" w:lastRow="0" w:firstColumn="0" w:lastColumn="0" w:oddVBand="0" w:evenVBand="0" w:oddHBand="0" w:evenHBand="0" w:firstRowFirstColumn="0" w:firstRowLastColumn="0" w:lastRowFirstColumn="0" w:lastRowLastColumn="0"/>
            </w:pPr>
            <w:r>
              <w:t>Measure Life</w:t>
            </w:r>
          </w:p>
        </w:tc>
        <w:tc>
          <w:tcPr>
            <w:tcW w:w="7063" w:type="dxa"/>
            <w:vMerge w:val="restart"/>
            <w:tcBorders>
              <w:left w:val="single" w:sz="4" w:space="0" w:color="4A4D56" w:themeColor="text1"/>
              <w:right w:val="single" w:sz="4" w:space="0" w:color="4A4D56" w:themeColor="text1"/>
            </w:tcBorders>
          </w:tcPr>
          <w:p w14:paraId="38B5AC29" w14:textId="6950B7FE" w:rsidR="00157B19" w:rsidRPr="00625570" w:rsidRDefault="00157B19" w:rsidP="001A2AF7">
            <w:pPr>
              <w:pStyle w:val="TableHeadingCentered"/>
              <w:cnfStyle w:val="100000000000" w:firstRow="1" w:lastRow="0" w:firstColumn="0" w:lastColumn="0" w:oddVBand="0" w:evenVBand="0" w:oddHBand="0" w:evenHBand="0" w:firstRowFirstColumn="0" w:firstRowLastColumn="0" w:lastRowFirstColumn="0" w:lastRowLastColumn="0"/>
            </w:pPr>
            <w:r>
              <w:t>Rationale for Adjustment</w:t>
            </w:r>
          </w:p>
        </w:tc>
      </w:tr>
      <w:tr w:rsidR="00FF19C8" w14:paraId="3F4DF785" w14:textId="77777777" w:rsidTr="009026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5" w:type="dxa"/>
            <w:vMerge/>
            <w:tcBorders>
              <w:right w:val="single" w:sz="4" w:space="0" w:color="4A4D56" w:themeColor="text1"/>
            </w:tcBorders>
            <w:shd w:val="clear" w:color="auto" w:fill="053572" w:themeFill="text2"/>
          </w:tcPr>
          <w:p w14:paraId="7CB8C0F6" w14:textId="5AA24FFD" w:rsidR="00157B19" w:rsidRPr="00157B19" w:rsidRDefault="00157B19" w:rsidP="00C0286B">
            <w:pPr>
              <w:pStyle w:val="TableHeadingLeft"/>
              <w:contextualSpacing/>
              <w:rPr>
                <w:iCs/>
              </w:rPr>
            </w:pPr>
          </w:p>
        </w:tc>
        <w:tc>
          <w:tcPr>
            <w:tcW w:w="1440" w:type="dxa"/>
            <w:vMerge/>
            <w:tcBorders>
              <w:left w:val="single" w:sz="4" w:space="0" w:color="4A4D56" w:themeColor="text1"/>
              <w:right w:val="single" w:sz="4" w:space="0" w:color="4A4D56" w:themeColor="text1"/>
            </w:tcBorders>
            <w:shd w:val="clear" w:color="auto" w:fill="053572" w:themeFill="text2"/>
          </w:tcPr>
          <w:p w14:paraId="56CFA8F5" w14:textId="77777777" w:rsidR="00157B19" w:rsidRPr="00157B19" w:rsidRDefault="00157B19" w:rsidP="00C0286B">
            <w:pPr>
              <w:pStyle w:val="TableHeadingLeft"/>
              <w:contextualSpacing/>
              <w:cnfStyle w:val="000000100000" w:firstRow="0" w:lastRow="0" w:firstColumn="0" w:lastColumn="0" w:oddVBand="0" w:evenVBand="0" w:oddHBand="1" w:evenHBand="0" w:firstRowFirstColumn="0" w:firstRowLastColumn="0" w:lastRowFirstColumn="0" w:lastRowLastColumn="0"/>
              <w:rPr>
                <w:iCs/>
              </w:rPr>
            </w:pPr>
          </w:p>
        </w:tc>
        <w:tc>
          <w:tcPr>
            <w:tcW w:w="811" w:type="dxa"/>
            <w:tcBorders>
              <w:top w:val="single" w:sz="4" w:space="0" w:color="4A4D56" w:themeColor="text1"/>
              <w:left w:val="single" w:sz="4" w:space="0" w:color="4A4D56" w:themeColor="text1"/>
            </w:tcBorders>
            <w:shd w:val="clear" w:color="auto" w:fill="053572" w:themeFill="text2"/>
          </w:tcPr>
          <w:p w14:paraId="7791A820" w14:textId="394C9864" w:rsidR="00157B19" w:rsidRPr="00157B19" w:rsidRDefault="00157B19" w:rsidP="00C0286B">
            <w:pPr>
              <w:pStyle w:val="TableHeadingCentered"/>
              <w:cnfStyle w:val="000000100000" w:firstRow="0" w:lastRow="0" w:firstColumn="0" w:lastColumn="0" w:oddVBand="0" w:evenVBand="0" w:oddHBand="1" w:evenHBand="0" w:firstRowFirstColumn="0" w:firstRowLastColumn="0" w:lastRowFirstColumn="0" w:lastRowLastColumn="0"/>
            </w:pPr>
            <w:r>
              <w:t>Ex Ante</w:t>
            </w:r>
          </w:p>
        </w:tc>
        <w:tc>
          <w:tcPr>
            <w:tcW w:w="797" w:type="dxa"/>
            <w:tcBorders>
              <w:top w:val="single" w:sz="4" w:space="0" w:color="4A4D56" w:themeColor="text1"/>
              <w:right w:val="single" w:sz="4" w:space="0" w:color="4A4D56" w:themeColor="text1"/>
            </w:tcBorders>
            <w:shd w:val="clear" w:color="auto" w:fill="053572" w:themeFill="text2"/>
          </w:tcPr>
          <w:p w14:paraId="29EBCDC3" w14:textId="4EA7E5F9" w:rsidR="00157B19" w:rsidRPr="00157B19" w:rsidRDefault="00157B19" w:rsidP="00C0286B">
            <w:pPr>
              <w:pStyle w:val="TableHeadingCentered"/>
              <w:cnfStyle w:val="000000100000" w:firstRow="0" w:lastRow="0" w:firstColumn="0" w:lastColumn="0" w:oddVBand="0" w:evenVBand="0" w:oddHBand="1" w:evenHBand="0" w:firstRowFirstColumn="0" w:firstRowLastColumn="0" w:lastRowFirstColumn="0" w:lastRowLastColumn="0"/>
            </w:pPr>
            <w:r>
              <w:t>Verified</w:t>
            </w:r>
          </w:p>
        </w:tc>
        <w:tc>
          <w:tcPr>
            <w:tcW w:w="7063" w:type="dxa"/>
            <w:vMerge/>
            <w:tcBorders>
              <w:left w:val="single" w:sz="4" w:space="0" w:color="4A4D56" w:themeColor="text1"/>
              <w:right w:val="single" w:sz="4" w:space="0" w:color="4A4D56" w:themeColor="text1"/>
            </w:tcBorders>
            <w:shd w:val="clear" w:color="auto" w:fill="053572" w:themeFill="text2"/>
          </w:tcPr>
          <w:p w14:paraId="56416850" w14:textId="77777777" w:rsidR="00157B19" w:rsidRPr="00157B19" w:rsidRDefault="00157B19" w:rsidP="00C0286B">
            <w:pPr>
              <w:pStyle w:val="TableHeadingLeft"/>
              <w:contextualSpacing/>
              <w:cnfStyle w:val="000000100000" w:firstRow="0" w:lastRow="0" w:firstColumn="0" w:lastColumn="0" w:oddVBand="0" w:evenVBand="0" w:oddHBand="1" w:evenHBand="0" w:firstRowFirstColumn="0" w:firstRowLastColumn="0" w:lastRowFirstColumn="0" w:lastRowLastColumn="0"/>
              <w:rPr>
                <w:iCs/>
              </w:rPr>
            </w:pPr>
          </w:p>
        </w:tc>
      </w:tr>
      <w:tr w:rsidR="00157B19" w14:paraId="7DF58364" w14:textId="77777777" w:rsidTr="0090266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5" w:type="dxa"/>
          </w:tcPr>
          <w:p w14:paraId="6E4B064A" w14:textId="3EFBDDC4" w:rsidR="00157B19" w:rsidRPr="00625570" w:rsidRDefault="000E49C3" w:rsidP="001A2AF7">
            <w:pPr>
              <w:pStyle w:val="TableLeftText"/>
            </w:pPr>
            <w:r w:rsidRPr="000E49C3">
              <w:t>2101290</w:t>
            </w:r>
          </w:p>
        </w:tc>
        <w:tc>
          <w:tcPr>
            <w:tcW w:w="1440" w:type="dxa"/>
          </w:tcPr>
          <w:p w14:paraId="4F3D4396" w14:textId="495ED5D6" w:rsidR="00157B19" w:rsidRPr="000B7901" w:rsidRDefault="000E49C3" w:rsidP="00C0286B">
            <w:pPr>
              <w:pStyle w:val="TableLeftText"/>
              <w:cnfStyle w:val="000000010000" w:firstRow="0" w:lastRow="0" w:firstColumn="0" w:lastColumn="0" w:oddVBand="0" w:evenVBand="0" w:oddHBand="0" w:evenHBand="1" w:firstRowFirstColumn="0" w:firstRowLastColumn="0" w:lastRowFirstColumn="0" w:lastRowLastColumn="0"/>
            </w:pPr>
            <w:r w:rsidRPr="000E49C3">
              <w:t>Custom Miscellaneous</w:t>
            </w:r>
          </w:p>
        </w:tc>
        <w:tc>
          <w:tcPr>
            <w:tcW w:w="811" w:type="dxa"/>
          </w:tcPr>
          <w:p w14:paraId="7C56B152" w14:textId="22F6B281" w:rsidR="00157B19" w:rsidRPr="000B7901" w:rsidRDefault="000E49C3" w:rsidP="001A2AF7">
            <w:pPr>
              <w:pStyle w:val="TableCenterText"/>
              <w:cnfStyle w:val="000000010000" w:firstRow="0" w:lastRow="0" w:firstColumn="0" w:lastColumn="0" w:oddVBand="0" w:evenVBand="0" w:oddHBand="0" w:evenHBand="1" w:firstRowFirstColumn="0" w:firstRowLastColumn="0" w:lastRowFirstColumn="0" w:lastRowLastColumn="0"/>
            </w:pPr>
            <w:r>
              <w:t>17.4</w:t>
            </w:r>
          </w:p>
        </w:tc>
        <w:tc>
          <w:tcPr>
            <w:tcW w:w="797" w:type="dxa"/>
          </w:tcPr>
          <w:p w14:paraId="24DDA335" w14:textId="35C1B39E" w:rsidR="00157B19" w:rsidRPr="000B7901" w:rsidRDefault="000E49C3" w:rsidP="001A2AF7">
            <w:pPr>
              <w:pStyle w:val="TableCenterText"/>
              <w:cnfStyle w:val="000000010000" w:firstRow="0" w:lastRow="0" w:firstColumn="0" w:lastColumn="0" w:oddVBand="0" w:evenVBand="0" w:oddHBand="0" w:evenHBand="1" w:firstRowFirstColumn="0" w:firstRowLastColumn="0" w:lastRowFirstColumn="0" w:lastRowLastColumn="0"/>
            </w:pPr>
            <w:r>
              <w:t>20.6</w:t>
            </w:r>
          </w:p>
        </w:tc>
        <w:tc>
          <w:tcPr>
            <w:tcW w:w="7063" w:type="dxa"/>
          </w:tcPr>
          <w:p w14:paraId="65CAEB03" w14:textId="4AC801C1" w:rsidR="00157B19" w:rsidRPr="000B7901" w:rsidRDefault="000E49C3" w:rsidP="00C0286B">
            <w:pPr>
              <w:pStyle w:val="TableLeftText"/>
              <w:cnfStyle w:val="000000010000" w:firstRow="0" w:lastRow="0" w:firstColumn="0" w:lastColumn="0" w:oddVBand="0" w:evenVBand="0" w:oddHBand="0" w:evenHBand="1" w:firstRowFirstColumn="0" w:firstRowLastColumn="0" w:lastRowFirstColumn="0" w:lastRowLastColumn="0"/>
            </w:pPr>
            <w:r>
              <w:t xml:space="preserve">The evaluation team applied the </w:t>
            </w:r>
            <w:r w:rsidRPr="000E49C3">
              <w:t>IL-TRM V12.0 Attachment B recommendation for nonresidential new construction gas measures</w:t>
            </w:r>
            <w:r>
              <w:t>. The implementation team applied the assumption for electric measures.</w:t>
            </w:r>
          </w:p>
        </w:tc>
      </w:tr>
      <w:tr w:rsidR="00157B19" w14:paraId="4EAB3873" w14:textId="77777777" w:rsidTr="0090266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985" w:type="dxa"/>
          </w:tcPr>
          <w:p w14:paraId="4EBE879E" w14:textId="5FF17029" w:rsidR="00157B19" w:rsidRPr="00625570" w:rsidRDefault="000E49C3" w:rsidP="001A2AF7">
            <w:pPr>
              <w:pStyle w:val="TableLeftText"/>
            </w:pPr>
            <w:r w:rsidRPr="000E49C3">
              <w:t>2301666</w:t>
            </w:r>
          </w:p>
        </w:tc>
        <w:tc>
          <w:tcPr>
            <w:tcW w:w="1440" w:type="dxa"/>
          </w:tcPr>
          <w:p w14:paraId="7E658EA3" w14:textId="7171B803" w:rsidR="00157B19" w:rsidRPr="000B7901" w:rsidRDefault="000E49C3" w:rsidP="00C0286B">
            <w:pPr>
              <w:pStyle w:val="TableLeftText"/>
              <w:cnfStyle w:val="000000100000" w:firstRow="0" w:lastRow="0" w:firstColumn="0" w:lastColumn="0" w:oddVBand="0" w:evenVBand="0" w:oddHBand="1" w:evenHBand="0" w:firstRowFirstColumn="0" w:firstRowLastColumn="0" w:lastRowFirstColumn="0" w:lastRowLastColumn="0"/>
            </w:pPr>
            <w:r w:rsidRPr="000E49C3">
              <w:t>Custom HVAC</w:t>
            </w:r>
          </w:p>
        </w:tc>
        <w:tc>
          <w:tcPr>
            <w:tcW w:w="811" w:type="dxa"/>
          </w:tcPr>
          <w:p w14:paraId="191E060B" w14:textId="0883235D" w:rsidR="00157B19" w:rsidRPr="000B7901" w:rsidRDefault="000E49C3" w:rsidP="001A2AF7">
            <w:pPr>
              <w:pStyle w:val="TableCenterText"/>
              <w:cnfStyle w:val="000000100000" w:firstRow="0" w:lastRow="0" w:firstColumn="0" w:lastColumn="0" w:oddVBand="0" w:evenVBand="0" w:oddHBand="1" w:evenHBand="0" w:firstRowFirstColumn="0" w:firstRowLastColumn="0" w:lastRowFirstColumn="0" w:lastRowLastColumn="0"/>
            </w:pPr>
            <w:r>
              <w:t>16.0</w:t>
            </w:r>
          </w:p>
        </w:tc>
        <w:tc>
          <w:tcPr>
            <w:tcW w:w="797" w:type="dxa"/>
          </w:tcPr>
          <w:p w14:paraId="2FDA8D2B" w14:textId="2D30FB76" w:rsidR="00157B19" w:rsidRPr="000B7901" w:rsidRDefault="000E49C3" w:rsidP="001A2AF7">
            <w:pPr>
              <w:pStyle w:val="TableCenterText"/>
              <w:cnfStyle w:val="000000100000" w:firstRow="0" w:lastRow="0" w:firstColumn="0" w:lastColumn="0" w:oddVBand="0" w:evenVBand="0" w:oddHBand="1" w:evenHBand="0" w:firstRowFirstColumn="0" w:firstRowLastColumn="0" w:lastRowFirstColumn="0" w:lastRowLastColumn="0"/>
            </w:pPr>
            <w:r>
              <w:t>25.0</w:t>
            </w:r>
          </w:p>
        </w:tc>
        <w:tc>
          <w:tcPr>
            <w:tcW w:w="7063" w:type="dxa"/>
          </w:tcPr>
          <w:p w14:paraId="6E6674CC" w14:textId="4ADE7BC6" w:rsidR="00157B19" w:rsidRPr="000B7901" w:rsidRDefault="000E49C3" w:rsidP="00C0286B">
            <w:pPr>
              <w:pStyle w:val="TableLeftText"/>
              <w:cnfStyle w:val="000000100000" w:firstRow="0" w:lastRow="0" w:firstColumn="0" w:lastColumn="0" w:oddVBand="0" w:evenVBand="0" w:oddHBand="1" w:evenHBand="0" w:firstRowFirstColumn="0" w:firstRowLastColumn="0" w:lastRowFirstColumn="0" w:lastRowLastColumn="0"/>
            </w:pPr>
            <w:r>
              <w:t xml:space="preserve">The evaluation team applied the measure life assumption from </w:t>
            </w:r>
            <w:r w:rsidRPr="000E49C3">
              <w:t xml:space="preserve">IL-TRM V12.0 section 4.4.44 </w:t>
            </w:r>
            <w:r>
              <w:t>for</w:t>
            </w:r>
            <w:r w:rsidRPr="000E49C3">
              <w:t xml:space="preserve"> commercial ground source and ground water source heat pumps</w:t>
            </w:r>
            <w:r>
              <w:t>. The implementation team applied the assumption from section 4.4.9 for air and water source heat pump systems.</w:t>
            </w:r>
          </w:p>
        </w:tc>
      </w:tr>
    </w:tbl>
    <w:p w14:paraId="4ED71CA4" w14:textId="4EA9196F" w:rsidR="008616E9" w:rsidRDefault="008616E9" w:rsidP="008616E9">
      <w:pPr>
        <w:pStyle w:val="AppendixGamma"/>
      </w:pPr>
      <w:bookmarkStart w:id="392" w:name="_Toc191992462"/>
      <w:r>
        <w:t>Gross Impact Methodology – New Construction Lighting Channel</w:t>
      </w:r>
      <w:bookmarkEnd w:id="392"/>
    </w:p>
    <w:p w14:paraId="3364EFF2" w14:textId="52CEC353" w:rsidR="00D223C0" w:rsidRPr="00F93E47" w:rsidRDefault="00D223C0" w:rsidP="00D223C0">
      <w:r>
        <w:t xml:space="preserve">The evaluation team’s gross impact analysis for the New Construction Lighting channel used desk reviews and on-site M&amp;V to determine verified gross impacts. Overall, the evaluation team </w:t>
      </w:r>
      <w:r w:rsidRPr="00F93E47">
        <w:t>reviewed six New Construction Lighting projects.</w:t>
      </w:r>
    </w:p>
    <w:p w14:paraId="4800D97A" w14:textId="686B2CB0" w:rsidR="00D223C0" w:rsidRDefault="00D223C0" w:rsidP="00D223C0">
      <w:r w:rsidRPr="00F93E47">
        <w:t>The evaluation team completed desk reviews for the six sampled projects to determine gross impact results. Desk reviews were used to compare the inputs provided in the application to the assumptions</w:t>
      </w:r>
      <w:r>
        <w:t xml:space="preserve"> used in the analysis, verify consistency in savings estimates throughout the project file, and provide insight into the validity of the ex ante </w:t>
      </w:r>
      <w:r w:rsidR="007C59EC">
        <w:t xml:space="preserve">electric </w:t>
      </w:r>
      <w:r>
        <w:t xml:space="preserve">energy savings. The team accomplished this by reviewing the </w:t>
      </w:r>
      <w:r w:rsidR="007C59EC">
        <w:t>project documentation</w:t>
      </w:r>
      <w:r>
        <w:t xml:space="preserve"> and calculations for consistency, accuracy, and correct application of engineering principles</w:t>
      </w:r>
      <w:r w:rsidR="00021C08">
        <w:t>.</w:t>
      </w:r>
    </w:p>
    <w:p w14:paraId="2D7291C7" w14:textId="77777777" w:rsidR="008616E9" w:rsidRDefault="008616E9" w:rsidP="00C0286B">
      <w:pPr>
        <w:pStyle w:val="Heading4"/>
        <w:keepNext/>
      </w:pPr>
      <w:r>
        <w:lastRenderedPageBreak/>
        <w:t>Sampling Approach</w:t>
      </w:r>
    </w:p>
    <w:p w14:paraId="547CC766" w14:textId="3332D963" w:rsidR="00541712" w:rsidRPr="00F93E47" w:rsidRDefault="00541712" w:rsidP="00541712">
      <w:r>
        <w:t xml:space="preserve">We chose the sample </w:t>
      </w:r>
      <w:r w:rsidRPr="00F93E47">
        <w:t xml:space="preserve">of six New Construction Lighting projects using a stratified random sample design targeting 10% relative precision at </w:t>
      </w:r>
      <w:r w:rsidR="007C59EC">
        <w:t xml:space="preserve">a </w:t>
      </w:r>
      <w:r w:rsidRPr="00F93E47">
        <w:t xml:space="preserve">90% level of confidence. For the stratification, we used the Dalenius-Hodges method to determine strata boundaries and the Neyman allocation to determine the optimal allocation of the available projects to the strata. </w:t>
      </w:r>
    </w:p>
    <w:p w14:paraId="06F2444C" w14:textId="0EF8EDFE" w:rsidR="00BB503F" w:rsidRDefault="00541712" w:rsidP="00541712">
      <w:r w:rsidRPr="00F93E47">
        <w:t>The six</w:t>
      </w:r>
      <w:r w:rsidR="00021C08">
        <w:t xml:space="preserve"> projects we</w:t>
      </w:r>
      <w:r w:rsidRPr="00F93E47">
        <w:t xml:space="preserve"> </w:t>
      </w:r>
      <w:r w:rsidR="00021C08">
        <w:t>reviewed</w:t>
      </w:r>
      <w:r w:rsidRPr="00F93E47">
        <w:t xml:space="preserve"> account</w:t>
      </w:r>
      <w:r w:rsidR="00021C08">
        <w:t>ed</w:t>
      </w:r>
      <w:r w:rsidRPr="00F93E47">
        <w:t xml:space="preserve"> for 82%</w:t>
      </w:r>
      <w:r>
        <w:t xml:space="preserve"> of the total </w:t>
      </w:r>
      <w:r w:rsidR="007C59EC">
        <w:t xml:space="preserve">channel </w:t>
      </w:r>
      <w:r>
        <w:t xml:space="preserve">ex ante </w:t>
      </w:r>
      <w:r w:rsidR="007C59EC">
        <w:t>gross</w:t>
      </w:r>
      <w:r>
        <w:t xml:space="preserve"> electric energy savings. </w:t>
      </w:r>
      <w:r w:rsidR="00566DFC">
        <w:fldChar w:fldCharType="begin"/>
      </w:r>
      <w:r w:rsidR="00566DFC">
        <w:instrText xml:space="preserve"> REF _Ref191738520 \h </w:instrText>
      </w:r>
      <w:r w:rsidR="00566DFC">
        <w:fldChar w:fldCharType="separate"/>
      </w:r>
      <w:r w:rsidR="00AA10F4">
        <w:t xml:space="preserve">Table </w:t>
      </w:r>
      <w:r w:rsidR="00AA10F4">
        <w:rPr>
          <w:noProof/>
        </w:rPr>
        <w:t>91</w:t>
      </w:r>
      <w:r w:rsidR="00566DFC">
        <w:fldChar w:fldCharType="end"/>
      </w:r>
      <w:r>
        <w:t xml:space="preserve"> </w:t>
      </w:r>
      <w:r w:rsidRPr="00541712">
        <w:t>presents details around the sample of projects chosen for the 2024 evaluation</w:t>
      </w:r>
      <w:r>
        <w:t>.</w:t>
      </w:r>
    </w:p>
    <w:p w14:paraId="71A9B667" w14:textId="75944938" w:rsidR="00566DFC" w:rsidRDefault="00566DFC" w:rsidP="0056690A">
      <w:pPr>
        <w:pStyle w:val="Caption"/>
      </w:pPr>
      <w:bookmarkStart w:id="393" w:name="_Ref191738520"/>
      <w:bookmarkStart w:id="394" w:name="_Toc191992610"/>
      <w:bookmarkStart w:id="395" w:name="_Toc192767025"/>
      <w:r>
        <w:t xml:space="preserve">Table </w:t>
      </w:r>
      <w:r>
        <w:fldChar w:fldCharType="begin"/>
      </w:r>
      <w:r>
        <w:instrText xml:space="preserve"> SEQ Table \* ARABIC </w:instrText>
      </w:r>
      <w:r>
        <w:fldChar w:fldCharType="separate"/>
      </w:r>
      <w:r w:rsidR="00AA10F4">
        <w:rPr>
          <w:noProof/>
        </w:rPr>
        <w:t>91</w:t>
      </w:r>
      <w:r>
        <w:rPr>
          <w:noProof/>
        </w:rPr>
        <w:fldChar w:fldCharType="end"/>
      </w:r>
      <w:bookmarkEnd w:id="393"/>
      <w:r>
        <w:t xml:space="preserve">. </w:t>
      </w:r>
      <w:r w:rsidRPr="00566DFC">
        <w:t>Sampling Approach for New Construction Lighting Projects with Electric Savings</w:t>
      </w:r>
      <w:bookmarkEnd w:id="394"/>
      <w:bookmarkEnd w:id="395"/>
      <w:r w:rsidRPr="00566DFC">
        <w:t xml:space="preserve"> </w:t>
      </w:r>
    </w:p>
    <w:tbl>
      <w:tblPr>
        <w:tblStyle w:val="ODCBasic-1"/>
        <w:tblW w:w="0" w:type="auto"/>
        <w:tblCellMar>
          <w:top w:w="0" w:type="dxa"/>
          <w:bottom w:w="14" w:type="dxa"/>
        </w:tblCellMar>
        <w:tblLook w:val="04E0" w:firstRow="1" w:lastRow="1" w:firstColumn="1" w:lastColumn="0" w:noHBand="0" w:noVBand="1"/>
      </w:tblPr>
      <w:tblGrid>
        <w:gridCol w:w="623"/>
        <w:gridCol w:w="1708"/>
        <w:gridCol w:w="2266"/>
        <w:gridCol w:w="1300"/>
        <w:gridCol w:w="1284"/>
        <w:gridCol w:w="1300"/>
        <w:gridCol w:w="1284"/>
      </w:tblGrid>
      <w:tr w:rsidR="007C02E7" w14:paraId="65794B4C" w14:textId="77777777" w:rsidTr="00FB14E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16C7866E" w14:textId="32626D72" w:rsidR="007C02E7" w:rsidRPr="00625570" w:rsidRDefault="007C02E7" w:rsidP="0056690A">
            <w:pPr>
              <w:pStyle w:val="TableHeadingLeft"/>
              <w:keepNext/>
              <w:keepLines/>
            </w:pPr>
            <w:r>
              <w:t>Wave</w:t>
            </w:r>
          </w:p>
        </w:tc>
        <w:tc>
          <w:tcPr>
            <w:tcW w:w="0" w:type="auto"/>
            <w:vMerge w:val="restart"/>
            <w:tcBorders>
              <w:bottom w:val="none" w:sz="0" w:space="0" w:color="auto"/>
            </w:tcBorders>
          </w:tcPr>
          <w:p w14:paraId="7F7CEAEC" w14:textId="049BDFA7" w:rsidR="007C02E7" w:rsidRPr="00625570" w:rsidRDefault="007C02E7" w:rsidP="0056690A">
            <w:pPr>
              <w:pStyle w:val="TableHeadingCentered"/>
              <w:keepNext/>
              <w:keepLines/>
              <w:cnfStyle w:val="100000000000" w:firstRow="1" w:lastRow="0" w:firstColumn="0" w:lastColumn="0" w:oddVBand="0" w:evenVBand="0" w:oddHBand="0" w:evenHBand="0" w:firstRowFirstColumn="0" w:firstRowLastColumn="0" w:lastRowFirstColumn="0" w:lastRowLastColumn="0"/>
            </w:pPr>
            <w:r>
              <w:t>Sampling Stratum</w:t>
            </w:r>
          </w:p>
        </w:tc>
        <w:tc>
          <w:tcPr>
            <w:tcW w:w="0" w:type="auto"/>
            <w:vMerge w:val="restart"/>
            <w:tcBorders>
              <w:bottom w:val="none" w:sz="0" w:space="0" w:color="auto"/>
            </w:tcBorders>
          </w:tcPr>
          <w:p w14:paraId="764D4C14" w14:textId="3ED5DAFB" w:rsidR="007C02E7" w:rsidRPr="00625570" w:rsidRDefault="007C02E7" w:rsidP="0056690A">
            <w:pPr>
              <w:pStyle w:val="TableHeadingCentered"/>
              <w:keepNext/>
              <w:keepLines/>
              <w:cnfStyle w:val="100000000000" w:firstRow="1" w:lastRow="0" w:firstColumn="0" w:lastColumn="0" w:oddVBand="0" w:evenVBand="0" w:oddHBand="0" w:evenHBand="0" w:firstRowFirstColumn="0" w:firstRowLastColumn="0" w:lastRowFirstColumn="0" w:lastRowLastColumn="0"/>
            </w:pPr>
            <w:r>
              <w:t>Savings Range</w:t>
            </w:r>
          </w:p>
        </w:tc>
        <w:tc>
          <w:tcPr>
            <w:tcW w:w="0" w:type="auto"/>
            <w:gridSpan w:val="2"/>
            <w:tcBorders>
              <w:bottom w:val="none" w:sz="0" w:space="0" w:color="auto"/>
            </w:tcBorders>
          </w:tcPr>
          <w:p w14:paraId="7C67C9BD" w14:textId="228414BB" w:rsidR="007C02E7" w:rsidRPr="00625570" w:rsidRDefault="007C02E7" w:rsidP="0056690A">
            <w:pPr>
              <w:pStyle w:val="TableHeadingCentered"/>
              <w:keepNext/>
              <w:keepLines/>
              <w:cnfStyle w:val="100000000000" w:firstRow="1" w:lastRow="0" w:firstColumn="0" w:lastColumn="0" w:oddVBand="0" w:evenVBand="0" w:oddHBand="0" w:evenHBand="0" w:firstRowFirstColumn="0" w:firstRowLastColumn="0" w:lastRowFirstColumn="0" w:lastRowLastColumn="0"/>
            </w:pPr>
            <w:r>
              <w:t>Population</w:t>
            </w:r>
          </w:p>
        </w:tc>
        <w:tc>
          <w:tcPr>
            <w:tcW w:w="0" w:type="auto"/>
            <w:gridSpan w:val="2"/>
            <w:tcBorders>
              <w:bottom w:val="none" w:sz="0" w:space="0" w:color="auto"/>
            </w:tcBorders>
          </w:tcPr>
          <w:p w14:paraId="128FEB73" w14:textId="77777777" w:rsidR="007C02E7" w:rsidRPr="00625570" w:rsidRDefault="007C02E7" w:rsidP="0056690A">
            <w:pPr>
              <w:pStyle w:val="TableHeadingCentered"/>
              <w:keepNext/>
              <w:keepLines/>
              <w:cnfStyle w:val="100000000000" w:firstRow="1" w:lastRow="0" w:firstColumn="0" w:lastColumn="0" w:oddVBand="0" w:evenVBand="0" w:oddHBand="0" w:evenHBand="0" w:firstRowFirstColumn="0" w:firstRowLastColumn="0" w:lastRowFirstColumn="0" w:lastRowLastColumn="0"/>
              <w:rPr>
                <w:iCs w:val="0"/>
              </w:rPr>
            </w:pPr>
            <w:r>
              <w:t>Completed Reviews</w:t>
            </w:r>
          </w:p>
          <w:p w14:paraId="5E044934" w14:textId="5E3E2EA2" w:rsidR="007C02E7" w:rsidRPr="00625570" w:rsidRDefault="007C02E7" w:rsidP="0056690A">
            <w:pPr>
              <w:pStyle w:val="TableHeadingCentered"/>
              <w:keepNext/>
              <w:keepLines/>
              <w:cnfStyle w:val="100000000000" w:firstRow="1" w:lastRow="0" w:firstColumn="0" w:lastColumn="0" w:oddVBand="0" w:evenVBand="0" w:oddHBand="0" w:evenHBand="0" w:firstRowFirstColumn="0" w:firstRowLastColumn="0" w:lastRowFirstColumn="0" w:lastRowLastColumn="0"/>
            </w:pPr>
            <w:r w:rsidRPr="00625570">
              <w:t>Column</w:t>
            </w:r>
          </w:p>
        </w:tc>
      </w:tr>
      <w:tr w:rsidR="007C02E7" w14:paraId="4353A389"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794A82AA" w14:textId="2D3EAAE6" w:rsidR="007C02E7" w:rsidRPr="00625570" w:rsidRDefault="007C02E7" w:rsidP="0056690A">
            <w:pPr>
              <w:pStyle w:val="TableLeftText"/>
              <w:keepNext/>
              <w:keepLines/>
            </w:pPr>
          </w:p>
        </w:tc>
        <w:tc>
          <w:tcPr>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3A83AEB7" w14:textId="77777777" w:rsidR="007C02E7" w:rsidRPr="000B7901" w:rsidRDefault="007C02E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0" w:type="auto"/>
            <w:vMerge/>
            <w:tcBorders>
              <w:top w:val="none" w:sz="0" w:space="0" w:color="auto"/>
              <w:left w:val="none" w:sz="0" w:space="0" w:color="auto"/>
              <w:bottom w:val="none" w:sz="0" w:space="0" w:color="auto"/>
              <w:right w:val="none" w:sz="0" w:space="0" w:color="auto"/>
            </w:tcBorders>
            <w:shd w:val="clear" w:color="auto" w:fill="053572" w:themeFill="text2"/>
          </w:tcPr>
          <w:p w14:paraId="68D27F2A" w14:textId="77777777" w:rsidR="007C02E7" w:rsidRPr="000B7901" w:rsidRDefault="007C02E7"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6E65628B" w14:textId="047FA0AD" w:rsidR="007C02E7" w:rsidRPr="000B7901" w:rsidRDefault="007C02E7" w:rsidP="0056690A">
            <w:pPr>
              <w:pStyle w:val="TableHeadingCentered"/>
              <w:keepNext/>
              <w:keepLines/>
              <w:cnfStyle w:val="000000100000" w:firstRow="0" w:lastRow="0" w:firstColumn="0" w:lastColumn="0" w:oddVBand="0" w:evenVBand="0" w:oddHBand="1" w:evenHBand="0" w:firstRowFirstColumn="0" w:firstRowLastColumn="0" w:lastRowFirstColumn="0" w:lastRowLastColumn="0"/>
            </w:pPr>
            <w:r>
              <w:t>Project Count</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5DE87A58" w14:textId="4E585686" w:rsidR="007C02E7" w:rsidRPr="000B7901" w:rsidRDefault="007C02E7" w:rsidP="0056690A">
            <w:pPr>
              <w:pStyle w:val="TableHeadingCentered"/>
              <w:keepNext/>
              <w:keepLines/>
              <w:cnfStyle w:val="000000100000" w:firstRow="0" w:lastRow="0" w:firstColumn="0" w:lastColumn="0" w:oddVBand="0" w:evenVBand="0" w:oddHBand="1" w:evenHBand="0" w:firstRowFirstColumn="0" w:firstRowLastColumn="0" w:lastRowFirstColumn="0" w:lastRowLastColumn="0"/>
            </w:pPr>
            <w:r>
              <w:t>Ex Ante MWh</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42826B1A" w14:textId="4D3184F1" w:rsidR="007C02E7" w:rsidRPr="000B7901" w:rsidRDefault="007C02E7" w:rsidP="0056690A">
            <w:pPr>
              <w:pStyle w:val="TableHeadingCentered"/>
              <w:keepNext/>
              <w:keepLines/>
              <w:cnfStyle w:val="000000100000" w:firstRow="0" w:lastRow="0" w:firstColumn="0" w:lastColumn="0" w:oddVBand="0" w:evenVBand="0" w:oddHBand="1" w:evenHBand="0" w:firstRowFirstColumn="0" w:firstRowLastColumn="0" w:lastRowFirstColumn="0" w:lastRowLastColumn="0"/>
            </w:pPr>
            <w:r>
              <w:t>Project Count</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053A0FC" w14:textId="369BDADC" w:rsidR="007C02E7" w:rsidRPr="000B7901" w:rsidRDefault="007C02E7" w:rsidP="0056690A">
            <w:pPr>
              <w:pStyle w:val="TableHeadingCentered"/>
              <w:keepNext/>
              <w:keepLines/>
              <w:cnfStyle w:val="000000100000" w:firstRow="0" w:lastRow="0" w:firstColumn="0" w:lastColumn="0" w:oddVBand="0" w:evenVBand="0" w:oddHBand="1" w:evenHBand="0" w:firstRowFirstColumn="0" w:firstRowLastColumn="0" w:lastRowFirstColumn="0" w:lastRowLastColumn="0"/>
            </w:pPr>
            <w:r>
              <w:t>Ex Ante MWh</w:t>
            </w:r>
          </w:p>
        </w:tc>
      </w:tr>
      <w:tr w:rsidR="00C26534" w14:paraId="1BA046FF"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val="restart"/>
            <w:tcBorders>
              <w:top w:val="none" w:sz="0" w:space="0" w:color="auto"/>
              <w:left w:val="none" w:sz="0" w:space="0" w:color="auto"/>
              <w:bottom w:val="none" w:sz="0" w:space="0" w:color="auto"/>
              <w:right w:val="none" w:sz="0" w:space="0" w:color="auto"/>
            </w:tcBorders>
          </w:tcPr>
          <w:p w14:paraId="7AB59D40" w14:textId="3C5157D5" w:rsidR="00C26534" w:rsidRPr="00625570" w:rsidRDefault="00C26534" w:rsidP="0056690A">
            <w:pPr>
              <w:pStyle w:val="TableLeftText"/>
              <w:keepNext/>
              <w:keepLines/>
            </w:pPr>
            <w:r>
              <w:t>NCL</w:t>
            </w:r>
          </w:p>
        </w:tc>
        <w:tc>
          <w:tcPr>
            <w:tcW w:w="0" w:type="auto"/>
            <w:tcBorders>
              <w:top w:val="none" w:sz="0" w:space="0" w:color="auto"/>
              <w:left w:val="none" w:sz="0" w:space="0" w:color="auto"/>
              <w:bottom w:val="none" w:sz="0" w:space="0" w:color="auto"/>
              <w:right w:val="none" w:sz="0" w:space="0" w:color="auto"/>
            </w:tcBorders>
          </w:tcPr>
          <w:p w14:paraId="245EA254" w14:textId="5208B39F" w:rsidR="00C26534" w:rsidRPr="000B7901" w:rsidRDefault="00C26534"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5D863094" w14:textId="4432AD04" w:rsidR="00C26534" w:rsidRPr="000B7901" w:rsidRDefault="00C26534"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6534">
              <w:t>&lt; 29 MWh</w:t>
            </w:r>
          </w:p>
        </w:tc>
        <w:tc>
          <w:tcPr>
            <w:tcW w:w="0" w:type="auto"/>
            <w:tcBorders>
              <w:top w:val="none" w:sz="0" w:space="0" w:color="auto"/>
              <w:left w:val="none" w:sz="0" w:space="0" w:color="auto"/>
              <w:bottom w:val="none" w:sz="0" w:space="0" w:color="auto"/>
              <w:right w:val="none" w:sz="0" w:space="0" w:color="auto"/>
            </w:tcBorders>
          </w:tcPr>
          <w:p w14:paraId="00028339" w14:textId="7E7F0B31"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16</w:t>
            </w:r>
          </w:p>
        </w:tc>
        <w:tc>
          <w:tcPr>
            <w:tcW w:w="0" w:type="auto"/>
            <w:tcBorders>
              <w:top w:val="none" w:sz="0" w:space="0" w:color="auto"/>
              <w:left w:val="none" w:sz="0" w:space="0" w:color="auto"/>
              <w:bottom w:val="none" w:sz="0" w:space="0" w:color="auto"/>
              <w:right w:val="none" w:sz="0" w:space="0" w:color="auto"/>
            </w:tcBorders>
          </w:tcPr>
          <w:p w14:paraId="390052CA" w14:textId="0EC14E48"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146</w:t>
            </w:r>
          </w:p>
        </w:tc>
        <w:tc>
          <w:tcPr>
            <w:tcW w:w="0" w:type="auto"/>
            <w:tcBorders>
              <w:top w:val="none" w:sz="0" w:space="0" w:color="auto"/>
              <w:left w:val="none" w:sz="0" w:space="0" w:color="auto"/>
              <w:bottom w:val="none" w:sz="0" w:space="0" w:color="auto"/>
              <w:right w:val="none" w:sz="0" w:space="0" w:color="auto"/>
            </w:tcBorders>
          </w:tcPr>
          <w:p w14:paraId="7B70D2EE" w14:textId="31856F3D"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325901A1" w14:textId="67095053"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4</w:t>
            </w:r>
          </w:p>
        </w:tc>
      </w:tr>
      <w:tr w:rsidR="00C26534" w14:paraId="5251E4EE"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6ED05F61" w14:textId="429F625B" w:rsidR="00C26534" w:rsidRPr="00625570" w:rsidRDefault="00C26534" w:rsidP="0056690A">
            <w:pPr>
              <w:pStyle w:val="TableLeftText"/>
              <w:keepNext/>
              <w:keepLines/>
            </w:pPr>
          </w:p>
        </w:tc>
        <w:tc>
          <w:tcPr>
            <w:tcW w:w="0" w:type="auto"/>
            <w:tcBorders>
              <w:top w:val="none" w:sz="0" w:space="0" w:color="auto"/>
              <w:left w:val="none" w:sz="0" w:space="0" w:color="auto"/>
              <w:bottom w:val="none" w:sz="0" w:space="0" w:color="auto"/>
              <w:right w:val="none" w:sz="0" w:space="0" w:color="auto"/>
            </w:tcBorders>
          </w:tcPr>
          <w:p w14:paraId="4AE7F5A9" w14:textId="32DFC550" w:rsidR="00C26534" w:rsidRPr="000B7901" w:rsidRDefault="00C26534"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3FC8441D" w14:textId="473545F4" w:rsidR="00C26534" w:rsidRPr="000B7901" w:rsidRDefault="00C26534"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6534">
              <w:t>&gt; 29 MWh &amp; &lt; 86 MWh</w:t>
            </w:r>
          </w:p>
        </w:tc>
        <w:tc>
          <w:tcPr>
            <w:tcW w:w="0" w:type="auto"/>
            <w:tcBorders>
              <w:top w:val="none" w:sz="0" w:space="0" w:color="auto"/>
              <w:left w:val="none" w:sz="0" w:space="0" w:color="auto"/>
              <w:bottom w:val="none" w:sz="0" w:space="0" w:color="auto"/>
              <w:right w:val="none" w:sz="0" w:space="0" w:color="auto"/>
            </w:tcBorders>
          </w:tcPr>
          <w:p w14:paraId="00E9DFB6" w14:textId="6ADD47CA"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09977EBD" w14:textId="55E2D236"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188</w:t>
            </w:r>
          </w:p>
        </w:tc>
        <w:tc>
          <w:tcPr>
            <w:tcW w:w="0" w:type="auto"/>
            <w:tcBorders>
              <w:top w:val="none" w:sz="0" w:space="0" w:color="auto"/>
              <w:left w:val="none" w:sz="0" w:space="0" w:color="auto"/>
              <w:bottom w:val="none" w:sz="0" w:space="0" w:color="auto"/>
              <w:right w:val="none" w:sz="0" w:space="0" w:color="auto"/>
            </w:tcBorders>
          </w:tcPr>
          <w:p w14:paraId="2737EE0F" w14:textId="52AA965E"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27B47DFC" w14:textId="2B786CDC"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67</w:t>
            </w:r>
          </w:p>
        </w:tc>
      </w:tr>
      <w:tr w:rsidR="00C26534" w14:paraId="281904E9"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2AC85F62" w14:textId="264653E6" w:rsidR="00C26534" w:rsidRPr="00625570" w:rsidRDefault="00C26534" w:rsidP="0056690A">
            <w:pPr>
              <w:pStyle w:val="TableLeftText"/>
              <w:keepNext/>
              <w:keepLines/>
            </w:pPr>
          </w:p>
        </w:tc>
        <w:tc>
          <w:tcPr>
            <w:tcW w:w="0" w:type="auto"/>
            <w:tcBorders>
              <w:top w:val="none" w:sz="0" w:space="0" w:color="auto"/>
              <w:left w:val="none" w:sz="0" w:space="0" w:color="auto"/>
              <w:bottom w:val="none" w:sz="0" w:space="0" w:color="auto"/>
              <w:right w:val="none" w:sz="0" w:space="0" w:color="auto"/>
            </w:tcBorders>
          </w:tcPr>
          <w:p w14:paraId="63FFF762" w14:textId="4DA14CC7" w:rsidR="00C26534" w:rsidRPr="000B7901" w:rsidRDefault="00C26534"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t>3</w:t>
            </w:r>
          </w:p>
        </w:tc>
        <w:tc>
          <w:tcPr>
            <w:tcW w:w="0" w:type="auto"/>
            <w:tcBorders>
              <w:top w:val="none" w:sz="0" w:space="0" w:color="auto"/>
              <w:left w:val="none" w:sz="0" w:space="0" w:color="auto"/>
              <w:bottom w:val="none" w:sz="0" w:space="0" w:color="auto"/>
              <w:right w:val="none" w:sz="0" w:space="0" w:color="auto"/>
            </w:tcBorders>
          </w:tcPr>
          <w:p w14:paraId="6DC26110" w14:textId="022A114B" w:rsidR="00C26534" w:rsidRPr="000B7901" w:rsidRDefault="00C26534" w:rsidP="0056690A">
            <w:pPr>
              <w:pStyle w:val="TableCenterText"/>
              <w:keepNext/>
              <w:keepLines/>
              <w:cnfStyle w:val="000000010000" w:firstRow="0" w:lastRow="0" w:firstColumn="0" w:lastColumn="0" w:oddVBand="0" w:evenVBand="0" w:oddHBand="0" w:evenHBand="1" w:firstRowFirstColumn="0" w:firstRowLastColumn="0" w:lastRowFirstColumn="0" w:lastRowLastColumn="0"/>
            </w:pPr>
            <w:r w:rsidRPr="00C26534">
              <w:t>&gt; 86 MWh &amp; &lt; 767 MWh</w:t>
            </w:r>
          </w:p>
        </w:tc>
        <w:tc>
          <w:tcPr>
            <w:tcW w:w="0" w:type="auto"/>
            <w:tcBorders>
              <w:top w:val="none" w:sz="0" w:space="0" w:color="auto"/>
              <w:left w:val="none" w:sz="0" w:space="0" w:color="auto"/>
              <w:bottom w:val="none" w:sz="0" w:space="0" w:color="auto"/>
              <w:right w:val="none" w:sz="0" w:space="0" w:color="auto"/>
            </w:tcBorders>
          </w:tcPr>
          <w:p w14:paraId="55128352" w14:textId="46180D4A"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73FA33AF" w14:textId="03A2D957"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372</w:t>
            </w:r>
          </w:p>
        </w:tc>
        <w:tc>
          <w:tcPr>
            <w:tcW w:w="0" w:type="auto"/>
            <w:tcBorders>
              <w:top w:val="none" w:sz="0" w:space="0" w:color="auto"/>
              <w:left w:val="none" w:sz="0" w:space="0" w:color="auto"/>
              <w:bottom w:val="none" w:sz="0" w:space="0" w:color="auto"/>
              <w:right w:val="none" w:sz="0" w:space="0" w:color="auto"/>
            </w:tcBorders>
          </w:tcPr>
          <w:p w14:paraId="4244B8D4" w14:textId="5BBBE770"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2</w:t>
            </w:r>
          </w:p>
        </w:tc>
        <w:tc>
          <w:tcPr>
            <w:tcW w:w="0" w:type="auto"/>
            <w:tcBorders>
              <w:top w:val="none" w:sz="0" w:space="0" w:color="auto"/>
              <w:left w:val="none" w:sz="0" w:space="0" w:color="auto"/>
              <w:bottom w:val="none" w:sz="0" w:space="0" w:color="auto"/>
              <w:right w:val="none" w:sz="0" w:space="0" w:color="auto"/>
            </w:tcBorders>
          </w:tcPr>
          <w:p w14:paraId="61738743" w14:textId="1ADF97D9" w:rsidR="00C26534" w:rsidRPr="000B7901" w:rsidRDefault="00C26534" w:rsidP="0056690A">
            <w:pPr>
              <w:pStyle w:val="TableCenterText"/>
              <w:keepNext/>
              <w:keepLines/>
              <w:jc w:val="right"/>
              <w:cnfStyle w:val="000000010000" w:firstRow="0" w:lastRow="0" w:firstColumn="0" w:lastColumn="0" w:oddVBand="0" w:evenVBand="0" w:oddHBand="0" w:evenHBand="1" w:firstRowFirstColumn="0" w:firstRowLastColumn="0" w:lastRowFirstColumn="0" w:lastRowLastColumn="0"/>
            </w:pPr>
            <w:r>
              <w:t>372</w:t>
            </w:r>
          </w:p>
        </w:tc>
      </w:tr>
      <w:tr w:rsidR="00C26534" w14:paraId="59258249"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vMerge/>
            <w:tcBorders>
              <w:top w:val="none" w:sz="0" w:space="0" w:color="auto"/>
              <w:left w:val="none" w:sz="0" w:space="0" w:color="auto"/>
              <w:bottom w:val="none" w:sz="0" w:space="0" w:color="auto"/>
              <w:right w:val="none" w:sz="0" w:space="0" w:color="auto"/>
            </w:tcBorders>
          </w:tcPr>
          <w:p w14:paraId="62DE23E0" w14:textId="152A11E4" w:rsidR="00C26534" w:rsidRPr="00625570" w:rsidRDefault="00C26534" w:rsidP="0056690A">
            <w:pPr>
              <w:pStyle w:val="TableLeftText"/>
              <w:keepNext/>
              <w:keepLines/>
            </w:pPr>
          </w:p>
        </w:tc>
        <w:tc>
          <w:tcPr>
            <w:tcW w:w="0" w:type="auto"/>
            <w:tcBorders>
              <w:top w:val="none" w:sz="0" w:space="0" w:color="auto"/>
              <w:left w:val="none" w:sz="0" w:space="0" w:color="auto"/>
              <w:bottom w:val="none" w:sz="0" w:space="0" w:color="auto"/>
              <w:right w:val="none" w:sz="0" w:space="0" w:color="auto"/>
            </w:tcBorders>
          </w:tcPr>
          <w:p w14:paraId="7F134248" w14:textId="400B4968" w:rsidR="00C26534" w:rsidRPr="000B7901" w:rsidRDefault="00C26534"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t>4</w:t>
            </w:r>
          </w:p>
        </w:tc>
        <w:tc>
          <w:tcPr>
            <w:tcW w:w="0" w:type="auto"/>
            <w:tcBorders>
              <w:top w:val="none" w:sz="0" w:space="0" w:color="auto"/>
              <w:left w:val="none" w:sz="0" w:space="0" w:color="auto"/>
              <w:bottom w:val="none" w:sz="0" w:space="0" w:color="auto"/>
              <w:right w:val="none" w:sz="0" w:space="0" w:color="auto"/>
            </w:tcBorders>
          </w:tcPr>
          <w:p w14:paraId="20E2B24E" w14:textId="7CE3BAA3" w:rsidR="00C26534" w:rsidRPr="000B7901" w:rsidRDefault="00C26534" w:rsidP="0056690A">
            <w:pPr>
              <w:pStyle w:val="TableCenterText"/>
              <w:keepNext/>
              <w:keepLines/>
              <w:cnfStyle w:val="000000100000" w:firstRow="0" w:lastRow="0" w:firstColumn="0" w:lastColumn="0" w:oddVBand="0" w:evenVBand="0" w:oddHBand="1" w:evenHBand="0" w:firstRowFirstColumn="0" w:firstRowLastColumn="0" w:lastRowFirstColumn="0" w:lastRowLastColumn="0"/>
            </w:pPr>
            <w:r w:rsidRPr="00C26534">
              <w:t>&gt; 767 MWh</w:t>
            </w:r>
          </w:p>
        </w:tc>
        <w:tc>
          <w:tcPr>
            <w:tcW w:w="0" w:type="auto"/>
            <w:tcBorders>
              <w:top w:val="none" w:sz="0" w:space="0" w:color="auto"/>
              <w:left w:val="none" w:sz="0" w:space="0" w:color="auto"/>
              <w:bottom w:val="none" w:sz="0" w:space="0" w:color="auto"/>
              <w:right w:val="none" w:sz="0" w:space="0" w:color="auto"/>
            </w:tcBorders>
          </w:tcPr>
          <w:p w14:paraId="33DF0E6A" w14:textId="23C2A1EE"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1BEE6704" w14:textId="36A06927"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767</w:t>
            </w:r>
          </w:p>
        </w:tc>
        <w:tc>
          <w:tcPr>
            <w:tcW w:w="0" w:type="auto"/>
            <w:tcBorders>
              <w:top w:val="none" w:sz="0" w:space="0" w:color="auto"/>
              <w:left w:val="none" w:sz="0" w:space="0" w:color="auto"/>
              <w:bottom w:val="none" w:sz="0" w:space="0" w:color="auto"/>
              <w:right w:val="none" w:sz="0" w:space="0" w:color="auto"/>
            </w:tcBorders>
          </w:tcPr>
          <w:p w14:paraId="0F38B534" w14:textId="42EEBC55"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1</w:t>
            </w:r>
          </w:p>
        </w:tc>
        <w:tc>
          <w:tcPr>
            <w:tcW w:w="0" w:type="auto"/>
            <w:tcBorders>
              <w:top w:val="none" w:sz="0" w:space="0" w:color="auto"/>
              <w:left w:val="none" w:sz="0" w:space="0" w:color="auto"/>
              <w:bottom w:val="none" w:sz="0" w:space="0" w:color="auto"/>
              <w:right w:val="none" w:sz="0" w:space="0" w:color="auto"/>
            </w:tcBorders>
          </w:tcPr>
          <w:p w14:paraId="0D8C4451" w14:textId="64FAA13E" w:rsidR="00C26534" w:rsidRPr="000B7901" w:rsidRDefault="00C26534" w:rsidP="0056690A">
            <w:pPr>
              <w:pStyle w:val="TableCenterText"/>
              <w:keepNext/>
              <w:keepLines/>
              <w:jc w:val="right"/>
              <w:cnfStyle w:val="000000100000" w:firstRow="0" w:lastRow="0" w:firstColumn="0" w:lastColumn="0" w:oddVBand="0" w:evenVBand="0" w:oddHBand="1" w:evenHBand="0" w:firstRowFirstColumn="0" w:firstRowLastColumn="0" w:lastRowFirstColumn="0" w:lastRowLastColumn="0"/>
            </w:pPr>
            <w:r>
              <w:t>767</w:t>
            </w:r>
          </w:p>
        </w:tc>
      </w:tr>
      <w:tr w:rsidR="00C26534" w14:paraId="56B33588" w14:textId="77777777" w:rsidTr="00FB14E9">
        <w:trPr>
          <w:cnfStyle w:val="010000000000" w:firstRow="0" w:lastRow="1" w:firstColumn="0" w:lastColumn="0" w:oddVBand="0" w:evenVBand="0" w:oddHBand="0" w:evenHBand="0" w:firstRowFirstColumn="0" w:firstRowLastColumn="0" w:lastRowFirstColumn="0" w:lastRowLastColumn="0"/>
          <w:cantSplit/>
          <w:trHeight w:val="288"/>
        </w:trPr>
        <w:tc>
          <w:tcPr>
            <w:cnfStyle w:val="001000000001" w:firstRow="0" w:lastRow="0" w:firstColumn="1" w:lastColumn="0" w:oddVBand="0" w:evenVBand="0" w:oddHBand="0" w:evenHBand="0" w:firstRowFirstColumn="0" w:firstRowLastColumn="0" w:lastRowFirstColumn="1" w:lastRowLastColumn="0"/>
            <w:tcW w:w="0" w:type="auto"/>
            <w:gridSpan w:val="3"/>
            <w:tcBorders>
              <w:top w:val="none" w:sz="0" w:space="0" w:color="auto"/>
              <w:left w:val="none" w:sz="0" w:space="0" w:color="auto"/>
              <w:bottom w:val="none" w:sz="0" w:space="0" w:color="auto"/>
              <w:right w:val="none" w:sz="0" w:space="0" w:color="auto"/>
            </w:tcBorders>
          </w:tcPr>
          <w:p w14:paraId="40F0BC75" w14:textId="49D76263" w:rsidR="00C26534" w:rsidRPr="00FB14E9" w:rsidRDefault="00C26534" w:rsidP="0056690A">
            <w:pPr>
              <w:pStyle w:val="TableCenterText"/>
              <w:keepNext/>
              <w:keepLines/>
              <w:jc w:val="left"/>
              <w:rPr>
                <w:rFonts w:ascii="Franklin Gothic Medium" w:hAnsi="Franklin Gothic Medium"/>
                <w:b w:val="0"/>
                <w:bCs w:val="0"/>
              </w:rPr>
            </w:pPr>
            <w:r w:rsidRPr="00FB14E9">
              <w:rPr>
                <w:rFonts w:ascii="Franklin Gothic Medium" w:hAnsi="Franklin Gothic Medium"/>
                <w:b w:val="0"/>
                <w:bCs w:val="0"/>
              </w:rPr>
              <w:t>Total</w:t>
            </w:r>
          </w:p>
        </w:tc>
        <w:tc>
          <w:tcPr>
            <w:tcW w:w="0" w:type="auto"/>
            <w:tcBorders>
              <w:top w:val="none" w:sz="0" w:space="0" w:color="auto"/>
              <w:left w:val="none" w:sz="0" w:space="0" w:color="auto"/>
              <w:bottom w:val="none" w:sz="0" w:space="0" w:color="auto"/>
              <w:right w:val="none" w:sz="0" w:space="0" w:color="auto"/>
            </w:tcBorders>
          </w:tcPr>
          <w:p w14:paraId="6E7ABB01" w14:textId="12655F80" w:rsidR="00C26534" w:rsidRPr="00FB14E9" w:rsidRDefault="00C26534" w:rsidP="0056690A">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FB14E9">
              <w:rPr>
                <w:rFonts w:ascii="Franklin Gothic Medium" w:hAnsi="Franklin Gothic Medium"/>
                <w:b w:val="0"/>
              </w:rPr>
              <w:t>23</w:t>
            </w:r>
          </w:p>
        </w:tc>
        <w:tc>
          <w:tcPr>
            <w:tcW w:w="0" w:type="auto"/>
            <w:tcBorders>
              <w:top w:val="none" w:sz="0" w:space="0" w:color="auto"/>
              <w:left w:val="none" w:sz="0" w:space="0" w:color="auto"/>
              <w:bottom w:val="none" w:sz="0" w:space="0" w:color="auto"/>
              <w:right w:val="none" w:sz="0" w:space="0" w:color="auto"/>
            </w:tcBorders>
          </w:tcPr>
          <w:p w14:paraId="12FABD98" w14:textId="610AC7F2" w:rsidR="00C26534" w:rsidRPr="00FB14E9" w:rsidRDefault="00C26534" w:rsidP="0056690A">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FB14E9">
              <w:rPr>
                <w:rFonts w:ascii="Franklin Gothic Medium" w:hAnsi="Franklin Gothic Medium"/>
                <w:b w:val="0"/>
              </w:rPr>
              <w:t>1,474</w:t>
            </w:r>
          </w:p>
        </w:tc>
        <w:tc>
          <w:tcPr>
            <w:tcW w:w="0" w:type="auto"/>
            <w:tcBorders>
              <w:top w:val="none" w:sz="0" w:space="0" w:color="auto"/>
              <w:left w:val="none" w:sz="0" w:space="0" w:color="auto"/>
              <w:bottom w:val="none" w:sz="0" w:space="0" w:color="auto"/>
              <w:right w:val="none" w:sz="0" w:space="0" w:color="auto"/>
            </w:tcBorders>
          </w:tcPr>
          <w:p w14:paraId="756501C8" w14:textId="75A581C7" w:rsidR="00C26534" w:rsidRPr="00FB14E9" w:rsidRDefault="00C26534" w:rsidP="0056690A">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FB14E9">
              <w:rPr>
                <w:rFonts w:ascii="Franklin Gothic Medium" w:hAnsi="Franklin Gothic Medium"/>
                <w:b w:val="0"/>
              </w:rPr>
              <w:t>6</w:t>
            </w:r>
          </w:p>
        </w:tc>
        <w:tc>
          <w:tcPr>
            <w:tcW w:w="0" w:type="auto"/>
            <w:tcBorders>
              <w:top w:val="none" w:sz="0" w:space="0" w:color="auto"/>
              <w:left w:val="none" w:sz="0" w:space="0" w:color="auto"/>
              <w:bottom w:val="none" w:sz="0" w:space="0" w:color="auto"/>
              <w:right w:val="none" w:sz="0" w:space="0" w:color="auto"/>
            </w:tcBorders>
          </w:tcPr>
          <w:p w14:paraId="3F024F91" w14:textId="6A04F66E" w:rsidR="00C26534" w:rsidRPr="00FB14E9" w:rsidRDefault="00C26534" w:rsidP="0056690A">
            <w:pPr>
              <w:pStyle w:val="TableCenterText"/>
              <w:keepNext/>
              <w:keepLines/>
              <w:jc w:val="right"/>
              <w:cnfStyle w:val="010000000000" w:firstRow="0" w:lastRow="1" w:firstColumn="0" w:lastColumn="0" w:oddVBand="0" w:evenVBand="0" w:oddHBand="0" w:evenHBand="0" w:firstRowFirstColumn="0" w:firstRowLastColumn="0" w:lastRowFirstColumn="0" w:lastRowLastColumn="0"/>
              <w:rPr>
                <w:rFonts w:ascii="Franklin Gothic Medium" w:hAnsi="Franklin Gothic Medium"/>
                <w:b w:val="0"/>
              </w:rPr>
            </w:pPr>
            <w:r w:rsidRPr="00FB14E9">
              <w:rPr>
                <w:rFonts w:ascii="Franklin Gothic Medium" w:hAnsi="Franklin Gothic Medium"/>
                <w:b w:val="0"/>
              </w:rPr>
              <w:t>1,210</w:t>
            </w:r>
          </w:p>
        </w:tc>
      </w:tr>
    </w:tbl>
    <w:p w14:paraId="3550C91A" w14:textId="0B3ACA48" w:rsidR="00BB503F" w:rsidRDefault="00541712" w:rsidP="00566DFC">
      <w:pPr>
        <w:spacing w:before="240"/>
      </w:pPr>
      <w:r w:rsidRPr="00541712">
        <w:t xml:space="preserve">To estimate the channel’s verified savings, the evaluation team used the combined ratio adjustment method. As described in </w:t>
      </w:r>
      <w:r>
        <w:fldChar w:fldCharType="begin"/>
      </w:r>
      <w:r>
        <w:instrText xml:space="preserve"> REF _Ref191738141 \h </w:instrText>
      </w:r>
      <w:r>
        <w:fldChar w:fldCharType="separate"/>
      </w:r>
      <w:r w:rsidR="00AA10F4">
        <w:t xml:space="preserve">Equation </w:t>
      </w:r>
      <w:r w:rsidR="00AA10F4">
        <w:rPr>
          <w:noProof/>
        </w:rPr>
        <w:t>9</w:t>
      </w:r>
      <w:r>
        <w:fldChar w:fldCharType="end"/>
      </w:r>
      <w:r w:rsidRPr="00541712">
        <w:t>, we calculated the gross realization rate based on the desk reviews for a stratified random sample of projects. We then applied the ratio of the verified gross savings to the ex ante gross savings (the realization rate) to adjust the ex ante gross savings for the population of New Construction Lighting projects with savings (N=23).</w:t>
      </w:r>
    </w:p>
    <w:p w14:paraId="0B949D49" w14:textId="3BBE3025" w:rsidR="00BB503F" w:rsidRDefault="00BB503F" w:rsidP="00881B1B">
      <w:pPr>
        <w:pStyle w:val="Caption"/>
      </w:pPr>
      <w:bookmarkStart w:id="396" w:name="_Ref191738141"/>
      <w:r>
        <w:t xml:space="preserve">Equation </w:t>
      </w:r>
      <w:r>
        <w:fldChar w:fldCharType="begin"/>
      </w:r>
      <w:r>
        <w:instrText xml:space="preserve"> SEQ Equation \* ARABIC </w:instrText>
      </w:r>
      <w:r>
        <w:fldChar w:fldCharType="separate"/>
      </w:r>
      <w:r w:rsidR="00AA10F4">
        <w:rPr>
          <w:noProof/>
        </w:rPr>
        <w:t>9</w:t>
      </w:r>
      <w:r>
        <w:fldChar w:fldCharType="end"/>
      </w:r>
      <w:bookmarkEnd w:id="396"/>
      <w:r>
        <w:t xml:space="preserve">. </w:t>
      </w:r>
      <w:r w:rsidRPr="0047600E">
        <w:t>Ratio Adjustment Method</w:t>
      </w:r>
    </w:p>
    <w:p w14:paraId="5F62AB6C" w14:textId="6076C551" w:rsidR="00BB503F" w:rsidRDefault="000458DD" w:rsidP="00881B1B">
      <w:pPr>
        <w:pStyle w:val="Caption"/>
      </w:pPr>
      <m:oMathPara>
        <m:oMath>
          <m:sSub>
            <m:sSubPr>
              <m:ctrlPr>
                <w:rPr>
                  <w:rFonts w:ascii="Cambria Math" w:hAnsi="Cambria Math"/>
                </w:rPr>
              </m:ctrlPr>
            </m:sSubPr>
            <m:e>
              <m:r>
                <w:rPr>
                  <w:rFonts w:ascii="Cambria Math" w:hAnsi="Cambria Math"/>
                </w:rPr>
                <m:t>I</m:t>
              </m:r>
            </m:e>
            <m:sub>
              <m:r>
                <w:rPr>
                  <w:rFonts w:ascii="Cambria Math" w:hAnsi="Cambria Math"/>
                </w:rPr>
                <m:t>EP</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I</m:t>
                  </m:r>
                </m:e>
                <m:sub>
                  <m:r>
                    <w:rPr>
                      <w:rFonts w:ascii="Cambria Math" w:hAnsi="Cambria Math"/>
                    </w:rPr>
                    <m:t>EPS</m:t>
                  </m:r>
                </m:sub>
              </m:sSub>
            </m:num>
            <m:den>
              <m:sSub>
                <m:sSubPr>
                  <m:ctrlPr>
                    <w:rPr>
                      <w:rFonts w:ascii="Cambria Math" w:hAnsi="Cambria Math"/>
                    </w:rPr>
                  </m:ctrlPr>
                </m:sSubPr>
                <m:e>
                  <m:r>
                    <w:rPr>
                      <w:rFonts w:ascii="Cambria Math" w:hAnsi="Cambria Math"/>
                    </w:rPr>
                    <m:t>I</m:t>
                  </m:r>
                </m:e>
                <m:sub>
                  <m:r>
                    <w:rPr>
                      <w:rFonts w:ascii="Cambria Math" w:hAnsi="Cambria Math"/>
                    </w:rPr>
                    <m:t>EAS</m:t>
                  </m:r>
                </m:sub>
              </m:sSub>
            </m:den>
          </m:f>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EA</m:t>
              </m:r>
            </m:sub>
          </m:sSub>
        </m:oMath>
      </m:oMathPara>
    </w:p>
    <w:p w14:paraId="67572706" w14:textId="7157B7C8" w:rsidR="00BB503F" w:rsidRDefault="00021C08" w:rsidP="00BB503F">
      <w:r>
        <w:t>Where</w:t>
      </w:r>
      <w:r w:rsidR="00BB503F">
        <w:t>:</w:t>
      </w:r>
    </w:p>
    <w:p w14:paraId="1580F463" w14:textId="77777777" w:rsidR="00BB503F" w:rsidRDefault="00BB503F" w:rsidP="00BB503F">
      <w:pPr>
        <w:ind w:left="1440"/>
      </w:pPr>
      <w:r w:rsidRPr="00BE5B54">
        <w:rPr>
          <w:rFonts w:ascii="Cambria Math" w:hAnsi="Cambria Math"/>
          <w:i/>
          <w:iCs/>
        </w:rPr>
        <w:t>I</w:t>
      </w:r>
      <w:r w:rsidRPr="00BE5B54">
        <w:rPr>
          <w:rFonts w:ascii="Cambria Math" w:hAnsi="Cambria Math"/>
          <w:i/>
          <w:iCs/>
          <w:vertAlign w:val="subscript"/>
        </w:rPr>
        <w:t>EP</w:t>
      </w:r>
      <w:r>
        <w:t xml:space="preserve"> = the verified population energy and demand impacts</w:t>
      </w:r>
    </w:p>
    <w:p w14:paraId="0F2C4053" w14:textId="77777777" w:rsidR="00BB503F" w:rsidRDefault="00BB503F" w:rsidP="00BB503F">
      <w:pPr>
        <w:ind w:left="1440"/>
      </w:pPr>
      <w:r w:rsidRPr="00BE5B54">
        <w:rPr>
          <w:rFonts w:ascii="Cambria Math" w:hAnsi="Cambria Math"/>
          <w:i/>
          <w:iCs/>
        </w:rPr>
        <w:t>I</w:t>
      </w:r>
      <w:r w:rsidRPr="00BE5B54">
        <w:rPr>
          <w:rFonts w:ascii="Cambria Math" w:hAnsi="Cambria Math"/>
          <w:i/>
          <w:iCs/>
          <w:vertAlign w:val="subscript"/>
        </w:rPr>
        <w:t>EA</w:t>
      </w:r>
      <w:r>
        <w:t xml:space="preserve"> = the ex ante population energy and demand impacts</w:t>
      </w:r>
    </w:p>
    <w:p w14:paraId="2FAC7922" w14:textId="77777777" w:rsidR="00BB503F" w:rsidRDefault="00BB503F" w:rsidP="00BB503F">
      <w:pPr>
        <w:ind w:left="1440"/>
      </w:pPr>
      <w:r w:rsidRPr="00BE5B54">
        <w:rPr>
          <w:rFonts w:ascii="Cambria Math" w:hAnsi="Cambria Math"/>
          <w:i/>
          <w:iCs/>
        </w:rPr>
        <w:t>I</w:t>
      </w:r>
      <w:r w:rsidRPr="00BE5B54">
        <w:rPr>
          <w:rFonts w:ascii="Cambria Math" w:hAnsi="Cambria Math"/>
          <w:i/>
          <w:iCs/>
          <w:vertAlign w:val="subscript"/>
        </w:rPr>
        <w:t>EPS</w:t>
      </w:r>
      <w:r>
        <w:t xml:space="preserve"> = the verified sample energy and demand impacts </w:t>
      </w:r>
    </w:p>
    <w:p w14:paraId="06AFE40C" w14:textId="77777777" w:rsidR="00BB503F" w:rsidRPr="0071596C" w:rsidRDefault="00BB503F" w:rsidP="00BB503F">
      <w:pPr>
        <w:ind w:left="1440"/>
      </w:pPr>
      <w:r w:rsidRPr="00BE5B54">
        <w:rPr>
          <w:rFonts w:ascii="Cambria Math" w:hAnsi="Cambria Math"/>
          <w:i/>
          <w:iCs/>
        </w:rPr>
        <w:t>I</w:t>
      </w:r>
      <w:r w:rsidRPr="00BE5B54">
        <w:rPr>
          <w:rFonts w:ascii="Cambria Math" w:hAnsi="Cambria Math"/>
          <w:i/>
          <w:iCs/>
          <w:vertAlign w:val="subscript"/>
        </w:rPr>
        <w:t>EAS</w:t>
      </w:r>
      <w:r>
        <w:t xml:space="preserve"> = the ex ante sample energy and demand impacts</w:t>
      </w:r>
    </w:p>
    <w:p w14:paraId="24CC59E8" w14:textId="77777777" w:rsidR="00BB503F" w:rsidRDefault="00BB503F" w:rsidP="00BB503F">
      <w:pPr>
        <w:pStyle w:val="Heading5"/>
      </w:pPr>
      <w:r>
        <w:t>Precision Calculations</w:t>
      </w:r>
    </w:p>
    <w:p w14:paraId="4EA1DFF0" w14:textId="25BC3FCF" w:rsidR="00BB503F" w:rsidRDefault="00BB503F" w:rsidP="00BB503F">
      <w:r w:rsidRPr="00BB503F">
        <w:t>To calculate relative precision, the team first determined the variance in the sample and then calculated the standard error and confidence interval</w:t>
      </w:r>
      <w:r>
        <w:t xml:space="preserve">. We used </w:t>
      </w:r>
      <w:r w:rsidR="00541712">
        <w:fldChar w:fldCharType="begin"/>
      </w:r>
      <w:r w:rsidR="00541712">
        <w:instrText xml:space="preserve"> REF _Ref191738139 \h </w:instrText>
      </w:r>
      <w:r w:rsidR="00541712">
        <w:fldChar w:fldCharType="separate"/>
      </w:r>
      <w:r w:rsidR="00AA10F4">
        <w:t xml:space="preserve">Equation </w:t>
      </w:r>
      <w:r w:rsidR="00AA10F4">
        <w:rPr>
          <w:noProof/>
        </w:rPr>
        <w:t>10</w:t>
      </w:r>
      <w:r w:rsidR="00541712">
        <w:fldChar w:fldCharType="end"/>
      </w:r>
      <w:r>
        <w:t xml:space="preserve"> through </w:t>
      </w:r>
      <w:r w:rsidR="00541712">
        <w:fldChar w:fldCharType="begin"/>
      </w:r>
      <w:r w:rsidR="00541712">
        <w:instrText xml:space="preserve"> REF _Ref191738140 \h </w:instrText>
      </w:r>
      <w:r w:rsidR="00541712">
        <w:fldChar w:fldCharType="separate"/>
      </w:r>
      <w:r w:rsidR="00AA10F4">
        <w:t xml:space="preserve">Equation </w:t>
      </w:r>
      <w:r w:rsidR="00AA10F4">
        <w:rPr>
          <w:noProof/>
        </w:rPr>
        <w:t>13</w:t>
      </w:r>
      <w:r w:rsidR="00541712">
        <w:fldChar w:fldCharType="end"/>
      </w:r>
      <w:r>
        <w:t xml:space="preserve"> to support these calculations.</w:t>
      </w:r>
    </w:p>
    <w:p w14:paraId="3318DF0B" w14:textId="109E5BB9" w:rsidR="00BB503F" w:rsidRDefault="00BB503F" w:rsidP="00881B1B">
      <w:pPr>
        <w:pStyle w:val="Caption"/>
      </w:pPr>
      <w:bookmarkStart w:id="397" w:name="_Ref191738139"/>
      <w:r>
        <w:t xml:space="preserve">Equation </w:t>
      </w:r>
      <w:r>
        <w:fldChar w:fldCharType="begin"/>
      </w:r>
      <w:r>
        <w:instrText xml:space="preserve"> SEQ Equation \* ARABIC </w:instrText>
      </w:r>
      <w:r>
        <w:fldChar w:fldCharType="separate"/>
      </w:r>
      <w:r w:rsidR="00AA10F4">
        <w:rPr>
          <w:noProof/>
        </w:rPr>
        <w:t>10</w:t>
      </w:r>
      <w:r>
        <w:fldChar w:fldCharType="end"/>
      </w:r>
      <w:bookmarkEnd w:id="397"/>
      <w:r>
        <w:t xml:space="preserve">. </w:t>
      </w:r>
      <w:r w:rsidRPr="009C1EBC">
        <w:t>Stratified Ratio Estimator</w:t>
      </w:r>
    </w:p>
    <w:p w14:paraId="5C316F34" w14:textId="77777777" w:rsidR="00BB503F" w:rsidRDefault="00BB503F" w:rsidP="00BB503F">
      <m:oMathPara>
        <m:oMath>
          <m:r>
            <w:rPr>
              <w:rFonts w:ascii="Cambria Math" w:hAnsi="Cambria Math"/>
            </w:rPr>
            <m:t xml:space="preserve">Stratified Ratio Estimator=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y</m:t>
                      </m:r>
                    </m:e>
                    <m:sub>
                      <m:r>
                        <w:rPr>
                          <w:rFonts w:ascii="Cambria Math" w:hAnsi="Cambria Math"/>
                        </w:rPr>
                        <m:t>i</m:t>
                      </m:r>
                    </m:sub>
                  </m:sSub>
                </m:e>
              </m:nary>
            </m:num>
            <m:den>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den>
          </m:f>
        </m:oMath>
      </m:oMathPara>
    </w:p>
    <w:p w14:paraId="6F83FF4B" w14:textId="7988388F" w:rsidR="00BB503F" w:rsidRDefault="00BB503F" w:rsidP="00881B1B">
      <w:pPr>
        <w:pStyle w:val="Caption"/>
      </w:pPr>
      <w:r>
        <w:lastRenderedPageBreak/>
        <w:t xml:space="preserve">Equation </w:t>
      </w:r>
      <w:r>
        <w:fldChar w:fldCharType="begin"/>
      </w:r>
      <w:r>
        <w:instrText xml:space="preserve"> SEQ Equation \* ARABIC </w:instrText>
      </w:r>
      <w:r>
        <w:fldChar w:fldCharType="separate"/>
      </w:r>
      <w:r w:rsidR="00AA10F4">
        <w:rPr>
          <w:noProof/>
        </w:rPr>
        <w:t>11</w:t>
      </w:r>
      <w:r>
        <w:fldChar w:fldCharType="end"/>
      </w:r>
      <w:r>
        <w:t xml:space="preserve">. </w:t>
      </w:r>
      <w:r w:rsidRPr="009C1EBC">
        <w:t>Standard Error</w:t>
      </w:r>
    </w:p>
    <w:p w14:paraId="35E5E58B" w14:textId="77777777" w:rsidR="00BB503F" w:rsidRDefault="00BB503F" w:rsidP="00BB503F">
      <m:oMathPara>
        <m:oMath>
          <m:r>
            <w:rPr>
              <w:rFonts w:ascii="Cambria Math" w:hAnsi="Cambria Math"/>
            </w:rPr>
            <m:t xml:space="preserve">Standard Error= </m:t>
          </m:r>
          <m:f>
            <m:fPr>
              <m:ctrlPr>
                <w:rPr>
                  <w:rFonts w:ascii="Cambria Math" w:hAnsi="Cambria Math"/>
                </w:rPr>
              </m:ctrlPr>
            </m:fPr>
            <m:num>
              <m:r>
                <w:rPr>
                  <w:rFonts w:ascii="Cambria Math" w:hAnsi="Cambria Math"/>
                </w:rPr>
                <m:t>1</m:t>
              </m:r>
            </m:num>
            <m:den>
              <m:acc>
                <m:accPr>
                  <m:ctrlPr>
                    <w:rPr>
                      <w:rFonts w:ascii="Cambria Math" w:hAnsi="Cambria Math"/>
                    </w:rPr>
                  </m:ctrlPr>
                </m:accPr>
                <m:e>
                  <m:r>
                    <w:rPr>
                      <w:rFonts w:ascii="Cambria Math" w:hAnsi="Cambria Math"/>
                    </w:rPr>
                    <m:t>X</m:t>
                  </m:r>
                </m:e>
              </m:acc>
            </m:den>
          </m:f>
          <m:rad>
            <m:radPr>
              <m:degHide m:val="1"/>
              <m:ctrlPr>
                <w:rPr>
                  <w:rFonts w:ascii="Cambria Math" w:hAnsi="Cambria Math"/>
                </w:rPr>
              </m:ctrlPr>
            </m:radPr>
            <m:deg/>
            <m:e>
              <m:nary>
                <m:naryPr>
                  <m:chr m:val="∑"/>
                  <m:limLoc m:val="undOvr"/>
                  <m:ctrlPr>
                    <w:rPr>
                      <w:rFonts w:ascii="Cambria Math" w:hAnsi="Cambria Math"/>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-1</m:t>
                      </m:r>
                    </m:e>
                  </m:d>
                  <m:r>
                    <w:rPr>
                      <w:rFonts w:ascii="Cambria Math" w:hAnsi="Cambria Math"/>
                    </w:rPr>
                    <m:t xml:space="preserve"> </m:t>
                  </m:r>
                  <m:sSubSup>
                    <m:sSubSupPr>
                      <m:ctrlPr>
                        <w:rPr>
                          <w:rFonts w:ascii="Cambria Math" w:hAnsi="Cambria Math"/>
                        </w:rPr>
                      </m:ctrlPr>
                    </m:sSubSupPr>
                    <m:e>
                      <m:r>
                        <w:rPr>
                          <w:rFonts w:ascii="Cambria Math" w:hAnsi="Cambria Math"/>
                        </w:rPr>
                        <m:t>e</m:t>
                      </m:r>
                    </m:e>
                    <m:sub>
                      <m:r>
                        <w:rPr>
                          <w:rFonts w:ascii="Cambria Math" w:hAnsi="Cambria Math"/>
                        </w:rPr>
                        <m:t>i</m:t>
                      </m:r>
                    </m:sub>
                    <m:sup>
                      <m:r>
                        <w:rPr>
                          <w:rFonts w:ascii="Cambria Math" w:hAnsi="Cambria Math"/>
                        </w:rPr>
                        <m:t>2</m:t>
                      </m:r>
                    </m:sup>
                  </m:sSubSup>
                </m:e>
              </m:nary>
            </m:e>
          </m:rad>
        </m:oMath>
      </m:oMathPara>
    </w:p>
    <w:p w14:paraId="4FA3E4BB" w14:textId="16B47937" w:rsidR="00BB503F" w:rsidRDefault="00BB503F" w:rsidP="00881B1B">
      <w:pPr>
        <w:pStyle w:val="Caption"/>
      </w:pPr>
      <w:r>
        <w:t xml:space="preserve">Equation </w:t>
      </w:r>
      <w:r>
        <w:fldChar w:fldCharType="begin"/>
      </w:r>
      <w:r>
        <w:instrText xml:space="preserve"> SEQ Equation \* ARABIC </w:instrText>
      </w:r>
      <w:r>
        <w:fldChar w:fldCharType="separate"/>
      </w:r>
      <w:r w:rsidR="00AA10F4">
        <w:rPr>
          <w:noProof/>
        </w:rPr>
        <w:t>12</w:t>
      </w:r>
      <w:r>
        <w:fldChar w:fldCharType="end"/>
      </w:r>
      <w:r>
        <w:t xml:space="preserve">. </w:t>
      </w:r>
      <w:r w:rsidRPr="009C1EBC">
        <w:t>Confidence Interval</w:t>
      </w:r>
    </w:p>
    <w:p w14:paraId="5D8AAE9A" w14:textId="75A846A0" w:rsidR="00BB503F" w:rsidRDefault="00BB503F" w:rsidP="00BB503F">
      <m:oMathPara>
        <m:oMath>
          <m:r>
            <w:rPr>
              <w:rFonts w:ascii="Cambria Math" w:hAnsi="Cambria Math"/>
            </w:rPr>
            <m:t>90% Confidence Interval= 1.645×Standard Error</m:t>
          </m:r>
        </m:oMath>
      </m:oMathPara>
    </w:p>
    <w:p w14:paraId="2C592D87" w14:textId="2CB1C582" w:rsidR="00BB503F" w:rsidRDefault="00BB503F" w:rsidP="00881B1B">
      <w:pPr>
        <w:pStyle w:val="Caption"/>
      </w:pPr>
      <w:bookmarkStart w:id="398" w:name="_Ref191738140"/>
      <w:r>
        <w:t xml:space="preserve">Equation </w:t>
      </w:r>
      <w:r>
        <w:fldChar w:fldCharType="begin"/>
      </w:r>
      <w:r>
        <w:instrText xml:space="preserve"> SEQ Equation \* ARABIC </w:instrText>
      </w:r>
      <w:r>
        <w:fldChar w:fldCharType="separate"/>
      </w:r>
      <w:r w:rsidR="00AA10F4">
        <w:rPr>
          <w:noProof/>
        </w:rPr>
        <w:t>13</w:t>
      </w:r>
      <w:r>
        <w:fldChar w:fldCharType="end"/>
      </w:r>
      <w:bookmarkEnd w:id="398"/>
      <w:r>
        <w:t xml:space="preserve">. </w:t>
      </w:r>
      <w:r w:rsidRPr="009C1EBC">
        <w:t>Relative Precision</w:t>
      </w:r>
    </w:p>
    <w:p w14:paraId="743456E0" w14:textId="77777777" w:rsidR="00BB503F" w:rsidRPr="0071596C" w:rsidRDefault="00BB503F" w:rsidP="00BB503F">
      <m:oMathPara>
        <m:oMath>
          <m:r>
            <w:rPr>
              <w:rFonts w:ascii="Cambria Math" w:hAnsi="Cambria Math"/>
            </w:rPr>
            <m:t>Relative Precision=</m:t>
          </m:r>
          <m:f>
            <m:fPr>
              <m:ctrlPr>
                <w:rPr>
                  <w:rFonts w:ascii="Cambria Math" w:hAnsi="Cambria Math"/>
                </w:rPr>
              </m:ctrlPr>
            </m:fPr>
            <m:num>
              <m:r>
                <w:rPr>
                  <w:rFonts w:ascii="Cambria Math" w:hAnsi="Cambria Math"/>
                </w:rPr>
                <m:t>90% Confidence Interval</m:t>
              </m:r>
            </m:num>
            <m:den>
              <m:r>
                <w:rPr>
                  <w:rFonts w:ascii="Cambria Math" w:hAnsi="Cambria Math"/>
                </w:rPr>
                <m:t>Stratified Ratio Estimator</m:t>
              </m:r>
            </m:den>
          </m:f>
        </m:oMath>
      </m:oMathPara>
    </w:p>
    <w:p w14:paraId="16F5D07B" w14:textId="76321972" w:rsidR="00BB503F" w:rsidRPr="0071596C" w:rsidRDefault="0056690A" w:rsidP="00BB503F">
      <w:pPr>
        <w:spacing w:before="200" w:after="200" w:line="240" w:lineRule="auto"/>
        <w:jc w:val="both"/>
        <w:rPr>
          <w:rFonts w:asciiTheme="minorHAnsi" w:hAnsiTheme="minorHAnsi"/>
        </w:rPr>
      </w:pPr>
      <w:r>
        <w:rPr>
          <w:rFonts w:asciiTheme="minorHAnsi" w:hAnsiTheme="minorHAnsi"/>
        </w:rPr>
        <w:t>W</w:t>
      </w:r>
      <w:r w:rsidR="00BB503F" w:rsidRPr="0071596C">
        <w:rPr>
          <w:rFonts w:asciiTheme="minorHAnsi" w:hAnsiTheme="minorHAnsi"/>
        </w:rPr>
        <w:t>here:</w:t>
      </w:r>
    </w:p>
    <w:p w14:paraId="6F4BB0F5" w14:textId="77777777" w:rsidR="00BB503F" w:rsidRPr="0071596C" w:rsidRDefault="00BB503F" w:rsidP="00BB503F">
      <w:pPr>
        <w:spacing w:before="200" w:after="200" w:line="240" w:lineRule="auto"/>
        <w:ind w:left="1440"/>
        <w:jc w:val="both"/>
        <w:rPr>
          <w:rFonts w:asciiTheme="minorHAnsi" w:hAnsiTheme="minorHAnsi"/>
        </w:rPr>
      </w:pPr>
      <w:r w:rsidRPr="0071596C">
        <w:rPr>
          <w:rFonts w:ascii="Cambria Math" w:hAnsi="Cambria Math"/>
          <w:i/>
          <w:iCs/>
        </w:rPr>
        <w:t>w</w:t>
      </w:r>
      <w:r w:rsidRPr="0071596C">
        <w:rPr>
          <w:rFonts w:asciiTheme="minorHAnsi" w:hAnsiTheme="minorHAnsi"/>
        </w:rPr>
        <w:t xml:space="preserve"> = case weights for each stratum h (Nh/nh)</w:t>
      </w:r>
    </w:p>
    <w:p w14:paraId="45D0A2A3" w14:textId="77777777" w:rsidR="00BB503F" w:rsidRPr="0071596C" w:rsidRDefault="00BB503F" w:rsidP="00BB503F">
      <w:pPr>
        <w:spacing w:before="200" w:after="200" w:line="240" w:lineRule="auto"/>
        <w:ind w:left="1440"/>
        <w:jc w:val="both"/>
        <w:rPr>
          <w:rFonts w:asciiTheme="minorHAnsi" w:hAnsiTheme="minorHAnsi"/>
        </w:rPr>
      </w:pPr>
      <w:r w:rsidRPr="0071596C">
        <w:rPr>
          <w:rFonts w:ascii="Cambria Math" w:hAnsi="Cambria Math"/>
        </w:rPr>
        <w:t>y</w:t>
      </w:r>
      <w:r w:rsidRPr="0071596C">
        <w:rPr>
          <w:rFonts w:asciiTheme="minorHAnsi" w:hAnsiTheme="minorHAnsi"/>
        </w:rPr>
        <w:t xml:space="preserve"> = verified savings</w:t>
      </w:r>
    </w:p>
    <w:p w14:paraId="6FFC15F6" w14:textId="77777777" w:rsidR="00BB503F" w:rsidRPr="0071596C" w:rsidRDefault="00BB503F" w:rsidP="00BB503F">
      <w:pPr>
        <w:spacing w:before="200" w:after="200" w:line="240" w:lineRule="auto"/>
        <w:ind w:left="1440"/>
        <w:jc w:val="both"/>
        <w:rPr>
          <w:rFonts w:asciiTheme="minorHAnsi" w:hAnsiTheme="minorHAnsi"/>
        </w:rPr>
      </w:pPr>
      <w:r w:rsidRPr="0071596C">
        <w:rPr>
          <w:rFonts w:ascii="Cambria Math" w:hAnsi="Cambria Math"/>
          <w:i/>
          <w:iCs/>
        </w:rPr>
        <w:t>x</w:t>
      </w:r>
      <w:r w:rsidRPr="0071596C">
        <w:rPr>
          <w:rFonts w:asciiTheme="minorHAnsi" w:hAnsiTheme="minorHAnsi"/>
        </w:rPr>
        <w:t xml:space="preserve"> = ex ante savings</w:t>
      </w:r>
    </w:p>
    <w:p w14:paraId="34E37AE6" w14:textId="77777777" w:rsidR="00BB503F" w:rsidRPr="0071596C" w:rsidRDefault="00BB503F" w:rsidP="00BB503F">
      <w:pPr>
        <w:spacing w:before="200" w:after="200" w:line="240" w:lineRule="auto"/>
        <w:ind w:left="1440"/>
        <w:jc w:val="both"/>
        <w:rPr>
          <w:rFonts w:asciiTheme="minorHAnsi" w:hAnsiTheme="minorHAnsi"/>
        </w:rPr>
      </w:pPr>
      <w:r w:rsidRPr="0071596C">
        <w:rPr>
          <w:rFonts w:ascii="Cambria Math" w:hAnsi="Cambria Math"/>
          <w:i/>
          <w:iCs/>
        </w:rPr>
        <w:t>e</w:t>
      </w:r>
      <w:r w:rsidRPr="0071596C">
        <w:rPr>
          <w:rFonts w:asciiTheme="minorHAnsi" w:hAnsiTheme="minorHAnsi"/>
        </w:rPr>
        <w:t xml:space="preserve"> = yi – b xi</w:t>
      </w:r>
    </w:p>
    <w:p w14:paraId="15EE9F33" w14:textId="0818F8FD" w:rsidR="00BB503F" w:rsidRPr="0071596C" w:rsidRDefault="000458DD" w:rsidP="00BB503F">
      <w:pPr>
        <w:spacing w:before="200" w:after="200" w:line="240" w:lineRule="auto"/>
        <w:ind w:left="1440"/>
        <w:jc w:val="both"/>
        <w:rPr>
          <w:rFonts w:asciiTheme="minorHAnsi" w:hAnsiTheme="minorHAnsi"/>
        </w:rPr>
      </w:pPr>
      <m:oMathPara>
        <m:oMathParaPr>
          <m:jc m:val="left"/>
        </m:oMathParaPr>
        <m:oMath>
          <m:acc>
            <m:accPr>
              <m:ctrlPr>
                <w:rPr>
                  <w:rFonts w:ascii="Cambria Math" w:hAnsi="Cambria Math"/>
                </w:rPr>
              </m:ctrlPr>
            </m:accPr>
            <m:e>
              <m:r>
                <w:rPr>
                  <w:rFonts w:ascii="Cambria Math" w:hAnsi="Cambria Math"/>
                </w:rPr>
                <m:t>X</m:t>
              </m:r>
            </m:e>
          </m:acc>
          <m:r>
            <w:rPr>
              <w:rFonts w:ascii="Cambria Math" w:hAnsi="Cambria Math"/>
            </w:rPr>
            <m:t xml:space="preserve">= </m:t>
          </m:r>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sSub>
                <m:sSubPr>
                  <m:ctrlPr>
                    <w:rPr>
                      <w:rFonts w:ascii="Cambria Math" w:hAnsi="Cambria Math"/>
                    </w:rPr>
                  </m:ctrlPr>
                </m:sSubPr>
                <m:e>
                  <m:r>
                    <w:rPr>
                      <w:rFonts w:ascii="Cambria Math" w:hAnsi="Cambria Math"/>
                    </w:rPr>
                    <m:t>w</m:t>
                  </m:r>
                </m:e>
                <m:sub>
                  <m:r>
                    <w:rPr>
                      <w:rFonts w:ascii="Cambria Math" w:hAnsi="Cambria Math"/>
                    </w:rPr>
                    <m:t>i</m:t>
                  </m:r>
                </m:sub>
              </m:sSub>
              <m:r>
                <w:rPr>
                  <w:rFonts w:ascii="Cambria Math" w:hAnsi="Cambria Math"/>
                </w:rPr>
                <m:t xml:space="preserve"> </m:t>
              </m:r>
              <m:sSub>
                <m:sSubPr>
                  <m:ctrlPr>
                    <w:rPr>
                      <w:rFonts w:ascii="Cambria Math" w:hAnsi="Cambria Math"/>
                    </w:rPr>
                  </m:ctrlPr>
                </m:sSubPr>
                <m:e>
                  <m:r>
                    <w:rPr>
                      <w:rFonts w:ascii="Cambria Math" w:hAnsi="Cambria Math"/>
                    </w:rPr>
                    <m:t>x</m:t>
                  </m:r>
                </m:e>
                <m:sub>
                  <m:r>
                    <w:rPr>
                      <w:rFonts w:ascii="Cambria Math" w:hAnsi="Cambria Math"/>
                    </w:rPr>
                    <m:t>i</m:t>
                  </m:r>
                </m:sub>
              </m:sSub>
            </m:e>
          </m:nary>
        </m:oMath>
      </m:oMathPara>
    </w:p>
    <w:p w14:paraId="3DD9D00A" w14:textId="77777777" w:rsidR="008616E9" w:rsidRDefault="008616E9" w:rsidP="008616E9">
      <w:pPr>
        <w:pStyle w:val="Heading4"/>
      </w:pPr>
      <w:r>
        <w:t>Measure Lives and Cumulative Persisting Annual Savings</w:t>
      </w:r>
    </w:p>
    <w:p w14:paraId="2F0EDF0F" w14:textId="6D1573DB" w:rsidR="001A45D4" w:rsidRDefault="001A45D4" w:rsidP="001A45D4">
      <w:r w:rsidRPr="001A45D4">
        <w:t>In accordance with methods presented and discussed in the IL-TRM V1</w:t>
      </w:r>
      <w:r w:rsidR="00F71AB0">
        <w:t>2</w:t>
      </w:r>
      <w:r w:rsidRPr="001A45D4">
        <w:t>.0 Attachment B,</w:t>
      </w:r>
      <w:r w:rsidR="00F71AB0">
        <w:rPr>
          <w:rStyle w:val="FootnoteReference"/>
        </w:rPr>
        <w:footnoteReference w:id="45"/>
      </w:r>
      <w:r w:rsidRPr="001A45D4">
        <w:t xml:space="preserve"> the evaluation team reviewed the ex ante measure life assumptions provided by the implementation team for sampled New Construction Lighting channel projects in 202</w:t>
      </w:r>
      <w:r w:rsidR="00F71AB0">
        <w:t>4</w:t>
      </w:r>
      <w:r>
        <w:t>.</w:t>
      </w:r>
      <w:r w:rsidR="00FE3B55">
        <w:t xml:space="preserve"> </w:t>
      </w:r>
      <w:r w:rsidR="00FE3B55">
        <w:fldChar w:fldCharType="begin"/>
      </w:r>
      <w:r w:rsidR="00FE3B55">
        <w:instrText xml:space="preserve"> REF _Ref191925369 \h </w:instrText>
      </w:r>
      <w:r w:rsidR="00FE3B55">
        <w:fldChar w:fldCharType="separate"/>
      </w:r>
      <w:r w:rsidR="00AA10F4">
        <w:t xml:space="preserve">Table </w:t>
      </w:r>
      <w:r w:rsidR="00AA10F4">
        <w:rPr>
          <w:noProof/>
        </w:rPr>
        <w:t>92</w:t>
      </w:r>
      <w:r w:rsidR="00FE3B55">
        <w:fldChar w:fldCharType="end"/>
      </w:r>
      <w:r w:rsidR="00FE3B55">
        <w:t xml:space="preserve"> </w:t>
      </w:r>
      <w:r w:rsidR="00FE3B55" w:rsidRPr="00FE3B55">
        <w:t xml:space="preserve">provides a summary of </w:t>
      </w:r>
      <w:r w:rsidR="00FE3B55">
        <w:t>NCL</w:t>
      </w:r>
      <w:r w:rsidR="00FE3B55" w:rsidRPr="00FE3B55">
        <w:t xml:space="preserve"> channel project measure lives adjusted after evaluation. All other ex ante measure lives in our sample were determined to have been </w:t>
      </w:r>
      <w:r w:rsidR="00157B19" w:rsidRPr="00FE3B55">
        <w:t>applied</w:t>
      </w:r>
      <w:r w:rsidR="00157B19">
        <w:t xml:space="preserve"> </w:t>
      </w:r>
      <w:r w:rsidR="00FE3B55" w:rsidRPr="00FE3B55">
        <w:t>appropriately.</w:t>
      </w:r>
    </w:p>
    <w:p w14:paraId="491FAAF3" w14:textId="5D72920A" w:rsidR="00FE3B55" w:rsidRDefault="00FE3B55" w:rsidP="00881B1B">
      <w:pPr>
        <w:pStyle w:val="Caption"/>
      </w:pPr>
      <w:bookmarkStart w:id="399" w:name="_Ref191925369"/>
      <w:bookmarkStart w:id="400" w:name="_Toc191992611"/>
      <w:bookmarkStart w:id="401" w:name="_Toc192767026"/>
      <w:r>
        <w:t xml:space="preserve">Table </w:t>
      </w:r>
      <w:r>
        <w:fldChar w:fldCharType="begin"/>
      </w:r>
      <w:r>
        <w:instrText xml:space="preserve"> SEQ Table \* ARABIC </w:instrText>
      </w:r>
      <w:r>
        <w:fldChar w:fldCharType="separate"/>
      </w:r>
      <w:r w:rsidR="00AA10F4">
        <w:rPr>
          <w:noProof/>
        </w:rPr>
        <w:t>92</w:t>
      </w:r>
      <w:r>
        <w:fldChar w:fldCharType="end"/>
      </w:r>
      <w:bookmarkEnd w:id="399"/>
      <w:r>
        <w:t>. New Construction Lighting</w:t>
      </w:r>
      <w:r w:rsidRPr="00FE3B55">
        <w:t xml:space="preserve"> Channel Measure Life Adjustments Due to Evaluation</w:t>
      </w:r>
      <w:bookmarkEnd w:id="400"/>
      <w:bookmarkEnd w:id="40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985"/>
        <w:gridCol w:w="1350"/>
        <w:gridCol w:w="2160"/>
        <w:gridCol w:w="6601"/>
      </w:tblGrid>
      <w:tr w:rsidR="0047619D" w14:paraId="063D51F8" w14:textId="77777777" w:rsidTr="00566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tcPr>
          <w:p w14:paraId="4C384DA8" w14:textId="77777777" w:rsidR="00FE3B55" w:rsidRDefault="00FE3B55" w:rsidP="00756BED">
            <w:pPr>
              <w:pStyle w:val="TableHeadingLeft"/>
            </w:pPr>
            <w:r>
              <w:t>Project Number</w:t>
            </w:r>
          </w:p>
        </w:tc>
        <w:tc>
          <w:tcPr>
            <w:tcW w:w="1350" w:type="dxa"/>
            <w:tcBorders>
              <w:bottom w:val="none" w:sz="0" w:space="0" w:color="auto"/>
            </w:tcBorders>
          </w:tcPr>
          <w:p w14:paraId="77D90C3A" w14:textId="77777777" w:rsidR="00FE3B55" w:rsidRDefault="00FE3B55" w:rsidP="00756BED">
            <w:pPr>
              <w:pStyle w:val="TableHeadingCentered"/>
              <w:cnfStyle w:val="100000000000" w:firstRow="1" w:lastRow="0" w:firstColumn="0" w:lastColumn="0" w:oddVBand="0" w:evenVBand="0" w:oddHBand="0" w:evenHBand="0" w:firstRowFirstColumn="0" w:firstRowLastColumn="0" w:lastRowFirstColumn="0" w:lastRowLastColumn="0"/>
            </w:pPr>
            <w:r>
              <w:t>Ex Ante Measure Life</w:t>
            </w:r>
          </w:p>
        </w:tc>
        <w:tc>
          <w:tcPr>
            <w:tcW w:w="2160" w:type="dxa"/>
            <w:tcBorders>
              <w:bottom w:val="none" w:sz="0" w:space="0" w:color="auto"/>
            </w:tcBorders>
          </w:tcPr>
          <w:p w14:paraId="5CB6F691" w14:textId="77777777" w:rsidR="00FE3B55" w:rsidRDefault="00FE3B55" w:rsidP="00756BED">
            <w:pPr>
              <w:pStyle w:val="TableHeadingCentered"/>
              <w:cnfStyle w:val="100000000000" w:firstRow="1" w:lastRow="0" w:firstColumn="0" w:lastColumn="0" w:oddVBand="0" w:evenVBand="0" w:oddHBand="0" w:evenHBand="0" w:firstRowFirstColumn="0" w:firstRowLastColumn="0" w:lastRowFirstColumn="0" w:lastRowLastColumn="0"/>
            </w:pPr>
            <w:r>
              <w:t>Verified Measure Life</w:t>
            </w:r>
          </w:p>
        </w:tc>
        <w:tc>
          <w:tcPr>
            <w:tcW w:w="6601" w:type="dxa"/>
            <w:tcBorders>
              <w:bottom w:val="none" w:sz="0" w:space="0" w:color="auto"/>
            </w:tcBorders>
          </w:tcPr>
          <w:p w14:paraId="721E0F49" w14:textId="77777777" w:rsidR="00FE3B55" w:rsidRDefault="00FE3B55" w:rsidP="00756BED">
            <w:pPr>
              <w:pStyle w:val="TableHeadingCentered"/>
              <w:cnfStyle w:val="100000000000" w:firstRow="1" w:lastRow="0" w:firstColumn="0" w:lastColumn="0" w:oddVBand="0" w:evenVBand="0" w:oddHBand="0" w:evenHBand="0" w:firstRowFirstColumn="0" w:firstRowLastColumn="0" w:lastRowFirstColumn="0" w:lastRowLastColumn="0"/>
            </w:pPr>
            <w:r>
              <w:t>Rationale for Adjustment</w:t>
            </w:r>
          </w:p>
        </w:tc>
      </w:tr>
      <w:tr w:rsidR="0047619D" w14:paraId="776AC0F6"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tcPr>
          <w:p w14:paraId="797E40AD" w14:textId="0B9ADC07" w:rsidR="00FE3B55" w:rsidRDefault="00FE3B55" w:rsidP="0056690A">
            <w:pPr>
              <w:jc w:val="center"/>
            </w:pPr>
            <w:r w:rsidRPr="00FE3B55">
              <w:t>2400063</w:t>
            </w:r>
          </w:p>
        </w:tc>
        <w:tc>
          <w:tcPr>
            <w:tcW w:w="1350" w:type="dxa"/>
            <w:tcBorders>
              <w:top w:val="none" w:sz="0" w:space="0" w:color="auto"/>
              <w:left w:val="none" w:sz="0" w:space="0" w:color="auto"/>
              <w:bottom w:val="none" w:sz="0" w:space="0" w:color="auto"/>
              <w:right w:val="none" w:sz="0" w:space="0" w:color="auto"/>
            </w:tcBorders>
          </w:tcPr>
          <w:p w14:paraId="17AA4A17" w14:textId="7D8E206B" w:rsidR="00FE3B55" w:rsidRDefault="00FE3B55" w:rsidP="00FE3B55">
            <w:pPr>
              <w:jc w:val="center"/>
              <w:cnfStyle w:val="000000100000" w:firstRow="0" w:lastRow="0" w:firstColumn="0" w:lastColumn="0" w:oddVBand="0" w:evenVBand="0" w:oddHBand="1" w:evenHBand="0" w:firstRowFirstColumn="0" w:firstRowLastColumn="0" w:lastRowFirstColumn="0" w:lastRowLastColumn="0"/>
            </w:pPr>
            <w:r>
              <w:t>12.2</w:t>
            </w:r>
          </w:p>
        </w:tc>
        <w:tc>
          <w:tcPr>
            <w:tcW w:w="2160" w:type="dxa"/>
            <w:tcBorders>
              <w:top w:val="none" w:sz="0" w:space="0" w:color="auto"/>
              <w:left w:val="none" w:sz="0" w:space="0" w:color="auto"/>
              <w:bottom w:val="none" w:sz="0" w:space="0" w:color="auto"/>
              <w:right w:val="none" w:sz="0" w:space="0" w:color="auto"/>
            </w:tcBorders>
          </w:tcPr>
          <w:p w14:paraId="7AE92580" w14:textId="4DF139BC" w:rsidR="00FE3B55" w:rsidRDefault="00FE3B55" w:rsidP="00FE3B55">
            <w:pPr>
              <w:jc w:val="center"/>
              <w:cnfStyle w:val="000000100000" w:firstRow="0" w:lastRow="0" w:firstColumn="0" w:lastColumn="0" w:oddVBand="0" w:evenVBand="0" w:oddHBand="1" w:evenHBand="0" w:firstRowFirstColumn="0" w:firstRowLastColumn="0" w:lastRowFirstColumn="0" w:lastRowLastColumn="0"/>
            </w:pPr>
            <w:r>
              <w:t>15.0</w:t>
            </w:r>
          </w:p>
        </w:tc>
        <w:tc>
          <w:tcPr>
            <w:tcW w:w="6601" w:type="dxa"/>
            <w:tcBorders>
              <w:top w:val="none" w:sz="0" w:space="0" w:color="auto"/>
              <w:left w:val="none" w:sz="0" w:space="0" w:color="auto"/>
              <w:bottom w:val="none" w:sz="0" w:space="0" w:color="auto"/>
              <w:right w:val="none" w:sz="0" w:space="0" w:color="auto"/>
            </w:tcBorders>
          </w:tcPr>
          <w:p w14:paraId="5D5094D6" w14:textId="421DF6F7" w:rsidR="00FE3B55" w:rsidRDefault="0047619D" w:rsidP="00927C3A">
            <w:pPr>
              <w:jc w:val="center"/>
              <w:cnfStyle w:val="000000100000" w:firstRow="0" w:lastRow="0" w:firstColumn="0" w:lastColumn="0" w:oddVBand="0" w:evenVBand="0" w:oddHBand="1" w:evenHBand="0" w:firstRowFirstColumn="0" w:firstRowLastColumn="0" w:lastRowFirstColumn="0" w:lastRowLastColumn="0"/>
            </w:pPr>
            <w:r>
              <w:t>The e</w:t>
            </w:r>
            <w:r w:rsidR="00FE3B55" w:rsidRPr="00FE3B55">
              <w:t xml:space="preserve">valuation </w:t>
            </w:r>
            <w:r>
              <w:t>team applied the</w:t>
            </w:r>
            <w:r w:rsidR="00FE3B55" w:rsidRPr="00FE3B55">
              <w:t xml:space="preserve"> EUL </w:t>
            </w:r>
            <w:r>
              <w:t xml:space="preserve">from </w:t>
            </w:r>
            <w:r w:rsidR="00FE3B55" w:rsidRPr="00FE3B55">
              <w:t xml:space="preserve">IL-TRM V12.0 </w:t>
            </w:r>
            <w:r>
              <w:t xml:space="preserve">section </w:t>
            </w:r>
            <w:r w:rsidR="00FE3B55" w:rsidRPr="00FE3B55">
              <w:t>4.5.7.</w:t>
            </w:r>
          </w:p>
        </w:tc>
      </w:tr>
      <w:tr w:rsidR="0047619D" w14:paraId="1060105F"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tcPr>
          <w:p w14:paraId="55799ACC" w14:textId="4D7CB9DF" w:rsidR="0047619D" w:rsidRDefault="0047619D" w:rsidP="0056690A">
            <w:pPr>
              <w:jc w:val="center"/>
            </w:pPr>
            <w:r w:rsidRPr="00FE3B55">
              <w:t>2400607</w:t>
            </w:r>
          </w:p>
        </w:tc>
        <w:tc>
          <w:tcPr>
            <w:tcW w:w="1350" w:type="dxa"/>
            <w:tcBorders>
              <w:top w:val="none" w:sz="0" w:space="0" w:color="auto"/>
              <w:left w:val="none" w:sz="0" w:space="0" w:color="auto"/>
              <w:bottom w:val="none" w:sz="0" w:space="0" w:color="auto"/>
              <w:right w:val="none" w:sz="0" w:space="0" w:color="auto"/>
            </w:tcBorders>
          </w:tcPr>
          <w:p w14:paraId="356C804B" w14:textId="3A2CBAB7" w:rsidR="0047619D" w:rsidRDefault="0047619D" w:rsidP="0047619D">
            <w:pPr>
              <w:jc w:val="center"/>
              <w:cnfStyle w:val="000000010000" w:firstRow="0" w:lastRow="0" w:firstColumn="0" w:lastColumn="0" w:oddVBand="0" w:evenVBand="0" w:oddHBand="0" w:evenHBand="1" w:firstRowFirstColumn="0" w:firstRowLastColumn="0" w:lastRowFirstColumn="0" w:lastRowLastColumn="0"/>
            </w:pPr>
            <w:r>
              <w:t>5.8</w:t>
            </w:r>
          </w:p>
        </w:tc>
        <w:tc>
          <w:tcPr>
            <w:tcW w:w="2160" w:type="dxa"/>
            <w:tcBorders>
              <w:top w:val="none" w:sz="0" w:space="0" w:color="auto"/>
              <w:left w:val="none" w:sz="0" w:space="0" w:color="auto"/>
              <w:bottom w:val="none" w:sz="0" w:space="0" w:color="auto"/>
              <w:right w:val="none" w:sz="0" w:space="0" w:color="auto"/>
            </w:tcBorders>
          </w:tcPr>
          <w:p w14:paraId="1E829BBC" w14:textId="77622BE4" w:rsidR="0047619D" w:rsidRDefault="0047619D" w:rsidP="0047619D">
            <w:pPr>
              <w:jc w:val="center"/>
              <w:cnfStyle w:val="000000010000" w:firstRow="0" w:lastRow="0" w:firstColumn="0" w:lastColumn="0" w:oddVBand="0" w:evenVBand="0" w:oddHBand="0" w:evenHBand="1" w:firstRowFirstColumn="0" w:firstRowLastColumn="0" w:lastRowFirstColumn="0" w:lastRowLastColumn="0"/>
            </w:pPr>
            <w:r>
              <w:t>15.0</w:t>
            </w:r>
          </w:p>
        </w:tc>
        <w:tc>
          <w:tcPr>
            <w:tcW w:w="6601" w:type="dxa"/>
            <w:tcBorders>
              <w:top w:val="none" w:sz="0" w:space="0" w:color="auto"/>
              <w:left w:val="none" w:sz="0" w:space="0" w:color="auto"/>
              <w:bottom w:val="none" w:sz="0" w:space="0" w:color="auto"/>
              <w:right w:val="none" w:sz="0" w:space="0" w:color="auto"/>
            </w:tcBorders>
          </w:tcPr>
          <w:p w14:paraId="139D30A6" w14:textId="587F685C" w:rsidR="0047619D" w:rsidRDefault="0047619D" w:rsidP="00927C3A">
            <w:pPr>
              <w:jc w:val="center"/>
              <w:cnfStyle w:val="000000010000" w:firstRow="0" w:lastRow="0" w:firstColumn="0" w:lastColumn="0" w:oddVBand="0" w:evenVBand="0" w:oddHBand="0" w:evenHBand="1" w:firstRowFirstColumn="0" w:firstRowLastColumn="0" w:lastRowFirstColumn="0" w:lastRowLastColumn="0"/>
            </w:pPr>
            <w:r w:rsidRPr="00AC08E8">
              <w:t>The evaluation team applied the EUL from IL-TRM V12.0 section 4.5.7.</w:t>
            </w:r>
          </w:p>
        </w:tc>
      </w:tr>
      <w:tr w:rsidR="0047619D" w14:paraId="64CC00B9"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85" w:type="dxa"/>
            <w:tcBorders>
              <w:top w:val="none" w:sz="0" w:space="0" w:color="auto"/>
              <w:left w:val="none" w:sz="0" w:space="0" w:color="auto"/>
              <w:bottom w:val="none" w:sz="0" w:space="0" w:color="auto"/>
              <w:right w:val="none" w:sz="0" w:space="0" w:color="auto"/>
            </w:tcBorders>
          </w:tcPr>
          <w:p w14:paraId="5060CB9A" w14:textId="541F0814" w:rsidR="0047619D" w:rsidRDefault="0047619D" w:rsidP="0056690A">
            <w:pPr>
              <w:jc w:val="center"/>
            </w:pPr>
            <w:r w:rsidRPr="00FE3B55">
              <w:t>2400076</w:t>
            </w:r>
          </w:p>
        </w:tc>
        <w:tc>
          <w:tcPr>
            <w:tcW w:w="1350" w:type="dxa"/>
            <w:tcBorders>
              <w:top w:val="none" w:sz="0" w:space="0" w:color="auto"/>
              <w:left w:val="none" w:sz="0" w:space="0" w:color="auto"/>
              <w:bottom w:val="none" w:sz="0" w:space="0" w:color="auto"/>
              <w:right w:val="none" w:sz="0" w:space="0" w:color="auto"/>
            </w:tcBorders>
          </w:tcPr>
          <w:p w14:paraId="52EE3092" w14:textId="59E10D88" w:rsidR="0047619D" w:rsidRDefault="0047619D" w:rsidP="0047619D">
            <w:pPr>
              <w:jc w:val="center"/>
              <w:cnfStyle w:val="000000100000" w:firstRow="0" w:lastRow="0" w:firstColumn="0" w:lastColumn="0" w:oddVBand="0" w:evenVBand="0" w:oddHBand="1" w:evenHBand="0" w:firstRowFirstColumn="0" w:firstRowLastColumn="0" w:lastRowFirstColumn="0" w:lastRowLastColumn="0"/>
            </w:pPr>
            <w:r>
              <w:t>5.8</w:t>
            </w:r>
          </w:p>
        </w:tc>
        <w:tc>
          <w:tcPr>
            <w:tcW w:w="2160" w:type="dxa"/>
            <w:tcBorders>
              <w:top w:val="none" w:sz="0" w:space="0" w:color="auto"/>
              <w:left w:val="none" w:sz="0" w:space="0" w:color="auto"/>
              <w:bottom w:val="none" w:sz="0" w:space="0" w:color="auto"/>
              <w:right w:val="none" w:sz="0" w:space="0" w:color="auto"/>
            </w:tcBorders>
          </w:tcPr>
          <w:p w14:paraId="16CA32F9" w14:textId="1A411524" w:rsidR="0047619D" w:rsidRDefault="0047619D" w:rsidP="0047619D">
            <w:pPr>
              <w:jc w:val="center"/>
              <w:cnfStyle w:val="000000100000" w:firstRow="0" w:lastRow="0" w:firstColumn="0" w:lastColumn="0" w:oddVBand="0" w:evenVBand="0" w:oddHBand="1" w:evenHBand="0" w:firstRowFirstColumn="0" w:firstRowLastColumn="0" w:lastRowFirstColumn="0" w:lastRowLastColumn="0"/>
            </w:pPr>
            <w:r>
              <w:t>15.0</w:t>
            </w:r>
          </w:p>
        </w:tc>
        <w:tc>
          <w:tcPr>
            <w:tcW w:w="6601" w:type="dxa"/>
            <w:tcBorders>
              <w:top w:val="none" w:sz="0" w:space="0" w:color="auto"/>
              <w:left w:val="none" w:sz="0" w:space="0" w:color="auto"/>
              <w:bottom w:val="none" w:sz="0" w:space="0" w:color="auto"/>
              <w:right w:val="none" w:sz="0" w:space="0" w:color="auto"/>
            </w:tcBorders>
          </w:tcPr>
          <w:p w14:paraId="66123D71" w14:textId="0F8F6F6F" w:rsidR="0047619D" w:rsidRDefault="0047619D" w:rsidP="00927C3A">
            <w:pPr>
              <w:jc w:val="center"/>
              <w:cnfStyle w:val="000000100000" w:firstRow="0" w:lastRow="0" w:firstColumn="0" w:lastColumn="0" w:oddVBand="0" w:evenVBand="0" w:oddHBand="1" w:evenHBand="0" w:firstRowFirstColumn="0" w:firstRowLastColumn="0" w:lastRowFirstColumn="0" w:lastRowLastColumn="0"/>
            </w:pPr>
            <w:r w:rsidRPr="00AC08E8">
              <w:t>The evaluation team applied the EUL from IL-TRM V12.0 section 4.5.7.</w:t>
            </w:r>
          </w:p>
        </w:tc>
      </w:tr>
    </w:tbl>
    <w:p w14:paraId="670D777A" w14:textId="6EAC0B9B" w:rsidR="008616E9" w:rsidRDefault="000649C2" w:rsidP="000649C2">
      <w:pPr>
        <w:pStyle w:val="AppendixGamma"/>
      </w:pPr>
      <w:bookmarkStart w:id="402" w:name="_Toc191992463"/>
      <w:r>
        <w:t>Net Impact Methodology</w:t>
      </w:r>
      <w:bookmarkEnd w:id="402"/>
    </w:p>
    <w:p w14:paraId="26F0DC09" w14:textId="77777777" w:rsidR="00F71AB0" w:rsidRDefault="00F71AB0" w:rsidP="00F71AB0">
      <w:r>
        <w:t>The evaluation team applied SAG-approved 2024 NTGRs to the verified gross savings to calculate verified net savings.</w:t>
      </w:r>
    </w:p>
    <w:p w14:paraId="0136032A" w14:textId="65F1EF9D" w:rsidR="00F71AB0" w:rsidRDefault="00F71AB0" w:rsidP="00881B1B">
      <w:pPr>
        <w:pStyle w:val="Caption"/>
      </w:pPr>
      <w:bookmarkStart w:id="403" w:name="_Toc191992612"/>
      <w:bookmarkStart w:id="404" w:name="_Toc192767027"/>
      <w:r>
        <w:lastRenderedPageBreak/>
        <w:t xml:space="preserve">Table </w:t>
      </w:r>
      <w:r w:rsidR="009B4C9A">
        <w:fldChar w:fldCharType="begin"/>
      </w:r>
      <w:r w:rsidR="009B4C9A">
        <w:instrText xml:space="preserve"> SEQ Table \* ARABIC </w:instrText>
      </w:r>
      <w:r w:rsidR="009B4C9A">
        <w:fldChar w:fldCharType="separate"/>
      </w:r>
      <w:r w:rsidR="00AA10F4">
        <w:rPr>
          <w:noProof/>
        </w:rPr>
        <w:t>93</w:t>
      </w:r>
      <w:r w:rsidR="009B4C9A">
        <w:rPr>
          <w:noProof/>
        </w:rPr>
        <w:fldChar w:fldCharType="end"/>
      </w:r>
      <w:r>
        <w:t>. 2024 SAG-Approved Custom Initiative NTGRs</w:t>
      </w:r>
      <w:bookmarkEnd w:id="403"/>
      <w:bookmarkEnd w:id="404"/>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74"/>
        <w:gridCol w:w="2774"/>
        <w:gridCol w:w="2774"/>
      </w:tblGrid>
      <w:tr w:rsidR="00F71AB0" w14:paraId="1E91C3FB"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10241716" w14:textId="77777777" w:rsidR="00F71AB0" w:rsidRDefault="00F71AB0" w:rsidP="00D97405">
            <w:pPr>
              <w:pStyle w:val="TableHeadingLeft"/>
            </w:pPr>
            <w:r>
              <w:t>Channel</w:t>
            </w:r>
          </w:p>
        </w:tc>
        <w:tc>
          <w:tcPr>
            <w:tcW w:w="2774" w:type="dxa"/>
            <w:tcBorders>
              <w:bottom w:val="none" w:sz="0" w:space="0" w:color="auto"/>
            </w:tcBorders>
          </w:tcPr>
          <w:p w14:paraId="4A6CE704" w14:textId="77777777" w:rsidR="00F71AB0" w:rsidRDefault="00F71AB0" w:rsidP="00D97405">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2774" w:type="dxa"/>
            <w:tcBorders>
              <w:bottom w:val="none" w:sz="0" w:space="0" w:color="auto"/>
            </w:tcBorders>
          </w:tcPr>
          <w:p w14:paraId="4EE7681B" w14:textId="77777777" w:rsidR="00F71AB0" w:rsidRDefault="00F71AB0" w:rsidP="00D97405">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F71AB0" w14:paraId="199D81E2"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59182470" w14:textId="4CE48A09" w:rsidR="00F71AB0" w:rsidRDefault="003F3C7E" w:rsidP="00D97405">
            <w:r>
              <w:t>All Measures</w:t>
            </w:r>
          </w:p>
        </w:tc>
        <w:tc>
          <w:tcPr>
            <w:tcW w:w="2774" w:type="dxa"/>
            <w:tcBorders>
              <w:top w:val="none" w:sz="0" w:space="0" w:color="auto"/>
              <w:left w:val="none" w:sz="0" w:space="0" w:color="auto"/>
              <w:bottom w:val="none" w:sz="0" w:space="0" w:color="auto"/>
              <w:right w:val="none" w:sz="0" w:space="0" w:color="auto"/>
            </w:tcBorders>
          </w:tcPr>
          <w:p w14:paraId="7D56AC43" w14:textId="14CA33A6" w:rsidR="00F71AB0" w:rsidRDefault="003F3C7E" w:rsidP="007C59EC">
            <w:pPr>
              <w:jc w:val="center"/>
              <w:cnfStyle w:val="000000100000" w:firstRow="0" w:lastRow="0" w:firstColumn="0" w:lastColumn="0" w:oddVBand="0" w:evenVBand="0" w:oddHBand="1" w:evenHBand="0" w:firstRowFirstColumn="0" w:firstRowLastColumn="0" w:lastRowFirstColumn="0" w:lastRowLastColumn="0"/>
            </w:pPr>
            <w:r>
              <w:t>0.791</w:t>
            </w:r>
          </w:p>
        </w:tc>
        <w:tc>
          <w:tcPr>
            <w:tcW w:w="2774" w:type="dxa"/>
            <w:tcBorders>
              <w:top w:val="none" w:sz="0" w:space="0" w:color="auto"/>
              <w:left w:val="none" w:sz="0" w:space="0" w:color="auto"/>
              <w:bottom w:val="none" w:sz="0" w:space="0" w:color="auto"/>
              <w:right w:val="none" w:sz="0" w:space="0" w:color="auto"/>
            </w:tcBorders>
          </w:tcPr>
          <w:p w14:paraId="011B9130" w14:textId="3B59E607" w:rsidR="00F71AB0" w:rsidRDefault="003F3C7E" w:rsidP="007C59EC">
            <w:pPr>
              <w:jc w:val="center"/>
              <w:cnfStyle w:val="000000100000" w:firstRow="0" w:lastRow="0" w:firstColumn="0" w:lastColumn="0" w:oddVBand="0" w:evenVBand="0" w:oddHBand="1" w:evenHBand="0" w:firstRowFirstColumn="0" w:firstRowLastColumn="0" w:lastRowFirstColumn="0" w:lastRowLastColumn="0"/>
            </w:pPr>
            <w:r>
              <w:t>0.824</w:t>
            </w:r>
          </w:p>
        </w:tc>
      </w:tr>
    </w:tbl>
    <w:p w14:paraId="7624A7D1" w14:textId="0CCF8467" w:rsidR="000649C2" w:rsidRDefault="000649C2" w:rsidP="000649C2">
      <w:pPr>
        <w:pStyle w:val="AppendixBeta"/>
      </w:pPr>
      <w:bookmarkStart w:id="405" w:name="_Toc191992464"/>
      <w:bookmarkStart w:id="406" w:name="_Toc192766914"/>
      <w:r>
        <w:t>Retro-Commissioning Initiative</w:t>
      </w:r>
      <w:bookmarkEnd w:id="405"/>
      <w:bookmarkEnd w:id="406"/>
    </w:p>
    <w:p w14:paraId="34668FEF" w14:textId="49EB33D9" w:rsidR="00F71AB0" w:rsidRDefault="00F71AB0" w:rsidP="00F71AB0">
      <w:pPr>
        <w:pStyle w:val="AppendixGamma"/>
      </w:pPr>
      <w:bookmarkStart w:id="407" w:name="_Toc191992465"/>
      <w:r>
        <w:t>Gross Impact Methodology – RCx Core Channel</w:t>
      </w:r>
      <w:bookmarkEnd w:id="407"/>
    </w:p>
    <w:p w14:paraId="45DC7255" w14:textId="78D23E11" w:rsidR="00C30B95" w:rsidRDefault="00C30B95" w:rsidP="00C30B95">
      <w:r>
        <w:t xml:space="preserve">The evaluation team examined RCx Core impacts to estimate a </w:t>
      </w:r>
      <w:r w:rsidR="00A235EF">
        <w:t xml:space="preserve">gross </w:t>
      </w:r>
      <w:r>
        <w:t>realization rate between</w:t>
      </w:r>
      <w:r w:rsidR="00A235EF">
        <w:t xml:space="preserve"> the</w:t>
      </w:r>
      <w:r>
        <w:t xml:space="preserve"> ex ante and verified gross savings. The evaluation team conducted engineering </w:t>
      </w:r>
      <w:r w:rsidR="004C193F">
        <w:t>d</w:t>
      </w:r>
      <w:r>
        <w:t xml:space="preserve">esk reviews and </w:t>
      </w:r>
      <w:r w:rsidR="00A235EF">
        <w:t>on-</w:t>
      </w:r>
      <w:r>
        <w:t xml:space="preserve">site visits for a census of projects to determine verified gross savings. </w:t>
      </w:r>
    </w:p>
    <w:p w14:paraId="27C7596D" w14:textId="1F3E85DF" w:rsidR="00C30B95" w:rsidRDefault="00C30B95" w:rsidP="00C30B95">
      <w:r>
        <w:t xml:space="preserve">The </w:t>
      </w:r>
      <w:r w:rsidR="004C193F">
        <w:t>e</w:t>
      </w:r>
      <w:r>
        <w:t>ngineering desk reviews consisted of a thorough examination of all available project documentation, including project reports, communications, equipment submittals, calculations, and any other proje</w:t>
      </w:r>
      <w:r w:rsidR="004C193F">
        <w:t>c</w:t>
      </w:r>
      <w:r>
        <w:t>t-specific data that were available to our team</w:t>
      </w:r>
      <w:r w:rsidR="004C193F">
        <w:t xml:space="preserve">. The evaluation team also conducted </w:t>
      </w:r>
      <w:r w:rsidR="00A235EF">
        <w:t>on-</w:t>
      </w:r>
      <w:r w:rsidR="004C193F">
        <w:t xml:space="preserve">site visits to verify measure status and collect supplemental data as needed. </w:t>
      </w:r>
    </w:p>
    <w:p w14:paraId="0566F1C1" w14:textId="12B90059" w:rsidR="004C193F" w:rsidRDefault="00A235EF" w:rsidP="00C30B95">
      <w:r>
        <w:t>We</w:t>
      </w:r>
      <w:r w:rsidR="004C193F">
        <w:t xml:space="preserve"> reviewed all </w:t>
      </w:r>
      <w:r>
        <w:t xml:space="preserve">completed </w:t>
      </w:r>
      <w:r w:rsidR="004C193F">
        <w:t>projects</w:t>
      </w:r>
      <w:r w:rsidR="00021C08">
        <w:t>; therefore, there is no sampling error regarding</w:t>
      </w:r>
      <w:r w:rsidR="004C193F">
        <w:t xml:space="preserve"> </w:t>
      </w:r>
      <w:r w:rsidR="001D2BDA">
        <w:t>the impact</w:t>
      </w:r>
      <w:r w:rsidR="004C193F">
        <w:t xml:space="preserve"> evaluation results.</w:t>
      </w:r>
    </w:p>
    <w:p w14:paraId="489B119F" w14:textId="4B7CACFF" w:rsidR="004C193F" w:rsidRDefault="004C193F" w:rsidP="004C193F">
      <w:pPr>
        <w:pStyle w:val="Heading4"/>
      </w:pPr>
      <w:r>
        <w:t>Measure Lives and Cumulative Persisting Annual Savings</w:t>
      </w:r>
    </w:p>
    <w:p w14:paraId="3BA5A1F5" w14:textId="47EF458A" w:rsidR="00D8092A" w:rsidRDefault="00D8092A" w:rsidP="00D8092A">
      <w:r>
        <w:t>In accordance with the methodology presented and discussed in the IL-TRM V12.0 Attachment B, the evaluation team reviewed the ex ante measure life assumptions provided by the implementation team for Retro-</w:t>
      </w:r>
      <w:r w:rsidR="00D74862">
        <w:t>Commissioning</w:t>
      </w:r>
      <w:r>
        <w:t xml:space="preserve"> Initiative projects in 20</w:t>
      </w:r>
      <w:r w:rsidR="00D74862">
        <w:t>2</w:t>
      </w:r>
      <w:r>
        <w:t xml:space="preserve">4. </w:t>
      </w:r>
      <w:r w:rsidR="00A37484">
        <w:t>The evaluation team did not make any adjustments to the project measure lives.</w:t>
      </w:r>
    </w:p>
    <w:p w14:paraId="5EC258C9" w14:textId="0BA90522" w:rsidR="000649C2" w:rsidRDefault="000649C2" w:rsidP="000649C2">
      <w:pPr>
        <w:pStyle w:val="AppendixGamma"/>
      </w:pPr>
      <w:bookmarkStart w:id="408" w:name="_Toc191992466"/>
      <w:r>
        <w:t>Gross Impact Methodology – Virtual Commissioning Channel</w:t>
      </w:r>
      <w:bookmarkEnd w:id="408"/>
    </w:p>
    <w:p w14:paraId="55675882" w14:textId="2042B197" w:rsidR="00FD6EB1" w:rsidRDefault="00FD6EB1" w:rsidP="00FD6EB1">
      <w:r>
        <w:t xml:space="preserve">The evaluation team evaluated gross savings from VCx channel activities in 2024 by replicating and verifying Power TakeOff’s facility-level modeling approach. Our approach, which leans heavily on the IPMVP Option C guidelines, </w:t>
      </w:r>
      <w:r w:rsidR="002D4013">
        <w:t>focused on verifying</w:t>
      </w:r>
      <w:r>
        <w:t xml:space="preserve"> Power TakeOff’s methods. We were able to take this approach because Power TakeOff agreed to adopt the evaluation team’s methodological recommendations from the 2021 AIC Virtual Commissioning impact evaluation, which enabled both Power TakeOff and the evaluation team to </w:t>
      </w:r>
      <w:r w:rsidR="002D4013">
        <w:t>agree</w:t>
      </w:r>
      <w:r>
        <w:t xml:space="preserve"> on a common methodology to estimate savings for 2022 and beyond. In 2024, after replicating Power TakeOff’s models, the evaluation team adjusted the facility-level models for eight projects to account for the exclusion of weather interaction terms. </w:t>
      </w:r>
    </w:p>
    <w:p w14:paraId="52FA3CC9" w14:textId="298D04CC" w:rsidR="00C30B95" w:rsidRDefault="00FD6EB1" w:rsidP="00FD6EB1">
      <w:r>
        <w:t>As part of the verification process, the evaluation team assessed Power TakeOff’s data cleaning and processing methods</w:t>
      </w:r>
      <w:r w:rsidR="002D4013">
        <w:t>, model specifications and evaluation process, and</w:t>
      </w:r>
      <w:r>
        <w:t xml:space="preserve"> process for calculating electric </w:t>
      </w:r>
      <w:r w:rsidR="00AF2F08">
        <w:t xml:space="preserve">energy </w:t>
      </w:r>
      <w:r>
        <w:t xml:space="preserve">savings. In addition to verifying the savings associated with VCx, the evaluation team independently verified whether the individual project modeling results met the channel’s guidelines </w:t>
      </w:r>
      <w:r w:rsidR="002D4013">
        <w:t>for</w:t>
      </w:r>
      <w:r>
        <w:t xml:space="preserve"> model fitness criteria. All projects that Power TakeOff claimed as part of the 2024 VCx channel met model robustness criteria.  </w:t>
      </w:r>
    </w:p>
    <w:p w14:paraId="1E3BE709" w14:textId="45F829ED" w:rsidR="004A0744" w:rsidRDefault="004A0744" w:rsidP="00FD6EB1">
      <w:r>
        <w:t xml:space="preserve">Lastly, the evaluation team reviewed and verified cross-participation adjustments Power TakeOff made to the ex ante savings estimates. </w:t>
      </w:r>
      <w:r w:rsidR="007640C5">
        <w:t>Cr</w:t>
      </w:r>
      <w:r>
        <w:t xml:space="preserve">oss-participation adjustments are necessary to avoid </w:t>
      </w:r>
      <w:r w:rsidR="002D4013">
        <w:t>double-counting</w:t>
      </w:r>
      <w:r>
        <w:t xml:space="preserve"> savings produced through other AIC initiatives. Power TakeOff identified six sites that participated in the VCx </w:t>
      </w:r>
      <w:r w:rsidR="002922C3">
        <w:t>channel</w:t>
      </w:r>
      <w:r>
        <w:t xml:space="preserve"> </w:t>
      </w:r>
      <w:r w:rsidR="002D4013">
        <w:t xml:space="preserve">and </w:t>
      </w:r>
      <w:r>
        <w:t xml:space="preserve">also participated in other AIC initiatives. The modeling-based approach to estimating savings for the VCx channel produces facility-level savings estimates, which </w:t>
      </w:r>
      <w:r w:rsidR="00D33071">
        <w:t>include</w:t>
      </w:r>
      <w:r>
        <w:t xml:space="preserve"> savings produced through other program interventions. Therefore, savings achieved through </w:t>
      </w:r>
      <w:r>
        <w:lastRenderedPageBreak/>
        <w:t xml:space="preserve">program activity incentivized and claimed through other AIC initiatives need to be removed from the savings estimates for VCx. The evaluation team </w:t>
      </w:r>
      <w:r w:rsidR="00CD2409">
        <w:t>modified the</w:t>
      </w:r>
      <w:r>
        <w:t xml:space="preserve"> cross-participation adjustments made for three projects. More information </w:t>
      </w:r>
      <w:r w:rsidR="00CD2409">
        <w:t xml:space="preserve">on these modifications </w:t>
      </w:r>
      <w:r w:rsidR="002D4013">
        <w:t xml:space="preserve">is </w:t>
      </w:r>
      <w:r w:rsidR="00CD2409">
        <w:t xml:space="preserve">provided in the </w:t>
      </w:r>
      <w:r w:rsidR="00CD2409">
        <w:fldChar w:fldCharType="begin"/>
      </w:r>
      <w:r w:rsidR="00CD2409">
        <w:instrText xml:space="preserve"> REF _Ref192149258 \h </w:instrText>
      </w:r>
      <w:r w:rsidR="00CD2409">
        <w:fldChar w:fldCharType="separate"/>
      </w:r>
      <w:r w:rsidR="00AA10F4">
        <w:t>Uplift from Other AIC Initiatives</w:t>
      </w:r>
      <w:r w:rsidR="00CD2409">
        <w:fldChar w:fldCharType="end"/>
      </w:r>
      <w:r w:rsidR="00CD2409">
        <w:t xml:space="preserve"> section.</w:t>
      </w:r>
    </w:p>
    <w:p w14:paraId="3F174F1A" w14:textId="35E3A0EE" w:rsidR="000649C2" w:rsidRDefault="000649C2" w:rsidP="00E70806">
      <w:pPr>
        <w:pStyle w:val="Heading4"/>
        <w:keepNext/>
      </w:pPr>
      <w:r>
        <w:t>Data Review and Cleaning</w:t>
      </w:r>
    </w:p>
    <w:p w14:paraId="1DDF9723" w14:textId="10FB3725" w:rsidR="00FD6EB1" w:rsidRDefault="00FD6EB1" w:rsidP="00FD6EB1">
      <w:r w:rsidRPr="00FD6EB1">
        <w:t>The evaluation team compared the raw and processed AMI data provided by Power TakeOff for a subset of projects to independently verify the data cleaning process that Power TakeOff used to estimate their models. The evaluation team utilized Power TakeOff’s processed data for modeling and reviewed this data for completeness.</w:t>
      </w:r>
    </w:p>
    <w:p w14:paraId="64083486" w14:textId="77777777" w:rsidR="000649C2" w:rsidRDefault="000649C2" w:rsidP="000649C2">
      <w:pPr>
        <w:pStyle w:val="Heading4"/>
      </w:pPr>
      <w:r>
        <w:t>Modeling Approach</w:t>
      </w:r>
    </w:p>
    <w:p w14:paraId="272261D6" w14:textId="382C61BD" w:rsidR="00FD6EB1" w:rsidRDefault="00FD6EB1" w:rsidP="00FD6EB1">
      <w:r>
        <w:t>The evaluation team verified the electric savings results Power TakeOff claimed for VCx by validating their site-level model specifications and replicating Power TakeOff’s results. To calculate annualized savings, we first developed regression-based baseline energy usage models</w:t>
      </w:r>
      <w:r w:rsidR="002D4013">
        <w:t xml:space="preserve"> and incorporated </w:t>
      </w:r>
      <w:r>
        <w:t>Typical Meteorological Year (TMYx) data to estimate normalized gross annual savings.</w:t>
      </w:r>
    </w:p>
    <w:p w14:paraId="6D101ADE" w14:textId="2A8EFACD" w:rsidR="00FD6EB1" w:rsidRDefault="00FD6EB1" w:rsidP="00FD6EB1">
      <w:r>
        <w:t>We developed the baseline model by fitting a regression model to pre- and post-intervention data. Power TakeOff selected an hourly or a daily regression model, depending on the project. Hourly models were estimated for 14 facilities</w:t>
      </w:r>
      <w:r w:rsidR="002D4013">
        <w:t>,</w:t>
      </w:r>
      <w:r>
        <w:t xml:space="preserve"> and daily models were estimated for </w:t>
      </w:r>
      <w:r w:rsidR="002D4013">
        <w:t xml:space="preserve">6 </w:t>
      </w:r>
      <w:r>
        <w:t>facilities. Model specifications also differed depending on whether there was a</w:t>
      </w:r>
      <w:r w:rsidR="008732BD">
        <w:t xml:space="preserve">n </w:t>
      </w:r>
      <w:r>
        <w:t>NRE.</w:t>
      </w:r>
    </w:p>
    <w:p w14:paraId="7E89DF43" w14:textId="24B70063" w:rsidR="00FD6EB1" w:rsidRDefault="00FD6EB1" w:rsidP="00FD6EB1">
      <w:r>
        <w:t xml:space="preserve">Power TakeOff included weather interactions for seven projects in their 2024 ex ante models. The evaluation team added weather interactions to the model specifications of eight additional projects that had </w:t>
      </w:r>
      <w:r w:rsidR="00AF2F08">
        <w:t>(1</w:t>
      </w:r>
      <w:r>
        <w:t xml:space="preserve">) weather-sensitive interventions (i.e., HVAC set point or scheduling adjustments), </w:t>
      </w:r>
      <w:r w:rsidR="00AF2F08">
        <w:t>(2</w:t>
      </w:r>
      <w:r>
        <w:t xml:space="preserve">) at least nine months of post-period data, and </w:t>
      </w:r>
      <w:r w:rsidR="00AF2F08">
        <w:t>(3</w:t>
      </w:r>
      <w:r>
        <w:t>) the combined effect of the interacted terms was statistically significant</w:t>
      </w:r>
      <w:r w:rsidR="00AF2F08">
        <w:t>,</w:t>
      </w:r>
      <w:r>
        <w:t xml:space="preserve"> per ANOVA tests. In addition to the weather interactions</w:t>
      </w:r>
      <w:r w:rsidR="002D4013">
        <w:t xml:space="preserve">, the evaluation team </w:t>
      </w:r>
      <w:r w:rsidR="00A36CA2">
        <w:t>reduced</w:t>
      </w:r>
      <w:r w:rsidR="002D4013">
        <w:t xml:space="preserve"> the post-period to one year to limit the need for cross-participation corrections for two projects</w:t>
      </w:r>
      <w:r>
        <w:t xml:space="preserve">. </w:t>
      </w:r>
      <w:r w:rsidR="00AF2F08">
        <w:t>The remaining</w:t>
      </w:r>
      <w:r>
        <w:t xml:space="preserve"> model specifications were kept the same.</w:t>
      </w:r>
    </w:p>
    <w:p w14:paraId="29D3E63A" w14:textId="77777777" w:rsidR="000649C2" w:rsidRDefault="000649C2" w:rsidP="000649C2">
      <w:pPr>
        <w:pStyle w:val="Heading4"/>
      </w:pPr>
      <w:r>
        <w:t>Time-Based Regression Model</w:t>
      </w:r>
    </w:p>
    <w:p w14:paraId="302F4FA9" w14:textId="082A86D6" w:rsidR="00241C08" w:rsidRDefault="00B55070" w:rsidP="00241C08">
      <w:r>
        <w:fldChar w:fldCharType="begin"/>
      </w:r>
      <w:r>
        <w:instrText xml:space="preserve"> REF _Ref191561969 \h </w:instrText>
      </w:r>
      <w:r>
        <w:fldChar w:fldCharType="separate"/>
      </w:r>
      <w:r w:rsidR="00AA10F4">
        <w:t xml:space="preserve">Equation </w:t>
      </w:r>
      <w:r w:rsidR="00AA10F4">
        <w:rPr>
          <w:noProof/>
        </w:rPr>
        <w:t>14</w:t>
      </w:r>
      <w:r>
        <w:fldChar w:fldCharType="end"/>
      </w:r>
      <w:r>
        <w:t xml:space="preserve"> through </w:t>
      </w:r>
      <w:r>
        <w:fldChar w:fldCharType="begin"/>
      </w:r>
      <w:r>
        <w:instrText xml:space="preserve"> REF _Ref191561979 \h </w:instrText>
      </w:r>
      <w:r>
        <w:fldChar w:fldCharType="separate"/>
      </w:r>
      <w:r w:rsidR="00AA10F4">
        <w:t xml:space="preserve">Equation </w:t>
      </w:r>
      <w:r w:rsidR="00AA10F4">
        <w:rPr>
          <w:noProof/>
        </w:rPr>
        <w:t>16</w:t>
      </w:r>
      <w:r>
        <w:fldChar w:fldCharType="end"/>
      </w:r>
      <w:r>
        <w:t xml:space="preserve"> below describe the four model specifications </w:t>
      </w:r>
      <w:r w:rsidR="00096D40">
        <w:t>utilized</w:t>
      </w:r>
      <w:r>
        <w:t xml:space="preserve"> in our evaluation. </w:t>
      </w:r>
    </w:p>
    <w:p w14:paraId="6DB7143C" w14:textId="48EF08A1" w:rsidR="00241C08" w:rsidRDefault="00241C08" w:rsidP="00881B1B">
      <w:pPr>
        <w:pStyle w:val="Caption"/>
      </w:pPr>
      <w:bookmarkStart w:id="409" w:name="_Ref191561969"/>
      <w:r>
        <w:t xml:space="preserve">Equation </w:t>
      </w:r>
      <w:r>
        <w:fldChar w:fldCharType="begin"/>
      </w:r>
      <w:r>
        <w:instrText xml:space="preserve"> SEQ Equation \* ARABIC </w:instrText>
      </w:r>
      <w:r>
        <w:fldChar w:fldCharType="separate"/>
      </w:r>
      <w:r w:rsidR="00AA10F4">
        <w:rPr>
          <w:noProof/>
        </w:rPr>
        <w:t>14</w:t>
      </w:r>
      <w:r>
        <w:fldChar w:fldCharType="end"/>
      </w:r>
      <w:bookmarkEnd w:id="409"/>
      <w:r>
        <w:t>. Regression Model Considering Time Interactions</w:t>
      </w:r>
    </w:p>
    <w:p w14:paraId="510C021E" w14:textId="17331888" w:rsidR="002177A5" w:rsidRPr="00B55070" w:rsidRDefault="00241C08" w:rsidP="002177A5">
      <m:oMathPara>
        <m:oMath>
          <m:r>
            <w:rPr>
              <w:rFonts w:ascii="Cambria Math" w:hAnsi="Cambria Math"/>
            </w:rPr>
            <m:t>E</m:t>
          </m:r>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Time</m:t>
              </m:r>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 xml:space="preserve"> + </m:t>
              </m:r>
              <m:r>
                <w:rPr>
                  <w:rFonts w:ascii="Cambria Math" w:hAnsi="Cambria Math"/>
                </w:rPr>
                <m:t>H(i)</m:t>
              </m:r>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Time</m:t>
                      </m:r>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nary>
                </m:e>
              </m:d>
              <m:r>
                <w:rPr>
                  <w:rFonts w:ascii="Cambria Math" w:hAnsi="Cambria Math"/>
                </w:rPr>
                <m:t xml:space="preserve"> </m:t>
              </m:r>
            </m:e>
          </m:nary>
        </m:oMath>
      </m:oMathPara>
    </w:p>
    <w:p w14:paraId="78EEDD87" w14:textId="512CCFF4" w:rsidR="00B55070" w:rsidRPr="00B55070" w:rsidRDefault="00B55070" w:rsidP="00881B1B">
      <w:pPr>
        <w:pStyle w:val="Caption"/>
      </w:pPr>
      <w:bookmarkStart w:id="410" w:name="_Ref191562251"/>
      <w:r>
        <w:t xml:space="preserve">Equation </w:t>
      </w:r>
      <w:r>
        <w:fldChar w:fldCharType="begin"/>
      </w:r>
      <w:r>
        <w:instrText xml:space="preserve"> SEQ Equation \* ARABIC </w:instrText>
      </w:r>
      <w:r>
        <w:fldChar w:fldCharType="separate"/>
      </w:r>
      <w:r w:rsidR="00AA10F4">
        <w:rPr>
          <w:noProof/>
        </w:rPr>
        <w:t>15</w:t>
      </w:r>
      <w:r>
        <w:fldChar w:fldCharType="end"/>
      </w:r>
      <w:bookmarkEnd w:id="410"/>
      <w:r>
        <w:t>. Regression Model Considering Time and Weather Interactions</w:t>
      </w:r>
    </w:p>
    <w:p w14:paraId="33913B39" w14:textId="5A8169C5" w:rsidR="00B55070" w:rsidRPr="00B55070" w:rsidRDefault="00B55070" w:rsidP="002177A5">
      <m:oMathPara>
        <m:oMath>
          <m:r>
            <w:rPr>
              <w:rFonts w:ascii="Cambria Math" w:hAnsi="Cambria Math" w:cs="Arial"/>
            </w:rPr>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m:t>
              </m:r>
              <m:d>
                <m:dPr>
                  <m:ctrlPr>
                    <w:rPr>
                      <w:rFonts w:ascii="Cambria Math" w:hAnsi="Cambria Math" w:cs="Arial"/>
                      <w:i/>
                    </w:rPr>
                  </m:ctrlPr>
                </m:dPr>
                <m:e>
                  <m:d>
                    <m:dPr>
                      <m:ctrlPr>
                        <w:rPr>
                          <w:rFonts w:ascii="Cambria Math" w:hAnsi="Cambria Math" w:cs="Arial"/>
                        </w:rPr>
                      </m:ctrlPr>
                    </m:dPr>
                    <m:e>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ctrlPr>
                        <w:rPr>
                          <w:rFonts w:ascii="Cambria Math" w:hAnsi="Cambria Math" w:cs="Arial"/>
                          <w:i/>
                        </w:rPr>
                      </m:ctrlPr>
                    </m:e>
                  </m:d>
                  <m: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d>
              <m:r>
                <w:rPr>
                  <w:rFonts w:ascii="Cambria Math" w:hAnsi="Cambria Math" w:cs="Arial"/>
                </w:rPr>
                <m:t xml:space="preserve">   </m:t>
              </m:r>
            </m:e>
          </m:nary>
        </m:oMath>
      </m:oMathPara>
    </w:p>
    <w:p w14:paraId="1FA91917" w14:textId="56A86A34" w:rsidR="00B55070" w:rsidRPr="00B55070" w:rsidRDefault="00B55070" w:rsidP="00881B1B">
      <w:pPr>
        <w:pStyle w:val="Caption"/>
      </w:pPr>
      <w:bookmarkStart w:id="411" w:name="_Ref191561979"/>
      <w:r>
        <w:lastRenderedPageBreak/>
        <w:t xml:space="preserve">Equation </w:t>
      </w:r>
      <w:r>
        <w:fldChar w:fldCharType="begin"/>
      </w:r>
      <w:r>
        <w:instrText xml:space="preserve"> SEQ Equation \* ARABIC </w:instrText>
      </w:r>
      <w:r>
        <w:fldChar w:fldCharType="separate"/>
      </w:r>
      <w:r w:rsidR="00AA10F4">
        <w:rPr>
          <w:noProof/>
        </w:rPr>
        <w:t>16</w:t>
      </w:r>
      <w:r>
        <w:fldChar w:fldCharType="end"/>
      </w:r>
      <w:bookmarkEnd w:id="411"/>
      <w:r>
        <w:t>. Regression Model Considering Time, Weather, and NRE Interactions</w:t>
      </w:r>
    </w:p>
    <w:p w14:paraId="56E0B684" w14:textId="5E151BD8" w:rsidR="00B55070" w:rsidRPr="00B55070" w:rsidRDefault="00B55070" w:rsidP="002177A5">
      <m:oMathPara>
        <m:oMath>
          <m:r>
            <w:rPr>
              <w:rFonts w:ascii="Cambria Math" w:hAnsi="Cambria Math" w:cs="Arial"/>
            </w:rPr>
            <m:t>E</m:t>
          </m:r>
          <m:d>
            <m:dPr>
              <m:ctrlPr>
                <w:rPr>
                  <w:rFonts w:ascii="Cambria Math" w:hAnsi="Cambria Math" w:cs="Arial"/>
                </w:rPr>
              </m:ctrlPr>
            </m:dPr>
            <m:e>
              <m:r>
                <w:rPr>
                  <w:rFonts w:ascii="Cambria Math" w:hAnsi="Cambria Math" w:cs="Arial"/>
                </w:rPr>
                <m:t>i</m:t>
              </m:r>
            </m:e>
          </m:d>
          <m:r>
            <m:rPr>
              <m:sty m:val="p"/>
            </m:rPr>
            <w:rPr>
              <w:rFonts w:ascii="Cambria Math" w:hAnsi="Cambria Math" w:cs="Arial"/>
            </w:rPr>
            <m:t>=</m:t>
          </m:r>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 </m:t>
              </m:r>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r>
                <w:rPr>
                  <w:rFonts w:ascii="Cambria Math" w:hAnsi="Cambria Math" w:cs="Arial"/>
                </w:rPr>
                <m:t>+NRE</m:t>
              </m:r>
              <m:d>
                <m:dPr>
                  <m:ctrlPr>
                    <w:rPr>
                      <w:rFonts w:ascii="Cambria Math" w:hAnsi="Cambria Math" w:cs="Arial"/>
                      <w:i/>
                    </w:rPr>
                  </m:ctrlPr>
                </m:dPr>
                <m:e>
                  <m:r>
                    <w:rPr>
                      <w:rFonts w:ascii="Cambria Math" w:hAnsi="Cambria Math" w:cs="Arial"/>
                    </w:rPr>
                    <m:t>i</m:t>
                  </m:r>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nary>
                </m:e>
              </m:d>
              <m:r>
                <w:rPr>
                  <w:rFonts w:ascii="Cambria Math" w:hAnsi="Cambria Math" w:cs="Arial"/>
                </w:rPr>
                <m:t>+</m:t>
              </m:r>
              <m:d>
                <m:dPr>
                  <m:ctrlPr>
                    <w:rPr>
                      <w:rFonts w:ascii="Cambria Math" w:hAnsi="Cambria Math" w:cs="Arial"/>
                      <w:i/>
                    </w:rPr>
                  </m:ctrlPr>
                </m:dPr>
                <m:e>
                  <m:nary>
                    <m:naryPr>
                      <m:chr m:val="∑"/>
                      <m:ctrlPr>
                        <w:rPr>
                          <w:rFonts w:ascii="Cambria Math" w:hAnsi="Cambria Math" w:cs="Arial"/>
                        </w:rPr>
                      </m:ctrlPr>
                    </m:naryPr>
                    <m:sub>
                      <m:r>
                        <w:rPr>
                          <w:rFonts w:ascii="Cambria Math" w:hAnsi="Cambria Math" w:cs="Arial"/>
                        </w:rPr>
                        <m:t>j</m:t>
                      </m:r>
                      <m:r>
                        <m:rPr>
                          <m:sty m:val="p"/>
                        </m:rPr>
                        <w:rPr>
                          <w:rFonts w:ascii="Cambria Math" w:hAnsi="Cambria Math" w:cs="Arial"/>
                        </w:rPr>
                        <m:t>=1</m:t>
                      </m:r>
                    </m:sub>
                    <m:sup>
                      <m:r>
                        <w:rPr>
                          <w:rFonts w:ascii="Cambria Math" w:hAnsi="Cambria Math" w:cs="Arial"/>
                        </w:rPr>
                        <m:t>k</m:t>
                      </m:r>
                    </m:sup>
                    <m:e>
                      <m:sSub>
                        <m:sSubPr>
                          <m:ctrlPr>
                            <w:rPr>
                              <w:rFonts w:ascii="Cambria Math" w:hAnsi="Cambria Math" w:cs="Arial"/>
                            </w:rPr>
                          </m:ctrlPr>
                        </m:sSubPr>
                        <m:e>
                          <m:r>
                            <w:rPr>
                              <w:rFonts w:ascii="Cambria Math" w:hAnsi="Cambria Math" w:cs="Arial"/>
                            </w:rPr>
                            <m:t>β</m:t>
                          </m:r>
                        </m:e>
                        <m:sub>
                          <m:r>
                            <w:rPr>
                              <w:rFonts w:ascii="Cambria Math" w:hAnsi="Cambria Math" w:cs="Arial"/>
                            </w:rPr>
                            <m:t>j</m:t>
                          </m:r>
                        </m:sub>
                      </m:sSub>
                      <m:r>
                        <w:rPr>
                          <w:rFonts w:ascii="Cambria Math" w:hAnsi="Cambria Math" w:cs="Arial"/>
                        </w:rPr>
                        <m:t>Time</m:t>
                      </m:r>
                      <m:d>
                        <m:dPr>
                          <m:ctrlPr>
                            <w:rPr>
                              <w:rFonts w:ascii="Cambria Math" w:hAnsi="Cambria Math" w:cs="Arial"/>
                            </w:rPr>
                          </m:ctrlPr>
                        </m:dPr>
                        <m:e>
                          <m:r>
                            <w:rPr>
                              <w:rFonts w:ascii="Cambria Math" w:hAnsi="Cambria Math" w:cs="Arial"/>
                            </w:rPr>
                            <m:t>i</m:t>
                          </m:r>
                        </m:e>
                      </m:d>
                      <m:r>
                        <m:rPr>
                          <m:sty m:val="p"/>
                        </m:rPr>
                        <w:rPr>
                          <w:rFonts w:ascii="Cambria Math" w:hAnsi="Cambria Math" w:cs="Arial"/>
                        </w:rPr>
                        <m:t xml:space="preserve">× </m:t>
                      </m:r>
                      <m:r>
                        <w:rPr>
                          <w:rFonts w:ascii="Cambria Math" w:hAnsi="Cambria Math" w:cs="Arial"/>
                        </w:rPr>
                        <m:t>NRE</m:t>
                      </m:r>
                      <m:d>
                        <m:dPr>
                          <m:ctrlPr>
                            <w:rPr>
                              <w:rFonts w:ascii="Cambria Math" w:hAnsi="Cambria Math" w:cs="Arial"/>
                              <w:i/>
                            </w:rPr>
                          </m:ctrlPr>
                        </m:dPr>
                        <m:e>
                          <m:r>
                            <w:rPr>
                              <w:rFonts w:ascii="Cambria Math" w:hAnsi="Cambria Math" w:cs="Arial"/>
                            </w:rPr>
                            <m:t>i</m:t>
                          </m:r>
                        </m:e>
                      </m:d>
                    </m:e>
                  </m:nary>
                </m:e>
              </m:d>
              <m:r>
                <w:rPr>
                  <w:rFonts w:ascii="Cambria Math" w:hAnsi="Cambria Math" w:cs="Arial"/>
                </w:rPr>
                <m:t>+</m:t>
              </m:r>
              <m:d>
                <m:dPr>
                  <m:ctrlPr>
                    <w:rPr>
                      <w:rFonts w:ascii="Cambria Math" w:hAnsi="Cambria Math" w:cs="Arial"/>
                      <w:i/>
                    </w:rPr>
                  </m:ctrlPr>
                </m:dPr>
                <m:e>
                  <m:d>
                    <m:dPr>
                      <m:ctrlPr>
                        <w:rPr>
                          <w:rFonts w:ascii="Cambria Math" w:hAnsi="Cambria Math" w:cs="Arial"/>
                        </w:rPr>
                      </m:ctrlPr>
                    </m:dPr>
                    <m:e>
                      <m:r>
                        <w:rPr>
                          <w:rFonts w:ascii="Cambria Math" w:hAnsi="Cambria Math" w:cs="Arial"/>
                        </w:rPr>
                        <m:t>H</m:t>
                      </m:r>
                      <m:d>
                        <m:dPr>
                          <m:ctrlPr>
                            <w:rPr>
                              <w:rFonts w:ascii="Cambria Math" w:hAnsi="Cambria Math" w:cs="Arial"/>
                              <w:i/>
                            </w:rPr>
                          </m:ctrlPr>
                        </m:dPr>
                        <m:e>
                          <m:r>
                            <w:rPr>
                              <w:rFonts w:ascii="Cambria Math" w:hAnsi="Cambria Math" w:cs="Arial"/>
                            </w:rPr>
                            <m:t>i</m:t>
                          </m:r>
                        </m:e>
                      </m:d>
                      <m:r>
                        <m:rPr>
                          <m:sty m:val="p"/>
                        </m:rPr>
                        <w:rPr>
                          <w:rFonts w:ascii="Cambria Math" w:hAnsi="Cambria Math" w:cs="Arial"/>
                        </w:rPr>
                        <m:t>+</m:t>
                      </m:r>
                      <m:r>
                        <w:rPr>
                          <w:rFonts w:ascii="Cambria Math" w:hAnsi="Cambria Math" w:cs="Arial"/>
                        </w:rPr>
                        <m:t>C</m:t>
                      </m:r>
                      <m:d>
                        <m:dPr>
                          <m:ctrlPr>
                            <w:rPr>
                              <w:rFonts w:ascii="Cambria Math" w:hAnsi="Cambria Math" w:cs="Arial"/>
                              <w:i/>
                            </w:rPr>
                          </m:ctrlPr>
                        </m:dPr>
                        <m:e>
                          <m:r>
                            <w:rPr>
                              <w:rFonts w:ascii="Cambria Math" w:hAnsi="Cambria Math" w:cs="Arial"/>
                            </w:rPr>
                            <m:t>i</m:t>
                          </m:r>
                        </m:e>
                      </m:d>
                      <m:ctrlPr>
                        <w:rPr>
                          <w:rFonts w:ascii="Cambria Math" w:hAnsi="Cambria Math" w:cs="Arial"/>
                          <w:i/>
                        </w:rPr>
                      </m:ctrlPr>
                    </m:e>
                  </m:d>
                  <m:r>
                    <w:rPr>
                      <w:rFonts w:ascii="Cambria Math" w:hAnsi="Cambria Math" w:cs="Arial"/>
                    </w:rPr>
                    <m:t xml:space="preserve">× </m:t>
                  </m:r>
                  <m:sSub>
                    <m:sSubPr>
                      <m:ctrlPr>
                        <w:rPr>
                          <w:rFonts w:ascii="Cambria Math" w:hAnsi="Cambria Math" w:cs="Arial"/>
                        </w:rPr>
                      </m:ctrlPr>
                    </m:sSubPr>
                    <m:e>
                      <m:r>
                        <w:rPr>
                          <w:rFonts w:ascii="Cambria Math" w:hAnsi="Cambria Math" w:cs="Arial"/>
                        </w:rPr>
                        <m:t>α</m:t>
                      </m:r>
                    </m:e>
                    <m:sub>
                      <m:r>
                        <w:rPr>
                          <w:rFonts w:ascii="Cambria Math" w:hAnsi="Cambria Math" w:cs="Arial"/>
                        </w:rPr>
                        <m:t>j</m:t>
                      </m:r>
                    </m:sub>
                  </m:sSub>
                  <m:r>
                    <w:rPr>
                      <w:rFonts w:ascii="Cambria Math" w:hAnsi="Cambria Math" w:cs="Arial"/>
                    </w:rPr>
                    <m:t>Change</m:t>
                  </m:r>
                  <m:d>
                    <m:dPr>
                      <m:ctrlPr>
                        <w:rPr>
                          <w:rFonts w:ascii="Cambria Math" w:hAnsi="Cambria Math" w:cs="Arial"/>
                        </w:rPr>
                      </m:ctrlPr>
                    </m:dPr>
                    <m:e>
                      <m:r>
                        <w:rPr>
                          <w:rFonts w:ascii="Cambria Math" w:hAnsi="Cambria Math" w:cs="Arial"/>
                        </w:rPr>
                        <m:t>i</m:t>
                      </m:r>
                    </m:e>
                  </m:d>
                </m:e>
              </m:d>
              <m:r>
                <w:rPr>
                  <w:rFonts w:ascii="Cambria Math" w:hAnsi="Cambria Math" w:cs="Arial"/>
                </w:rPr>
                <m:t xml:space="preserve">   </m:t>
              </m:r>
            </m:e>
          </m:nary>
        </m:oMath>
      </m:oMathPara>
    </w:p>
    <w:p w14:paraId="03F79EC7" w14:textId="6241817C" w:rsidR="00B55070" w:rsidRDefault="00B55070" w:rsidP="002177A5">
      <w:r>
        <w:t xml:space="preserve">Across these three specifications, two time-based models were run. </w:t>
      </w:r>
    </w:p>
    <w:p w14:paraId="29670DE2" w14:textId="4451C2D8" w:rsidR="00B55070" w:rsidRPr="00B55070" w:rsidRDefault="00B55070" w:rsidP="00B55070">
      <w:r w:rsidRPr="00B55070">
        <w:t>Where daily consumption data were present, the time used in</w:t>
      </w:r>
      <w:r w:rsidRPr="006D7C02">
        <w:rPr>
          <w:i/>
        </w:rPr>
        <w:t xml:space="preserve"> j</w:t>
      </w:r>
      <w:r w:rsidRPr="00B55070">
        <w:t xml:space="preserve"> was the day of the week, </w:t>
      </w:r>
      <w:r w:rsidRPr="006D7C02">
        <w:rPr>
          <w:i/>
        </w:rPr>
        <w:t xml:space="preserve">k </w:t>
      </w:r>
      <w:r w:rsidRPr="00B55070">
        <w:t xml:space="preserve">represents 1 through 7 for the days in a week. </w:t>
      </w:r>
      <m:oMath>
        <m:r>
          <w:rPr>
            <w:rFonts w:ascii="Cambria Math" w:hAnsi="Cambria Math"/>
          </w:rPr>
          <m:t>H</m:t>
        </m:r>
        <m:d>
          <m:dPr>
            <m:ctrlPr>
              <w:rPr>
                <w:rFonts w:ascii="Cambria Math" w:hAnsi="Cambria Math"/>
              </w:rPr>
            </m:ctrlPr>
          </m:dPr>
          <m:e>
            <m:r>
              <w:rPr>
                <w:rFonts w:ascii="Cambria Math" w:hAnsi="Cambria Math"/>
              </w:rPr>
              <m:t>i</m:t>
            </m:r>
          </m:e>
        </m:d>
      </m:oMath>
      <w:r w:rsidRPr="00B55070">
        <w:t xml:space="preserve"> represents the heating component while </w:t>
      </w:r>
      <m:oMath>
        <m:r>
          <w:rPr>
            <w:rFonts w:ascii="Cambria Math" w:hAnsi="Cambria Math"/>
          </w:rPr>
          <m:t>C</m:t>
        </m:r>
        <m:d>
          <m:dPr>
            <m:ctrlPr>
              <w:rPr>
                <w:rFonts w:ascii="Cambria Math" w:hAnsi="Cambria Math"/>
              </w:rPr>
            </m:ctrlPr>
          </m:dPr>
          <m:e>
            <m:r>
              <w:rPr>
                <w:rFonts w:ascii="Cambria Math" w:hAnsi="Cambria Math"/>
              </w:rPr>
              <m:t>i</m:t>
            </m:r>
          </m:e>
        </m:d>
      </m:oMath>
      <w:r w:rsidRPr="00B55070">
        <w:t xml:space="preserve"> reflects the cooling component. </w:t>
      </w:r>
      <m:oMath>
        <m:r>
          <w:rPr>
            <w:rFonts w:ascii="Cambria Math" w:hAnsi="Cambria Math"/>
          </w:rPr>
          <m:t>H</m:t>
        </m:r>
        <m:d>
          <m:dPr>
            <m:ctrlPr>
              <w:rPr>
                <w:rFonts w:ascii="Cambria Math" w:hAnsi="Cambria Math"/>
              </w:rPr>
            </m:ctrlPr>
          </m:dPr>
          <m:e>
            <m:r>
              <w:rPr>
                <w:rFonts w:ascii="Cambria Math" w:hAnsi="Cambria Math"/>
              </w:rPr>
              <m:t>i</m:t>
            </m:r>
          </m:e>
        </m:d>
      </m:oMath>
      <w:r w:rsidRPr="00B55070">
        <w:t xml:space="preserve"> is defined as: </w:t>
      </w:r>
    </w:p>
    <w:p w14:paraId="718C634D" w14:textId="3B89DC49" w:rsidR="00B55070" w:rsidRPr="00B55070" w:rsidRDefault="00B55070" w:rsidP="00B55070">
      <m:oMathPara>
        <m:oMath>
          <m:r>
            <w:rPr>
              <w:rFonts w:ascii="Cambria Math" w:hAnsi="Cambria Math"/>
            </w:rPr>
            <m:t>H</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4</m:t>
              </m:r>
            </m:sub>
          </m:sSub>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31CA76C3" w14:textId="77777777" w:rsidR="00B55070" w:rsidRPr="00B55070" w:rsidRDefault="00B55070" w:rsidP="0056690A">
      <w:pPr>
        <w:keepNext/>
        <w:keepLines/>
      </w:pPr>
      <w:r w:rsidRPr="00B55070">
        <w:t xml:space="preserve">Where: </w:t>
      </w:r>
    </w:p>
    <w:p w14:paraId="3F3ADEFF" w14:textId="184AF91B" w:rsidR="00B55070" w:rsidRPr="00B55070"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55-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e>
                  </m:d>
                </m:e>
              </m:func>
            </m:e>
          </m:nary>
        </m:oMath>
      </m:oMathPara>
    </w:p>
    <w:p w14:paraId="5089B367" w14:textId="760749A7" w:rsidR="00B55070" w:rsidRPr="00B55070"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45-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e>
          </m:nary>
        </m:oMath>
      </m:oMathPara>
    </w:p>
    <w:p w14:paraId="4DB45D4B" w14:textId="17820FED" w:rsidR="00B55070" w:rsidRPr="00B55070"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35-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,15)</m:t>
              </m:r>
            </m:e>
          </m:nary>
        </m:oMath>
      </m:oMathPara>
    </w:p>
    <w:p w14:paraId="1B6BEF26" w14:textId="1650088B" w:rsidR="00B55070" w:rsidRPr="00B55070"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20-</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e>
          </m:nary>
        </m:oMath>
      </m:oMathPara>
    </w:p>
    <w:p w14:paraId="16C243AC" w14:textId="4A2995B2" w:rsidR="00B55070" w:rsidRPr="00B55070" w:rsidRDefault="00B55070" w:rsidP="00B55070">
      <m:oMath>
        <m:r>
          <w:rPr>
            <w:rFonts w:ascii="Cambria Math" w:hAnsi="Cambria Math"/>
          </w:rPr>
          <m:t>Temp</m:t>
        </m:r>
        <m:d>
          <m:dPr>
            <m:ctrlPr>
              <w:rPr>
                <w:rFonts w:ascii="Cambria Math" w:hAnsi="Cambria Math"/>
              </w:rPr>
            </m:ctrlPr>
          </m:dPr>
          <m:e>
            <m:r>
              <w:rPr>
                <w:rFonts w:ascii="Cambria Math" w:hAnsi="Cambria Math"/>
              </w:rPr>
              <m:t>i</m:t>
            </m:r>
          </m:e>
        </m:d>
      </m:oMath>
      <w:r w:rsidRPr="00B55070">
        <w:t xml:space="preserve"> is temperature in degrees Fahrenheit for hour </w:t>
      </w:r>
      <m:oMath>
        <m:r>
          <w:rPr>
            <w:rFonts w:ascii="Cambria Math" w:hAnsi="Cambria Math"/>
          </w:rPr>
          <m:t>i</m:t>
        </m:r>
      </m:oMath>
      <w:r w:rsidRPr="00B55070">
        <w:t xml:space="preserve">. </w:t>
      </w:r>
    </w:p>
    <w:p w14:paraId="35AAE02C" w14:textId="1635C8F4" w:rsidR="00B55070" w:rsidRPr="00B55070" w:rsidRDefault="00B55070" w:rsidP="00B55070">
      <m:oMath>
        <m:r>
          <w:rPr>
            <w:rFonts w:ascii="Cambria Math" w:hAnsi="Cambria Math"/>
          </w:rPr>
          <m:t>C</m:t>
        </m:r>
        <m:r>
          <m:rPr>
            <m:sty m:val="p"/>
          </m:rPr>
          <w:rPr>
            <w:rFonts w:ascii="Cambria Math" w:hAnsi="Cambria Math"/>
          </w:rPr>
          <m:t>(</m:t>
        </m:r>
        <m:r>
          <w:rPr>
            <w:rFonts w:ascii="Cambria Math" w:hAnsi="Cambria Math"/>
          </w:rPr>
          <m:t>i</m:t>
        </m:r>
        <m:r>
          <m:rPr>
            <m:sty m:val="p"/>
          </m:rPr>
          <w:rPr>
            <w:rFonts w:ascii="Cambria Math" w:hAnsi="Cambria Math"/>
          </w:rPr>
          <m:t>)</m:t>
        </m:r>
      </m:oMath>
      <w:r w:rsidRPr="00B55070">
        <w:t xml:space="preserve"> is defined as:</w:t>
      </w:r>
    </w:p>
    <w:p w14:paraId="7766C4C8" w14:textId="544397D7" w:rsidR="00B55070" w:rsidRPr="00B55070" w:rsidRDefault="00B55070" w:rsidP="00B55070">
      <m:oMathPara>
        <m:oMath>
          <m:r>
            <m:rPr>
              <m:sty m:val="p"/>
            </m:rPr>
            <w:rPr>
              <w:rFonts w:ascii="Cambria Math" w:hAnsi="Cambria Math"/>
            </w:rPr>
            <m:t>C</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sSub>
            <m:sSubPr>
              <m:ctrlPr>
                <w:rPr>
                  <w:rFonts w:ascii="Cambria Math" w:hAnsi="Cambria Math"/>
                </w:rPr>
              </m:ctrlPr>
            </m:sSubPr>
            <m:e>
              <m:r>
                <w:rPr>
                  <w:rFonts w:ascii="Cambria Math" w:hAnsi="Cambria Math"/>
                </w:rPr>
                <m:t>P</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3C9833D4" w14:textId="70FF7037" w:rsidR="00B55070" w:rsidRPr="00B55070" w:rsidRDefault="00B55070" w:rsidP="00B55070">
      <w:r w:rsidRPr="00B55070">
        <w:t>Where</w:t>
      </w:r>
      <w:r w:rsidR="00AF2F08">
        <w:t>:</w:t>
      </w:r>
      <w:r w:rsidRPr="00B55070">
        <w:t xml:space="preserve"> </w:t>
      </w:r>
    </w:p>
    <w:p w14:paraId="36091991" w14:textId="132E38A3" w:rsidR="00B55070" w:rsidRPr="00B55070" w:rsidRDefault="000458DD" w:rsidP="00B55070">
      <m:oMathPara>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-55, 0</m:t>
                      </m:r>
                    </m:e>
                  </m:d>
                </m:e>
              </m:func>
              <m:r>
                <m:rPr>
                  <m:sty m:val="p"/>
                </m:rPr>
                <w:rPr>
                  <w:rFonts w:ascii="Cambria Math" w:hAnsi="Cambria Math"/>
                </w:rPr>
                <m:t>,10)</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-65, 0</m:t>
                      </m:r>
                    </m:e>
                  </m:d>
                </m:e>
              </m:func>
              <m:r>
                <m:rPr>
                  <m:sty m:val="p"/>
                </m:rPr>
                <w:rPr>
                  <w:rFonts w:ascii="Cambria Math" w:hAnsi="Cambria Math"/>
                </w:rPr>
                <m:t>,10)</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-75, 0</m:t>
                      </m:r>
                    </m:e>
                  </m:d>
                </m:e>
              </m:func>
              <m:r>
                <m:rPr>
                  <m:sty m:val="p"/>
                </m:rPr>
                <w:rPr>
                  <w:rFonts w:ascii="Cambria Math" w:hAnsi="Cambria Math"/>
                </w:rPr>
                <m:t>,15)</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-90, 0</m:t>
                      </m:r>
                    </m:e>
                  </m:d>
                </m:e>
              </m:func>
            </m:e>
          </m:nary>
        </m:oMath>
      </m:oMathPara>
    </w:p>
    <w:p w14:paraId="1626A971" w14:textId="5C12750D" w:rsidR="00B55070" w:rsidRPr="00B55070" w:rsidRDefault="00B55070" w:rsidP="00B55070">
      <w:r w:rsidRPr="00B55070">
        <w:t xml:space="preserve">Where hourly data were present, the time period </w:t>
      </w:r>
      <w:r w:rsidRPr="006D7C02">
        <w:rPr>
          <w:i/>
        </w:rPr>
        <w:t>j</w:t>
      </w:r>
      <w:r w:rsidRPr="00B55070">
        <w:t xml:space="preserve"> used was the hour of the week</w:t>
      </w:r>
      <w:r w:rsidR="00A36CA2">
        <w:t>,</w:t>
      </w:r>
      <w:r w:rsidRPr="00B55070">
        <w:t xml:space="preserve"> and k represents the hours in a week (1 of 168). </w:t>
      </w:r>
      <m:oMath>
        <m:r>
          <w:rPr>
            <w:rFonts w:ascii="Cambria Math" w:hAnsi="Cambria Math"/>
          </w:rPr>
          <m:t>H</m:t>
        </m:r>
        <m:d>
          <m:dPr>
            <m:ctrlPr>
              <w:rPr>
                <w:rFonts w:ascii="Cambria Math" w:hAnsi="Cambria Math"/>
              </w:rPr>
            </m:ctrlPr>
          </m:dPr>
          <m:e>
            <m:r>
              <w:rPr>
                <w:rFonts w:ascii="Cambria Math" w:hAnsi="Cambria Math"/>
              </w:rPr>
              <m:t>i</m:t>
            </m:r>
          </m:e>
        </m:d>
      </m:oMath>
      <w:r w:rsidRPr="00B55070">
        <w:t xml:space="preserve"> represents the heating component while </w:t>
      </w:r>
      <m:oMath>
        <m:r>
          <w:rPr>
            <w:rFonts w:ascii="Cambria Math" w:hAnsi="Cambria Math"/>
          </w:rPr>
          <m:t>C</m:t>
        </m:r>
        <m:d>
          <m:dPr>
            <m:ctrlPr>
              <w:rPr>
                <w:rFonts w:ascii="Cambria Math" w:hAnsi="Cambria Math"/>
              </w:rPr>
            </m:ctrlPr>
          </m:dPr>
          <m:e>
            <m:r>
              <w:rPr>
                <w:rFonts w:ascii="Cambria Math" w:hAnsi="Cambria Math"/>
              </w:rPr>
              <m:t>i</m:t>
            </m:r>
          </m:e>
        </m:d>
      </m:oMath>
      <w:r w:rsidRPr="00B55070">
        <w:t xml:space="preserve"> reflects the cooling component. </w:t>
      </w:r>
      <m:oMath>
        <m:r>
          <w:rPr>
            <w:rFonts w:ascii="Cambria Math" w:hAnsi="Cambria Math"/>
          </w:rPr>
          <m:t>H</m:t>
        </m:r>
        <m:d>
          <m:dPr>
            <m:ctrlPr>
              <w:rPr>
                <w:rFonts w:ascii="Cambria Math" w:hAnsi="Cambria Math"/>
              </w:rPr>
            </m:ctrlPr>
          </m:dPr>
          <m:e>
            <m:r>
              <w:rPr>
                <w:rFonts w:ascii="Cambria Math" w:hAnsi="Cambria Math"/>
              </w:rPr>
              <m:t>i</m:t>
            </m:r>
          </m:e>
        </m:d>
      </m:oMath>
      <w:r w:rsidRPr="00B55070">
        <w:t xml:space="preserve"> is defined as: </w:t>
      </w:r>
    </w:p>
    <w:p w14:paraId="643F1EC1" w14:textId="098506CD" w:rsidR="00B55070" w:rsidRPr="00B55070" w:rsidRDefault="00B55070" w:rsidP="00B55070">
      <m:oMathPara>
        <m:oMath>
          <m:r>
            <w:rPr>
              <w:rFonts w:ascii="Cambria Math" w:hAnsi="Cambria Math"/>
            </w:rPr>
            <m:t>H</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4</m:t>
              </m:r>
            </m:sub>
          </m:sSub>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648BAF9F" w14:textId="77777777" w:rsidR="00B55070" w:rsidRPr="00B55070" w:rsidRDefault="00B55070" w:rsidP="00B55070">
      <w:r w:rsidRPr="00B55070">
        <w:t>Where:</w:t>
      </w:r>
    </w:p>
    <w:p w14:paraId="5DDD5AF9" w14:textId="483DA1D9" w:rsidR="00B55070" w:rsidRPr="00B55070" w:rsidRDefault="000458DD" w:rsidP="00B55070">
      <m:oMathPara>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55-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r>
            <m:rPr>
              <m:sty m:val="p"/>
            </m:rPr>
            <w:rPr>
              <w:rFonts w:ascii="Cambria Math" w:hAnsi="Cambria Math"/>
            </w:rPr>
            <w:br/>
          </m:r>
        </m:oMath>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45-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r>
            <m:rPr>
              <m:sty m:val="p"/>
            </m:rPr>
            <w:rPr>
              <w:rFonts w:ascii="Cambria Math" w:hAnsi="Cambria Math"/>
            </w:rPr>
            <w:br/>
          </m:r>
        </m:oMath>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35-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,15)</m:t>
          </m:r>
          <m:r>
            <m:rPr>
              <m:sty m:val="p"/>
            </m:rPr>
            <w:rPr>
              <w:rFonts w:ascii="Cambria Math" w:hAnsi="Cambria Math"/>
            </w:rPr>
            <w:br/>
          </m:r>
        </m:oMath>
        <m:oMath>
          <m:sSub>
            <m:sSubPr>
              <m:ctrlPr>
                <w:rPr>
                  <w:rFonts w:ascii="Cambria Math" w:hAnsi="Cambria Math"/>
                </w:rPr>
              </m:ctrlPr>
            </m:sSubPr>
            <m:e>
              <m:r>
                <w:rPr>
                  <w:rFonts w:ascii="Cambria Math" w:hAnsi="Cambria Math"/>
                </w:rPr>
                <m:t>T</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20-</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oMath>
      </m:oMathPara>
    </w:p>
    <w:p w14:paraId="0FF7F819" w14:textId="4789090D" w:rsidR="00B55070" w:rsidRPr="00B55070" w:rsidRDefault="00B55070" w:rsidP="00B55070">
      <m:oMath>
        <m:r>
          <w:rPr>
            <w:rFonts w:ascii="Cambria Math" w:hAnsi="Cambria Math"/>
          </w:rPr>
          <m:t>Temp</m:t>
        </m:r>
        <m:d>
          <m:dPr>
            <m:ctrlPr>
              <w:rPr>
                <w:rFonts w:ascii="Cambria Math" w:hAnsi="Cambria Math"/>
              </w:rPr>
            </m:ctrlPr>
          </m:dPr>
          <m:e>
            <m:r>
              <w:rPr>
                <w:rFonts w:ascii="Cambria Math" w:hAnsi="Cambria Math"/>
              </w:rPr>
              <m:t>i</m:t>
            </m:r>
          </m:e>
        </m:d>
      </m:oMath>
      <w:r w:rsidRPr="00B55070">
        <w:t xml:space="preserve"> is temperature in degrees Fahrenheit for hour </w:t>
      </w:r>
      <m:oMath>
        <m:r>
          <w:rPr>
            <w:rFonts w:ascii="Cambria Math" w:hAnsi="Cambria Math"/>
          </w:rPr>
          <m:t>i</m:t>
        </m:r>
      </m:oMath>
      <w:r w:rsidRPr="00B55070">
        <w:t xml:space="preserve">. </w:t>
      </w:r>
    </w:p>
    <w:p w14:paraId="36F5914D" w14:textId="402098FE" w:rsidR="00B55070" w:rsidRPr="00B55070" w:rsidRDefault="00B55070" w:rsidP="0056690A">
      <w:pPr>
        <w:keepNext/>
        <w:keepLines/>
      </w:pPr>
      <m:oMath>
        <m:r>
          <w:rPr>
            <w:rFonts w:ascii="Cambria Math" w:hAnsi="Cambria Math"/>
          </w:rPr>
          <m:t>C</m:t>
        </m:r>
        <m:r>
          <m:rPr>
            <m:sty m:val="p"/>
          </m:rPr>
          <w:rPr>
            <w:rFonts w:ascii="Cambria Math" w:hAnsi="Cambria Math"/>
          </w:rPr>
          <m:t>(</m:t>
        </m:r>
        <m:r>
          <w:rPr>
            <w:rFonts w:ascii="Cambria Math" w:hAnsi="Cambria Math"/>
          </w:rPr>
          <m:t>i</m:t>
        </m:r>
        <m:r>
          <m:rPr>
            <m:sty m:val="p"/>
          </m:rPr>
          <w:rPr>
            <w:rFonts w:ascii="Cambria Math" w:hAnsi="Cambria Math"/>
          </w:rPr>
          <m:t>)</m:t>
        </m:r>
      </m:oMath>
      <w:r w:rsidRPr="00B55070">
        <w:t xml:space="preserve"> is defined as:</w:t>
      </w:r>
    </w:p>
    <w:p w14:paraId="05D415FC" w14:textId="0B22971B" w:rsidR="00B55070" w:rsidRPr="00B55070" w:rsidRDefault="00B55070" w:rsidP="0056690A">
      <w:pPr>
        <w:keepNext/>
        <w:keepLines/>
      </w:pPr>
      <m:oMathPara>
        <m:oMath>
          <m:r>
            <m:rPr>
              <m:sty m:val="p"/>
            </m:rPr>
            <w:rPr>
              <w:rFonts w:ascii="Cambria Math" w:hAnsi="Cambria Math"/>
            </w:rPr>
            <m:t>C</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sSub>
            <m:sSubPr>
              <m:ctrlPr>
                <w:rPr>
                  <w:rFonts w:ascii="Cambria Math" w:hAnsi="Cambria Math"/>
                </w:rPr>
              </m:ctrlPr>
            </m:sSubPr>
            <m:e>
              <m:r>
                <w:rPr>
                  <w:rFonts w:ascii="Cambria Math" w:hAnsi="Cambria Math"/>
                </w:rPr>
                <m:t>P</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345C2450" w14:textId="1280ED83" w:rsidR="00B55070" w:rsidRPr="00B55070" w:rsidRDefault="00B55070" w:rsidP="00B55070">
      <w:r w:rsidRPr="00B55070">
        <w:t>Where</w:t>
      </w:r>
      <w:r w:rsidR="00AF2F08">
        <w:t>:</w:t>
      </w:r>
      <w:r w:rsidRPr="00B55070">
        <w:t xml:space="preserve"> </w:t>
      </w:r>
    </w:p>
    <w:p w14:paraId="4DE9DAA4" w14:textId="67166A51" w:rsidR="00B55070" w:rsidRPr="00B55070" w:rsidRDefault="000458DD" w:rsidP="00B55070">
      <m:oMathPara>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-55, 0</m:t>
                  </m:r>
                </m:e>
              </m:d>
            </m:e>
          </m:func>
          <m:r>
            <m:rPr>
              <m:sty m:val="p"/>
            </m:rPr>
            <w:rPr>
              <w:rFonts w:ascii="Cambria Math" w:hAnsi="Cambria Math"/>
            </w:rPr>
            <m:t>,10)</m:t>
          </m:r>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-65, 0</m:t>
                  </m:r>
                </m:e>
              </m:d>
            </m:e>
          </m:func>
          <m:r>
            <m:rPr>
              <m:sty m:val="p"/>
            </m:rPr>
            <w:rPr>
              <w:rFonts w:ascii="Cambria Math" w:hAnsi="Cambria Math"/>
            </w:rPr>
            <m:t>,10)</m:t>
          </m:r>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-75, 0</m:t>
                  </m:r>
                </m:e>
              </m:d>
            </m:e>
          </m:func>
          <m:r>
            <m:rPr>
              <m:sty m:val="p"/>
            </m:rPr>
            <w:rPr>
              <w:rFonts w:ascii="Cambria Math" w:hAnsi="Cambria Math"/>
            </w:rPr>
            <m:t>,15)</m:t>
          </m:r>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-90, 0</m:t>
                  </m:r>
                </m:e>
              </m:d>
            </m:e>
          </m:func>
        </m:oMath>
      </m:oMathPara>
    </w:p>
    <w:p w14:paraId="1F75ADA8" w14:textId="1BB7617C" w:rsidR="00B55070" w:rsidRPr="00B55070" w:rsidRDefault="00B55070" w:rsidP="00B55070">
      <m:oMath>
        <m:r>
          <w:rPr>
            <w:rFonts w:ascii="Cambria Math" w:hAnsi="Cambria Math"/>
          </w:rPr>
          <m:t>Time</m:t>
        </m:r>
        <m:d>
          <m:dPr>
            <m:ctrlPr>
              <w:rPr>
                <w:rFonts w:ascii="Cambria Math" w:hAnsi="Cambria Math"/>
              </w:rPr>
            </m:ctrlPr>
          </m:dPr>
          <m:e>
            <m:r>
              <w:rPr>
                <w:rFonts w:ascii="Cambria Math" w:hAnsi="Cambria Math"/>
              </w:rPr>
              <m:t>i</m:t>
            </m:r>
          </m:e>
        </m:d>
      </m:oMath>
      <w:r w:rsidRPr="00B55070">
        <w:t xml:space="preserve"> is an indicator variable set to one if </w:t>
      </w:r>
      <m:oMath>
        <m:r>
          <w:rPr>
            <w:rFonts w:ascii="Cambria Math" w:hAnsi="Cambria Math"/>
          </w:rPr>
          <m:t>i</m:t>
        </m:r>
      </m:oMath>
      <w:r w:rsidRPr="00B55070" w:rsidDel="00351FF7">
        <w:t xml:space="preserve"> </w:t>
      </w:r>
      <w:r w:rsidRPr="00B55070">
        <w:t xml:space="preserve">is the </w:t>
      </w:r>
      <m:oMath>
        <m:sSup>
          <m:sSupPr>
            <m:ctrlPr>
              <w:rPr>
                <w:rFonts w:ascii="Cambria Math" w:hAnsi="Cambria Math"/>
              </w:rPr>
            </m:ctrlPr>
          </m:sSupPr>
          <m:e>
            <m:r>
              <w:rPr>
                <w:rFonts w:ascii="Cambria Math" w:hAnsi="Cambria Math"/>
              </w:rPr>
              <m:t>j</m:t>
            </m:r>
          </m:e>
          <m:sup>
            <m:r>
              <w:rPr>
                <w:rFonts w:ascii="Cambria Math" w:hAnsi="Cambria Math"/>
              </w:rPr>
              <m:t>th</m:t>
            </m:r>
          </m:sup>
        </m:sSup>
      </m:oMath>
      <w:r w:rsidRPr="00B55070">
        <w:t xml:space="preserve"> hour of the week or day of the week and zero otherwise. </w:t>
      </w:r>
    </w:p>
    <w:p w14:paraId="0093C4FA" w14:textId="3EF8B27A" w:rsidR="00B55070" w:rsidRPr="00B55070" w:rsidRDefault="00B55070" w:rsidP="00B55070">
      <m:oMath>
        <m:r>
          <w:rPr>
            <w:rFonts w:ascii="Cambria Math" w:hAnsi="Cambria Math"/>
          </w:rPr>
          <m:t>Change</m:t>
        </m:r>
        <m:r>
          <m:rPr>
            <m:sty m:val="p"/>
          </m:rPr>
          <w:rPr>
            <w:rFonts w:ascii="Cambria Math" w:hAnsi="Cambria Math"/>
          </w:rPr>
          <m:t>(</m:t>
        </m:r>
        <m:r>
          <w:rPr>
            <w:rFonts w:ascii="Cambria Math" w:hAnsi="Cambria Math"/>
          </w:rPr>
          <m:t>i</m:t>
        </m:r>
        <m:r>
          <m:rPr>
            <m:sty m:val="p"/>
          </m:rPr>
          <w:rPr>
            <w:rFonts w:ascii="Cambria Math" w:hAnsi="Cambria Math"/>
          </w:rPr>
          <m:t>)</m:t>
        </m:r>
      </m:oMath>
      <w:r w:rsidRPr="00B55070">
        <w:t xml:space="preserve"> is the treatment variable, set to one if hour </w:t>
      </w:r>
      <m:oMath>
        <m:r>
          <w:rPr>
            <w:rFonts w:ascii="Cambria Math" w:hAnsi="Cambria Math"/>
          </w:rPr>
          <m:t>i</m:t>
        </m:r>
      </m:oMath>
      <w:r w:rsidRPr="00B55070">
        <w:t xml:space="preserve"> occurs during the reporting period and zero otherwise. </w:t>
      </w:r>
    </w:p>
    <w:p w14:paraId="3FF84E1D" w14:textId="7F3012AC" w:rsidR="00B55070" w:rsidRPr="00B55070" w:rsidRDefault="00B55070" w:rsidP="00B55070">
      <m:oMath>
        <m:r>
          <w:rPr>
            <w:rFonts w:ascii="Cambria Math" w:hAnsi="Cambria Math"/>
          </w:rPr>
          <m:t>NRE</m:t>
        </m:r>
        <m:r>
          <m:rPr>
            <m:sty m:val="p"/>
          </m:rPr>
          <w:rPr>
            <w:rFonts w:ascii="Cambria Math" w:hAnsi="Cambria Math"/>
          </w:rPr>
          <m:t>(</m:t>
        </m:r>
        <m:r>
          <w:rPr>
            <w:rFonts w:ascii="Cambria Math" w:hAnsi="Cambria Math"/>
          </w:rPr>
          <m:t>i</m:t>
        </m:r>
        <m:r>
          <m:rPr>
            <m:sty m:val="p"/>
          </m:rPr>
          <w:rPr>
            <w:rFonts w:ascii="Cambria Math" w:hAnsi="Cambria Math"/>
          </w:rPr>
          <m:t>)</m:t>
        </m:r>
      </m:oMath>
      <w:r w:rsidRPr="00B55070">
        <w:t xml:space="preserve">  is a flag for all nonroutine event periods. There can be multiple NRE periods per model; each NRE is treated </w:t>
      </w:r>
      <w:r w:rsidR="00A36CA2">
        <w:t>separately</w:t>
      </w:r>
      <w:r w:rsidRPr="00B55070">
        <w:t xml:space="preserve"> and will add a new set of NRE terms and interactions if applicable.</w:t>
      </w:r>
    </w:p>
    <w:p w14:paraId="413407FA" w14:textId="77777777" w:rsidR="000649C2" w:rsidRDefault="000649C2" w:rsidP="000649C2">
      <w:pPr>
        <w:pStyle w:val="Heading4"/>
      </w:pPr>
      <w:r>
        <w:t>Normalized Gross Annual Savings</w:t>
      </w:r>
    </w:p>
    <w:p w14:paraId="41FF2737" w14:textId="1BDEBD7A" w:rsidR="00B55070" w:rsidRDefault="00B55070" w:rsidP="00B55070">
      <w:r>
        <w:t xml:space="preserve">To verify gross annual savings resulting from the VCx channel, the evaluation team first estimated the hourly model for 14 facilities and </w:t>
      </w:r>
      <w:r w:rsidR="00A36CA2">
        <w:t xml:space="preserve">the </w:t>
      </w:r>
      <w:r>
        <w:t xml:space="preserve">daily model for six facilities using actual weather data. Next, we calculated </w:t>
      </w:r>
      <w:r w:rsidR="00A36CA2">
        <w:t xml:space="preserve">each facility's annual predicted baseline and reporting period electricity consumption </w:t>
      </w:r>
      <w:r>
        <w:t xml:space="preserve">using estimated regression coefficients and TMYx weather data. Finally, we computed the annual savings by calculating the difference between the annual predicted baseline and reporting period electricity consumption. </w:t>
      </w:r>
    </w:p>
    <w:p w14:paraId="04FCF09F" w14:textId="16010734" w:rsidR="00B55070" w:rsidRDefault="00B55070" w:rsidP="00B55070">
      <w:r>
        <w:t xml:space="preserve">For each facility </w:t>
      </w:r>
      <w:r w:rsidR="009965DE">
        <w:t>where</w:t>
      </w:r>
      <w:r>
        <w:t xml:space="preserve"> Power TakeOff estimated the hourly regression model specified in </w:t>
      </w:r>
      <w:r>
        <w:fldChar w:fldCharType="begin"/>
      </w:r>
      <w:r>
        <w:instrText xml:space="preserve"> REF _Ref191561969 \h </w:instrText>
      </w:r>
      <w:r>
        <w:fldChar w:fldCharType="separate"/>
      </w:r>
      <w:r w:rsidR="00AA10F4">
        <w:t xml:space="preserve">Equation </w:t>
      </w:r>
      <w:r w:rsidR="00AA10F4">
        <w:rPr>
          <w:noProof/>
        </w:rPr>
        <w:t>14</w:t>
      </w:r>
      <w:r>
        <w:fldChar w:fldCharType="end"/>
      </w:r>
      <w:r>
        <w:t xml:space="preserve"> through </w:t>
      </w:r>
      <w:r>
        <w:fldChar w:fldCharType="begin"/>
      </w:r>
      <w:r>
        <w:instrText xml:space="preserve"> REF _Ref191561979 \h </w:instrText>
      </w:r>
      <w:r>
        <w:fldChar w:fldCharType="separate"/>
      </w:r>
      <w:r w:rsidR="00AA10F4">
        <w:t xml:space="preserve">Equation </w:t>
      </w:r>
      <w:r w:rsidR="00AA10F4">
        <w:rPr>
          <w:noProof/>
        </w:rPr>
        <w:t>16</w:t>
      </w:r>
      <w:r>
        <w:fldChar w:fldCharType="end"/>
      </w:r>
      <w:r>
        <w:t xml:space="preserve">, the evaluation team calculated hourly predicted baseline period electricity consumption based on </w:t>
      </w:r>
      <w:r>
        <w:fldChar w:fldCharType="begin"/>
      </w:r>
      <w:r>
        <w:instrText xml:space="preserve"> REF _Ref191562339 \h </w:instrText>
      </w:r>
      <w:r>
        <w:fldChar w:fldCharType="separate"/>
      </w:r>
      <w:r w:rsidR="00AA10F4">
        <w:t xml:space="preserve">Equation </w:t>
      </w:r>
      <w:r w:rsidR="00AA10F4">
        <w:rPr>
          <w:noProof/>
        </w:rPr>
        <w:t>17</w:t>
      </w:r>
      <w:r>
        <w:fldChar w:fldCharType="end"/>
      </w:r>
      <w:r>
        <w:t xml:space="preserve">. </w:t>
      </w:r>
      <w:r>
        <w:fldChar w:fldCharType="begin"/>
      </w:r>
      <w:r>
        <w:instrText xml:space="preserve"> REF _Ref191562339 \h </w:instrText>
      </w:r>
      <w:r>
        <w:fldChar w:fldCharType="separate"/>
      </w:r>
      <w:r w:rsidR="00AA10F4">
        <w:t xml:space="preserve">Equation </w:t>
      </w:r>
      <w:r w:rsidR="00AA10F4">
        <w:rPr>
          <w:noProof/>
        </w:rPr>
        <w:t>17</w:t>
      </w:r>
      <w:r>
        <w:fldChar w:fldCharType="end"/>
      </w:r>
      <w:r>
        <w:t xml:space="preserve"> contains the maximum terms that would be used to calculate the baseline. Models corresponding to facilities that do not have an NRE </w:t>
      </w:r>
      <w:r w:rsidR="00A36CA2">
        <w:t xml:space="preserve">(i.e., </w:t>
      </w:r>
      <w:r>
        <w:fldChar w:fldCharType="begin"/>
      </w:r>
      <w:r>
        <w:instrText xml:space="preserve"> REF _Ref191561969 \h </w:instrText>
      </w:r>
      <w:r>
        <w:fldChar w:fldCharType="separate"/>
      </w:r>
      <w:r w:rsidR="00AA10F4">
        <w:t xml:space="preserve">Equation </w:t>
      </w:r>
      <w:r w:rsidR="00AA10F4">
        <w:rPr>
          <w:noProof/>
        </w:rPr>
        <w:t>14</w:t>
      </w:r>
      <w:r>
        <w:fldChar w:fldCharType="end"/>
      </w:r>
      <w:r>
        <w:t xml:space="preserve">, </w:t>
      </w:r>
      <w:r>
        <w:fldChar w:fldCharType="begin"/>
      </w:r>
      <w:r>
        <w:instrText xml:space="preserve"> REF _Ref191562251 \h </w:instrText>
      </w:r>
      <w:r>
        <w:fldChar w:fldCharType="separate"/>
      </w:r>
      <w:r w:rsidR="00AA10F4">
        <w:t xml:space="preserve">Equation </w:t>
      </w:r>
      <w:r w:rsidR="00AA10F4">
        <w:rPr>
          <w:noProof/>
        </w:rPr>
        <w:t>15</w:t>
      </w:r>
      <w:r>
        <w:fldChar w:fldCharType="end"/>
      </w:r>
      <w:r>
        <w:t xml:space="preserve">, and </w:t>
      </w:r>
      <w:r>
        <w:fldChar w:fldCharType="begin"/>
      </w:r>
      <w:r>
        <w:instrText xml:space="preserve"> REF _Ref191561979 \h </w:instrText>
      </w:r>
      <w:r>
        <w:fldChar w:fldCharType="separate"/>
      </w:r>
      <w:r w:rsidR="00AA10F4">
        <w:t xml:space="preserve">Equation </w:t>
      </w:r>
      <w:r w:rsidR="00AA10F4">
        <w:rPr>
          <w:noProof/>
        </w:rPr>
        <w:t>16</w:t>
      </w:r>
      <w:r>
        <w:fldChar w:fldCharType="end"/>
      </w:r>
      <w:r>
        <w:t>) did not include the NRE terms. The following equations show how we calculated the gross annual savings in detail.</w:t>
      </w:r>
    </w:p>
    <w:p w14:paraId="5DE74723" w14:textId="446A18D3" w:rsidR="00B55070" w:rsidRDefault="00B55070" w:rsidP="00881B1B">
      <w:pPr>
        <w:pStyle w:val="Caption"/>
      </w:pPr>
      <w:bookmarkStart w:id="412" w:name="_Ref191562339"/>
      <w:r>
        <w:lastRenderedPageBreak/>
        <w:t xml:space="preserve">Equation </w:t>
      </w:r>
      <w:r>
        <w:fldChar w:fldCharType="begin"/>
      </w:r>
      <w:r>
        <w:instrText xml:space="preserve"> SEQ Equation \* ARABIC </w:instrText>
      </w:r>
      <w:r>
        <w:fldChar w:fldCharType="separate"/>
      </w:r>
      <w:r w:rsidR="00AA10F4">
        <w:rPr>
          <w:noProof/>
        </w:rPr>
        <w:t>17</w:t>
      </w:r>
      <w:r>
        <w:fldChar w:fldCharType="end"/>
      </w:r>
      <w:bookmarkEnd w:id="412"/>
      <w:r>
        <w:t>. Hourly Predicted Baseline Period Electricity Consumption</w:t>
      </w:r>
    </w:p>
    <w:p w14:paraId="5DDD6106" w14:textId="2E754C3C" w:rsidR="00B55070" w:rsidRDefault="000458DD" w:rsidP="00B55070">
      <m:oMathPara>
        <m:oMath>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7×24</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r>
                <w:rPr>
                  <w:rFonts w:ascii="Cambria Math" w:hAnsi="Cambria Math"/>
                </w:rPr>
                <m:t>HO</m:t>
              </m:r>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 xml:space="preserve"> </m:t>
              </m:r>
            </m:e>
          </m:nary>
          <m:r>
            <m:rPr>
              <m:sty m:val="p"/>
            </m:rPr>
            <w:rPr>
              <w:rFonts w:ascii="Cambria Math" w:hAnsi="Cambria Math"/>
            </w:rPr>
            <m:t xml:space="preserve">+ </m:t>
          </m:r>
          <m:r>
            <w:rPr>
              <w:rFonts w:ascii="Cambria Math" w:hAnsi="Cambria Math"/>
            </w:rPr>
            <m:t>NRA</m:t>
          </m:r>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7×24</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HO</m:t>
                  </m:r>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 xml:space="preserve">× </m:t>
                  </m:r>
                  <m:r>
                    <w:rPr>
                      <w:rFonts w:ascii="Cambria Math" w:hAnsi="Cambria Math"/>
                    </w:rPr>
                    <m:t>NRA</m:t>
                  </m:r>
                  <m:d>
                    <m:dPr>
                      <m:ctrlPr>
                        <w:rPr>
                          <w:rFonts w:ascii="Cambria Math" w:hAnsi="Cambria Math"/>
                        </w:rPr>
                      </m:ctrlPr>
                    </m:dPr>
                    <m:e>
                      <m:r>
                        <w:rPr>
                          <w:rFonts w:ascii="Cambria Math" w:hAnsi="Cambria Math"/>
                        </w:rPr>
                        <m:t>i</m:t>
                      </m:r>
                    </m:e>
                  </m:d>
                </m:e>
              </m:nary>
            </m:e>
          </m:d>
          <m:r>
            <m:rPr>
              <m:sty m:val="p"/>
            </m:rPr>
            <w:rPr>
              <w:rFonts w:ascii="Cambria Math" w:hAnsi="Cambria Math"/>
            </w:rPr>
            <m:t xml:space="preserve">+  </m:t>
          </m:r>
          <m:d>
            <m:dPr>
              <m:ctrlPr>
                <w:rPr>
                  <w:rFonts w:ascii="Cambria Math" w:hAnsi="Cambria Math"/>
                </w:rPr>
              </m:ctrlPr>
            </m:dPr>
            <m:e>
              <m:d>
                <m:dPr>
                  <m:ctrlPr>
                    <w:rPr>
                      <w:rFonts w:ascii="Cambria Math" w:hAnsi="Cambria Math"/>
                    </w:rPr>
                  </m:ctrlPr>
                </m:dPr>
                <m:e>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 xml:space="preserve"> </m:t>
                  </m:r>
                </m:e>
              </m:d>
              <m:r>
                <m:rPr>
                  <m:sty m:val="p"/>
                </m:rPr>
                <w:rPr>
                  <w:rFonts w:ascii="Cambria Math" w:hAnsi="Cambria Math"/>
                </w:rPr>
                <m:t>× NRE</m:t>
              </m:r>
              <m:d>
                <m:dPr>
                  <m:ctrlPr>
                    <w:rPr>
                      <w:rFonts w:ascii="Cambria Math" w:hAnsi="Cambria Math"/>
                    </w:rPr>
                  </m:ctrlPr>
                </m:dPr>
                <m:e>
                  <m:r>
                    <w:rPr>
                      <w:rFonts w:ascii="Cambria Math" w:hAnsi="Cambria Math"/>
                    </w:rPr>
                    <m:t>i</m:t>
                  </m:r>
                </m:e>
              </m:d>
            </m:e>
          </m:d>
          <m:r>
            <m:rPr>
              <m:sty m:val="p"/>
            </m:rPr>
            <w:rPr>
              <w:rFonts w:ascii="Cambria Math" w:hAnsi="Cambria Math"/>
            </w:rPr>
            <m:t xml:space="preserve"> </m:t>
          </m:r>
        </m:oMath>
      </m:oMathPara>
    </w:p>
    <w:p w14:paraId="0332BAAC" w14:textId="68C4E0AA" w:rsidR="00B55070" w:rsidRPr="00B55070" w:rsidRDefault="00B55070" w:rsidP="00B55070">
      <w:r w:rsidRPr="00B55070">
        <w:t xml:space="preserve">In </w:t>
      </w:r>
      <w:r>
        <w:fldChar w:fldCharType="begin"/>
      </w:r>
      <w:r>
        <w:instrText xml:space="preserve"> REF _Ref191562339 \h </w:instrText>
      </w:r>
      <w:r>
        <w:fldChar w:fldCharType="separate"/>
      </w:r>
      <w:r w:rsidR="00AA10F4">
        <w:t xml:space="preserve">Equation </w:t>
      </w:r>
      <w:r w:rsidR="00AA10F4">
        <w:rPr>
          <w:noProof/>
        </w:rPr>
        <w:t>17</w:t>
      </w:r>
      <w:r>
        <w:fldChar w:fldCharType="end"/>
      </w:r>
      <w:r w:rsidRPr="00B55070">
        <w:t xml:space="preserve">, </w:t>
      </w:r>
      <m:oMath>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oMath>
      <w:r w:rsidRPr="00B55070">
        <w:t xml:space="preserve"> is predicted baseline period electricity consumption for hour </w:t>
      </w:r>
      <m:oMath>
        <m:r>
          <w:rPr>
            <w:rFonts w:ascii="Cambria Math" w:hAnsi="Cambria Math"/>
          </w:rPr>
          <m:t>i</m:t>
        </m:r>
      </m:oMath>
      <w:r w:rsidRPr="00B55070">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oMath>
      <w:r w:rsidRPr="00B55070">
        <w:t xml:space="preserve"> is the estimated coefficient on the </w:t>
      </w:r>
      <m:oMath>
        <m:sSup>
          <m:sSupPr>
            <m:ctrlPr>
              <w:rPr>
                <w:rFonts w:ascii="Cambria Math" w:hAnsi="Cambria Math"/>
              </w:rPr>
            </m:ctrlPr>
          </m:sSupPr>
          <m:e>
            <m:r>
              <w:rPr>
                <w:rFonts w:ascii="Cambria Math" w:hAnsi="Cambria Math"/>
              </w:rPr>
              <m:t>j</m:t>
            </m:r>
          </m:e>
          <m:sup>
            <m:r>
              <w:rPr>
                <w:rFonts w:ascii="Cambria Math" w:hAnsi="Cambria Math"/>
              </w:rPr>
              <m:t>th</m:t>
            </m:r>
          </m:sup>
        </m:sSup>
      </m:oMath>
      <w:r w:rsidRPr="00B55070">
        <w:t xml:space="preserve"> hour/day of the week indicator variable as defined in </w:t>
      </w:r>
      <w:r>
        <w:fldChar w:fldCharType="begin"/>
      </w:r>
      <w:r>
        <w:instrText xml:space="preserve"> REF _Ref191561969 \h </w:instrText>
      </w:r>
      <w:r>
        <w:fldChar w:fldCharType="separate"/>
      </w:r>
      <w:r w:rsidR="00AA10F4">
        <w:t xml:space="preserve">Equation </w:t>
      </w:r>
      <w:r w:rsidR="00AA10F4">
        <w:rPr>
          <w:noProof/>
        </w:rPr>
        <w:t>14</w:t>
      </w:r>
      <w:r>
        <w:fldChar w:fldCharType="end"/>
      </w:r>
      <w:r>
        <w:t xml:space="preserve"> through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 xml:space="preserve">, </w:t>
      </w:r>
      <m:oMath>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oMath>
      <w:r w:rsidRPr="00B55070">
        <w:t xml:space="preserve"> and </w:t>
      </w:r>
      <m:oMath>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oMath>
      <w:r w:rsidRPr="00B55070">
        <w:t xml:space="preserve"> specified below are estimated heating and cooling components evaluated using TMY3 weather data and regression coefficients.</w:t>
      </w:r>
    </w:p>
    <w:p w14:paraId="4C300F7B" w14:textId="0464AAF2" w:rsidR="00B55070" w:rsidRPr="00B55070" w:rsidRDefault="000458DD" w:rsidP="00B55070">
      <m:oMathPara>
        <m:oMath>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2</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3</m:t>
              </m:r>
            </m:sub>
          </m:sSub>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h</m:t>
                  </m:r>
                </m:e>
              </m:acc>
            </m:e>
            <m:sub>
              <m:r>
                <m:rPr>
                  <m:sty m:val="p"/>
                </m:rPr>
                <w:rPr>
                  <w:rFonts w:ascii="Cambria Math" w:hAnsi="Cambria Math"/>
                </w:rPr>
                <m:t>4</m:t>
              </m:r>
            </m:sub>
          </m:sSub>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r>
            <m:rPr>
              <m:sty m:val="p"/>
            </m:rPr>
            <w:rPr>
              <w:rFonts w:ascii="Cambria Math" w:hAnsi="Cambria Math"/>
            </w:rPr>
            <w:br/>
          </m:r>
        </m:oMath>
        <m:oMath>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c</m:t>
                  </m:r>
                </m:e>
              </m:acc>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c</m:t>
                  </m:r>
                </m:e>
              </m:acc>
            </m:e>
            <m:sub>
              <m:r>
                <m:rPr>
                  <m:sty m:val="p"/>
                </m:rPr>
                <w:rPr>
                  <w:rFonts w:ascii="Cambria Math" w:hAnsi="Cambria Math"/>
                </w:rPr>
                <m:t>2</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c</m:t>
                  </m:r>
                </m:e>
              </m:acc>
            </m:e>
            <m:sub>
              <m:r>
                <m:rPr>
                  <m:sty m:val="p"/>
                </m:rPr>
                <w:rPr>
                  <w:rFonts w:ascii="Cambria Math" w:hAnsi="Cambria Math"/>
                </w:rPr>
                <m:t>3</m:t>
              </m:r>
            </m:sub>
          </m:sSub>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c</m:t>
                  </m:r>
                </m:e>
              </m:acc>
            </m:e>
            <m:sub>
              <m:r>
                <m:rPr>
                  <m:sty m:val="p"/>
                </m:rPr>
                <w:rPr>
                  <w:rFonts w:ascii="Cambria Math" w:hAnsi="Cambria Math"/>
                </w:rPr>
                <m:t>4</m:t>
              </m:r>
            </m:sub>
          </m:sSub>
          <m:sSub>
            <m:sSubPr>
              <m:ctrlPr>
                <w:rPr>
                  <w:rFonts w:ascii="Cambria Math" w:hAnsi="Cambria Math"/>
                </w:rPr>
              </m:ctrlPr>
            </m:sSubPr>
            <m:e>
              <m:r>
                <w:rPr>
                  <w:rFonts w:ascii="Cambria Math" w:hAnsi="Cambria Math"/>
                </w:rPr>
                <m:t>P</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6ACEC7F6" w14:textId="53F954C6" w:rsidR="00B55070" w:rsidRDefault="00B55070" w:rsidP="00B55070">
      <w:r w:rsidRPr="00B55070">
        <w:t xml:space="preserve">We calculated hourly reporting period electricity consumption based on </w:t>
      </w:r>
      <w:r>
        <w:fldChar w:fldCharType="begin"/>
      </w:r>
      <w:r>
        <w:instrText xml:space="preserve"> REF _Ref191562636 \h </w:instrText>
      </w:r>
      <w:r>
        <w:fldChar w:fldCharType="separate"/>
      </w:r>
      <w:r w:rsidR="00AA10F4">
        <w:t xml:space="preserve">Equation </w:t>
      </w:r>
      <w:r w:rsidR="00AA10F4">
        <w:rPr>
          <w:noProof/>
        </w:rPr>
        <w:t>18</w:t>
      </w:r>
      <w:r>
        <w:fldChar w:fldCharType="end"/>
      </w:r>
      <w:r w:rsidRPr="00B55070">
        <w:t xml:space="preserve">. </w:t>
      </w:r>
      <w:r>
        <w:fldChar w:fldCharType="begin"/>
      </w:r>
      <w:r>
        <w:instrText xml:space="preserve"> REF _Ref191562636 \h </w:instrText>
      </w:r>
      <w:r>
        <w:fldChar w:fldCharType="separate"/>
      </w:r>
      <w:r w:rsidR="00AA10F4">
        <w:t xml:space="preserve">Equation </w:t>
      </w:r>
      <w:r w:rsidR="00AA10F4">
        <w:rPr>
          <w:noProof/>
        </w:rPr>
        <w:t>18</w:t>
      </w:r>
      <w:r>
        <w:fldChar w:fldCharType="end"/>
      </w:r>
      <w:r>
        <w:t xml:space="preserve"> </w:t>
      </w:r>
      <w:r w:rsidRPr="00B55070">
        <w:t>contains the maximum terms that would be used to calculate the reporting period. Models that do not interact the</w:t>
      </w:r>
      <w:r w:rsidRPr="00B55070">
        <w:rPr>
          <w:i/>
          <w:iCs/>
        </w:rPr>
        <w:t xml:space="preserve"> Change </w:t>
      </w:r>
      <w:r w:rsidRPr="00B55070">
        <w:t>variable with weather (</w:t>
      </w:r>
      <w:r>
        <w:fldChar w:fldCharType="begin"/>
      </w:r>
      <w:r>
        <w:instrText xml:space="preserve"> REF _Ref191561969 \h </w:instrText>
      </w:r>
      <w:r>
        <w:fldChar w:fldCharType="separate"/>
      </w:r>
      <w:r w:rsidR="00AA10F4">
        <w:t xml:space="preserve">Equation </w:t>
      </w:r>
      <w:r w:rsidR="00AA10F4">
        <w:rPr>
          <w:noProof/>
        </w:rPr>
        <w:t>14</w:t>
      </w:r>
      <w:r>
        <w:fldChar w:fldCharType="end"/>
      </w:r>
      <w:r w:rsidRPr="00B55070">
        <w:t>) will not include that interaction. Models that do not interact the hour of the week (</w:t>
      </w:r>
      <w:r w:rsidRPr="00B55070">
        <w:rPr>
          <w:i/>
          <w:iCs/>
        </w:rPr>
        <w:t>HOW</w:t>
      </w:r>
      <w:r w:rsidRPr="006D7C02">
        <w:t>)</w:t>
      </w:r>
      <w:r w:rsidRPr="009965DE">
        <w:t xml:space="preserve"> </w:t>
      </w:r>
      <w:r w:rsidRPr="00B55070">
        <w:t xml:space="preserve">variable with the </w:t>
      </w:r>
      <w:r w:rsidRPr="006D7C02">
        <w:rPr>
          <w:i/>
          <w:iCs/>
        </w:rPr>
        <w:t>Change</w:t>
      </w:r>
      <w:r w:rsidRPr="00B55070">
        <w:t xml:space="preserve"> variable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 will not include that interaction.</w:t>
      </w:r>
    </w:p>
    <w:p w14:paraId="0D935FEC" w14:textId="7D5FD299" w:rsidR="00B55070" w:rsidRPr="00B55070" w:rsidRDefault="00B55070" w:rsidP="00881B1B">
      <w:pPr>
        <w:pStyle w:val="Caption"/>
      </w:pPr>
      <w:bookmarkStart w:id="413" w:name="_Ref191562636"/>
      <w:r>
        <w:t xml:space="preserve">Equation </w:t>
      </w:r>
      <w:r>
        <w:fldChar w:fldCharType="begin"/>
      </w:r>
      <w:r>
        <w:instrText xml:space="preserve"> SEQ Equation \* ARABIC </w:instrText>
      </w:r>
      <w:r>
        <w:fldChar w:fldCharType="separate"/>
      </w:r>
      <w:r w:rsidR="00AA10F4">
        <w:rPr>
          <w:noProof/>
        </w:rPr>
        <w:t>18</w:t>
      </w:r>
      <w:r>
        <w:fldChar w:fldCharType="end"/>
      </w:r>
      <w:bookmarkEnd w:id="413"/>
      <w:r>
        <w:t>. Hourly Predicted Reporting Period Electricity Consumption</w:t>
      </w:r>
    </w:p>
    <w:p w14:paraId="2D89C482" w14:textId="2EE6A22F" w:rsidR="00B55070" w:rsidRPr="00B55070" w:rsidRDefault="000458DD" w:rsidP="00B55070">
      <m:oMathPara>
        <m:oMath>
          <m:sSub>
            <m:sSubPr>
              <m:ctrlPr>
                <w:rPr>
                  <w:rFonts w:ascii="Cambria Math" w:hAnsi="Cambria Math"/>
                </w:rPr>
              </m:ctrlPr>
            </m:sSubPr>
            <m:e>
              <m:r>
                <w:rPr>
                  <w:rFonts w:ascii="Cambria Math" w:hAnsi="Cambria Math"/>
                </w:rPr>
                <m:t>E</m:t>
              </m:r>
            </m:e>
            <m:sub>
              <m:r>
                <w:rPr>
                  <w:rFonts w:ascii="Cambria Math" w:hAnsi="Cambria Math"/>
                </w:rPr>
                <m:t>R</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7×24</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r>
                <w:rPr>
                  <w:rFonts w:ascii="Cambria Math" w:hAnsi="Cambria Math"/>
                </w:rPr>
                <m:t>HO</m:t>
              </m:r>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m:t>
              </m:r>
            </m:e>
          </m:nary>
          <m:d>
            <m:dPr>
              <m:ctrlPr>
                <w:rPr>
                  <w:rFonts w:ascii="Cambria Math" w:hAnsi="Cambria Math"/>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7×24</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HO</m:t>
                  </m:r>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m:rPr>
                      <m:sty m:val="p"/>
                    </m:rPr>
                    <w:rPr>
                      <w:rFonts w:ascii="Cambria Math" w:hAnsi="Cambria Math"/>
                    </w:rPr>
                    <m:t>(</m:t>
                  </m:r>
                  <m:r>
                    <w:rPr>
                      <w:rFonts w:ascii="Cambria Math" w:hAnsi="Cambria Math"/>
                    </w:rPr>
                    <m:t>Change</m:t>
                  </m:r>
                  <m:d>
                    <m:dPr>
                      <m:ctrlPr>
                        <w:rPr>
                          <w:rFonts w:ascii="Cambria Math" w:hAnsi="Cambria Math"/>
                        </w:rPr>
                      </m:ctrlPr>
                    </m:dPr>
                    <m:e>
                      <m:r>
                        <w:rPr>
                          <w:rFonts w:ascii="Cambria Math" w:hAnsi="Cambria Math"/>
                        </w:rPr>
                        <m:t>i</m:t>
                      </m:r>
                    </m:e>
                  </m:d>
                </m:e>
              </m:nary>
            </m:e>
          </m:d>
          <m:r>
            <m:rPr>
              <m:sty m:val="p"/>
            </m:rPr>
            <w:rPr>
              <w:rFonts w:ascii="Cambria Math" w:hAnsi="Cambria Math"/>
            </w:rPr>
            <m:t>+</m:t>
          </m:r>
          <m:d>
            <m:dPr>
              <m:ctrlPr>
                <w:rPr>
                  <w:rFonts w:ascii="Cambria Math" w:hAnsi="Cambria Math"/>
                </w:rPr>
              </m:ctrlPr>
            </m:dPr>
            <m:e>
              <m:d>
                <m:dPr>
                  <m:ctrlPr>
                    <w:rPr>
                      <w:rFonts w:ascii="Cambria Math" w:hAnsi="Cambria Math"/>
                    </w:rPr>
                  </m:ctrlPr>
                </m:dPr>
                <m:e>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d>
        </m:oMath>
      </m:oMathPara>
    </w:p>
    <w:p w14:paraId="455B0E70" w14:textId="1BA3FE69" w:rsidR="00B55070" w:rsidRPr="00B55070" w:rsidRDefault="00B55070" w:rsidP="00B55070">
      <w:bookmarkStart w:id="414" w:name="_Hlk191562671"/>
      <w:r w:rsidRPr="00B55070">
        <w:t xml:space="preserve">In </w:t>
      </w:r>
      <w:r>
        <w:fldChar w:fldCharType="begin"/>
      </w:r>
      <w:r>
        <w:instrText xml:space="preserve"> REF _Ref191562636 \h </w:instrText>
      </w:r>
      <w:r>
        <w:fldChar w:fldCharType="separate"/>
      </w:r>
      <w:r w:rsidR="00AA10F4">
        <w:t xml:space="preserve">Equation </w:t>
      </w:r>
      <w:r w:rsidR="00AA10F4">
        <w:rPr>
          <w:noProof/>
        </w:rPr>
        <w:t>18</w:t>
      </w:r>
      <w:r>
        <w:fldChar w:fldCharType="end"/>
      </w:r>
      <w:r w:rsidRPr="00B55070">
        <w:t xml:space="preserve">, </w:t>
      </w:r>
      <m:oMath>
        <m:sSub>
          <m:sSubPr>
            <m:ctrlPr>
              <w:rPr>
                <w:rFonts w:ascii="Cambria Math" w:hAnsi="Cambria Math"/>
              </w:rPr>
            </m:ctrlPr>
          </m:sSubPr>
          <m:e>
            <m:r>
              <w:rPr>
                <w:rFonts w:ascii="Cambria Math" w:hAnsi="Cambria Math"/>
              </w:rPr>
              <m:t>E</m:t>
            </m:r>
          </m:e>
          <m:sub>
            <m:r>
              <w:rPr>
                <w:rFonts w:ascii="Cambria Math" w:hAnsi="Cambria Math"/>
              </w:rPr>
              <m:t>R</m:t>
            </m:r>
          </m:sub>
        </m:sSub>
        <m:d>
          <m:dPr>
            <m:ctrlPr>
              <w:rPr>
                <w:rFonts w:ascii="Cambria Math" w:hAnsi="Cambria Math"/>
              </w:rPr>
            </m:ctrlPr>
          </m:dPr>
          <m:e>
            <m:r>
              <w:rPr>
                <w:rFonts w:ascii="Cambria Math" w:hAnsi="Cambria Math"/>
              </w:rPr>
              <m:t>i</m:t>
            </m:r>
          </m:e>
        </m:d>
      </m:oMath>
      <w:r w:rsidRPr="00B55070">
        <w:t xml:space="preserve"> is predicted reporting period electricity consumption for hour </w:t>
      </w:r>
      <m:oMath>
        <m:r>
          <w:rPr>
            <w:rFonts w:ascii="Cambria Math" w:hAnsi="Cambria Math"/>
          </w:rPr>
          <m:t>i</m:t>
        </m:r>
      </m:oMath>
      <w:r w:rsidRPr="00B55070">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α</m:t>
                </m:r>
              </m:e>
            </m:acc>
          </m:e>
          <m:sub>
            <m:r>
              <w:rPr>
                <w:rFonts w:ascii="Cambria Math" w:hAnsi="Cambria Math"/>
              </w:rPr>
              <m:t>j</m:t>
            </m:r>
          </m:sub>
        </m:sSub>
      </m:oMath>
      <w:r w:rsidRPr="00B55070">
        <w:t xml:space="preserve"> is the estimated coefficient on the interaction term between the treatment variable and the </w:t>
      </w:r>
      <m:oMath>
        <m:sSup>
          <m:sSupPr>
            <m:ctrlPr>
              <w:rPr>
                <w:rFonts w:ascii="Cambria Math" w:hAnsi="Cambria Math"/>
              </w:rPr>
            </m:ctrlPr>
          </m:sSupPr>
          <m:e>
            <m:r>
              <w:rPr>
                <w:rFonts w:ascii="Cambria Math" w:hAnsi="Cambria Math"/>
              </w:rPr>
              <m:t>j</m:t>
            </m:r>
          </m:e>
          <m:sup>
            <m:r>
              <w:rPr>
                <w:rFonts w:ascii="Cambria Math" w:hAnsi="Cambria Math"/>
              </w:rPr>
              <m:t>th</m:t>
            </m:r>
          </m:sup>
        </m:sSup>
      </m:oMath>
      <w:r w:rsidRPr="00B55070">
        <w:t xml:space="preserve"> hour of the week indicator variable as defined for the hourly model versions of  </w:t>
      </w:r>
      <w:r>
        <w:fldChar w:fldCharType="begin"/>
      </w:r>
      <w:r>
        <w:instrText xml:space="preserve"> REF _Ref191561969 \h </w:instrText>
      </w:r>
      <w:r>
        <w:fldChar w:fldCharType="separate"/>
      </w:r>
      <w:r w:rsidR="00AA10F4">
        <w:t xml:space="preserve">Equation </w:t>
      </w:r>
      <w:r w:rsidR="00AA10F4">
        <w:rPr>
          <w:noProof/>
        </w:rPr>
        <w:t>14</w:t>
      </w:r>
      <w:r>
        <w:fldChar w:fldCharType="end"/>
      </w:r>
      <w:r w:rsidRPr="00B55070">
        <w:t xml:space="preserve"> through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w:t>
      </w:r>
    </w:p>
    <w:p w14:paraId="5145AE7C" w14:textId="4BF6A339" w:rsidR="00B55070" w:rsidRPr="00B55070" w:rsidRDefault="00B55070" w:rsidP="00B55070">
      <w:r w:rsidRPr="00B55070">
        <w:t>Annual savings were calculated as</w:t>
      </w:r>
      <w:r w:rsidR="00D76653">
        <w:t xml:space="preserve"> follows</w:t>
      </w:r>
      <w:r w:rsidRPr="00B55070">
        <w:t>:</w:t>
      </w:r>
    </w:p>
    <w:p w14:paraId="7943B60B" w14:textId="386D21E9" w:rsidR="00B55070" w:rsidRPr="00B55070" w:rsidRDefault="000458DD" w:rsidP="00B55070">
      <m:oMathPara>
        <m:oMath>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e>
              </m:nary>
            </m:e>
          </m:nary>
        </m:oMath>
      </m:oMathPara>
    </w:p>
    <w:p w14:paraId="35ABAC86" w14:textId="577FB5C6" w:rsidR="00B55070" w:rsidRPr="00B55070" w:rsidRDefault="00B55070" w:rsidP="00B55070">
      <w:r w:rsidRPr="00B55070">
        <w:t xml:space="preserve">Where each sum was </w:t>
      </w:r>
      <w:r w:rsidR="00574124">
        <w:t>across</w:t>
      </w:r>
      <w:r w:rsidR="00574124" w:rsidRPr="00B55070">
        <w:t xml:space="preserve"> </w:t>
      </w:r>
      <w:r w:rsidRPr="00B55070">
        <w:t>all the hours in the TMY.</w:t>
      </w:r>
    </w:p>
    <w:p w14:paraId="16065325" w14:textId="2E641857" w:rsidR="00B55070" w:rsidRDefault="00B55070" w:rsidP="00B55070">
      <w:r w:rsidRPr="00B55070">
        <w:t xml:space="preserve">Similarly, for each facility </w:t>
      </w:r>
      <w:r w:rsidR="009965DE">
        <w:t>where</w:t>
      </w:r>
      <w:r w:rsidRPr="00B55070">
        <w:t xml:space="preserve"> Power TakeOff estimated the daily regression model specified in </w:t>
      </w:r>
      <w:r>
        <w:fldChar w:fldCharType="begin"/>
      </w:r>
      <w:r>
        <w:instrText xml:space="preserve"> REF _Ref191561969 \h </w:instrText>
      </w:r>
      <w:r>
        <w:fldChar w:fldCharType="separate"/>
      </w:r>
      <w:r w:rsidR="00AA10F4">
        <w:t xml:space="preserve">Equation </w:t>
      </w:r>
      <w:r w:rsidR="00AA10F4">
        <w:rPr>
          <w:noProof/>
        </w:rPr>
        <w:t>14</w:t>
      </w:r>
      <w:r>
        <w:fldChar w:fldCharType="end"/>
      </w:r>
      <w:r w:rsidRPr="00B55070">
        <w:t xml:space="preserve"> through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 xml:space="preserve">, the evaluation team calculated daily predicted baseline and reporting period electricity consumption based on </w:t>
      </w:r>
      <w:r>
        <w:fldChar w:fldCharType="begin"/>
      </w:r>
      <w:r>
        <w:instrText xml:space="preserve"> REF _Ref191562863 \h </w:instrText>
      </w:r>
      <w:r>
        <w:fldChar w:fldCharType="separate"/>
      </w:r>
      <w:r w:rsidR="00AA10F4">
        <w:t xml:space="preserve">Equation </w:t>
      </w:r>
      <w:r w:rsidR="00AA10F4">
        <w:rPr>
          <w:noProof/>
        </w:rPr>
        <w:t>19</w:t>
      </w:r>
      <w:r>
        <w:fldChar w:fldCharType="end"/>
      </w:r>
      <w:r>
        <w:t xml:space="preserve"> </w:t>
      </w:r>
      <w:r w:rsidRPr="00B55070">
        <w:t xml:space="preserve">and </w:t>
      </w:r>
      <w:r w:rsidR="00EC08F3">
        <w:fldChar w:fldCharType="begin"/>
      </w:r>
      <w:r w:rsidR="00EC08F3">
        <w:instrText xml:space="preserve"> REF _Ref191562998 \h </w:instrText>
      </w:r>
      <w:r w:rsidR="00EC08F3">
        <w:fldChar w:fldCharType="separate"/>
      </w:r>
      <w:r w:rsidR="00AA10F4">
        <w:t xml:space="preserve">Equation </w:t>
      </w:r>
      <w:r w:rsidR="00AA10F4">
        <w:rPr>
          <w:noProof/>
        </w:rPr>
        <w:t>20</w:t>
      </w:r>
      <w:r w:rsidR="00EC08F3">
        <w:fldChar w:fldCharType="end"/>
      </w:r>
      <w:r w:rsidRPr="00B55070">
        <w:t xml:space="preserve">. We calculated annual savings using the formula defined above, but the sum included all the days in the TMY. </w:t>
      </w:r>
      <w:r>
        <w:fldChar w:fldCharType="begin"/>
      </w:r>
      <w:r>
        <w:instrText xml:space="preserve"> REF _Ref191562863 \h </w:instrText>
      </w:r>
      <w:r>
        <w:fldChar w:fldCharType="separate"/>
      </w:r>
      <w:r w:rsidR="00AA10F4">
        <w:t xml:space="preserve">Equation </w:t>
      </w:r>
      <w:r w:rsidR="00AA10F4">
        <w:rPr>
          <w:noProof/>
        </w:rPr>
        <w:t>19</w:t>
      </w:r>
      <w:r>
        <w:fldChar w:fldCharType="end"/>
      </w:r>
      <w:r w:rsidRPr="00B55070">
        <w:t xml:space="preserve"> contains the maximum terms that would be used to calculate the daily baseline. Models that do not include an NRE (</w:t>
      </w:r>
      <w:r>
        <w:fldChar w:fldCharType="begin"/>
      </w:r>
      <w:r>
        <w:instrText xml:space="preserve"> REF _Ref191561969 \h </w:instrText>
      </w:r>
      <w:r>
        <w:fldChar w:fldCharType="separate"/>
      </w:r>
      <w:r w:rsidR="00AA10F4">
        <w:t xml:space="preserve">Equation </w:t>
      </w:r>
      <w:r w:rsidR="00AA10F4">
        <w:rPr>
          <w:noProof/>
        </w:rPr>
        <w:t>14</w:t>
      </w:r>
      <w:r>
        <w:fldChar w:fldCharType="end"/>
      </w:r>
      <w:r w:rsidRPr="00B55070">
        <w:t xml:space="preserve">, </w:t>
      </w:r>
      <w:r>
        <w:fldChar w:fldCharType="begin"/>
      </w:r>
      <w:r>
        <w:instrText xml:space="preserve"> REF _Ref191562251 \h </w:instrText>
      </w:r>
      <w:r>
        <w:fldChar w:fldCharType="separate"/>
      </w:r>
      <w:r w:rsidR="00AA10F4">
        <w:t xml:space="preserve">Equation </w:t>
      </w:r>
      <w:r w:rsidR="00AA10F4">
        <w:rPr>
          <w:noProof/>
        </w:rPr>
        <w:t>15</w:t>
      </w:r>
      <w:r>
        <w:fldChar w:fldCharType="end"/>
      </w:r>
      <w:r w:rsidRPr="00B55070">
        <w:t xml:space="preserve"> and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 xml:space="preserve">) will not include NRE terms. </w:t>
      </w:r>
      <w:r w:rsidR="00EC08F3">
        <w:fldChar w:fldCharType="begin"/>
      </w:r>
      <w:r w:rsidR="00EC08F3">
        <w:instrText xml:space="preserve"> REF _Ref191562998 \h </w:instrText>
      </w:r>
      <w:r w:rsidR="00EC08F3">
        <w:fldChar w:fldCharType="separate"/>
      </w:r>
      <w:r w:rsidR="00AA10F4">
        <w:t xml:space="preserve">Equation </w:t>
      </w:r>
      <w:r w:rsidR="00AA10F4">
        <w:rPr>
          <w:noProof/>
        </w:rPr>
        <w:t>20</w:t>
      </w:r>
      <w:r w:rsidR="00EC08F3">
        <w:fldChar w:fldCharType="end"/>
      </w:r>
      <w:r w:rsidRPr="00B55070">
        <w:t xml:space="preserve"> contains the maximum terms that would be used to calculate the reporting period. Models that do not interact the</w:t>
      </w:r>
      <w:r w:rsidRPr="00B55070">
        <w:rPr>
          <w:i/>
          <w:iCs/>
        </w:rPr>
        <w:t xml:space="preserve"> Change </w:t>
      </w:r>
      <w:r w:rsidRPr="00B55070">
        <w:t>variable with weather (</w:t>
      </w:r>
      <w:r>
        <w:fldChar w:fldCharType="begin"/>
      </w:r>
      <w:r>
        <w:instrText xml:space="preserve"> REF _Ref191561969 \h </w:instrText>
      </w:r>
      <w:r>
        <w:fldChar w:fldCharType="separate"/>
      </w:r>
      <w:r w:rsidR="00AA10F4">
        <w:t xml:space="preserve">Equation </w:t>
      </w:r>
      <w:r w:rsidR="00AA10F4">
        <w:rPr>
          <w:noProof/>
        </w:rPr>
        <w:t>14</w:t>
      </w:r>
      <w:r>
        <w:fldChar w:fldCharType="end"/>
      </w:r>
      <w:r w:rsidRPr="00B55070">
        <w:t>) will not include that interaction. Models that do not interact the day of week (</w:t>
      </w:r>
      <w:r w:rsidRPr="00B55070">
        <w:rPr>
          <w:i/>
          <w:iCs/>
        </w:rPr>
        <w:t>W)</w:t>
      </w:r>
      <w:r w:rsidRPr="00B55070">
        <w:t xml:space="preserve"> variable with the </w:t>
      </w:r>
      <w:r w:rsidRPr="00B55070">
        <w:rPr>
          <w:i/>
          <w:iCs/>
        </w:rPr>
        <w:t>Change</w:t>
      </w:r>
      <w:r w:rsidRPr="00B55070">
        <w:t xml:space="preserve"> variable (</w:t>
      </w:r>
      <w:r>
        <w:fldChar w:fldCharType="begin"/>
      </w:r>
      <w:r>
        <w:instrText xml:space="preserve"> REF _Ref191561979 \h </w:instrText>
      </w:r>
      <w:r>
        <w:fldChar w:fldCharType="separate"/>
      </w:r>
      <w:r w:rsidR="00AA10F4">
        <w:t xml:space="preserve">Equation </w:t>
      </w:r>
      <w:r w:rsidR="00AA10F4">
        <w:rPr>
          <w:noProof/>
        </w:rPr>
        <w:t>16</w:t>
      </w:r>
      <w:r>
        <w:fldChar w:fldCharType="end"/>
      </w:r>
      <w:r w:rsidRPr="00B55070">
        <w:t>) will not include that interaction.</w:t>
      </w:r>
    </w:p>
    <w:p w14:paraId="141ABDF1" w14:textId="4202FF05" w:rsidR="00B55070" w:rsidRDefault="00B55070" w:rsidP="00881B1B">
      <w:pPr>
        <w:pStyle w:val="Caption"/>
      </w:pPr>
      <w:bookmarkStart w:id="415" w:name="_Ref191562863"/>
      <w:r>
        <w:t xml:space="preserve">Equation </w:t>
      </w:r>
      <w:r>
        <w:fldChar w:fldCharType="begin"/>
      </w:r>
      <w:r>
        <w:instrText xml:space="preserve"> SEQ Equation \* ARABIC </w:instrText>
      </w:r>
      <w:r>
        <w:fldChar w:fldCharType="separate"/>
      </w:r>
      <w:r w:rsidR="00AA10F4">
        <w:rPr>
          <w:noProof/>
        </w:rPr>
        <w:t>19</w:t>
      </w:r>
      <w:r>
        <w:fldChar w:fldCharType="end"/>
      </w:r>
      <w:bookmarkEnd w:id="415"/>
      <w:r>
        <w:t>. Daily Predicted Baseline Period Electricity Consumption</w:t>
      </w:r>
    </w:p>
    <w:p w14:paraId="475ED28B" w14:textId="65E70889" w:rsidR="00B55070" w:rsidRPr="00B55070" w:rsidRDefault="000458DD" w:rsidP="00B55070">
      <m:oMathPara>
        <m:oMath>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 xml:space="preserve">+ </m:t>
              </m:r>
              <m:r>
                <w:rPr>
                  <w:rFonts w:ascii="Cambria Math" w:hAnsi="Cambria Math"/>
                </w:rPr>
                <m:t>NRE</m:t>
              </m:r>
              <m:d>
                <m:dPr>
                  <m:ctrlPr>
                    <w:rPr>
                      <w:rFonts w:ascii="Cambria Math" w:hAnsi="Cambria Math"/>
                    </w:rPr>
                  </m:ctrlPr>
                </m:dPr>
                <m:e>
                  <m:r>
                    <w:rPr>
                      <w:rFonts w:ascii="Cambria Math" w:hAnsi="Cambria Math"/>
                    </w:rPr>
                    <m:t>i</m:t>
                  </m:r>
                </m:e>
              </m:d>
              <m:r>
                <m:rPr>
                  <m:sty m:val="p"/>
                </m:rPr>
                <w:rPr>
                  <w:rFonts w:ascii="Cambria Math" w:hAnsi="Cambria Math"/>
                </w:rPr>
                <m:t>+</m:t>
              </m:r>
              <m:d>
                <m:dPr>
                  <m:ctrlPr>
                    <w:rPr>
                      <w:rFonts w:ascii="Cambria Math" w:hAnsi="Cambria Math"/>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β</m:t>
                          </m:r>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 xml:space="preserve">* </m:t>
                      </m:r>
                      <m:r>
                        <w:rPr>
                          <w:rFonts w:ascii="Cambria Math" w:hAnsi="Cambria Math"/>
                        </w:rPr>
                        <m:t>NRE</m:t>
                      </m:r>
                      <m:d>
                        <m:dPr>
                          <m:ctrlPr>
                            <w:rPr>
                              <w:rFonts w:ascii="Cambria Math" w:hAnsi="Cambria Math"/>
                            </w:rPr>
                          </m:ctrlPr>
                        </m:dPr>
                        <m:e>
                          <m:r>
                            <w:rPr>
                              <w:rFonts w:ascii="Cambria Math" w:hAnsi="Cambria Math"/>
                            </w:rPr>
                            <m:t>i</m:t>
                          </m:r>
                        </m:e>
                      </m:d>
                    </m:e>
                  </m:nary>
                </m:e>
              </m:d>
              <m:r>
                <m:rPr>
                  <m:sty m:val="p"/>
                </m:rPr>
                <w:rPr>
                  <w:rFonts w:ascii="Cambria Math" w:hAnsi="Cambria Math"/>
                </w:rPr>
                <m:t xml:space="preserve">+  </m:t>
              </m:r>
              <m:d>
                <m:dPr>
                  <m:ctrlPr>
                    <w:rPr>
                      <w:rFonts w:ascii="Cambria Math" w:hAnsi="Cambria Math"/>
                    </w:rPr>
                  </m:ctrlPr>
                </m:dPr>
                <m:e>
                  <m:d>
                    <m:dPr>
                      <m:ctrlPr>
                        <w:rPr>
                          <w:rFonts w:ascii="Cambria Math" w:hAnsi="Cambria Math"/>
                        </w:rPr>
                      </m:ctrlPr>
                    </m:dPr>
                    <m:e>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e>
                  </m:d>
                  <m:r>
                    <m:rPr>
                      <m:sty m:val="p"/>
                    </m:rPr>
                    <w:rPr>
                      <w:rFonts w:ascii="Cambria Math" w:hAnsi="Cambria Math"/>
                    </w:rPr>
                    <m:t>* NRE</m:t>
                  </m:r>
                  <m:d>
                    <m:dPr>
                      <m:ctrlPr>
                        <w:rPr>
                          <w:rFonts w:ascii="Cambria Math" w:hAnsi="Cambria Math"/>
                        </w:rPr>
                      </m:ctrlPr>
                    </m:dPr>
                    <m:e>
                      <m:r>
                        <w:rPr>
                          <w:rFonts w:ascii="Cambria Math" w:hAnsi="Cambria Math"/>
                        </w:rPr>
                        <m:t>i</m:t>
                      </m:r>
                    </m:e>
                  </m:d>
                </m:e>
              </m:d>
              <m:r>
                <m:rPr>
                  <m:sty m:val="p"/>
                </m:rPr>
                <w:rPr>
                  <w:rFonts w:ascii="Cambria Math" w:hAnsi="Cambria Math"/>
                </w:rPr>
                <m:t xml:space="preserve"> </m:t>
              </m:r>
            </m:e>
          </m:nary>
        </m:oMath>
      </m:oMathPara>
    </w:p>
    <w:p w14:paraId="25EB4A23" w14:textId="79579F11" w:rsidR="00B55070" w:rsidRPr="00B55070" w:rsidRDefault="00B55070" w:rsidP="00881B1B">
      <w:pPr>
        <w:pStyle w:val="Caption"/>
      </w:pPr>
      <w:bookmarkStart w:id="416" w:name="_Ref191562998"/>
      <w:r>
        <w:lastRenderedPageBreak/>
        <w:t xml:space="preserve">Equation </w:t>
      </w:r>
      <w:r>
        <w:fldChar w:fldCharType="begin"/>
      </w:r>
      <w:r>
        <w:instrText xml:space="preserve"> SEQ Equation \* ARABIC </w:instrText>
      </w:r>
      <w:r>
        <w:fldChar w:fldCharType="separate"/>
      </w:r>
      <w:r w:rsidR="00AA10F4">
        <w:rPr>
          <w:noProof/>
        </w:rPr>
        <w:t>20</w:t>
      </w:r>
      <w:r>
        <w:fldChar w:fldCharType="end"/>
      </w:r>
      <w:bookmarkEnd w:id="416"/>
      <w:r>
        <w:t xml:space="preserve">. Daily Predicted </w:t>
      </w:r>
      <w:r w:rsidR="00D76653">
        <w:t xml:space="preserve">Reporting </w:t>
      </w:r>
      <w:r>
        <w:t>Period Electricity Consumption</w:t>
      </w:r>
    </w:p>
    <w:bookmarkEnd w:id="414"/>
    <w:p w14:paraId="18ED009D" w14:textId="5271A61D" w:rsidR="00B55070" w:rsidRPr="00EC08F3" w:rsidRDefault="000458DD" w:rsidP="00B55070">
      <m:oMathPara>
        <m:oMath>
          <m:sSub>
            <m:sSubPr>
              <m:ctrlPr>
                <w:rPr>
                  <w:rFonts w:ascii="Cambria Math" w:hAnsi="Cambria Math"/>
                </w:rPr>
              </m:ctrlPr>
            </m:sSubPr>
            <m:e>
              <m:r>
                <w:rPr>
                  <w:rFonts w:ascii="Cambria Math" w:hAnsi="Cambria Math"/>
                </w:rPr>
                <m:t>E</m:t>
              </m:r>
            </m:e>
            <m:sub>
              <m:r>
                <w:rPr>
                  <w:rFonts w:ascii="Cambria Math" w:hAnsi="Cambria Math"/>
                </w:rPr>
                <m:t>R</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 xml:space="preserve">+ </m:t>
              </m:r>
              <m:d>
                <m:dPr>
                  <m:ctrlPr>
                    <w:rPr>
                      <w:rFonts w:ascii="Cambria Math" w:hAnsi="Cambria Math"/>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β</m:t>
                          </m:r>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m:rPr>
                          <m:sty m:val="p"/>
                        </m:rPr>
                        <w:rPr>
                          <w:rFonts w:ascii="Cambria Math" w:hAnsi="Cambria Math"/>
                        </w:rPr>
                        <m:t>(</m:t>
                      </m:r>
                      <m:r>
                        <w:rPr>
                          <w:rFonts w:ascii="Cambria Math" w:hAnsi="Cambria Math"/>
                        </w:rPr>
                        <m:t>Change</m:t>
                      </m:r>
                      <m:d>
                        <m:dPr>
                          <m:ctrlPr>
                            <w:rPr>
                              <w:rFonts w:ascii="Cambria Math" w:hAnsi="Cambria Math"/>
                            </w:rPr>
                          </m:ctrlPr>
                        </m:dPr>
                        <m:e>
                          <m:r>
                            <w:rPr>
                              <w:rFonts w:ascii="Cambria Math" w:hAnsi="Cambria Math"/>
                            </w:rPr>
                            <m:t>i</m:t>
                          </m:r>
                        </m:e>
                      </m:d>
                    </m:e>
                  </m:nary>
                </m:e>
              </m:d>
              <m:r>
                <m:rPr>
                  <m:sty m:val="p"/>
                </m:rPr>
                <w:rPr>
                  <w:rFonts w:ascii="Cambria Math" w:hAnsi="Cambria Math"/>
                </w:rPr>
                <m:t>+</m:t>
              </m:r>
              <m:d>
                <m:dPr>
                  <m:ctrlPr>
                    <w:rPr>
                      <w:rFonts w:ascii="Cambria Math" w:hAnsi="Cambria Math"/>
                    </w:rPr>
                  </m:ctrlPr>
                </m:dPr>
                <m:e>
                  <m:d>
                    <m:dPr>
                      <m:ctrlPr>
                        <w:rPr>
                          <w:rFonts w:ascii="Cambria Math" w:hAnsi="Cambria Math"/>
                        </w:rPr>
                      </m:ctrlPr>
                    </m:dPr>
                    <m:e>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d>
            </m:e>
          </m:nary>
        </m:oMath>
      </m:oMathPara>
    </w:p>
    <w:p w14:paraId="20BDB3FA" w14:textId="4590D0EE" w:rsidR="00EC08F3" w:rsidRPr="00EC08F3" w:rsidRDefault="00EC08F3" w:rsidP="00EC08F3">
      <w:r w:rsidRPr="00EC08F3">
        <w:t>As before, annual savings were calculated as</w:t>
      </w:r>
      <w:r w:rsidR="00D76653">
        <w:t xml:space="preserve"> follows</w:t>
      </w:r>
      <w:r w:rsidRPr="00EC08F3">
        <w:t>:</w:t>
      </w:r>
    </w:p>
    <w:p w14:paraId="28AE430E" w14:textId="5E331419" w:rsidR="00EC08F3" w:rsidRPr="00EC08F3" w:rsidRDefault="000458DD" w:rsidP="00EC08F3">
      <m:oMathPara>
        <m:oMath>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e>
              </m:nary>
            </m:e>
          </m:nary>
        </m:oMath>
      </m:oMathPara>
    </w:p>
    <w:p w14:paraId="1B29A369" w14:textId="52942771" w:rsidR="00EC08F3" w:rsidRDefault="00EC08F3" w:rsidP="00B55070">
      <w:r w:rsidRPr="00EC08F3">
        <w:t>Where each sum was over all the hours in the TMY.</w:t>
      </w:r>
    </w:p>
    <w:p w14:paraId="0422D18C" w14:textId="54D477DE" w:rsidR="000649C2" w:rsidRDefault="000649C2" w:rsidP="000649C2">
      <w:pPr>
        <w:pStyle w:val="Heading4"/>
      </w:pPr>
      <w:r>
        <w:t>Non-Routine Events</w:t>
      </w:r>
    </w:p>
    <w:p w14:paraId="32667123" w14:textId="2C361746" w:rsidR="00EC08F3" w:rsidRDefault="00EC08F3" w:rsidP="00EC08F3">
      <w:r w:rsidRPr="00EC08F3">
        <w:t xml:space="preserve">Power TakeOff identified NRE at </w:t>
      </w:r>
      <w:r w:rsidR="008D35DD">
        <w:t xml:space="preserve">four </w:t>
      </w:r>
      <w:r w:rsidRPr="00EC08F3">
        <w:t>participating sites in 2024</w:t>
      </w:r>
      <w:r w:rsidR="008D35DD">
        <w:t xml:space="preserve">. The details of these NRE are provided in </w:t>
      </w:r>
      <w:r w:rsidR="008D35DD">
        <w:fldChar w:fldCharType="begin"/>
      </w:r>
      <w:r w:rsidR="008D35DD">
        <w:instrText xml:space="preserve"> REF _Ref192672472 \h </w:instrText>
      </w:r>
      <w:r w:rsidR="008D35DD">
        <w:fldChar w:fldCharType="separate"/>
      </w:r>
      <w:r w:rsidR="00AA10F4">
        <w:t xml:space="preserve">Table </w:t>
      </w:r>
      <w:r w:rsidR="00AA10F4">
        <w:rPr>
          <w:noProof/>
        </w:rPr>
        <w:t>94</w:t>
      </w:r>
      <w:r w:rsidR="008D35DD">
        <w:fldChar w:fldCharType="end"/>
      </w:r>
      <w:r w:rsidR="008D35DD">
        <w:t xml:space="preserve">. </w:t>
      </w:r>
      <w:r w:rsidRPr="00EC08F3">
        <w:t xml:space="preserve">Both </w:t>
      </w:r>
      <w:r w:rsidR="0095219B">
        <w:t>the implementation and the evaluation teams</w:t>
      </w:r>
      <w:r w:rsidR="0095219B" w:rsidRPr="00EC08F3">
        <w:t xml:space="preserve"> </w:t>
      </w:r>
      <w:r w:rsidRPr="00EC08F3">
        <w:t xml:space="preserve">handled these NREs </w:t>
      </w:r>
      <w:r w:rsidR="0095219B">
        <w:t>following</w:t>
      </w:r>
      <w:r w:rsidRPr="00EC08F3">
        <w:t xml:space="preserve"> the IPMVP NRE guidelines by dropping data for the affected period and extending the baseline back in time accordingly.</w:t>
      </w:r>
    </w:p>
    <w:p w14:paraId="3DB332E8" w14:textId="7816AC46" w:rsidR="008D35DD" w:rsidRDefault="008D35DD" w:rsidP="00E71EF3">
      <w:pPr>
        <w:pStyle w:val="Caption"/>
      </w:pPr>
      <w:bookmarkStart w:id="417" w:name="_Ref192672472"/>
      <w:bookmarkStart w:id="418" w:name="_Toc192767028"/>
      <w:r>
        <w:t xml:space="preserve">Table </w:t>
      </w:r>
      <w:r>
        <w:fldChar w:fldCharType="begin"/>
      </w:r>
      <w:r>
        <w:instrText xml:space="preserve"> SEQ Table \* ARABIC </w:instrText>
      </w:r>
      <w:r>
        <w:fldChar w:fldCharType="separate"/>
      </w:r>
      <w:r w:rsidR="00AA10F4">
        <w:rPr>
          <w:noProof/>
        </w:rPr>
        <w:t>94</w:t>
      </w:r>
      <w:r>
        <w:rPr>
          <w:noProof/>
        </w:rPr>
        <w:fldChar w:fldCharType="end"/>
      </w:r>
      <w:bookmarkEnd w:id="417"/>
      <w:r>
        <w:t>. NRE Details</w:t>
      </w:r>
      <w:bookmarkEnd w:id="418"/>
    </w:p>
    <w:tbl>
      <w:tblPr>
        <w:tblStyle w:val="ODCBasic-1"/>
        <w:tblW w:w="0" w:type="auto"/>
        <w:tblLayout w:type="fixed"/>
        <w:tblCellMar>
          <w:top w:w="0" w:type="dxa"/>
          <w:bottom w:w="14" w:type="dxa"/>
        </w:tblCellMar>
        <w:tblLook w:val="04A0" w:firstRow="1" w:lastRow="0" w:firstColumn="1" w:lastColumn="0" w:noHBand="0" w:noVBand="1"/>
      </w:tblPr>
      <w:tblGrid>
        <w:gridCol w:w="2222"/>
        <w:gridCol w:w="5750"/>
        <w:gridCol w:w="1407"/>
      </w:tblGrid>
      <w:tr w:rsidR="008D35DD" w14:paraId="357A8B76" w14:textId="77777777" w:rsidTr="00C0286B">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22" w:type="dxa"/>
            <w:tcBorders>
              <w:bottom w:val="single" w:sz="4" w:space="0" w:color="4A4D56" w:themeColor="text1"/>
              <w:right w:val="single" w:sz="4" w:space="0" w:color="4A4D56" w:themeColor="text1"/>
            </w:tcBorders>
          </w:tcPr>
          <w:p w14:paraId="1EB4CC18" w14:textId="5363BF18" w:rsidR="008D35DD" w:rsidRPr="00625570" w:rsidRDefault="008D35DD" w:rsidP="001A2AF7">
            <w:pPr>
              <w:pStyle w:val="TableHeadingLeft"/>
            </w:pPr>
            <w:r w:rsidRPr="001A1E96">
              <w:t>Project ID</w:t>
            </w:r>
          </w:p>
        </w:tc>
        <w:tc>
          <w:tcPr>
            <w:tcW w:w="5750" w:type="dxa"/>
            <w:tcBorders>
              <w:left w:val="single" w:sz="4" w:space="0" w:color="4A4D56" w:themeColor="text1"/>
              <w:bottom w:val="single" w:sz="4" w:space="0" w:color="4A4D56" w:themeColor="text1"/>
              <w:right w:val="single" w:sz="4" w:space="0" w:color="4A4D56" w:themeColor="text1"/>
            </w:tcBorders>
          </w:tcPr>
          <w:p w14:paraId="19067815" w14:textId="2EC92E65" w:rsidR="008D35DD" w:rsidRPr="00625570" w:rsidRDefault="008D35DD" w:rsidP="001A2AF7">
            <w:pPr>
              <w:pStyle w:val="TableHeadingCentered"/>
              <w:cnfStyle w:val="100000000000" w:firstRow="1" w:lastRow="0" w:firstColumn="0" w:lastColumn="0" w:oddVBand="0" w:evenVBand="0" w:oddHBand="0" w:evenHBand="0" w:firstRowFirstColumn="0" w:firstRowLastColumn="0" w:lastRowFirstColumn="0" w:lastRowLastColumn="0"/>
            </w:pPr>
            <w:r>
              <w:t>NRE Description</w:t>
            </w:r>
          </w:p>
        </w:tc>
        <w:tc>
          <w:tcPr>
            <w:tcW w:w="1407" w:type="dxa"/>
            <w:tcBorders>
              <w:left w:val="single" w:sz="4" w:space="0" w:color="4A4D56" w:themeColor="text1"/>
              <w:bottom w:val="single" w:sz="4" w:space="0" w:color="4A4D56" w:themeColor="text1"/>
              <w:right w:val="single" w:sz="4" w:space="0" w:color="4A4D56" w:themeColor="text1"/>
            </w:tcBorders>
          </w:tcPr>
          <w:p w14:paraId="28397C6C" w14:textId="30187F86" w:rsidR="008D35DD" w:rsidRPr="00625570" w:rsidRDefault="008D35DD" w:rsidP="001A2AF7">
            <w:pPr>
              <w:pStyle w:val="TableHeadingCentered"/>
              <w:cnfStyle w:val="100000000000" w:firstRow="1" w:lastRow="0" w:firstColumn="0" w:lastColumn="0" w:oddVBand="0" w:evenVBand="0" w:oddHBand="0" w:evenHBand="0" w:firstRowFirstColumn="0" w:firstRowLastColumn="0" w:lastRowFirstColumn="0" w:lastRowLastColumn="0"/>
            </w:pPr>
            <w:r>
              <w:t>IPMVP Method</w:t>
            </w:r>
          </w:p>
        </w:tc>
      </w:tr>
      <w:tr w:rsidR="008D35DD" w14:paraId="1FBBB479" w14:textId="77777777" w:rsidTr="00C028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22" w:type="dxa"/>
            <w:tcBorders>
              <w:top w:val="single" w:sz="4" w:space="0" w:color="4A4D56" w:themeColor="text1"/>
            </w:tcBorders>
          </w:tcPr>
          <w:p w14:paraId="3944F606" w14:textId="65ADC237" w:rsidR="008D35DD" w:rsidRPr="00625570" w:rsidRDefault="008D35DD" w:rsidP="001A2AF7">
            <w:pPr>
              <w:pStyle w:val="TableLeftText"/>
            </w:pPr>
            <w:r w:rsidRPr="008D35DD">
              <w:t>a1CTO000000KFL02AO</w:t>
            </w:r>
          </w:p>
        </w:tc>
        <w:tc>
          <w:tcPr>
            <w:tcW w:w="5750" w:type="dxa"/>
            <w:tcBorders>
              <w:top w:val="single" w:sz="4" w:space="0" w:color="4A4D56" w:themeColor="text1"/>
            </w:tcBorders>
          </w:tcPr>
          <w:p w14:paraId="259F1AF3" w14:textId="4B071D5F" w:rsidR="008D35DD" w:rsidRPr="000B7901" w:rsidRDefault="008D35DD" w:rsidP="00C0286B">
            <w:pPr>
              <w:pStyle w:val="TableCenterText"/>
              <w:jc w:val="left"/>
              <w:cnfStyle w:val="000000100000" w:firstRow="0" w:lastRow="0" w:firstColumn="0" w:lastColumn="0" w:oddVBand="0" w:evenVBand="0" w:oddHBand="1" w:evenHBand="0" w:firstRowFirstColumn="0" w:firstRowLastColumn="0" w:lastRowFirstColumn="0" w:lastRowLastColumn="0"/>
            </w:pPr>
            <w:r>
              <w:t>Missing data or period of atypically low usage</w:t>
            </w:r>
          </w:p>
        </w:tc>
        <w:tc>
          <w:tcPr>
            <w:tcW w:w="1407" w:type="dxa"/>
            <w:tcBorders>
              <w:top w:val="single" w:sz="4" w:space="0" w:color="4A4D56" w:themeColor="text1"/>
            </w:tcBorders>
          </w:tcPr>
          <w:p w14:paraId="63D99CCA" w14:textId="6A1B3D30" w:rsidR="008D35DD" w:rsidRPr="000B7901" w:rsidRDefault="008D35DD"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r>
      <w:tr w:rsidR="008D35DD" w14:paraId="56944D99" w14:textId="77777777" w:rsidTr="00C028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22" w:type="dxa"/>
          </w:tcPr>
          <w:p w14:paraId="7F074066" w14:textId="1578ADD3" w:rsidR="008D35DD" w:rsidRPr="00625570" w:rsidRDefault="008D35DD" w:rsidP="001A2AF7">
            <w:pPr>
              <w:pStyle w:val="TableLeftText"/>
            </w:pPr>
            <w:r w:rsidRPr="008D35DD">
              <w:t>a1CTO000000KFKp2AO</w:t>
            </w:r>
          </w:p>
        </w:tc>
        <w:tc>
          <w:tcPr>
            <w:tcW w:w="5750" w:type="dxa"/>
          </w:tcPr>
          <w:p w14:paraId="543E7CF8" w14:textId="677B547C" w:rsidR="008D35DD" w:rsidRPr="000B7901" w:rsidRDefault="008D35DD" w:rsidP="00C0286B">
            <w:pPr>
              <w:pStyle w:val="TableCenterText"/>
              <w:jc w:val="left"/>
              <w:cnfStyle w:val="000000010000" w:firstRow="0" w:lastRow="0" w:firstColumn="0" w:lastColumn="0" w:oddVBand="0" w:evenVBand="0" w:oddHBand="0" w:evenHBand="1" w:firstRowFirstColumn="0" w:firstRowLastColumn="0" w:lastRowFirstColumn="0" w:lastRowLastColumn="0"/>
            </w:pPr>
            <w:r>
              <w:t>School closure for summer break</w:t>
            </w:r>
          </w:p>
        </w:tc>
        <w:tc>
          <w:tcPr>
            <w:tcW w:w="1407" w:type="dxa"/>
          </w:tcPr>
          <w:p w14:paraId="7C4D0FEE" w14:textId="42D9E319" w:rsidR="008D35DD" w:rsidRPr="000B7901" w:rsidRDefault="008D35DD" w:rsidP="001A2AF7">
            <w:pPr>
              <w:pStyle w:val="TableCenterText"/>
              <w:cnfStyle w:val="000000010000" w:firstRow="0" w:lastRow="0" w:firstColumn="0" w:lastColumn="0" w:oddVBand="0" w:evenVBand="0" w:oddHBand="0" w:evenHBand="1" w:firstRowFirstColumn="0" w:firstRowLastColumn="0" w:lastRowFirstColumn="0" w:lastRowLastColumn="0"/>
            </w:pPr>
            <w:r>
              <w:t>3</w:t>
            </w:r>
          </w:p>
        </w:tc>
      </w:tr>
      <w:tr w:rsidR="008D35DD" w14:paraId="73B386D7" w14:textId="77777777" w:rsidTr="00C0286B">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22" w:type="dxa"/>
          </w:tcPr>
          <w:p w14:paraId="1271D9AD" w14:textId="47A40DA6" w:rsidR="008D35DD" w:rsidRPr="00625570" w:rsidRDefault="008D35DD" w:rsidP="001A2AF7">
            <w:pPr>
              <w:pStyle w:val="TableLeftText"/>
            </w:pPr>
            <w:r w:rsidRPr="008D35DD">
              <w:t>a1CTO000000KFKu2AO</w:t>
            </w:r>
          </w:p>
        </w:tc>
        <w:tc>
          <w:tcPr>
            <w:tcW w:w="5750" w:type="dxa"/>
          </w:tcPr>
          <w:p w14:paraId="34B87553" w14:textId="2FE9D381" w:rsidR="008D35DD" w:rsidRPr="000B7901" w:rsidRDefault="008D35DD" w:rsidP="00C0286B">
            <w:pPr>
              <w:pStyle w:val="TableCenterText"/>
              <w:jc w:val="left"/>
              <w:cnfStyle w:val="000000100000" w:firstRow="0" w:lastRow="0" w:firstColumn="0" w:lastColumn="0" w:oddVBand="0" w:evenVBand="0" w:oddHBand="1" w:evenHBand="0" w:firstRowFirstColumn="0" w:firstRowLastColumn="0" w:lastRowFirstColumn="0" w:lastRowLastColumn="0"/>
            </w:pPr>
            <w:r>
              <w:t>Brief period of atypically high usage</w:t>
            </w:r>
          </w:p>
        </w:tc>
        <w:tc>
          <w:tcPr>
            <w:tcW w:w="1407" w:type="dxa"/>
          </w:tcPr>
          <w:p w14:paraId="2379C2D4" w14:textId="64525F1E" w:rsidR="008D35DD" w:rsidRPr="000B7901" w:rsidRDefault="008D35DD" w:rsidP="001A2AF7">
            <w:pPr>
              <w:pStyle w:val="TableCenterText"/>
              <w:cnfStyle w:val="000000100000" w:firstRow="0" w:lastRow="0" w:firstColumn="0" w:lastColumn="0" w:oddVBand="0" w:evenVBand="0" w:oddHBand="1" w:evenHBand="0" w:firstRowFirstColumn="0" w:firstRowLastColumn="0" w:lastRowFirstColumn="0" w:lastRowLastColumn="0"/>
            </w:pPr>
            <w:r>
              <w:t>1</w:t>
            </w:r>
          </w:p>
        </w:tc>
      </w:tr>
      <w:tr w:rsidR="008D35DD" w14:paraId="08917197" w14:textId="77777777" w:rsidTr="00C0286B">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222" w:type="dxa"/>
          </w:tcPr>
          <w:p w14:paraId="4948ED80" w14:textId="28F9AD9C" w:rsidR="008D35DD" w:rsidRPr="00625570" w:rsidRDefault="008D35DD" w:rsidP="001A2AF7">
            <w:pPr>
              <w:pStyle w:val="TableLeftText"/>
            </w:pPr>
            <w:r w:rsidRPr="008D35DD">
              <w:t>a1CTO000000hhAA2AY</w:t>
            </w:r>
          </w:p>
        </w:tc>
        <w:tc>
          <w:tcPr>
            <w:tcW w:w="5750" w:type="dxa"/>
          </w:tcPr>
          <w:p w14:paraId="0DCC2A09" w14:textId="79998344" w:rsidR="008D35DD" w:rsidRPr="000B7901" w:rsidRDefault="008D35DD" w:rsidP="00C0286B">
            <w:pPr>
              <w:pStyle w:val="TableCenterText"/>
              <w:jc w:val="left"/>
              <w:cnfStyle w:val="000000010000" w:firstRow="0" w:lastRow="0" w:firstColumn="0" w:lastColumn="0" w:oddVBand="0" w:evenVBand="0" w:oddHBand="0" w:evenHBand="1" w:firstRowFirstColumn="0" w:firstRowLastColumn="0" w:lastRowFirstColumn="0" w:lastRowLastColumn="0"/>
            </w:pPr>
            <w:r>
              <w:t>Unknown drop in usage not associated with VCx recommendations</w:t>
            </w:r>
          </w:p>
        </w:tc>
        <w:tc>
          <w:tcPr>
            <w:tcW w:w="1407" w:type="dxa"/>
          </w:tcPr>
          <w:p w14:paraId="6C754946" w14:textId="2C8875D5" w:rsidR="008D35DD" w:rsidRPr="000B7901" w:rsidRDefault="008D35DD" w:rsidP="001A2AF7">
            <w:pPr>
              <w:pStyle w:val="TableCenterText"/>
              <w:cnfStyle w:val="000000010000" w:firstRow="0" w:lastRow="0" w:firstColumn="0" w:lastColumn="0" w:oddVBand="0" w:evenVBand="0" w:oddHBand="0" w:evenHBand="1" w:firstRowFirstColumn="0" w:firstRowLastColumn="0" w:lastRowFirstColumn="0" w:lastRowLastColumn="0"/>
            </w:pPr>
            <w:r>
              <w:t>3</w:t>
            </w:r>
          </w:p>
        </w:tc>
      </w:tr>
    </w:tbl>
    <w:p w14:paraId="46CDA586" w14:textId="77777777" w:rsidR="000649C2" w:rsidRDefault="000649C2" w:rsidP="000649C2">
      <w:pPr>
        <w:pStyle w:val="Heading4"/>
      </w:pPr>
      <w:r>
        <w:t>Model Fitness Criteria</w:t>
      </w:r>
    </w:p>
    <w:p w14:paraId="72F82DE9" w14:textId="77777777" w:rsidR="00EC08F3" w:rsidRPr="00EC08F3" w:rsidRDefault="00EC08F3" w:rsidP="00EC08F3">
      <w:r w:rsidRPr="00EC08F3">
        <w:t>To claim project savings as part of the channel, the model for each project must meet the following goodness-of-fit criteria:</w:t>
      </w:r>
    </w:p>
    <w:p w14:paraId="36064B1E" w14:textId="77777777" w:rsidR="00EC08F3" w:rsidRPr="00EC08F3" w:rsidRDefault="00EC08F3" w:rsidP="00EC08F3">
      <w:pPr>
        <w:pStyle w:val="ListBullet"/>
      </w:pPr>
      <w:r w:rsidRPr="00EC08F3">
        <w:t>Absolute Value of Normalized Mean Bias Error (NMBE) &lt; 0.5%</w:t>
      </w:r>
    </w:p>
    <w:p w14:paraId="2A7C80F6" w14:textId="77777777" w:rsidR="00EC08F3" w:rsidRPr="00EC08F3" w:rsidRDefault="00EC08F3" w:rsidP="00EC08F3">
      <w:pPr>
        <w:pStyle w:val="ListBullet"/>
      </w:pPr>
      <w:r w:rsidRPr="00EC08F3">
        <w:t>Coefficient of Variation of Root Mean Square Error CV(RMSE) &lt; 25%</w:t>
      </w:r>
    </w:p>
    <w:p w14:paraId="056C26A7" w14:textId="77777777" w:rsidR="00EC08F3" w:rsidRPr="00EC08F3" w:rsidRDefault="00EC08F3" w:rsidP="00EC08F3">
      <w:pPr>
        <w:pStyle w:val="ListBullet"/>
      </w:pPr>
      <w:r w:rsidRPr="00EC08F3">
        <w:t>Savings Uncertainty &lt; 50% at 68% confidence</w:t>
      </w:r>
    </w:p>
    <w:p w14:paraId="0F422670" w14:textId="404AB9B6" w:rsidR="00EC08F3" w:rsidRDefault="00EC08F3" w:rsidP="00EC08F3">
      <w:r w:rsidRPr="00EC08F3">
        <w:t>These goodness-of-fit metrics were calculated consistent with industry best practices.</w:t>
      </w:r>
      <w:r w:rsidRPr="00EC08F3">
        <w:rPr>
          <w:vertAlign w:val="superscript"/>
        </w:rPr>
        <w:footnoteReference w:id="46"/>
      </w:r>
      <w:r w:rsidRPr="00EC08F3">
        <w:t xml:space="preserve"> All of the projects met the savings uncertainty criteria.</w:t>
      </w:r>
    </w:p>
    <w:p w14:paraId="5A53F253" w14:textId="77777777" w:rsidR="000649C2" w:rsidRDefault="000649C2" w:rsidP="000649C2">
      <w:pPr>
        <w:pStyle w:val="Heading4"/>
      </w:pPr>
      <w:r>
        <w:t>Detailed Project Savings</w:t>
      </w:r>
    </w:p>
    <w:p w14:paraId="7E0D4B1F" w14:textId="19FE3513" w:rsidR="00EC08F3" w:rsidRDefault="00EC08F3" w:rsidP="00EC08F3">
      <w:r>
        <w:fldChar w:fldCharType="begin"/>
      </w:r>
      <w:r>
        <w:instrText xml:space="preserve"> REF _Ref191563317 \h </w:instrText>
      </w:r>
      <w:r>
        <w:fldChar w:fldCharType="separate"/>
      </w:r>
      <w:r w:rsidR="00AA10F4">
        <w:t xml:space="preserve">Table </w:t>
      </w:r>
      <w:r w:rsidR="00AA10F4">
        <w:rPr>
          <w:noProof/>
        </w:rPr>
        <w:t>95</w:t>
      </w:r>
      <w:r>
        <w:fldChar w:fldCharType="end"/>
      </w:r>
      <w:r>
        <w:t xml:space="preserve"> </w:t>
      </w:r>
      <w:r w:rsidR="00040A6A">
        <w:t>presents the results of the gross savings analysis (unadjusted for cross-participation) for the 20 VCx projects completed in 2024. Electric energy savings realization rates for individual projects range from 81% to 106%</w:t>
      </w:r>
      <w:r w:rsidRPr="00EC08F3">
        <w:t>. All projects met model uncertainty thresholds in 2024.</w:t>
      </w:r>
    </w:p>
    <w:p w14:paraId="00F706E3" w14:textId="5D7D4503" w:rsidR="00EC08F3" w:rsidRDefault="00EC08F3" w:rsidP="00881B1B">
      <w:pPr>
        <w:pStyle w:val="Caption"/>
      </w:pPr>
      <w:bookmarkStart w:id="419" w:name="_Ref191563317"/>
      <w:bookmarkStart w:id="420" w:name="_Toc191992613"/>
      <w:bookmarkStart w:id="421" w:name="_Toc192767029"/>
      <w:r>
        <w:lastRenderedPageBreak/>
        <w:t xml:space="preserve">Table </w:t>
      </w:r>
      <w:r>
        <w:fldChar w:fldCharType="begin"/>
      </w:r>
      <w:r>
        <w:instrText xml:space="preserve"> SEQ Table \* ARABIC </w:instrText>
      </w:r>
      <w:r>
        <w:fldChar w:fldCharType="separate"/>
      </w:r>
      <w:r w:rsidR="00AA10F4">
        <w:rPr>
          <w:noProof/>
        </w:rPr>
        <w:t>95</w:t>
      </w:r>
      <w:r>
        <w:fldChar w:fldCharType="end"/>
      </w:r>
      <w:bookmarkEnd w:id="419"/>
      <w:r>
        <w:t>. 2024 Virtual Commissioning Annual Savings by Project</w:t>
      </w:r>
      <w:bookmarkEnd w:id="420"/>
      <w:bookmarkEnd w:id="421"/>
    </w:p>
    <w:tbl>
      <w:tblPr>
        <w:tblStyle w:val="ODCBasic-1"/>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4051"/>
        <w:gridCol w:w="2349"/>
        <w:gridCol w:w="2348"/>
        <w:gridCol w:w="2348"/>
      </w:tblGrid>
      <w:tr w:rsidR="00EC08F3" w:rsidRPr="001A1E96" w14:paraId="3C07FF76" w14:textId="77777777" w:rsidTr="0056690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A1D389E" w14:textId="77777777" w:rsidR="00EC08F3" w:rsidRPr="001A1E96" w:rsidRDefault="00EC08F3" w:rsidP="0056690A">
            <w:pPr>
              <w:jc w:val="left"/>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Project ID</w:t>
            </w:r>
          </w:p>
        </w:tc>
        <w:tc>
          <w:tcPr>
            <w:tcW w:w="1058" w:type="pct"/>
            <w:tcBorders>
              <w:bottom w:val="none" w:sz="0" w:space="0" w:color="auto"/>
            </w:tcBorders>
          </w:tcPr>
          <w:p w14:paraId="6E11C78F"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Ex Ante Gross kWh</w:t>
            </w:r>
          </w:p>
        </w:tc>
        <w:tc>
          <w:tcPr>
            <w:tcW w:w="1058" w:type="pct"/>
            <w:tcBorders>
              <w:bottom w:val="none" w:sz="0" w:space="0" w:color="auto"/>
            </w:tcBorders>
          </w:tcPr>
          <w:p w14:paraId="3B21A1B3"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Verified Gross kWh</w:t>
            </w:r>
          </w:p>
        </w:tc>
        <w:tc>
          <w:tcPr>
            <w:tcW w:w="1058" w:type="pct"/>
            <w:tcBorders>
              <w:bottom w:val="none" w:sz="0" w:space="0" w:color="auto"/>
            </w:tcBorders>
          </w:tcPr>
          <w:p w14:paraId="14452779"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Gross Realization Rate</w:t>
            </w:r>
          </w:p>
        </w:tc>
      </w:tr>
      <w:tr w:rsidR="00EC08F3" w:rsidRPr="00F10C03" w14:paraId="1E5679FC"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9E015AE" w14:textId="77777777" w:rsidR="00EC08F3" w:rsidRPr="00F10C03" w:rsidRDefault="00EC08F3" w:rsidP="0056690A">
            <w:pPr>
              <w:rPr>
                <w:sz w:val="20"/>
              </w:rPr>
            </w:pPr>
            <w:r w:rsidRPr="00F10C03">
              <w:rPr>
                <w:sz w:val="20"/>
              </w:rPr>
              <w:t>a1CTO000000hh9v2AA</w:t>
            </w:r>
          </w:p>
        </w:tc>
        <w:tc>
          <w:tcPr>
            <w:tcW w:w="1058" w:type="pct"/>
            <w:tcBorders>
              <w:top w:val="none" w:sz="0" w:space="0" w:color="auto"/>
              <w:left w:val="none" w:sz="0" w:space="0" w:color="auto"/>
              <w:bottom w:val="none" w:sz="0" w:space="0" w:color="auto"/>
              <w:right w:val="none" w:sz="0" w:space="0" w:color="auto"/>
            </w:tcBorders>
          </w:tcPr>
          <w:p w14:paraId="44AC7673" w14:textId="33DA8A83"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24,170</w:t>
            </w:r>
          </w:p>
        </w:tc>
        <w:tc>
          <w:tcPr>
            <w:tcW w:w="1058" w:type="pct"/>
            <w:tcBorders>
              <w:top w:val="none" w:sz="0" w:space="0" w:color="auto"/>
              <w:left w:val="none" w:sz="0" w:space="0" w:color="auto"/>
              <w:bottom w:val="none" w:sz="0" w:space="0" w:color="auto"/>
              <w:right w:val="none" w:sz="0" w:space="0" w:color="auto"/>
            </w:tcBorders>
          </w:tcPr>
          <w:p w14:paraId="2748E322" w14:textId="4B094920"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24,170</w:t>
            </w:r>
          </w:p>
        </w:tc>
        <w:tc>
          <w:tcPr>
            <w:tcW w:w="1058" w:type="pct"/>
            <w:tcBorders>
              <w:top w:val="none" w:sz="0" w:space="0" w:color="auto"/>
              <w:left w:val="none" w:sz="0" w:space="0" w:color="auto"/>
              <w:bottom w:val="none" w:sz="0" w:space="0" w:color="auto"/>
              <w:right w:val="none" w:sz="0" w:space="0" w:color="auto"/>
            </w:tcBorders>
          </w:tcPr>
          <w:p w14:paraId="323E628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100%</w:t>
            </w:r>
          </w:p>
        </w:tc>
      </w:tr>
      <w:tr w:rsidR="00EC08F3" w:rsidRPr="00F10C03" w14:paraId="1FEA9A0C"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76928113" w14:textId="77777777" w:rsidR="00EC08F3" w:rsidRPr="00F10C03" w:rsidRDefault="00EC08F3" w:rsidP="0056690A">
            <w:pPr>
              <w:rPr>
                <w:sz w:val="20"/>
              </w:rPr>
            </w:pPr>
            <w:r w:rsidRPr="00F10C03">
              <w:rPr>
                <w:sz w:val="20"/>
              </w:rPr>
              <w:t>a1CTO000000hhAA2AY</w:t>
            </w:r>
          </w:p>
        </w:tc>
        <w:tc>
          <w:tcPr>
            <w:tcW w:w="1058" w:type="pct"/>
            <w:tcBorders>
              <w:top w:val="none" w:sz="0" w:space="0" w:color="auto"/>
              <w:left w:val="none" w:sz="0" w:space="0" w:color="auto"/>
              <w:bottom w:val="none" w:sz="0" w:space="0" w:color="auto"/>
              <w:right w:val="none" w:sz="0" w:space="0" w:color="auto"/>
            </w:tcBorders>
          </w:tcPr>
          <w:p w14:paraId="6D6EAF82" w14:textId="4D3771C1"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70,908</w:t>
            </w:r>
          </w:p>
        </w:tc>
        <w:tc>
          <w:tcPr>
            <w:tcW w:w="1058" w:type="pct"/>
            <w:tcBorders>
              <w:top w:val="none" w:sz="0" w:space="0" w:color="auto"/>
              <w:left w:val="none" w:sz="0" w:space="0" w:color="auto"/>
              <w:bottom w:val="none" w:sz="0" w:space="0" w:color="auto"/>
              <w:right w:val="none" w:sz="0" w:space="0" w:color="auto"/>
            </w:tcBorders>
          </w:tcPr>
          <w:p w14:paraId="4A5006F0" w14:textId="092F1C39"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70,908</w:t>
            </w:r>
          </w:p>
        </w:tc>
        <w:tc>
          <w:tcPr>
            <w:tcW w:w="1058" w:type="pct"/>
            <w:tcBorders>
              <w:top w:val="none" w:sz="0" w:space="0" w:color="auto"/>
              <w:left w:val="none" w:sz="0" w:space="0" w:color="auto"/>
              <w:bottom w:val="none" w:sz="0" w:space="0" w:color="auto"/>
              <w:right w:val="none" w:sz="0" w:space="0" w:color="auto"/>
            </w:tcBorders>
          </w:tcPr>
          <w:p w14:paraId="7B26F0A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100%</w:t>
            </w:r>
          </w:p>
        </w:tc>
      </w:tr>
      <w:tr w:rsidR="00EC08F3" w:rsidRPr="00F10C03" w14:paraId="322C3103"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06248984" w14:textId="77777777" w:rsidR="00EC08F3" w:rsidRPr="00F10C03" w:rsidRDefault="00EC08F3" w:rsidP="0056690A">
            <w:pPr>
              <w:rPr>
                <w:sz w:val="20"/>
              </w:rPr>
            </w:pPr>
            <w:r w:rsidRPr="00F10C03">
              <w:rPr>
                <w:sz w:val="20"/>
              </w:rPr>
              <w:t>a1CTO000000KFKh2AO</w:t>
            </w:r>
          </w:p>
        </w:tc>
        <w:tc>
          <w:tcPr>
            <w:tcW w:w="1058" w:type="pct"/>
            <w:tcBorders>
              <w:top w:val="none" w:sz="0" w:space="0" w:color="auto"/>
              <w:left w:val="none" w:sz="0" w:space="0" w:color="auto"/>
              <w:bottom w:val="none" w:sz="0" w:space="0" w:color="auto"/>
              <w:right w:val="none" w:sz="0" w:space="0" w:color="auto"/>
            </w:tcBorders>
          </w:tcPr>
          <w:p w14:paraId="42BC478C" w14:textId="7BD0716C"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37,093</w:t>
            </w:r>
          </w:p>
        </w:tc>
        <w:tc>
          <w:tcPr>
            <w:tcW w:w="1058" w:type="pct"/>
            <w:tcBorders>
              <w:top w:val="none" w:sz="0" w:space="0" w:color="auto"/>
              <w:left w:val="none" w:sz="0" w:space="0" w:color="auto"/>
              <w:bottom w:val="none" w:sz="0" w:space="0" w:color="auto"/>
              <w:right w:val="none" w:sz="0" w:space="0" w:color="auto"/>
            </w:tcBorders>
          </w:tcPr>
          <w:p w14:paraId="4C11A159" w14:textId="325A2B5A"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37,093</w:t>
            </w:r>
          </w:p>
        </w:tc>
        <w:tc>
          <w:tcPr>
            <w:tcW w:w="1058" w:type="pct"/>
            <w:tcBorders>
              <w:top w:val="none" w:sz="0" w:space="0" w:color="auto"/>
              <w:left w:val="none" w:sz="0" w:space="0" w:color="auto"/>
              <w:bottom w:val="none" w:sz="0" w:space="0" w:color="auto"/>
              <w:right w:val="none" w:sz="0" w:space="0" w:color="auto"/>
            </w:tcBorders>
          </w:tcPr>
          <w:p w14:paraId="5B67A4D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100%</w:t>
            </w:r>
          </w:p>
        </w:tc>
      </w:tr>
      <w:tr w:rsidR="00EC08F3" w:rsidRPr="00F10C03" w14:paraId="7F836078"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461168E" w14:textId="5CDF839F" w:rsidR="00EC08F3" w:rsidRPr="00F10C03" w:rsidRDefault="00EC08F3" w:rsidP="0056690A">
            <w:pPr>
              <w:rPr>
                <w:sz w:val="20"/>
              </w:rPr>
            </w:pPr>
            <w:r w:rsidRPr="00F10C03">
              <w:rPr>
                <w:sz w:val="20"/>
              </w:rPr>
              <w:t>a1CTO000000KFKi2AO</w:t>
            </w:r>
            <w:r w:rsidR="000F3E83">
              <w:rPr>
                <w:sz w:val="20"/>
              </w:rPr>
              <w:t xml:space="preserve"> </w:t>
            </w:r>
            <w:r w:rsidR="000F3E83" w:rsidRPr="007640C5">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7BAB36F3" w14:textId="07B46BFA"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66,711</w:t>
            </w:r>
          </w:p>
        </w:tc>
        <w:tc>
          <w:tcPr>
            <w:tcW w:w="1058" w:type="pct"/>
            <w:tcBorders>
              <w:top w:val="none" w:sz="0" w:space="0" w:color="auto"/>
              <w:left w:val="none" w:sz="0" w:space="0" w:color="auto"/>
              <w:bottom w:val="none" w:sz="0" w:space="0" w:color="auto"/>
              <w:right w:val="none" w:sz="0" w:space="0" w:color="auto"/>
            </w:tcBorders>
          </w:tcPr>
          <w:p w14:paraId="726801A9" w14:textId="03F5119F"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68,547</w:t>
            </w:r>
          </w:p>
        </w:tc>
        <w:tc>
          <w:tcPr>
            <w:tcW w:w="1058" w:type="pct"/>
            <w:tcBorders>
              <w:top w:val="none" w:sz="0" w:space="0" w:color="auto"/>
              <w:left w:val="none" w:sz="0" w:space="0" w:color="auto"/>
              <w:bottom w:val="none" w:sz="0" w:space="0" w:color="auto"/>
              <w:right w:val="none" w:sz="0" w:space="0" w:color="auto"/>
            </w:tcBorders>
          </w:tcPr>
          <w:p w14:paraId="1B14942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103%</w:t>
            </w:r>
          </w:p>
        </w:tc>
      </w:tr>
      <w:tr w:rsidR="00EC08F3" w:rsidRPr="00F10C03" w14:paraId="5649A9D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E18DB6B" w14:textId="3778EE29" w:rsidR="00EC08F3" w:rsidRPr="00F10C03" w:rsidRDefault="00EC08F3" w:rsidP="0056690A">
            <w:pPr>
              <w:rPr>
                <w:sz w:val="20"/>
              </w:rPr>
            </w:pPr>
            <w:r w:rsidRPr="00F10C03">
              <w:rPr>
                <w:sz w:val="20"/>
              </w:rPr>
              <w:t>a1CTO000000KFKl2AO</w:t>
            </w:r>
            <w:r w:rsidR="000F3E83">
              <w:rPr>
                <w:sz w:val="20"/>
              </w:rPr>
              <w:t xml:space="preserve"> </w:t>
            </w:r>
            <w:r w:rsidR="000F3E83" w:rsidRPr="007640C5">
              <w:rPr>
                <w:sz w:val="20"/>
                <w:vertAlign w:val="superscript"/>
              </w:rPr>
              <w:t>b</w:t>
            </w:r>
            <w:r w:rsidR="000F3E83">
              <w:rPr>
                <w:rFonts w:ascii="Segoe UI Historic" w:hAnsi="Segoe UI Historic" w:cs="Segoe UI Historic"/>
                <w:sz w:val="20"/>
              </w:rPr>
              <w:t xml:space="preserve"> </w:t>
            </w:r>
            <w:r w:rsidRPr="00F10C03">
              <w:rPr>
                <w:sz w:val="20"/>
              </w:rPr>
              <w:t xml:space="preserve"> </w:t>
            </w:r>
          </w:p>
        </w:tc>
        <w:tc>
          <w:tcPr>
            <w:tcW w:w="1058" w:type="pct"/>
            <w:tcBorders>
              <w:top w:val="none" w:sz="0" w:space="0" w:color="auto"/>
              <w:left w:val="none" w:sz="0" w:space="0" w:color="auto"/>
              <w:bottom w:val="none" w:sz="0" w:space="0" w:color="auto"/>
              <w:right w:val="none" w:sz="0" w:space="0" w:color="auto"/>
            </w:tcBorders>
          </w:tcPr>
          <w:p w14:paraId="4AA69394" w14:textId="1A28C7AC"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1,178,245</w:t>
            </w:r>
          </w:p>
        </w:tc>
        <w:tc>
          <w:tcPr>
            <w:tcW w:w="1058" w:type="pct"/>
            <w:tcBorders>
              <w:top w:val="none" w:sz="0" w:space="0" w:color="auto"/>
              <w:left w:val="none" w:sz="0" w:space="0" w:color="auto"/>
              <w:bottom w:val="none" w:sz="0" w:space="0" w:color="auto"/>
              <w:right w:val="none" w:sz="0" w:space="0" w:color="auto"/>
            </w:tcBorders>
          </w:tcPr>
          <w:p w14:paraId="73786A68" w14:textId="4ED9C2F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1,122,634</w:t>
            </w:r>
          </w:p>
        </w:tc>
        <w:tc>
          <w:tcPr>
            <w:tcW w:w="1058" w:type="pct"/>
            <w:tcBorders>
              <w:top w:val="none" w:sz="0" w:space="0" w:color="auto"/>
              <w:left w:val="none" w:sz="0" w:space="0" w:color="auto"/>
              <w:bottom w:val="none" w:sz="0" w:space="0" w:color="auto"/>
              <w:right w:val="none" w:sz="0" w:space="0" w:color="auto"/>
            </w:tcBorders>
          </w:tcPr>
          <w:p w14:paraId="6D97093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95%</w:t>
            </w:r>
          </w:p>
        </w:tc>
      </w:tr>
      <w:tr w:rsidR="00EC08F3" w:rsidRPr="00F10C03" w14:paraId="49757E7B"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305B116" w14:textId="63A9F7C5" w:rsidR="00EC08F3" w:rsidRPr="00F10C03" w:rsidRDefault="00EC08F3" w:rsidP="0056690A">
            <w:pPr>
              <w:rPr>
                <w:sz w:val="20"/>
              </w:rPr>
            </w:pPr>
            <w:r w:rsidRPr="00F10C03">
              <w:rPr>
                <w:sz w:val="20"/>
              </w:rPr>
              <w:t>a1CTO000000KFKm2AO</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6C678F3A" w14:textId="5040F6B1"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35,398</w:t>
            </w:r>
          </w:p>
        </w:tc>
        <w:tc>
          <w:tcPr>
            <w:tcW w:w="1058" w:type="pct"/>
            <w:tcBorders>
              <w:top w:val="none" w:sz="0" w:space="0" w:color="auto"/>
              <w:left w:val="none" w:sz="0" w:space="0" w:color="auto"/>
              <w:bottom w:val="none" w:sz="0" w:space="0" w:color="auto"/>
              <w:right w:val="none" w:sz="0" w:space="0" w:color="auto"/>
            </w:tcBorders>
          </w:tcPr>
          <w:p w14:paraId="5BEE9609" w14:textId="527BC58B"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36,261</w:t>
            </w:r>
          </w:p>
        </w:tc>
        <w:tc>
          <w:tcPr>
            <w:tcW w:w="1058" w:type="pct"/>
            <w:tcBorders>
              <w:top w:val="none" w:sz="0" w:space="0" w:color="auto"/>
              <w:left w:val="none" w:sz="0" w:space="0" w:color="auto"/>
              <w:bottom w:val="none" w:sz="0" w:space="0" w:color="auto"/>
              <w:right w:val="none" w:sz="0" w:space="0" w:color="auto"/>
            </w:tcBorders>
          </w:tcPr>
          <w:p w14:paraId="6AFEBBB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102%</w:t>
            </w:r>
          </w:p>
        </w:tc>
      </w:tr>
      <w:tr w:rsidR="00EC08F3" w:rsidRPr="00F10C03" w14:paraId="27A7A9EA"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3B820455" w14:textId="75AB0C50" w:rsidR="00EC08F3" w:rsidRPr="00F10C03" w:rsidRDefault="00EC08F3" w:rsidP="0056690A">
            <w:pPr>
              <w:rPr>
                <w:sz w:val="20"/>
              </w:rPr>
            </w:pPr>
            <w:r w:rsidRPr="00F10C03">
              <w:rPr>
                <w:sz w:val="20"/>
              </w:rPr>
              <w:t>a1CTO000000KFKn2AO</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05ED0DF2" w14:textId="1677C485"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271,452</w:t>
            </w:r>
          </w:p>
        </w:tc>
        <w:tc>
          <w:tcPr>
            <w:tcW w:w="1058" w:type="pct"/>
            <w:tcBorders>
              <w:top w:val="none" w:sz="0" w:space="0" w:color="auto"/>
              <w:left w:val="none" w:sz="0" w:space="0" w:color="auto"/>
              <w:bottom w:val="none" w:sz="0" w:space="0" w:color="auto"/>
              <w:right w:val="none" w:sz="0" w:space="0" w:color="auto"/>
            </w:tcBorders>
          </w:tcPr>
          <w:p w14:paraId="723CA0F4" w14:textId="18F0A6B3"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285,676</w:t>
            </w:r>
          </w:p>
        </w:tc>
        <w:tc>
          <w:tcPr>
            <w:tcW w:w="1058" w:type="pct"/>
            <w:tcBorders>
              <w:top w:val="none" w:sz="0" w:space="0" w:color="auto"/>
              <w:left w:val="none" w:sz="0" w:space="0" w:color="auto"/>
              <w:bottom w:val="none" w:sz="0" w:space="0" w:color="auto"/>
              <w:right w:val="none" w:sz="0" w:space="0" w:color="auto"/>
            </w:tcBorders>
          </w:tcPr>
          <w:p w14:paraId="1AF798A5"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105%</w:t>
            </w:r>
          </w:p>
        </w:tc>
      </w:tr>
      <w:tr w:rsidR="00EC08F3" w:rsidRPr="00F10C03" w14:paraId="42BC5B73"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62E43C8" w14:textId="73D49E52" w:rsidR="00EC08F3" w:rsidRPr="00F10C03" w:rsidRDefault="00EC08F3" w:rsidP="0056690A">
            <w:pPr>
              <w:rPr>
                <w:sz w:val="20"/>
              </w:rPr>
            </w:pPr>
            <w:r w:rsidRPr="00F10C03">
              <w:rPr>
                <w:sz w:val="20"/>
              </w:rPr>
              <w:t>a1CTO000000KFKo2AO</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17EB3E54" w14:textId="6F16F396"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53,602</w:t>
            </w:r>
          </w:p>
        </w:tc>
        <w:tc>
          <w:tcPr>
            <w:tcW w:w="1058" w:type="pct"/>
            <w:tcBorders>
              <w:top w:val="none" w:sz="0" w:space="0" w:color="auto"/>
              <w:left w:val="none" w:sz="0" w:space="0" w:color="auto"/>
              <w:bottom w:val="none" w:sz="0" w:space="0" w:color="auto"/>
              <w:right w:val="none" w:sz="0" w:space="0" w:color="auto"/>
            </w:tcBorders>
          </w:tcPr>
          <w:p w14:paraId="36C2DADB" w14:textId="2FBE3C01"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56,721</w:t>
            </w:r>
          </w:p>
        </w:tc>
        <w:tc>
          <w:tcPr>
            <w:tcW w:w="1058" w:type="pct"/>
            <w:tcBorders>
              <w:top w:val="none" w:sz="0" w:space="0" w:color="auto"/>
              <w:left w:val="none" w:sz="0" w:space="0" w:color="auto"/>
              <w:bottom w:val="none" w:sz="0" w:space="0" w:color="auto"/>
              <w:right w:val="none" w:sz="0" w:space="0" w:color="auto"/>
            </w:tcBorders>
          </w:tcPr>
          <w:p w14:paraId="6C52E23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106%</w:t>
            </w:r>
          </w:p>
        </w:tc>
      </w:tr>
      <w:tr w:rsidR="00EC08F3" w:rsidRPr="00F10C03" w14:paraId="343D3FD5"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4F0D291D" w14:textId="2D59E408" w:rsidR="00EC08F3" w:rsidRPr="00F10C03" w:rsidRDefault="00EC08F3" w:rsidP="0056690A">
            <w:pPr>
              <w:rPr>
                <w:sz w:val="20"/>
              </w:rPr>
            </w:pPr>
            <w:r w:rsidRPr="00F10C03">
              <w:rPr>
                <w:sz w:val="20"/>
              </w:rPr>
              <w:t>a1CTO000000KFKp2AO</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46EF0B50" w14:textId="0B188AE0"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109,017</w:t>
            </w:r>
          </w:p>
        </w:tc>
        <w:tc>
          <w:tcPr>
            <w:tcW w:w="1058" w:type="pct"/>
            <w:tcBorders>
              <w:top w:val="none" w:sz="0" w:space="0" w:color="auto"/>
              <w:left w:val="none" w:sz="0" w:space="0" w:color="auto"/>
              <w:bottom w:val="none" w:sz="0" w:space="0" w:color="auto"/>
              <w:right w:val="none" w:sz="0" w:space="0" w:color="auto"/>
            </w:tcBorders>
          </w:tcPr>
          <w:p w14:paraId="5B91C45E" w14:textId="21EFF9BE"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102,317</w:t>
            </w:r>
          </w:p>
        </w:tc>
        <w:tc>
          <w:tcPr>
            <w:tcW w:w="1058" w:type="pct"/>
            <w:tcBorders>
              <w:top w:val="none" w:sz="0" w:space="0" w:color="auto"/>
              <w:left w:val="none" w:sz="0" w:space="0" w:color="auto"/>
              <w:bottom w:val="none" w:sz="0" w:space="0" w:color="auto"/>
              <w:right w:val="none" w:sz="0" w:space="0" w:color="auto"/>
            </w:tcBorders>
          </w:tcPr>
          <w:p w14:paraId="02272ED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94%</w:t>
            </w:r>
          </w:p>
        </w:tc>
      </w:tr>
      <w:tr w:rsidR="00EC08F3" w:rsidRPr="00F10C03" w14:paraId="2899209A"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2CC691AB" w14:textId="77777777" w:rsidR="00EC08F3" w:rsidRPr="00F10C03" w:rsidRDefault="00EC08F3" w:rsidP="0056690A">
            <w:pPr>
              <w:rPr>
                <w:sz w:val="20"/>
              </w:rPr>
            </w:pPr>
            <w:r w:rsidRPr="00F10C03">
              <w:rPr>
                <w:sz w:val="20"/>
              </w:rPr>
              <w:t>a1CTO000000KFKq2AO</w:t>
            </w:r>
          </w:p>
        </w:tc>
        <w:tc>
          <w:tcPr>
            <w:tcW w:w="1058" w:type="pct"/>
            <w:tcBorders>
              <w:top w:val="none" w:sz="0" w:space="0" w:color="auto"/>
              <w:left w:val="none" w:sz="0" w:space="0" w:color="auto"/>
              <w:bottom w:val="none" w:sz="0" w:space="0" w:color="auto"/>
              <w:right w:val="none" w:sz="0" w:space="0" w:color="auto"/>
            </w:tcBorders>
          </w:tcPr>
          <w:p w14:paraId="58CF1BF2" w14:textId="2ED3868B"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284,183</w:t>
            </w:r>
          </w:p>
        </w:tc>
        <w:tc>
          <w:tcPr>
            <w:tcW w:w="1058" w:type="pct"/>
            <w:tcBorders>
              <w:top w:val="none" w:sz="0" w:space="0" w:color="auto"/>
              <w:left w:val="none" w:sz="0" w:space="0" w:color="auto"/>
              <w:bottom w:val="none" w:sz="0" w:space="0" w:color="auto"/>
              <w:right w:val="none" w:sz="0" w:space="0" w:color="auto"/>
            </w:tcBorders>
          </w:tcPr>
          <w:p w14:paraId="1C6FF00D" w14:textId="59833695"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284,183</w:t>
            </w:r>
          </w:p>
        </w:tc>
        <w:tc>
          <w:tcPr>
            <w:tcW w:w="1058" w:type="pct"/>
            <w:tcBorders>
              <w:top w:val="none" w:sz="0" w:space="0" w:color="auto"/>
              <w:left w:val="none" w:sz="0" w:space="0" w:color="auto"/>
              <w:bottom w:val="none" w:sz="0" w:space="0" w:color="auto"/>
              <w:right w:val="none" w:sz="0" w:space="0" w:color="auto"/>
            </w:tcBorders>
          </w:tcPr>
          <w:p w14:paraId="0D58F41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100%</w:t>
            </w:r>
          </w:p>
        </w:tc>
      </w:tr>
      <w:tr w:rsidR="00EC08F3" w:rsidRPr="00F10C03" w14:paraId="695FE0DA"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5846C4B" w14:textId="77777777" w:rsidR="00EC08F3" w:rsidRPr="00F10C03" w:rsidRDefault="00EC08F3" w:rsidP="0056690A">
            <w:pPr>
              <w:rPr>
                <w:sz w:val="20"/>
              </w:rPr>
            </w:pPr>
            <w:r w:rsidRPr="00F10C03">
              <w:rPr>
                <w:sz w:val="20"/>
              </w:rPr>
              <w:t>a1CTO000000KFKr2AO</w:t>
            </w:r>
          </w:p>
        </w:tc>
        <w:tc>
          <w:tcPr>
            <w:tcW w:w="1058" w:type="pct"/>
            <w:tcBorders>
              <w:top w:val="none" w:sz="0" w:space="0" w:color="auto"/>
              <w:left w:val="none" w:sz="0" w:space="0" w:color="auto"/>
              <w:bottom w:val="none" w:sz="0" w:space="0" w:color="auto"/>
              <w:right w:val="none" w:sz="0" w:space="0" w:color="auto"/>
            </w:tcBorders>
          </w:tcPr>
          <w:p w14:paraId="143B4381" w14:textId="23CF3522"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75,683</w:t>
            </w:r>
          </w:p>
        </w:tc>
        <w:tc>
          <w:tcPr>
            <w:tcW w:w="1058" w:type="pct"/>
            <w:tcBorders>
              <w:top w:val="none" w:sz="0" w:space="0" w:color="auto"/>
              <w:left w:val="none" w:sz="0" w:space="0" w:color="auto"/>
              <w:bottom w:val="none" w:sz="0" w:space="0" w:color="auto"/>
              <w:right w:val="none" w:sz="0" w:space="0" w:color="auto"/>
            </w:tcBorders>
          </w:tcPr>
          <w:p w14:paraId="40995F90" w14:textId="3BC72273"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76,530</w:t>
            </w:r>
          </w:p>
        </w:tc>
        <w:tc>
          <w:tcPr>
            <w:tcW w:w="1058" w:type="pct"/>
            <w:tcBorders>
              <w:top w:val="none" w:sz="0" w:space="0" w:color="auto"/>
              <w:left w:val="none" w:sz="0" w:space="0" w:color="auto"/>
              <w:bottom w:val="none" w:sz="0" w:space="0" w:color="auto"/>
              <w:right w:val="none" w:sz="0" w:space="0" w:color="auto"/>
            </w:tcBorders>
          </w:tcPr>
          <w:p w14:paraId="56F3FDE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101%</w:t>
            </w:r>
          </w:p>
        </w:tc>
      </w:tr>
      <w:tr w:rsidR="00EC08F3" w:rsidRPr="00F10C03" w14:paraId="769FDF4F"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E4200E9" w14:textId="77777777" w:rsidR="00EC08F3" w:rsidRPr="00F10C03" w:rsidRDefault="00EC08F3" w:rsidP="0056690A">
            <w:pPr>
              <w:rPr>
                <w:sz w:val="20"/>
              </w:rPr>
            </w:pPr>
            <w:r w:rsidRPr="00F10C03">
              <w:rPr>
                <w:sz w:val="20"/>
              </w:rPr>
              <w:t>a1CTO000000KFKs2AO</w:t>
            </w:r>
          </w:p>
        </w:tc>
        <w:tc>
          <w:tcPr>
            <w:tcW w:w="1058" w:type="pct"/>
            <w:tcBorders>
              <w:top w:val="none" w:sz="0" w:space="0" w:color="auto"/>
              <w:left w:val="none" w:sz="0" w:space="0" w:color="auto"/>
              <w:bottom w:val="none" w:sz="0" w:space="0" w:color="auto"/>
              <w:right w:val="none" w:sz="0" w:space="0" w:color="auto"/>
            </w:tcBorders>
          </w:tcPr>
          <w:p w14:paraId="6529ABD5" w14:textId="3D2DF760"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410,957</w:t>
            </w:r>
          </w:p>
        </w:tc>
        <w:tc>
          <w:tcPr>
            <w:tcW w:w="1058" w:type="pct"/>
            <w:tcBorders>
              <w:top w:val="none" w:sz="0" w:space="0" w:color="auto"/>
              <w:left w:val="none" w:sz="0" w:space="0" w:color="auto"/>
              <w:bottom w:val="none" w:sz="0" w:space="0" w:color="auto"/>
              <w:right w:val="none" w:sz="0" w:space="0" w:color="auto"/>
            </w:tcBorders>
          </w:tcPr>
          <w:p w14:paraId="0AB1E545" w14:textId="3CE90160"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410,957</w:t>
            </w:r>
          </w:p>
        </w:tc>
        <w:tc>
          <w:tcPr>
            <w:tcW w:w="1058" w:type="pct"/>
            <w:tcBorders>
              <w:top w:val="none" w:sz="0" w:space="0" w:color="auto"/>
              <w:left w:val="none" w:sz="0" w:space="0" w:color="auto"/>
              <w:bottom w:val="none" w:sz="0" w:space="0" w:color="auto"/>
              <w:right w:val="none" w:sz="0" w:space="0" w:color="auto"/>
            </w:tcBorders>
          </w:tcPr>
          <w:p w14:paraId="65B54834"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100%</w:t>
            </w:r>
          </w:p>
        </w:tc>
      </w:tr>
      <w:tr w:rsidR="00EC08F3" w:rsidRPr="00F10C03" w14:paraId="43AFAD3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E46D388" w14:textId="1598DC95" w:rsidR="00EC08F3" w:rsidRPr="00F10C03" w:rsidRDefault="00EC08F3" w:rsidP="0056690A">
            <w:pPr>
              <w:rPr>
                <w:sz w:val="20"/>
              </w:rPr>
            </w:pPr>
            <w:r w:rsidRPr="00F10C03">
              <w:rPr>
                <w:sz w:val="20"/>
              </w:rPr>
              <w:t>a1CTO000000KFKu2AO</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2E2DEFBC" w14:textId="132B9B1E"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125,575</w:t>
            </w:r>
          </w:p>
        </w:tc>
        <w:tc>
          <w:tcPr>
            <w:tcW w:w="1058" w:type="pct"/>
            <w:tcBorders>
              <w:top w:val="none" w:sz="0" w:space="0" w:color="auto"/>
              <w:left w:val="none" w:sz="0" w:space="0" w:color="auto"/>
              <w:bottom w:val="none" w:sz="0" w:space="0" w:color="auto"/>
              <w:right w:val="none" w:sz="0" w:space="0" w:color="auto"/>
            </w:tcBorders>
          </w:tcPr>
          <w:p w14:paraId="3352C55B" w14:textId="627D6585"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121,559</w:t>
            </w:r>
          </w:p>
        </w:tc>
        <w:tc>
          <w:tcPr>
            <w:tcW w:w="1058" w:type="pct"/>
            <w:tcBorders>
              <w:top w:val="none" w:sz="0" w:space="0" w:color="auto"/>
              <w:left w:val="none" w:sz="0" w:space="0" w:color="auto"/>
              <w:bottom w:val="none" w:sz="0" w:space="0" w:color="auto"/>
              <w:right w:val="none" w:sz="0" w:space="0" w:color="auto"/>
            </w:tcBorders>
          </w:tcPr>
          <w:p w14:paraId="096A078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97%</w:t>
            </w:r>
          </w:p>
        </w:tc>
      </w:tr>
      <w:tr w:rsidR="00EC08F3" w:rsidRPr="00F10C03" w14:paraId="65137693"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45951BC1" w14:textId="74DCA206" w:rsidR="00EC08F3" w:rsidRPr="00F10C03" w:rsidRDefault="00EC08F3" w:rsidP="0056690A">
            <w:pPr>
              <w:rPr>
                <w:sz w:val="20"/>
              </w:rPr>
            </w:pPr>
            <w:r w:rsidRPr="00F10C03">
              <w:rPr>
                <w:sz w:val="20"/>
              </w:rPr>
              <w:t>a1CTO000000KFKy2AO</w:t>
            </w:r>
            <w:r w:rsidR="000F3E83">
              <w:rPr>
                <w:sz w:val="20"/>
              </w:rPr>
              <w:t xml:space="preserve"> </w:t>
            </w:r>
            <w:r w:rsidR="000F3E83" w:rsidRPr="00C4108A">
              <w:rPr>
                <w:sz w:val="20"/>
                <w:vertAlign w:val="superscript"/>
              </w:rPr>
              <w:t>a</w:t>
            </w:r>
            <w:r w:rsidR="000F3E83">
              <w:rPr>
                <w:sz w:val="20"/>
                <w:vertAlign w:val="superscript"/>
              </w:rPr>
              <w:t>,</w:t>
            </w:r>
            <w:r w:rsidR="000F3E83" w:rsidRPr="00C4108A">
              <w:rPr>
                <w:sz w:val="20"/>
                <w:vertAlign w:val="superscript"/>
              </w:rPr>
              <w:t>b</w:t>
            </w:r>
            <w:r w:rsidRPr="00F10C03">
              <w:rPr>
                <w:sz w:val="20"/>
              </w:rPr>
              <w:t xml:space="preserve"> </w:t>
            </w:r>
          </w:p>
        </w:tc>
        <w:tc>
          <w:tcPr>
            <w:tcW w:w="1058" w:type="pct"/>
            <w:tcBorders>
              <w:top w:val="none" w:sz="0" w:space="0" w:color="auto"/>
              <w:left w:val="none" w:sz="0" w:space="0" w:color="auto"/>
              <w:bottom w:val="none" w:sz="0" w:space="0" w:color="auto"/>
              <w:right w:val="none" w:sz="0" w:space="0" w:color="auto"/>
            </w:tcBorders>
          </w:tcPr>
          <w:p w14:paraId="04568FDC" w14:textId="16ADE556"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2,712,288</w:t>
            </w:r>
          </w:p>
        </w:tc>
        <w:tc>
          <w:tcPr>
            <w:tcW w:w="1058" w:type="pct"/>
            <w:tcBorders>
              <w:top w:val="none" w:sz="0" w:space="0" w:color="auto"/>
              <w:left w:val="none" w:sz="0" w:space="0" w:color="auto"/>
              <w:bottom w:val="none" w:sz="0" w:space="0" w:color="auto"/>
              <w:right w:val="none" w:sz="0" w:space="0" w:color="auto"/>
            </w:tcBorders>
          </w:tcPr>
          <w:p w14:paraId="07D9AF1C" w14:textId="4BE1690D"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2,203,733</w:t>
            </w:r>
          </w:p>
        </w:tc>
        <w:tc>
          <w:tcPr>
            <w:tcW w:w="1058" w:type="pct"/>
            <w:tcBorders>
              <w:top w:val="none" w:sz="0" w:space="0" w:color="auto"/>
              <w:left w:val="none" w:sz="0" w:space="0" w:color="auto"/>
              <w:bottom w:val="none" w:sz="0" w:space="0" w:color="auto"/>
              <w:right w:val="none" w:sz="0" w:space="0" w:color="auto"/>
            </w:tcBorders>
          </w:tcPr>
          <w:p w14:paraId="451F83E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81%</w:t>
            </w:r>
          </w:p>
        </w:tc>
      </w:tr>
      <w:tr w:rsidR="00EC08F3" w:rsidRPr="00F10C03" w14:paraId="12562780"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36B8E0CF" w14:textId="77777777" w:rsidR="00EC08F3" w:rsidRPr="00F10C03" w:rsidRDefault="00EC08F3" w:rsidP="0056690A">
            <w:pPr>
              <w:rPr>
                <w:sz w:val="20"/>
              </w:rPr>
            </w:pPr>
            <w:r w:rsidRPr="00F10C03">
              <w:rPr>
                <w:sz w:val="20"/>
              </w:rPr>
              <w:t>a1CTO000000KFKz2AO</w:t>
            </w:r>
          </w:p>
        </w:tc>
        <w:tc>
          <w:tcPr>
            <w:tcW w:w="1058" w:type="pct"/>
            <w:tcBorders>
              <w:top w:val="none" w:sz="0" w:space="0" w:color="auto"/>
              <w:left w:val="none" w:sz="0" w:space="0" w:color="auto"/>
              <w:bottom w:val="none" w:sz="0" w:space="0" w:color="auto"/>
              <w:right w:val="none" w:sz="0" w:space="0" w:color="auto"/>
            </w:tcBorders>
          </w:tcPr>
          <w:p w14:paraId="6D954541" w14:textId="75178C54"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21,797</w:t>
            </w:r>
          </w:p>
        </w:tc>
        <w:tc>
          <w:tcPr>
            <w:tcW w:w="1058" w:type="pct"/>
            <w:tcBorders>
              <w:top w:val="none" w:sz="0" w:space="0" w:color="auto"/>
              <w:left w:val="none" w:sz="0" w:space="0" w:color="auto"/>
              <w:bottom w:val="none" w:sz="0" w:space="0" w:color="auto"/>
              <w:right w:val="none" w:sz="0" w:space="0" w:color="auto"/>
            </w:tcBorders>
          </w:tcPr>
          <w:p w14:paraId="128EC993" w14:textId="05D00BC0"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21,797</w:t>
            </w:r>
          </w:p>
        </w:tc>
        <w:tc>
          <w:tcPr>
            <w:tcW w:w="1058" w:type="pct"/>
            <w:tcBorders>
              <w:top w:val="none" w:sz="0" w:space="0" w:color="auto"/>
              <w:left w:val="none" w:sz="0" w:space="0" w:color="auto"/>
              <w:bottom w:val="none" w:sz="0" w:space="0" w:color="auto"/>
              <w:right w:val="none" w:sz="0" w:space="0" w:color="auto"/>
            </w:tcBorders>
          </w:tcPr>
          <w:p w14:paraId="0AD7C2B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100%</w:t>
            </w:r>
          </w:p>
        </w:tc>
      </w:tr>
      <w:tr w:rsidR="00EC08F3" w:rsidRPr="00F10C03" w14:paraId="47C51B16"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0E360962" w14:textId="77777777" w:rsidR="00EC08F3" w:rsidRPr="00F10C03" w:rsidRDefault="00EC08F3" w:rsidP="0056690A">
            <w:pPr>
              <w:rPr>
                <w:sz w:val="20"/>
              </w:rPr>
            </w:pPr>
            <w:r w:rsidRPr="00F10C03">
              <w:rPr>
                <w:sz w:val="20"/>
              </w:rPr>
              <w:t>a1CTO000000KFL02AO</w:t>
            </w:r>
          </w:p>
        </w:tc>
        <w:tc>
          <w:tcPr>
            <w:tcW w:w="1058" w:type="pct"/>
            <w:tcBorders>
              <w:top w:val="none" w:sz="0" w:space="0" w:color="auto"/>
              <w:left w:val="none" w:sz="0" w:space="0" w:color="auto"/>
              <w:bottom w:val="none" w:sz="0" w:space="0" w:color="auto"/>
              <w:right w:val="none" w:sz="0" w:space="0" w:color="auto"/>
            </w:tcBorders>
          </w:tcPr>
          <w:p w14:paraId="4A12AAB3" w14:textId="7D77878B"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55,893</w:t>
            </w:r>
          </w:p>
        </w:tc>
        <w:tc>
          <w:tcPr>
            <w:tcW w:w="1058" w:type="pct"/>
            <w:tcBorders>
              <w:top w:val="none" w:sz="0" w:space="0" w:color="auto"/>
              <w:left w:val="none" w:sz="0" w:space="0" w:color="auto"/>
              <w:bottom w:val="none" w:sz="0" w:space="0" w:color="auto"/>
              <w:right w:val="none" w:sz="0" w:space="0" w:color="auto"/>
            </w:tcBorders>
          </w:tcPr>
          <w:p w14:paraId="492B7469" w14:textId="7442E0CE"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56,061</w:t>
            </w:r>
          </w:p>
        </w:tc>
        <w:tc>
          <w:tcPr>
            <w:tcW w:w="1058" w:type="pct"/>
            <w:tcBorders>
              <w:top w:val="none" w:sz="0" w:space="0" w:color="auto"/>
              <w:left w:val="none" w:sz="0" w:space="0" w:color="auto"/>
              <w:bottom w:val="none" w:sz="0" w:space="0" w:color="auto"/>
              <w:right w:val="none" w:sz="0" w:space="0" w:color="auto"/>
            </w:tcBorders>
          </w:tcPr>
          <w:p w14:paraId="231DC2C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100%</w:t>
            </w:r>
          </w:p>
        </w:tc>
      </w:tr>
      <w:tr w:rsidR="00EC08F3" w:rsidRPr="00F10C03" w14:paraId="5F852DD1"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6FAD04F0" w14:textId="77777777" w:rsidR="00EC08F3" w:rsidRPr="00F10C03" w:rsidRDefault="00EC08F3" w:rsidP="0056690A">
            <w:pPr>
              <w:rPr>
                <w:sz w:val="20"/>
              </w:rPr>
            </w:pPr>
            <w:r w:rsidRPr="00F10C03">
              <w:rPr>
                <w:sz w:val="20"/>
              </w:rPr>
              <w:t>a1CTO000000KFMs2AO</w:t>
            </w:r>
          </w:p>
        </w:tc>
        <w:tc>
          <w:tcPr>
            <w:tcW w:w="1058" w:type="pct"/>
            <w:tcBorders>
              <w:top w:val="none" w:sz="0" w:space="0" w:color="auto"/>
              <w:left w:val="none" w:sz="0" w:space="0" w:color="auto"/>
              <w:bottom w:val="none" w:sz="0" w:space="0" w:color="auto"/>
              <w:right w:val="none" w:sz="0" w:space="0" w:color="auto"/>
            </w:tcBorders>
          </w:tcPr>
          <w:p w14:paraId="5BA3653F" w14:textId="4578AEB0"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37,049</w:t>
            </w:r>
          </w:p>
        </w:tc>
        <w:tc>
          <w:tcPr>
            <w:tcW w:w="1058" w:type="pct"/>
            <w:tcBorders>
              <w:top w:val="none" w:sz="0" w:space="0" w:color="auto"/>
              <w:left w:val="none" w:sz="0" w:space="0" w:color="auto"/>
              <w:bottom w:val="none" w:sz="0" w:space="0" w:color="auto"/>
              <w:right w:val="none" w:sz="0" w:space="0" w:color="auto"/>
            </w:tcBorders>
          </w:tcPr>
          <w:p w14:paraId="266FF7AE" w14:textId="43A3799C"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37,049</w:t>
            </w:r>
          </w:p>
        </w:tc>
        <w:tc>
          <w:tcPr>
            <w:tcW w:w="1058" w:type="pct"/>
            <w:tcBorders>
              <w:top w:val="none" w:sz="0" w:space="0" w:color="auto"/>
              <w:left w:val="none" w:sz="0" w:space="0" w:color="auto"/>
              <w:bottom w:val="none" w:sz="0" w:space="0" w:color="auto"/>
              <w:right w:val="none" w:sz="0" w:space="0" w:color="auto"/>
            </w:tcBorders>
          </w:tcPr>
          <w:p w14:paraId="307DA73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100%</w:t>
            </w:r>
          </w:p>
        </w:tc>
      </w:tr>
      <w:tr w:rsidR="00EC08F3" w:rsidRPr="00F10C03" w14:paraId="617FBFD0"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33B8B49" w14:textId="77777777" w:rsidR="00EC08F3" w:rsidRPr="00F10C03" w:rsidRDefault="00EC08F3" w:rsidP="0056690A">
            <w:pPr>
              <w:rPr>
                <w:sz w:val="20"/>
              </w:rPr>
            </w:pPr>
            <w:r w:rsidRPr="00F10C03">
              <w:rPr>
                <w:sz w:val="20"/>
              </w:rPr>
              <w:t>a1CTO000000KFMt2AO</w:t>
            </w:r>
          </w:p>
        </w:tc>
        <w:tc>
          <w:tcPr>
            <w:tcW w:w="1058" w:type="pct"/>
            <w:tcBorders>
              <w:top w:val="none" w:sz="0" w:space="0" w:color="auto"/>
              <w:left w:val="none" w:sz="0" w:space="0" w:color="auto"/>
              <w:bottom w:val="none" w:sz="0" w:space="0" w:color="auto"/>
              <w:right w:val="none" w:sz="0" w:space="0" w:color="auto"/>
            </w:tcBorders>
          </w:tcPr>
          <w:p w14:paraId="6E5B399F" w14:textId="684D0083"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74,858</w:t>
            </w:r>
          </w:p>
        </w:tc>
        <w:tc>
          <w:tcPr>
            <w:tcW w:w="1058" w:type="pct"/>
            <w:tcBorders>
              <w:top w:val="none" w:sz="0" w:space="0" w:color="auto"/>
              <w:left w:val="none" w:sz="0" w:space="0" w:color="auto"/>
              <w:bottom w:val="none" w:sz="0" w:space="0" w:color="auto"/>
              <w:right w:val="none" w:sz="0" w:space="0" w:color="auto"/>
            </w:tcBorders>
          </w:tcPr>
          <w:p w14:paraId="3CBE7B41" w14:textId="0A35C7DF"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74,858</w:t>
            </w:r>
          </w:p>
        </w:tc>
        <w:tc>
          <w:tcPr>
            <w:tcW w:w="1058" w:type="pct"/>
            <w:tcBorders>
              <w:top w:val="none" w:sz="0" w:space="0" w:color="auto"/>
              <w:left w:val="none" w:sz="0" w:space="0" w:color="auto"/>
              <w:bottom w:val="none" w:sz="0" w:space="0" w:color="auto"/>
              <w:right w:val="none" w:sz="0" w:space="0" w:color="auto"/>
            </w:tcBorders>
          </w:tcPr>
          <w:p w14:paraId="728B351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100%</w:t>
            </w:r>
          </w:p>
        </w:tc>
      </w:tr>
      <w:tr w:rsidR="00EC08F3" w:rsidRPr="00F10C03" w14:paraId="6DEF886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7CEE8B77" w14:textId="77777777" w:rsidR="00EC08F3" w:rsidRPr="00F10C03" w:rsidRDefault="00EC08F3" w:rsidP="0056690A">
            <w:pPr>
              <w:rPr>
                <w:sz w:val="20"/>
              </w:rPr>
            </w:pPr>
            <w:r w:rsidRPr="00F10C03">
              <w:rPr>
                <w:sz w:val="20"/>
              </w:rPr>
              <w:t>a1CTO000000rTos2AE</w:t>
            </w:r>
          </w:p>
        </w:tc>
        <w:tc>
          <w:tcPr>
            <w:tcW w:w="1058" w:type="pct"/>
            <w:tcBorders>
              <w:top w:val="none" w:sz="0" w:space="0" w:color="auto"/>
              <w:left w:val="none" w:sz="0" w:space="0" w:color="auto"/>
              <w:bottom w:val="none" w:sz="0" w:space="0" w:color="auto"/>
              <w:right w:val="none" w:sz="0" w:space="0" w:color="auto"/>
            </w:tcBorders>
          </w:tcPr>
          <w:p w14:paraId="66694C90" w14:textId="056A2739"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33,624</w:t>
            </w:r>
          </w:p>
        </w:tc>
        <w:tc>
          <w:tcPr>
            <w:tcW w:w="1058" w:type="pct"/>
            <w:tcBorders>
              <w:top w:val="none" w:sz="0" w:space="0" w:color="auto"/>
              <w:left w:val="none" w:sz="0" w:space="0" w:color="auto"/>
              <w:bottom w:val="none" w:sz="0" w:space="0" w:color="auto"/>
              <w:right w:val="none" w:sz="0" w:space="0" w:color="auto"/>
            </w:tcBorders>
          </w:tcPr>
          <w:p w14:paraId="70AB25B9" w14:textId="50EF4413"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33,624</w:t>
            </w:r>
          </w:p>
        </w:tc>
        <w:tc>
          <w:tcPr>
            <w:tcW w:w="1058" w:type="pct"/>
            <w:tcBorders>
              <w:top w:val="none" w:sz="0" w:space="0" w:color="auto"/>
              <w:left w:val="none" w:sz="0" w:space="0" w:color="auto"/>
              <w:bottom w:val="none" w:sz="0" w:space="0" w:color="auto"/>
              <w:right w:val="none" w:sz="0" w:space="0" w:color="auto"/>
            </w:tcBorders>
          </w:tcPr>
          <w:p w14:paraId="70D31C3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100%</w:t>
            </w:r>
          </w:p>
        </w:tc>
      </w:tr>
      <w:tr w:rsidR="00EC08F3" w:rsidRPr="00F10C03" w14:paraId="33DC4CB1"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1825" w:type="pct"/>
            <w:tcBorders>
              <w:top w:val="none" w:sz="0" w:space="0" w:color="auto"/>
              <w:left w:val="none" w:sz="0" w:space="0" w:color="auto"/>
              <w:bottom w:val="none" w:sz="0" w:space="0" w:color="auto"/>
              <w:right w:val="none" w:sz="0" w:space="0" w:color="auto"/>
            </w:tcBorders>
          </w:tcPr>
          <w:p w14:paraId="1950F0CD" w14:textId="520AA88C" w:rsidR="00EC08F3" w:rsidRPr="00F10C03" w:rsidRDefault="00EC08F3" w:rsidP="0056690A">
            <w:pPr>
              <w:rPr>
                <w:sz w:val="20"/>
              </w:rPr>
            </w:pPr>
            <w:r w:rsidRPr="00F10C03">
              <w:rPr>
                <w:sz w:val="20"/>
              </w:rPr>
              <w:t>a1CTO000000rTpe2AE</w:t>
            </w:r>
            <w:r w:rsidR="000F3E83">
              <w:rPr>
                <w:sz w:val="20"/>
              </w:rPr>
              <w:t xml:space="preserve"> </w:t>
            </w:r>
            <w:r w:rsidR="000F3E83" w:rsidRPr="00C4108A">
              <w:rPr>
                <w:sz w:val="20"/>
                <w:vertAlign w:val="superscript"/>
              </w:rPr>
              <w:t>a</w:t>
            </w:r>
          </w:p>
        </w:tc>
        <w:tc>
          <w:tcPr>
            <w:tcW w:w="1058" w:type="pct"/>
            <w:tcBorders>
              <w:top w:val="none" w:sz="0" w:space="0" w:color="auto"/>
              <w:left w:val="none" w:sz="0" w:space="0" w:color="auto"/>
              <w:bottom w:val="none" w:sz="0" w:space="0" w:color="auto"/>
              <w:right w:val="none" w:sz="0" w:space="0" w:color="auto"/>
            </w:tcBorders>
          </w:tcPr>
          <w:p w14:paraId="5132950E" w14:textId="30E65DDF"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109,063</w:t>
            </w:r>
          </w:p>
        </w:tc>
        <w:tc>
          <w:tcPr>
            <w:tcW w:w="1058" w:type="pct"/>
            <w:tcBorders>
              <w:top w:val="none" w:sz="0" w:space="0" w:color="auto"/>
              <w:left w:val="none" w:sz="0" w:space="0" w:color="auto"/>
              <w:bottom w:val="none" w:sz="0" w:space="0" w:color="auto"/>
              <w:right w:val="none" w:sz="0" w:space="0" w:color="auto"/>
            </w:tcBorders>
          </w:tcPr>
          <w:p w14:paraId="1C8D16DA" w14:textId="2F802534"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95,256</w:t>
            </w:r>
          </w:p>
        </w:tc>
        <w:tc>
          <w:tcPr>
            <w:tcW w:w="1058" w:type="pct"/>
            <w:tcBorders>
              <w:top w:val="none" w:sz="0" w:space="0" w:color="auto"/>
              <w:left w:val="none" w:sz="0" w:space="0" w:color="auto"/>
              <w:bottom w:val="none" w:sz="0" w:space="0" w:color="auto"/>
              <w:right w:val="none" w:sz="0" w:space="0" w:color="auto"/>
            </w:tcBorders>
          </w:tcPr>
          <w:p w14:paraId="6BB257B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87%</w:t>
            </w:r>
          </w:p>
        </w:tc>
      </w:tr>
    </w:tbl>
    <w:p w14:paraId="749BA77A" w14:textId="2FA28D19" w:rsidR="00EC08F3" w:rsidRDefault="000F3E83" w:rsidP="00881B1B">
      <w:pPr>
        <w:pStyle w:val="Source"/>
      </w:pPr>
      <w:r w:rsidRPr="009459C8">
        <w:rPr>
          <w:vertAlign w:val="superscript"/>
        </w:rPr>
        <w:t>a</w:t>
      </w:r>
      <w:r>
        <w:t xml:space="preserve"> </w:t>
      </w:r>
      <w:r w:rsidR="00EC08F3">
        <w:t>Evaluation team model included weather interactions.</w:t>
      </w:r>
    </w:p>
    <w:p w14:paraId="10351200" w14:textId="3C050814" w:rsidR="00EC08F3" w:rsidRDefault="000F3E83" w:rsidP="00881B1B">
      <w:pPr>
        <w:pStyle w:val="Source"/>
      </w:pPr>
      <w:r w:rsidRPr="009459C8">
        <w:rPr>
          <w:vertAlign w:val="superscript"/>
        </w:rPr>
        <w:t>b</w:t>
      </w:r>
      <w:r w:rsidR="00EC08F3">
        <w:t xml:space="preserve"> Evaluation team </w:t>
      </w:r>
      <w:r w:rsidR="006D7C02">
        <w:t>reduced the</w:t>
      </w:r>
      <w:r w:rsidR="00EC08F3">
        <w:t xml:space="preserve"> post-period to</w:t>
      </w:r>
      <w:r w:rsidR="006D7C02">
        <w:t xml:space="preserve"> one year to</w:t>
      </w:r>
      <w:r w:rsidR="00EC08F3">
        <w:t xml:space="preserve"> </w:t>
      </w:r>
      <w:r>
        <w:t xml:space="preserve">limit </w:t>
      </w:r>
      <w:r w:rsidR="00040A6A">
        <w:t>cross-participation</w:t>
      </w:r>
      <w:r>
        <w:t xml:space="preserve"> adjustments</w:t>
      </w:r>
      <w:r w:rsidR="00EC08F3">
        <w:t xml:space="preserve"> as much as possible.</w:t>
      </w:r>
    </w:p>
    <w:p w14:paraId="4E000535" w14:textId="1A9A4FD0" w:rsidR="00EC08F3" w:rsidRDefault="00EC08F3" w:rsidP="00EC08F3">
      <w:pPr>
        <w:spacing w:before="240"/>
      </w:pPr>
      <w:r>
        <w:fldChar w:fldCharType="begin"/>
      </w:r>
      <w:r>
        <w:instrText xml:space="preserve"> REF _Ref191563456 \h </w:instrText>
      </w:r>
      <w:r>
        <w:fldChar w:fldCharType="separate"/>
      </w:r>
      <w:r w:rsidR="00AA10F4">
        <w:t xml:space="preserve">Table </w:t>
      </w:r>
      <w:r w:rsidR="00AA10F4">
        <w:rPr>
          <w:noProof/>
        </w:rPr>
        <w:t>96</w:t>
      </w:r>
      <w:r>
        <w:fldChar w:fldCharType="end"/>
      </w:r>
      <w:r>
        <w:t xml:space="preserve"> </w:t>
      </w:r>
      <w:r w:rsidRPr="00EC08F3">
        <w:t>shows the model goodness-of-fit metrics that Power TakeOff and the evaluation team produced for the 20 VCx projects.</w:t>
      </w:r>
    </w:p>
    <w:p w14:paraId="7BF89132" w14:textId="636B05BD" w:rsidR="00EC08F3" w:rsidRDefault="00EC08F3" w:rsidP="00881B1B">
      <w:pPr>
        <w:pStyle w:val="Caption"/>
      </w:pPr>
      <w:bookmarkStart w:id="422" w:name="_Ref191563456"/>
      <w:bookmarkStart w:id="423" w:name="_Toc191992614"/>
      <w:bookmarkStart w:id="424" w:name="_Toc192767030"/>
      <w:r>
        <w:t xml:space="preserve">Table </w:t>
      </w:r>
      <w:r>
        <w:fldChar w:fldCharType="begin"/>
      </w:r>
      <w:r>
        <w:instrText xml:space="preserve"> SEQ Table \* ARABIC </w:instrText>
      </w:r>
      <w:r>
        <w:fldChar w:fldCharType="separate"/>
      </w:r>
      <w:r w:rsidR="00AA10F4">
        <w:rPr>
          <w:noProof/>
        </w:rPr>
        <w:t>96</w:t>
      </w:r>
      <w:r>
        <w:fldChar w:fldCharType="end"/>
      </w:r>
      <w:bookmarkEnd w:id="422"/>
      <w:r>
        <w:t>. 2024 Virtual Commissioning Model Goodness-of-Fit Metrics by Project</w:t>
      </w:r>
      <w:bookmarkEnd w:id="423"/>
      <w:bookmarkEnd w:id="424"/>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426"/>
        <w:gridCol w:w="1097"/>
        <w:gridCol w:w="1402"/>
        <w:gridCol w:w="1126"/>
        <w:gridCol w:w="931"/>
        <w:gridCol w:w="1126"/>
        <w:gridCol w:w="931"/>
        <w:gridCol w:w="1126"/>
        <w:gridCol w:w="931"/>
      </w:tblGrid>
      <w:tr w:rsidR="00EC08F3" w:rsidRPr="001A1E96" w14:paraId="73E4183C" w14:textId="77777777" w:rsidTr="0056690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425" w:type="dxa"/>
            <w:vMerge w:val="restart"/>
            <w:tcBorders>
              <w:top w:val="none" w:sz="0" w:space="0" w:color="auto"/>
              <w:left w:val="none" w:sz="0" w:space="0" w:color="auto"/>
              <w:bottom w:val="none" w:sz="0" w:space="0" w:color="auto"/>
              <w:right w:val="none" w:sz="0" w:space="0" w:color="auto"/>
            </w:tcBorders>
          </w:tcPr>
          <w:p w14:paraId="1E364F62" w14:textId="77777777" w:rsidR="00EC08F3" w:rsidRPr="001A1E96" w:rsidRDefault="00EC08F3" w:rsidP="0056690A">
            <w:pPr>
              <w:jc w:val="left"/>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Project ID</w:t>
            </w:r>
          </w:p>
        </w:tc>
        <w:tc>
          <w:tcPr>
            <w:tcW w:w="2089" w:type="dxa"/>
            <w:gridSpan w:val="2"/>
            <w:tcBorders>
              <w:bottom w:val="none" w:sz="0" w:space="0" w:color="auto"/>
            </w:tcBorders>
          </w:tcPr>
          <w:p w14:paraId="24901CD3"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Adjusted R</w:t>
            </w:r>
            <w:r w:rsidRPr="001A1E96">
              <w:rPr>
                <w:rFonts w:ascii="Franklin Gothic Medium" w:hAnsi="Franklin Gothic Medium"/>
                <w:color w:val="FFFFFF" w:themeColor="background1"/>
                <w:sz w:val="20"/>
                <w:vertAlign w:val="superscript"/>
              </w:rPr>
              <w:t>2</w:t>
            </w:r>
          </w:p>
        </w:tc>
        <w:tc>
          <w:tcPr>
            <w:tcW w:w="0" w:type="auto"/>
            <w:gridSpan w:val="2"/>
            <w:tcBorders>
              <w:bottom w:val="none" w:sz="0" w:space="0" w:color="auto"/>
            </w:tcBorders>
          </w:tcPr>
          <w:p w14:paraId="47AE834C"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CV(RMSE)</w:t>
            </w:r>
          </w:p>
        </w:tc>
        <w:tc>
          <w:tcPr>
            <w:tcW w:w="0" w:type="auto"/>
            <w:gridSpan w:val="2"/>
            <w:tcBorders>
              <w:bottom w:val="none" w:sz="0" w:space="0" w:color="auto"/>
            </w:tcBorders>
          </w:tcPr>
          <w:p w14:paraId="0CEFE0BD"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NMBE</w:t>
            </w:r>
          </w:p>
        </w:tc>
        <w:tc>
          <w:tcPr>
            <w:tcW w:w="0" w:type="auto"/>
            <w:gridSpan w:val="2"/>
            <w:tcBorders>
              <w:bottom w:val="none" w:sz="0" w:space="0" w:color="auto"/>
            </w:tcBorders>
          </w:tcPr>
          <w:p w14:paraId="698D7C3D" w14:textId="77777777" w:rsidR="00EC08F3" w:rsidRPr="001A1E96" w:rsidRDefault="00EC08F3" w:rsidP="0056690A">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Savings Uncertainty</w:t>
            </w:r>
          </w:p>
        </w:tc>
      </w:tr>
      <w:tr w:rsidR="009459C8" w:rsidRPr="001A1E96" w14:paraId="21553739"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vMerge/>
            <w:tcBorders>
              <w:top w:val="none" w:sz="0" w:space="0" w:color="auto"/>
              <w:left w:val="none" w:sz="0" w:space="0" w:color="auto"/>
              <w:bottom w:val="none" w:sz="0" w:space="0" w:color="auto"/>
              <w:right w:val="none" w:sz="0" w:space="0" w:color="auto"/>
            </w:tcBorders>
            <w:shd w:val="clear" w:color="auto" w:fill="053572" w:themeFill="text2"/>
          </w:tcPr>
          <w:p w14:paraId="10829B1A" w14:textId="77777777" w:rsidR="00EC08F3" w:rsidRPr="001A1E96" w:rsidRDefault="00EC08F3" w:rsidP="0056690A">
            <w:pPr>
              <w:rPr>
                <w:sz w:val="20"/>
              </w:rPr>
            </w:pPr>
          </w:p>
        </w:tc>
        <w:tc>
          <w:tcPr>
            <w:tcW w:w="1096" w:type="dxa"/>
            <w:tcBorders>
              <w:top w:val="none" w:sz="0" w:space="0" w:color="auto"/>
              <w:left w:val="none" w:sz="0" w:space="0" w:color="auto"/>
              <w:bottom w:val="none" w:sz="0" w:space="0" w:color="auto"/>
              <w:right w:val="none" w:sz="0" w:space="0" w:color="auto"/>
            </w:tcBorders>
            <w:shd w:val="clear" w:color="auto" w:fill="053572" w:themeFill="text2"/>
          </w:tcPr>
          <w:p w14:paraId="7D84FE19"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7214F41F"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Power TakeOff</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8E650F5"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6BC9F0C"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Power TakeOff</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D2E533F"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653C6117"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Power TakeOff</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58659AF4"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4CF6562F" w14:textId="77777777" w:rsidR="00EC08F3" w:rsidRPr="001A1E96" w:rsidRDefault="00EC08F3" w:rsidP="0056690A">
            <w:pPr>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1A1E96">
              <w:rPr>
                <w:rFonts w:ascii="Franklin Gothic Medium" w:hAnsi="Franklin Gothic Medium"/>
                <w:color w:val="FFFFFF" w:themeColor="background1"/>
                <w:sz w:val="20"/>
              </w:rPr>
              <w:t>Power TakeOff</w:t>
            </w:r>
          </w:p>
        </w:tc>
      </w:tr>
      <w:tr w:rsidR="00EC08F3" w:rsidRPr="00F10C03" w14:paraId="5B091C04"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5D3439A2" w14:textId="77777777" w:rsidR="00EC08F3" w:rsidRPr="00F10C03" w:rsidRDefault="00EC08F3" w:rsidP="0056690A">
            <w:pPr>
              <w:rPr>
                <w:sz w:val="20"/>
              </w:rPr>
            </w:pPr>
            <w:r w:rsidRPr="00F10C03">
              <w:rPr>
                <w:sz w:val="20"/>
              </w:rPr>
              <w:t>a1CTO000000hh9v2AA</w:t>
            </w:r>
          </w:p>
        </w:tc>
        <w:tc>
          <w:tcPr>
            <w:tcW w:w="1096" w:type="dxa"/>
            <w:tcBorders>
              <w:top w:val="none" w:sz="0" w:space="0" w:color="auto"/>
              <w:left w:val="none" w:sz="0" w:space="0" w:color="auto"/>
              <w:bottom w:val="none" w:sz="0" w:space="0" w:color="auto"/>
              <w:right w:val="none" w:sz="0" w:space="0" w:color="auto"/>
            </w:tcBorders>
          </w:tcPr>
          <w:p w14:paraId="3793D0F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0.87</w:t>
            </w:r>
          </w:p>
        </w:tc>
        <w:tc>
          <w:tcPr>
            <w:tcW w:w="0" w:type="auto"/>
            <w:tcBorders>
              <w:top w:val="none" w:sz="0" w:space="0" w:color="auto"/>
              <w:left w:val="none" w:sz="0" w:space="0" w:color="auto"/>
              <w:bottom w:val="none" w:sz="0" w:space="0" w:color="auto"/>
              <w:right w:val="none" w:sz="0" w:space="0" w:color="auto"/>
            </w:tcBorders>
          </w:tcPr>
          <w:p w14:paraId="3CC4A11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0.87</w:t>
            </w:r>
          </w:p>
        </w:tc>
        <w:tc>
          <w:tcPr>
            <w:tcW w:w="0" w:type="auto"/>
            <w:tcBorders>
              <w:top w:val="none" w:sz="0" w:space="0" w:color="auto"/>
              <w:left w:val="none" w:sz="0" w:space="0" w:color="auto"/>
              <w:bottom w:val="none" w:sz="0" w:space="0" w:color="auto"/>
              <w:right w:val="none" w:sz="0" w:space="0" w:color="auto"/>
            </w:tcBorders>
          </w:tcPr>
          <w:p w14:paraId="5E65F2BC"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16.41%</w:t>
            </w:r>
          </w:p>
        </w:tc>
        <w:tc>
          <w:tcPr>
            <w:tcW w:w="0" w:type="auto"/>
            <w:tcBorders>
              <w:top w:val="none" w:sz="0" w:space="0" w:color="auto"/>
              <w:left w:val="none" w:sz="0" w:space="0" w:color="auto"/>
              <w:bottom w:val="none" w:sz="0" w:space="0" w:color="auto"/>
              <w:right w:val="none" w:sz="0" w:space="0" w:color="auto"/>
            </w:tcBorders>
          </w:tcPr>
          <w:p w14:paraId="081DF34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16.41%</w:t>
            </w:r>
          </w:p>
        </w:tc>
        <w:tc>
          <w:tcPr>
            <w:tcW w:w="0" w:type="auto"/>
            <w:tcBorders>
              <w:top w:val="none" w:sz="0" w:space="0" w:color="auto"/>
              <w:left w:val="none" w:sz="0" w:space="0" w:color="auto"/>
              <w:bottom w:val="none" w:sz="0" w:space="0" w:color="auto"/>
              <w:right w:val="none" w:sz="0" w:space="0" w:color="auto"/>
            </w:tcBorders>
          </w:tcPr>
          <w:p w14:paraId="000AFAF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404A4EC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7DBC6CCC"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3.54%</w:t>
            </w:r>
          </w:p>
        </w:tc>
        <w:tc>
          <w:tcPr>
            <w:tcW w:w="0" w:type="auto"/>
            <w:tcBorders>
              <w:top w:val="none" w:sz="0" w:space="0" w:color="auto"/>
              <w:left w:val="none" w:sz="0" w:space="0" w:color="auto"/>
              <w:bottom w:val="none" w:sz="0" w:space="0" w:color="auto"/>
              <w:right w:val="none" w:sz="0" w:space="0" w:color="auto"/>
            </w:tcBorders>
          </w:tcPr>
          <w:p w14:paraId="40A6D36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6.94%</w:t>
            </w:r>
          </w:p>
        </w:tc>
      </w:tr>
      <w:tr w:rsidR="00EC08F3" w:rsidRPr="00F10C03" w14:paraId="000123D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07849A20" w14:textId="77777777" w:rsidR="00EC08F3" w:rsidRPr="00F10C03" w:rsidRDefault="00EC08F3" w:rsidP="0056690A">
            <w:pPr>
              <w:rPr>
                <w:sz w:val="20"/>
              </w:rPr>
            </w:pPr>
            <w:r w:rsidRPr="00F10C03">
              <w:rPr>
                <w:sz w:val="20"/>
              </w:rPr>
              <w:t>a1CTO000000hhAA2AY</w:t>
            </w:r>
          </w:p>
        </w:tc>
        <w:tc>
          <w:tcPr>
            <w:tcW w:w="1096" w:type="dxa"/>
            <w:tcBorders>
              <w:top w:val="none" w:sz="0" w:space="0" w:color="auto"/>
              <w:left w:val="none" w:sz="0" w:space="0" w:color="auto"/>
              <w:bottom w:val="none" w:sz="0" w:space="0" w:color="auto"/>
              <w:right w:val="none" w:sz="0" w:space="0" w:color="auto"/>
            </w:tcBorders>
          </w:tcPr>
          <w:p w14:paraId="05197AD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0.93</w:t>
            </w:r>
          </w:p>
        </w:tc>
        <w:tc>
          <w:tcPr>
            <w:tcW w:w="0" w:type="auto"/>
            <w:tcBorders>
              <w:top w:val="none" w:sz="0" w:space="0" w:color="auto"/>
              <w:left w:val="none" w:sz="0" w:space="0" w:color="auto"/>
              <w:bottom w:val="none" w:sz="0" w:space="0" w:color="auto"/>
              <w:right w:val="none" w:sz="0" w:space="0" w:color="auto"/>
            </w:tcBorders>
          </w:tcPr>
          <w:p w14:paraId="3D8A734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0.93</w:t>
            </w:r>
          </w:p>
        </w:tc>
        <w:tc>
          <w:tcPr>
            <w:tcW w:w="0" w:type="auto"/>
            <w:tcBorders>
              <w:top w:val="none" w:sz="0" w:space="0" w:color="auto"/>
              <w:left w:val="none" w:sz="0" w:space="0" w:color="auto"/>
              <w:bottom w:val="none" w:sz="0" w:space="0" w:color="auto"/>
              <w:right w:val="none" w:sz="0" w:space="0" w:color="auto"/>
            </w:tcBorders>
          </w:tcPr>
          <w:p w14:paraId="0376521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9.91%</w:t>
            </w:r>
          </w:p>
        </w:tc>
        <w:tc>
          <w:tcPr>
            <w:tcW w:w="0" w:type="auto"/>
            <w:tcBorders>
              <w:top w:val="none" w:sz="0" w:space="0" w:color="auto"/>
              <w:left w:val="none" w:sz="0" w:space="0" w:color="auto"/>
              <w:bottom w:val="none" w:sz="0" w:space="0" w:color="auto"/>
              <w:right w:val="none" w:sz="0" w:space="0" w:color="auto"/>
            </w:tcBorders>
          </w:tcPr>
          <w:p w14:paraId="6D377B7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9.91%</w:t>
            </w:r>
          </w:p>
        </w:tc>
        <w:tc>
          <w:tcPr>
            <w:tcW w:w="0" w:type="auto"/>
            <w:tcBorders>
              <w:top w:val="none" w:sz="0" w:space="0" w:color="auto"/>
              <w:left w:val="none" w:sz="0" w:space="0" w:color="auto"/>
              <w:bottom w:val="none" w:sz="0" w:space="0" w:color="auto"/>
              <w:right w:val="none" w:sz="0" w:space="0" w:color="auto"/>
            </w:tcBorders>
          </w:tcPr>
          <w:p w14:paraId="0292BBF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242A7BC"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229B46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2.09%</w:t>
            </w:r>
          </w:p>
        </w:tc>
        <w:tc>
          <w:tcPr>
            <w:tcW w:w="0" w:type="auto"/>
            <w:tcBorders>
              <w:top w:val="none" w:sz="0" w:space="0" w:color="auto"/>
              <w:left w:val="none" w:sz="0" w:space="0" w:color="auto"/>
              <w:bottom w:val="none" w:sz="0" w:space="0" w:color="auto"/>
              <w:right w:val="none" w:sz="0" w:space="0" w:color="auto"/>
            </w:tcBorders>
          </w:tcPr>
          <w:p w14:paraId="74FBEEB2"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2.83%</w:t>
            </w:r>
          </w:p>
        </w:tc>
      </w:tr>
      <w:tr w:rsidR="00EC08F3" w:rsidRPr="00F10C03" w14:paraId="12F2CDC0"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46C8CEA4" w14:textId="77777777" w:rsidR="00EC08F3" w:rsidRPr="00F10C03" w:rsidRDefault="00EC08F3" w:rsidP="0056690A">
            <w:pPr>
              <w:rPr>
                <w:sz w:val="20"/>
              </w:rPr>
            </w:pPr>
            <w:r w:rsidRPr="00F10C03">
              <w:rPr>
                <w:sz w:val="20"/>
              </w:rPr>
              <w:t>a1CTO000000KFKh2AO</w:t>
            </w:r>
          </w:p>
        </w:tc>
        <w:tc>
          <w:tcPr>
            <w:tcW w:w="1096" w:type="dxa"/>
            <w:tcBorders>
              <w:top w:val="none" w:sz="0" w:space="0" w:color="auto"/>
              <w:left w:val="none" w:sz="0" w:space="0" w:color="auto"/>
              <w:bottom w:val="none" w:sz="0" w:space="0" w:color="auto"/>
              <w:right w:val="none" w:sz="0" w:space="0" w:color="auto"/>
            </w:tcBorders>
          </w:tcPr>
          <w:p w14:paraId="20AC33C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0.73</w:t>
            </w:r>
          </w:p>
        </w:tc>
        <w:tc>
          <w:tcPr>
            <w:tcW w:w="0" w:type="auto"/>
            <w:tcBorders>
              <w:top w:val="none" w:sz="0" w:space="0" w:color="auto"/>
              <w:left w:val="none" w:sz="0" w:space="0" w:color="auto"/>
              <w:bottom w:val="none" w:sz="0" w:space="0" w:color="auto"/>
              <w:right w:val="none" w:sz="0" w:space="0" w:color="auto"/>
            </w:tcBorders>
          </w:tcPr>
          <w:p w14:paraId="094A7A7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0.73</w:t>
            </w:r>
          </w:p>
        </w:tc>
        <w:tc>
          <w:tcPr>
            <w:tcW w:w="0" w:type="auto"/>
            <w:tcBorders>
              <w:top w:val="none" w:sz="0" w:space="0" w:color="auto"/>
              <w:left w:val="none" w:sz="0" w:space="0" w:color="auto"/>
              <w:bottom w:val="none" w:sz="0" w:space="0" w:color="auto"/>
              <w:right w:val="none" w:sz="0" w:space="0" w:color="auto"/>
            </w:tcBorders>
          </w:tcPr>
          <w:p w14:paraId="0947CFD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21.90%</w:t>
            </w:r>
          </w:p>
        </w:tc>
        <w:tc>
          <w:tcPr>
            <w:tcW w:w="0" w:type="auto"/>
            <w:tcBorders>
              <w:top w:val="none" w:sz="0" w:space="0" w:color="auto"/>
              <w:left w:val="none" w:sz="0" w:space="0" w:color="auto"/>
              <w:bottom w:val="none" w:sz="0" w:space="0" w:color="auto"/>
              <w:right w:val="none" w:sz="0" w:space="0" w:color="auto"/>
            </w:tcBorders>
          </w:tcPr>
          <w:p w14:paraId="22FC301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21.90%</w:t>
            </w:r>
          </w:p>
        </w:tc>
        <w:tc>
          <w:tcPr>
            <w:tcW w:w="0" w:type="auto"/>
            <w:tcBorders>
              <w:top w:val="none" w:sz="0" w:space="0" w:color="auto"/>
              <w:left w:val="none" w:sz="0" w:space="0" w:color="auto"/>
              <w:bottom w:val="none" w:sz="0" w:space="0" w:color="auto"/>
              <w:right w:val="none" w:sz="0" w:space="0" w:color="auto"/>
            </w:tcBorders>
          </w:tcPr>
          <w:p w14:paraId="3FCD877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4AD1F6E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73F9071A"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1.22%</w:t>
            </w:r>
          </w:p>
        </w:tc>
        <w:tc>
          <w:tcPr>
            <w:tcW w:w="0" w:type="auto"/>
            <w:tcBorders>
              <w:top w:val="none" w:sz="0" w:space="0" w:color="auto"/>
              <w:left w:val="none" w:sz="0" w:space="0" w:color="auto"/>
              <w:bottom w:val="none" w:sz="0" w:space="0" w:color="auto"/>
              <w:right w:val="none" w:sz="0" w:space="0" w:color="auto"/>
            </w:tcBorders>
          </w:tcPr>
          <w:p w14:paraId="339269D5"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9.71%</w:t>
            </w:r>
          </w:p>
        </w:tc>
      </w:tr>
      <w:tr w:rsidR="00EC08F3" w:rsidRPr="00F10C03" w14:paraId="21C7F0A2"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07CBE92A" w14:textId="03E4477D" w:rsidR="00EC08F3" w:rsidRPr="00F10C03" w:rsidRDefault="00EC08F3" w:rsidP="0056690A">
            <w:pPr>
              <w:rPr>
                <w:sz w:val="20"/>
              </w:rPr>
            </w:pPr>
            <w:r w:rsidRPr="00F10C03">
              <w:rPr>
                <w:sz w:val="20"/>
              </w:rPr>
              <w:t>a1CTO000000KFKi2AO</w:t>
            </w:r>
            <w:r w:rsidR="009459C8">
              <w:rPr>
                <w:sz w:val="20"/>
              </w:rPr>
              <w:t xml:space="preserve"> </w:t>
            </w:r>
            <w:r w:rsidR="009459C8" w:rsidRPr="009459C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34BC9C6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42C881A5"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0.81</w:t>
            </w:r>
          </w:p>
        </w:tc>
        <w:tc>
          <w:tcPr>
            <w:tcW w:w="0" w:type="auto"/>
            <w:tcBorders>
              <w:top w:val="none" w:sz="0" w:space="0" w:color="auto"/>
              <w:left w:val="none" w:sz="0" w:space="0" w:color="auto"/>
              <w:bottom w:val="none" w:sz="0" w:space="0" w:color="auto"/>
              <w:right w:val="none" w:sz="0" w:space="0" w:color="auto"/>
            </w:tcBorders>
          </w:tcPr>
          <w:p w14:paraId="21225E3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20.71%</w:t>
            </w:r>
          </w:p>
        </w:tc>
        <w:tc>
          <w:tcPr>
            <w:tcW w:w="0" w:type="auto"/>
            <w:tcBorders>
              <w:top w:val="none" w:sz="0" w:space="0" w:color="auto"/>
              <w:left w:val="none" w:sz="0" w:space="0" w:color="auto"/>
              <w:bottom w:val="none" w:sz="0" w:space="0" w:color="auto"/>
              <w:right w:val="none" w:sz="0" w:space="0" w:color="auto"/>
            </w:tcBorders>
          </w:tcPr>
          <w:p w14:paraId="3E849A6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21.32%</w:t>
            </w:r>
          </w:p>
        </w:tc>
        <w:tc>
          <w:tcPr>
            <w:tcW w:w="0" w:type="auto"/>
            <w:tcBorders>
              <w:top w:val="none" w:sz="0" w:space="0" w:color="auto"/>
              <w:left w:val="none" w:sz="0" w:space="0" w:color="auto"/>
              <w:bottom w:val="none" w:sz="0" w:space="0" w:color="auto"/>
              <w:right w:val="none" w:sz="0" w:space="0" w:color="auto"/>
            </w:tcBorders>
          </w:tcPr>
          <w:p w14:paraId="00242D0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6DFFD39"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A02367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12.19%</w:t>
            </w:r>
          </w:p>
        </w:tc>
        <w:tc>
          <w:tcPr>
            <w:tcW w:w="0" w:type="auto"/>
            <w:tcBorders>
              <w:top w:val="none" w:sz="0" w:space="0" w:color="auto"/>
              <w:left w:val="none" w:sz="0" w:space="0" w:color="auto"/>
              <w:bottom w:val="none" w:sz="0" w:space="0" w:color="auto"/>
              <w:right w:val="none" w:sz="0" w:space="0" w:color="auto"/>
            </w:tcBorders>
          </w:tcPr>
          <w:p w14:paraId="21F07BB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21.79%</w:t>
            </w:r>
          </w:p>
        </w:tc>
      </w:tr>
      <w:tr w:rsidR="00EC08F3" w:rsidRPr="00F10C03" w14:paraId="4C13B200"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0E672AB5" w14:textId="36CAC487" w:rsidR="00EC08F3" w:rsidRPr="00F10C03" w:rsidRDefault="00EC08F3" w:rsidP="0056690A">
            <w:pPr>
              <w:rPr>
                <w:sz w:val="20"/>
              </w:rPr>
            </w:pPr>
            <w:r w:rsidRPr="00F10C03">
              <w:rPr>
                <w:sz w:val="20"/>
              </w:rPr>
              <w:t>a1CTO000000KFKl2AO</w:t>
            </w:r>
            <w:r w:rsidR="009459C8">
              <w:rPr>
                <w:rFonts w:ascii="Segoe UI Historic" w:hAnsi="Segoe UI Historic" w:cs="Segoe UI Historic"/>
                <w:sz w:val="20"/>
              </w:rPr>
              <w:t xml:space="preserve"> </w:t>
            </w:r>
            <w:r w:rsidR="009459C8" w:rsidRPr="007640C5">
              <w:rPr>
                <w:sz w:val="20"/>
                <w:vertAlign w:val="superscript"/>
              </w:rPr>
              <w:t>b</w:t>
            </w:r>
            <w:r w:rsidRPr="00F10C03">
              <w:rPr>
                <w:sz w:val="20"/>
              </w:rPr>
              <w:t xml:space="preserve"> </w:t>
            </w:r>
          </w:p>
        </w:tc>
        <w:tc>
          <w:tcPr>
            <w:tcW w:w="1096" w:type="dxa"/>
            <w:tcBorders>
              <w:top w:val="none" w:sz="0" w:space="0" w:color="auto"/>
              <w:left w:val="none" w:sz="0" w:space="0" w:color="auto"/>
              <w:bottom w:val="none" w:sz="0" w:space="0" w:color="auto"/>
              <w:right w:val="none" w:sz="0" w:space="0" w:color="auto"/>
            </w:tcBorders>
          </w:tcPr>
          <w:p w14:paraId="26DE098B"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0.71</w:t>
            </w:r>
          </w:p>
        </w:tc>
        <w:tc>
          <w:tcPr>
            <w:tcW w:w="0" w:type="auto"/>
            <w:tcBorders>
              <w:top w:val="none" w:sz="0" w:space="0" w:color="auto"/>
              <w:left w:val="none" w:sz="0" w:space="0" w:color="auto"/>
              <w:bottom w:val="none" w:sz="0" w:space="0" w:color="auto"/>
              <w:right w:val="none" w:sz="0" w:space="0" w:color="auto"/>
            </w:tcBorders>
          </w:tcPr>
          <w:p w14:paraId="2F20DE4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0.73</w:t>
            </w:r>
          </w:p>
        </w:tc>
        <w:tc>
          <w:tcPr>
            <w:tcW w:w="0" w:type="auto"/>
            <w:tcBorders>
              <w:top w:val="none" w:sz="0" w:space="0" w:color="auto"/>
              <w:left w:val="none" w:sz="0" w:space="0" w:color="auto"/>
              <w:bottom w:val="none" w:sz="0" w:space="0" w:color="auto"/>
              <w:right w:val="none" w:sz="0" w:space="0" w:color="auto"/>
            </w:tcBorders>
          </w:tcPr>
          <w:p w14:paraId="1AFC404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21.44%</w:t>
            </w:r>
          </w:p>
        </w:tc>
        <w:tc>
          <w:tcPr>
            <w:tcW w:w="0" w:type="auto"/>
            <w:tcBorders>
              <w:top w:val="none" w:sz="0" w:space="0" w:color="auto"/>
              <w:left w:val="none" w:sz="0" w:space="0" w:color="auto"/>
              <w:bottom w:val="none" w:sz="0" w:space="0" w:color="auto"/>
              <w:right w:val="none" w:sz="0" w:space="0" w:color="auto"/>
            </w:tcBorders>
          </w:tcPr>
          <w:p w14:paraId="5A39DE1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21.65%</w:t>
            </w:r>
          </w:p>
        </w:tc>
        <w:tc>
          <w:tcPr>
            <w:tcW w:w="0" w:type="auto"/>
            <w:tcBorders>
              <w:top w:val="none" w:sz="0" w:space="0" w:color="auto"/>
              <w:left w:val="none" w:sz="0" w:space="0" w:color="auto"/>
              <w:bottom w:val="none" w:sz="0" w:space="0" w:color="auto"/>
              <w:right w:val="none" w:sz="0" w:space="0" w:color="auto"/>
            </w:tcBorders>
          </w:tcPr>
          <w:p w14:paraId="790B234D"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3B562B3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73C4F30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0.80%</w:t>
            </w:r>
          </w:p>
        </w:tc>
        <w:tc>
          <w:tcPr>
            <w:tcW w:w="0" w:type="auto"/>
            <w:tcBorders>
              <w:top w:val="none" w:sz="0" w:space="0" w:color="auto"/>
              <w:left w:val="none" w:sz="0" w:space="0" w:color="auto"/>
              <w:bottom w:val="none" w:sz="0" w:space="0" w:color="auto"/>
              <w:right w:val="none" w:sz="0" w:space="0" w:color="auto"/>
            </w:tcBorders>
          </w:tcPr>
          <w:p w14:paraId="65AD7FFB"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2.32%</w:t>
            </w:r>
          </w:p>
        </w:tc>
      </w:tr>
      <w:tr w:rsidR="00EC08F3" w:rsidRPr="00F10C03" w14:paraId="3206AE2C"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2AA08078" w14:textId="52910337" w:rsidR="00EC08F3" w:rsidRPr="00F10C03" w:rsidRDefault="00EC08F3" w:rsidP="0056690A">
            <w:pPr>
              <w:rPr>
                <w:sz w:val="20"/>
              </w:rPr>
            </w:pPr>
            <w:r w:rsidRPr="00F10C03">
              <w:rPr>
                <w:sz w:val="20"/>
              </w:rPr>
              <w:t>a1CTO000000KFKm2AO</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6A6D469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0.79</w:t>
            </w:r>
          </w:p>
        </w:tc>
        <w:tc>
          <w:tcPr>
            <w:tcW w:w="0" w:type="auto"/>
            <w:tcBorders>
              <w:top w:val="none" w:sz="0" w:space="0" w:color="auto"/>
              <w:left w:val="none" w:sz="0" w:space="0" w:color="auto"/>
              <w:bottom w:val="none" w:sz="0" w:space="0" w:color="auto"/>
              <w:right w:val="none" w:sz="0" w:space="0" w:color="auto"/>
            </w:tcBorders>
          </w:tcPr>
          <w:p w14:paraId="7D3A2E99"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0.79</w:t>
            </w:r>
          </w:p>
        </w:tc>
        <w:tc>
          <w:tcPr>
            <w:tcW w:w="0" w:type="auto"/>
            <w:tcBorders>
              <w:top w:val="none" w:sz="0" w:space="0" w:color="auto"/>
              <w:left w:val="none" w:sz="0" w:space="0" w:color="auto"/>
              <w:bottom w:val="none" w:sz="0" w:space="0" w:color="auto"/>
              <w:right w:val="none" w:sz="0" w:space="0" w:color="auto"/>
            </w:tcBorders>
          </w:tcPr>
          <w:p w14:paraId="3C1AADAD"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21.40%</w:t>
            </w:r>
          </w:p>
        </w:tc>
        <w:tc>
          <w:tcPr>
            <w:tcW w:w="0" w:type="auto"/>
            <w:tcBorders>
              <w:top w:val="none" w:sz="0" w:space="0" w:color="auto"/>
              <w:left w:val="none" w:sz="0" w:space="0" w:color="auto"/>
              <w:bottom w:val="none" w:sz="0" w:space="0" w:color="auto"/>
              <w:right w:val="none" w:sz="0" w:space="0" w:color="auto"/>
            </w:tcBorders>
          </w:tcPr>
          <w:p w14:paraId="668596B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21.45%</w:t>
            </w:r>
          </w:p>
        </w:tc>
        <w:tc>
          <w:tcPr>
            <w:tcW w:w="0" w:type="auto"/>
            <w:tcBorders>
              <w:top w:val="none" w:sz="0" w:space="0" w:color="auto"/>
              <w:left w:val="none" w:sz="0" w:space="0" w:color="auto"/>
              <w:bottom w:val="none" w:sz="0" w:space="0" w:color="auto"/>
              <w:right w:val="none" w:sz="0" w:space="0" w:color="auto"/>
            </w:tcBorders>
          </w:tcPr>
          <w:p w14:paraId="2DF3042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EF23B2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DD541B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7.88%</w:t>
            </w:r>
          </w:p>
        </w:tc>
        <w:tc>
          <w:tcPr>
            <w:tcW w:w="0" w:type="auto"/>
            <w:tcBorders>
              <w:top w:val="none" w:sz="0" w:space="0" w:color="auto"/>
              <w:left w:val="none" w:sz="0" w:space="0" w:color="auto"/>
              <w:bottom w:val="none" w:sz="0" w:space="0" w:color="auto"/>
              <w:right w:val="none" w:sz="0" w:space="0" w:color="auto"/>
            </w:tcBorders>
          </w:tcPr>
          <w:p w14:paraId="4946891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23.23%</w:t>
            </w:r>
          </w:p>
        </w:tc>
      </w:tr>
      <w:tr w:rsidR="00EC08F3" w:rsidRPr="00F10C03" w14:paraId="001E382C"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45548DE6" w14:textId="1CC44E60" w:rsidR="00EC08F3" w:rsidRPr="00F10C03" w:rsidRDefault="00EC08F3" w:rsidP="0056690A">
            <w:pPr>
              <w:rPr>
                <w:sz w:val="20"/>
              </w:rPr>
            </w:pPr>
            <w:r w:rsidRPr="00F10C03">
              <w:rPr>
                <w:sz w:val="20"/>
              </w:rPr>
              <w:t>a1CTO000000KFKn2AO</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57D4881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0.83</w:t>
            </w:r>
          </w:p>
        </w:tc>
        <w:tc>
          <w:tcPr>
            <w:tcW w:w="0" w:type="auto"/>
            <w:tcBorders>
              <w:top w:val="none" w:sz="0" w:space="0" w:color="auto"/>
              <w:left w:val="none" w:sz="0" w:space="0" w:color="auto"/>
              <w:bottom w:val="none" w:sz="0" w:space="0" w:color="auto"/>
              <w:right w:val="none" w:sz="0" w:space="0" w:color="auto"/>
            </w:tcBorders>
          </w:tcPr>
          <w:p w14:paraId="0F74FA6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0.80</w:t>
            </w:r>
          </w:p>
        </w:tc>
        <w:tc>
          <w:tcPr>
            <w:tcW w:w="0" w:type="auto"/>
            <w:tcBorders>
              <w:top w:val="none" w:sz="0" w:space="0" w:color="auto"/>
              <w:left w:val="none" w:sz="0" w:space="0" w:color="auto"/>
              <w:bottom w:val="none" w:sz="0" w:space="0" w:color="auto"/>
              <w:right w:val="none" w:sz="0" w:space="0" w:color="auto"/>
            </w:tcBorders>
          </w:tcPr>
          <w:p w14:paraId="15B5F49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13.07%</w:t>
            </w:r>
          </w:p>
        </w:tc>
        <w:tc>
          <w:tcPr>
            <w:tcW w:w="0" w:type="auto"/>
            <w:tcBorders>
              <w:top w:val="none" w:sz="0" w:space="0" w:color="auto"/>
              <w:left w:val="none" w:sz="0" w:space="0" w:color="auto"/>
              <w:bottom w:val="none" w:sz="0" w:space="0" w:color="auto"/>
              <w:right w:val="none" w:sz="0" w:space="0" w:color="auto"/>
            </w:tcBorders>
          </w:tcPr>
          <w:p w14:paraId="0074214B"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14.49%</w:t>
            </w:r>
          </w:p>
        </w:tc>
        <w:tc>
          <w:tcPr>
            <w:tcW w:w="0" w:type="auto"/>
            <w:tcBorders>
              <w:top w:val="none" w:sz="0" w:space="0" w:color="auto"/>
              <w:left w:val="none" w:sz="0" w:space="0" w:color="auto"/>
              <w:bottom w:val="none" w:sz="0" w:space="0" w:color="auto"/>
              <w:right w:val="none" w:sz="0" w:space="0" w:color="auto"/>
            </w:tcBorders>
          </w:tcPr>
          <w:p w14:paraId="022DD9B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3406266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AFC62D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8.75%</w:t>
            </w:r>
          </w:p>
        </w:tc>
        <w:tc>
          <w:tcPr>
            <w:tcW w:w="0" w:type="auto"/>
            <w:tcBorders>
              <w:top w:val="none" w:sz="0" w:space="0" w:color="auto"/>
              <w:left w:val="none" w:sz="0" w:space="0" w:color="auto"/>
              <w:bottom w:val="none" w:sz="0" w:space="0" w:color="auto"/>
              <w:right w:val="none" w:sz="0" w:space="0" w:color="auto"/>
            </w:tcBorders>
          </w:tcPr>
          <w:p w14:paraId="6F67E73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12.88%</w:t>
            </w:r>
          </w:p>
        </w:tc>
      </w:tr>
      <w:tr w:rsidR="00EC08F3" w:rsidRPr="00F10C03" w14:paraId="21D19336"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225DA7F5" w14:textId="4A6CCE5F" w:rsidR="00EC08F3" w:rsidRPr="00F10C03" w:rsidRDefault="00EC08F3" w:rsidP="0056690A">
            <w:pPr>
              <w:rPr>
                <w:sz w:val="20"/>
              </w:rPr>
            </w:pPr>
            <w:r w:rsidRPr="00F10C03">
              <w:rPr>
                <w:sz w:val="20"/>
              </w:rPr>
              <w:t>a1CTO000000KFKo2AO</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7E012FC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0E92E25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0.81</w:t>
            </w:r>
          </w:p>
        </w:tc>
        <w:tc>
          <w:tcPr>
            <w:tcW w:w="0" w:type="auto"/>
            <w:tcBorders>
              <w:top w:val="none" w:sz="0" w:space="0" w:color="auto"/>
              <w:left w:val="none" w:sz="0" w:space="0" w:color="auto"/>
              <w:bottom w:val="none" w:sz="0" w:space="0" w:color="auto"/>
              <w:right w:val="none" w:sz="0" w:space="0" w:color="auto"/>
            </w:tcBorders>
          </w:tcPr>
          <w:p w14:paraId="3402505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15.34%</w:t>
            </w:r>
          </w:p>
        </w:tc>
        <w:tc>
          <w:tcPr>
            <w:tcW w:w="0" w:type="auto"/>
            <w:tcBorders>
              <w:top w:val="none" w:sz="0" w:space="0" w:color="auto"/>
              <w:left w:val="none" w:sz="0" w:space="0" w:color="auto"/>
              <w:bottom w:val="none" w:sz="0" w:space="0" w:color="auto"/>
              <w:right w:val="none" w:sz="0" w:space="0" w:color="auto"/>
            </w:tcBorders>
          </w:tcPr>
          <w:p w14:paraId="57D0010D"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15.59%</w:t>
            </w:r>
          </w:p>
        </w:tc>
        <w:tc>
          <w:tcPr>
            <w:tcW w:w="0" w:type="auto"/>
            <w:tcBorders>
              <w:top w:val="none" w:sz="0" w:space="0" w:color="auto"/>
              <w:left w:val="none" w:sz="0" w:space="0" w:color="auto"/>
              <w:bottom w:val="none" w:sz="0" w:space="0" w:color="auto"/>
              <w:right w:val="none" w:sz="0" w:space="0" w:color="auto"/>
            </w:tcBorders>
          </w:tcPr>
          <w:p w14:paraId="61C5307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4E0BF1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1D0F8CE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11.80%</w:t>
            </w:r>
          </w:p>
        </w:tc>
        <w:tc>
          <w:tcPr>
            <w:tcW w:w="0" w:type="auto"/>
            <w:tcBorders>
              <w:top w:val="none" w:sz="0" w:space="0" w:color="auto"/>
              <w:left w:val="none" w:sz="0" w:space="0" w:color="auto"/>
              <w:bottom w:val="none" w:sz="0" w:space="0" w:color="auto"/>
              <w:right w:val="none" w:sz="0" w:space="0" w:color="auto"/>
            </w:tcBorders>
          </w:tcPr>
          <w:p w14:paraId="789C5E10"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15.76%</w:t>
            </w:r>
          </w:p>
        </w:tc>
      </w:tr>
      <w:tr w:rsidR="00EC08F3" w:rsidRPr="00F10C03" w14:paraId="3569E22D"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00093ACA" w14:textId="3466B77E" w:rsidR="00EC08F3" w:rsidRPr="00F10C03" w:rsidRDefault="00EC08F3" w:rsidP="0056690A">
            <w:pPr>
              <w:rPr>
                <w:sz w:val="20"/>
              </w:rPr>
            </w:pPr>
            <w:r w:rsidRPr="00F10C03">
              <w:rPr>
                <w:sz w:val="20"/>
              </w:rPr>
              <w:t>a1CTO000000KFKp2AO</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7D21056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0.66</w:t>
            </w:r>
          </w:p>
        </w:tc>
        <w:tc>
          <w:tcPr>
            <w:tcW w:w="0" w:type="auto"/>
            <w:tcBorders>
              <w:top w:val="none" w:sz="0" w:space="0" w:color="auto"/>
              <w:left w:val="none" w:sz="0" w:space="0" w:color="auto"/>
              <w:bottom w:val="none" w:sz="0" w:space="0" w:color="auto"/>
              <w:right w:val="none" w:sz="0" w:space="0" w:color="auto"/>
            </w:tcBorders>
          </w:tcPr>
          <w:p w14:paraId="76D8950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0.63</w:t>
            </w:r>
          </w:p>
        </w:tc>
        <w:tc>
          <w:tcPr>
            <w:tcW w:w="0" w:type="auto"/>
            <w:tcBorders>
              <w:top w:val="none" w:sz="0" w:space="0" w:color="auto"/>
              <w:left w:val="none" w:sz="0" w:space="0" w:color="auto"/>
              <w:bottom w:val="none" w:sz="0" w:space="0" w:color="auto"/>
              <w:right w:val="none" w:sz="0" w:space="0" w:color="auto"/>
            </w:tcBorders>
          </w:tcPr>
          <w:p w14:paraId="6DDA5B4D"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23.63%</w:t>
            </w:r>
          </w:p>
        </w:tc>
        <w:tc>
          <w:tcPr>
            <w:tcW w:w="0" w:type="auto"/>
            <w:tcBorders>
              <w:top w:val="none" w:sz="0" w:space="0" w:color="auto"/>
              <w:left w:val="none" w:sz="0" w:space="0" w:color="auto"/>
              <w:bottom w:val="none" w:sz="0" w:space="0" w:color="auto"/>
              <w:right w:val="none" w:sz="0" w:space="0" w:color="auto"/>
            </w:tcBorders>
          </w:tcPr>
          <w:p w14:paraId="6CED7B8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24.70%</w:t>
            </w:r>
          </w:p>
        </w:tc>
        <w:tc>
          <w:tcPr>
            <w:tcW w:w="0" w:type="auto"/>
            <w:tcBorders>
              <w:top w:val="none" w:sz="0" w:space="0" w:color="auto"/>
              <w:left w:val="none" w:sz="0" w:space="0" w:color="auto"/>
              <w:bottom w:val="none" w:sz="0" w:space="0" w:color="auto"/>
              <w:right w:val="none" w:sz="0" w:space="0" w:color="auto"/>
            </w:tcBorders>
          </w:tcPr>
          <w:p w14:paraId="6DA7D84E"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B221D7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46D09B05"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18.80%</w:t>
            </w:r>
          </w:p>
        </w:tc>
        <w:tc>
          <w:tcPr>
            <w:tcW w:w="0" w:type="auto"/>
            <w:tcBorders>
              <w:top w:val="none" w:sz="0" w:space="0" w:color="auto"/>
              <w:left w:val="none" w:sz="0" w:space="0" w:color="auto"/>
              <w:bottom w:val="none" w:sz="0" w:space="0" w:color="auto"/>
              <w:right w:val="none" w:sz="0" w:space="0" w:color="auto"/>
            </w:tcBorders>
          </w:tcPr>
          <w:p w14:paraId="4BD7EB47"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17.46%</w:t>
            </w:r>
          </w:p>
        </w:tc>
      </w:tr>
      <w:tr w:rsidR="00EC08F3" w:rsidRPr="00F10C03" w14:paraId="2CEA8CA5"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3A16BAF4" w14:textId="77777777" w:rsidR="00EC08F3" w:rsidRPr="00F10C03" w:rsidRDefault="00EC08F3" w:rsidP="0056690A">
            <w:pPr>
              <w:rPr>
                <w:sz w:val="20"/>
              </w:rPr>
            </w:pPr>
            <w:r w:rsidRPr="00F10C03">
              <w:rPr>
                <w:sz w:val="20"/>
              </w:rPr>
              <w:t>a1CTO000000KFKq2AO</w:t>
            </w:r>
          </w:p>
        </w:tc>
        <w:tc>
          <w:tcPr>
            <w:tcW w:w="1096" w:type="dxa"/>
            <w:tcBorders>
              <w:top w:val="none" w:sz="0" w:space="0" w:color="auto"/>
              <w:left w:val="none" w:sz="0" w:space="0" w:color="auto"/>
              <w:bottom w:val="none" w:sz="0" w:space="0" w:color="auto"/>
              <w:right w:val="none" w:sz="0" w:space="0" w:color="auto"/>
            </w:tcBorders>
          </w:tcPr>
          <w:p w14:paraId="150EFDF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0.88</w:t>
            </w:r>
          </w:p>
        </w:tc>
        <w:tc>
          <w:tcPr>
            <w:tcW w:w="0" w:type="auto"/>
            <w:tcBorders>
              <w:top w:val="none" w:sz="0" w:space="0" w:color="auto"/>
              <w:left w:val="none" w:sz="0" w:space="0" w:color="auto"/>
              <w:bottom w:val="none" w:sz="0" w:space="0" w:color="auto"/>
              <w:right w:val="none" w:sz="0" w:space="0" w:color="auto"/>
            </w:tcBorders>
          </w:tcPr>
          <w:p w14:paraId="7B3249C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0.88</w:t>
            </w:r>
          </w:p>
        </w:tc>
        <w:tc>
          <w:tcPr>
            <w:tcW w:w="0" w:type="auto"/>
            <w:tcBorders>
              <w:top w:val="none" w:sz="0" w:space="0" w:color="auto"/>
              <w:left w:val="none" w:sz="0" w:space="0" w:color="auto"/>
              <w:bottom w:val="none" w:sz="0" w:space="0" w:color="auto"/>
              <w:right w:val="none" w:sz="0" w:space="0" w:color="auto"/>
            </w:tcBorders>
          </w:tcPr>
          <w:p w14:paraId="5344DE4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21.25%</w:t>
            </w:r>
          </w:p>
        </w:tc>
        <w:tc>
          <w:tcPr>
            <w:tcW w:w="0" w:type="auto"/>
            <w:tcBorders>
              <w:top w:val="none" w:sz="0" w:space="0" w:color="auto"/>
              <w:left w:val="none" w:sz="0" w:space="0" w:color="auto"/>
              <w:bottom w:val="none" w:sz="0" w:space="0" w:color="auto"/>
              <w:right w:val="none" w:sz="0" w:space="0" w:color="auto"/>
            </w:tcBorders>
          </w:tcPr>
          <w:p w14:paraId="140F862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21.25%</w:t>
            </w:r>
          </w:p>
        </w:tc>
        <w:tc>
          <w:tcPr>
            <w:tcW w:w="0" w:type="auto"/>
            <w:tcBorders>
              <w:top w:val="none" w:sz="0" w:space="0" w:color="auto"/>
              <w:left w:val="none" w:sz="0" w:space="0" w:color="auto"/>
              <w:bottom w:val="none" w:sz="0" w:space="0" w:color="auto"/>
              <w:right w:val="none" w:sz="0" w:space="0" w:color="auto"/>
            </w:tcBorders>
          </w:tcPr>
          <w:p w14:paraId="32999F5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4A83AAE5"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383FF38D"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2.47%</w:t>
            </w:r>
          </w:p>
        </w:tc>
        <w:tc>
          <w:tcPr>
            <w:tcW w:w="0" w:type="auto"/>
            <w:tcBorders>
              <w:top w:val="none" w:sz="0" w:space="0" w:color="auto"/>
              <w:left w:val="none" w:sz="0" w:space="0" w:color="auto"/>
              <w:bottom w:val="none" w:sz="0" w:space="0" w:color="auto"/>
              <w:right w:val="none" w:sz="0" w:space="0" w:color="auto"/>
            </w:tcBorders>
          </w:tcPr>
          <w:p w14:paraId="086F3255"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4.08%</w:t>
            </w:r>
          </w:p>
        </w:tc>
      </w:tr>
      <w:tr w:rsidR="00EC08F3" w:rsidRPr="00F10C03" w14:paraId="30A1829C"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3D225E66" w14:textId="77777777" w:rsidR="00EC08F3" w:rsidRPr="00F10C03" w:rsidRDefault="00EC08F3" w:rsidP="0056690A">
            <w:pPr>
              <w:rPr>
                <w:sz w:val="20"/>
              </w:rPr>
            </w:pPr>
            <w:r w:rsidRPr="00F10C03">
              <w:rPr>
                <w:sz w:val="20"/>
              </w:rPr>
              <w:t>a1CTO000000KFKr2AO</w:t>
            </w:r>
          </w:p>
        </w:tc>
        <w:tc>
          <w:tcPr>
            <w:tcW w:w="1096" w:type="dxa"/>
            <w:tcBorders>
              <w:top w:val="none" w:sz="0" w:space="0" w:color="auto"/>
              <w:left w:val="none" w:sz="0" w:space="0" w:color="auto"/>
              <w:bottom w:val="none" w:sz="0" w:space="0" w:color="auto"/>
              <w:right w:val="none" w:sz="0" w:space="0" w:color="auto"/>
            </w:tcBorders>
          </w:tcPr>
          <w:p w14:paraId="6A8C3B54"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0.67</w:t>
            </w:r>
          </w:p>
        </w:tc>
        <w:tc>
          <w:tcPr>
            <w:tcW w:w="0" w:type="auto"/>
            <w:tcBorders>
              <w:top w:val="none" w:sz="0" w:space="0" w:color="auto"/>
              <w:left w:val="none" w:sz="0" w:space="0" w:color="auto"/>
              <w:bottom w:val="none" w:sz="0" w:space="0" w:color="auto"/>
              <w:right w:val="none" w:sz="0" w:space="0" w:color="auto"/>
            </w:tcBorders>
          </w:tcPr>
          <w:p w14:paraId="20CD024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0.69</w:t>
            </w:r>
          </w:p>
        </w:tc>
        <w:tc>
          <w:tcPr>
            <w:tcW w:w="0" w:type="auto"/>
            <w:tcBorders>
              <w:top w:val="none" w:sz="0" w:space="0" w:color="auto"/>
              <w:left w:val="none" w:sz="0" w:space="0" w:color="auto"/>
              <w:bottom w:val="none" w:sz="0" w:space="0" w:color="auto"/>
              <w:right w:val="none" w:sz="0" w:space="0" w:color="auto"/>
            </w:tcBorders>
          </w:tcPr>
          <w:p w14:paraId="73DCFB7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15.23%</w:t>
            </w:r>
          </w:p>
        </w:tc>
        <w:tc>
          <w:tcPr>
            <w:tcW w:w="0" w:type="auto"/>
            <w:tcBorders>
              <w:top w:val="none" w:sz="0" w:space="0" w:color="auto"/>
              <w:left w:val="none" w:sz="0" w:space="0" w:color="auto"/>
              <w:bottom w:val="none" w:sz="0" w:space="0" w:color="auto"/>
              <w:right w:val="none" w:sz="0" w:space="0" w:color="auto"/>
            </w:tcBorders>
          </w:tcPr>
          <w:p w14:paraId="7FA7DB5E"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14.94%</w:t>
            </w:r>
          </w:p>
        </w:tc>
        <w:tc>
          <w:tcPr>
            <w:tcW w:w="0" w:type="auto"/>
            <w:tcBorders>
              <w:top w:val="none" w:sz="0" w:space="0" w:color="auto"/>
              <w:left w:val="none" w:sz="0" w:space="0" w:color="auto"/>
              <w:bottom w:val="none" w:sz="0" w:space="0" w:color="auto"/>
              <w:right w:val="none" w:sz="0" w:space="0" w:color="auto"/>
            </w:tcBorders>
          </w:tcPr>
          <w:p w14:paraId="6597AEF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71F2EE4"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256A46A"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22.03%</w:t>
            </w:r>
          </w:p>
        </w:tc>
        <w:tc>
          <w:tcPr>
            <w:tcW w:w="0" w:type="auto"/>
            <w:tcBorders>
              <w:top w:val="none" w:sz="0" w:space="0" w:color="auto"/>
              <w:left w:val="none" w:sz="0" w:space="0" w:color="auto"/>
              <w:bottom w:val="none" w:sz="0" w:space="0" w:color="auto"/>
              <w:right w:val="none" w:sz="0" w:space="0" w:color="auto"/>
            </w:tcBorders>
          </w:tcPr>
          <w:p w14:paraId="60EE4A3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23.36%</w:t>
            </w:r>
          </w:p>
        </w:tc>
      </w:tr>
      <w:tr w:rsidR="00EC08F3" w:rsidRPr="00F10C03" w14:paraId="2037EBA2"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3F1C6CB8" w14:textId="77777777" w:rsidR="00EC08F3" w:rsidRPr="00F10C03" w:rsidRDefault="00EC08F3" w:rsidP="0056690A">
            <w:pPr>
              <w:rPr>
                <w:sz w:val="20"/>
              </w:rPr>
            </w:pPr>
            <w:r w:rsidRPr="00F10C03">
              <w:rPr>
                <w:sz w:val="20"/>
              </w:rPr>
              <w:lastRenderedPageBreak/>
              <w:t>a1CTO000000KFKs2AO</w:t>
            </w:r>
          </w:p>
        </w:tc>
        <w:tc>
          <w:tcPr>
            <w:tcW w:w="1096" w:type="dxa"/>
            <w:tcBorders>
              <w:top w:val="none" w:sz="0" w:space="0" w:color="auto"/>
              <w:left w:val="none" w:sz="0" w:space="0" w:color="auto"/>
              <w:bottom w:val="none" w:sz="0" w:space="0" w:color="auto"/>
              <w:right w:val="none" w:sz="0" w:space="0" w:color="auto"/>
            </w:tcBorders>
          </w:tcPr>
          <w:p w14:paraId="4083A4B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0.91</w:t>
            </w:r>
          </w:p>
        </w:tc>
        <w:tc>
          <w:tcPr>
            <w:tcW w:w="0" w:type="auto"/>
            <w:tcBorders>
              <w:top w:val="none" w:sz="0" w:space="0" w:color="auto"/>
              <w:left w:val="none" w:sz="0" w:space="0" w:color="auto"/>
              <w:bottom w:val="none" w:sz="0" w:space="0" w:color="auto"/>
              <w:right w:val="none" w:sz="0" w:space="0" w:color="auto"/>
            </w:tcBorders>
          </w:tcPr>
          <w:p w14:paraId="1552BA1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0.91</w:t>
            </w:r>
          </w:p>
        </w:tc>
        <w:tc>
          <w:tcPr>
            <w:tcW w:w="0" w:type="auto"/>
            <w:tcBorders>
              <w:top w:val="none" w:sz="0" w:space="0" w:color="auto"/>
              <w:left w:val="none" w:sz="0" w:space="0" w:color="auto"/>
              <w:bottom w:val="none" w:sz="0" w:space="0" w:color="auto"/>
              <w:right w:val="none" w:sz="0" w:space="0" w:color="auto"/>
            </w:tcBorders>
          </w:tcPr>
          <w:p w14:paraId="21BA451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13.70%</w:t>
            </w:r>
          </w:p>
        </w:tc>
        <w:tc>
          <w:tcPr>
            <w:tcW w:w="0" w:type="auto"/>
            <w:tcBorders>
              <w:top w:val="none" w:sz="0" w:space="0" w:color="auto"/>
              <w:left w:val="none" w:sz="0" w:space="0" w:color="auto"/>
              <w:bottom w:val="none" w:sz="0" w:space="0" w:color="auto"/>
              <w:right w:val="none" w:sz="0" w:space="0" w:color="auto"/>
            </w:tcBorders>
          </w:tcPr>
          <w:p w14:paraId="01F8A44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13.70%</w:t>
            </w:r>
          </w:p>
        </w:tc>
        <w:tc>
          <w:tcPr>
            <w:tcW w:w="0" w:type="auto"/>
            <w:tcBorders>
              <w:top w:val="none" w:sz="0" w:space="0" w:color="auto"/>
              <w:left w:val="none" w:sz="0" w:space="0" w:color="auto"/>
              <w:bottom w:val="none" w:sz="0" w:space="0" w:color="auto"/>
              <w:right w:val="none" w:sz="0" w:space="0" w:color="auto"/>
            </w:tcBorders>
          </w:tcPr>
          <w:p w14:paraId="3AC2D80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FE5C8F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D5C002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1.13%</w:t>
            </w:r>
          </w:p>
        </w:tc>
        <w:tc>
          <w:tcPr>
            <w:tcW w:w="0" w:type="auto"/>
            <w:tcBorders>
              <w:top w:val="none" w:sz="0" w:space="0" w:color="auto"/>
              <w:left w:val="none" w:sz="0" w:space="0" w:color="auto"/>
              <w:bottom w:val="none" w:sz="0" w:space="0" w:color="auto"/>
              <w:right w:val="none" w:sz="0" w:space="0" w:color="auto"/>
            </w:tcBorders>
          </w:tcPr>
          <w:p w14:paraId="1D7EB02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2.12%</w:t>
            </w:r>
          </w:p>
        </w:tc>
      </w:tr>
      <w:tr w:rsidR="00EC08F3" w:rsidRPr="00F10C03" w14:paraId="0707A5B1"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1C57732E" w14:textId="5696C093" w:rsidR="00EC08F3" w:rsidRPr="00F10C03" w:rsidRDefault="00EC08F3" w:rsidP="0056690A">
            <w:pPr>
              <w:rPr>
                <w:sz w:val="20"/>
              </w:rPr>
            </w:pPr>
            <w:r w:rsidRPr="00F10C03">
              <w:rPr>
                <w:sz w:val="20"/>
              </w:rPr>
              <w:t>a1CTO000000KFKu2AO</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61EA709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0.72</w:t>
            </w:r>
          </w:p>
        </w:tc>
        <w:tc>
          <w:tcPr>
            <w:tcW w:w="0" w:type="auto"/>
            <w:tcBorders>
              <w:top w:val="none" w:sz="0" w:space="0" w:color="auto"/>
              <w:left w:val="none" w:sz="0" w:space="0" w:color="auto"/>
              <w:bottom w:val="none" w:sz="0" w:space="0" w:color="auto"/>
              <w:right w:val="none" w:sz="0" w:space="0" w:color="auto"/>
            </w:tcBorders>
          </w:tcPr>
          <w:p w14:paraId="79ED681A"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0.72</w:t>
            </w:r>
          </w:p>
        </w:tc>
        <w:tc>
          <w:tcPr>
            <w:tcW w:w="0" w:type="auto"/>
            <w:tcBorders>
              <w:top w:val="none" w:sz="0" w:space="0" w:color="auto"/>
              <w:left w:val="none" w:sz="0" w:space="0" w:color="auto"/>
              <w:bottom w:val="none" w:sz="0" w:space="0" w:color="auto"/>
              <w:right w:val="none" w:sz="0" w:space="0" w:color="auto"/>
            </w:tcBorders>
          </w:tcPr>
          <w:p w14:paraId="23BFB03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21.71%</w:t>
            </w:r>
          </w:p>
        </w:tc>
        <w:tc>
          <w:tcPr>
            <w:tcW w:w="0" w:type="auto"/>
            <w:tcBorders>
              <w:top w:val="none" w:sz="0" w:space="0" w:color="auto"/>
              <w:left w:val="none" w:sz="0" w:space="0" w:color="auto"/>
              <w:bottom w:val="none" w:sz="0" w:space="0" w:color="auto"/>
              <w:right w:val="none" w:sz="0" w:space="0" w:color="auto"/>
            </w:tcBorders>
          </w:tcPr>
          <w:p w14:paraId="0BD746A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22.17%</w:t>
            </w:r>
          </w:p>
        </w:tc>
        <w:tc>
          <w:tcPr>
            <w:tcW w:w="0" w:type="auto"/>
            <w:tcBorders>
              <w:top w:val="none" w:sz="0" w:space="0" w:color="auto"/>
              <w:left w:val="none" w:sz="0" w:space="0" w:color="auto"/>
              <w:bottom w:val="none" w:sz="0" w:space="0" w:color="auto"/>
              <w:right w:val="none" w:sz="0" w:space="0" w:color="auto"/>
            </w:tcBorders>
          </w:tcPr>
          <w:p w14:paraId="5CBE625D"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ED060A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B17C7F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20.44%</w:t>
            </w:r>
          </w:p>
        </w:tc>
        <w:tc>
          <w:tcPr>
            <w:tcW w:w="0" w:type="auto"/>
            <w:tcBorders>
              <w:top w:val="none" w:sz="0" w:space="0" w:color="auto"/>
              <w:left w:val="none" w:sz="0" w:space="0" w:color="auto"/>
              <w:bottom w:val="none" w:sz="0" w:space="0" w:color="auto"/>
              <w:right w:val="none" w:sz="0" w:space="0" w:color="auto"/>
            </w:tcBorders>
          </w:tcPr>
          <w:p w14:paraId="0A5F59E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25.02%</w:t>
            </w:r>
          </w:p>
        </w:tc>
      </w:tr>
      <w:tr w:rsidR="00EC08F3" w:rsidRPr="00F10C03" w14:paraId="1F528521"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4B6C3D6F" w14:textId="796EB5F9" w:rsidR="00EC08F3" w:rsidRPr="00F10C03" w:rsidRDefault="00EC08F3" w:rsidP="0056690A">
            <w:pPr>
              <w:rPr>
                <w:sz w:val="20"/>
              </w:rPr>
            </w:pPr>
            <w:r w:rsidRPr="00F10C03">
              <w:rPr>
                <w:sz w:val="20"/>
              </w:rPr>
              <w:t>a1CTO000000KFKy2AO</w:t>
            </w:r>
            <w:r w:rsidR="009459C8">
              <w:rPr>
                <w:sz w:val="20"/>
              </w:rPr>
              <w:t xml:space="preserve"> </w:t>
            </w:r>
            <w:r w:rsidR="009459C8" w:rsidRPr="00C4108A">
              <w:rPr>
                <w:sz w:val="20"/>
                <w:vertAlign w:val="superscript"/>
              </w:rPr>
              <w:t>a</w:t>
            </w:r>
            <w:r w:rsidR="009459C8">
              <w:rPr>
                <w:sz w:val="20"/>
                <w:vertAlign w:val="superscript"/>
              </w:rPr>
              <w:t>,</w:t>
            </w:r>
            <w:r w:rsidR="009459C8" w:rsidRPr="00C4108A">
              <w:rPr>
                <w:sz w:val="20"/>
                <w:vertAlign w:val="superscript"/>
              </w:rPr>
              <w:t>b</w:t>
            </w:r>
            <w:r w:rsidR="009459C8" w:rsidRPr="00F10C03">
              <w:rPr>
                <w:sz w:val="20"/>
              </w:rPr>
              <w:t xml:space="preserve"> </w:t>
            </w:r>
          </w:p>
        </w:tc>
        <w:tc>
          <w:tcPr>
            <w:tcW w:w="1096" w:type="dxa"/>
            <w:tcBorders>
              <w:top w:val="none" w:sz="0" w:space="0" w:color="auto"/>
              <w:left w:val="none" w:sz="0" w:space="0" w:color="auto"/>
              <w:bottom w:val="none" w:sz="0" w:space="0" w:color="auto"/>
              <w:right w:val="none" w:sz="0" w:space="0" w:color="auto"/>
            </w:tcBorders>
          </w:tcPr>
          <w:p w14:paraId="127DA5C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794D0CE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1BF48BF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10.60%</w:t>
            </w:r>
          </w:p>
        </w:tc>
        <w:tc>
          <w:tcPr>
            <w:tcW w:w="0" w:type="auto"/>
            <w:tcBorders>
              <w:top w:val="none" w:sz="0" w:space="0" w:color="auto"/>
              <w:left w:val="none" w:sz="0" w:space="0" w:color="auto"/>
              <w:bottom w:val="none" w:sz="0" w:space="0" w:color="auto"/>
              <w:right w:val="none" w:sz="0" w:space="0" w:color="auto"/>
            </w:tcBorders>
          </w:tcPr>
          <w:p w14:paraId="0FAAC71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10.68%</w:t>
            </w:r>
          </w:p>
        </w:tc>
        <w:tc>
          <w:tcPr>
            <w:tcW w:w="0" w:type="auto"/>
            <w:tcBorders>
              <w:top w:val="none" w:sz="0" w:space="0" w:color="auto"/>
              <w:left w:val="none" w:sz="0" w:space="0" w:color="auto"/>
              <w:bottom w:val="none" w:sz="0" w:space="0" w:color="auto"/>
              <w:right w:val="none" w:sz="0" w:space="0" w:color="auto"/>
            </w:tcBorders>
          </w:tcPr>
          <w:p w14:paraId="25A5A6D0"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EFD360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330E9AC9"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1.96%</w:t>
            </w:r>
          </w:p>
        </w:tc>
        <w:tc>
          <w:tcPr>
            <w:tcW w:w="0" w:type="auto"/>
            <w:tcBorders>
              <w:top w:val="none" w:sz="0" w:space="0" w:color="auto"/>
              <w:left w:val="none" w:sz="0" w:space="0" w:color="auto"/>
              <w:bottom w:val="none" w:sz="0" w:space="0" w:color="auto"/>
              <w:right w:val="none" w:sz="0" w:space="0" w:color="auto"/>
            </w:tcBorders>
          </w:tcPr>
          <w:p w14:paraId="5254EE9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4.74%</w:t>
            </w:r>
          </w:p>
        </w:tc>
      </w:tr>
      <w:tr w:rsidR="00EC08F3" w:rsidRPr="00F10C03" w14:paraId="7CBFBB02"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3BCA0E24" w14:textId="77777777" w:rsidR="00EC08F3" w:rsidRPr="00F10C03" w:rsidRDefault="00EC08F3" w:rsidP="0056690A">
            <w:pPr>
              <w:rPr>
                <w:sz w:val="20"/>
              </w:rPr>
            </w:pPr>
            <w:r w:rsidRPr="00F10C03">
              <w:rPr>
                <w:sz w:val="20"/>
              </w:rPr>
              <w:t>a1CTO000000KFKz2AO</w:t>
            </w:r>
          </w:p>
        </w:tc>
        <w:tc>
          <w:tcPr>
            <w:tcW w:w="1096" w:type="dxa"/>
            <w:tcBorders>
              <w:top w:val="none" w:sz="0" w:space="0" w:color="auto"/>
              <w:left w:val="none" w:sz="0" w:space="0" w:color="auto"/>
              <w:bottom w:val="none" w:sz="0" w:space="0" w:color="auto"/>
              <w:right w:val="none" w:sz="0" w:space="0" w:color="auto"/>
            </w:tcBorders>
          </w:tcPr>
          <w:p w14:paraId="518D5C09"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3710A0C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0.82</w:t>
            </w:r>
          </w:p>
        </w:tc>
        <w:tc>
          <w:tcPr>
            <w:tcW w:w="0" w:type="auto"/>
            <w:tcBorders>
              <w:top w:val="none" w:sz="0" w:space="0" w:color="auto"/>
              <w:left w:val="none" w:sz="0" w:space="0" w:color="auto"/>
              <w:bottom w:val="none" w:sz="0" w:space="0" w:color="auto"/>
              <w:right w:val="none" w:sz="0" w:space="0" w:color="auto"/>
            </w:tcBorders>
          </w:tcPr>
          <w:p w14:paraId="13F4040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20.10%</w:t>
            </w:r>
          </w:p>
        </w:tc>
        <w:tc>
          <w:tcPr>
            <w:tcW w:w="0" w:type="auto"/>
            <w:tcBorders>
              <w:top w:val="none" w:sz="0" w:space="0" w:color="auto"/>
              <w:left w:val="none" w:sz="0" w:space="0" w:color="auto"/>
              <w:bottom w:val="none" w:sz="0" w:space="0" w:color="auto"/>
              <w:right w:val="none" w:sz="0" w:space="0" w:color="auto"/>
            </w:tcBorders>
          </w:tcPr>
          <w:p w14:paraId="134A3F75"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20.10%</w:t>
            </w:r>
          </w:p>
        </w:tc>
        <w:tc>
          <w:tcPr>
            <w:tcW w:w="0" w:type="auto"/>
            <w:tcBorders>
              <w:top w:val="none" w:sz="0" w:space="0" w:color="auto"/>
              <w:left w:val="none" w:sz="0" w:space="0" w:color="auto"/>
              <w:bottom w:val="none" w:sz="0" w:space="0" w:color="auto"/>
              <w:right w:val="none" w:sz="0" w:space="0" w:color="auto"/>
            </w:tcBorders>
          </w:tcPr>
          <w:p w14:paraId="22711B9C"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83CFAAC"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66991D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3.01%</w:t>
            </w:r>
          </w:p>
        </w:tc>
        <w:tc>
          <w:tcPr>
            <w:tcW w:w="0" w:type="auto"/>
            <w:tcBorders>
              <w:top w:val="none" w:sz="0" w:space="0" w:color="auto"/>
              <w:left w:val="none" w:sz="0" w:space="0" w:color="auto"/>
              <w:bottom w:val="none" w:sz="0" w:space="0" w:color="auto"/>
              <w:right w:val="none" w:sz="0" w:space="0" w:color="auto"/>
            </w:tcBorders>
          </w:tcPr>
          <w:p w14:paraId="1B0DD56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5.93%</w:t>
            </w:r>
          </w:p>
        </w:tc>
      </w:tr>
      <w:tr w:rsidR="00EC08F3" w:rsidRPr="00F10C03" w14:paraId="5761871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62763496" w14:textId="77777777" w:rsidR="00EC08F3" w:rsidRPr="00F10C03" w:rsidRDefault="00EC08F3" w:rsidP="0056690A">
            <w:pPr>
              <w:rPr>
                <w:sz w:val="20"/>
              </w:rPr>
            </w:pPr>
            <w:r w:rsidRPr="00F10C03">
              <w:rPr>
                <w:sz w:val="20"/>
              </w:rPr>
              <w:t>a1CTO000000KFL02AO</w:t>
            </w:r>
          </w:p>
        </w:tc>
        <w:tc>
          <w:tcPr>
            <w:tcW w:w="1096" w:type="dxa"/>
            <w:tcBorders>
              <w:top w:val="none" w:sz="0" w:space="0" w:color="auto"/>
              <w:left w:val="none" w:sz="0" w:space="0" w:color="auto"/>
              <w:bottom w:val="none" w:sz="0" w:space="0" w:color="auto"/>
              <w:right w:val="none" w:sz="0" w:space="0" w:color="auto"/>
            </w:tcBorders>
          </w:tcPr>
          <w:p w14:paraId="6BCC37E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0.63</w:t>
            </w:r>
          </w:p>
        </w:tc>
        <w:tc>
          <w:tcPr>
            <w:tcW w:w="0" w:type="auto"/>
            <w:tcBorders>
              <w:top w:val="none" w:sz="0" w:space="0" w:color="auto"/>
              <w:left w:val="none" w:sz="0" w:space="0" w:color="auto"/>
              <w:bottom w:val="none" w:sz="0" w:space="0" w:color="auto"/>
              <w:right w:val="none" w:sz="0" w:space="0" w:color="auto"/>
            </w:tcBorders>
          </w:tcPr>
          <w:p w14:paraId="1488A75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0.63</w:t>
            </w:r>
          </w:p>
        </w:tc>
        <w:tc>
          <w:tcPr>
            <w:tcW w:w="0" w:type="auto"/>
            <w:tcBorders>
              <w:top w:val="none" w:sz="0" w:space="0" w:color="auto"/>
              <w:left w:val="none" w:sz="0" w:space="0" w:color="auto"/>
              <w:bottom w:val="none" w:sz="0" w:space="0" w:color="auto"/>
              <w:right w:val="none" w:sz="0" w:space="0" w:color="auto"/>
            </w:tcBorders>
          </w:tcPr>
          <w:p w14:paraId="59880D44"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15.38%</w:t>
            </w:r>
          </w:p>
        </w:tc>
        <w:tc>
          <w:tcPr>
            <w:tcW w:w="0" w:type="auto"/>
            <w:tcBorders>
              <w:top w:val="none" w:sz="0" w:space="0" w:color="auto"/>
              <w:left w:val="none" w:sz="0" w:space="0" w:color="auto"/>
              <w:bottom w:val="none" w:sz="0" w:space="0" w:color="auto"/>
              <w:right w:val="none" w:sz="0" w:space="0" w:color="auto"/>
            </w:tcBorders>
          </w:tcPr>
          <w:p w14:paraId="5371DC0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15.39%</w:t>
            </w:r>
          </w:p>
        </w:tc>
        <w:tc>
          <w:tcPr>
            <w:tcW w:w="0" w:type="auto"/>
            <w:tcBorders>
              <w:top w:val="none" w:sz="0" w:space="0" w:color="auto"/>
              <w:left w:val="none" w:sz="0" w:space="0" w:color="auto"/>
              <w:bottom w:val="none" w:sz="0" w:space="0" w:color="auto"/>
              <w:right w:val="none" w:sz="0" w:space="0" w:color="auto"/>
            </w:tcBorders>
          </w:tcPr>
          <w:p w14:paraId="521372E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4F2AF642"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3E36179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2.44%</w:t>
            </w:r>
          </w:p>
        </w:tc>
        <w:tc>
          <w:tcPr>
            <w:tcW w:w="0" w:type="auto"/>
            <w:tcBorders>
              <w:top w:val="none" w:sz="0" w:space="0" w:color="auto"/>
              <w:left w:val="none" w:sz="0" w:space="0" w:color="auto"/>
              <w:bottom w:val="none" w:sz="0" w:space="0" w:color="auto"/>
              <w:right w:val="none" w:sz="0" w:space="0" w:color="auto"/>
            </w:tcBorders>
          </w:tcPr>
          <w:p w14:paraId="3C34F9D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5.66%</w:t>
            </w:r>
          </w:p>
        </w:tc>
      </w:tr>
      <w:tr w:rsidR="00EC08F3" w:rsidRPr="00F10C03" w14:paraId="32D4EBFA"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53888354" w14:textId="77777777" w:rsidR="00EC08F3" w:rsidRPr="00F10C03" w:rsidRDefault="00EC08F3" w:rsidP="0056690A">
            <w:pPr>
              <w:rPr>
                <w:sz w:val="20"/>
              </w:rPr>
            </w:pPr>
            <w:r w:rsidRPr="00F10C03">
              <w:rPr>
                <w:sz w:val="20"/>
              </w:rPr>
              <w:t>a1CTO000000KFMs2AO</w:t>
            </w:r>
          </w:p>
        </w:tc>
        <w:tc>
          <w:tcPr>
            <w:tcW w:w="1096" w:type="dxa"/>
            <w:tcBorders>
              <w:top w:val="none" w:sz="0" w:space="0" w:color="auto"/>
              <w:left w:val="none" w:sz="0" w:space="0" w:color="auto"/>
              <w:bottom w:val="none" w:sz="0" w:space="0" w:color="auto"/>
              <w:right w:val="none" w:sz="0" w:space="0" w:color="auto"/>
            </w:tcBorders>
          </w:tcPr>
          <w:p w14:paraId="3722FEAA"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0.85</w:t>
            </w:r>
          </w:p>
        </w:tc>
        <w:tc>
          <w:tcPr>
            <w:tcW w:w="0" w:type="auto"/>
            <w:tcBorders>
              <w:top w:val="none" w:sz="0" w:space="0" w:color="auto"/>
              <w:left w:val="none" w:sz="0" w:space="0" w:color="auto"/>
              <w:bottom w:val="none" w:sz="0" w:space="0" w:color="auto"/>
              <w:right w:val="none" w:sz="0" w:space="0" w:color="auto"/>
            </w:tcBorders>
          </w:tcPr>
          <w:p w14:paraId="54908EBB"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0.85</w:t>
            </w:r>
          </w:p>
        </w:tc>
        <w:tc>
          <w:tcPr>
            <w:tcW w:w="0" w:type="auto"/>
            <w:tcBorders>
              <w:top w:val="none" w:sz="0" w:space="0" w:color="auto"/>
              <w:left w:val="none" w:sz="0" w:space="0" w:color="auto"/>
              <w:bottom w:val="none" w:sz="0" w:space="0" w:color="auto"/>
              <w:right w:val="none" w:sz="0" w:space="0" w:color="auto"/>
            </w:tcBorders>
          </w:tcPr>
          <w:p w14:paraId="48C08702"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16.62%</w:t>
            </w:r>
          </w:p>
        </w:tc>
        <w:tc>
          <w:tcPr>
            <w:tcW w:w="0" w:type="auto"/>
            <w:tcBorders>
              <w:top w:val="none" w:sz="0" w:space="0" w:color="auto"/>
              <w:left w:val="none" w:sz="0" w:space="0" w:color="auto"/>
              <w:bottom w:val="none" w:sz="0" w:space="0" w:color="auto"/>
              <w:right w:val="none" w:sz="0" w:space="0" w:color="auto"/>
            </w:tcBorders>
          </w:tcPr>
          <w:p w14:paraId="1D0820DC"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16.62%</w:t>
            </w:r>
          </w:p>
        </w:tc>
        <w:tc>
          <w:tcPr>
            <w:tcW w:w="0" w:type="auto"/>
            <w:tcBorders>
              <w:top w:val="none" w:sz="0" w:space="0" w:color="auto"/>
              <w:left w:val="none" w:sz="0" w:space="0" w:color="auto"/>
              <w:bottom w:val="none" w:sz="0" w:space="0" w:color="auto"/>
              <w:right w:val="none" w:sz="0" w:space="0" w:color="auto"/>
            </w:tcBorders>
          </w:tcPr>
          <w:p w14:paraId="5BE15630"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6EB4471A"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15189E38"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1.98%</w:t>
            </w:r>
          </w:p>
        </w:tc>
        <w:tc>
          <w:tcPr>
            <w:tcW w:w="0" w:type="auto"/>
            <w:tcBorders>
              <w:top w:val="none" w:sz="0" w:space="0" w:color="auto"/>
              <w:left w:val="none" w:sz="0" w:space="0" w:color="auto"/>
              <w:bottom w:val="none" w:sz="0" w:space="0" w:color="auto"/>
              <w:right w:val="none" w:sz="0" w:space="0" w:color="auto"/>
            </w:tcBorders>
          </w:tcPr>
          <w:p w14:paraId="6C7A81DD"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5.14%</w:t>
            </w:r>
          </w:p>
        </w:tc>
      </w:tr>
      <w:tr w:rsidR="00EC08F3" w:rsidRPr="00F10C03" w14:paraId="50482A48"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2D6DB6DB" w14:textId="77777777" w:rsidR="00EC08F3" w:rsidRPr="00F10C03" w:rsidRDefault="00EC08F3" w:rsidP="0056690A">
            <w:pPr>
              <w:rPr>
                <w:sz w:val="20"/>
              </w:rPr>
            </w:pPr>
            <w:r w:rsidRPr="00F10C03">
              <w:rPr>
                <w:sz w:val="20"/>
              </w:rPr>
              <w:t>a1CTO000000KFMt2AO</w:t>
            </w:r>
          </w:p>
        </w:tc>
        <w:tc>
          <w:tcPr>
            <w:tcW w:w="1096" w:type="dxa"/>
            <w:tcBorders>
              <w:top w:val="none" w:sz="0" w:space="0" w:color="auto"/>
              <w:left w:val="none" w:sz="0" w:space="0" w:color="auto"/>
              <w:bottom w:val="none" w:sz="0" w:space="0" w:color="auto"/>
              <w:right w:val="none" w:sz="0" w:space="0" w:color="auto"/>
            </w:tcBorders>
          </w:tcPr>
          <w:p w14:paraId="650CABA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0.86</w:t>
            </w:r>
          </w:p>
        </w:tc>
        <w:tc>
          <w:tcPr>
            <w:tcW w:w="0" w:type="auto"/>
            <w:tcBorders>
              <w:top w:val="none" w:sz="0" w:space="0" w:color="auto"/>
              <w:left w:val="none" w:sz="0" w:space="0" w:color="auto"/>
              <w:bottom w:val="none" w:sz="0" w:space="0" w:color="auto"/>
              <w:right w:val="none" w:sz="0" w:space="0" w:color="auto"/>
            </w:tcBorders>
          </w:tcPr>
          <w:p w14:paraId="3221F312"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0.86</w:t>
            </w:r>
          </w:p>
        </w:tc>
        <w:tc>
          <w:tcPr>
            <w:tcW w:w="0" w:type="auto"/>
            <w:tcBorders>
              <w:top w:val="none" w:sz="0" w:space="0" w:color="auto"/>
              <w:left w:val="none" w:sz="0" w:space="0" w:color="auto"/>
              <w:bottom w:val="none" w:sz="0" w:space="0" w:color="auto"/>
              <w:right w:val="none" w:sz="0" w:space="0" w:color="auto"/>
            </w:tcBorders>
          </w:tcPr>
          <w:p w14:paraId="5B76C55D"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16.60%</w:t>
            </w:r>
          </w:p>
        </w:tc>
        <w:tc>
          <w:tcPr>
            <w:tcW w:w="0" w:type="auto"/>
            <w:tcBorders>
              <w:top w:val="none" w:sz="0" w:space="0" w:color="auto"/>
              <w:left w:val="none" w:sz="0" w:space="0" w:color="auto"/>
              <w:bottom w:val="none" w:sz="0" w:space="0" w:color="auto"/>
              <w:right w:val="none" w:sz="0" w:space="0" w:color="auto"/>
            </w:tcBorders>
          </w:tcPr>
          <w:p w14:paraId="767E7A17"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16.60%</w:t>
            </w:r>
          </w:p>
        </w:tc>
        <w:tc>
          <w:tcPr>
            <w:tcW w:w="0" w:type="auto"/>
            <w:tcBorders>
              <w:top w:val="none" w:sz="0" w:space="0" w:color="auto"/>
              <w:left w:val="none" w:sz="0" w:space="0" w:color="auto"/>
              <w:bottom w:val="none" w:sz="0" w:space="0" w:color="auto"/>
              <w:right w:val="none" w:sz="0" w:space="0" w:color="auto"/>
            </w:tcBorders>
          </w:tcPr>
          <w:p w14:paraId="6D1EC77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50D78EBA"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788B55B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1.77%</w:t>
            </w:r>
          </w:p>
        </w:tc>
        <w:tc>
          <w:tcPr>
            <w:tcW w:w="0" w:type="auto"/>
            <w:tcBorders>
              <w:top w:val="none" w:sz="0" w:space="0" w:color="auto"/>
              <w:left w:val="none" w:sz="0" w:space="0" w:color="auto"/>
              <w:bottom w:val="none" w:sz="0" w:space="0" w:color="auto"/>
              <w:right w:val="none" w:sz="0" w:space="0" w:color="auto"/>
            </w:tcBorders>
          </w:tcPr>
          <w:p w14:paraId="1463B5F5"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3.84%</w:t>
            </w:r>
          </w:p>
        </w:tc>
      </w:tr>
      <w:tr w:rsidR="00EC08F3" w:rsidRPr="00F10C03" w14:paraId="6808B559" w14:textId="77777777" w:rsidTr="0056690A">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7B8AE16C" w14:textId="77777777" w:rsidR="00EC08F3" w:rsidRPr="00F10C03" w:rsidRDefault="00EC08F3" w:rsidP="0056690A">
            <w:pPr>
              <w:rPr>
                <w:sz w:val="20"/>
              </w:rPr>
            </w:pPr>
            <w:r w:rsidRPr="00F10C03">
              <w:rPr>
                <w:sz w:val="20"/>
              </w:rPr>
              <w:t>a1CTO000000rTos2AE</w:t>
            </w:r>
          </w:p>
        </w:tc>
        <w:tc>
          <w:tcPr>
            <w:tcW w:w="1096" w:type="dxa"/>
            <w:tcBorders>
              <w:top w:val="none" w:sz="0" w:space="0" w:color="auto"/>
              <w:left w:val="none" w:sz="0" w:space="0" w:color="auto"/>
              <w:bottom w:val="none" w:sz="0" w:space="0" w:color="auto"/>
              <w:right w:val="none" w:sz="0" w:space="0" w:color="auto"/>
            </w:tcBorders>
          </w:tcPr>
          <w:p w14:paraId="19F6E13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0.88</w:t>
            </w:r>
          </w:p>
        </w:tc>
        <w:tc>
          <w:tcPr>
            <w:tcW w:w="0" w:type="auto"/>
            <w:tcBorders>
              <w:top w:val="none" w:sz="0" w:space="0" w:color="auto"/>
              <w:left w:val="none" w:sz="0" w:space="0" w:color="auto"/>
              <w:bottom w:val="none" w:sz="0" w:space="0" w:color="auto"/>
              <w:right w:val="none" w:sz="0" w:space="0" w:color="auto"/>
            </w:tcBorders>
          </w:tcPr>
          <w:p w14:paraId="2F2A29D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0.88</w:t>
            </w:r>
          </w:p>
        </w:tc>
        <w:tc>
          <w:tcPr>
            <w:tcW w:w="0" w:type="auto"/>
            <w:tcBorders>
              <w:top w:val="none" w:sz="0" w:space="0" w:color="auto"/>
              <w:left w:val="none" w:sz="0" w:space="0" w:color="auto"/>
              <w:bottom w:val="none" w:sz="0" w:space="0" w:color="auto"/>
              <w:right w:val="none" w:sz="0" w:space="0" w:color="auto"/>
            </w:tcBorders>
          </w:tcPr>
          <w:p w14:paraId="7F93B514"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15.23%</w:t>
            </w:r>
          </w:p>
        </w:tc>
        <w:tc>
          <w:tcPr>
            <w:tcW w:w="0" w:type="auto"/>
            <w:tcBorders>
              <w:top w:val="none" w:sz="0" w:space="0" w:color="auto"/>
              <w:left w:val="none" w:sz="0" w:space="0" w:color="auto"/>
              <w:bottom w:val="none" w:sz="0" w:space="0" w:color="auto"/>
              <w:right w:val="none" w:sz="0" w:space="0" w:color="auto"/>
            </w:tcBorders>
          </w:tcPr>
          <w:p w14:paraId="6096C543"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15.23%</w:t>
            </w:r>
          </w:p>
        </w:tc>
        <w:tc>
          <w:tcPr>
            <w:tcW w:w="0" w:type="auto"/>
            <w:tcBorders>
              <w:top w:val="none" w:sz="0" w:space="0" w:color="auto"/>
              <w:left w:val="none" w:sz="0" w:space="0" w:color="auto"/>
              <w:bottom w:val="none" w:sz="0" w:space="0" w:color="auto"/>
              <w:right w:val="none" w:sz="0" w:space="0" w:color="auto"/>
            </w:tcBorders>
          </w:tcPr>
          <w:p w14:paraId="131A851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7B6F9BF6"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03BF34D1"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2.49%</w:t>
            </w:r>
          </w:p>
        </w:tc>
        <w:tc>
          <w:tcPr>
            <w:tcW w:w="0" w:type="auto"/>
            <w:tcBorders>
              <w:top w:val="none" w:sz="0" w:space="0" w:color="auto"/>
              <w:left w:val="none" w:sz="0" w:space="0" w:color="auto"/>
              <w:bottom w:val="none" w:sz="0" w:space="0" w:color="auto"/>
              <w:right w:val="none" w:sz="0" w:space="0" w:color="auto"/>
            </w:tcBorders>
          </w:tcPr>
          <w:p w14:paraId="5959E08F" w14:textId="77777777" w:rsidR="00EC08F3" w:rsidRPr="00F10C03" w:rsidRDefault="00EC08F3"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4.93%</w:t>
            </w:r>
          </w:p>
        </w:tc>
      </w:tr>
      <w:tr w:rsidR="00EC08F3" w:rsidRPr="00F10C03" w14:paraId="4F550514"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425" w:type="dxa"/>
            <w:tcBorders>
              <w:top w:val="none" w:sz="0" w:space="0" w:color="auto"/>
              <w:left w:val="none" w:sz="0" w:space="0" w:color="auto"/>
              <w:bottom w:val="none" w:sz="0" w:space="0" w:color="auto"/>
              <w:right w:val="none" w:sz="0" w:space="0" w:color="auto"/>
            </w:tcBorders>
          </w:tcPr>
          <w:p w14:paraId="31220AA6" w14:textId="5BA58EDA" w:rsidR="00EC08F3" w:rsidRPr="00F10C03" w:rsidRDefault="00EC08F3" w:rsidP="0056690A">
            <w:pPr>
              <w:rPr>
                <w:sz w:val="20"/>
              </w:rPr>
            </w:pPr>
            <w:r w:rsidRPr="00F10C03">
              <w:rPr>
                <w:sz w:val="20"/>
              </w:rPr>
              <w:t>a1CTO000000rTpe2AE</w:t>
            </w:r>
            <w:r w:rsidR="009459C8">
              <w:rPr>
                <w:sz w:val="20"/>
              </w:rPr>
              <w:t xml:space="preserve"> </w:t>
            </w:r>
            <w:r w:rsidR="009459C8" w:rsidRPr="002E01D8">
              <w:rPr>
                <w:sz w:val="20"/>
                <w:vertAlign w:val="superscript"/>
              </w:rPr>
              <w:t>a</w:t>
            </w:r>
          </w:p>
        </w:tc>
        <w:tc>
          <w:tcPr>
            <w:tcW w:w="1096" w:type="dxa"/>
            <w:tcBorders>
              <w:top w:val="none" w:sz="0" w:space="0" w:color="auto"/>
              <w:left w:val="none" w:sz="0" w:space="0" w:color="auto"/>
              <w:bottom w:val="none" w:sz="0" w:space="0" w:color="auto"/>
              <w:right w:val="none" w:sz="0" w:space="0" w:color="auto"/>
            </w:tcBorders>
          </w:tcPr>
          <w:p w14:paraId="01FF4AB1"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0.61</w:t>
            </w:r>
          </w:p>
        </w:tc>
        <w:tc>
          <w:tcPr>
            <w:tcW w:w="0" w:type="auto"/>
            <w:tcBorders>
              <w:top w:val="none" w:sz="0" w:space="0" w:color="auto"/>
              <w:left w:val="none" w:sz="0" w:space="0" w:color="auto"/>
              <w:bottom w:val="none" w:sz="0" w:space="0" w:color="auto"/>
              <w:right w:val="none" w:sz="0" w:space="0" w:color="auto"/>
            </w:tcBorders>
          </w:tcPr>
          <w:p w14:paraId="39E1073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0.59</w:t>
            </w:r>
          </w:p>
        </w:tc>
        <w:tc>
          <w:tcPr>
            <w:tcW w:w="0" w:type="auto"/>
            <w:tcBorders>
              <w:top w:val="none" w:sz="0" w:space="0" w:color="auto"/>
              <w:left w:val="none" w:sz="0" w:space="0" w:color="auto"/>
              <w:bottom w:val="none" w:sz="0" w:space="0" w:color="auto"/>
              <w:right w:val="none" w:sz="0" w:space="0" w:color="auto"/>
            </w:tcBorders>
          </w:tcPr>
          <w:p w14:paraId="08DFD668"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23.65%</w:t>
            </w:r>
          </w:p>
        </w:tc>
        <w:tc>
          <w:tcPr>
            <w:tcW w:w="0" w:type="auto"/>
            <w:tcBorders>
              <w:top w:val="none" w:sz="0" w:space="0" w:color="auto"/>
              <w:left w:val="none" w:sz="0" w:space="0" w:color="auto"/>
              <w:bottom w:val="none" w:sz="0" w:space="0" w:color="auto"/>
              <w:right w:val="none" w:sz="0" w:space="0" w:color="auto"/>
            </w:tcBorders>
          </w:tcPr>
          <w:p w14:paraId="0E310816"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24.06%</w:t>
            </w:r>
          </w:p>
        </w:tc>
        <w:tc>
          <w:tcPr>
            <w:tcW w:w="0" w:type="auto"/>
            <w:tcBorders>
              <w:top w:val="none" w:sz="0" w:space="0" w:color="auto"/>
              <w:left w:val="none" w:sz="0" w:space="0" w:color="auto"/>
              <w:bottom w:val="none" w:sz="0" w:space="0" w:color="auto"/>
              <w:right w:val="none" w:sz="0" w:space="0" w:color="auto"/>
            </w:tcBorders>
          </w:tcPr>
          <w:p w14:paraId="0A0FDF3B"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1DF3867E"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0.00%</w:t>
            </w:r>
          </w:p>
        </w:tc>
        <w:tc>
          <w:tcPr>
            <w:tcW w:w="0" w:type="auto"/>
            <w:tcBorders>
              <w:top w:val="none" w:sz="0" w:space="0" w:color="auto"/>
              <w:left w:val="none" w:sz="0" w:space="0" w:color="auto"/>
              <w:bottom w:val="none" w:sz="0" w:space="0" w:color="auto"/>
              <w:right w:val="none" w:sz="0" w:space="0" w:color="auto"/>
            </w:tcBorders>
          </w:tcPr>
          <w:p w14:paraId="227B621F"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4.33%</w:t>
            </w:r>
          </w:p>
        </w:tc>
        <w:tc>
          <w:tcPr>
            <w:tcW w:w="0" w:type="auto"/>
            <w:tcBorders>
              <w:top w:val="none" w:sz="0" w:space="0" w:color="auto"/>
              <w:left w:val="none" w:sz="0" w:space="0" w:color="auto"/>
              <w:bottom w:val="none" w:sz="0" w:space="0" w:color="auto"/>
              <w:right w:val="none" w:sz="0" w:space="0" w:color="auto"/>
            </w:tcBorders>
          </w:tcPr>
          <w:p w14:paraId="72700AA3" w14:textId="77777777" w:rsidR="00EC08F3" w:rsidRPr="00F10C03" w:rsidRDefault="00EC08F3"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13.45%</w:t>
            </w:r>
          </w:p>
        </w:tc>
      </w:tr>
    </w:tbl>
    <w:p w14:paraId="3910925F" w14:textId="77777777" w:rsidR="009459C8" w:rsidRDefault="009459C8" w:rsidP="009459C8">
      <w:pPr>
        <w:pStyle w:val="Source"/>
      </w:pPr>
      <w:r w:rsidRPr="002E01D8">
        <w:rPr>
          <w:vertAlign w:val="superscript"/>
        </w:rPr>
        <w:t>a</w:t>
      </w:r>
      <w:r>
        <w:t xml:space="preserve"> Evaluation team model included weather interactions.</w:t>
      </w:r>
    </w:p>
    <w:p w14:paraId="4BCC0D2B" w14:textId="12407735" w:rsidR="009459C8" w:rsidRDefault="009459C8" w:rsidP="009459C8">
      <w:pPr>
        <w:pStyle w:val="Source"/>
      </w:pPr>
      <w:r w:rsidRPr="002E01D8">
        <w:rPr>
          <w:vertAlign w:val="superscript"/>
        </w:rPr>
        <w:t>b</w:t>
      </w:r>
      <w:r>
        <w:t xml:space="preserve"> Evaluation team </w:t>
      </w:r>
      <w:r w:rsidR="006D7C02">
        <w:t>reduced the</w:t>
      </w:r>
      <w:r>
        <w:t xml:space="preserve"> post-period to </w:t>
      </w:r>
      <w:r w:rsidR="006D7C02">
        <w:t xml:space="preserve">one year to </w:t>
      </w:r>
      <w:r>
        <w:t xml:space="preserve">limit </w:t>
      </w:r>
      <w:r w:rsidR="00040A6A">
        <w:t>cross-participation</w:t>
      </w:r>
      <w:r>
        <w:t xml:space="preserve"> adjustments as much as possible.</w:t>
      </w:r>
    </w:p>
    <w:p w14:paraId="61844287" w14:textId="77777777" w:rsidR="000649C2" w:rsidRDefault="000649C2" w:rsidP="000649C2">
      <w:pPr>
        <w:pStyle w:val="Heading4"/>
      </w:pPr>
      <w:bookmarkStart w:id="425" w:name="_Ref192149258"/>
      <w:r>
        <w:t>Uplift from Other AIC Initiatives</w:t>
      </w:r>
      <w:bookmarkEnd w:id="425"/>
    </w:p>
    <w:p w14:paraId="6275176B" w14:textId="3376C1CA" w:rsidR="00CD2409" w:rsidRDefault="008D20A9" w:rsidP="008D20A9">
      <w:r w:rsidRPr="008D20A9">
        <w:t xml:space="preserve">The savings analysis for </w:t>
      </w:r>
      <w:r>
        <w:t xml:space="preserve">the VCx channel considers energy savings that resulted from energy-efficient actions taken through other AIC Business Program initiatives. The </w:t>
      </w:r>
      <w:r w:rsidR="00CD2409">
        <w:t xml:space="preserve">implementation team identified six sites that completed projects through other AIC Business Program initiatives after </w:t>
      </w:r>
      <w:r w:rsidR="00040A6A">
        <w:t>participating</w:t>
      </w:r>
      <w:r w:rsidR="00CD2409">
        <w:t xml:space="preserve"> in the VCx offering in 2024</w:t>
      </w:r>
      <w:r w:rsidR="00040A6A">
        <w:t xml:space="preserve">. They </w:t>
      </w:r>
      <w:r w:rsidR="00CD2409">
        <w:t>adjusted the ex ante savings estimates</w:t>
      </w:r>
      <w:r w:rsidR="00040A6A">
        <w:t xml:space="preserve"> </w:t>
      </w:r>
      <w:r w:rsidR="00CD2409">
        <w:t xml:space="preserve">to </w:t>
      </w:r>
      <w:r w:rsidR="00040A6A">
        <w:t>exclude</w:t>
      </w:r>
      <w:r w:rsidR="00CD2409">
        <w:t xml:space="preserve"> savings </w:t>
      </w:r>
      <w:r w:rsidR="00040A6A">
        <w:t>generated from</w:t>
      </w:r>
      <w:r w:rsidR="00CD2409">
        <w:t xml:space="preserve"> the</w:t>
      </w:r>
      <w:r w:rsidR="00040A6A">
        <w:t>se</w:t>
      </w:r>
      <w:r w:rsidR="00CD2409">
        <w:t xml:space="preserve"> other AIC initiatives.</w:t>
      </w:r>
      <w:r w:rsidR="00040A6A">
        <w:t xml:space="preserve"> </w:t>
      </w:r>
      <w:r w:rsidR="006D7C02">
        <w:t>T</w:t>
      </w:r>
      <w:r w:rsidR="00CD2409">
        <w:t xml:space="preserve">he evaluation team modified the cross-participation adjustments made for three projects. </w:t>
      </w:r>
    </w:p>
    <w:p w14:paraId="1941FFE5" w14:textId="6A7B8DDC" w:rsidR="008D20A9" w:rsidRDefault="00CD2409" w:rsidP="008D20A9">
      <w:r>
        <w:t xml:space="preserve">For two of these sites, the evaluation team reduced the post-period applied in the analysis to </w:t>
      </w:r>
      <w:r w:rsidR="00040A6A">
        <w:t>one year</w:t>
      </w:r>
      <w:r>
        <w:t xml:space="preserve"> of data, </w:t>
      </w:r>
      <w:r w:rsidR="00040A6A">
        <w:t>limiting</w:t>
      </w:r>
      <w:r>
        <w:t xml:space="preserve"> the cross-participation adjustments needed. For </w:t>
      </w:r>
      <w:r w:rsidR="00040A6A">
        <w:t>both</w:t>
      </w:r>
      <w:r>
        <w:t xml:space="preserve"> sites, at least some of the cross-participation accounted for by the implementation team</w:t>
      </w:r>
      <w:r w:rsidR="008D20A9">
        <w:t xml:space="preserve"> </w:t>
      </w:r>
      <w:r>
        <w:t xml:space="preserve">occurred more than a year after the participation date for the site. </w:t>
      </w:r>
      <w:r w:rsidR="00040A6A">
        <w:t xml:space="preserve">By modifying </w:t>
      </w:r>
      <w:r w:rsidR="008D20A9">
        <w:t xml:space="preserve">the post-period, the evaluation team </w:t>
      </w:r>
      <w:r>
        <w:t>eliminated the</w:t>
      </w:r>
      <w:r w:rsidR="008D20A9">
        <w:t xml:space="preserve"> need to adjust the savings estimates for cross-participation </w:t>
      </w:r>
      <w:r>
        <w:t xml:space="preserve">for one of the sites </w:t>
      </w:r>
      <w:r w:rsidR="008D20A9">
        <w:t xml:space="preserve">(a1CTO000000KFKl2AO). </w:t>
      </w:r>
      <w:r>
        <w:t>For the</w:t>
      </w:r>
      <w:r w:rsidR="008D20A9">
        <w:t xml:space="preserve"> second </w:t>
      </w:r>
      <w:r>
        <w:t xml:space="preserve">site </w:t>
      </w:r>
      <w:r w:rsidR="008D20A9">
        <w:t xml:space="preserve">(a1CTO000000KFKy2AO), </w:t>
      </w:r>
      <w:r>
        <w:t>the modification to the post-period reduced the amount of</w:t>
      </w:r>
      <w:r w:rsidR="008D20A9">
        <w:t xml:space="preserve"> cross-participation </w:t>
      </w:r>
      <w:r>
        <w:t xml:space="preserve">savings that needed to be accounted for </w:t>
      </w:r>
      <w:r w:rsidR="008D20A9">
        <w:t xml:space="preserve">compared to the adjustment made by the implementation team. </w:t>
      </w:r>
      <w:r w:rsidR="002922C3">
        <w:t>For the third site</w:t>
      </w:r>
      <w:r w:rsidR="00975745">
        <w:t xml:space="preserve"> (</w:t>
      </w:r>
      <w:r w:rsidR="00975745" w:rsidRPr="00975745">
        <w:t>a1CTO000000KFKu2AO</w:t>
      </w:r>
      <w:r w:rsidR="00975745">
        <w:t>)</w:t>
      </w:r>
      <w:r w:rsidR="002922C3">
        <w:t xml:space="preserve">, the difference between the cross-participation adjustment applied by the implementation and evaluation teams was </w:t>
      </w:r>
      <w:r w:rsidR="00040A6A">
        <w:t>because the</w:t>
      </w:r>
      <w:r w:rsidR="002922C3">
        <w:t xml:space="preserve"> implementation team adjusted their savings using ex ante savings estimates for the cross-participation project, and the evaluation team adjusted using the verified savings for the project.</w:t>
      </w:r>
    </w:p>
    <w:p w14:paraId="76A9BCB1" w14:textId="1B3FC9EC" w:rsidR="00EC08F3" w:rsidRDefault="008D20A9" w:rsidP="008D20A9">
      <w:r>
        <w:t>The evaluation team accounted for cross-program participation by subtracting verified gross savings for each project completed through another AIC initiative from the verified gross electric savings from the VCx channel at the corresponding site</w:t>
      </w:r>
      <w:r w:rsidR="00EC08F3" w:rsidRPr="00EC08F3">
        <w:t>.</w:t>
      </w:r>
      <w:r>
        <w:t xml:space="preserve"> </w:t>
      </w:r>
      <w:r>
        <w:fldChar w:fldCharType="begin"/>
      </w:r>
      <w:r>
        <w:instrText xml:space="preserve"> REF _Ref191735663 \h </w:instrText>
      </w:r>
      <w:r>
        <w:fldChar w:fldCharType="separate"/>
      </w:r>
      <w:r w:rsidR="00AA10F4">
        <w:t xml:space="preserve">Table </w:t>
      </w:r>
      <w:r w:rsidR="00AA10F4">
        <w:rPr>
          <w:noProof/>
        </w:rPr>
        <w:t>97</w:t>
      </w:r>
      <w:r>
        <w:fldChar w:fldCharType="end"/>
      </w:r>
      <w:r>
        <w:t xml:space="preserve"> </w:t>
      </w:r>
      <w:r w:rsidRPr="008D20A9">
        <w:t>summarizes the projects completed through other AIC Initiatives and the associated verified gross electric energy savings</w:t>
      </w:r>
      <w:r>
        <w:t>.</w:t>
      </w:r>
    </w:p>
    <w:p w14:paraId="53BAAF3E" w14:textId="076843CF" w:rsidR="00793916" w:rsidRDefault="00793916" w:rsidP="00881B1B">
      <w:pPr>
        <w:pStyle w:val="Caption"/>
      </w:pPr>
      <w:bookmarkStart w:id="426" w:name="_Ref191735663"/>
      <w:bookmarkStart w:id="427" w:name="_Toc191992615"/>
      <w:bookmarkStart w:id="428" w:name="_Toc192767031"/>
      <w:r>
        <w:t xml:space="preserve">Table </w:t>
      </w:r>
      <w:r>
        <w:fldChar w:fldCharType="begin"/>
      </w:r>
      <w:r>
        <w:instrText xml:space="preserve"> SEQ Table \* ARABIC </w:instrText>
      </w:r>
      <w:r>
        <w:fldChar w:fldCharType="separate"/>
      </w:r>
      <w:r w:rsidR="00AA10F4">
        <w:rPr>
          <w:noProof/>
        </w:rPr>
        <w:t>97</w:t>
      </w:r>
      <w:r>
        <w:fldChar w:fldCharType="end"/>
      </w:r>
      <w:bookmarkEnd w:id="426"/>
      <w:r>
        <w:t>. Summary of Projects Completed through Other AIC Initiatives</w:t>
      </w:r>
      <w:bookmarkEnd w:id="427"/>
      <w:bookmarkEnd w:id="428"/>
    </w:p>
    <w:tbl>
      <w:tblPr>
        <w:tblStyle w:val="ODCBasic-1"/>
        <w:tblW w:w="0" w:type="auto"/>
        <w:tblCellMar>
          <w:top w:w="0" w:type="dxa"/>
          <w:bottom w:w="14" w:type="dxa"/>
        </w:tblCellMar>
        <w:tblLook w:val="04A0" w:firstRow="1" w:lastRow="0" w:firstColumn="1" w:lastColumn="0" w:noHBand="0" w:noVBand="1"/>
      </w:tblPr>
      <w:tblGrid>
        <w:gridCol w:w="2222"/>
        <w:gridCol w:w="2453"/>
        <w:gridCol w:w="1710"/>
        <w:gridCol w:w="2160"/>
        <w:gridCol w:w="2551"/>
      </w:tblGrid>
      <w:tr w:rsidR="00793916" w:rsidRPr="002A7AA6" w14:paraId="7B8ADEAF" w14:textId="77777777" w:rsidTr="00FB14E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bottom w:val="single" w:sz="4" w:space="0" w:color="4A4D56" w:themeColor="text1"/>
              <w:right w:val="single" w:sz="4" w:space="0" w:color="4A4D56" w:themeColor="text1"/>
            </w:tcBorders>
          </w:tcPr>
          <w:p w14:paraId="4E42D419" w14:textId="77777777" w:rsidR="00793916" w:rsidRPr="002A7AA6" w:rsidRDefault="00793916" w:rsidP="0056690A">
            <w:pPr>
              <w:jc w:val="left"/>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Project ID</w:t>
            </w:r>
          </w:p>
        </w:tc>
        <w:tc>
          <w:tcPr>
            <w:tcW w:w="2453" w:type="dxa"/>
            <w:tcBorders>
              <w:left w:val="single" w:sz="4" w:space="0" w:color="4A4D56" w:themeColor="text1"/>
              <w:bottom w:val="single" w:sz="4" w:space="0" w:color="4A4D56" w:themeColor="text1"/>
              <w:right w:val="single" w:sz="4" w:space="0" w:color="4A4D56" w:themeColor="text1"/>
            </w:tcBorders>
          </w:tcPr>
          <w:p w14:paraId="74CFB21F" w14:textId="77777777" w:rsidR="00793916" w:rsidRPr="002A7AA6" w:rsidRDefault="00793916"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Source of Cross-Program Participation</w:t>
            </w:r>
          </w:p>
        </w:tc>
        <w:tc>
          <w:tcPr>
            <w:tcW w:w="1710" w:type="dxa"/>
            <w:tcBorders>
              <w:left w:val="single" w:sz="4" w:space="0" w:color="4A4D56" w:themeColor="text1"/>
              <w:bottom w:val="single" w:sz="4" w:space="0" w:color="4A4D56" w:themeColor="text1"/>
              <w:right w:val="single" w:sz="4" w:space="0" w:color="4A4D56" w:themeColor="text1"/>
            </w:tcBorders>
          </w:tcPr>
          <w:p w14:paraId="5EF156CE" w14:textId="77777777" w:rsidR="00793916" w:rsidRPr="002A7AA6" w:rsidRDefault="00793916"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(kWh)</w:t>
            </w:r>
          </w:p>
        </w:tc>
        <w:tc>
          <w:tcPr>
            <w:tcW w:w="2160" w:type="dxa"/>
            <w:tcBorders>
              <w:left w:val="single" w:sz="4" w:space="0" w:color="4A4D56" w:themeColor="text1"/>
              <w:bottom w:val="single" w:sz="4" w:space="0" w:color="4A4D56" w:themeColor="text1"/>
              <w:right w:val="single" w:sz="4" w:space="0" w:color="4A4D56" w:themeColor="text1"/>
            </w:tcBorders>
          </w:tcPr>
          <w:p w14:paraId="6B9C0D4D" w14:textId="77777777" w:rsidR="00793916" w:rsidRPr="002A7AA6" w:rsidRDefault="00793916"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from Cross-Program Participation (kWh)</w:t>
            </w:r>
          </w:p>
        </w:tc>
        <w:tc>
          <w:tcPr>
            <w:tcW w:w="2551" w:type="dxa"/>
            <w:tcBorders>
              <w:left w:val="single" w:sz="4" w:space="0" w:color="4A4D56" w:themeColor="text1"/>
              <w:bottom w:val="single" w:sz="4" w:space="0" w:color="4A4D56" w:themeColor="text1"/>
              <w:right w:val="single" w:sz="4" w:space="0" w:color="4A4D56" w:themeColor="text1"/>
            </w:tcBorders>
          </w:tcPr>
          <w:p w14:paraId="5CB73576" w14:textId="77777777" w:rsidR="00793916" w:rsidRPr="002A7AA6" w:rsidRDefault="00793916"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Adjusted for Cross-Program Participation (kWh)</w:t>
            </w:r>
          </w:p>
        </w:tc>
      </w:tr>
      <w:tr w:rsidR="00793916" w:rsidRPr="00F10C03" w14:paraId="0FCD78D7"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4A4D56" w:themeColor="text1"/>
            </w:tcBorders>
          </w:tcPr>
          <w:p w14:paraId="198DD238" w14:textId="77777777" w:rsidR="00793916" w:rsidRPr="00F10C03" w:rsidRDefault="00793916" w:rsidP="0056690A">
            <w:pPr>
              <w:rPr>
                <w:sz w:val="20"/>
              </w:rPr>
            </w:pPr>
            <w:r w:rsidRPr="00F10C03">
              <w:rPr>
                <w:sz w:val="20"/>
              </w:rPr>
              <w:t>a1CTO000000KFKn2AO</w:t>
            </w:r>
          </w:p>
        </w:tc>
        <w:tc>
          <w:tcPr>
            <w:tcW w:w="2453" w:type="dxa"/>
            <w:tcBorders>
              <w:top w:val="single" w:sz="4" w:space="0" w:color="4A4D56" w:themeColor="text1"/>
            </w:tcBorders>
          </w:tcPr>
          <w:p w14:paraId="70C65E85" w14:textId="77777777" w:rsidR="00793916" w:rsidRPr="00F10C03" w:rsidRDefault="00793916" w:rsidP="00313347">
            <w:pPr>
              <w:cnfStyle w:val="000000100000" w:firstRow="0" w:lastRow="0" w:firstColumn="0" w:lastColumn="0" w:oddVBand="0" w:evenVBand="0" w:oddHBand="1" w:evenHBand="0" w:firstRowFirstColumn="0" w:firstRowLastColumn="0" w:lastRowFirstColumn="0" w:lastRowLastColumn="0"/>
              <w:rPr>
                <w:sz w:val="20"/>
              </w:rPr>
            </w:pPr>
            <w:r w:rsidRPr="00F10C03">
              <w:rPr>
                <w:sz w:val="20"/>
              </w:rPr>
              <w:t>Standard HVAC</w:t>
            </w:r>
          </w:p>
        </w:tc>
        <w:tc>
          <w:tcPr>
            <w:tcW w:w="1710" w:type="dxa"/>
            <w:tcBorders>
              <w:top w:val="single" w:sz="4" w:space="0" w:color="4A4D56" w:themeColor="text1"/>
            </w:tcBorders>
          </w:tcPr>
          <w:p w14:paraId="05250CA8" w14:textId="7DC97739"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285,676</w:t>
            </w:r>
          </w:p>
        </w:tc>
        <w:tc>
          <w:tcPr>
            <w:tcW w:w="2160" w:type="dxa"/>
            <w:tcBorders>
              <w:top w:val="single" w:sz="4" w:space="0" w:color="4A4D56" w:themeColor="text1"/>
            </w:tcBorders>
          </w:tcPr>
          <w:p w14:paraId="796331B7" w14:textId="6D1DF240"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146,759</w:t>
            </w:r>
          </w:p>
        </w:tc>
        <w:tc>
          <w:tcPr>
            <w:tcW w:w="2551" w:type="dxa"/>
            <w:tcBorders>
              <w:top w:val="single" w:sz="4" w:space="0" w:color="4A4D56" w:themeColor="text1"/>
            </w:tcBorders>
          </w:tcPr>
          <w:p w14:paraId="6D772B85" w14:textId="1F0A5D95"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138,917</w:t>
            </w:r>
          </w:p>
        </w:tc>
      </w:tr>
      <w:tr w:rsidR="00793916" w:rsidRPr="00F10C03" w14:paraId="52020282"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58A19CC2" w14:textId="77777777" w:rsidR="00793916" w:rsidRPr="00F10C03" w:rsidRDefault="00793916" w:rsidP="0056690A">
            <w:pPr>
              <w:rPr>
                <w:sz w:val="20"/>
              </w:rPr>
            </w:pPr>
            <w:r w:rsidRPr="00F10C03">
              <w:rPr>
                <w:sz w:val="20"/>
              </w:rPr>
              <w:t>a1CTO000000KFKq2AO</w:t>
            </w:r>
          </w:p>
        </w:tc>
        <w:tc>
          <w:tcPr>
            <w:tcW w:w="2453" w:type="dxa"/>
          </w:tcPr>
          <w:p w14:paraId="4B079159" w14:textId="77777777" w:rsidR="00793916" w:rsidRPr="00F10C03" w:rsidRDefault="00793916" w:rsidP="00313347">
            <w:pPr>
              <w:cnfStyle w:val="000000010000" w:firstRow="0" w:lastRow="0" w:firstColumn="0" w:lastColumn="0" w:oddVBand="0" w:evenVBand="0" w:oddHBand="0" w:evenHBand="1" w:firstRowFirstColumn="0" w:firstRowLastColumn="0" w:lastRowFirstColumn="0" w:lastRowLastColumn="0"/>
              <w:rPr>
                <w:sz w:val="20"/>
              </w:rPr>
            </w:pPr>
            <w:r w:rsidRPr="00F10C03">
              <w:rPr>
                <w:sz w:val="20"/>
              </w:rPr>
              <w:t>SBEP</w:t>
            </w:r>
          </w:p>
        </w:tc>
        <w:tc>
          <w:tcPr>
            <w:tcW w:w="1710" w:type="dxa"/>
          </w:tcPr>
          <w:p w14:paraId="7C5FD91F" w14:textId="151220B2"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284,183</w:t>
            </w:r>
          </w:p>
        </w:tc>
        <w:tc>
          <w:tcPr>
            <w:tcW w:w="2160" w:type="dxa"/>
          </w:tcPr>
          <w:p w14:paraId="041979A5" w14:textId="1F586149"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22,940</w:t>
            </w:r>
          </w:p>
        </w:tc>
        <w:tc>
          <w:tcPr>
            <w:tcW w:w="2551" w:type="dxa"/>
          </w:tcPr>
          <w:p w14:paraId="605C5A53" w14:textId="30E25DF7"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261,243</w:t>
            </w:r>
          </w:p>
        </w:tc>
      </w:tr>
      <w:tr w:rsidR="00793916" w:rsidRPr="00F10C03" w14:paraId="71C6518F"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322725B2" w14:textId="77777777" w:rsidR="00793916" w:rsidRPr="00F10C03" w:rsidRDefault="00793916" w:rsidP="0056690A">
            <w:pPr>
              <w:rPr>
                <w:sz w:val="20"/>
              </w:rPr>
            </w:pPr>
            <w:r w:rsidRPr="00F10C03">
              <w:rPr>
                <w:sz w:val="20"/>
              </w:rPr>
              <w:t>a1CTO000000KFKy2AO</w:t>
            </w:r>
          </w:p>
        </w:tc>
        <w:tc>
          <w:tcPr>
            <w:tcW w:w="2453" w:type="dxa"/>
          </w:tcPr>
          <w:p w14:paraId="22DDE9CB" w14:textId="77777777" w:rsidR="00793916" w:rsidRPr="00F10C03" w:rsidRDefault="00793916" w:rsidP="00313347">
            <w:pPr>
              <w:cnfStyle w:val="000000100000" w:firstRow="0" w:lastRow="0" w:firstColumn="0" w:lastColumn="0" w:oddVBand="0" w:evenVBand="0" w:oddHBand="1" w:evenHBand="0" w:firstRowFirstColumn="0" w:firstRowLastColumn="0" w:lastRowFirstColumn="0" w:lastRowLastColumn="0"/>
              <w:rPr>
                <w:sz w:val="20"/>
              </w:rPr>
            </w:pPr>
            <w:r w:rsidRPr="00F10C03">
              <w:rPr>
                <w:sz w:val="20"/>
              </w:rPr>
              <w:t>Standard Lighting</w:t>
            </w:r>
          </w:p>
        </w:tc>
        <w:tc>
          <w:tcPr>
            <w:tcW w:w="1710" w:type="dxa"/>
          </w:tcPr>
          <w:p w14:paraId="365ED934" w14:textId="42F6E8CD"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2,203,733</w:t>
            </w:r>
          </w:p>
        </w:tc>
        <w:tc>
          <w:tcPr>
            <w:tcW w:w="2160" w:type="dxa"/>
          </w:tcPr>
          <w:p w14:paraId="6FBF6C2A" w14:textId="68666D98"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33,546</w:t>
            </w:r>
          </w:p>
        </w:tc>
        <w:tc>
          <w:tcPr>
            <w:tcW w:w="2551" w:type="dxa"/>
          </w:tcPr>
          <w:p w14:paraId="1DA58404" w14:textId="2B4F5D2C"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2,170,187</w:t>
            </w:r>
          </w:p>
        </w:tc>
      </w:tr>
      <w:tr w:rsidR="00793916" w:rsidRPr="00F10C03" w14:paraId="7C9841B8"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6033DF6C" w14:textId="77777777" w:rsidR="00793916" w:rsidRPr="00F10C03" w:rsidRDefault="00793916" w:rsidP="0056690A">
            <w:pPr>
              <w:rPr>
                <w:sz w:val="20"/>
              </w:rPr>
            </w:pPr>
            <w:r w:rsidRPr="00F10C03">
              <w:rPr>
                <w:sz w:val="20"/>
              </w:rPr>
              <w:t>a1CTO000000KFKp2AO</w:t>
            </w:r>
          </w:p>
        </w:tc>
        <w:tc>
          <w:tcPr>
            <w:tcW w:w="2453" w:type="dxa"/>
          </w:tcPr>
          <w:p w14:paraId="410F1178" w14:textId="77777777" w:rsidR="00793916" w:rsidRPr="00F10C03" w:rsidRDefault="00793916" w:rsidP="00313347">
            <w:pPr>
              <w:cnfStyle w:val="000000010000" w:firstRow="0" w:lastRow="0" w:firstColumn="0" w:lastColumn="0" w:oddVBand="0" w:evenVBand="0" w:oddHBand="0" w:evenHBand="1" w:firstRowFirstColumn="0" w:firstRowLastColumn="0" w:lastRowFirstColumn="0" w:lastRowLastColumn="0"/>
              <w:rPr>
                <w:sz w:val="20"/>
              </w:rPr>
            </w:pPr>
            <w:r w:rsidRPr="00F10C03">
              <w:rPr>
                <w:sz w:val="20"/>
              </w:rPr>
              <w:t>SBEP</w:t>
            </w:r>
          </w:p>
        </w:tc>
        <w:tc>
          <w:tcPr>
            <w:tcW w:w="1710" w:type="dxa"/>
          </w:tcPr>
          <w:p w14:paraId="7A1DFD42" w14:textId="50407F38"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102,317</w:t>
            </w:r>
          </w:p>
        </w:tc>
        <w:tc>
          <w:tcPr>
            <w:tcW w:w="2160" w:type="dxa"/>
          </w:tcPr>
          <w:p w14:paraId="6B89D6EB" w14:textId="7CC1BE96"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5,494</w:t>
            </w:r>
          </w:p>
        </w:tc>
        <w:tc>
          <w:tcPr>
            <w:tcW w:w="2551" w:type="dxa"/>
          </w:tcPr>
          <w:p w14:paraId="2206DEA6" w14:textId="7743A42C" w:rsidR="00793916" w:rsidRPr="00F10C03" w:rsidRDefault="00793916" w:rsidP="0056690A">
            <w:pPr>
              <w:jc w:val="center"/>
              <w:cnfStyle w:val="000000010000" w:firstRow="0" w:lastRow="0" w:firstColumn="0" w:lastColumn="0" w:oddVBand="0" w:evenVBand="0" w:oddHBand="0" w:evenHBand="1" w:firstRowFirstColumn="0" w:firstRowLastColumn="0" w:lastRowFirstColumn="0" w:lastRowLastColumn="0"/>
              <w:rPr>
                <w:sz w:val="20"/>
              </w:rPr>
            </w:pPr>
            <w:r w:rsidRPr="00F10C03">
              <w:rPr>
                <w:sz w:val="20"/>
              </w:rPr>
              <w:t>96,823</w:t>
            </w:r>
          </w:p>
        </w:tc>
      </w:tr>
      <w:tr w:rsidR="00793916" w:rsidRPr="00F10C03" w14:paraId="646F0D5A"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Pr>
          <w:p w14:paraId="781E319E" w14:textId="77777777" w:rsidR="00793916" w:rsidRPr="00F10C03" w:rsidRDefault="00793916" w:rsidP="0056690A">
            <w:pPr>
              <w:rPr>
                <w:sz w:val="20"/>
              </w:rPr>
            </w:pPr>
            <w:r w:rsidRPr="00F10C03">
              <w:rPr>
                <w:sz w:val="20"/>
              </w:rPr>
              <w:lastRenderedPageBreak/>
              <w:t>a1CTO000000KFKu2AO</w:t>
            </w:r>
          </w:p>
        </w:tc>
        <w:tc>
          <w:tcPr>
            <w:tcW w:w="2453" w:type="dxa"/>
          </w:tcPr>
          <w:p w14:paraId="39626B51" w14:textId="77777777" w:rsidR="00793916" w:rsidRPr="00F10C03" w:rsidRDefault="00793916" w:rsidP="00313347">
            <w:pPr>
              <w:cnfStyle w:val="000000100000" w:firstRow="0" w:lastRow="0" w:firstColumn="0" w:lastColumn="0" w:oddVBand="0" w:evenVBand="0" w:oddHBand="1" w:evenHBand="0" w:firstRowFirstColumn="0" w:firstRowLastColumn="0" w:lastRowFirstColumn="0" w:lastRowLastColumn="0"/>
              <w:rPr>
                <w:sz w:val="20"/>
              </w:rPr>
            </w:pPr>
            <w:r w:rsidRPr="00F10C03">
              <w:rPr>
                <w:sz w:val="20"/>
              </w:rPr>
              <w:t>SBEP, Standard Lighting</w:t>
            </w:r>
          </w:p>
        </w:tc>
        <w:tc>
          <w:tcPr>
            <w:tcW w:w="1710" w:type="dxa"/>
          </w:tcPr>
          <w:p w14:paraId="0FBBD214" w14:textId="4748BDE9"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121,559</w:t>
            </w:r>
          </w:p>
        </w:tc>
        <w:tc>
          <w:tcPr>
            <w:tcW w:w="2160" w:type="dxa"/>
          </w:tcPr>
          <w:p w14:paraId="3376FFF7" w14:textId="40230C22"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55,548</w:t>
            </w:r>
          </w:p>
        </w:tc>
        <w:tc>
          <w:tcPr>
            <w:tcW w:w="2551" w:type="dxa"/>
          </w:tcPr>
          <w:p w14:paraId="77467122" w14:textId="4BA02B8E" w:rsidR="00793916" w:rsidRPr="00F10C03" w:rsidRDefault="00793916"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10C03">
              <w:rPr>
                <w:sz w:val="20"/>
              </w:rPr>
              <w:t>66,011</w:t>
            </w:r>
          </w:p>
        </w:tc>
      </w:tr>
    </w:tbl>
    <w:p w14:paraId="6951B05D" w14:textId="29F90FDC" w:rsidR="000649C2" w:rsidRDefault="000649C2" w:rsidP="000649C2">
      <w:pPr>
        <w:pStyle w:val="Heading4"/>
      </w:pPr>
      <w:r>
        <w:t>Measure Lives and Cumulative Persisting Annual Savings</w:t>
      </w:r>
    </w:p>
    <w:p w14:paraId="50F66D33" w14:textId="3328796C" w:rsidR="00793916" w:rsidRDefault="00793916" w:rsidP="00793916">
      <w:r w:rsidRPr="00793916">
        <w:t>The evaluation team applied an EUL of 7.3 for VCx based on guidance in Attachment B of IL-TRM V12.0, Volume 4.</w:t>
      </w:r>
      <w:r>
        <w:rPr>
          <w:rStyle w:val="FootnoteReference"/>
        </w:rPr>
        <w:footnoteReference w:id="47"/>
      </w:r>
    </w:p>
    <w:p w14:paraId="1AD96ACB" w14:textId="1294DDCF" w:rsidR="000649C2" w:rsidRDefault="000649C2" w:rsidP="000649C2">
      <w:pPr>
        <w:pStyle w:val="AppendixGamma"/>
      </w:pPr>
      <w:bookmarkStart w:id="429" w:name="_Toc191992467"/>
      <w:r>
        <w:t>Gross Impact Methodology – Virtual Strategic Energy Management Channel</w:t>
      </w:r>
      <w:bookmarkEnd w:id="429"/>
    </w:p>
    <w:p w14:paraId="085D59CE" w14:textId="21BDC0E1" w:rsidR="002D569D" w:rsidRDefault="002D569D" w:rsidP="002D569D">
      <w:r>
        <w:t xml:space="preserve">The evaluation team evaluated </w:t>
      </w:r>
      <w:r w:rsidR="0062758A">
        <w:t xml:space="preserve">the </w:t>
      </w:r>
      <w:r>
        <w:t xml:space="preserve">gross savings resulting from Virtual SEM in 2024 by replicating and verifying Power TakeOff’s facility-level modeling approach. Our approach, which leans heavily on the IPMVP Option C guidelines, </w:t>
      </w:r>
      <w:r w:rsidR="00040A6A">
        <w:t>focused on verifying</w:t>
      </w:r>
      <w:r>
        <w:t xml:space="preserve"> Power TakeOff’s methods. In 2024, after replicating Power TakeOff’s models, the evaluation team adjusted the facility-level models for two projects to account for the exclusion of weather interaction terms. </w:t>
      </w:r>
    </w:p>
    <w:p w14:paraId="64096417" w14:textId="4941A12D" w:rsidR="002D569D" w:rsidRDefault="002D569D" w:rsidP="002D569D">
      <w:r>
        <w:t>As part of the verification process, the evaluation team assessed Power TakeOff’s data cleaning and processing methods</w:t>
      </w:r>
      <w:r w:rsidR="00040A6A">
        <w:t>, model specification and evaluation process, and</w:t>
      </w:r>
      <w:r>
        <w:t xml:space="preserve"> process for calculating electric </w:t>
      </w:r>
      <w:r w:rsidR="0062758A">
        <w:t xml:space="preserve">energy </w:t>
      </w:r>
      <w:r>
        <w:t xml:space="preserve">savings. In addition to verifying the savings associated with Virtual SEM, the evaluation team independently verified whether the individual project modeling results met the channel’s guidelines </w:t>
      </w:r>
      <w:r w:rsidR="00040A6A">
        <w:t>for</w:t>
      </w:r>
      <w:r>
        <w:t xml:space="preserve"> model robustness. </w:t>
      </w:r>
      <w:r w:rsidR="0062758A">
        <w:t>All t</w:t>
      </w:r>
      <w:r>
        <w:t>he project</w:t>
      </w:r>
      <w:r w:rsidR="0062758A">
        <w:t>s</w:t>
      </w:r>
      <w:r>
        <w:t xml:space="preserve"> that Power TakeOff claimed as part of the 2024 Virtual SEM channel met model robustness criteria.  </w:t>
      </w:r>
    </w:p>
    <w:p w14:paraId="362A8246" w14:textId="0444DF90" w:rsidR="002922C3" w:rsidRDefault="002922C3" w:rsidP="002D569D">
      <w:r w:rsidRPr="002922C3">
        <w:t xml:space="preserve">Lastly, the evaluation team reviewed and verified the cross-participation adjustments Power TakeOff made to the ex ante savings estimates. These cross-participation adjustments are necessary to avoid </w:t>
      </w:r>
      <w:r w:rsidR="00040A6A">
        <w:t>double-counting</w:t>
      </w:r>
      <w:r w:rsidRPr="002922C3">
        <w:t xml:space="preserve"> savings produced through other AIC initiatives. Power TakeOff identified </w:t>
      </w:r>
      <w:r>
        <w:t>one</w:t>
      </w:r>
      <w:r w:rsidRPr="002922C3">
        <w:t xml:space="preserve"> site that participated in the </w:t>
      </w:r>
      <w:r>
        <w:t>Virtual SEM</w:t>
      </w:r>
      <w:r w:rsidRPr="002922C3">
        <w:t xml:space="preserve"> </w:t>
      </w:r>
      <w:r>
        <w:t>channel</w:t>
      </w:r>
      <w:r w:rsidRPr="002922C3">
        <w:t xml:space="preserve"> </w:t>
      </w:r>
      <w:r w:rsidR="00040A6A">
        <w:t>as well as</w:t>
      </w:r>
      <w:r w:rsidRPr="002922C3">
        <w:t xml:space="preserve"> other AIC initiatives. The modeling-based approach to estimating savings for the </w:t>
      </w:r>
      <w:r>
        <w:t>Virtual SEM</w:t>
      </w:r>
      <w:r w:rsidRPr="002922C3">
        <w:t xml:space="preserve"> channel produces facility-level savings estimates, which envelop savings produced through other program interventions. Therefore, savings achieved through program activity incentivized and claimed through other AIC initiatives need to be removed from the savings estimates for </w:t>
      </w:r>
      <w:r>
        <w:t>Virtual SEM</w:t>
      </w:r>
      <w:r w:rsidRPr="002922C3">
        <w:t xml:space="preserve">. </w:t>
      </w:r>
      <w:r w:rsidR="00F53CD8">
        <w:t>The evaluation team</w:t>
      </w:r>
      <w:r w:rsidR="00975745">
        <w:t xml:space="preserve">’s cross-participation adjustments aligned with the implementation team’s adjustments for Virtual SEM. </w:t>
      </w:r>
      <w:r w:rsidR="00040A6A">
        <w:t>T</w:t>
      </w:r>
      <w:r w:rsidRPr="002922C3">
        <w:t>he</w:t>
      </w:r>
      <w:r w:rsidR="00975745">
        <w:t xml:space="preserve"> </w:t>
      </w:r>
      <w:r w:rsidR="00975745">
        <w:fldChar w:fldCharType="begin"/>
      </w:r>
      <w:r w:rsidR="00975745">
        <w:instrText xml:space="preserve"> REF _Ref192150462 \h </w:instrText>
      </w:r>
      <w:r w:rsidR="00975745">
        <w:fldChar w:fldCharType="separate"/>
      </w:r>
      <w:r w:rsidR="00AA10F4">
        <w:t>Uplift From Other AIC Initiatives</w:t>
      </w:r>
      <w:r w:rsidR="00975745">
        <w:fldChar w:fldCharType="end"/>
      </w:r>
      <w:r w:rsidR="00975745">
        <w:t xml:space="preserve"> section</w:t>
      </w:r>
      <w:r w:rsidR="00040A6A">
        <w:t xml:space="preserve"> provides m</w:t>
      </w:r>
      <w:r w:rsidR="00040A6A" w:rsidRPr="002922C3">
        <w:t xml:space="preserve">ore information on </w:t>
      </w:r>
      <w:r w:rsidR="00040A6A">
        <w:t>these cross-participation adjustments.</w:t>
      </w:r>
      <w:r w:rsidR="00040A6A" w:rsidRPr="002922C3">
        <w:t xml:space="preserve"> </w:t>
      </w:r>
    </w:p>
    <w:p w14:paraId="5AA2340F" w14:textId="4031CB3E" w:rsidR="002D569D" w:rsidRDefault="002D569D" w:rsidP="00313347">
      <w:pPr>
        <w:pStyle w:val="Heading4"/>
        <w:keepNext/>
        <w:keepLines/>
      </w:pPr>
      <w:r>
        <w:t>Data Review and Cleaning</w:t>
      </w:r>
    </w:p>
    <w:p w14:paraId="3859A264" w14:textId="686D8049" w:rsidR="00826EBB" w:rsidRDefault="00826EBB" w:rsidP="00826EBB">
      <w:r w:rsidRPr="00826EBB">
        <w:t>Opinion Dynamics compared the raw and processed AMI data provided by Power TakeOff for the individual project</w:t>
      </w:r>
      <w:r w:rsidR="0062758A">
        <w:t>s</w:t>
      </w:r>
      <w:r w:rsidRPr="00826EBB">
        <w:t xml:space="preserve"> to independently verify the data cleaning process that Power TakeOff used to estimate their model. The evaluation team utilized Power TakeOff’s processed data for modeling and reviewed this data for completeness.</w:t>
      </w:r>
    </w:p>
    <w:p w14:paraId="3F20EB38" w14:textId="769B9E56" w:rsidR="00826EBB" w:rsidRDefault="00826EBB" w:rsidP="00826EBB">
      <w:pPr>
        <w:pStyle w:val="Heading4"/>
      </w:pPr>
      <w:r>
        <w:t>Modeling Approach</w:t>
      </w:r>
    </w:p>
    <w:p w14:paraId="3C138BDB" w14:textId="1E9AE533" w:rsidR="00826EBB" w:rsidRDefault="00826EBB" w:rsidP="00826EBB">
      <w:r>
        <w:t>The evaluation team verified the electric</w:t>
      </w:r>
      <w:r w:rsidR="0062758A">
        <w:t xml:space="preserve"> energy</w:t>
      </w:r>
      <w:r>
        <w:t xml:space="preserve"> savings results </w:t>
      </w:r>
      <w:r w:rsidR="00040A6A">
        <w:t xml:space="preserve">that </w:t>
      </w:r>
      <w:r>
        <w:t>Power TakeOff claimed for Virtual SEM by validating their site-level model specification</w:t>
      </w:r>
      <w:r w:rsidR="0062758A">
        <w:t>s</w:t>
      </w:r>
      <w:r>
        <w:t xml:space="preserve"> and replicating Power TakeOff’s results. To calculate annualized savings, we first developed a regression-based baseline energy usage model. We then used the baseline model</w:t>
      </w:r>
      <w:r w:rsidR="0062758A">
        <w:t>s</w:t>
      </w:r>
      <w:r>
        <w:t>, together with TMYx data, to estimate normalized gross annual savings.</w:t>
      </w:r>
    </w:p>
    <w:p w14:paraId="54E9321D" w14:textId="23B72622" w:rsidR="00826EBB" w:rsidRDefault="00826EBB" w:rsidP="00826EBB">
      <w:r>
        <w:lastRenderedPageBreak/>
        <w:t>Following Power TakeOff’s process, we developed the baseline model</w:t>
      </w:r>
      <w:r w:rsidR="0062758A">
        <w:t>s</w:t>
      </w:r>
      <w:r>
        <w:t xml:space="preserve"> by fitting a regression model to pre- and post-intervention data. Power TakeOff selected daily regression model</w:t>
      </w:r>
      <w:r w:rsidR="0062758A">
        <w:t>s</w:t>
      </w:r>
      <w:r>
        <w:t xml:space="preserve">. </w:t>
      </w:r>
    </w:p>
    <w:p w14:paraId="2FC79ADA" w14:textId="0D6A9C6F" w:rsidR="00826EBB" w:rsidRDefault="00826EBB" w:rsidP="00826EBB">
      <w:r>
        <w:t>The evaluation team add</w:t>
      </w:r>
      <w:r w:rsidR="0062758A">
        <w:t>ed</w:t>
      </w:r>
      <w:r>
        <w:t xml:space="preserve"> weather interactions to two model specifications since the projects had weather-sensitive interventions (e.g., HVAC set point or scheduling adjustments), at least nine months of post-period data, and the combined effect of the interacted terms was statistically significant.</w:t>
      </w:r>
    </w:p>
    <w:p w14:paraId="3D625C31" w14:textId="04AAF152" w:rsidR="00826EBB" w:rsidRDefault="00826EBB" w:rsidP="00826EBB">
      <w:pPr>
        <w:pStyle w:val="Heading4"/>
      </w:pPr>
      <w:r>
        <w:t xml:space="preserve">Time-Based </w:t>
      </w:r>
      <w:r w:rsidR="00313347">
        <w:t>R</w:t>
      </w:r>
      <w:r>
        <w:t>egression Model</w:t>
      </w:r>
    </w:p>
    <w:p w14:paraId="1FA5A8A5" w14:textId="2CAD0832" w:rsidR="00826EBB" w:rsidRDefault="00826EBB" w:rsidP="00826EBB">
      <w:r>
        <w:fldChar w:fldCharType="begin"/>
      </w:r>
      <w:r>
        <w:instrText xml:space="preserve"> REF _Ref191564238 \h </w:instrText>
      </w:r>
      <w:r>
        <w:fldChar w:fldCharType="separate"/>
      </w:r>
      <w:r w:rsidR="00AA10F4">
        <w:t xml:space="preserve">Equation </w:t>
      </w:r>
      <w:r w:rsidR="00AA10F4">
        <w:rPr>
          <w:noProof/>
        </w:rPr>
        <w:t>21</w:t>
      </w:r>
      <w:r>
        <w:fldChar w:fldCharType="end"/>
      </w:r>
      <w:r>
        <w:t xml:space="preserve"> describes the model specification utilized in our evaluation.</w:t>
      </w:r>
    </w:p>
    <w:p w14:paraId="2FE5F141" w14:textId="64A43A3E" w:rsidR="00826EBB" w:rsidRDefault="00826EBB" w:rsidP="00881B1B">
      <w:pPr>
        <w:pStyle w:val="Caption"/>
      </w:pPr>
      <w:bookmarkStart w:id="430" w:name="_Ref191564238"/>
      <w:r>
        <w:t xml:space="preserve">Equation </w:t>
      </w:r>
      <w:r>
        <w:fldChar w:fldCharType="begin"/>
      </w:r>
      <w:r>
        <w:instrText xml:space="preserve"> SEQ Equation \* ARABIC </w:instrText>
      </w:r>
      <w:r>
        <w:fldChar w:fldCharType="separate"/>
      </w:r>
      <w:r w:rsidR="00AA10F4">
        <w:rPr>
          <w:noProof/>
        </w:rPr>
        <w:t>21</w:t>
      </w:r>
      <w:r>
        <w:fldChar w:fldCharType="end"/>
      </w:r>
      <w:bookmarkEnd w:id="430"/>
      <w:r>
        <w:t>. Regression Model Considering Weather Interactions and Time Interactions</w:t>
      </w:r>
    </w:p>
    <w:p w14:paraId="105A33FA" w14:textId="363C8D0B" w:rsidR="00826EBB" w:rsidRPr="00A47663" w:rsidRDefault="00826EBB" w:rsidP="00826EBB">
      <m:oMathPara>
        <m:oMath>
          <m:r>
            <w:rPr>
              <w:rFonts w:ascii="Cambria Math" w:hAnsi="Cambria Math"/>
            </w:rPr>
            <m:t>E</m:t>
          </m:r>
          <m:d>
            <m:dPr>
              <m:ctrlPr>
                <w:rPr>
                  <w:rFonts w:ascii="Cambria Math" w:hAnsi="Cambria Math"/>
                </w:rPr>
              </m:ctrlPr>
            </m:dPr>
            <m:e>
              <m:r>
                <w:rPr>
                  <w:rFonts w:ascii="Cambria Math" w:hAnsi="Cambria Math"/>
                </w:rPr>
                <m:t>i</m:t>
              </m:r>
            </m:e>
          </m:d>
          <m:r>
            <m:rPr>
              <m:sty m:val="p"/>
            </m:rP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Time</m:t>
              </m:r>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 xml:space="preserve"> + </m:t>
              </m:r>
              <m:r>
                <w:rPr>
                  <w:rFonts w:ascii="Cambria Math" w:hAnsi="Cambria Math"/>
                </w:rPr>
                <m:t>H</m:t>
              </m:r>
              <m:d>
                <m:dPr>
                  <m:ctrlPr>
                    <w:rPr>
                      <w:rFonts w:ascii="Cambria Math" w:hAnsi="Cambria Math"/>
                      <w:i/>
                    </w:rPr>
                  </m:ctrlPr>
                </m:dPr>
                <m:e>
                  <m:r>
                    <w:rPr>
                      <w:rFonts w:ascii="Cambria Math" w:hAnsi="Cambria Math"/>
                    </w:rPr>
                    <m:t>i</m:t>
                  </m:r>
                </m:e>
              </m:d>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d>
                    <m:dPr>
                      <m:ctrlPr>
                        <w:rPr>
                          <w:rFonts w:ascii="Cambria Math" w:hAnsi="Cambria Math"/>
                        </w:rPr>
                      </m:ctrlPr>
                    </m:dPr>
                    <m:e>
                      <m:r>
                        <w:rPr>
                          <w:rFonts w:ascii="Cambria Math" w:hAnsi="Cambria Math"/>
                        </w:rPr>
                        <m:t>H</m:t>
                      </m:r>
                      <m:d>
                        <m:dPr>
                          <m:ctrlPr>
                            <w:rPr>
                              <w:rFonts w:ascii="Cambria Math" w:hAnsi="Cambria Math"/>
                              <w:i/>
                            </w:rPr>
                          </m:ctrlPr>
                        </m:dPr>
                        <m:e>
                          <m:r>
                            <w:rPr>
                              <w:rFonts w:ascii="Cambria Math" w:hAnsi="Cambria Math"/>
                            </w:rPr>
                            <m:t>i</m:t>
                          </m:r>
                        </m:e>
                      </m:d>
                      <m:r>
                        <m:rPr>
                          <m:sty m:val="p"/>
                        </m:rPr>
                        <w:rPr>
                          <w:rFonts w:ascii="Cambria Math" w:hAnsi="Cambria Math"/>
                        </w:rPr>
                        <m:t>+</m:t>
                      </m:r>
                      <m:r>
                        <w:rPr>
                          <w:rFonts w:ascii="Cambria Math" w:hAnsi="Cambria Math"/>
                        </w:rPr>
                        <m:t>C</m:t>
                      </m:r>
                      <m:d>
                        <m:dPr>
                          <m:ctrlPr>
                            <w:rPr>
                              <w:rFonts w:ascii="Cambria Math" w:hAnsi="Cambria Math"/>
                              <w:i/>
                            </w:rPr>
                          </m:ctrlPr>
                        </m:dPr>
                        <m:e>
                          <m:r>
                            <w:rPr>
                              <w:rFonts w:ascii="Cambria Math" w:hAnsi="Cambria Math"/>
                            </w:rPr>
                            <m:t>i</m:t>
                          </m:r>
                        </m:e>
                      </m:d>
                      <m:ctrlPr>
                        <w:rPr>
                          <w:rFonts w:ascii="Cambria Math" w:hAnsi="Cambria Math"/>
                          <w:i/>
                        </w:rPr>
                      </m:ctrlPr>
                    </m:e>
                  </m:d>
                  <m: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d>
              <m:r>
                <w:rPr>
                  <w:rFonts w:ascii="Cambria Math" w:hAnsi="Cambria Math"/>
                </w:rPr>
                <m:t xml:space="preserve"> +</m:t>
              </m:r>
              <m:d>
                <m:dPr>
                  <m:ctrlPr>
                    <w:rPr>
                      <w:rFonts w:ascii="Cambria Math" w:hAnsi="Cambria Math"/>
                      <w:i/>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w:rPr>
                          <w:rFonts w:ascii="Cambria Math" w:hAnsi="Cambria Math"/>
                        </w:rPr>
                        <m:t>k</m:t>
                      </m:r>
                    </m:sup>
                    <m:e>
                      <m:sSub>
                        <m:sSubPr>
                          <m:ctrlPr>
                            <w:rPr>
                              <w:rFonts w:ascii="Cambria Math" w:hAnsi="Cambria Math"/>
                            </w:rPr>
                          </m:ctrlPr>
                        </m:sSubPr>
                        <m:e>
                          <m:r>
                            <w:rPr>
                              <w:rFonts w:ascii="Cambria Math" w:hAnsi="Cambria Math"/>
                            </w:rPr>
                            <m:t>β</m:t>
                          </m:r>
                        </m:e>
                        <m:sub>
                          <m:r>
                            <w:rPr>
                              <w:rFonts w:ascii="Cambria Math" w:hAnsi="Cambria Math"/>
                            </w:rPr>
                            <m:t>j</m:t>
                          </m:r>
                        </m:sub>
                      </m:sSub>
                      <m:r>
                        <w:rPr>
                          <w:rFonts w:ascii="Cambria Math" w:hAnsi="Cambria Math"/>
                        </w:rPr>
                        <m:t>Time</m:t>
                      </m:r>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nary>
                </m:e>
              </m:d>
              <m:r>
                <w:rPr>
                  <w:rFonts w:ascii="Cambria Math" w:hAnsi="Cambria Math"/>
                </w:rPr>
                <m:t xml:space="preserve">   </m:t>
              </m:r>
            </m:e>
          </m:nary>
        </m:oMath>
      </m:oMathPara>
    </w:p>
    <w:p w14:paraId="0E1FA9E0" w14:textId="6C1E991C" w:rsidR="00A47663" w:rsidRPr="00A47663" w:rsidRDefault="00A47663" w:rsidP="00A47663">
      <w:r w:rsidRPr="00A47663">
        <w:t xml:space="preserve">Since daily consumption </w:t>
      </w:r>
      <w:r w:rsidR="008A0837">
        <w:t>data were</w:t>
      </w:r>
      <w:r w:rsidRPr="00A47663">
        <w:t xml:space="preserve"> present, the time used in </w:t>
      </w:r>
      <w:r w:rsidRPr="00A47663">
        <w:rPr>
          <w:i/>
          <w:iCs/>
        </w:rPr>
        <w:t>j</w:t>
      </w:r>
      <w:r w:rsidRPr="00A47663">
        <w:t xml:space="preserve"> was the day of the week, </w:t>
      </w:r>
      <w:r w:rsidRPr="00A47663">
        <w:rPr>
          <w:i/>
          <w:iCs/>
        </w:rPr>
        <w:t>k</w:t>
      </w:r>
      <w:r w:rsidRPr="00A47663">
        <w:t xml:space="preserve"> represents 1 through 7 for the days in a week. </w:t>
      </w:r>
      <m:oMath>
        <m:r>
          <w:rPr>
            <w:rFonts w:ascii="Cambria Math" w:hAnsi="Cambria Math"/>
          </w:rPr>
          <m:t>H</m:t>
        </m:r>
        <m:d>
          <m:dPr>
            <m:ctrlPr>
              <w:rPr>
                <w:rFonts w:ascii="Cambria Math" w:hAnsi="Cambria Math"/>
              </w:rPr>
            </m:ctrlPr>
          </m:dPr>
          <m:e>
            <m:r>
              <w:rPr>
                <w:rFonts w:ascii="Cambria Math" w:hAnsi="Cambria Math"/>
              </w:rPr>
              <m:t>i</m:t>
            </m:r>
          </m:e>
        </m:d>
      </m:oMath>
      <w:r w:rsidRPr="00A47663">
        <w:t xml:space="preserve"> represents the heating component while </w:t>
      </w:r>
      <m:oMath>
        <m:r>
          <w:rPr>
            <w:rFonts w:ascii="Cambria Math" w:hAnsi="Cambria Math"/>
          </w:rPr>
          <m:t>C</m:t>
        </m:r>
        <m:d>
          <m:dPr>
            <m:ctrlPr>
              <w:rPr>
                <w:rFonts w:ascii="Cambria Math" w:hAnsi="Cambria Math"/>
              </w:rPr>
            </m:ctrlPr>
          </m:dPr>
          <m:e>
            <m:r>
              <w:rPr>
                <w:rFonts w:ascii="Cambria Math" w:hAnsi="Cambria Math"/>
              </w:rPr>
              <m:t>i</m:t>
            </m:r>
          </m:e>
        </m:d>
      </m:oMath>
      <w:r w:rsidRPr="00A47663">
        <w:t xml:space="preserve"> reflects the cooling component. </w:t>
      </w:r>
      <m:oMath>
        <m:r>
          <w:rPr>
            <w:rFonts w:ascii="Cambria Math" w:hAnsi="Cambria Math"/>
          </w:rPr>
          <m:t>H</m:t>
        </m:r>
        <m:d>
          <m:dPr>
            <m:ctrlPr>
              <w:rPr>
                <w:rFonts w:ascii="Cambria Math" w:hAnsi="Cambria Math"/>
              </w:rPr>
            </m:ctrlPr>
          </m:dPr>
          <m:e>
            <m:r>
              <w:rPr>
                <w:rFonts w:ascii="Cambria Math" w:hAnsi="Cambria Math"/>
              </w:rPr>
              <m:t>i</m:t>
            </m:r>
          </m:e>
        </m:d>
      </m:oMath>
      <w:r w:rsidRPr="00A47663">
        <w:t xml:space="preserve"> is defined as: </w:t>
      </w:r>
    </w:p>
    <w:p w14:paraId="6FC4C01A" w14:textId="36590210" w:rsidR="00A47663" w:rsidRPr="00A47663" w:rsidRDefault="00A47663" w:rsidP="00A47663">
      <m:oMathPara>
        <m:oMath>
          <m:r>
            <w:rPr>
              <w:rFonts w:ascii="Cambria Math" w:hAnsi="Cambria Math"/>
            </w:rPr>
            <m:t>H</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1</m:t>
              </m:r>
            </m:sub>
          </m:sSub>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2</m:t>
              </m:r>
            </m:sub>
          </m:sSub>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3</m:t>
              </m:r>
            </m:sub>
          </m:sSub>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h</m:t>
              </m:r>
            </m:e>
            <m:sub>
              <m:r>
                <m:rPr>
                  <m:sty m:val="p"/>
                </m:rPr>
                <w:rPr>
                  <w:rFonts w:ascii="Cambria Math" w:hAnsi="Cambria Math"/>
                </w:rPr>
                <m:t>4</m:t>
              </m:r>
            </m:sub>
          </m:sSub>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6A0A9B75" w14:textId="77777777" w:rsidR="00A47663" w:rsidRPr="00A47663" w:rsidRDefault="00A47663" w:rsidP="0056690A">
      <w:pPr>
        <w:keepNext/>
        <w:keepLines/>
      </w:pPr>
      <w:r w:rsidRPr="00A47663">
        <w:t xml:space="preserve">Where: </w:t>
      </w:r>
    </w:p>
    <w:p w14:paraId="33FAB4A4" w14:textId="5FB7E374" w:rsidR="00A47663" w:rsidRPr="00A47663"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min</m:t>
                  </m:r>
                </m:fName>
                <m:e>
                  <m:d>
                    <m:dPr>
                      <m:ctrlPr>
                        <w:rPr>
                          <w:rFonts w:ascii="Cambria Math" w:hAnsi="Cambria Math"/>
                        </w:rPr>
                      </m:ctrlPr>
                    </m:dPr>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55-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e>
                  </m:d>
                </m:e>
              </m:func>
            </m:e>
          </m:nary>
        </m:oMath>
      </m:oMathPara>
    </w:p>
    <w:p w14:paraId="33F0C8F4" w14:textId="2D0981F6" w:rsidR="00A47663" w:rsidRPr="00A47663"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45-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,10)</m:t>
              </m:r>
            </m:e>
          </m:nary>
        </m:oMath>
      </m:oMathPara>
    </w:p>
    <w:p w14:paraId="3759F628" w14:textId="322D320B" w:rsidR="00A47663" w:rsidRPr="00A47663"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35-</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r>
                <m:rPr>
                  <m:sty m:val="p"/>
                </m:rPr>
                <w:rPr>
                  <w:rFonts w:ascii="Cambria Math" w:hAnsi="Cambria Math"/>
                </w:rPr>
                <m:t>,15)</m:t>
              </m:r>
            </m:e>
          </m:nary>
        </m:oMath>
      </m:oMathPara>
    </w:p>
    <w:p w14:paraId="11453B3E" w14:textId="171BAA06" w:rsidR="00A47663" w:rsidRPr="00A47663" w:rsidRDefault="000458DD" w:rsidP="0056690A">
      <w:pPr>
        <w:keepNext/>
        <w:keepLines/>
      </w:pPr>
      <m:oMathPara>
        <m:oMath>
          <m:sSub>
            <m:sSubPr>
              <m:ctrlPr>
                <w:rPr>
                  <w:rFonts w:ascii="Cambria Math" w:hAnsi="Cambria Math"/>
                </w:rPr>
              </m:ctrlPr>
            </m:sSubPr>
            <m:e>
              <m:r>
                <w:rPr>
                  <w:rFonts w:ascii="Cambria Math" w:hAnsi="Cambria Math"/>
                </w:rPr>
                <m:t>T</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m:rPr>
                          <m:sty m:val="p"/>
                        </m:rPr>
                        <w:rPr>
                          <w:rFonts w:ascii="Cambria Math" w:hAnsi="Cambria Math"/>
                        </w:rPr>
                        <m:t>20-</m:t>
                      </m:r>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,0</m:t>
                      </m:r>
                    </m:e>
                  </m:d>
                </m:e>
              </m:func>
            </m:e>
          </m:nary>
          <m:r>
            <m:rPr>
              <m:sty m:val="p"/>
            </m:rPr>
            <w:rPr>
              <w:rFonts w:ascii="Cambria Math" w:hAnsi="Cambria Math"/>
            </w:rPr>
            <w:br/>
          </m:r>
        </m:oMath>
      </m:oMathPara>
    </w:p>
    <w:p w14:paraId="27FE83C7" w14:textId="62E8B4E1" w:rsidR="00A47663" w:rsidRPr="00A47663" w:rsidRDefault="00A47663" w:rsidP="00A47663">
      <m:oMath>
        <m:r>
          <w:rPr>
            <w:rFonts w:ascii="Cambria Math" w:hAnsi="Cambria Math"/>
          </w:rPr>
          <m:t>Temp</m:t>
        </m:r>
        <m:d>
          <m:dPr>
            <m:ctrlPr>
              <w:rPr>
                <w:rFonts w:ascii="Cambria Math" w:hAnsi="Cambria Math"/>
              </w:rPr>
            </m:ctrlPr>
          </m:dPr>
          <m:e>
            <m:r>
              <w:rPr>
                <w:rFonts w:ascii="Cambria Math" w:hAnsi="Cambria Math"/>
              </w:rPr>
              <m:t>i</m:t>
            </m:r>
          </m:e>
        </m:d>
      </m:oMath>
      <w:r w:rsidRPr="00A47663">
        <w:t xml:space="preserve"> is temperature in degrees Fahrenheit for hour </w:t>
      </w:r>
      <m:oMath>
        <m:r>
          <w:rPr>
            <w:rFonts w:ascii="Cambria Math" w:hAnsi="Cambria Math"/>
          </w:rPr>
          <m:t>i</m:t>
        </m:r>
      </m:oMath>
      <w:r w:rsidRPr="00A47663">
        <w:t xml:space="preserve">. </w:t>
      </w:r>
    </w:p>
    <w:p w14:paraId="6A12435B" w14:textId="6D569C18" w:rsidR="00A47663" w:rsidRPr="00A47663" w:rsidRDefault="00A47663" w:rsidP="00A47663">
      <m:oMath>
        <m:r>
          <w:rPr>
            <w:rFonts w:ascii="Cambria Math" w:hAnsi="Cambria Math"/>
          </w:rPr>
          <m:t>C</m:t>
        </m:r>
        <m:r>
          <m:rPr>
            <m:sty m:val="p"/>
          </m:rPr>
          <w:rPr>
            <w:rFonts w:ascii="Cambria Math" w:hAnsi="Cambria Math"/>
          </w:rPr>
          <m:t>(</m:t>
        </m:r>
        <m:r>
          <w:rPr>
            <w:rFonts w:ascii="Cambria Math" w:hAnsi="Cambria Math"/>
          </w:rPr>
          <m:t>i</m:t>
        </m:r>
        <m:r>
          <m:rPr>
            <m:sty m:val="p"/>
          </m:rPr>
          <w:rPr>
            <w:rFonts w:ascii="Cambria Math" w:hAnsi="Cambria Math"/>
          </w:rPr>
          <m:t>)</m:t>
        </m:r>
      </m:oMath>
      <w:r w:rsidRPr="00A47663">
        <w:t xml:space="preserve"> is defined as:</w:t>
      </w:r>
    </w:p>
    <w:p w14:paraId="59AEE0A2" w14:textId="036C365D" w:rsidR="00A47663" w:rsidRPr="00A47663" w:rsidRDefault="00A47663" w:rsidP="00A47663">
      <m:oMathPara>
        <m:oMath>
          <m:r>
            <m:rPr>
              <m:sty m:val="p"/>
            </m:rPr>
            <w:rPr>
              <w:rFonts w:ascii="Cambria Math" w:hAnsi="Cambria Math"/>
            </w:rPr>
            <m:t>C</m:t>
          </m:r>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1</m:t>
              </m:r>
            </m:sub>
          </m:sSub>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2</m:t>
              </m:r>
            </m:sub>
          </m:sSub>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3</m:t>
              </m:r>
            </m:sub>
          </m:sSub>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c</m:t>
              </m:r>
            </m:e>
            <m:sub>
              <m:r>
                <m:rPr>
                  <m:sty m:val="p"/>
                </m:rPr>
                <w:rPr>
                  <w:rFonts w:ascii="Cambria Math" w:hAnsi="Cambria Math"/>
                </w:rPr>
                <m:t>4</m:t>
              </m:r>
            </m:sub>
          </m:sSub>
          <m:sSub>
            <m:sSubPr>
              <m:ctrlPr>
                <w:rPr>
                  <w:rFonts w:ascii="Cambria Math" w:hAnsi="Cambria Math"/>
                </w:rPr>
              </m:ctrlPr>
            </m:sSubPr>
            <m:e>
              <m:r>
                <w:rPr>
                  <w:rFonts w:ascii="Cambria Math" w:hAnsi="Cambria Math"/>
                </w:rPr>
                <m:t>P</m:t>
              </m:r>
            </m:e>
            <m:sub>
              <m:r>
                <m:rPr>
                  <m:sty m:val="p"/>
                </m:rPr>
                <w:rPr>
                  <w:rFonts w:ascii="Cambria Math" w:hAnsi="Cambria Math"/>
                </w:rPr>
                <m:t>4</m:t>
              </m:r>
            </m:sub>
          </m:sSub>
          <m:r>
            <m:rPr>
              <m:sty m:val="p"/>
            </m:rPr>
            <w:rPr>
              <w:rFonts w:ascii="Cambria Math" w:hAnsi="Cambria Math"/>
            </w:rPr>
            <m:t>(</m:t>
          </m:r>
          <m:r>
            <w:rPr>
              <w:rFonts w:ascii="Cambria Math" w:hAnsi="Cambria Math"/>
            </w:rPr>
            <m:t>i</m:t>
          </m:r>
          <m:r>
            <m:rPr>
              <m:sty m:val="p"/>
            </m:rPr>
            <w:rPr>
              <w:rFonts w:ascii="Cambria Math" w:hAnsi="Cambria Math"/>
            </w:rPr>
            <m:t>)</m:t>
          </m:r>
        </m:oMath>
      </m:oMathPara>
    </w:p>
    <w:p w14:paraId="24EC9A3E" w14:textId="77777777" w:rsidR="00A47663" w:rsidRPr="00A47663" w:rsidRDefault="00A47663" w:rsidP="00A47663">
      <w:r w:rsidRPr="00A47663">
        <w:t xml:space="preserve">Where </w:t>
      </w:r>
    </w:p>
    <w:p w14:paraId="23E60BE0" w14:textId="7DC33F1D" w:rsidR="00A47663" w:rsidRPr="00A47663" w:rsidRDefault="000458DD" w:rsidP="00A47663">
      <m:oMathPara>
        <m:oMath>
          <m:sSub>
            <m:sSubPr>
              <m:ctrlPr>
                <w:rPr>
                  <w:rFonts w:ascii="Cambria Math" w:hAnsi="Cambria Math"/>
                </w:rPr>
              </m:ctrlPr>
            </m:sSubPr>
            <m:e>
              <m:r>
                <w:rPr>
                  <w:rFonts w:ascii="Cambria Math" w:hAnsi="Cambria Math"/>
                </w:rPr>
                <m:t>P</m:t>
              </m:r>
            </m:e>
            <m:sub>
              <m:r>
                <m:rPr>
                  <m:sty m:val="p"/>
                </m:rPr>
                <w:rPr>
                  <w:rFonts w:ascii="Cambria Math" w:hAnsi="Cambria Math"/>
                </w:rPr>
                <m:t>1</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-55, 0</m:t>
                      </m:r>
                    </m:e>
                  </m:d>
                </m:e>
              </m:func>
              <m:r>
                <m:rPr>
                  <m:sty m:val="p"/>
                </m:rPr>
                <w:rPr>
                  <w:rFonts w:ascii="Cambria Math" w:hAnsi="Cambria Math"/>
                </w:rPr>
                <m:t>,10)</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2</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-65, 0</m:t>
                      </m:r>
                    </m:e>
                  </m:d>
                </m:e>
              </m:func>
              <m:r>
                <m:rPr>
                  <m:sty m:val="p"/>
                </m:rPr>
                <w:rPr>
                  <w:rFonts w:ascii="Cambria Math" w:hAnsi="Cambria Math"/>
                </w:rPr>
                <m:t>,10)</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3</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r>
                <m:rPr>
                  <m:sty m:val="p"/>
                </m:rPr>
                <w:rPr>
                  <w:rFonts w:ascii="Cambria Math" w:hAnsi="Cambria Math"/>
                </w:rPr>
                <m:t>min(</m:t>
              </m:r>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-75, 0</m:t>
                      </m:r>
                    </m:e>
                  </m:d>
                </m:e>
              </m:func>
              <m:r>
                <m:rPr>
                  <m:sty m:val="p"/>
                </m:rPr>
                <w:rPr>
                  <w:rFonts w:ascii="Cambria Math" w:hAnsi="Cambria Math"/>
                </w:rPr>
                <m:t>,15)</m:t>
              </m:r>
            </m:e>
          </m:nary>
          <m:r>
            <m:rPr>
              <m:sty m:val="p"/>
            </m:rPr>
            <w:rPr>
              <w:rFonts w:ascii="Cambria Math" w:hAnsi="Cambria Math"/>
            </w:rPr>
            <w:br/>
          </m:r>
        </m:oMath>
        <m:oMath>
          <m:sSub>
            <m:sSubPr>
              <m:ctrlPr>
                <w:rPr>
                  <w:rFonts w:ascii="Cambria Math" w:hAnsi="Cambria Math"/>
                </w:rPr>
              </m:ctrlPr>
            </m:sSubPr>
            <m:e>
              <m:r>
                <w:rPr>
                  <w:rFonts w:ascii="Cambria Math" w:hAnsi="Cambria Math"/>
                </w:rPr>
                <m:t>P</m:t>
              </m:r>
            </m:e>
            <m:sub>
              <m:r>
                <m:rPr>
                  <m:sty m:val="p"/>
                </m:rPr>
                <w:rPr>
                  <w:rFonts w:ascii="Cambria Math" w:hAnsi="Cambria Math"/>
                </w:rPr>
                <m:t>4</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m:rPr>
                  <m:sty m:val="p"/>
                </m:rPr>
                <w:rPr>
                  <w:rFonts w:ascii="Cambria Math" w:hAnsi="Cambria Math"/>
                </w:rPr>
                <m:t>24</m:t>
              </m:r>
            </m:sup>
            <m:e>
              <m:func>
                <m:funcPr>
                  <m:ctrlPr>
                    <w:rPr>
                      <w:rFonts w:ascii="Cambria Math" w:hAnsi="Cambria Math"/>
                    </w:rPr>
                  </m:ctrlPr>
                </m:funcPr>
                <m:fName>
                  <m:r>
                    <m:rPr>
                      <m:sty m:val="p"/>
                    </m:rPr>
                    <w:rPr>
                      <w:rFonts w:ascii="Cambria Math" w:hAnsi="Cambria Math"/>
                    </w:rPr>
                    <m:t>max</m:t>
                  </m:r>
                </m:fName>
                <m:e>
                  <m:d>
                    <m:dPr>
                      <m:ctrlPr>
                        <w:rPr>
                          <w:rFonts w:ascii="Cambria Math" w:hAnsi="Cambria Math"/>
                        </w:rPr>
                      </m:ctrlPr>
                    </m:dPr>
                    <m:e>
                      <m:r>
                        <w:rPr>
                          <w:rFonts w:ascii="Cambria Math" w:hAnsi="Cambria Math"/>
                        </w:rPr>
                        <m:t>Temp</m:t>
                      </m:r>
                      <m:d>
                        <m:dPr>
                          <m:ctrlPr>
                            <w:rPr>
                              <w:rFonts w:ascii="Cambria Math" w:hAnsi="Cambria Math"/>
                            </w:rPr>
                          </m:ctrlPr>
                        </m:dPr>
                        <m:e>
                          <m:r>
                            <w:rPr>
                              <w:rFonts w:ascii="Cambria Math" w:hAnsi="Cambria Math"/>
                            </w:rPr>
                            <m:t>i</m:t>
                          </m:r>
                        </m:e>
                      </m:d>
                      <m:r>
                        <m:rPr>
                          <m:sty m:val="p"/>
                        </m:rPr>
                        <w:rPr>
                          <w:rFonts w:ascii="Cambria Math" w:hAnsi="Cambria Math"/>
                        </w:rPr>
                        <m:t>-90, 0</m:t>
                      </m:r>
                    </m:e>
                  </m:d>
                </m:e>
              </m:func>
            </m:e>
          </m:nary>
        </m:oMath>
      </m:oMathPara>
    </w:p>
    <w:p w14:paraId="4B625190" w14:textId="789F14DB" w:rsidR="00A47663" w:rsidRPr="00A47663" w:rsidRDefault="00A47663" w:rsidP="00A47663">
      <m:oMath>
        <m:r>
          <w:rPr>
            <w:rFonts w:ascii="Cambria Math" w:hAnsi="Cambria Math"/>
          </w:rPr>
          <m:t>Time</m:t>
        </m:r>
        <m:d>
          <m:dPr>
            <m:ctrlPr>
              <w:rPr>
                <w:rFonts w:ascii="Cambria Math" w:hAnsi="Cambria Math"/>
              </w:rPr>
            </m:ctrlPr>
          </m:dPr>
          <m:e>
            <m:r>
              <w:rPr>
                <w:rFonts w:ascii="Cambria Math" w:hAnsi="Cambria Math"/>
              </w:rPr>
              <m:t>i</m:t>
            </m:r>
          </m:e>
        </m:d>
      </m:oMath>
      <w:r w:rsidRPr="00A47663">
        <w:t xml:space="preserve"> is an indicator variable set to one if </w:t>
      </w:r>
      <m:oMath>
        <m:r>
          <w:rPr>
            <w:rFonts w:ascii="Cambria Math" w:hAnsi="Cambria Math"/>
          </w:rPr>
          <m:t>i</m:t>
        </m:r>
      </m:oMath>
      <w:r w:rsidRPr="00A47663" w:rsidDel="00351FF7">
        <w:t xml:space="preserve"> </w:t>
      </w:r>
      <w:r w:rsidRPr="00A47663">
        <w:t xml:space="preserve">is the </w:t>
      </w:r>
      <m:oMath>
        <m:sSup>
          <m:sSupPr>
            <m:ctrlPr>
              <w:rPr>
                <w:rFonts w:ascii="Cambria Math" w:hAnsi="Cambria Math"/>
              </w:rPr>
            </m:ctrlPr>
          </m:sSupPr>
          <m:e>
            <m:r>
              <w:rPr>
                <w:rFonts w:ascii="Cambria Math" w:hAnsi="Cambria Math"/>
              </w:rPr>
              <m:t>j</m:t>
            </m:r>
          </m:e>
          <m:sup>
            <m:r>
              <w:rPr>
                <w:rFonts w:ascii="Cambria Math" w:hAnsi="Cambria Math"/>
              </w:rPr>
              <m:t>th</m:t>
            </m:r>
          </m:sup>
        </m:sSup>
      </m:oMath>
      <w:r w:rsidRPr="00A47663">
        <w:t xml:space="preserve"> day of the week and zero otherwise. </w:t>
      </w:r>
    </w:p>
    <w:p w14:paraId="15DFDC34" w14:textId="48D3F4CF" w:rsidR="00A47663" w:rsidRPr="00A47663" w:rsidRDefault="00A47663" w:rsidP="00A47663">
      <m:oMath>
        <m:r>
          <w:rPr>
            <w:rFonts w:ascii="Cambria Math" w:hAnsi="Cambria Math"/>
          </w:rPr>
          <m:t>Change</m:t>
        </m:r>
        <m:r>
          <m:rPr>
            <m:sty m:val="p"/>
          </m:rPr>
          <w:rPr>
            <w:rFonts w:ascii="Cambria Math" w:hAnsi="Cambria Math"/>
          </w:rPr>
          <m:t>(</m:t>
        </m:r>
        <m:r>
          <w:rPr>
            <w:rFonts w:ascii="Cambria Math" w:hAnsi="Cambria Math"/>
          </w:rPr>
          <m:t>i</m:t>
        </m:r>
        <m:r>
          <m:rPr>
            <m:sty m:val="p"/>
          </m:rPr>
          <w:rPr>
            <w:rFonts w:ascii="Cambria Math" w:hAnsi="Cambria Math"/>
          </w:rPr>
          <m:t>)</m:t>
        </m:r>
      </m:oMath>
      <w:r w:rsidRPr="00A47663">
        <w:t xml:space="preserve"> is the treatment variable, set to one if day </w:t>
      </w:r>
      <m:oMath>
        <m:r>
          <w:rPr>
            <w:rFonts w:ascii="Cambria Math" w:hAnsi="Cambria Math"/>
          </w:rPr>
          <m:t>i</m:t>
        </m:r>
      </m:oMath>
      <w:r w:rsidRPr="00A47663">
        <w:t xml:space="preserve"> occurs during the reporting period and zero otherwise.</w:t>
      </w:r>
    </w:p>
    <w:p w14:paraId="3F509DC4" w14:textId="5C013E92" w:rsidR="00A47663" w:rsidRDefault="00A47663" w:rsidP="00A47663">
      <w:pPr>
        <w:pStyle w:val="Heading4"/>
      </w:pPr>
      <w:r>
        <w:t>Normalized Gross Annual Savings</w:t>
      </w:r>
    </w:p>
    <w:p w14:paraId="0BED8D09" w14:textId="60CC7890" w:rsidR="001F186F" w:rsidRDefault="001F186F" w:rsidP="001F186F">
      <w:r>
        <w:t>To verify gross annual savings resulting from the Virtual SEM channel, the evaluation team first estimated the daily model</w:t>
      </w:r>
      <w:r w:rsidR="0062758A">
        <w:t>s</w:t>
      </w:r>
      <w:r>
        <w:t xml:space="preserve"> for the individual facilit</w:t>
      </w:r>
      <w:r w:rsidR="0062758A">
        <w:t>ies</w:t>
      </w:r>
      <w:r>
        <w:t xml:space="preserve"> using actual weather data. Next, we calculated the annual predicted baseline and reporting period electricity consumption for the facility using estimated regression coefficients and TMY</w:t>
      </w:r>
      <w:r w:rsidR="0062758A">
        <w:t>x</w:t>
      </w:r>
      <w:r>
        <w:t xml:space="preserve"> weather data. Finally, we computed the annual savings by calculating the difference between the annual predicted baseline and reporting period electricity consumption. </w:t>
      </w:r>
    </w:p>
    <w:p w14:paraId="7111E16E" w14:textId="5E93DEE0" w:rsidR="00A47663" w:rsidRDefault="001F186F" w:rsidP="001F186F">
      <w:r>
        <w:t xml:space="preserve">For </w:t>
      </w:r>
      <w:r w:rsidR="0062758A">
        <w:t>each</w:t>
      </w:r>
      <w:r>
        <w:t xml:space="preserve"> facility </w:t>
      </w:r>
      <w:r w:rsidR="008A0837">
        <w:t>where</w:t>
      </w:r>
      <w:r>
        <w:t xml:space="preserve"> Power TakeOff estimated the daily regression model specified in </w:t>
      </w:r>
      <w:r>
        <w:fldChar w:fldCharType="begin"/>
      </w:r>
      <w:r>
        <w:instrText xml:space="preserve"> REF _Ref191564238 \h </w:instrText>
      </w:r>
      <w:r>
        <w:fldChar w:fldCharType="separate"/>
      </w:r>
      <w:r w:rsidR="00AA10F4">
        <w:t xml:space="preserve">Equation </w:t>
      </w:r>
      <w:r w:rsidR="00AA10F4">
        <w:rPr>
          <w:noProof/>
        </w:rPr>
        <w:t>21</w:t>
      </w:r>
      <w:r>
        <w:fldChar w:fldCharType="end"/>
      </w:r>
      <w:r>
        <w:t xml:space="preserve">, the evaluation team calculated daily predicted baseline and reporting period electricity consumption based on </w:t>
      </w:r>
      <w:r>
        <w:fldChar w:fldCharType="begin"/>
      </w:r>
      <w:r>
        <w:instrText xml:space="preserve"> REF _Ref191564664 \h </w:instrText>
      </w:r>
      <w:r>
        <w:fldChar w:fldCharType="separate"/>
      </w:r>
      <w:r w:rsidR="00AA10F4">
        <w:t xml:space="preserve">Equation </w:t>
      </w:r>
      <w:r w:rsidR="00AA10F4">
        <w:rPr>
          <w:noProof/>
        </w:rPr>
        <w:t>22</w:t>
      </w:r>
      <w:r>
        <w:fldChar w:fldCharType="end"/>
      </w:r>
      <w:r>
        <w:t xml:space="preserve"> and </w:t>
      </w:r>
      <w:r>
        <w:fldChar w:fldCharType="begin"/>
      </w:r>
      <w:r>
        <w:instrText xml:space="preserve"> REF _Ref191564674 \h </w:instrText>
      </w:r>
      <w:r>
        <w:fldChar w:fldCharType="separate"/>
      </w:r>
      <w:r w:rsidR="00AA10F4">
        <w:t xml:space="preserve">Equation </w:t>
      </w:r>
      <w:r w:rsidR="00AA10F4">
        <w:rPr>
          <w:noProof/>
        </w:rPr>
        <w:t>23</w:t>
      </w:r>
      <w:r>
        <w:fldChar w:fldCharType="end"/>
      </w:r>
      <w:r>
        <w:t xml:space="preserve">. We calculated annual savings using the formula defined above, but the sum included all the days in the TMY. The following equations </w:t>
      </w:r>
      <w:r w:rsidR="008A0837">
        <w:t xml:space="preserve">detail </w:t>
      </w:r>
      <w:r>
        <w:t>how we calculated the gross annual savings.</w:t>
      </w:r>
    </w:p>
    <w:p w14:paraId="08116BD3" w14:textId="28B91074" w:rsidR="001F186F" w:rsidRDefault="001F186F" w:rsidP="00881B1B">
      <w:pPr>
        <w:pStyle w:val="Caption"/>
      </w:pPr>
      <w:bookmarkStart w:id="431" w:name="_Ref191564664"/>
      <w:r>
        <w:t xml:space="preserve">Equation </w:t>
      </w:r>
      <w:r>
        <w:fldChar w:fldCharType="begin"/>
      </w:r>
      <w:r>
        <w:instrText xml:space="preserve"> SEQ Equation \* ARABIC </w:instrText>
      </w:r>
      <w:r>
        <w:fldChar w:fldCharType="separate"/>
      </w:r>
      <w:r w:rsidR="00AA10F4">
        <w:rPr>
          <w:noProof/>
        </w:rPr>
        <w:t>22</w:t>
      </w:r>
      <w:r>
        <w:fldChar w:fldCharType="end"/>
      </w:r>
      <w:bookmarkEnd w:id="431"/>
      <w:r>
        <w:t>. Daily Predicted Baseline Period Electricity Consumption</w:t>
      </w:r>
    </w:p>
    <w:p w14:paraId="37CFD5A9" w14:textId="50C992EF" w:rsidR="001F186F" w:rsidRPr="001F186F" w:rsidRDefault="000458DD" w:rsidP="001F186F">
      <m:oMathPara>
        <m:oMath>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 xml:space="preserve"> </m:t>
              </m:r>
            </m:e>
          </m:nary>
        </m:oMath>
      </m:oMathPara>
    </w:p>
    <w:p w14:paraId="5C07599F" w14:textId="695E952B" w:rsidR="001F186F" w:rsidRPr="001F186F" w:rsidRDefault="001F186F" w:rsidP="00881B1B">
      <w:pPr>
        <w:pStyle w:val="Caption"/>
      </w:pPr>
      <w:bookmarkStart w:id="432" w:name="_Ref191564674"/>
      <w:r>
        <w:t xml:space="preserve">Equation </w:t>
      </w:r>
      <w:r>
        <w:fldChar w:fldCharType="begin"/>
      </w:r>
      <w:r>
        <w:instrText xml:space="preserve"> SEQ Equation \* ARABIC </w:instrText>
      </w:r>
      <w:r>
        <w:fldChar w:fldCharType="separate"/>
      </w:r>
      <w:r w:rsidR="00AA10F4">
        <w:rPr>
          <w:noProof/>
        </w:rPr>
        <w:t>23</w:t>
      </w:r>
      <w:r>
        <w:fldChar w:fldCharType="end"/>
      </w:r>
      <w:bookmarkEnd w:id="432"/>
      <w:r>
        <w:t>. Daily Predicted Reporting Period Electricity Consumption</w:t>
      </w:r>
    </w:p>
    <w:p w14:paraId="1B2B39AC" w14:textId="1273426E" w:rsidR="001F186F" w:rsidRPr="00D81990" w:rsidRDefault="000458DD" w:rsidP="001F186F">
      <m:oMathPara>
        <m:oMath>
          <m:sSub>
            <m:sSubPr>
              <m:ctrlPr>
                <w:rPr>
                  <w:rFonts w:ascii="Cambria Math" w:hAnsi="Cambria Math"/>
                </w:rPr>
              </m:ctrlPr>
            </m:sSubPr>
            <m:e>
              <m:r>
                <w:rPr>
                  <w:rFonts w:ascii="Cambria Math" w:hAnsi="Cambria Math"/>
                </w:rPr>
                <m:t>E</m:t>
              </m:r>
            </m:e>
            <m:sub>
              <m:r>
                <w:rPr>
                  <w:rFonts w:ascii="Cambria Math" w:hAnsi="Cambria Math"/>
                </w:rPr>
                <m:t>R</m:t>
              </m:r>
            </m:sub>
          </m:sSub>
          <m:d>
            <m:dPr>
              <m:ctrlPr>
                <w:rPr>
                  <w:rFonts w:ascii="Cambria Math" w:hAnsi="Cambria Math"/>
                </w:rPr>
              </m:ctrlPr>
            </m:dPr>
            <m:e>
              <m:r>
                <w:rPr>
                  <w:rFonts w:ascii="Cambria Math" w:hAnsi="Cambria Math"/>
                </w:rPr>
                <m:t>i</m:t>
              </m:r>
            </m:e>
          </m:d>
          <m:r>
            <w:rPr>
              <w:rFonts w:ascii="Cambria Math" w:hAnsi="Cambria Math"/>
            </w:rPr>
            <m:t>=</m:t>
          </m:r>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acc>
                    <m:accPr>
                      <m:ctrlPr>
                        <w:rPr>
                          <w:rFonts w:ascii="Cambria Math" w:hAnsi="Cambria Math"/>
                        </w:rPr>
                      </m:ctrlPr>
                    </m:accPr>
                    <m:e>
                      <m:r>
                        <w:rPr>
                          <w:rFonts w:ascii="Cambria Math" w:hAnsi="Cambria Math"/>
                        </w:rPr>
                        <m:t>β</m:t>
                      </m:r>
                    </m:e>
                  </m:acc>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r>
                <m:rPr>
                  <m:sty m:val="p"/>
                </m:rPr>
                <w:rPr>
                  <w:rFonts w:ascii="Cambria Math" w:hAnsi="Cambria Math"/>
                </w:rPr>
                <m:t xml:space="preserve">+ </m:t>
              </m:r>
              <m:d>
                <m:dPr>
                  <m:ctrlPr>
                    <w:rPr>
                      <w:rFonts w:ascii="Cambria Math" w:hAnsi="Cambria Math"/>
                    </w:rPr>
                  </m:ctrlPr>
                </m:dPr>
                <m:e>
                  <m:nary>
                    <m:naryPr>
                      <m:chr m:val="∑"/>
                      <m:ctrlPr>
                        <w:rPr>
                          <w:rFonts w:ascii="Cambria Math" w:hAnsi="Cambria Math"/>
                        </w:rPr>
                      </m:ctrlPr>
                    </m:naryPr>
                    <m:sub>
                      <m:r>
                        <w:rPr>
                          <w:rFonts w:ascii="Cambria Math" w:hAnsi="Cambria Math"/>
                        </w:rPr>
                        <m:t>j</m:t>
                      </m:r>
                      <m:r>
                        <m:rPr>
                          <m:sty m:val="p"/>
                        </m:rPr>
                        <w:rPr>
                          <w:rFonts w:ascii="Cambria Math" w:hAnsi="Cambria Math"/>
                        </w:rPr>
                        <m:t>=1</m:t>
                      </m:r>
                    </m:sub>
                    <m:sup>
                      <m:r>
                        <m:rPr>
                          <m:sty m:val="p"/>
                        </m:rPr>
                        <w:rPr>
                          <w:rFonts w:ascii="Cambria Math" w:hAnsi="Cambria Math"/>
                        </w:rPr>
                        <m:t>7</m:t>
                      </m:r>
                    </m:sup>
                    <m:e>
                      <m:sSub>
                        <m:sSubPr>
                          <m:ctrlPr>
                            <w:rPr>
                              <w:rFonts w:ascii="Cambria Math" w:hAnsi="Cambria Math"/>
                            </w:rPr>
                          </m:ctrlPr>
                        </m:sSubPr>
                        <m:e>
                          <m:r>
                            <w:rPr>
                              <w:rFonts w:ascii="Cambria Math" w:hAnsi="Cambria Math"/>
                            </w:rPr>
                            <m:t>β</m:t>
                          </m:r>
                        </m:e>
                        <m:sub>
                          <m:r>
                            <w:rPr>
                              <w:rFonts w:ascii="Cambria Math" w:hAnsi="Cambria Math"/>
                            </w:rPr>
                            <m:t>j</m:t>
                          </m:r>
                        </m:sub>
                      </m:sSub>
                      <m:sSub>
                        <m:sSubPr>
                          <m:ctrlPr>
                            <w:rPr>
                              <w:rFonts w:ascii="Cambria Math" w:hAnsi="Cambria Math"/>
                            </w:rPr>
                          </m:ctrlPr>
                        </m:sSubPr>
                        <m:e>
                          <m:r>
                            <w:rPr>
                              <w:rFonts w:ascii="Cambria Math" w:hAnsi="Cambria Math"/>
                            </w:rPr>
                            <m:t>W</m:t>
                          </m:r>
                        </m:e>
                        <m:sub>
                          <m:r>
                            <w:rPr>
                              <w:rFonts w:ascii="Cambria Math" w:hAnsi="Cambria Math"/>
                            </w:rPr>
                            <m:t>j</m:t>
                          </m:r>
                        </m:sub>
                      </m:sSub>
                      <m:d>
                        <m:dPr>
                          <m:ctrlPr>
                            <w:rPr>
                              <w:rFonts w:ascii="Cambria Math" w:hAnsi="Cambria Math"/>
                            </w:rPr>
                          </m:ctrlPr>
                        </m:dPr>
                        <m:e>
                          <m:r>
                            <w:rPr>
                              <w:rFonts w:ascii="Cambria Math" w:hAnsi="Cambria Math"/>
                            </w:rPr>
                            <m:t>i</m:t>
                          </m:r>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m:rPr>
                          <m:sty m:val="p"/>
                        </m:rPr>
                        <w:rPr>
                          <w:rFonts w:ascii="Cambria Math" w:hAnsi="Cambria Math"/>
                        </w:rPr>
                        <m:t>(</m:t>
                      </m:r>
                      <m:r>
                        <w:rPr>
                          <w:rFonts w:ascii="Cambria Math" w:hAnsi="Cambria Math"/>
                        </w:rPr>
                        <m:t>Change</m:t>
                      </m:r>
                      <m:d>
                        <m:dPr>
                          <m:ctrlPr>
                            <w:rPr>
                              <w:rFonts w:ascii="Cambria Math" w:hAnsi="Cambria Math"/>
                            </w:rPr>
                          </m:ctrlPr>
                        </m:dPr>
                        <m:e>
                          <m:r>
                            <w:rPr>
                              <w:rFonts w:ascii="Cambria Math" w:hAnsi="Cambria Math"/>
                            </w:rPr>
                            <m:t>i</m:t>
                          </m:r>
                        </m:e>
                      </m:d>
                    </m:e>
                  </m:nary>
                </m:e>
              </m:d>
              <m:r>
                <m:rPr>
                  <m:sty m:val="p"/>
                </m:rPr>
                <w:rPr>
                  <w:rFonts w:ascii="Cambria Math" w:hAnsi="Cambria Math"/>
                </w:rPr>
                <m:t>+</m:t>
              </m:r>
              <m:d>
                <m:dPr>
                  <m:ctrlPr>
                    <w:rPr>
                      <w:rFonts w:ascii="Cambria Math" w:hAnsi="Cambria Math"/>
                    </w:rPr>
                  </m:ctrlPr>
                </m:dPr>
                <m:e>
                  <m:d>
                    <m:dPr>
                      <m:ctrlPr>
                        <w:rPr>
                          <w:rFonts w:ascii="Cambria Math" w:hAnsi="Cambria Math"/>
                        </w:rPr>
                      </m:ctrlPr>
                    </m:dPr>
                    <m:e>
                      <m:acc>
                        <m:accPr>
                          <m:ctrlPr>
                            <w:rPr>
                              <w:rFonts w:ascii="Cambria Math" w:hAnsi="Cambria Math"/>
                            </w:rPr>
                          </m:ctrlPr>
                        </m:accPr>
                        <m:e>
                          <m:r>
                            <w:rPr>
                              <w:rFonts w:ascii="Cambria Math" w:hAnsi="Cambria Math"/>
                            </w:rPr>
                            <m:t>H</m:t>
                          </m:r>
                        </m:e>
                      </m:acc>
                      <m:d>
                        <m:dPr>
                          <m:ctrlPr>
                            <w:rPr>
                              <w:rFonts w:ascii="Cambria Math" w:hAnsi="Cambria Math"/>
                            </w:rPr>
                          </m:ctrlPr>
                        </m:dPr>
                        <m:e>
                          <m:r>
                            <w:rPr>
                              <w:rFonts w:ascii="Cambria Math" w:hAnsi="Cambria Math"/>
                            </w:rPr>
                            <m:t>i</m:t>
                          </m:r>
                        </m:e>
                      </m:d>
                      <m:r>
                        <m:rPr>
                          <m:sty m:val="p"/>
                        </m:rPr>
                        <w:rPr>
                          <w:rFonts w:ascii="Cambria Math" w:hAnsi="Cambria Math"/>
                        </w:rPr>
                        <m:t>+</m:t>
                      </m:r>
                      <m:acc>
                        <m:accPr>
                          <m:ctrlPr>
                            <w:rPr>
                              <w:rFonts w:ascii="Cambria Math" w:hAnsi="Cambria Math"/>
                            </w:rPr>
                          </m:ctrlPr>
                        </m:accPr>
                        <m:e>
                          <m:r>
                            <w:rPr>
                              <w:rFonts w:ascii="Cambria Math" w:hAnsi="Cambria Math"/>
                            </w:rPr>
                            <m:t>C</m:t>
                          </m:r>
                        </m:e>
                      </m:acc>
                      <m:d>
                        <m:dPr>
                          <m:ctrlPr>
                            <w:rPr>
                              <w:rFonts w:ascii="Cambria Math" w:hAnsi="Cambria Math"/>
                            </w:rPr>
                          </m:ctrlPr>
                        </m:dPr>
                        <m:e>
                          <m:r>
                            <w:rPr>
                              <w:rFonts w:ascii="Cambria Math" w:hAnsi="Cambria Math"/>
                            </w:rPr>
                            <m:t>i</m:t>
                          </m:r>
                        </m:e>
                      </m:d>
                    </m:e>
                  </m:d>
                  <m:r>
                    <m:rPr>
                      <m:sty m:val="p"/>
                    </m:rPr>
                    <w:rPr>
                      <w:rFonts w:ascii="Cambria Math" w:hAnsi="Cambria Math"/>
                    </w:rPr>
                    <m:t xml:space="preserve">* </m:t>
                  </m:r>
                  <m:sSub>
                    <m:sSubPr>
                      <m:ctrlPr>
                        <w:rPr>
                          <w:rFonts w:ascii="Cambria Math" w:hAnsi="Cambria Math"/>
                        </w:rPr>
                      </m:ctrlPr>
                    </m:sSubPr>
                    <m:e>
                      <m:r>
                        <w:rPr>
                          <w:rFonts w:ascii="Cambria Math" w:hAnsi="Cambria Math"/>
                        </w:rPr>
                        <m:t>α</m:t>
                      </m:r>
                    </m:e>
                    <m:sub>
                      <m:r>
                        <w:rPr>
                          <w:rFonts w:ascii="Cambria Math" w:hAnsi="Cambria Math"/>
                        </w:rPr>
                        <m:t>j</m:t>
                      </m:r>
                    </m:sub>
                  </m:sSub>
                  <m:r>
                    <w:rPr>
                      <w:rFonts w:ascii="Cambria Math" w:hAnsi="Cambria Math"/>
                    </w:rPr>
                    <m:t>Change</m:t>
                  </m:r>
                  <m:d>
                    <m:dPr>
                      <m:ctrlPr>
                        <w:rPr>
                          <w:rFonts w:ascii="Cambria Math" w:hAnsi="Cambria Math"/>
                        </w:rPr>
                      </m:ctrlPr>
                    </m:dPr>
                    <m:e>
                      <m:r>
                        <w:rPr>
                          <w:rFonts w:ascii="Cambria Math" w:hAnsi="Cambria Math"/>
                        </w:rPr>
                        <m:t>i</m:t>
                      </m:r>
                    </m:e>
                  </m:d>
                </m:e>
              </m:d>
            </m:e>
          </m:nary>
        </m:oMath>
      </m:oMathPara>
    </w:p>
    <w:p w14:paraId="67CD5F8B" w14:textId="7800A03F" w:rsidR="00D81990" w:rsidRDefault="00D81990" w:rsidP="001F186F">
      <w:r>
        <w:t>Annual</w:t>
      </w:r>
      <w:r w:rsidR="004D12D6">
        <w:t xml:space="preserve"> </w:t>
      </w:r>
      <w:r>
        <w:t>savings were calculated as</w:t>
      </w:r>
      <w:r w:rsidR="008A0837">
        <w:t xml:space="preserve"> follows</w:t>
      </w:r>
      <w:r>
        <w:t xml:space="preserve">: </w:t>
      </w:r>
    </w:p>
    <w:p w14:paraId="252D98FF" w14:textId="5304B709" w:rsidR="00D81990" w:rsidRPr="00D81990" w:rsidRDefault="000458DD" w:rsidP="00D81990">
      <m:oMathPara>
        <m:oMath>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B</m:t>
                  </m:r>
                </m:sub>
              </m:sSub>
              <m:d>
                <m:dPr>
                  <m:ctrlPr>
                    <w:rPr>
                      <w:rFonts w:ascii="Cambria Math" w:hAnsi="Cambria Math"/>
                    </w:rPr>
                  </m:ctrlPr>
                </m:dPr>
                <m:e>
                  <m:r>
                    <w:rPr>
                      <w:rFonts w:ascii="Cambria Math" w:hAnsi="Cambria Math"/>
                    </w:rPr>
                    <m:t>i</m:t>
                  </m:r>
                </m:e>
              </m:d>
              <m:r>
                <m:rPr>
                  <m:sty m:val="p"/>
                </m:rPr>
                <w:rPr>
                  <w:rFonts w:ascii="Cambria Math" w:hAnsi="Cambria Math"/>
                </w:rPr>
                <m:t>-</m:t>
              </m:r>
              <m:nary>
                <m:naryPr>
                  <m:chr m:val="∑"/>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TMY</m:t>
                  </m:r>
                </m:sub>
                <m:sup/>
                <m:e>
                  <m:sSub>
                    <m:sSubPr>
                      <m:ctrlPr>
                        <w:rPr>
                          <w:rFonts w:ascii="Cambria Math" w:hAnsi="Cambria Math"/>
                        </w:rPr>
                      </m:ctrlPr>
                    </m:sSubPr>
                    <m:e>
                      <m:r>
                        <w:rPr>
                          <w:rFonts w:ascii="Cambria Math" w:hAnsi="Cambria Math"/>
                        </w:rPr>
                        <m:t>E</m:t>
                      </m:r>
                    </m:e>
                    <m:sub>
                      <m:r>
                        <w:rPr>
                          <w:rFonts w:ascii="Cambria Math" w:hAnsi="Cambria Math"/>
                        </w:rPr>
                        <m:t>R</m:t>
                      </m:r>
                    </m:sub>
                  </m:sSub>
                  <m:r>
                    <m:rPr>
                      <m:sty m:val="p"/>
                    </m:rPr>
                    <w:rPr>
                      <w:rFonts w:ascii="Cambria Math" w:hAnsi="Cambria Math"/>
                    </w:rPr>
                    <m:t>(</m:t>
                  </m:r>
                  <m:r>
                    <w:rPr>
                      <w:rFonts w:ascii="Cambria Math" w:hAnsi="Cambria Math"/>
                    </w:rPr>
                    <m:t>i</m:t>
                  </m:r>
                  <m:r>
                    <m:rPr>
                      <m:sty m:val="p"/>
                    </m:rPr>
                    <w:rPr>
                      <w:rFonts w:ascii="Cambria Math" w:hAnsi="Cambria Math"/>
                    </w:rPr>
                    <m:t>)</m:t>
                  </m:r>
                </m:e>
              </m:nary>
            </m:e>
          </m:nary>
        </m:oMath>
      </m:oMathPara>
    </w:p>
    <w:p w14:paraId="6C484885" w14:textId="4801254E" w:rsidR="00D81990" w:rsidRDefault="004D12D6" w:rsidP="001F186F">
      <w:r>
        <w:t>Where each sum was over all the hours in the TMY.</w:t>
      </w:r>
    </w:p>
    <w:p w14:paraId="4F823D8A" w14:textId="380EDC70" w:rsidR="004D12D6" w:rsidRDefault="004D12D6" w:rsidP="00FB14E9">
      <w:pPr>
        <w:pStyle w:val="Heading4"/>
        <w:keepNext/>
        <w:keepLines/>
      </w:pPr>
      <w:r>
        <w:lastRenderedPageBreak/>
        <w:t>Non-Routine Events</w:t>
      </w:r>
    </w:p>
    <w:p w14:paraId="7C9450DD" w14:textId="5DA489C6" w:rsidR="004D12D6" w:rsidRDefault="004D12D6" w:rsidP="004D12D6">
      <w:r>
        <w:t>Power TakeOff did not identify any NREs that occurred at the participating sites in 2024.</w:t>
      </w:r>
    </w:p>
    <w:p w14:paraId="5E6C3B12" w14:textId="0CD2F7CB" w:rsidR="004D12D6" w:rsidRDefault="004D12D6" w:rsidP="004D12D6">
      <w:pPr>
        <w:pStyle w:val="Heading4"/>
      </w:pPr>
      <w:r>
        <w:t>Model Fitness Criteria</w:t>
      </w:r>
    </w:p>
    <w:p w14:paraId="56369E6B" w14:textId="7472158E" w:rsidR="004D12D6" w:rsidRPr="004D12D6" w:rsidRDefault="004D12D6" w:rsidP="004D12D6">
      <w:r w:rsidRPr="004D12D6">
        <w:t xml:space="preserve">To claim project savings as part of the channel, the model for the project </w:t>
      </w:r>
      <w:r w:rsidR="0062758A">
        <w:t>must</w:t>
      </w:r>
      <w:r w:rsidRPr="004D12D6">
        <w:t xml:space="preserve"> meet the following goodness-of-fit criteria:</w:t>
      </w:r>
    </w:p>
    <w:p w14:paraId="08685693" w14:textId="77777777" w:rsidR="004D12D6" w:rsidRPr="00FB14E9" w:rsidRDefault="004D12D6" w:rsidP="00FB14E9">
      <w:pPr>
        <w:pStyle w:val="ListBullet"/>
      </w:pPr>
      <w:r w:rsidRPr="00FB14E9">
        <w:t>Absolute Value of Normalized Mean Bias Error (NMBE) &lt; 0.5%</w:t>
      </w:r>
    </w:p>
    <w:p w14:paraId="25CE07DE" w14:textId="77777777" w:rsidR="004D12D6" w:rsidRPr="00FB14E9" w:rsidRDefault="004D12D6" w:rsidP="00FB14E9">
      <w:pPr>
        <w:pStyle w:val="ListBullet"/>
      </w:pPr>
      <w:r w:rsidRPr="00FB14E9">
        <w:t>Coefficient of Variation of Root Mean Square Error CV(RMSE) &lt; 25%</w:t>
      </w:r>
    </w:p>
    <w:p w14:paraId="6C10878B" w14:textId="77777777" w:rsidR="004D12D6" w:rsidRPr="00FB14E9" w:rsidRDefault="004D12D6" w:rsidP="00FB14E9">
      <w:pPr>
        <w:pStyle w:val="ListBullet"/>
      </w:pPr>
      <w:r w:rsidRPr="00FB14E9">
        <w:t>Savings Uncertainty &lt; 50% at 68% confidence</w:t>
      </w:r>
    </w:p>
    <w:p w14:paraId="7E01CFBA" w14:textId="007A4DAB" w:rsidR="004D12D6" w:rsidRDefault="004D12D6" w:rsidP="004D12D6">
      <w:r w:rsidRPr="004D12D6">
        <w:t>These goodness-of-fit metrics were calculated consistent with industry best practices.</w:t>
      </w:r>
      <w:r w:rsidRPr="004D12D6">
        <w:rPr>
          <w:vertAlign w:val="superscript"/>
        </w:rPr>
        <w:footnoteReference w:id="48"/>
      </w:r>
      <w:r w:rsidRPr="004D12D6">
        <w:t xml:space="preserve"> The project met the savings uncertainty criteria. </w:t>
      </w:r>
    </w:p>
    <w:p w14:paraId="46FC32D9" w14:textId="455D4C94" w:rsidR="004D12D6" w:rsidRDefault="00BD4C61" w:rsidP="00BD4C61">
      <w:pPr>
        <w:pStyle w:val="Heading4"/>
      </w:pPr>
      <w:r>
        <w:t>Detailed Project Savings</w:t>
      </w:r>
    </w:p>
    <w:p w14:paraId="63CB938E" w14:textId="6C6738E2" w:rsidR="00BD4C61" w:rsidRDefault="00BD4C61" w:rsidP="00BD4C61">
      <w:r>
        <w:fldChar w:fldCharType="begin"/>
      </w:r>
      <w:r>
        <w:instrText xml:space="preserve"> REF _Ref191565304 \h </w:instrText>
      </w:r>
      <w:r>
        <w:fldChar w:fldCharType="separate"/>
      </w:r>
      <w:r w:rsidR="00AA10F4">
        <w:t xml:space="preserve">Table </w:t>
      </w:r>
      <w:r w:rsidR="00AA10F4">
        <w:rPr>
          <w:noProof/>
        </w:rPr>
        <w:t>98</w:t>
      </w:r>
      <w:r>
        <w:fldChar w:fldCharType="end"/>
      </w:r>
      <w:r>
        <w:t xml:space="preserve"> </w:t>
      </w:r>
      <w:r w:rsidR="008A0837">
        <w:t>presents the results of the gross savings analysis (unadjusted for cross-participation) for the four Virtual SEM projects completed in 2024. Electric energy savings realization rates for individual projects range from 70% to 140%</w:t>
      </w:r>
      <w:r w:rsidRPr="00BD4C61">
        <w:t>. All projects met model uncertainty thresholds in 2024.</w:t>
      </w:r>
    </w:p>
    <w:p w14:paraId="0E218280" w14:textId="0E394904" w:rsidR="00BD4C61" w:rsidRDefault="00BD4C61" w:rsidP="00881B1B">
      <w:pPr>
        <w:pStyle w:val="Caption"/>
      </w:pPr>
      <w:bookmarkStart w:id="433" w:name="_Ref191565304"/>
      <w:bookmarkStart w:id="434" w:name="_Toc191992616"/>
      <w:bookmarkStart w:id="435" w:name="_Toc192767032"/>
      <w:r>
        <w:t xml:space="preserve">Table </w:t>
      </w:r>
      <w:r>
        <w:fldChar w:fldCharType="begin"/>
      </w:r>
      <w:r>
        <w:instrText xml:space="preserve"> SEQ Table \* ARABIC </w:instrText>
      </w:r>
      <w:r>
        <w:fldChar w:fldCharType="separate"/>
      </w:r>
      <w:r w:rsidR="00AA10F4">
        <w:rPr>
          <w:noProof/>
        </w:rPr>
        <w:t>98</w:t>
      </w:r>
      <w:r>
        <w:fldChar w:fldCharType="end"/>
      </w:r>
      <w:bookmarkEnd w:id="433"/>
      <w:r>
        <w:t>. 2024 Virtual SEM Annual Savings by Project</w:t>
      </w:r>
      <w:bookmarkEnd w:id="434"/>
      <w:bookmarkEnd w:id="43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74"/>
        <w:gridCol w:w="2774"/>
        <w:gridCol w:w="2774"/>
        <w:gridCol w:w="2774"/>
      </w:tblGrid>
      <w:tr w:rsidR="00BD4C61" w14:paraId="09C64502"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12EDB480" w14:textId="1BC2B18C" w:rsidR="00BD4C61" w:rsidRDefault="00BD4C61" w:rsidP="0056690A">
            <w:pPr>
              <w:pStyle w:val="TableHeadingCentered"/>
              <w:jc w:val="left"/>
            </w:pPr>
            <w:r w:rsidRPr="00D8680E">
              <w:t>Project ID</w:t>
            </w:r>
          </w:p>
        </w:tc>
        <w:tc>
          <w:tcPr>
            <w:tcW w:w="2774" w:type="dxa"/>
            <w:tcBorders>
              <w:bottom w:val="none" w:sz="0" w:space="0" w:color="auto"/>
            </w:tcBorders>
          </w:tcPr>
          <w:p w14:paraId="44323E68" w14:textId="1721FD10" w:rsidR="00BD4C61" w:rsidRDefault="00BD4C61" w:rsidP="0056690A">
            <w:pPr>
              <w:pStyle w:val="TableHeadingCentered"/>
              <w:cnfStyle w:val="100000000000" w:firstRow="1" w:lastRow="0" w:firstColumn="0" w:lastColumn="0" w:oddVBand="0" w:evenVBand="0" w:oddHBand="0" w:evenHBand="0" w:firstRowFirstColumn="0" w:firstRowLastColumn="0" w:lastRowFirstColumn="0" w:lastRowLastColumn="0"/>
            </w:pPr>
            <w:r w:rsidRPr="00D8680E">
              <w:t>Ex Ante Gross kWh</w:t>
            </w:r>
          </w:p>
        </w:tc>
        <w:tc>
          <w:tcPr>
            <w:tcW w:w="2774" w:type="dxa"/>
            <w:tcBorders>
              <w:bottom w:val="none" w:sz="0" w:space="0" w:color="auto"/>
            </w:tcBorders>
          </w:tcPr>
          <w:p w14:paraId="5691068E" w14:textId="0DF600F1" w:rsidR="00BD4C61" w:rsidRDefault="00BD4C61" w:rsidP="0056690A">
            <w:pPr>
              <w:pStyle w:val="TableHeadingCentered"/>
              <w:cnfStyle w:val="100000000000" w:firstRow="1" w:lastRow="0" w:firstColumn="0" w:lastColumn="0" w:oddVBand="0" w:evenVBand="0" w:oddHBand="0" w:evenHBand="0" w:firstRowFirstColumn="0" w:firstRowLastColumn="0" w:lastRowFirstColumn="0" w:lastRowLastColumn="0"/>
            </w:pPr>
            <w:r w:rsidRPr="00D8680E">
              <w:t>Verified Gross kWh</w:t>
            </w:r>
          </w:p>
        </w:tc>
        <w:tc>
          <w:tcPr>
            <w:tcW w:w="2774" w:type="dxa"/>
            <w:tcBorders>
              <w:bottom w:val="none" w:sz="0" w:space="0" w:color="auto"/>
            </w:tcBorders>
          </w:tcPr>
          <w:p w14:paraId="14B54935" w14:textId="318EE4E2" w:rsidR="00BD4C61" w:rsidRDefault="00BD4C61" w:rsidP="0056690A">
            <w:pPr>
              <w:pStyle w:val="TableHeadingCentered"/>
              <w:cnfStyle w:val="100000000000" w:firstRow="1" w:lastRow="0" w:firstColumn="0" w:lastColumn="0" w:oddVBand="0" w:evenVBand="0" w:oddHBand="0" w:evenHBand="0" w:firstRowFirstColumn="0" w:firstRowLastColumn="0" w:lastRowFirstColumn="0" w:lastRowLastColumn="0"/>
            </w:pPr>
            <w:r w:rsidRPr="00D8680E">
              <w:t>Gross Realization Rate</w:t>
            </w:r>
          </w:p>
        </w:tc>
      </w:tr>
      <w:tr w:rsidR="00BD4C61" w14:paraId="39F70D12"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16520D89" w14:textId="316BDB6E" w:rsidR="00BD4C61" w:rsidRDefault="00BD4C61" w:rsidP="0056690A">
            <w:r w:rsidRPr="00D8680E">
              <w:t>a1CTO000000MUnR2AW</w:t>
            </w:r>
            <w:r w:rsidR="000F3E83">
              <w:t xml:space="preserve"> </w:t>
            </w:r>
            <w:r w:rsidR="000F3E83">
              <w:rPr>
                <w:vertAlign w:val="superscript"/>
              </w:rPr>
              <w:t>a</w:t>
            </w:r>
          </w:p>
        </w:tc>
        <w:tc>
          <w:tcPr>
            <w:tcW w:w="2774" w:type="dxa"/>
            <w:tcBorders>
              <w:top w:val="none" w:sz="0" w:space="0" w:color="auto"/>
              <w:left w:val="none" w:sz="0" w:space="0" w:color="auto"/>
              <w:bottom w:val="none" w:sz="0" w:space="0" w:color="auto"/>
              <w:right w:val="none" w:sz="0" w:space="0" w:color="auto"/>
            </w:tcBorders>
          </w:tcPr>
          <w:p w14:paraId="64DDEFE6" w14:textId="4303622B"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223,921</w:t>
            </w:r>
          </w:p>
        </w:tc>
        <w:tc>
          <w:tcPr>
            <w:tcW w:w="2774" w:type="dxa"/>
            <w:tcBorders>
              <w:top w:val="none" w:sz="0" w:space="0" w:color="auto"/>
              <w:left w:val="none" w:sz="0" w:space="0" w:color="auto"/>
              <w:bottom w:val="none" w:sz="0" w:space="0" w:color="auto"/>
              <w:right w:val="none" w:sz="0" w:space="0" w:color="auto"/>
            </w:tcBorders>
          </w:tcPr>
          <w:p w14:paraId="31492E10" w14:textId="73D9D5A6"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312,746</w:t>
            </w:r>
          </w:p>
        </w:tc>
        <w:tc>
          <w:tcPr>
            <w:tcW w:w="2774" w:type="dxa"/>
            <w:tcBorders>
              <w:top w:val="none" w:sz="0" w:space="0" w:color="auto"/>
              <w:left w:val="none" w:sz="0" w:space="0" w:color="auto"/>
              <w:bottom w:val="none" w:sz="0" w:space="0" w:color="auto"/>
              <w:right w:val="none" w:sz="0" w:space="0" w:color="auto"/>
            </w:tcBorders>
          </w:tcPr>
          <w:p w14:paraId="5F78D7AE" w14:textId="34E5B746"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140%</w:t>
            </w:r>
          </w:p>
        </w:tc>
      </w:tr>
      <w:tr w:rsidR="00BD4C61" w14:paraId="299177C6"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55BD43BB" w14:textId="50DF5EE9" w:rsidR="00BD4C61" w:rsidRDefault="00BD4C61" w:rsidP="0056690A">
            <w:r w:rsidRPr="00D8680E">
              <w:t>a1CTO0000010gv52AA</w:t>
            </w:r>
            <w:r w:rsidR="000F3E83">
              <w:t xml:space="preserve"> </w:t>
            </w:r>
            <w:r w:rsidR="000F3E83" w:rsidRPr="009459C8">
              <w:rPr>
                <w:vertAlign w:val="superscript"/>
              </w:rPr>
              <w:t>b</w:t>
            </w:r>
          </w:p>
        </w:tc>
        <w:tc>
          <w:tcPr>
            <w:tcW w:w="2774" w:type="dxa"/>
            <w:tcBorders>
              <w:top w:val="none" w:sz="0" w:space="0" w:color="auto"/>
              <w:left w:val="none" w:sz="0" w:space="0" w:color="auto"/>
              <w:bottom w:val="none" w:sz="0" w:space="0" w:color="auto"/>
              <w:right w:val="none" w:sz="0" w:space="0" w:color="auto"/>
            </w:tcBorders>
          </w:tcPr>
          <w:p w14:paraId="58DC2EC1" w14:textId="47528DAB" w:rsidR="00BD4C61" w:rsidRDefault="00BD4C61" w:rsidP="0056690A">
            <w:pPr>
              <w:jc w:val="center"/>
              <w:cnfStyle w:val="000000010000" w:firstRow="0" w:lastRow="0" w:firstColumn="0" w:lastColumn="0" w:oddVBand="0" w:evenVBand="0" w:oddHBand="0" w:evenHBand="1" w:firstRowFirstColumn="0" w:firstRowLastColumn="0" w:lastRowFirstColumn="0" w:lastRowLastColumn="0"/>
            </w:pPr>
            <w:r w:rsidRPr="00D8680E">
              <w:t>29,867</w:t>
            </w:r>
          </w:p>
        </w:tc>
        <w:tc>
          <w:tcPr>
            <w:tcW w:w="2774" w:type="dxa"/>
            <w:tcBorders>
              <w:top w:val="none" w:sz="0" w:space="0" w:color="auto"/>
              <w:left w:val="none" w:sz="0" w:space="0" w:color="auto"/>
              <w:bottom w:val="none" w:sz="0" w:space="0" w:color="auto"/>
              <w:right w:val="none" w:sz="0" w:space="0" w:color="auto"/>
            </w:tcBorders>
          </w:tcPr>
          <w:p w14:paraId="11FA8971" w14:textId="4511ABFE" w:rsidR="00BD4C61" w:rsidRDefault="00BD4C61" w:rsidP="0056690A">
            <w:pPr>
              <w:jc w:val="center"/>
              <w:cnfStyle w:val="000000010000" w:firstRow="0" w:lastRow="0" w:firstColumn="0" w:lastColumn="0" w:oddVBand="0" w:evenVBand="0" w:oddHBand="0" w:evenHBand="1" w:firstRowFirstColumn="0" w:firstRowLastColumn="0" w:lastRowFirstColumn="0" w:lastRowLastColumn="0"/>
            </w:pPr>
            <w:r w:rsidRPr="00D8680E">
              <w:t>20,879</w:t>
            </w:r>
          </w:p>
        </w:tc>
        <w:tc>
          <w:tcPr>
            <w:tcW w:w="2774" w:type="dxa"/>
            <w:tcBorders>
              <w:top w:val="none" w:sz="0" w:space="0" w:color="auto"/>
              <w:left w:val="none" w:sz="0" w:space="0" w:color="auto"/>
              <w:bottom w:val="none" w:sz="0" w:space="0" w:color="auto"/>
              <w:right w:val="none" w:sz="0" w:space="0" w:color="auto"/>
            </w:tcBorders>
          </w:tcPr>
          <w:p w14:paraId="53777A08" w14:textId="5C76B97D" w:rsidR="00BD4C61" w:rsidRDefault="00BD4C61" w:rsidP="0056690A">
            <w:pPr>
              <w:jc w:val="center"/>
              <w:cnfStyle w:val="000000010000" w:firstRow="0" w:lastRow="0" w:firstColumn="0" w:lastColumn="0" w:oddVBand="0" w:evenVBand="0" w:oddHBand="0" w:evenHBand="1" w:firstRowFirstColumn="0" w:firstRowLastColumn="0" w:lastRowFirstColumn="0" w:lastRowLastColumn="0"/>
            </w:pPr>
            <w:r w:rsidRPr="00D8680E">
              <w:t>70%</w:t>
            </w:r>
          </w:p>
        </w:tc>
      </w:tr>
      <w:tr w:rsidR="00BD4C61" w14:paraId="74C23A94"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4CACABDD" w14:textId="51B6E3E0" w:rsidR="00BD4C61" w:rsidRDefault="00BD4C61" w:rsidP="0056690A">
            <w:r w:rsidRPr="00D8680E">
              <w:t>a1CTO0000010gvk2AA</w:t>
            </w:r>
          </w:p>
        </w:tc>
        <w:tc>
          <w:tcPr>
            <w:tcW w:w="2774" w:type="dxa"/>
            <w:tcBorders>
              <w:top w:val="none" w:sz="0" w:space="0" w:color="auto"/>
              <w:left w:val="none" w:sz="0" w:space="0" w:color="auto"/>
              <w:bottom w:val="none" w:sz="0" w:space="0" w:color="auto"/>
              <w:right w:val="none" w:sz="0" w:space="0" w:color="auto"/>
            </w:tcBorders>
          </w:tcPr>
          <w:p w14:paraId="174A1B53" w14:textId="52000511"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106,388</w:t>
            </w:r>
          </w:p>
        </w:tc>
        <w:tc>
          <w:tcPr>
            <w:tcW w:w="2774" w:type="dxa"/>
            <w:tcBorders>
              <w:top w:val="none" w:sz="0" w:space="0" w:color="auto"/>
              <w:left w:val="none" w:sz="0" w:space="0" w:color="auto"/>
              <w:bottom w:val="none" w:sz="0" w:space="0" w:color="auto"/>
              <w:right w:val="none" w:sz="0" w:space="0" w:color="auto"/>
            </w:tcBorders>
          </w:tcPr>
          <w:p w14:paraId="1106F10F" w14:textId="65CF3630"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106,389</w:t>
            </w:r>
          </w:p>
        </w:tc>
        <w:tc>
          <w:tcPr>
            <w:tcW w:w="2774" w:type="dxa"/>
            <w:tcBorders>
              <w:top w:val="none" w:sz="0" w:space="0" w:color="auto"/>
              <w:left w:val="none" w:sz="0" w:space="0" w:color="auto"/>
              <w:bottom w:val="none" w:sz="0" w:space="0" w:color="auto"/>
              <w:right w:val="none" w:sz="0" w:space="0" w:color="auto"/>
            </w:tcBorders>
          </w:tcPr>
          <w:p w14:paraId="525A7EE0" w14:textId="57745445" w:rsidR="00BD4C61" w:rsidRDefault="00BD4C61" w:rsidP="0056690A">
            <w:pPr>
              <w:jc w:val="center"/>
              <w:cnfStyle w:val="000000100000" w:firstRow="0" w:lastRow="0" w:firstColumn="0" w:lastColumn="0" w:oddVBand="0" w:evenVBand="0" w:oddHBand="1" w:evenHBand="0" w:firstRowFirstColumn="0" w:firstRowLastColumn="0" w:lastRowFirstColumn="0" w:lastRowLastColumn="0"/>
            </w:pPr>
            <w:r w:rsidRPr="00D8680E">
              <w:t>100%</w:t>
            </w:r>
          </w:p>
        </w:tc>
      </w:tr>
      <w:tr w:rsidR="00BD4C61" w14:paraId="58E4E46E"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5A4E2C7C" w14:textId="06F4F957" w:rsidR="00BD4C61" w:rsidRDefault="00BD4C61" w:rsidP="0056690A">
            <w:pPr>
              <w:keepNext/>
              <w:keepLines/>
            </w:pPr>
            <w:r w:rsidRPr="00D8680E">
              <w:t>a1CTO0000010gvO2AQ</w:t>
            </w:r>
            <w:r w:rsidR="000F3E83">
              <w:t xml:space="preserve"> </w:t>
            </w:r>
            <w:r w:rsidR="000F3E83">
              <w:rPr>
                <w:vertAlign w:val="superscript"/>
              </w:rPr>
              <w:t>b</w:t>
            </w:r>
          </w:p>
        </w:tc>
        <w:tc>
          <w:tcPr>
            <w:tcW w:w="2774" w:type="dxa"/>
            <w:tcBorders>
              <w:top w:val="none" w:sz="0" w:space="0" w:color="auto"/>
              <w:left w:val="none" w:sz="0" w:space="0" w:color="auto"/>
              <w:bottom w:val="none" w:sz="0" w:space="0" w:color="auto"/>
              <w:right w:val="none" w:sz="0" w:space="0" w:color="auto"/>
            </w:tcBorders>
          </w:tcPr>
          <w:p w14:paraId="040D8078" w14:textId="241A2638" w:rsidR="00BD4C61" w:rsidRDefault="00BD4C61" w:rsidP="0056690A">
            <w:pPr>
              <w:keepNext/>
              <w:keepLines/>
              <w:jc w:val="center"/>
              <w:cnfStyle w:val="000000010000" w:firstRow="0" w:lastRow="0" w:firstColumn="0" w:lastColumn="0" w:oddVBand="0" w:evenVBand="0" w:oddHBand="0" w:evenHBand="1" w:firstRowFirstColumn="0" w:firstRowLastColumn="0" w:lastRowFirstColumn="0" w:lastRowLastColumn="0"/>
            </w:pPr>
            <w:r w:rsidRPr="00D8680E">
              <w:t>541,228</w:t>
            </w:r>
          </w:p>
        </w:tc>
        <w:tc>
          <w:tcPr>
            <w:tcW w:w="2774" w:type="dxa"/>
            <w:tcBorders>
              <w:top w:val="none" w:sz="0" w:space="0" w:color="auto"/>
              <w:left w:val="none" w:sz="0" w:space="0" w:color="auto"/>
              <w:bottom w:val="none" w:sz="0" w:space="0" w:color="auto"/>
              <w:right w:val="none" w:sz="0" w:space="0" w:color="auto"/>
            </w:tcBorders>
          </w:tcPr>
          <w:p w14:paraId="150632E5" w14:textId="173993E8" w:rsidR="00BD4C61" w:rsidRDefault="00BD4C61" w:rsidP="0056690A">
            <w:pPr>
              <w:keepNext/>
              <w:keepLines/>
              <w:jc w:val="center"/>
              <w:cnfStyle w:val="000000010000" w:firstRow="0" w:lastRow="0" w:firstColumn="0" w:lastColumn="0" w:oddVBand="0" w:evenVBand="0" w:oddHBand="0" w:evenHBand="1" w:firstRowFirstColumn="0" w:firstRowLastColumn="0" w:lastRowFirstColumn="0" w:lastRowLastColumn="0"/>
            </w:pPr>
            <w:r w:rsidRPr="00D8680E">
              <w:t>488,828</w:t>
            </w:r>
          </w:p>
        </w:tc>
        <w:tc>
          <w:tcPr>
            <w:tcW w:w="2774" w:type="dxa"/>
            <w:tcBorders>
              <w:top w:val="none" w:sz="0" w:space="0" w:color="auto"/>
              <w:left w:val="none" w:sz="0" w:space="0" w:color="auto"/>
              <w:bottom w:val="none" w:sz="0" w:space="0" w:color="auto"/>
              <w:right w:val="none" w:sz="0" w:space="0" w:color="auto"/>
            </w:tcBorders>
          </w:tcPr>
          <w:p w14:paraId="29DB309E" w14:textId="23EA5FBA" w:rsidR="00BD4C61" w:rsidRDefault="00BD4C61" w:rsidP="0056690A">
            <w:pPr>
              <w:keepNext/>
              <w:keepLines/>
              <w:jc w:val="center"/>
              <w:cnfStyle w:val="000000010000" w:firstRow="0" w:lastRow="0" w:firstColumn="0" w:lastColumn="0" w:oddVBand="0" w:evenVBand="0" w:oddHBand="0" w:evenHBand="1" w:firstRowFirstColumn="0" w:firstRowLastColumn="0" w:lastRowFirstColumn="0" w:lastRowLastColumn="0"/>
            </w:pPr>
            <w:r w:rsidRPr="00D8680E">
              <w:t>90%</w:t>
            </w:r>
          </w:p>
        </w:tc>
      </w:tr>
    </w:tbl>
    <w:p w14:paraId="001F39EF" w14:textId="1ABF9E9D" w:rsidR="00BD4C61" w:rsidRDefault="000F3E83" w:rsidP="00881B1B">
      <w:pPr>
        <w:pStyle w:val="Source"/>
      </w:pPr>
      <w:r>
        <w:rPr>
          <w:vertAlign w:val="superscript"/>
        </w:rPr>
        <w:t>a</w:t>
      </w:r>
      <w:r w:rsidR="00BD4C61">
        <w:t xml:space="preserve"> Evaluation team </w:t>
      </w:r>
      <w:r w:rsidR="009D34C8">
        <w:t>reduced the</w:t>
      </w:r>
      <w:r w:rsidR="00BD4C61">
        <w:t xml:space="preserve"> post-period</w:t>
      </w:r>
      <w:r w:rsidR="009D34C8">
        <w:t xml:space="preserve"> to one year</w:t>
      </w:r>
      <w:r>
        <w:t xml:space="preserve"> to limit cross</w:t>
      </w:r>
      <w:r w:rsidR="008A0837">
        <w:t>-</w:t>
      </w:r>
      <w:r>
        <w:t>participation adjustments as much as possible</w:t>
      </w:r>
      <w:r w:rsidR="00BD4C61">
        <w:t>.</w:t>
      </w:r>
    </w:p>
    <w:p w14:paraId="792847AE" w14:textId="77777777" w:rsidR="000F3E83" w:rsidRDefault="000F3E83" w:rsidP="00FB14E9">
      <w:pPr>
        <w:pStyle w:val="Source"/>
        <w:keepNext w:val="0"/>
        <w:keepLines w:val="0"/>
      </w:pPr>
      <w:r w:rsidRPr="00C4108A">
        <w:rPr>
          <w:vertAlign w:val="superscript"/>
        </w:rPr>
        <w:t>b</w:t>
      </w:r>
      <w:r>
        <w:t xml:space="preserve"> Evaluation team model included weather interactions. </w:t>
      </w:r>
    </w:p>
    <w:p w14:paraId="6C343E13" w14:textId="43DBF20A" w:rsidR="00BD4C61" w:rsidRDefault="00BD4C61" w:rsidP="00FB14E9">
      <w:pPr>
        <w:keepNext/>
        <w:keepLines/>
        <w:spacing w:before="240"/>
      </w:pPr>
      <w:r>
        <w:fldChar w:fldCharType="begin"/>
      </w:r>
      <w:r>
        <w:instrText xml:space="preserve"> REF _Ref191565562 \h </w:instrText>
      </w:r>
      <w:r>
        <w:fldChar w:fldCharType="separate"/>
      </w:r>
      <w:r w:rsidR="00AA10F4">
        <w:t xml:space="preserve">Table </w:t>
      </w:r>
      <w:r w:rsidR="00AA10F4">
        <w:rPr>
          <w:noProof/>
        </w:rPr>
        <w:t>99</w:t>
      </w:r>
      <w:r>
        <w:fldChar w:fldCharType="end"/>
      </w:r>
      <w:r>
        <w:t xml:space="preserve"> shows </w:t>
      </w:r>
      <w:r w:rsidRPr="00BD4C61">
        <w:t>the model goodness-of-fit metrics that Power TakeOff and the evaluation team produced for the four Virtual SEM project</w:t>
      </w:r>
      <w:r w:rsidR="00A37484">
        <w:t>s</w:t>
      </w:r>
      <w:r w:rsidRPr="00BD4C61">
        <w:t>.</w:t>
      </w:r>
    </w:p>
    <w:p w14:paraId="54739A2D" w14:textId="03E4E900" w:rsidR="00BD4C61" w:rsidRDefault="00BD4C61" w:rsidP="00FB14E9">
      <w:pPr>
        <w:pStyle w:val="Caption"/>
      </w:pPr>
      <w:bookmarkStart w:id="436" w:name="_Ref191565562"/>
      <w:bookmarkStart w:id="437" w:name="_Toc191992617"/>
      <w:bookmarkStart w:id="438" w:name="_Toc192767033"/>
      <w:r>
        <w:t xml:space="preserve">Table </w:t>
      </w:r>
      <w:r>
        <w:fldChar w:fldCharType="begin"/>
      </w:r>
      <w:r>
        <w:instrText xml:space="preserve"> SEQ Table \* ARABIC </w:instrText>
      </w:r>
      <w:r>
        <w:fldChar w:fldCharType="separate"/>
      </w:r>
      <w:r w:rsidR="00AA10F4">
        <w:rPr>
          <w:noProof/>
        </w:rPr>
        <w:t>99</w:t>
      </w:r>
      <w:r>
        <w:fldChar w:fldCharType="end"/>
      </w:r>
      <w:bookmarkEnd w:id="436"/>
      <w:r>
        <w:t>. 2024 Virtual SEM Model Goodness-of-Fit Metrics by Project</w:t>
      </w:r>
      <w:bookmarkEnd w:id="437"/>
      <w:bookmarkEnd w:id="438"/>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380"/>
        <w:gridCol w:w="1142"/>
        <w:gridCol w:w="1224"/>
        <w:gridCol w:w="987"/>
        <w:gridCol w:w="816"/>
        <w:gridCol w:w="1312"/>
        <w:gridCol w:w="942"/>
        <w:gridCol w:w="1069"/>
        <w:gridCol w:w="1224"/>
      </w:tblGrid>
      <w:tr w:rsidR="00BD4C61" w:rsidRPr="002A7AA6" w14:paraId="4454C223" w14:textId="77777777" w:rsidTr="00FB14E9">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79" w:type="dxa"/>
            <w:vMerge w:val="restart"/>
            <w:tcBorders>
              <w:top w:val="none" w:sz="0" w:space="0" w:color="auto"/>
              <w:left w:val="none" w:sz="0" w:space="0" w:color="auto"/>
              <w:bottom w:val="none" w:sz="0" w:space="0" w:color="auto"/>
              <w:right w:val="none" w:sz="0" w:space="0" w:color="auto"/>
            </w:tcBorders>
          </w:tcPr>
          <w:p w14:paraId="4F6A2485" w14:textId="77777777" w:rsidR="00BD4C61" w:rsidRPr="002A7AA6" w:rsidRDefault="00BD4C61" w:rsidP="00FB14E9">
            <w:pPr>
              <w:keepNext/>
              <w:keepLines/>
              <w:jc w:val="left"/>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Project ID</w:t>
            </w:r>
          </w:p>
        </w:tc>
        <w:tc>
          <w:tcPr>
            <w:tcW w:w="2542" w:type="dxa"/>
            <w:gridSpan w:val="2"/>
            <w:tcBorders>
              <w:bottom w:val="none" w:sz="0" w:space="0" w:color="auto"/>
            </w:tcBorders>
          </w:tcPr>
          <w:p w14:paraId="3607E200" w14:textId="77777777" w:rsidR="00BD4C61" w:rsidRPr="002A7AA6" w:rsidRDefault="00BD4C61" w:rsidP="00FB14E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Adjusted R</w:t>
            </w:r>
            <w:r w:rsidRPr="002A7AA6">
              <w:rPr>
                <w:rFonts w:ascii="Franklin Gothic Medium" w:hAnsi="Franklin Gothic Medium"/>
                <w:color w:val="FFFFFF" w:themeColor="background1"/>
                <w:sz w:val="20"/>
                <w:vertAlign w:val="superscript"/>
              </w:rPr>
              <w:t>2</w:t>
            </w:r>
          </w:p>
        </w:tc>
        <w:tc>
          <w:tcPr>
            <w:tcW w:w="0" w:type="auto"/>
            <w:gridSpan w:val="2"/>
            <w:tcBorders>
              <w:bottom w:val="none" w:sz="0" w:space="0" w:color="auto"/>
            </w:tcBorders>
          </w:tcPr>
          <w:p w14:paraId="6775F21D" w14:textId="77777777" w:rsidR="00BD4C61" w:rsidRPr="002A7AA6" w:rsidRDefault="00BD4C61" w:rsidP="00FB14E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CV(RMSE)</w:t>
            </w:r>
          </w:p>
        </w:tc>
        <w:tc>
          <w:tcPr>
            <w:tcW w:w="2451" w:type="dxa"/>
            <w:gridSpan w:val="2"/>
            <w:tcBorders>
              <w:bottom w:val="none" w:sz="0" w:space="0" w:color="auto"/>
            </w:tcBorders>
          </w:tcPr>
          <w:p w14:paraId="32D633C1" w14:textId="77777777" w:rsidR="00BD4C61" w:rsidRPr="002A7AA6" w:rsidRDefault="00BD4C61" w:rsidP="00FB14E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NMBE</w:t>
            </w:r>
          </w:p>
        </w:tc>
        <w:tc>
          <w:tcPr>
            <w:tcW w:w="1921" w:type="dxa"/>
            <w:gridSpan w:val="2"/>
            <w:tcBorders>
              <w:bottom w:val="none" w:sz="0" w:space="0" w:color="auto"/>
            </w:tcBorders>
          </w:tcPr>
          <w:p w14:paraId="5E8C3832" w14:textId="77777777" w:rsidR="00BD4C61" w:rsidRPr="002A7AA6" w:rsidRDefault="00BD4C61" w:rsidP="00FB14E9">
            <w:pPr>
              <w:keepNext/>
              <w:keepLines/>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Savings Uncertainty</w:t>
            </w:r>
          </w:p>
        </w:tc>
      </w:tr>
      <w:tr w:rsidR="009459C8" w:rsidRPr="002A7AA6" w14:paraId="14BB6B0C"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9" w:type="dxa"/>
            <w:vMerge/>
            <w:tcBorders>
              <w:top w:val="none" w:sz="0" w:space="0" w:color="auto"/>
              <w:left w:val="none" w:sz="0" w:space="0" w:color="auto"/>
              <w:bottom w:val="none" w:sz="0" w:space="0" w:color="auto"/>
              <w:right w:val="none" w:sz="0" w:space="0" w:color="auto"/>
            </w:tcBorders>
            <w:shd w:val="clear" w:color="auto" w:fill="053572" w:themeFill="text2"/>
          </w:tcPr>
          <w:p w14:paraId="02A888BE" w14:textId="77777777" w:rsidR="00BD4C61" w:rsidRPr="002A7AA6" w:rsidRDefault="00BD4C61" w:rsidP="00FB14E9">
            <w:pPr>
              <w:keepNext/>
              <w:keepLines/>
              <w:rPr>
                <w:rFonts w:ascii="Franklin Gothic Medium" w:hAnsi="Franklin Gothic Medium"/>
                <w:color w:val="FFFFFF" w:themeColor="background1"/>
                <w:sz w:val="20"/>
              </w:rPr>
            </w:pPr>
          </w:p>
        </w:tc>
        <w:tc>
          <w:tcPr>
            <w:tcW w:w="1210" w:type="dxa"/>
            <w:tcBorders>
              <w:top w:val="none" w:sz="0" w:space="0" w:color="auto"/>
              <w:left w:val="none" w:sz="0" w:space="0" w:color="auto"/>
              <w:bottom w:val="none" w:sz="0" w:space="0" w:color="auto"/>
              <w:right w:val="none" w:sz="0" w:space="0" w:color="auto"/>
            </w:tcBorders>
            <w:shd w:val="clear" w:color="auto" w:fill="053572" w:themeFill="text2"/>
          </w:tcPr>
          <w:p w14:paraId="16929434"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104C44B2"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Power TakeOff</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58F414D0"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26CF5997"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Power TakeOff</w:t>
            </w:r>
          </w:p>
        </w:tc>
        <w:tc>
          <w:tcPr>
            <w:tcW w:w="1454" w:type="dxa"/>
            <w:tcBorders>
              <w:top w:val="none" w:sz="0" w:space="0" w:color="auto"/>
              <w:left w:val="none" w:sz="0" w:space="0" w:color="auto"/>
              <w:bottom w:val="none" w:sz="0" w:space="0" w:color="auto"/>
              <w:right w:val="none" w:sz="0" w:space="0" w:color="auto"/>
            </w:tcBorders>
            <w:shd w:val="clear" w:color="auto" w:fill="053572" w:themeFill="text2"/>
          </w:tcPr>
          <w:p w14:paraId="7BACAA27"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Opinion Dynamics</w:t>
            </w:r>
          </w:p>
        </w:tc>
        <w:tc>
          <w:tcPr>
            <w:tcW w:w="997" w:type="dxa"/>
            <w:tcBorders>
              <w:top w:val="none" w:sz="0" w:space="0" w:color="auto"/>
              <w:left w:val="none" w:sz="0" w:space="0" w:color="auto"/>
              <w:bottom w:val="none" w:sz="0" w:space="0" w:color="auto"/>
              <w:right w:val="none" w:sz="0" w:space="0" w:color="auto"/>
            </w:tcBorders>
            <w:shd w:val="clear" w:color="auto" w:fill="053572" w:themeFill="text2"/>
          </w:tcPr>
          <w:p w14:paraId="2A089221"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Power TakeOff</w:t>
            </w:r>
          </w:p>
        </w:tc>
        <w:tc>
          <w:tcPr>
            <w:tcW w:w="1105" w:type="dxa"/>
            <w:tcBorders>
              <w:top w:val="none" w:sz="0" w:space="0" w:color="auto"/>
              <w:left w:val="none" w:sz="0" w:space="0" w:color="auto"/>
              <w:bottom w:val="none" w:sz="0" w:space="0" w:color="auto"/>
              <w:right w:val="none" w:sz="0" w:space="0" w:color="auto"/>
            </w:tcBorders>
            <w:shd w:val="clear" w:color="auto" w:fill="053572" w:themeFill="text2"/>
          </w:tcPr>
          <w:p w14:paraId="25DACE7C"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Opinion Dynamics</w:t>
            </w:r>
          </w:p>
        </w:tc>
        <w:tc>
          <w:tcPr>
            <w:tcW w:w="0" w:type="auto"/>
            <w:tcBorders>
              <w:top w:val="none" w:sz="0" w:space="0" w:color="auto"/>
              <w:left w:val="none" w:sz="0" w:space="0" w:color="auto"/>
              <w:bottom w:val="none" w:sz="0" w:space="0" w:color="auto"/>
              <w:right w:val="none" w:sz="0" w:space="0" w:color="auto"/>
            </w:tcBorders>
            <w:shd w:val="clear" w:color="auto" w:fill="053572" w:themeFill="text2"/>
          </w:tcPr>
          <w:p w14:paraId="5630445C" w14:textId="77777777" w:rsidR="00BD4C61" w:rsidRPr="002A7AA6"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Power TakeOff</w:t>
            </w:r>
          </w:p>
        </w:tc>
      </w:tr>
      <w:tr w:rsidR="00BD4C61" w:rsidRPr="002A7AA6" w14:paraId="1E1A24DD"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9" w:type="dxa"/>
            <w:tcBorders>
              <w:top w:val="none" w:sz="0" w:space="0" w:color="auto"/>
              <w:left w:val="none" w:sz="0" w:space="0" w:color="auto"/>
              <w:bottom w:val="none" w:sz="0" w:space="0" w:color="auto"/>
              <w:right w:val="none" w:sz="0" w:space="0" w:color="auto"/>
            </w:tcBorders>
          </w:tcPr>
          <w:p w14:paraId="750654DE" w14:textId="4E7E27CD" w:rsidR="00BD4C61" w:rsidRPr="005D7D05" w:rsidRDefault="00BD4C61" w:rsidP="00FB14E9">
            <w:pPr>
              <w:keepNext/>
              <w:keepLines/>
              <w:rPr>
                <w:sz w:val="20"/>
              </w:rPr>
            </w:pPr>
            <w:r w:rsidRPr="005D7D05">
              <w:rPr>
                <w:sz w:val="20"/>
              </w:rPr>
              <w:t>a1CTO000000MUnR2AW</w:t>
            </w:r>
            <w:r w:rsidR="009459C8" w:rsidRPr="009459C8">
              <w:rPr>
                <w:rFonts w:ascii="Segoe UI Historic" w:hAnsi="Segoe UI Historic" w:cs="Segoe UI Historic"/>
                <w:sz w:val="20"/>
                <w:vertAlign w:val="superscript"/>
              </w:rPr>
              <w:t>a</w:t>
            </w:r>
            <w:r w:rsidRPr="005D7D05">
              <w:rPr>
                <w:sz w:val="20"/>
              </w:rPr>
              <w:t xml:space="preserve"> </w:t>
            </w:r>
          </w:p>
        </w:tc>
        <w:tc>
          <w:tcPr>
            <w:tcW w:w="1210" w:type="dxa"/>
            <w:tcBorders>
              <w:top w:val="none" w:sz="0" w:space="0" w:color="auto"/>
              <w:left w:val="none" w:sz="0" w:space="0" w:color="auto"/>
              <w:bottom w:val="none" w:sz="0" w:space="0" w:color="auto"/>
              <w:right w:val="none" w:sz="0" w:space="0" w:color="auto"/>
            </w:tcBorders>
          </w:tcPr>
          <w:p w14:paraId="0EF2BA9E"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0.75</w:t>
            </w:r>
          </w:p>
        </w:tc>
        <w:tc>
          <w:tcPr>
            <w:tcW w:w="0" w:type="auto"/>
            <w:tcBorders>
              <w:top w:val="none" w:sz="0" w:space="0" w:color="auto"/>
              <w:left w:val="none" w:sz="0" w:space="0" w:color="auto"/>
              <w:bottom w:val="none" w:sz="0" w:space="0" w:color="auto"/>
              <w:right w:val="none" w:sz="0" w:space="0" w:color="auto"/>
            </w:tcBorders>
          </w:tcPr>
          <w:p w14:paraId="10EDFD84"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0.70</w:t>
            </w:r>
          </w:p>
        </w:tc>
        <w:tc>
          <w:tcPr>
            <w:tcW w:w="0" w:type="auto"/>
            <w:tcBorders>
              <w:top w:val="none" w:sz="0" w:space="0" w:color="auto"/>
              <w:left w:val="none" w:sz="0" w:space="0" w:color="auto"/>
              <w:bottom w:val="none" w:sz="0" w:space="0" w:color="auto"/>
              <w:right w:val="none" w:sz="0" w:space="0" w:color="auto"/>
            </w:tcBorders>
          </w:tcPr>
          <w:p w14:paraId="15237AAF"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17.74%</w:t>
            </w:r>
          </w:p>
        </w:tc>
        <w:tc>
          <w:tcPr>
            <w:tcW w:w="0" w:type="auto"/>
            <w:tcBorders>
              <w:top w:val="none" w:sz="0" w:space="0" w:color="auto"/>
              <w:left w:val="none" w:sz="0" w:space="0" w:color="auto"/>
              <w:bottom w:val="none" w:sz="0" w:space="0" w:color="auto"/>
              <w:right w:val="none" w:sz="0" w:space="0" w:color="auto"/>
            </w:tcBorders>
          </w:tcPr>
          <w:p w14:paraId="0D265B3A"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19.40%</w:t>
            </w:r>
          </w:p>
        </w:tc>
        <w:tc>
          <w:tcPr>
            <w:tcW w:w="1454" w:type="dxa"/>
            <w:tcBorders>
              <w:top w:val="none" w:sz="0" w:space="0" w:color="auto"/>
              <w:left w:val="none" w:sz="0" w:space="0" w:color="auto"/>
              <w:bottom w:val="none" w:sz="0" w:space="0" w:color="auto"/>
              <w:right w:val="none" w:sz="0" w:space="0" w:color="auto"/>
            </w:tcBorders>
          </w:tcPr>
          <w:p w14:paraId="138676C5"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0.00%</w:t>
            </w:r>
          </w:p>
        </w:tc>
        <w:tc>
          <w:tcPr>
            <w:tcW w:w="997" w:type="dxa"/>
            <w:tcBorders>
              <w:top w:val="none" w:sz="0" w:space="0" w:color="auto"/>
              <w:left w:val="none" w:sz="0" w:space="0" w:color="auto"/>
              <w:bottom w:val="none" w:sz="0" w:space="0" w:color="auto"/>
              <w:right w:val="none" w:sz="0" w:space="0" w:color="auto"/>
            </w:tcBorders>
          </w:tcPr>
          <w:p w14:paraId="28872DF9"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0.00%</w:t>
            </w:r>
          </w:p>
        </w:tc>
        <w:tc>
          <w:tcPr>
            <w:tcW w:w="1105" w:type="dxa"/>
            <w:tcBorders>
              <w:top w:val="none" w:sz="0" w:space="0" w:color="auto"/>
              <w:left w:val="none" w:sz="0" w:space="0" w:color="auto"/>
              <w:bottom w:val="none" w:sz="0" w:space="0" w:color="auto"/>
              <w:right w:val="none" w:sz="0" w:space="0" w:color="auto"/>
            </w:tcBorders>
          </w:tcPr>
          <w:p w14:paraId="64FB6B18"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8.72%</w:t>
            </w:r>
          </w:p>
        </w:tc>
        <w:tc>
          <w:tcPr>
            <w:tcW w:w="0" w:type="auto"/>
            <w:tcBorders>
              <w:top w:val="none" w:sz="0" w:space="0" w:color="auto"/>
              <w:left w:val="none" w:sz="0" w:space="0" w:color="auto"/>
              <w:bottom w:val="none" w:sz="0" w:space="0" w:color="auto"/>
              <w:right w:val="none" w:sz="0" w:space="0" w:color="auto"/>
            </w:tcBorders>
          </w:tcPr>
          <w:p w14:paraId="1C48560E" w14:textId="77777777" w:rsidR="00BD4C61" w:rsidRPr="005D7D05" w:rsidRDefault="00BD4C61" w:rsidP="00FB14E9">
            <w:pPr>
              <w:keepNext/>
              <w:keepLines/>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16.57%</w:t>
            </w:r>
          </w:p>
        </w:tc>
      </w:tr>
      <w:tr w:rsidR="00BD4C61" w:rsidRPr="002A7AA6" w14:paraId="623F590E"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9" w:type="dxa"/>
            <w:tcBorders>
              <w:top w:val="none" w:sz="0" w:space="0" w:color="auto"/>
              <w:left w:val="none" w:sz="0" w:space="0" w:color="auto"/>
              <w:bottom w:val="none" w:sz="0" w:space="0" w:color="auto"/>
              <w:right w:val="none" w:sz="0" w:space="0" w:color="auto"/>
            </w:tcBorders>
          </w:tcPr>
          <w:p w14:paraId="6C04FA97" w14:textId="58C9C601" w:rsidR="00BD4C61" w:rsidRPr="005D7D05" w:rsidRDefault="00BD4C61" w:rsidP="00FB14E9">
            <w:pPr>
              <w:rPr>
                <w:sz w:val="20"/>
              </w:rPr>
            </w:pPr>
            <w:r w:rsidRPr="005D7D05">
              <w:rPr>
                <w:sz w:val="20"/>
              </w:rPr>
              <w:t>a1CTO0000010gv52AA</w:t>
            </w:r>
            <w:r w:rsidR="009459C8" w:rsidRPr="009459C8">
              <w:rPr>
                <w:sz w:val="20"/>
                <w:vertAlign w:val="superscript"/>
              </w:rPr>
              <w:t>b</w:t>
            </w:r>
          </w:p>
        </w:tc>
        <w:tc>
          <w:tcPr>
            <w:tcW w:w="1210" w:type="dxa"/>
            <w:tcBorders>
              <w:top w:val="none" w:sz="0" w:space="0" w:color="auto"/>
              <w:left w:val="none" w:sz="0" w:space="0" w:color="auto"/>
              <w:bottom w:val="none" w:sz="0" w:space="0" w:color="auto"/>
              <w:right w:val="none" w:sz="0" w:space="0" w:color="auto"/>
            </w:tcBorders>
          </w:tcPr>
          <w:p w14:paraId="160E5790"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0.91</w:t>
            </w:r>
          </w:p>
        </w:tc>
        <w:tc>
          <w:tcPr>
            <w:tcW w:w="0" w:type="auto"/>
            <w:tcBorders>
              <w:top w:val="none" w:sz="0" w:space="0" w:color="auto"/>
              <w:left w:val="none" w:sz="0" w:space="0" w:color="auto"/>
              <w:bottom w:val="none" w:sz="0" w:space="0" w:color="auto"/>
              <w:right w:val="none" w:sz="0" w:space="0" w:color="auto"/>
            </w:tcBorders>
          </w:tcPr>
          <w:p w14:paraId="3F41E796"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0.90</w:t>
            </w:r>
          </w:p>
        </w:tc>
        <w:tc>
          <w:tcPr>
            <w:tcW w:w="0" w:type="auto"/>
            <w:tcBorders>
              <w:top w:val="none" w:sz="0" w:space="0" w:color="auto"/>
              <w:left w:val="none" w:sz="0" w:space="0" w:color="auto"/>
              <w:bottom w:val="none" w:sz="0" w:space="0" w:color="auto"/>
              <w:right w:val="none" w:sz="0" w:space="0" w:color="auto"/>
            </w:tcBorders>
          </w:tcPr>
          <w:p w14:paraId="5E5E28C7"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19.08%</w:t>
            </w:r>
          </w:p>
        </w:tc>
        <w:tc>
          <w:tcPr>
            <w:tcW w:w="0" w:type="auto"/>
            <w:tcBorders>
              <w:top w:val="none" w:sz="0" w:space="0" w:color="auto"/>
              <w:left w:val="none" w:sz="0" w:space="0" w:color="auto"/>
              <w:bottom w:val="none" w:sz="0" w:space="0" w:color="auto"/>
              <w:right w:val="none" w:sz="0" w:space="0" w:color="auto"/>
            </w:tcBorders>
          </w:tcPr>
          <w:p w14:paraId="5D4F387A"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19.90%</w:t>
            </w:r>
          </w:p>
        </w:tc>
        <w:tc>
          <w:tcPr>
            <w:tcW w:w="1454" w:type="dxa"/>
            <w:tcBorders>
              <w:top w:val="none" w:sz="0" w:space="0" w:color="auto"/>
              <w:left w:val="none" w:sz="0" w:space="0" w:color="auto"/>
              <w:bottom w:val="none" w:sz="0" w:space="0" w:color="auto"/>
              <w:right w:val="none" w:sz="0" w:space="0" w:color="auto"/>
            </w:tcBorders>
          </w:tcPr>
          <w:p w14:paraId="43368686"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0.00%</w:t>
            </w:r>
          </w:p>
        </w:tc>
        <w:tc>
          <w:tcPr>
            <w:tcW w:w="997" w:type="dxa"/>
            <w:tcBorders>
              <w:top w:val="none" w:sz="0" w:space="0" w:color="auto"/>
              <w:left w:val="none" w:sz="0" w:space="0" w:color="auto"/>
              <w:bottom w:val="none" w:sz="0" w:space="0" w:color="auto"/>
              <w:right w:val="none" w:sz="0" w:space="0" w:color="auto"/>
            </w:tcBorders>
          </w:tcPr>
          <w:p w14:paraId="1DD3933B"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0.00%</w:t>
            </w:r>
          </w:p>
        </w:tc>
        <w:tc>
          <w:tcPr>
            <w:tcW w:w="1105" w:type="dxa"/>
            <w:tcBorders>
              <w:top w:val="none" w:sz="0" w:space="0" w:color="auto"/>
              <w:left w:val="none" w:sz="0" w:space="0" w:color="auto"/>
              <w:bottom w:val="none" w:sz="0" w:space="0" w:color="auto"/>
              <w:right w:val="none" w:sz="0" w:space="0" w:color="auto"/>
            </w:tcBorders>
          </w:tcPr>
          <w:p w14:paraId="58C3FC06"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7.86%</w:t>
            </w:r>
          </w:p>
        </w:tc>
        <w:tc>
          <w:tcPr>
            <w:tcW w:w="0" w:type="auto"/>
            <w:tcBorders>
              <w:top w:val="none" w:sz="0" w:space="0" w:color="auto"/>
              <w:left w:val="none" w:sz="0" w:space="0" w:color="auto"/>
              <w:bottom w:val="none" w:sz="0" w:space="0" w:color="auto"/>
              <w:right w:val="none" w:sz="0" w:space="0" w:color="auto"/>
            </w:tcBorders>
          </w:tcPr>
          <w:p w14:paraId="71A857DB" w14:textId="77777777" w:rsidR="00BD4C61" w:rsidRPr="005D7D05" w:rsidRDefault="00BD4C61" w:rsidP="00FB14E9">
            <w:pPr>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6.21%</w:t>
            </w:r>
          </w:p>
        </w:tc>
      </w:tr>
      <w:tr w:rsidR="00BD4C61" w:rsidRPr="002A7AA6" w14:paraId="0E525F4E" w14:textId="77777777" w:rsidTr="00FB14E9">
        <w:trPr>
          <w:cnfStyle w:val="000000010000" w:firstRow="0" w:lastRow="0" w:firstColumn="0" w:lastColumn="0" w:oddVBand="0" w:evenVBand="0" w:oddHBand="0" w:evenHBand="1"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9" w:type="dxa"/>
            <w:tcBorders>
              <w:top w:val="none" w:sz="0" w:space="0" w:color="auto"/>
              <w:left w:val="none" w:sz="0" w:space="0" w:color="auto"/>
              <w:bottom w:val="none" w:sz="0" w:space="0" w:color="auto"/>
              <w:right w:val="none" w:sz="0" w:space="0" w:color="auto"/>
            </w:tcBorders>
          </w:tcPr>
          <w:p w14:paraId="33484887" w14:textId="77777777" w:rsidR="00BD4C61" w:rsidRPr="005D7D05" w:rsidRDefault="00BD4C61" w:rsidP="00FB14E9">
            <w:pPr>
              <w:rPr>
                <w:sz w:val="20"/>
              </w:rPr>
            </w:pPr>
            <w:r w:rsidRPr="005D7D05">
              <w:rPr>
                <w:sz w:val="20"/>
              </w:rPr>
              <w:t>a1CTO0000010gvk2AA</w:t>
            </w:r>
          </w:p>
        </w:tc>
        <w:tc>
          <w:tcPr>
            <w:tcW w:w="1210" w:type="dxa"/>
            <w:tcBorders>
              <w:top w:val="none" w:sz="0" w:space="0" w:color="auto"/>
              <w:left w:val="none" w:sz="0" w:space="0" w:color="auto"/>
              <w:bottom w:val="none" w:sz="0" w:space="0" w:color="auto"/>
              <w:right w:val="none" w:sz="0" w:space="0" w:color="auto"/>
            </w:tcBorders>
          </w:tcPr>
          <w:p w14:paraId="77131FBB"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0.80</w:t>
            </w:r>
          </w:p>
        </w:tc>
        <w:tc>
          <w:tcPr>
            <w:tcW w:w="0" w:type="auto"/>
            <w:tcBorders>
              <w:top w:val="none" w:sz="0" w:space="0" w:color="auto"/>
              <w:left w:val="none" w:sz="0" w:space="0" w:color="auto"/>
              <w:bottom w:val="none" w:sz="0" w:space="0" w:color="auto"/>
              <w:right w:val="none" w:sz="0" w:space="0" w:color="auto"/>
            </w:tcBorders>
          </w:tcPr>
          <w:p w14:paraId="33B54E15"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0.80</w:t>
            </w:r>
          </w:p>
        </w:tc>
        <w:tc>
          <w:tcPr>
            <w:tcW w:w="0" w:type="auto"/>
            <w:tcBorders>
              <w:top w:val="none" w:sz="0" w:space="0" w:color="auto"/>
              <w:left w:val="none" w:sz="0" w:space="0" w:color="auto"/>
              <w:bottom w:val="none" w:sz="0" w:space="0" w:color="auto"/>
              <w:right w:val="none" w:sz="0" w:space="0" w:color="auto"/>
            </w:tcBorders>
          </w:tcPr>
          <w:p w14:paraId="4D814CED"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21.64%</w:t>
            </w:r>
          </w:p>
        </w:tc>
        <w:tc>
          <w:tcPr>
            <w:tcW w:w="0" w:type="auto"/>
            <w:tcBorders>
              <w:top w:val="none" w:sz="0" w:space="0" w:color="auto"/>
              <w:left w:val="none" w:sz="0" w:space="0" w:color="auto"/>
              <w:bottom w:val="none" w:sz="0" w:space="0" w:color="auto"/>
              <w:right w:val="none" w:sz="0" w:space="0" w:color="auto"/>
            </w:tcBorders>
          </w:tcPr>
          <w:p w14:paraId="7470FD02"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21.64%</w:t>
            </w:r>
          </w:p>
        </w:tc>
        <w:tc>
          <w:tcPr>
            <w:tcW w:w="1454" w:type="dxa"/>
            <w:tcBorders>
              <w:top w:val="none" w:sz="0" w:space="0" w:color="auto"/>
              <w:left w:val="none" w:sz="0" w:space="0" w:color="auto"/>
              <w:bottom w:val="none" w:sz="0" w:space="0" w:color="auto"/>
              <w:right w:val="none" w:sz="0" w:space="0" w:color="auto"/>
            </w:tcBorders>
          </w:tcPr>
          <w:p w14:paraId="2DA7188F"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0.00%</w:t>
            </w:r>
          </w:p>
        </w:tc>
        <w:tc>
          <w:tcPr>
            <w:tcW w:w="997" w:type="dxa"/>
            <w:tcBorders>
              <w:top w:val="none" w:sz="0" w:space="0" w:color="auto"/>
              <w:left w:val="none" w:sz="0" w:space="0" w:color="auto"/>
              <w:bottom w:val="none" w:sz="0" w:space="0" w:color="auto"/>
              <w:right w:val="none" w:sz="0" w:space="0" w:color="auto"/>
            </w:tcBorders>
          </w:tcPr>
          <w:p w14:paraId="7E65EFE6"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0.00%</w:t>
            </w:r>
          </w:p>
        </w:tc>
        <w:tc>
          <w:tcPr>
            <w:tcW w:w="1105" w:type="dxa"/>
            <w:tcBorders>
              <w:top w:val="none" w:sz="0" w:space="0" w:color="auto"/>
              <w:left w:val="none" w:sz="0" w:space="0" w:color="auto"/>
              <w:bottom w:val="none" w:sz="0" w:space="0" w:color="auto"/>
              <w:right w:val="none" w:sz="0" w:space="0" w:color="auto"/>
            </w:tcBorders>
          </w:tcPr>
          <w:p w14:paraId="27B15579"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5.70%</w:t>
            </w:r>
          </w:p>
        </w:tc>
        <w:tc>
          <w:tcPr>
            <w:tcW w:w="0" w:type="auto"/>
            <w:tcBorders>
              <w:top w:val="none" w:sz="0" w:space="0" w:color="auto"/>
              <w:left w:val="none" w:sz="0" w:space="0" w:color="auto"/>
              <w:bottom w:val="none" w:sz="0" w:space="0" w:color="auto"/>
              <w:right w:val="none" w:sz="0" w:space="0" w:color="auto"/>
            </w:tcBorders>
          </w:tcPr>
          <w:p w14:paraId="5928D3CE" w14:textId="77777777" w:rsidR="00BD4C61" w:rsidRPr="005D7D05" w:rsidRDefault="00BD4C61" w:rsidP="00FB14E9">
            <w:pPr>
              <w:jc w:val="center"/>
              <w:cnfStyle w:val="000000010000" w:firstRow="0" w:lastRow="0" w:firstColumn="0" w:lastColumn="0" w:oddVBand="0" w:evenVBand="0" w:oddHBand="0" w:evenHBand="1" w:firstRowFirstColumn="0" w:firstRowLastColumn="0" w:lastRowFirstColumn="0" w:lastRowLastColumn="0"/>
              <w:rPr>
                <w:sz w:val="20"/>
              </w:rPr>
            </w:pPr>
            <w:r w:rsidRPr="005D7D05">
              <w:rPr>
                <w:sz w:val="20"/>
              </w:rPr>
              <w:t>8.54%</w:t>
            </w:r>
          </w:p>
        </w:tc>
      </w:tr>
      <w:tr w:rsidR="00BD4C61" w:rsidRPr="002A7AA6" w14:paraId="6815DF51" w14:textId="77777777" w:rsidTr="00FB14E9">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2379" w:type="dxa"/>
            <w:tcBorders>
              <w:top w:val="none" w:sz="0" w:space="0" w:color="auto"/>
              <w:left w:val="none" w:sz="0" w:space="0" w:color="auto"/>
              <w:bottom w:val="none" w:sz="0" w:space="0" w:color="auto"/>
              <w:right w:val="none" w:sz="0" w:space="0" w:color="auto"/>
            </w:tcBorders>
          </w:tcPr>
          <w:p w14:paraId="091EE22B" w14:textId="4FBDE8BB" w:rsidR="00BD4C61" w:rsidRPr="005D7D05" w:rsidRDefault="00BD4C61" w:rsidP="00FB14E9">
            <w:pPr>
              <w:keepNext/>
              <w:keepLines/>
              <w:rPr>
                <w:sz w:val="20"/>
              </w:rPr>
            </w:pPr>
            <w:r w:rsidRPr="005D7D05">
              <w:rPr>
                <w:sz w:val="20"/>
              </w:rPr>
              <w:lastRenderedPageBreak/>
              <w:t>a1CTO0000010gvO2AQ</w:t>
            </w:r>
            <w:r w:rsidR="009459C8" w:rsidRPr="009459C8">
              <w:rPr>
                <w:sz w:val="20"/>
                <w:vertAlign w:val="superscript"/>
              </w:rPr>
              <w:t>b</w:t>
            </w:r>
          </w:p>
        </w:tc>
        <w:tc>
          <w:tcPr>
            <w:tcW w:w="1210" w:type="dxa"/>
            <w:tcBorders>
              <w:top w:val="none" w:sz="0" w:space="0" w:color="auto"/>
              <w:left w:val="none" w:sz="0" w:space="0" w:color="auto"/>
              <w:bottom w:val="none" w:sz="0" w:space="0" w:color="auto"/>
              <w:right w:val="none" w:sz="0" w:space="0" w:color="auto"/>
            </w:tcBorders>
          </w:tcPr>
          <w:p w14:paraId="00D75342"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0.65</w:t>
            </w:r>
          </w:p>
        </w:tc>
        <w:tc>
          <w:tcPr>
            <w:tcW w:w="0" w:type="auto"/>
            <w:tcBorders>
              <w:top w:val="none" w:sz="0" w:space="0" w:color="auto"/>
              <w:left w:val="none" w:sz="0" w:space="0" w:color="auto"/>
              <w:bottom w:val="none" w:sz="0" w:space="0" w:color="auto"/>
              <w:right w:val="none" w:sz="0" w:space="0" w:color="auto"/>
            </w:tcBorders>
          </w:tcPr>
          <w:p w14:paraId="5FA1B0F7"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0.64</w:t>
            </w:r>
          </w:p>
        </w:tc>
        <w:tc>
          <w:tcPr>
            <w:tcW w:w="0" w:type="auto"/>
            <w:tcBorders>
              <w:top w:val="none" w:sz="0" w:space="0" w:color="auto"/>
              <w:left w:val="none" w:sz="0" w:space="0" w:color="auto"/>
              <w:bottom w:val="none" w:sz="0" w:space="0" w:color="auto"/>
              <w:right w:val="none" w:sz="0" w:space="0" w:color="auto"/>
            </w:tcBorders>
          </w:tcPr>
          <w:p w14:paraId="590ED117"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19.56%</w:t>
            </w:r>
          </w:p>
        </w:tc>
        <w:tc>
          <w:tcPr>
            <w:tcW w:w="0" w:type="auto"/>
            <w:tcBorders>
              <w:top w:val="none" w:sz="0" w:space="0" w:color="auto"/>
              <w:left w:val="none" w:sz="0" w:space="0" w:color="auto"/>
              <w:bottom w:val="none" w:sz="0" w:space="0" w:color="auto"/>
              <w:right w:val="none" w:sz="0" w:space="0" w:color="auto"/>
            </w:tcBorders>
          </w:tcPr>
          <w:p w14:paraId="28785119"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19.93%</w:t>
            </w:r>
          </w:p>
        </w:tc>
        <w:tc>
          <w:tcPr>
            <w:tcW w:w="1454" w:type="dxa"/>
            <w:tcBorders>
              <w:top w:val="none" w:sz="0" w:space="0" w:color="auto"/>
              <w:left w:val="none" w:sz="0" w:space="0" w:color="auto"/>
              <w:bottom w:val="none" w:sz="0" w:space="0" w:color="auto"/>
              <w:right w:val="none" w:sz="0" w:space="0" w:color="auto"/>
            </w:tcBorders>
          </w:tcPr>
          <w:p w14:paraId="2ACBFB95"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0.00%</w:t>
            </w:r>
          </w:p>
        </w:tc>
        <w:tc>
          <w:tcPr>
            <w:tcW w:w="997" w:type="dxa"/>
            <w:tcBorders>
              <w:top w:val="none" w:sz="0" w:space="0" w:color="auto"/>
              <w:left w:val="none" w:sz="0" w:space="0" w:color="auto"/>
              <w:bottom w:val="none" w:sz="0" w:space="0" w:color="auto"/>
              <w:right w:val="none" w:sz="0" w:space="0" w:color="auto"/>
            </w:tcBorders>
          </w:tcPr>
          <w:p w14:paraId="6E7F5240"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0.00%</w:t>
            </w:r>
          </w:p>
        </w:tc>
        <w:tc>
          <w:tcPr>
            <w:tcW w:w="1105" w:type="dxa"/>
            <w:tcBorders>
              <w:top w:val="none" w:sz="0" w:space="0" w:color="auto"/>
              <w:left w:val="none" w:sz="0" w:space="0" w:color="auto"/>
              <w:bottom w:val="none" w:sz="0" w:space="0" w:color="auto"/>
              <w:right w:val="none" w:sz="0" w:space="0" w:color="auto"/>
            </w:tcBorders>
          </w:tcPr>
          <w:p w14:paraId="25835A43"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17.99%</w:t>
            </w:r>
          </w:p>
        </w:tc>
        <w:tc>
          <w:tcPr>
            <w:tcW w:w="0" w:type="auto"/>
            <w:tcBorders>
              <w:top w:val="none" w:sz="0" w:space="0" w:color="auto"/>
              <w:left w:val="none" w:sz="0" w:space="0" w:color="auto"/>
              <w:bottom w:val="none" w:sz="0" w:space="0" w:color="auto"/>
              <w:right w:val="none" w:sz="0" w:space="0" w:color="auto"/>
            </w:tcBorders>
          </w:tcPr>
          <w:p w14:paraId="3B2A7D4E" w14:textId="77777777" w:rsidR="00BD4C61" w:rsidRPr="005D7D05" w:rsidRDefault="00BD4C61" w:rsidP="00FB14E9">
            <w:pPr>
              <w:keepNext/>
              <w:keepLines/>
              <w:jc w:val="center"/>
              <w:cnfStyle w:val="000000100000" w:firstRow="0" w:lastRow="0" w:firstColumn="0" w:lastColumn="0" w:oddVBand="0" w:evenVBand="0" w:oddHBand="1" w:evenHBand="0" w:firstRowFirstColumn="0" w:firstRowLastColumn="0" w:lastRowFirstColumn="0" w:lastRowLastColumn="0"/>
              <w:rPr>
                <w:sz w:val="20"/>
              </w:rPr>
            </w:pPr>
            <w:r w:rsidRPr="005D7D05">
              <w:rPr>
                <w:sz w:val="20"/>
              </w:rPr>
              <w:t>26.80%</w:t>
            </w:r>
          </w:p>
        </w:tc>
      </w:tr>
    </w:tbl>
    <w:p w14:paraId="5BC84C1C" w14:textId="0F5CAAA4" w:rsidR="009459C8" w:rsidRDefault="009459C8" w:rsidP="009459C8">
      <w:pPr>
        <w:pStyle w:val="Source"/>
      </w:pPr>
      <w:r>
        <w:rPr>
          <w:vertAlign w:val="superscript"/>
        </w:rPr>
        <w:t>a</w:t>
      </w:r>
      <w:r>
        <w:t xml:space="preserve"> Evaluation team </w:t>
      </w:r>
      <w:r w:rsidR="009D34C8">
        <w:t>reduced the</w:t>
      </w:r>
      <w:r>
        <w:t xml:space="preserve"> post-period </w:t>
      </w:r>
      <w:r w:rsidR="009D34C8">
        <w:t xml:space="preserve">to one year </w:t>
      </w:r>
      <w:r>
        <w:t>to limit cross</w:t>
      </w:r>
      <w:r w:rsidR="008A0837">
        <w:t>-</w:t>
      </w:r>
      <w:r>
        <w:t>participation adjustments as much as possible.</w:t>
      </w:r>
    </w:p>
    <w:p w14:paraId="2E1CA9F6" w14:textId="77777777" w:rsidR="009459C8" w:rsidRDefault="009459C8" w:rsidP="009459C8">
      <w:pPr>
        <w:pStyle w:val="Source"/>
      </w:pPr>
      <w:r w:rsidRPr="00C4108A">
        <w:rPr>
          <w:vertAlign w:val="superscript"/>
        </w:rPr>
        <w:t>b</w:t>
      </w:r>
      <w:r>
        <w:t xml:space="preserve"> Evaluation team model included weather interactions. </w:t>
      </w:r>
    </w:p>
    <w:p w14:paraId="3EB2738E" w14:textId="3BAFA7D8" w:rsidR="00BD4C61" w:rsidRDefault="008A6E3B" w:rsidP="008A6E3B">
      <w:pPr>
        <w:pStyle w:val="Heading4"/>
      </w:pPr>
      <w:bookmarkStart w:id="439" w:name="_Ref192150462"/>
      <w:r>
        <w:t>Uplift From Other AIC Initiatives</w:t>
      </w:r>
      <w:bookmarkEnd w:id="439"/>
    </w:p>
    <w:p w14:paraId="2FF00DE1" w14:textId="6F9271D9" w:rsidR="008F344F" w:rsidRDefault="008A6E3B" w:rsidP="008A6E3B">
      <w:r w:rsidRPr="008A6E3B">
        <w:t xml:space="preserve">The savings analysis for the Virtual SEM channel considers energy savings that resulted from energy-efficient actions taken through other AIC Business Program initiatives. The evaluation team identified one Virtual SEM participant that completed projects through other AIC Business Program initiatives after </w:t>
      </w:r>
      <w:r w:rsidR="008A0837">
        <w:t>participating</w:t>
      </w:r>
      <w:r w:rsidRPr="008A6E3B">
        <w:t xml:space="preserve"> in the Virtual SEM offering in 2024</w:t>
      </w:r>
      <w:r w:rsidR="008F344F">
        <w:t xml:space="preserve"> </w:t>
      </w:r>
      <w:r w:rsidR="008F344F" w:rsidRPr="008F344F">
        <w:t xml:space="preserve">and adjusted the ex ante savings estimates </w:t>
      </w:r>
      <w:r w:rsidR="008A0837">
        <w:t>to exclude</w:t>
      </w:r>
      <w:r w:rsidR="008F344F" w:rsidRPr="008F344F">
        <w:t xml:space="preserve"> savings produced through the other AIC initiatives</w:t>
      </w:r>
      <w:r w:rsidRPr="008A6E3B">
        <w:t xml:space="preserve">. </w:t>
      </w:r>
      <w:r w:rsidR="008F344F">
        <w:t xml:space="preserve">The evaluation team’s cross-participation adjustments matched those made by the implementation team. </w:t>
      </w:r>
    </w:p>
    <w:p w14:paraId="53283519" w14:textId="18506D0E" w:rsidR="008A6E3B" w:rsidRDefault="008A6E3B" w:rsidP="008A6E3B">
      <w:r w:rsidRPr="008A6E3B">
        <w:t xml:space="preserve">The evaluation team accounted for cross-program participation by subtracting verified gross savings for each project completed through another AIC initiative from the verified gross electric savings from the Virtual SEM channel at the corresponding site. </w:t>
      </w:r>
      <w:r>
        <w:fldChar w:fldCharType="begin"/>
      </w:r>
      <w:r>
        <w:instrText xml:space="preserve"> REF _Ref191565988 \h </w:instrText>
      </w:r>
      <w:r>
        <w:fldChar w:fldCharType="separate"/>
      </w:r>
      <w:r w:rsidR="00AA10F4">
        <w:t xml:space="preserve">Table </w:t>
      </w:r>
      <w:r w:rsidR="00AA10F4">
        <w:rPr>
          <w:noProof/>
        </w:rPr>
        <w:t>100</w:t>
      </w:r>
      <w:r>
        <w:fldChar w:fldCharType="end"/>
      </w:r>
      <w:r>
        <w:t xml:space="preserve"> </w:t>
      </w:r>
      <w:r w:rsidRPr="008A6E3B">
        <w:t>summarizes the projects completed through other AIC Initiatives and the associated verified gross electric energy savings.</w:t>
      </w:r>
    </w:p>
    <w:p w14:paraId="5CDBFA46" w14:textId="202DC402" w:rsidR="008A6E3B" w:rsidRDefault="008A6E3B" w:rsidP="00881B1B">
      <w:pPr>
        <w:pStyle w:val="Caption"/>
      </w:pPr>
      <w:bookmarkStart w:id="440" w:name="_Ref191565988"/>
      <w:bookmarkStart w:id="441" w:name="_Toc191992618"/>
      <w:bookmarkStart w:id="442" w:name="_Toc192767034"/>
      <w:r>
        <w:t xml:space="preserve">Table </w:t>
      </w:r>
      <w:r>
        <w:fldChar w:fldCharType="begin"/>
      </w:r>
      <w:r>
        <w:instrText xml:space="preserve"> SEQ Table \* ARABIC </w:instrText>
      </w:r>
      <w:r>
        <w:fldChar w:fldCharType="separate"/>
      </w:r>
      <w:r w:rsidR="00AA10F4">
        <w:rPr>
          <w:noProof/>
        </w:rPr>
        <w:t>100</w:t>
      </w:r>
      <w:r>
        <w:fldChar w:fldCharType="end"/>
      </w:r>
      <w:bookmarkEnd w:id="440"/>
      <w:r>
        <w:t>. Summary of Projects Completed through Other AIC Initiatives</w:t>
      </w:r>
      <w:bookmarkEnd w:id="441"/>
      <w:bookmarkEnd w:id="442"/>
    </w:p>
    <w:tbl>
      <w:tblPr>
        <w:tblStyle w:val="ODCBasic-1"/>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CellMar>
          <w:top w:w="0" w:type="dxa"/>
          <w:bottom w:w="14" w:type="dxa"/>
        </w:tblCellMar>
        <w:tblLook w:val="04A0" w:firstRow="1" w:lastRow="0" w:firstColumn="1" w:lastColumn="0" w:noHBand="0" w:noVBand="1"/>
      </w:tblPr>
      <w:tblGrid>
        <w:gridCol w:w="2312"/>
        <w:gridCol w:w="2121"/>
        <w:gridCol w:w="1376"/>
        <w:gridCol w:w="2547"/>
        <w:gridCol w:w="2740"/>
      </w:tblGrid>
      <w:tr w:rsidR="008A6E3B" w:rsidRPr="002A7AA6" w14:paraId="0A7685E5" w14:textId="77777777" w:rsidTr="0056690A">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067D2B57" w14:textId="77777777" w:rsidR="008A6E3B" w:rsidRPr="002A7AA6" w:rsidRDefault="008A6E3B" w:rsidP="0056690A">
            <w:pPr>
              <w:jc w:val="left"/>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Project ID</w:t>
            </w:r>
          </w:p>
        </w:tc>
        <w:tc>
          <w:tcPr>
            <w:tcW w:w="2121" w:type="dxa"/>
            <w:tcBorders>
              <w:bottom w:val="none" w:sz="0" w:space="0" w:color="auto"/>
            </w:tcBorders>
          </w:tcPr>
          <w:p w14:paraId="0AF4697F" w14:textId="77777777" w:rsidR="008A6E3B" w:rsidRPr="002A7AA6" w:rsidRDefault="008A6E3B"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Source of Cross-Program Participation</w:t>
            </w:r>
          </w:p>
        </w:tc>
        <w:tc>
          <w:tcPr>
            <w:tcW w:w="1376" w:type="dxa"/>
            <w:tcBorders>
              <w:bottom w:val="none" w:sz="0" w:space="0" w:color="auto"/>
            </w:tcBorders>
          </w:tcPr>
          <w:p w14:paraId="5D7FEC26" w14:textId="77777777" w:rsidR="008A6E3B" w:rsidRPr="002A7AA6" w:rsidRDefault="008A6E3B"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(kWh)</w:t>
            </w:r>
          </w:p>
        </w:tc>
        <w:tc>
          <w:tcPr>
            <w:tcW w:w="0" w:type="auto"/>
            <w:tcBorders>
              <w:bottom w:val="none" w:sz="0" w:space="0" w:color="auto"/>
            </w:tcBorders>
          </w:tcPr>
          <w:p w14:paraId="0F9364CB" w14:textId="77777777" w:rsidR="008A6E3B" w:rsidRPr="002A7AA6" w:rsidRDefault="008A6E3B"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from Cross-Program Participation (kWh)</w:t>
            </w:r>
          </w:p>
        </w:tc>
        <w:tc>
          <w:tcPr>
            <w:tcW w:w="0" w:type="auto"/>
            <w:tcBorders>
              <w:bottom w:val="none" w:sz="0" w:space="0" w:color="auto"/>
            </w:tcBorders>
          </w:tcPr>
          <w:p w14:paraId="248E844F" w14:textId="77777777" w:rsidR="008A6E3B" w:rsidRPr="002A7AA6" w:rsidRDefault="008A6E3B" w:rsidP="000D334C">
            <w:pPr>
              <w:cnfStyle w:val="100000000000" w:firstRow="1" w:lastRow="0" w:firstColumn="0" w:lastColumn="0" w:oddVBand="0" w:evenVBand="0" w:oddHBand="0" w:evenHBand="0" w:firstRowFirstColumn="0" w:firstRowLastColumn="0" w:lastRowFirstColumn="0" w:lastRowLastColumn="0"/>
              <w:rPr>
                <w:rFonts w:ascii="Franklin Gothic Medium" w:hAnsi="Franklin Gothic Medium"/>
                <w:color w:val="FFFFFF" w:themeColor="background1"/>
                <w:sz w:val="20"/>
              </w:rPr>
            </w:pPr>
            <w:r w:rsidRPr="002A7AA6">
              <w:rPr>
                <w:rFonts w:ascii="Franklin Gothic Medium" w:hAnsi="Franklin Gothic Medium"/>
                <w:color w:val="FFFFFF" w:themeColor="background1"/>
                <w:sz w:val="20"/>
              </w:rPr>
              <w:t>Verified Gross Savings Adjusted for Cross-Program Participation (kWh)</w:t>
            </w:r>
          </w:p>
        </w:tc>
      </w:tr>
      <w:tr w:rsidR="008A6E3B" w:rsidRPr="002A7AA6" w14:paraId="54EAA470" w14:textId="77777777" w:rsidTr="0056690A">
        <w:trPr>
          <w:cnfStyle w:val="000000100000" w:firstRow="0" w:lastRow="0" w:firstColumn="0" w:lastColumn="0" w:oddVBand="0" w:evenVBand="0" w:oddHBand="1" w:evenHBand="0" w:firstRowFirstColumn="0" w:firstRowLastColumn="0" w:lastRowFirstColumn="0" w:lastRowLastColumn="0"/>
          <w:cantSplit/>
          <w:trHeight w:val="288"/>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7FFB68B2" w14:textId="77777777" w:rsidR="008A6E3B" w:rsidRPr="002A7AA6" w:rsidRDefault="008A6E3B" w:rsidP="0056690A">
            <w:pPr>
              <w:rPr>
                <w:sz w:val="20"/>
              </w:rPr>
            </w:pPr>
            <w:r w:rsidRPr="00FE4DEB">
              <w:rPr>
                <w:sz w:val="20"/>
              </w:rPr>
              <w:t>a1CTO000000MUnR2AW</w:t>
            </w:r>
          </w:p>
        </w:tc>
        <w:tc>
          <w:tcPr>
            <w:tcW w:w="2121" w:type="dxa"/>
            <w:tcBorders>
              <w:top w:val="none" w:sz="0" w:space="0" w:color="auto"/>
              <w:left w:val="none" w:sz="0" w:space="0" w:color="auto"/>
              <w:bottom w:val="none" w:sz="0" w:space="0" w:color="auto"/>
              <w:right w:val="none" w:sz="0" w:space="0" w:color="auto"/>
            </w:tcBorders>
          </w:tcPr>
          <w:p w14:paraId="6AEC71F1" w14:textId="77777777" w:rsidR="008A6E3B" w:rsidRPr="002A7AA6" w:rsidRDefault="008A6E3B" w:rsidP="00E644D5">
            <w:pPr>
              <w:cnfStyle w:val="000000100000" w:firstRow="0" w:lastRow="0" w:firstColumn="0" w:lastColumn="0" w:oddVBand="0" w:evenVBand="0" w:oddHBand="1" w:evenHBand="0" w:firstRowFirstColumn="0" w:firstRowLastColumn="0" w:lastRowFirstColumn="0" w:lastRowLastColumn="0"/>
              <w:rPr>
                <w:sz w:val="20"/>
              </w:rPr>
            </w:pPr>
            <w:r w:rsidRPr="00FE4DEB">
              <w:rPr>
                <w:sz w:val="20"/>
              </w:rPr>
              <w:t>Standard Lighting</w:t>
            </w:r>
          </w:p>
        </w:tc>
        <w:tc>
          <w:tcPr>
            <w:tcW w:w="1376" w:type="dxa"/>
            <w:tcBorders>
              <w:top w:val="none" w:sz="0" w:space="0" w:color="auto"/>
              <w:left w:val="none" w:sz="0" w:space="0" w:color="auto"/>
              <w:bottom w:val="none" w:sz="0" w:space="0" w:color="auto"/>
              <w:right w:val="none" w:sz="0" w:space="0" w:color="auto"/>
            </w:tcBorders>
          </w:tcPr>
          <w:p w14:paraId="0BDC1F5E" w14:textId="4BE54D54" w:rsidR="008A6E3B" w:rsidRPr="002A7AA6" w:rsidRDefault="008A6E3B"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FE4DEB">
              <w:rPr>
                <w:sz w:val="20"/>
              </w:rPr>
              <w:t>312,746</w:t>
            </w:r>
          </w:p>
        </w:tc>
        <w:tc>
          <w:tcPr>
            <w:tcW w:w="0" w:type="auto"/>
            <w:tcBorders>
              <w:top w:val="none" w:sz="0" w:space="0" w:color="auto"/>
              <w:left w:val="none" w:sz="0" w:space="0" w:color="auto"/>
              <w:bottom w:val="none" w:sz="0" w:space="0" w:color="auto"/>
              <w:right w:val="none" w:sz="0" w:space="0" w:color="auto"/>
            </w:tcBorders>
          </w:tcPr>
          <w:p w14:paraId="16AC1385" w14:textId="0F8CA635" w:rsidR="008A6E3B" w:rsidRPr="002A7AA6" w:rsidRDefault="008A6E3B"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305CBF">
              <w:rPr>
                <w:sz w:val="20"/>
              </w:rPr>
              <w:t>98,297</w:t>
            </w:r>
          </w:p>
        </w:tc>
        <w:tc>
          <w:tcPr>
            <w:tcW w:w="0" w:type="auto"/>
            <w:tcBorders>
              <w:top w:val="none" w:sz="0" w:space="0" w:color="auto"/>
              <w:left w:val="none" w:sz="0" w:space="0" w:color="auto"/>
              <w:bottom w:val="none" w:sz="0" w:space="0" w:color="auto"/>
              <w:right w:val="none" w:sz="0" w:space="0" w:color="auto"/>
            </w:tcBorders>
          </w:tcPr>
          <w:p w14:paraId="62759BE6" w14:textId="66A6B0FE" w:rsidR="008A6E3B" w:rsidRPr="002A7AA6" w:rsidRDefault="008A6E3B" w:rsidP="0056690A">
            <w:pPr>
              <w:jc w:val="center"/>
              <w:cnfStyle w:val="000000100000" w:firstRow="0" w:lastRow="0" w:firstColumn="0" w:lastColumn="0" w:oddVBand="0" w:evenVBand="0" w:oddHBand="1" w:evenHBand="0" w:firstRowFirstColumn="0" w:firstRowLastColumn="0" w:lastRowFirstColumn="0" w:lastRowLastColumn="0"/>
              <w:rPr>
                <w:sz w:val="20"/>
              </w:rPr>
            </w:pPr>
            <w:r w:rsidRPr="00305CBF">
              <w:rPr>
                <w:sz w:val="20"/>
              </w:rPr>
              <w:t>214,450</w:t>
            </w:r>
          </w:p>
        </w:tc>
      </w:tr>
    </w:tbl>
    <w:p w14:paraId="3F80D688" w14:textId="706C6B8C" w:rsidR="008A6E3B" w:rsidRDefault="008A6E3B" w:rsidP="00E644D5">
      <w:pPr>
        <w:pStyle w:val="Heading4"/>
        <w:keepNext/>
        <w:keepLines/>
      </w:pPr>
      <w:r>
        <w:t>Measure Lives and Cumulative Persisting Annual Savings</w:t>
      </w:r>
    </w:p>
    <w:p w14:paraId="41FE0048" w14:textId="5C34891A" w:rsidR="008A6E3B" w:rsidRDefault="008A6E3B" w:rsidP="008A6E3B">
      <w:r w:rsidRPr="008A6E3B">
        <w:t>The evaluation team applied an EUL of 7.0 for Virtual SEM based on guidance in Attachment B of IL-TRM V12.0, Volume 4.</w:t>
      </w:r>
      <w:r>
        <w:rPr>
          <w:rStyle w:val="FootnoteReference"/>
        </w:rPr>
        <w:footnoteReference w:id="49"/>
      </w:r>
    </w:p>
    <w:p w14:paraId="57B98326" w14:textId="3AD655F9" w:rsidR="000649C2" w:rsidRDefault="000649C2" w:rsidP="000649C2">
      <w:pPr>
        <w:pStyle w:val="AppendixGamma"/>
      </w:pPr>
      <w:bookmarkStart w:id="443" w:name="_Toc191992468"/>
      <w:r>
        <w:t>Net Impact Methodology</w:t>
      </w:r>
      <w:bookmarkEnd w:id="443"/>
    </w:p>
    <w:p w14:paraId="26CD0B0E" w14:textId="60F61FDF" w:rsidR="00F71AB0" w:rsidRDefault="00F71AB0" w:rsidP="00F71AB0">
      <w:r>
        <w:t>The evaluation team applied SAG-approved 2024 NTGRs to the verified gross savings to calculate verified net savings.</w:t>
      </w:r>
      <w:r w:rsidR="008A6E3B">
        <w:t xml:space="preserve"> </w:t>
      </w:r>
      <w:r w:rsidR="00896498">
        <w:fldChar w:fldCharType="begin"/>
      </w:r>
      <w:r w:rsidR="00896498">
        <w:instrText xml:space="preserve"> REF _Ref191566388 \h </w:instrText>
      </w:r>
      <w:r w:rsidR="00896498">
        <w:fldChar w:fldCharType="separate"/>
      </w:r>
      <w:r w:rsidR="00AA10F4">
        <w:t xml:space="preserve">Table </w:t>
      </w:r>
      <w:r w:rsidR="00AA10F4">
        <w:rPr>
          <w:noProof/>
        </w:rPr>
        <w:t>101</w:t>
      </w:r>
      <w:r w:rsidR="00896498">
        <w:fldChar w:fldCharType="end"/>
      </w:r>
      <w:r w:rsidR="00896498">
        <w:t xml:space="preserve"> </w:t>
      </w:r>
      <w:r w:rsidR="008A6E3B" w:rsidRPr="007014C6">
        <w:t>outlines the SAG-approved NTGR values applied to the verified gross savings for</w:t>
      </w:r>
      <w:r w:rsidR="0062758A">
        <w:t xml:space="preserve"> RCx Core, VCx, </w:t>
      </w:r>
      <w:r w:rsidR="008A6E3B" w:rsidRPr="007014C6">
        <w:t>and Virtual SEM.</w:t>
      </w:r>
    </w:p>
    <w:p w14:paraId="232DE890" w14:textId="745113E9" w:rsidR="00F71AB0" w:rsidRDefault="00F71AB0" w:rsidP="00881B1B">
      <w:pPr>
        <w:pStyle w:val="Caption"/>
      </w:pPr>
      <w:bookmarkStart w:id="444" w:name="_Ref191566388"/>
      <w:bookmarkStart w:id="445" w:name="_Toc191992619"/>
      <w:bookmarkStart w:id="446" w:name="_Toc192767035"/>
      <w:r>
        <w:t xml:space="preserve">Table </w:t>
      </w:r>
      <w:r w:rsidR="009B4C9A">
        <w:fldChar w:fldCharType="begin"/>
      </w:r>
      <w:r w:rsidR="009B4C9A">
        <w:instrText xml:space="preserve"> SEQ Table \* ARABIC </w:instrText>
      </w:r>
      <w:r w:rsidR="009B4C9A">
        <w:fldChar w:fldCharType="separate"/>
      </w:r>
      <w:r w:rsidR="00AA10F4">
        <w:rPr>
          <w:noProof/>
        </w:rPr>
        <w:t>101</w:t>
      </w:r>
      <w:r w:rsidR="009B4C9A">
        <w:rPr>
          <w:noProof/>
        </w:rPr>
        <w:fldChar w:fldCharType="end"/>
      </w:r>
      <w:bookmarkEnd w:id="444"/>
      <w:r>
        <w:t>. 2024 SAG-Approved Retro-Commissioning Initiative NTGRs</w:t>
      </w:r>
      <w:bookmarkEnd w:id="445"/>
      <w:bookmarkEnd w:id="446"/>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3679"/>
        <w:gridCol w:w="2774"/>
      </w:tblGrid>
      <w:tr w:rsidR="00896498" w14:paraId="04C40311"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right w:val="none" w:sz="0" w:space="0" w:color="auto"/>
            </w:tcBorders>
          </w:tcPr>
          <w:p w14:paraId="333F92F0" w14:textId="77777777" w:rsidR="00896498" w:rsidRDefault="00896498" w:rsidP="00D97405">
            <w:pPr>
              <w:pStyle w:val="TableHeadingLeft"/>
            </w:pPr>
            <w:r>
              <w:t>Channel</w:t>
            </w:r>
          </w:p>
        </w:tc>
        <w:tc>
          <w:tcPr>
            <w:tcW w:w="2774" w:type="dxa"/>
            <w:tcBorders>
              <w:bottom w:val="none" w:sz="0" w:space="0" w:color="auto"/>
            </w:tcBorders>
          </w:tcPr>
          <w:p w14:paraId="28F4C4A0" w14:textId="77777777" w:rsidR="00896498" w:rsidRDefault="00896498" w:rsidP="00D97405">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r>
      <w:tr w:rsidR="00896498" w14:paraId="3B18ADBF"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right w:val="none" w:sz="0" w:space="0" w:color="auto"/>
            </w:tcBorders>
            <w:vAlign w:val="top"/>
          </w:tcPr>
          <w:p w14:paraId="6EB64E1B" w14:textId="6C2F42FE" w:rsidR="00896498" w:rsidRDefault="00B56707" w:rsidP="00896498">
            <w:r>
              <w:t>RCx Core</w:t>
            </w:r>
          </w:p>
        </w:tc>
        <w:tc>
          <w:tcPr>
            <w:tcW w:w="2774" w:type="dxa"/>
            <w:tcBorders>
              <w:top w:val="none" w:sz="0" w:space="0" w:color="auto"/>
              <w:left w:val="none" w:sz="0" w:space="0" w:color="auto"/>
              <w:bottom w:val="none" w:sz="0" w:space="0" w:color="auto"/>
              <w:right w:val="none" w:sz="0" w:space="0" w:color="auto"/>
            </w:tcBorders>
          </w:tcPr>
          <w:p w14:paraId="62DF6515" w14:textId="73D29B10" w:rsidR="00896498" w:rsidRDefault="00896498" w:rsidP="00643210">
            <w:pPr>
              <w:jc w:val="center"/>
              <w:cnfStyle w:val="000000100000" w:firstRow="0" w:lastRow="0" w:firstColumn="0" w:lastColumn="0" w:oddVBand="0" w:evenVBand="0" w:oddHBand="1" w:evenHBand="0" w:firstRowFirstColumn="0" w:firstRowLastColumn="0" w:lastRowFirstColumn="0" w:lastRowLastColumn="0"/>
            </w:pPr>
            <w:r w:rsidRPr="00B54F88">
              <w:t>0.9</w:t>
            </w:r>
            <w:r w:rsidR="0062758A">
              <w:t>45</w:t>
            </w:r>
          </w:p>
        </w:tc>
      </w:tr>
      <w:tr w:rsidR="0062758A" w14:paraId="3825DD31"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right w:val="none" w:sz="0" w:space="0" w:color="auto"/>
            </w:tcBorders>
            <w:vAlign w:val="top"/>
          </w:tcPr>
          <w:p w14:paraId="55DEAA79" w14:textId="54CB7D83" w:rsidR="0062758A" w:rsidRPr="00B54F88" w:rsidRDefault="0062758A" w:rsidP="0062758A">
            <w:r w:rsidRPr="00B54F88">
              <w:t>Virtual Commissioning</w:t>
            </w:r>
          </w:p>
        </w:tc>
        <w:tc>
          <w:tcPr>
            <w:tcW w:w="2774" w:type="dxa"/>
            <w:tcBorders>
              <w:top w:val="none" w:sz="0" w:space="0" w:color="auto"/>
              <w:left w:val="none" w:sz="0" w:space="0" w:color="auto"/>
              <w:bottom w:val="none" w:sz="0" w:space="0" w:color="auto"/>
              <w:right w:val="none" w:sz="0" w:space="0" w:color="auto"/>
            </w:tcBorders>
          </w:tcPr>
          <w:p w14:paraId="5A3ED95E" w14:textId="012EC288" w:rsidR="0062758A" w:rsidRPr="00B54F88" w:rsidRDefault="0062758A" w:rsidP="00643210">
            <w:pPr>
              <w:jc w:val="center"/>
              <w:cnfStyle w:val="000000010000" w:firstRow="0" w:lastRow="0" w:firstColumn="0" w:lastColumn="0" w:oddVBand="0" w:evenVBand="0" w:oddHBand="0" w:evenHBand="1" w:firstRowFirstColumn="0" w:firstRowLastColumn="0" w:lastRowFirstColumn="0" w:lastRowLastColumn="0"/>
            </w:pPr>
            <w:r w:rsidRPr="00B54F88">
              <w:t>0.93</w:t>
            </w:r>
            <w:r>
              <w:t>5</w:t>
            </w:r>
          </w:p>
        </w:tc>
      </w:tr>
      <w:tr w:rsidR="0062758A" w14:paraId="1FA9522B"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79" w:type="dxa"/>
            <w:tcBorders>
              <w:top w:val="none" w:sz="0" w:space="0" w:color="auto"/>
              <w:left w:val="none" w:sz="0" w:space="0" w:color="auto"/>
              <w:bottom w:val="none" w:sz="0" w:space="0" w:color="auto"/>
              <w:right w:val="none" w:sz="0" w:space="0" w:color="auto"/>
            </w:tcBorders>
            <w:vAlign w:val="top"/>
          </w:tcPr>
          <w:p w14:paraId="426EDBD1" w14:textId="20E558D7" w:rsidR="0062758A" w:rsidRDefault="0062758A" w:rsidP="0062758A">
            <w:r w:rsidRPr="00B54F88">
              <w:t>Virtual SEM</w:t>
            </w:r>
          </w:p>
        </w:tc>
        <w:tc>
          <w:tcPr>
            <w:tcW w:w="2774" w:type="dxa"/>
            <w:tcBorders>
              <w:top w:val="none" w:sz="0" w:space="0" w:color="auto"/>
              <w:left w:val="none" w:sz="0" w:space="0" w:color="auto"/>
              <w:bottom w:val="none" w:sz="0" w:space="0" w:color="auto"/>
              <w:right w:val="none" w:sz="0" w:space="0" w:color="auto"/>
            </w:tcBorders>
          </w:tcPr>
          <w:p w14:paraId="31F3B452" w14:textId="198E03F4" w:rsidR="0062758A" w:rsidRDefault="0062758A" w:rsidP="00643210">
            <w:pPr>
              <w:jc w:val="center"/>
              <w:cnfStyle w:val="000000100000" w:firstRow="0" w:lastRow="0" w:firstColumn="0" w:lastColumn="0" w:oddVBand="0" w:evenVBand="0" w:oddHBand="1" w:evenHBand="0" w:firstRowFirstColumn="0" w:firstRowLastColumn="0" w:lastRowFirstColumn="0" w:lastRowLastColumn="0"/>
            </w:pPr>
            <w:r w:rsidRPr="00B54F88">
              <w:t>1.000</w:t>
            </w:r>
          </w:p>
        </w:tc>
      </w:tr>
    </w:tbl>
    <w:p w14:paraId="469D4B0B" w14:textId="6DE4F4D4" w:rsidR="000649C2" w:rsidRDefault="000649C2" w:rsidP="000649C2">
      <w:pPr>
        <w:pStyle w:val="AppendixBeta"/>
      </w:pPr>
      <w:bookmarkStart w:id="447" w:name="_Toc191992469"/>
      <w:bookmarkStart w:id="448" w:name="_Toc192766915"/>
      <w:r>
        <w:lastRenderedPageBreak/>
        <w:t>Streetlighting Initiative</w:t>
      </w:r>
      <w:bookmarkEnd w:id="447"/>
      <w:bookmarkEnd w:id="448"/>
    </w:p>
    <w:p w14:paraId="40ED8E39" w14:textId="4CE8EFE4" w:rsidR="000649C2" w:rsidRDefault="000649C2" w:rsidP="000649C2">
      <w:pPr>
        <w:pStyle w:val="AppendixGamma"/>
      </w:pPr>
      <w:bookmarkStart w:id="449" w:name="_Toc191992470"/>
      <w:r>
        <w:t>Gross Impact Methodology</w:t>
      </w:r>
      <w:bookmarkEnd w:id="449"/>
    </w:p>
    <w:p w14:paraId="02D7E266" w14:textId="3A83D725" w:rsidR="00D14E4E" w:rsidRDefault="00D14E4E" w:rsidP="00D14E4E">
      <w:r>
        <w:t xml:space="preserve">The evaluation team calculated verified savings for the Streetlighting Initiative by applying savings algorithms from the IL-TRM V12.0. The team leveraged information from the </w:t>
      </w:r>
      <w:r w:rsidR="00643210">
        <w:t>I</w:t>
      </w:r>
      <w:r>
        <w:t>nitiative tracking data such</w:t>
      </w:r>
      <w:r w:rsidR="00941E9C">
        <w:t xml:space="preserve"> </w:t>
      </w:r>
      <w:r w:rsidR="00941E9C" w:rsidRPr="00941E9C">
        <w:t>as fixture quantity, baseline fixture wattage and type, and LED wattage</w:t>
      </w:r>
      <w:r>
        <w:t xml:space="preserve"> to inform savings assumptions. For variables outside these parameters, the evaluation team relied on defaults from the IL-TRM V12.0. </w:t>
      </w:r>
      <w:r>
        <w:fldChar w:fldCharType="begin"/>
      </w:r>
      <w:r>
        <w:instrText xml:space="preserve"> REF _Ref187404024 \h </w:instrText>
      </w:r>
      <w:r>
        <w:fldChar w:fldCharType="separate"/>
      </w:r>
      <w:r w:rsidR="00AA10F4">
        <w:t xml:space="preserve">Table </w:t>
      </w:r>
      <w:r w:rsidR="00AA10F4">
        <w:rPr>
          <w:noProof/>
        </w:rPr>
        <w:t>102</w:t>
      </w:r>
      <w:r>
        <w:fldChar w:fldCharType="end"/>
      </w:r>
      <w:r>
        <w:t xml:space="preserve"> lists the measures in the Streetlighting Initiative, their corresponding IL-TRM </w:t>
      </w:r>
      <w:r w:rsidR="00643210">
        <w:t>section</w:t>
      </w:r>
      <w:r>
        <w:t xml:space="preserve">, and whether or not TRM errata applied to the measure in the 2024 evaluation. </w:t>
      </w:r>
    </w:p>
    <w:p w14:paraId="67EC6FDC" w14:textId="4ADF9687" w:rsidR="00D14E4E" w:rsidRDefault="00D14E4E" w:rsidP="00881B1B">
      <w:pPr>
        <w:pStyle w:val="Caption"/>
      </w:pPr>
      <w:bookmarkStart w:id="450" w:name="_Ref187404024"/>
      <w:bookmarkStart w:id="451" w:name="_Toc191992620"/>
      <w:bookmarkStart w:id="452" w:name="_Toc192767036"/>
      <w:r>
        <w:t xml:space="preserve">Table </w:t>
      </w:r>
      <w:r w:rsidR="009B4C9A">
        <w:fldChar w:fldCharType="begin"/>
      </w:r>
      <w:r w:rsidR="009B4C9A">
        <w:instrText xml:space="preserve"> SEQ Table \* ARABIC </w:instrText>
      </w:r>
      <w:r w:rsidR="009B4C9A">
        <w:fldChar w:fldCharType="separate"/>
      </w:r>
      <w:r w:rsidR="00AA10F4">
        <w:rPr>
          <w:noProof/>
        </w:rPr>
        <w:t>102</w:t>
      </w:r>
      <w:r w:rsidR="009B4C9A">
        <w:rPr>
          <w:noProof/>
        </w:rPr>
        <w:fldChar w:fldCharType="end"/>
      </w:r>
      <w:bookmarkEnd w:id="450"/>
      <w:r>
        <w:t>. Streetlighting Initiative Evaluated Measures</w:t>
      </w:r>
      <w:bookmarkEnd w:id="451"/>
      <w:bookmarkEnd w:id="452"/>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698"/>
        <w:gridCol w:w="3699"/>
        <w:gridCol w:w="3699"/>
      </w:tblGrid>
      <w:tr w:rsidR="00D14E4E" w14:paraId="012CABF9"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6A8909E" w14:textId="77777777" w:rsidR="00D14E4E" w:rsidRDefault="00D14E4E" w:rsidP="008C6FBE">
            <w:pPr>
              <w:pStyle w:val="TableHeadingLeft"/>
            </w:pPr>
            <w:r>
              <w:t>IL-TRM Measure Name</w:t>
            </w:r>
          </w:p>
        </w:tc>
        <w:tc>
          <w:tcPr>
            <w:tcW w:w="3699" w:type="dxa"/>
            <w:tcBorders>
              <w:bottom w:val="none" w:sz="0" w:space="0" w:color="auto"/>
            </w:tcBorders>
          </w:tcPr>
          <w:p w14:paraId="1BC0EDB8"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3699" w:type="dxa"/>
            <w:tcBorders>
              <w:bottom w:val="none" w:sz="0" w:space="0" w:color="auto"/>
            </w:tcBorders>
          </w:tcPr>
          <w:p w14:paraId="536C6A09"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275A7B" w14:paraId="3D4507A7"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29CE14A0" w14:textId="12ABC4D3" w:rsidR="00275A7B" w:rsidRDefault="00275A7B" w:rsidP="00275A7B">
            <w:r w:rsidRPr="003B7A2F">
              <w:t>LED Streetlighting</w:t>
            </w:r>
          </w:p>
        </w:tc>
        <w:tc>
          <w:tcPr>
            <w:tcW w:w="3699" w:type="dxa"/>
            <w:tcBorders>
              <w:top w:val="none" w:sz="0" w:space="0" w:color="auto"/>
              <w:left w:val="none" w:sz="0" w:space="0" w:color="auto"/>
              <w:bottom w:val="none" w:sz="0" w:space="0" w:color="auto"/>
              <w:right w:val="none" w:sz="0" w:space="0" w:color="auto"/>
            </w:tcBorders>
          </w:tcPr>
          <w:p w14:paraId="61F9F532" w14:textId="62AA9C88" w:rsidR="00275A7B" w:rsidRDefault="00275A7B" w:rsidP="0062758A">
            <w:pPr>
              <w:jc w:val="center"/>
              <w:cnfStyle w:val="000000100000" w:firstRow="0" w:lastRow="0" w:firstColumn="0" w:lastColumn="0" w:oddVBand="0" w:evenVBand="0" w:oddHBand="1" w:evenHBand="0" w:firstRowFirstColumn="0" w:firstRowLastColumn="0" w:lastRowFirstColumn="0" w:lastRowLastColumn="0"/>
            </w:pPr>
            <w:r w:rsidRPr="003B7A2F">
              <w:t>4.5.16</w:t>
            </w:r>
          </w:p>
        </w:tc>
        <w:tc>
          <w:tcPr>
            <w:tcW w:w="3699" w:type="dxa"/>
            <w:tcBorders>
              <w:top w:val="none" w:sz="0" w:space="0" w:color="auto"/>
              <w:left w:val="none" w:sz="0" w:space="0" w:color="auto"/>
              <w:bottom w:val="none" w:sz="0" w:space="0" w:color="auto"/>
              <w:right w:val="none" w:sz="0" w:space="0" w:color="auto"/>
            </w:tcBorders>
          </w:tcPr>
          <w:p w14:paraId="4D4077E9" w14:textId="4643EAFE" w:rsidR="00275A7B" w:rsidRDefault="00275A7B" w:rsidP="00927C3A">
            <w:pPr>
              <w:jc w:val="center"/>
              <w:cnfStyle w:val="000000100000" w:firstRow="0" w:lastRow="0" w:firstColumn="0" w:lastColumn="0" w:oddVBand="0" w:evenVBand="0" w:oddHBand="1" w:evenHBand="0" w:firstRowFirstColumn="0" w:firstRowLastColumn="0" w:lastRowFirstColumn="0" w:lastRowLastColumn="0"/>
            </w:pPr>
            <w:r w:rsidRPr="003B7A2F">
              <w:t>No errata present for this measure</w:t>
            </w:r>
          </w:p>
        </w:tc>
      </w:tr>
    </w:tbl>
    <w:p w14:paraId="2168F576" w14:textId="1023D69A" w:rsidR="000649C2" w:rsidRDefault="000649C2" w:rsidP="000649C2">
      <w:pPr>
        <w:pStyle w:val="Heading4"/>
      </w:pPr>
      <w:r>
        <w:t>Measure Lives and Cumulative Persisting Annual Savings</w:t>
      </w:r>
    </w:p>
    <w:p w14:paraId="02736470" w14:textId="0A8E25A4" w:rsidR="00F71AB0" w:rsidRDefault="00F71AB0" w:rsidP="00F71AB0">
      <w:r>
        <w:t xml:space="preserve">We applied EULs and baseline adjustments per IL-TRM V12.0 to determine CPAS for this evaluation. The IL-TRM </w:t>
      </w:r>
      <w:r w:rsidR="002647C6">
        <w:t>specifies an</w:t>
      </w:r>
      <w:r>
        <w:t xml:space="preserve"> EUL of 20 years for an LED streetlight under standard operation and 10 years for an LED streetlight under continuous operation.</w:t>
      </w:r>
      <w:r>
        <w:rPr>
          <w:rStyle w:val="FootnoteReference"/>
        </w:rPr>
        <w:footnoteReference w:id="50"/>
      </w:r>
    </w:p>
    <w:p w14:paraId="7C6A00F3" w14:textId="0D671C66" w:rsidR="00F71AB0" w:rsidRDefault="00F71AB0" w:rsidP="00F71AB0">
      <w:r>
        <w:t xml:space="preserve">In cases where LED streetlights replaced existing, functional MV fixtures, a baseline adjustment </w:t>
      </w:r>
      <w:r w:rsidR="002647C6">
        <w:t>was</w:t>
      </w:r>
      <w:r>
        <w:t xml:space="preserve"> made after the remaining useful life (RUL) of the MV fixture expire</w:t>
      </w:r>
      <w:r w:rsidR="002647C6">
        <w:t>d</w:t>
      </w:r>
      <w:r>
        <w:t xml:space="preserve">. </w:t>
      </w:r>
      <w:r w:rsidR="00DE3D36">
        <w:t xml:space="preserve">Per IL-TRM V12.0, the RUL for MV streetlights </w:t>
      </w:r>
      <w:r w:rsidR="009D34C8">
        <w:t xml:space="preserve">under standard operation </w:t>
      </w:r>
      <w:r w:rsidR="00DE3D36">
        <w:t>is assumed to be three years</w:t>
      </w:r>
      <w:r w:rsidR="009D34C8">
        <w:t>.</w:t>
      </w:r>
    </w:p>
    <w:p w14:paraId="1311E309" w14:textId="3795BB4D" w:rsidR="000649C2" w:rsidRDefault="000649C2" w:rsidP="000649C2">
      <w:pPr>
        <w:pStyle w:val="AppendixGamma"/>
      </w:pPr>
      <w:bookmarkStart w:id="453" w:name="_Toc191992471"/>
      <w:r>
        <w:t>Net Impact Methodology</w:t>
      </w:r>
      <w:bookmarkEnd w:id="453"/>
    </w:p>
    <w:p w14:paraId="624A7E39" w14:textId="77777777" w:rsidR="00D14E4E" w:rsidRDefault="00D14E4E" w:rsidP="00D14E4E">
      <w:r>
        <w:t>The evaluation team applied SAG-approved 2024 NTGRs to the verified gross savings to calculate verified net savings.</w:t>
      </w:r>
    </w:p>
    <w:p w14:paraId="40A82207" w14:textId="1F81C32A" w:rsidR="00D14E4E" w:rsidRDefault="00D14E4E" w:rsidP="00881B1B">
      <w:pPr>
        <w:pStyle w:val="Caption"/>
      </w:pPr>
      <w:bookmarkStart w:id="454" w:name="_Toc191992621"/>
      <w:bookmarkStart w:id="455" w:name="_Toc192767037"/>
      <w:r>
        <w:t xml:space="preserve">Table </w:t>
      </w:r>
      <w:r w:rsidR="009B4C9A">
        <w:fldChar w:fldCharType="begin"/>
      </w:r>
      <w:r w:rsidR="009B4C9A">
        <w:instrText xml:space="preserve"> SEQ Table \* ARABIC </w:instrText>
      </w:r>
      <w:r w:rsidR="009B4C9A">
        <w:fldChar w:fldCharType="separate"/>
      </w:r>
      <w:r w:rsidR="00AA10F4">
        <w:rPr>
          <w:noProof/>
        </w:rPr>
        <w:t>103</w:t>
      </w:r>
      <w:r w:rsidR="009B4C9A">
        <w:rPr>
          <w:noProof/>
        </w:rPr>
        <w:fldChar w:fldCharType="end"/>
      </w:r>
      <w:r>
        <w:t>. 2024 SAG-Approved Streetlighting Initiative NTGRs</w:t>
      </w:r>
      <w:bookmarkEnd w:id="454"/>
      <w:bookmarkEnd w:id="45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774"/>
        <w:gridCol w:w="2774"/>
        <w:gridCol w:w="2774"/>
        <w:gridCol w:w="2774"/>
      </w:tblGrid>
      <w:tr w:rsidR="00D14E4E" w14:paraId="28F94A09"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35B31C19" w14:textId="77777777" w:rsidR="00D14E4E" w:rsidRDefault="00D14E4E" w:rsidP="008C6FBE">
            <w:pPr>
              <w:pStyle w:val="TableHeadingLeft"/>
            </w:pPr>
            <w:r>
              <w:t>Channel</w:t>
            </w:r>
          </w:p>
        </w:tc>
        <w:tc>
          <w:tcPr>
            <w:tcW w:w="2774" w:type="dxa"/>
            <w:tcBorders>
              <w:bottom w:val="none" w:sz="0" w:space="0" w:color="auto"/>
            </w:tcBorders>
          </w:tcPr>
          <w:p w14:paraId="3349B556"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2774" w:type="dxa"/>
            <w:tcBorders>
              <w:bottom w:val="none" w:sz="0" w:space="0" w:color="auto"/>
            </w:tcBorders>
          </w:tcPr>
          <w:p w14:paraId="2DBE7E4F"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2774" w:type="dxa"/>
            <w:tcBorders>
              <w:bottom w:val="none" w:sz="0" w:space="0" w:color="auto"/>
            </w:tcBorders>
          </w:tcPr>
          <w:p w14:paraId="00005CEB"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275A7B" w14:paraId="67915FEF"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7E9A0A9E" w14:textId="32D91B0F" w:rsidR="00275A7B" w:rsidRDefault="00275A7B" w:rsidP="00275A7B">
            <w:r>
              <w:t>MOSL</w:t>
            </w:r>
          </w:p>
        </w:tc>
        <w:tc>
          <w:tcPr>
            <w:tcW w:w="2774" w:type="dxa"/>
            <w:tcBorders>
              <w:top w:val="none" w:sz="0" w:space="0" w:color="auto"/>
              <w:left w:val="none" w:sz="0" w:space="0" w:color="auto"/>
              <w:bottom w:val="none" w:sz="0" w:space="0" w:color="auto"/>
              <w:right w:val="none" w:sz="0" w:space="0" w:color="auto"/>
            </w:tcBorders>
          </w:tcPr>
          <w:p w14:paraId="769644BC" w14:textId="4DEFE1D8" w:rsidR="00275A7B" w:rsidRDefault="00275A7B" w:rsidP="00275A7B">
            <w:pPr>
              <w:cnfStyle w:val="000000100000" w:firstRow="0" w:lastRow="0" w:firstColumn="0" w:lastColumn="0" w:oddVBand="0" w:evenVBand="0" w:oddHBand="1" w:evenHBand="0" w:firstRowFirstColumn="0" w:firstRowLastColumn="0" w:lastRowFirstColumn="0" w:lastRowLastColumn="0"/>
            </w:pPr>
            <w:r>
              <w:t>All Measures</w:t>
            </w:r>
          </w:p>
        </w:tc>
        <w:tc>
          <w:tcPr>
            <w:tcW w:w="2774" w:type="dxa"/>
            <w:tcBorders>
              <w:top w:val="none" w:sz="0" w:space="0" w:color="auto"/>
              <w:left w:val="none" w:sz="0" w:space="0" w:color="auto"/>
              <w:bottom w:val="none" w:sz="0" w:space="0" w:color="auto"/>
              <w:right w:val="none" w:sz="0" w:space="0" w:color="auto"/>
            </w:tcBorders>
          </w:tcPr>
          <w:p w14:paraId="7DD7CB84" w14:textId="06B7FBAE" w:rsidR="00275A7B" w:rsidRDefault="00275A7B" w:rsidP="002647C6">
            <w:pPr>
              <w:jc w:val="center"/>
              <w:cnfStyle w:val="000000100000" w:firstRow="0" w:lastRow="0" w:firstColumn="0" w:lastColumn="0" w:oddVBand="0" w:evenVBand="0" w:oddHBand="1" w:evenHBand="0" w:firstRowFirstColumn="0" w:firstRowLastColumn="0" w:lastRowFirstColumn="0" w:lastRowLastColumn="0"/>
            </w:pPr>
            <w:r>
              <w:t>0.690</w:t>
            </w:r>
          </w:p>
        </w:tc>
        <w:tc>
          <w:tcPr>
            <w:tcW w:w="2774" w:type="dxa"/>
            <w:tcBorders>
              <w:top w:val="none" w:sz="0" w:space="0" w:color="auto"/>
              <w:left w:val="none" w:sz="0" w:space="0" w:color="auto"/>
              <w:bottom w:val="none" w:sz="0" w:space="0" w:color="auto"/>
              <w:right w:val="none" w:sz="0" w:space="0" w:color="auto"/>
            </w:tcBorders>
          </w:tcPr>
          <w:p w14:paraId="5AA78475" w14:textId="5B3EFE61" w:rsidR="00275A7B" w:rsidRDefault="00275A7B" w:rsidP="002647C6">
            <w:pPr>
              <w:jc w:val="center"/>
              <w:cnfStyle w:val="000000100000" w:firstRow="0" w:lastRow="0" w:firstColumn="0" w:lastColumn="0" w:oddVBand="0" w:evenVBand="0" w:oddHBand="1" w:evenHBand="0" w:firstRowFirstColumn="0" w:firstRowLastColumn="0" w:lastRowFirstColumn="0" w:lastRowLastColumn="0"/>
            </w:pPr>
            <w:r>
              <w:t>N/A</w:t>
            </w:r>
          </w:p>
        </w:tc>
      </w:tr>
      <w:tr w:rsidR="00275A7B" w14:paraId="3542F880"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4" w:type="dxa"/>
            <w:tcBorders>
              <w:top w:val="none" w:sz="0" w:space="0" w:color="auto"/>
              <w:left w:val="none" w:sz="0" w:space="0" w:color="auto"/>
              <w:bottom w:val="none" w:sz="0" w:space="0" w:color="auto"/>
              <w:right w:val="none" w:sz="0" w:space="0" w:color="auto"/>
            </w:tcBorders>
          </w:tcPr>
          <w:p w14:paraId="4F1A2F16" w14:textId="1AB1A39C" w:rsidR="00275A7B" w:rsidRDefault="00275A7B" w:rsidP="00275A7B">
            <w:r>
              <w:t>UOSL</w:t>
            </w:r>
          </w:p>
        </w:tc>
        <w:tc>
          <w:tcPr>
            <w:tcW w:w="2774" w:type="dxa"/>
            <w:tcBorders>
              <w:top w:val="none" w:sz="0" w:space="0" w:color="auto"/>
              <w:left w:val="none" w:sz="0" w:space="0" w:color="auto"/>
              <w:bottom w:val="none" w:sz="0" w:space="0" w:color="auto"/>
              <w:right w:val="none" w:sz="0" w:space="0" w:color="auto"/>
            </w:tcBorders>
          </w:tcPr>
          <w:p w14:paraId="3A8D41F9" w14:textId="2BDE5F61" w:rsidR="00275A7B" w:rsidRDefault="00275A7B" w:rsidP="00275A7B">
            <w:pPr>
              <w:cnfStyle w:val="000000010000" w:firstRow="0" w:lastRow="0" w:firstColumn="0" w:lastColumn="0" w:oddVBand="0" w:evenVBand="0" w:oddHBand="0" w:evenHBand="1" w:firstRowFirstColumn="0" w:firstRowLastColumn="0" w:lastRowFirstColumn="0" w:lastRowLastColumn="0"/>
            </w:pPr>
            <w:r>
              <w:t>All Measures</w:t>
            </w:r>
          </w:p>
        </w:tc>
        <w:tc>
          <w:tcPr>
            <w:tcW w:w="2774" w:type="dxa"/>
            <w:tcBorders>
              <w:top w:val="none" w:sz="0" w:space="0" w:color="auto"/>
              <w:left w:val="none" w:sz="0" w:space="0" w:color="auto"/>
              <w:bottom w:val="none" w:sz="0" w:space="0" w:color="auto"/>
              <w:right w:val="none" w:sz="0" w:space="0" w:color="auto"/>
            </w:tcBorders>
          </w:tcPr>
          <w:p w14:paraId="5828C546" w14:textId="0CFDDF90" w:rsidR="00275A7B" w:rsidRDefault="00275A7B" w:rsidP="002647C6">
            <w:pPr>
              <w:jc w:val="center"/>
              <w:cnfStyle w:val="000000010000" w:firstRow="0" w:lastRow="0" w:firstColumn="0" w:lastColumn="0" w:oddVBand="0" w:evenVBand="0" w:oddHBand="0" w:evenHBand="1" w:firstRowFirstColumn="0" w:firstRowLastColumn="0" w:lastRowFirstColumn="0" w:lastRowLastColumn="0"/>
            </w:pPr>
            <w:r>
              <w:t>1.000</w:t>
            </w:r>
          </w:p>
        </w:tc>
        <w:tc>
          <w:tcPr>
            <w:tcW w:w="2774" w:type="dxa"/>
            <w:tcBorders>
              <w:top w:val="none" w:sz="0" w:space="0" w:color="auto"/>
              <w:left w:val="none" w:sz="0" w:space="0" w:color="auto"/>
              <w:bottom w:val="none" w:sz="0" w:space="0" w:color="auto"/>
              <w:right w:val="none" w:sz="0" w:space="0" w:color="auto"/>
            </w:tcBorders>
          </w:tcPr>
          <w:p w14:paraId="2F24E3C6" w14:textId="02764A31" w:rsidR="00275A7B" w:rsidRDefault="00275A7B" w:rsidP="002647C6">
            <w:pPr>
              <w:jc w:val="center"/>
              <w:cnfStyle w:val="000000010000" w:firstRow="0" w:lastRow="0" w:firstColumn="0" w:lastColumn="0" w:oddVBand="0" w:evenVBand="0" w:oddHBand="0" w:evenHBand="1" w:firstRowFirstColumn="0" w:firstRowLastColumn="0" w:lastRowFirstColumn="0" w:lastRowLastColumn="0"/>
            </w:pPr>
            <w:r>
              <w:t>N/A</w:t>
            </w:r>
          </w:p>
        </w:tc>
      </w:tr>
    </w:tbl>
    <w:p w14:paraId="427633FB" w14:textId="6BE5C83D" w:rsidR="000649C2" w:rsidRDefault="000649C2" w:rsidP="000649C2">
      <w:pPr>
        <w:pStyle w:val="AppendixBeta"/>
      </w:pPr>
      <w:bookmarkStart w:id="456" w:name="_Toc191992472"/>
      <w:bookmarkStart w:id="457" w:name="_Toc192766916"/>
      <w:r>
        <w:t>Small Business Initiative</w:t>
      </w:r>
      <w:bookmarkEnd w:id="456"/>
      <w:bookmarkEnd w:id="457"/>
    </w:p>
    <w:p w14:paraId="4D651691" w14:textId="2F2B3B08" w:rsidR="000649C2" w:rsidRDefault="000649C2" w:rsidP="000649C2">
      <w:pPr>
        <w:pStyle w:val="AppendixGamma"/>
      </w:pPr>
      <w:bookmarkStart w:id="458" w:name="_Toc191992473"/>
      <w:r>
        <w:t>Gross Impact Methodology</w:t>
      </w:r>
      <w:bookmarkEnd w:id="458"/>
    </w:p>
    <w:p w14:paraId="3C23A6DA" w14:textId="5F154C65" w:rsidR="00D14E4E" w:rsidRDefault="00D14E4E" w:rsidP="00D14E4E">
      <w:r>
        <w:t xml:space="preserve">The evaluation team calculated verified savings for the Small Business Initiative by applying savings algorithms from the IL-TRM V12.0. The team leveraged information from the </w:t>
      </w:r>
      <w:r w:rsidR="002647C6">
        <w:t>I</w:t>
      </w:r>
      <w:r>
        <w:t>nitiative tracking data</w:t>
      </w:r>
      <w:r w:rsidR="00DE3D36">
        <w:t>,</w:t>
      </w:r>
      <w:r>
        <w:t xml:space="preserve"> such</w:t>
      </w:r>
      <w:r w:rsidR="00941E9C">
        <w:t xml:space="preserve"> as </w:t>
      </w:r>
      <w:r w:rsidR="00941E9C" w:rsidRPr="00941E9C">
        <w:t xml:space="preserve">primary heating and cooling type, LED wattage, LED lamp type, project location (e.g., weather-dependent variables), </w:t>
      </w:r>
      <w:r w:rsidR="00DE3D36">
        <w:t xml:space="preserve">and </w:t>
      </w:r>
      <w:r w:rsidR="00941E9C" w:rsidRPr="00941E9C">
        <w:t>building type</w:t>
      </w:r>
      <w:r w:rsidR="00DE3D36">
        <w:t>,</w:t>
      </w:r>
      <w:r w:rsidR="00941E9C">
        <w:t xml:space="preserve"> </w:t>
      </w:r>
      <w:r>
        <w:t xml:space="preserve">to inform savings assumptions. For variables outside these parameters, the evaluation team relied on defaults from the IL-TRM </w:t>
      </w:r>
      <w:r>
        <w:lastRenderedPageBreak/>
        <w:t xml:space="preserve">V12.0. </w:t>
      </w:r>
      <w:r>
        <w:fldChar w:fldCharType="begin"/>
      </w:r>
      <w:r>
        <w:instrText xml:space="preserve"> REF _Ref187404194 \h </w:instrText>
      </w:r>
      <w:r>
        <w:fldChar w:fldCharType="separate"/>
      </w:r>
      <w:r w:rsidR="00AA10F4">
        <w:t xml:space="preserve">Table </w:t>
      </w:r>
      <w:r w:rsidR="00AA10F4">
        <w:rPr>
          <w:noProof/>
        </w:rPr>
        <w:t>104</w:t>
      </w:r>
      <w:r>
        <w:fldChar w:fldCharType="end"/>
      </w:r>
      <w:r>
        <w:t xml:space="preserve"> lists the measures in the Small Business Initiative, their corresponding IL-TRM </w:t>
      </w:r>
      <w:r w:rsidR="002647C6">
        <w:t>section</w:t>
      </w:r>
      <w:r>
        <w:t xml:space="preserve">, and whether or not TRM errata applied to the measure in the 2024 evaluation. </w:t>
      </w:r>
    </w:p>
    <w:p w14:paraId="53D5CCF3" w14:textId="006E9AF8" w:rsidR="00D14E4E" w:rsidRDefault="00D14E4E" w:rsidP="00881B1B">
      <w:pPr>
        <w:pStyle w:val="Caption"/>
      </w:pPr>
      <w:bookmarkStart w:id="459" w:name="_Ref187404194"/>
      <w:bookmarkStart w:id="460" w:name="_Toc191992622"/>
      <w:bookmarkStart w:id="461" w:name="_Toc192767038"/>
      <w:r>
        <w:t xml:space="preserve">Table </w:t>
      </w:r>
      <w:r w:rsidR="009B4C9A">
        <w:fldChar w:fldCharType="begin"/>
      </w:r>
      <w:r w:rsidR="009B4C9A">
        <w:instrText xml:space="preserve"> SEQ Table \* ARABIC </w:instrText>
      </w:r>
      <w:r w:rsidR="009B4C9A">
        <w:fldChar w:fldCharType="separate"/>
      </w:r>
      <w:r w:rsidR="00AA10F4">
        <w:rPr>
          <w:noProof/>
        </w:rPr>
        <w:t>104</w:t>
      </w:r>
      <w:r w:rsidR="009B4C9A">
        <w:rPr>
          <w:noProof/>
        </w:rPr>
        <w:fldChar w:fldCharType="end"/>
      </w:r>
      <w:bookmarkEnd w:id="459"/>
      <w:r>
        <w:t>. Small Business Initiative Evaluated Measures</w:t>
      </w:r>
      <w:bookmarkEnd w:id="460"/>
      <w:bookmarkEnd w:id="46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5215"/>
        <w:gridCol w:w="2182"/>
        <w:gridCol w:w="3699"/>
      </w:tblGrid>
      <w:tr w:rsidR="00D14E4E" w14:paraId="3A622B1A"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00B27790" w14:textId="77777777" w:rsidR="00D14E4E" w:rsidRDefault="00D14E4E" w:rsidP="0056690A">
            <w:pPr>
              <w:pStyle w:val="TableHeadingLeft"/>
            </w:pPr>
            <w:r>
              <w:t>IL-TRM Measure Name</w:t>
            </w:r>
          </w:p>
        </w:tc>
        <w:tc>
          <w:tcPr>
            <w:tcW w:w="2182" w:type="dxa"/>
            <w:tcBorders>
              <w:bottom w:val="none" w:sz="0" w:space="0" w:color="auto"/>
            </w:tcBorders>
          </w:tcPr>
          <w:p w14:paraId="59A1839D"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3699" w:type="dxa"/>
            <w:tcBorders>
              <w:bottom w:val="none" w:sz="0" w:space="0" w:color="auto"/>
            </w:tcBorders>
          </w:tcPr>
          <w:p w14:paraId="244306A2"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666213" w14:paraId="527027EE"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631C4B67" w14:textId="2CD2139D" w:rsidR="00666213" w:rsidRDefault="00666213" w:rsidP="0056690A">
            <w:r w:rsidRPr="00CF70DA">
              <w:t>LED Bulbs and Fixtures</w:t>
            </w:r>
          </w:p>
        </w:tc>
        <w:tc>
          <w:tcPr>
            <w:tcW w:w="2182" w:type="dxa"/>
            <w:tcBorders>
              <w:top w:val="none" w:sz="0" w:space="0" w:color="auto"/>
              <w:left w:val="none" w:sz="0" w:space="0" w:color="auto"/>
              <w:bottom w:val="none" w:sz="0" w:space="0" w:color="auto"/>
              <w:right w:val="none" w:sz="0" w:space="0" w:color="auto"/>
            </w:tcBorders>
          </w:tcPr>
          <w:p w14:paraId="4F8588C8" w14:textId="12473C30"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4.5.4</w:t>
            </w:r>
          </w:p>
        </w:tc>
        <w:tc>
          <w:tcPr>
            <w:tcW w:w="3699" w:type="dxa"/>
            <w:tcBorders>
              <w:top w:val="none" w:sz="0" w:space="0" w:color="auto"/>
              <w:left w:val="none" w:sz="0" w:space="0" w:color="auto"/>
              <w:bottom w:val="none" w:sz="0" w:space="0" w:color="auto"/>
              <w:right w:val="none" w:sz="0" w:space="0" w:color="auto"/>
            </w:tcBorders>
          </w:tcPr>
          <w:p w14:paraId="50DD3CBE" w14:textId="51DCC239" w:rsidR="00666213"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r w:rsidR="00666213" w14:paraId="2E6E37C6"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33B8A64F" w14:textId="1D13D4CF" w:rsidR="00666213" w:rsidRDefault="00666213" w:rsidP="0056690A">
            <w:r w:rsidRPr="00CF70DA">
              <w:t>Lighting Controls</w:t>
            </w:r>
          </w:p>
        </w:tc>
        <w:tc>
          <w:tcPr>
            <w:tcW w:w="2182" w:type="dxa"/>
            <w:tcBorders>
              <w:top w:val="none" w:sz="0" w:space="0" w:color="auto"/>
              <w:left w:val="none" w:sz="0" w:space="0" w:color="auto"/>
              <w:bottom w:val="none" w:sz="0" w:space="0" w:color="auto"/>
              <w:right w:val="none" w:sz="0" w:space="0" w:color="auto"/>
            </w:tcBorders>
          </w:tcPr>
          <w:p w14:paraId="4DD0FE2A" w14:textId="1CD7C359"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CF70DA">
              <w:t>4.5.10</w:t>
            </w:r>
          </w:p>
        </w:tc>
        <w:tc>
          <w:tcPr>
            <w:tcW w:w="3699" w:type="dxa"/>
            <w:tcBorders>
              <w:top w:val="none" w:sz="0" w:space="0" w:color="auto"/>
              <w:left w:val="none" w:sz="0" w:space="0" w:color="auto"/>
              <w:bottom w:val="none" w:sz="0" w:space="0" w:color="auto"/>
              <w:right w:val="none" w:sz="0" w:space="0" w:color="auto"/>
            </w:tcBorders>
          </w:tcPr>
          <w:p w14:paraId="65B36673" w14:textId="1C6DDF03" w:rsidR="00666213" w:rsidRDefault="00666213" w:rsidP="00927C3A">
            <w:pPr>
              <w:jc w:val="center"/>
              <w:cnfStyle w:val="000000010000" w:firstRow="0" w:lastRow="0" w:firstColumn="0" w:lastColumn="0" w:oddVBand="0" w:evenVBand="0" w:oddHBand="0" w:evenHBand="1" w:firstRowFirstColumn="0" w:firstRowLastColumn="0" w:lastRowFirstColumn="0" w:lastRowLastColumn="0"/>
            </w:pPr>
            <w:r w:rsidRPr="00CF70DA">
              <w:t>No errata present for this measure</w:t>
            </w:r>
          </w:p>
        </w:tc>
      </w:tr>
      <w:tr w:rsidR="00666213" w14:paraId="625642F3"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555E7348" w14:textId="3E1139FA" w:rsidR="00666213" w:rsidRDefault="00666213" w:rsidP="0056690A">
            <w:r w:rsidRPr="00CF70DA">
              <w:t>Fluorescent Delamping</w:t>
            </w:r>
          </w:p>
        </w:tc>
        <w:tc>
          <w:tcPr>
            <w:tcW w:w="2182" w:type="dxa"/>
            <w:tcBorders>
              <w:top w:val="none" w:sz="0" w:space="0" w:color="auto"/>
              <w:left w:val="none" w:sz="0" w:space="0" w:color="auto"/>
              <w:bottom w:val="none" w:sz="0" w:space="0" w:color="auto"/>
              <w:right w:val="none" w:sz="0" w:space="0" w:color="auto"/>
            </w:tcBorders>
          </w:tcPr>
          <w:p w14:paraId="23796E85" w14:textId="35E9F507"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4.5.2</w:t>
            </w:r>
          </w:p>
        </w:tc>
        <w:tc>
          <w:tcPr>
            <w:tcW w:w="3699" w:type="dxa"/>
            <w:tcBorders>
              <w:top w:val="none" w:sz="0" w:space="0" w:color="auto"/>
              <w:left w:val="none" w:sz="0" w:space="0" w:color="auto"/>
              <w:bottom w:val="none" w:sz="0" w:space="0" w:color="auto"/>
              <w:right w:val="none" w:sz="0" w:space="0" w:color="auto"/>
            </w:tcBorders>
          </w:tcPr>
          <w:p w14:paraId="0491A43C" w14:textId="6B69D2C6" w:rsidR="00666213"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r w:rsidR="00666213" w14:paraId="2CE7F27C"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2253441D" w14:textId="7486AE4F" w:rsidR="00666213" w:rsidRDefault="00666213" w:rsidP="0056690A">
            <w:r w:rsidRPr="00CF70DA">
              <w:t>ECMs for Walk-</w:t>
            </w:r>
            <w:r w:rsidR="00DE3D36">
              <w:t>I</w:t>
            </w:r>
            <w:r w:rsidRPr="00CF70DA">
              <w:t>n and Reach-</w:t>
            </w:r>
            <w:r w:rsidR="00DE3D36">
              <w:t>I</w:t>
            </w:r>
            <w:r w:rsidRPr="00CF70DA">
              <w:t>n Coolers/</w:t>
            </w:r>
            <w:r w:rsidR="00DE3D36">
              <w:t>Freezers</w:t>
            </w:r>
          </w:p>
        </w:tc>
        <w:tc>
          <w:tcPr>
            <w:tcW w:w="2182" w:type="dxa"/>
            <w:tcBorders>
              <w:top w:val="none" w:sz="0" w:space="0" w:color="auto"/>
              <w:left w:val="none" w:sz="0" w:space="0" w:color="auto"/>
              <w:bottom w:val="none" w:sz="0" w:space="0" w:color="auto"/>
              <w:right w:val="none" w:sz="0" w:space="0" w:color="auto"/>
            </w:tcBorders>
          </w:tcPr>
          <w:p w14:paraId="6F68CC39" w14:textId="7248D2F5"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CF70DA">
              <w:t>4.6.4</w:t>
            </w:r>
          </w:p>
        </w:tc>
        <w:tc>
          <w:tcPr>
            <w:tcW w:w="3699" w:type="dxa"/>
            <w:tcBorders>
              <w:top w:val="none" w:sz="0" w:space="0" w:color="auto"/>
              <w:left w:val="none" w:sz="0" w:space="0" w:color="auto"/>
              <w:bottom w:val="none" w:sz="0" w:space="0" w:color="auto"/>
              <w:right w:val="none" w:sz="0" w:space="0" w:color="auto"/>
            </w:tcBorders>
          </w:tcPr>
          <w:p w14:paraId="226F8FAF" w14:textId="6ED2089F" w:rsidR="00666213" w:rsidRDefault="00666213" w:rsidP="00927C3A">
            <w:pPr>
              <w:jc w:val="center"/>
              <w:cnfStyle w:val="000000010000" w:firstRow="0" w:lastRow="0" w:firstColumn="0" w:lastColumn="0" w:oddVBand="0" w:evenVBand="0" w:oddHBand="0" w:evenHBand="1" w:firstRowFirstColumn="0" w:firstRowLastColumn="0" w:lastRowFirstColumn="0" w:lastRowLastColumn="0"/>
            </w:pPr>
            <w:r w:rsidRPr="00CF70DA">
              <w:t>No errata present for this measure</w:t>
            </w:r>
          </w:p>
        </w:tc>
      </w:tr>
      <w:tr w:rsidR="00666213" w14:paraId="33766916"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594E4494" w14:textId="0AA1B347" w:rsidR="00666213" w:rsidRDefault="00666213" w:rsidP="0056690A">
            <w:r w:rsidRPr="00CF70DA">
              <w:t>Commercial LED Exit Signs</w:t>
            </w:r>
          </w:p>
        </w:tc>
        <w:tc>
          <w:tcPr>
            <w:tcW w:w="2182" w:type="dxa"/>
            <w:tcBorders>
              <w:top w:val="none" w:sz="0" w:space="0" w:color="auto"/>
              <w:left w:val="none" w:sz="0" w:space="0" w:color="auto"/>
              <w:bottom w:val="none" w:sz="0" w:space="0" w:color="auto"/>
              <w:right w:val="none" w:sz="0" w:space="0" w:color="auto"/>
            </w:tcBorders>
          </w:tcPr>
          <w:p w14:paraId="2AA9D130" w14:textId="7867537A"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4.5.5</w:t>
            </w:r>
          </w:p>
        </w:tc>
        <w:tc>
          <w:tcPr>
            <w:tcW w:w="3699" w:type="dxa"/>
            <w:tcBorders>
              <w:top w:val="none" w:sz="0" w:space="0" w:color="auto"/>
              <w:left w:val="none" w:sz="0" w:space="0" w:color="auto"/>
              <w:bottom w:val="none" w:sz="0" w:space="0" w:color="auto"/>
              <w:right w:val="none" w:sz="0" w:space="0" w:color="auto"/>
            </w:tcBorders>
          </w:tcPr>
          <w:p w14:paraId="4FCAD5BC" w14:textId="2EFA615D" w:rsidR="00666213"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r w:rsidR="00666213" w14:paraId="31B37704"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60AA3806" w14:textId="5675F1F1" w:rsidR="00666213" w:rsidRDefault="00666213" w:rsidP="0056690A">
            <w:r w:rsidRPr="00CF70DA">
              <w:t>Evaporator Fan Control for Electrically Commutated Motors</w:t>
            </w:r>
          </w:p>
        </w:tc>
        <w:tc>
          <w:tcPr>
            <w:tcW w:w="2182" w:type="dxa"/>
            <w:tcBorders>
              <w:top w:val="none" w:sz="0" w:space="0" w:color="auto"/>
              <w:left w:val="none" w:sz="0" w:space="0" w:color="auto"/>
              <w:bottom w:val="none" w:sz="0" w:space="0" w:color="auto"/>
              <w:right w:val="none" w:sz="0" w:space="0" w:color="auto"/>
            </w:tcBorders>
          </w:tcPr>
          <w:p w14:paraId="7D341F82" w14:textId="05CF9D7F"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CF70DA">
              <w:t>4.6.6</w:t>
            </w:r>
          </w:p>
        </w:tc>
        <w:tc>
          <w:tcPr>
            <w:tcW w:w="3699" w:type="dxa"/>
            <w:tcBorders>
              <w:top w:val="none" w:sz="0" w:space="0" w:color="auto"/>
              <w:left w:val="none" w:sz="0" w:space="0" w:color="auto"/>
              <w:bottom w:val="none" w:sz="0" w:space="0" w:color="auto"/>
              <w:right w:val="none" w:sz="0" w:space="0" w:color="auto"/>
            </w:tcBorders>
          </w:tcPr>
          <w:p w14:paraId="53A9BC8E" w14:textId="08D9B6AE" w:rsidR="00666213" w:rsidRDefault="00666213" w:rsidP="00927C3A">
            <w:pPr>
              <w:jc w:val="center"/>
              <w:cnfStyle w:val="000000010000" w:firstRow="0" w:lastRow="0" w:firstColumn="0" w:lastColumn="0" w:oddVBand="0" w:evenVBand="0" w:oddHBand="0" w:evenHBand="1" w:firstRowFirstColumn="0" w:firstRowLastColumn="0" w:lastRowFirstColumn="0" w:lastRowLastColumn="0"/>
            </w:pPr>
            <w:r w:rsidRPr="00CF70DA">
              <w:t>No errata present for this measure</w:t>
            </w:r>
          </w:p>
        </w:tc>
      </w:tr>
      <w:tr w:rsidR="00666213" w14:paraId="51FE7097"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60373CCD" w14:textId="2341E4C4" w:rsidR="00666213" w:rsidRDefault="00666213" w:rsidP="0056690A">
            <w:r w:rsidRPr="00CF70DA">
              <w:t>Automatic Door Closer for Walk-In Coolers and Freezers</w:t>
            </w:r>
          </w:p>
        </w:tc>
        <w:tc>
          <w:tcPr>
            <w:tcW w:w="2182" w:type="dxa"/>
            <w:tcBorders>
              <w:top w:val="none" w:sz="0" w:space="0" w:color="auto"/>
              <w:left w:val="none" w:sz="0" w:space="0" w:color="auto"/>
              <w:bottom w:val="none" w:sz="0" w:space="0" w:color="auto"/>
              <w:right w:val="none" w:sz="0" w:space="0" w:color="auto"/>
            </w:tcBorders>
          </w:tcPr>
          <w:p w14:paraId="4224765D" w14:textId="31F1E57B"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4.6.1</w:t>
            </w:r>
          </w:p>
        </w:tc>
        <w:tc>
          <w:tcPr>
            <w:tcW w:w="3699" w:type="dxa"/>
            <w:tcBorders>
              <w:top w:val="none" w:sz="0" w:space="0" w:color="auto"/>
              <w:left w:val="none" w:sz="0" w:space="0" w:color="auto"/>
              <w:bottom w:val="none" w:sz="0" w:space="0" w:color="auto"/>
              <w:right w:val="none" w:sz="0" w:space="0" w:color="auto"/>
            </w:tcBorders>
          </w:tcPr>
          <w:p w14:paraId="0BDDAB39" w14:textId="27FD74F4" w:rsidR="00666213"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r w:rsidR="00666213" w14:paraId="42962FA4"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29322441" w14:textId="417C833E" w:rsidR="00666213" w:rsidRDefault="00666213" w:rsidP="0056690A">
            <w:r w:rsidRPr="00CF70DA">
              <w:t>C&amp;I Air Sealing</w:t>
            </w:r>
          </w:p>
        </w:tc>
        <w:tc>
          <w:tcPr>
            <w:tcW w:w="2182" w:type="dxa"/>
            <w:tcBorders>
              <w:top w:val="none" w:sz="0" w:space="0" w:color="auto"/>
              <w:left w:val="none" w:sz="0" w:space="0" w:color="auto"/>
              <w:bottom w:val="none" w:sz="0" w:space="0" w:color="auto"/>
              <w:right w:val="none" w:sz="0" w:space="0" w:color="auto"/>
            </w:tcBorders>
          </w:tcPr>
          <w:p w14:paraId="03A58B76" w14:textId="60C3A9C1"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CF70DA">
              <w:t>4.8.27</w:t>
            </w:r>
          </w:p>
        </w:tc>
        <w:tc>
          <w:tcPr>
            <w:tcW w:w="3699" w:type="dxa"/>
            <w:tcBorders>
              <w:top w:val="none" w:sz="0" w:space="0" w:color="auto"/>
              <w:left w:val="none" w:sz="0" w:space="0" w:color="auto"/>
              <w:bottom w:val="none" w:sz="0" w:space="0" w:color="auto"/>
              <w:right w:val="none" w:sz="0" w:space="0" w:color="auto"/>
            </w:tcBorders>
          </w:tcPr>
          <w:p w14:paraId="00E3EA0A" w14:textId="4D542ED9" w:rsidR="00666213" w:rsidRDefault="00666213" w:rsidP="00927C3A">
            <w:pPr>
              <w:jc w:val="center"/>
              <w:cnfStyle w:val="000000010000" w:firstRow="0" w:lastRow="0" w:firstColumn="0" w:lastColumn="0" w:oddVBand="0" w:evenVBand="0" w:oddHBand="0" w:evenHBand="1" w:firstRowFirstColumn="0" w:firstRowLastColumn="0" w:lastRowFirstColumn="0" w:lastRowLastColumn="0"/>
            </w:pPr>
            <w:r w:rsidRPr="00CF70DA">
              <w:t>No errata present for this measure</w:t>
            </w:r>
          </w:p>
        </w:tc>
      </w:tr>
      <w:tr w:rsidR="00666213" w14:paraId="420BCDE4"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16AE6E4A" w14:textId="31961D97" w:rsidR="00666213" w:rsidRDefault="00666213" w:rsidP="0056690A">
            <w:r w:rsidRPr="00CF70DA">
              <w:t>Covers and Gap Sealers for Room Air Conditioners</w:t>
            </w:r>
          </w:p>
        </w:tc>
        <w:tc>
          <w:tcPr>
            <w:tcW w:w="2182" w:type="dxa"/>
            <w:tcBorders>
              <w:top w:val="none" w:sz="0" w:space="0" w:color="auto"/>
              <w:left w:val="none" w:sz="0" w:space="0" w:color="auto"/>
              <w:bottom w:val="none" w:sz="0" w:space="0" w:color="auto"/>
              <w:right w:val="none" w:sz="0" w:space="0" w:color="auto"/>
            </w:tcBorders>
          </w:tcPr>
          <w:p w14:paraId="3CC9C54E" w14:textId="66F9ECC4"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4.4.38</w:t>
            </w:r>
          </w:p>
        </w:tc>
        <w:tc>
          <w:tcPr>
            <w:tcW w:w="3699" w:type="dxa"/>
            <w:tcBorders>
              <w:top w:val="none" w:sz="0" w:space="0" w:color="auto"/>
              <w:left w:val="none" w:sz="0" w:space="0" w:color="auto"/>
              <w:bottom w:val="none" w:sz="0" w:space="0" w:color="auto"/>
              <w:right w:val="none" w:sz="0" w:space="0" w:color="auto"/>
            </w:tcBorders>
          </w:tcPr>
          <w:p w14:paraId="23A3128F" w14:textId="1CFCFCE9" w:rsidR="00666213"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r w:rsidR="00666213" w14:paraId="5C3F791B"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78481F6B" w14:textId="546421E3" w:rsidR="00666213" w:rsidRPr="00CF70DA" w:rsidRDefault="00666213" w:rsidP="0056690A">
            <w:r w:rsidRPr="00CF70DA">
              <w:t>High Efficiency Boiler</w:t>
            </w:r>
          </w:p>
        </w:tc>
        <w:tc>
          <w:tcPr>
            <w:tcW w:w="2182" w:type="dxa"/>
            <w:tcBorders>
              <w:top w:val="none" w:sz="0" w:space="0" w:color="auto"/>
              <w:left w:val="none" w:sz="0" w:space="0" w:color="auto"/>
              <w:bottom w:val="none" w:sz="0" w:space="0" w:color="auto"/>
              <w:right w:val="none" w:sz="0" w:space="0" w:color="auto"/>
            </w:tcBorders>
          </w:tcPr>
          <w:p w14:paraId="01EA555E" w14:textId="2074D157" w:rsidR="00666213" w:rsidRPr="00CF70DA"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CF70DA">
              <w:t>4.4.10</w:t>
            </w:r>
          </w:p>
        </w:tc>
        <w:tc>
          <w:tcPr>
            <w:tcW w:w="3699" w:type="dxa"/>
            <w:tcBorders>
              <w:top w:val="none" w:sz="0" w:space="0" w:color="auto"/>
              <w:left w:val="none" w:sz="0" w:space="0" w:color="auto"/>
              <w:bottom w:val="none" w:sz="0" w:space="0" w:color="auto"/>
              <w:right w:val="none" w:sz="0" w:space="0" w:color="auto"/>
            </w:tcBorders>
          </w:tcPr>
          <w:p w14:paraId="15D9B69E" w14:textId="3C8FC235" w:rsidR="00666213" w:rsidRPr="00CF70DA" w:rsidRDefault="00666213" w:rsidP="00927C3A">
            <w:pPr>
              <w:jc w:val="center"/>
              <w:cnfStyle w:val="000000010000" w:firstRow="0" w:lastRow="0" w:firstColumn="0" w:lastColumn="0" w:oddVBand="0" w:evenVBand="0" w:oddHBand="0" w:evenHBand="1" w:firstRowFirstColumn="0" w:firstRowLastColumn="0" w:lastRowFirstColumn="0" w:lastRowLastColumn="0"/>
            </w:pPr>
            <w:r w:rsidRPr="00CF70DA">
              <w:t>Errata applied</w:t>
            </w:r>
          </w:p>
        </w:tc>
      </w:tr>
      <w:tr w:rsidR="00666213" w14:paraId="1CE468C7" w14:textId="77777777" w:rsidTr="00927C3A">
        <w:trPr>
          <w:cnfStyle w:val="000000100000" w:firstRow="0" w:lastRow="0" w:firstColumn="0" w:lastColumn="0" w:oddVBand="0" w:evenVBand="0" w:oddHBand="1"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5215" w:type="dxa"/>
            <w:tcBorders>
              <w:top w:val="none" w:sz="0" w:space="0" w:color="auto"/>
              <w:left w:val="none" w:sz="0" w:space="0" w:color="auto"/>
              <w:bottom w:val="none" w:sz="0" w:space="0" w:color="auto"/>
              <w:right w:val="none" w:sz="0" w:space="0" w:color="auto"/>
            </w:tcBorders>
          </w:tcPr>
          <w:p w14:paraId="560FCC63" w14:textId="721A4FA8" w:rsidR="00666213" w:rsidRPr="00CF70DA" w:rsidRDefault="00666213" w:rsidP="0056690A">
            <w:r w:rsidRPr="00CF70DA">
              <w:t>Commercial Wall Insulation</w:t>
            </w:r>
          </w:p>
        </w:tc>
        <w:tc>
          <w:tcPr>
            <w:tcW w:w="2182" w:type="dxa"/>
            <w:tcBorders>
              <w:top w:val="none" w:sz="0" w:space="0" w:color="auto"/>
              <w:left w:val="none" w:sz="0" w:space="0" w:color="auto"/>
              <w:bottom w:val="none" w:sz="0" w:space="0" w:color="auto"/>
              <w:right w:val="none" w:sz="0" w:space="0" w:color="auto"/>
            </w:tcBorders>
          </w:tcPr>
          <w:p w14:paraId="3720CDC1" w14:textId="766EC927" w:rsidR="00666213" w:rsidRPr="00CF70DA"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CF70DA">
              <w:t>4.8.30</w:t>
            </w:r>
          </w:p>
        </w:tc>
        <w:tc>
          <w:tcPr>
            <w:tcW w:w="3699" w:type="dxa"/>
            <w:tcBorders>
              <w:top w:val="none" w:sz="0" w:space="0" w:color="auto"/>
              <w:left w:val="none" w:sz="0" w:space="0" w:color="auto"/>
              <w:bottom w:val="none" w:sz="0" w:space="0" w:color="auto"/>
              <w:right w:val="none" w:sz="0" w:space="0" w:color="auto"/>
            </w:tcBorders>
          </w:tcPr>
          <w:p w14:paraId="00822C26" w14:textId="1327D761" w:rsidR="00666213" w:rsidRPr="00CF70DA" w:rsidRDefault="00666213" w:rsidP="00927C3A">
            <w:pPr>
              <w:jc w:val="center"/>
              <w:cnfStyle w:val="000000100000" w:firstRow="0" w:lastRow="0" w:firstColumn="0" w:lastColumn="0" w:oddVBand="0" w:evenVBand="0" w:oddHBand="1" w:evenHBand="0" w:firstRowFirstColumn="0" w:firstRowLastColumn="0" w:lastRowFirstColumn="0" w:lastRowLastColumn="0"/>
            </w:pPr>
            <w:r w:rsidRPr="00CF70DA">
              <w:t>No errata present for this measure</w:t>
            </w:r>
          </w:p>
        </w:tc>
      </w:tr>
    </w:tbl>
    <w:p w14:paraId="7C0531A5" w14:textId="5ACE0D3F" w:rsidR="000649C2" w:rsidRDefault="000649C2" w:rsidP="000649C2">
      <w:pPr>
        <w:pStyle w:val="Heading4"/>
      </w:pPr>
      <w:r>
        <w:t>Measure Lives and Cumulative Persisting Annual Savings</w:t>
      </w:r>
    </w:p>
    <w:p w14:paraId="21F27921" w14:textId="55C723AE" w:rsidR="00D14E4E" w:rsidRDefault="00D14E4E" w:rsidP="00D14E4E">
      <w:r>
        <w:t xml:space="preserve">For prescriptive measures, the evaluation team applied measure lives </w:t>
      </w:r>
      <w:r w:rsidR="002647C6">
        <w:t>defined in</w:t>
      </w:r>
      <w:r>
        <w:t xml:space="preserve"> IL-TRM V12.0.</w:t>
      </w:r>
    </w:p>
    <w:p w14:paraId="612B7665" w14:textId="5BF27AA3" w:rsidR="000649C2" w:rsidRDefault="000649C2" w:rsidP="000649C2">
      <w:pPr>
        <w:pStyle w:val="AppendixGamma"/>
      </w:pPr>
      <w:bookmarkStart w:id="462" w:name="_Toc191992474"/>
      <w:r>
        <w:t>Net Impact Methodology</w:t>
      </w:r>
      <w:bookmarkEnd w:id="462"/>
    </w:p>
    <w:p w14:paraId="576554ED" w14:textId="5599CA2A" w:rsidR="00D14E4E" w:rsidRDefault="00D14E4E" w:rsidP="00D14E4E">
      <w:r>
        <w:t>The evaluation team applied SAG-approved 2024 NTGRs to the verified gross savings to calculate verified net savings.</w:t>
      </w:r>
    </w:p>
    <w:p w14:paraId="221684B9" w14:textId="2DB089B9" w:rsidR="00D14E4E" w:rsidRDefault="00D14E4E" w:rsidP="00881B1B">
      <w:pPr>
        <w:pStyle w:val="Caption"/>
      </w:pPr>
      <w:bookmarkStart w:id="463" w:name="_Toc191992623"/>
      <w:bookmarkStart w:id="464" w:name="_Toc192767039"/>
      <w:r>
        <w:t xml:space="preserve">Table </w:t>
      </w:r>
      <w:r w:rsidR="009B4C9A">
        <w:fldChar w:fldCharType="begin"/>
      </w:r>
      <w:r w:rsidR="009B4C9A">
        <w:instrText xml:space="preserve"> SEQ Table \* ARABIC </w:instrText>
      </w:r>
      <w:r w:rsidR="009B4C9A">
        <w:fldChar w:fldCharType="separate"/>
      </w:r>
      <w:r w:rsidR="00AA10F4">
        <w:rPr>
          <w:noProof/>
        </w:rPr>
        <w:t>105</w:t>
      </w:r>
      <w:r w:rsidR="009B4C9A">
        <w:rPr>
          <w:noProof/>
        </w:rPr>
        <w:fldChar w:fldCharType="end"/>
      </w:r>
      <w:r>
        <w:t>. 2024 SAG-Approved Small Business Initiative NTGRs</w:t>
      </w:r>
      <w:bookmarkEnd w:id="463"/>
      <w:bookmarkEnd w:id="464"/>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515"/>
        <w:gridCol w:w="3033"/>
        <w:gridCol w:w="2774"/>
        <w:gridCol w:w="2774"/>
      </w:tblGrid>
      <w:tr w:rsidR="00D14E4E" w14:paraId="5CBB3BB3"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tcPr>
          <w:p w14:paraId="6577EA7A" w14:textId="77777777" w:rsidR="00D14E4E" w:rsidRDefault="00D14E4E" w:rsidP="008C6FBE">
            <w:pPr>
              <w:pStyle w:val="TableHeadingLeft"/>
            </w:pPr>
            <w:r>
              <w:t>Channel</w:t>
            </w:r>
          </w:p>
        </w:tc>
        <w:tc>
          <w:tcPr>
            <w:tcW w:w="3033" w:type="dxa"/>
            <w:tcBorders>
              <w:bottom w:val="none" w:sz="0" w:space="0" w:color="auto"/>
            </w:tcBorders>
          </w:tcPr>
          <w:p w14:paraId="446B371E"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2774" w:type="dxa"/>
            <w:tcBorders>
              <w:bottom w:val="none" w:sz="0" w:space="0" w:color="auto"/>
            </w:tcBorders>
          </w:tcPr>
          <w:p w14:paraId="602E49D8"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2774" w:type="dxa"/>
            <w:tcBorders>
              <w:bottom w:val="none" w:sz="0" w:space="0" w:color="auto"/>
            </w:tcBorders>
          </w:tcPr>
          <w:p w14:paraId="6AD3DC67" w14:textId="77777777" w:rsidR="00D14E4E" w:rsidRDefault="00D14E4E" w:rsidP="008C6FBE">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666213" w14:paraId="7FA2EC5F"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val="restart"/>
            <w:tcBorders>
              <w:top w:val="none" w:sz="0" w:space="0" w:color="auto"/>
              <w:left w:val="none" w:sz="0" w:space="0" w:color="auto"/>
              <w:bottom w:val="none" w:sz="0" w:space="0" w:color="auto"/>
              <w:right w:val="none" w:sz="0" w:space="0" w:color="auto"/>
            </w:tcBorders>
          </w:tcPr>
          <w:p w14:paraId="15EE2B9B" w14:textId="50FD0297" w:rsidR="00666213" w:rsidRDefault="00666213" w:rsidP="00666213">
            <w:r w:rsidRPr="0056398B">
              <w:t>SBDI</w:t>
            </w:r>
          </w:p>
        </w:tc>
        <w:tc>
          <w:tcPr>
            <w:tcW w:w="3033" w:type="dxa"/>
            <w:tcBorders>
              <w:top w:val="none" w:sz="0" w:space="0" w:color="auto"/>
              <w:left w:val="none" w:sz="0" w:space="0" w:color="auto"/>
              <w:bottom w:val="none" w:sz="0" w:space="0" w:color="auto"/>
              <w:right w:val="none" w:sz="0" w:space="0" w:color="auto"/>
            </w:tcBorders>
          </w:tcPr>
          <w:p w14:paraId="6D0B8A29" w14:textId="155942B6" w:rsidR="00666213" w:rsidRDefault="00666213" w:rsidP="0056690A">
            <w:pPr>
              <w:cnfStyle w:val="000000100000" w:firstRow="0" w:lastRow="0" w:firstColumn="0" w:lastColumn="0" w:oddVBand="0" w:evenVBand="0" w:oddHBand="1" w:evenHBand="0" w:firstRowFirstColumn="0" w:firstRowLastColumn="0" w:lastRowFirstColumn="0" w:lastRowLastColumn="0"/>
            </w:pPr>
            <w:r w:rsidRPr="00F41320">
              <w:t>LED Bulbs and Fixtures</w:t>
            </w:r>
          </w:p>
        </w:tc>
        <w:tc>
          <w:tcPr>
            <w:tcW w:w="2774" w:type="dxa"/>
            <w:tcBorders>
              <w:top w:val="none" w:sz="0" w:space="0" w:color="auto"/>
              <w:left w:val="none" w:sz="0" w:space="0" w:color="auto"/>
              <w:bottom w:val="none" w:sz="0" w:space="0" w:color="auto"/>
              <w:right w:val="none" w:sz="0" w:space="0" w:color="auto"/>
            </w:tcBorders>
          </w:tcPr>
          <w:p w14:paraId="6EC03137" w14:textId="1C60EA28"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5E2D0197" w14:textId="4D03B02F"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16A21">
              <w:t>N/A</w:t>
            </w:r>
          </w:p>
        </w:tc>
      </w:tr>
      <w:tr w:rsidR="00666213" w14:paraId="7F591F60"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2852F5A5"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11A67B9C" w14:textId="218AE8FF" w:rsidR="00666213" w:rsidRDefault="00666213" w:rsidP="0056690A">
            <w:pPr>
              <w:cnfStyle w:val="000000010000" w:firstRow="0" w:lastRow="0" w:firstColumn="0" w:lastColumn="0" w:oddVBand="0" w:evenVBand="0" w:oddHBand="0" w:evenHBand="1" w:firstRowFirstColumn="0" w:firstRowLastColumn="0" w:lastRowFirstColumn="0" w:lastRowLastColumn="0"/>
            </w:pPr>
            <w:r w:rsidRPr="00F41320">
              <w:t>Fluorescent Delamping</w:t>
            </w:r>
          </w:p>
        </w:tc>
        <w:tc>
          <w:tcPr>
            <w:tcW w:w="2774" w:type="dxa"/>
            <w:tcBorders>
              <w:top w:val="none" w:sz="0" w:space="0" w:color="auto"/>
              <w:left w:val="none" w:sz="0" w:space="0" w:color="auto"/>
              <w:bottom w:val="none" w:sz="0" w:space="0" w:color="auto"/>
              <w:right w:val="none" w:sz="0" w:space="0" w:color="auto"/>
            </w:tcBorders>
          </w:tcPr>
          <w:p w14:paraId="3AE0B9C8" w14:textId="69194405"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5A440AA4" w14:textId="0953554D"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16A21">
              <w:t>N/A</w:t>
            </w:r>
          </w:p>
        </w:tc>
      </w:tr>
      <w:tr w:rsidR="00666213" w14:paraId="10438A15"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19159200"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6B8EC1AB" w14:textId="5CFC2A83" w:rsidR="00666213" w:rsidRDefault="00666213" w:rsidP="0056690A">
            <w:pPr>
              <w:cnfStyle w:val="000000100000" w:firstRow="0" w:lastRow="0" w:firstColumn="0" w:lastColumn="0" w:oddVBand="0" w:evenVBand="0" w:oddHBand="1" w:evenHBand="0" w:firstRowFirstColumn="0" w:firstRowLastColumn="0" w:lastRowFirstColumn="0" w:lastRowLastColumn="0"/>
            </w:pPr>
            <w:r w:rsidRPr="00F41320">
              <w:t>Exit Signs</w:t>
            </w:r>
          </w:p>
        </w:tc>
        <w:tc>
          <w:tcPr>
            <w:tcW w:w="2774" w:type="dxa"/>
            <w:tcBorders>
              <w:top w:val="none" w:sz="0" w:space="0" w:color="auto"/>
              <w:left w:val="none" w:sz="0" w:space="0" w:color="auto"/>
              <w:bottom w:val="none" w:sz="0" w:space="0" w:color="auto"/>
              <w:right w:val="none" w:sz="0" w:space="0" w:color="auto"/>
            </w:tcBorders>
          </w:tcPr>
          <w:p w14:paraId="5EA8BBC0" w14:textId="50F7BEA1"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0A378DB2" w14:textId="4B58F490"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16A21">
              <w:t>N/A</w:t>
            </w:r>
          </w:p>
        </w:tc>
      </w:tr>
      <w:tr w:rsidR="00666213" w14:paraId="7294A323"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0A1505C0"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638A3A1D" w14:textId="2EAB1C7E" w:rsidR="00666213" w:rsidRDefault="00666213" w:rsidP="0056690A">
            <w:pPr>
              <w:cnfStyle w:val="000000010000" w:firstRow="0" w:lastRow="0" w:firstColumn="0" w:lastColumn="0" w:oddVBand="0" w:evenVBand="0" w:oddHBand="0" w:evenHBand="1" w:firstRowFirstColumn="0" w:firstRowLastColumn="0" w:lastRowFirstColumn="0" w:lastRowLastColumn="0"/>
            </w:pPr>
            <w:r w:rsidRPr="00F41320">
              <w:t>Lighting Controls</w:t>
            </w:r>
          </w:p>
        </w:tc>
        <w:tc>
          <w:tcPr>
            <w:tcW w:w="2774" w:type="dxa"/>
            <w:tcBorders>
              <w:top w:val="none" w:sz="0" w:space="0" w:color="auto"/>
              <w:left w:val="none" w:sz="0" w:space="0" w:color="auto"/>
              <w:bottom w:val="none" w:sz="0" w:space="0" w:color="auto"/>
              <w:right w:val="none" w:sz="0" w:space="0" w:color="auto"/>
            </w:tcBorders>
          </w:tcPr>
          <w:p w14:paraId="48E4608C" w14:textId="7570E1FD"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7C58B7EB" w14:textId="069AAD69"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16A21">
              <w:t>N/A</w:t>
            </w:r>
          </w:p>
        </w:tc>
      </w:tr>
      <w:tr w:rsidR="00666213" w14:paraId="1EB68BF1"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4B435DCA"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7271F3C2" w14:textId="76FB4A6A" w:rsidR="00666213" w:rsidRDefault="00666213" w:rsidP="0056690A">
            <w:pPr>
              <w:cnfStyle w:val="000000100000" w:firstRow="0" w:lastRow="0" w:firstColumn="0" w:lastColumn="0" w:oddVBand="0" w:evenVBand="0" w:oddHBand="1" w:evenHBand="0" w:firstRowFirstColumn="0" w:firstRowLastColumn="0" w:lastRowFirstColumn="0" w:lastRowLastColumn="0"/>
            </w:pPr>
            <w:r w:rsidRPr="00F41320">
              <w:t>Evaporator Fan Control for ECMs</w:t>
            </w:r>
          </w:p>
        </w:tc>
        <w:tc>
          <w:tcPr>
            <w:tcW w:w="2774" w:type="dxa"/>
            <w:tcBorders>
              <w:top w:val="none" w:sz="0" w:space="0" w:color="auto"/>
              <w:left w:val="none" w:sz="0" w:space="0" w:color="auto"/>
              <w:bottom w:val="none" w:sz="0" w:space="0" w:color="auto"/>
              <w:right w:val="none" w:sz="0" w:space="0" w:color="auto"/>
            </w:tcBorders>
          </w:tcPr>
          <w:p w14:paraId="18A15077" w14:textId="2162CA55"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7F98A9C9" w14:textId="65F8E23D" w:rsidR="00666213"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16A21">
              <w:t>N/A</w:t>
            </w:r>
          </w:p>
        </w:tc>
      </w:tr>
      <w:tr w:rsidR="00666213" w14:paraId="5B92D3E0" w14:textId="77777777" w:rsidTr="0056690A">
        <w:trPr>
          <w:cnfStyle w:val="000000010000" w:firstRow="0" w:lastRow="0" w:firstColumn="0" w:lastColumn="0" w:oddVBand="0" w:evenVBand="0" w:oddHBand="0" w:evenHBand="1" w:firstRowFirstColumn="0" w:firstRowLastColumn="0" w:lastRowFirstColumn="0" w:lastRowLastColumn="0"/>
          <w:trHeight w:val="29"/>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5C236335"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54A1CD1B" w14:textId="180C2351" w:rsidR="00666213" w:rsidRDefault="00666213" w:rsidP="0056690A">
            <w:pPr>
              <w:cnfStyle w:val="000000010000" w:firstRow="0" w:lastRow="0" w:firstColumn="0" w:lastColumn="0" w:oddVBand="0" w:evenVBand="0" w:oddHBand="0" w:evenHBand="1" w:firstRowFirstColumn="0" w:firstRowLastColumn="0" w:lastRowFirstColumn="0" w:lastRowLastColumn="0"/>
            </w:pPr>
            <w:r w:rsidRPr="00F41320">
              <w:t>ECMs for Coolers/Freezers</w:t>
            </w:r>
          </w:p>
        </w:tc>
        <w:tc>
          <w:tcPr>
            <w:tcW w:w="2774" w:type="dxa"/>
            <w:tcBorders>
              <w:top w:val="none" w:sz="0" w:space="0" w:color="auto"/>
              <w:left w:val="none" w:sz="0" w:space="0" w:color="auto"/>
              <w:bottom w:val="none" w:sz="0" w:space="0" w:color="auto"/>
              <w:right w:val="none" w:sz="0" w:space="0" w:color="auto"/>
            </w:tcBorders>
          </w:tcPr>
          <w:p w14:paraId="5E467161" w14:textId="24B39625"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D23CC">
              <w:t>0.891</w:t>
            </w:r>
          </w:p>
        </w:tc>
        <w:tc>
          <w:tcPr>
            <w:tcW w:w="2774" w:type="dxa"/>
            <w:tcBorders>
              <w:top w:val="none" w:sz="0" w:space="0" w:color="auto"/>
              <w:left w:val="none" w:sz="0" w:space="0" w:color="auto"/>
              <w:bottom w:val="none" w:sz="0" w:space="0" w:color="auto"/>
              <w:right w:val="none" w:sz="0" w:space="0" w:color="auto"/>
            </w:tcBorders>
          </w:tcPr>
          <w:p w14:paraId="4F7877A5" w14:textId="1893DA5E" w:rsidR="00666213"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16A21">
              <w:t>N/A</w:t>
            </w:r>
          </w:p>
        </w:tc>
      </w:tr>
      <w:tr w:rsidR="00666213" w14:paraId="1AF030A3"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vMerge/>
            <w:tcBorders>
              <w:top w:val="none" w:sz="0" w:space="0" w:color="auto"/>
              <w:left w:val="none" w:sz="0" w:space="0" w:color="auto"/>
              <w:bottom w:val="none" w:sz="0" w:space="0" w:color="auto"/>
              <w:right w:val="none" w:sz="0" w:space="0" w:color="auto"/>
            </w:tcBorders>
            <w:vAlign w:val="top"/>
          </w:tcPr>
          <w:p w14:paraId="44273C35" w14:textId="77777777" w:rsidR="00666213" w:rsidRDefault="00666213" w:rsidP="00666213"/>
        </w:tc>
        <w:tc>
          <w:tcPr>
            <w:tcW w:w="3033" w:type="dxa"/>
            <w:tcBorders>
              <w:top w:val="none" w:sz="0" w:space="0" w:color="auto"/>
              <w:left w:val="none" w:sz="0" w:space="0" w:color="auto"/>
              <w:bottom w:val="none" w:sz="0" w:space="0" w:color="auto"/>
              <w:right w:val="none" w:sz="0" w:space="0" w:color="auto"/>
            </w:tcBorders>
          </w:tcPr>
          <w:p w14:paraId="303D85F0" w14:textId="72B00264" w:rsidR="00666213" w:rsidRPr="00F41320" w:rsidRDefault="00666213" w:rsidP="0056690A">
            <w:pPr>
              <w:cnfStyle w:val="000000100000" w:firstRow="0" w:lastRow="0" w:firstColumn="0" w:lastColumn="0" w:oddVBand="0" w:evenVBand="0" w:oddHBand="1" w:evenHBand="0" w:firstRowFirstColumn="0" w:firstRowLastColumn="0" w:lastRowFirstColumn="0" w:lastRowLastColumn="0"/>
            </w:pPr>
            <w:r w:rsidRPr="00F41320">
              <w:t>Automatic Door Closer</w:t>
            </w:r>
          </w:p>
        </w:tc>
        <w:tc>
          <w:tcPr>
            <w:tcW w:w="2774" w:type="dxa"/>
            <w:tcBorders>
              <w:top w:val="none" w:sz="0" w:space="0" w:color="auto"/>
              <w:left w:val="none" w:sz="0" w:space="0" w:color="auto"/>
              <w:bottom w:val="none" w:sz="0" w:space="0" w:color="auto"/>
              <w:right w:val="none" w:sz="0" w:space="0" w:color="auto"/>
            </w:tcBorders>
          </w:tcPr>
          <w:p w14:paraId="43480302" w14:textId="655898DB" w:rsidR="00666213" w:rsidRPr="004D23CC"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F41320">
              <w:t>0.891</w:t>
            </w:r>
          </w:p>
        </w:tc>
        <w:tc>
          <w:tcPr>
            <w:tcW w:w="2774" w:type="dxa"/>
            <w:tcBorders>
              <w:top w:val="none" w:sz="0" w:space="0" w:color="auto"/>
              <w:left w:val="none" w:sz="0" w:space="0" w:color="auto"/>
              <w:bottom w:val="none" w:sz="0" w:space="0" w:color="auto"/>
              <w:right w:val="none" w:sz="0" w:space="0" w:color="auto"/>
            </w:tcBorders>
          </w:tcPr>
          <w:p w14:paraId="3CA82DC2" w14:textId="12ED045E" w:rsidR="00666213" w:rsidRPr="00416A21" w:rsidRDefault="00666213" w:rsidP="002647C6">
            <w:pPr>
              <w:jc w:val="center"/>
              <w:cnfStyle w:val="000000100000" w:firstRow="0" w:lastRow="0" w:firstColumn="0" w:lastColumn="0" w:oddVBand="0" w:evenVBand="0" w:oddHBand="1" w:evenHBand="0" w:firstRowFirstColumn="0" w:firstRowLastColumn="0" w:lastRowFirstColumn="0" w:lastRowLastColumn="0"/>
            </w:pPr>
            <w:r w:rsidRPr="00416A21">
              <w:t>N/A</w:t>
            </w:r>
          </w:p>
        </w:tc>
      </w:tr>
      <w:tr w:rsidR="00666213" w14:paraId="4315BECF"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5" w:type="dxa"/>
            <w:tcBorders>
              <w:top w:val="none" w:sz="0" w:space="0" w:color="auto"/>
              <w:left w:val="none" w:sz="0" w:space="0" w:color="auto"/>
              <w:bottom w:val="none" w:sz="0" w:space="0" w:color="auto"/>
              <w:right w:val="none" w:sz="0" w:space="0" w:color="auto"/>
            </w:tcBorders>
          </w:tcPr>
          <w:p w14:paraId="3EC06145" w14:textId="0BF1B589" w:rsidR="00666213" w:rsidRDefault="00666213" w:rsidP="00666213">
            <w:r>
              <w:t>SBEP</w:t>
            </w:r>
          </w:p>
        </w:tc>
        <w:tc>
          <w:tcPr>
            <w:tcW w:w="3033" w:type="dxa"/>
            <w:tcBorders>
              <w:top w:val="none" w:sz="0" w:space="0" w:color="auto"/>
              <w:left w:val="none" w:sz="0" w:space="0" w:color="auto"/>
              <w:bottom w:val="none" w:sz="0" w:space="0" w:color="auto"/>
              <w:right w:val="none" w:sz="0" w:space="0" w:color="auto"/>
            </w:tcBorders>
          </w:tcPr>
          <w:p w14:paraId="75606151" w14:textId="52CE096F" w:rsidR="00666213" w:rsidRPr="00F41320" w:rsidRDefault="00666213" w:rsidP="0056690A">
            <w:pPr>
              <w:cnfStyle w:val="000000010000" w:firstRow="0" w:lastRow="0" w:firstColumn="0" w:lastColumn="0" w:oddVBand="0" w:evenVBand="0" w:oddHBand="0" w:evenHBand="1" w:firstRowFirstColumn="0" w:firstRowLastColumn="0" w:lastRowFirstColumn="0" w:lastRowLastColumn="0"/>
            </w:pPr>
            <w:r w:rsidRPr="00416A21">
              <w:t>All measures</w:t>
            </w:r>
          </w:p>
        </w:tc>
        <w:tc>
          <w:tcPr>
            <w:tcW w:w="2774" w:type="dxa"/>
            <w:tcBorders>
              <w:top w:val="none" w:sz="0" w:space="0" w:color="auto"/>
              <w:left w:val="none" w:sz="0" w:space="0" w:color="auto"/>
              <w:bottom w:val="none" w:sz="0" w:space="0" w:color="auto"/>
              <w:right w:val="none" w:sz="0" w:space="0" w:color="auto"/>
            </w:tcBorders>
          </w:tcPr>
          <w:p w14:paraId="0D8244AF" w14:textId="454CB7CC" w:rsidR="00666213" w:rsidRPr="00F41320"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16A21">
              <w:t>1</w:t>
            </w:r>
            <w:r>
              <w:t>.000</w:t>
            </w:r>
          </w:p>
        </w:tc>
        <w:tc>
          <w:tcPr>
            <w:tcW w:w="2774" w:type="dxa"/>
            <w:tcBorders>
              <w:top w:val="none" w:sz="0" w:space="0" w:color="auto"/>
              <w:left w:val="none" w:sz="0" w:space="0" w:color="auto"/>
              <w:bottom w:val="none" w:sz="0" w:space="0" w:color="auto"/>
              <w:right w:val="none" w:sz="0" w:space="0" w:color="auto"/>
            </w:tcBorders>
          </w:tcPr>
          <w:p w14:paraId="5991A28C" w14:textId="2B33EA19" w:rsidR="00666213" w:rsidRPr="00416A21" w:rsidRDefault="00666213" w:rsidP="002647C6">
            <w:pPr>
              <w:jc w:val="center"/>
              <w:cnfStyle w:val="000000010000" w:firstRow="0" w:lastRow="0" w:firstColumn="0" w:lastColumn="0" w:oddVBand="0" w:evenVBand="0" w:oddHBand="0" w:evenHBand="1" w:firstRowFirstColumn="0" w:firstRowLastColumn="0" w:lastRowFirstColumn="0" w:lastRowLastColumn="0"/>
            </w:pPr>
            <w:r w:rsidRPr="00416A21">
              <w:t>1</w:t>
            </w:r>
            <w:r>
              <w:t>.000</w:t>
            </w:r>
          </w:p>
        </w:tc>
      </w:tr>
    </w:tbl>
    <w:p w14:paraId="72EC0036" w14:textId="344A75B5" w:rsidR="000A0A23" w:rsidRDefault="000A0A23" w:rsidP="00FB14E9">
      <w:pPr>
        <w:pStyle w:val="AppendixBeta"/>
      </w:pPr>
      <w:bookmarkStart w:id="465" w:name="_Toc191992475"/>
      <w:bookmarkStart w:id="466" w:name="_Toc192766917"/>
      <w:r>
        <w:lastRenderedPageBreak/>
        <w:t>Midstream Initiative</w:t>
      </w:r>
      <w:bookmarkEnd w:id="465"/>
      <w:bookmarkEnd w:id="466"/>
    </w:p>
    <w:p w14:paraId="62D10AC8" w14:textId="77777777" w:rsidR="000A0A23" w:rsidRDefault="000A0A23" w:rsidP="00FB14E9">
      <w:pPr>
        <w:pStyle w:val="AppendixGamma"/>
      </w:pPr>
      <w:bookmarkStart w:id="467" w:name="_Toc191992476"/>
      <w:r>
        <w:t>Gross Impact Methodology</w:t>
      </w:r>
      <w:bookmarkEnd w:id="467"/>
    </w:p>
    <w:p w14:paraId="72B373A8" w14:textId="1336F6CD" w:rsidR="00917A8B" w:rsidRDefault="00917A8B" w:rsidP="00FB14E9">
      <w:pPr>
        <w:keepNext/>
        <w:keepLines/>
      </w:pPr>
      <w:r>
        <w:t xml:space="preserve">The evaluation team calculated verified savings for the Midstream Initiative by applying savings algorithms from the IL-TRM V12.0. The team leveraged information from the </w:t>
      </w:r>
      <w:r w:rsidR="00A16B63">
        <w:t>I</w:t>
      </w:r>
      <w:r>
        <w:t>nitiative tracking data such</w:t>
      </w:r>
      <w:r w:rsidR="00941E9C">
        <w:t xml:space="preserve"> as </w:t>
      </w:r>
      <w:r w:rsidR="00941E9C" w:rsidRPr="00941E9C">
        <w:t>equipment capacity and efficiency, LED wattage, LED lamp type, and project location and facility type (e.g., for weather-dependent variables)</w:t>
      </w:r>
      <w:r w:rsidR="00941E9C">
        <w:t xml:space="preserve"> </w:t>
      </w:r>
      <w:r>
        <w:t xml:space="preserve">to inform savings assumptions. For variables outside these parameters, the evaluation team relied on defaults from the IL-TRM V12.0. </w:t>
      </w:r>
      <w:r>
        <w:fldChar w:fldCharType="begin"/>
      </w:r>
      <w:r>
        <w:instrText xml:space="preserve"> REF _Ref187404612 \h </w:instrText>
      </w:r>
      <w:r>
        <w:fldChar w:fldCharType="separate"/>
      </w:r>
      <w:r w:rsidR="00AA10F4">
        <w:t xml:space="preserve">Table </w:t>
      </w:r>
      <w:r w:rsidR="00AA10F4">
        <w:rPr>
          <w:noProof/>
        </w:rPr>
        <w:t>106</w:t>
      </w:r>
      <w:r>
        <w:fldChar w:fldCharType="end"/>
      </w:r>
      <w:r>
        <w:t xml:space="preserve"> lists the measures in the Midstream Initiative, their corresponding IL-TRM </w:t>
      </w:r>
      <w:r w:rsidR="00A16B63">
        <w:t>section</w:t>
      </w:r>
      <w:r>
        <w:t xml:space="preserve">, and whether or not TRM errata applied to the measure in the 2024 evaluation. </w:t>
      </w:r>
    </w:p>
    <w:p w14:paraId="675A6C6D" w14:textId="188F812F" w:rsidR="00917A8B" w:rsidRDefault="00917A8B" w:rsidP="00881B1B">
      <w:pPr>
        <w:pStyle w:val="Caption"/>
      </w:pPr>
      <w:bookmarkStart w:id="468" w:name="_Ref187404612"/>
      <w:bookmarkStart w:id="469" w:name="_Toc191992624"/>
      <w:bookmarkStart w:id="470" w:name="_Toc192767040"/>
      <w:r>
        <w:t xml:space="preserve">Table </w:t>
      </w:r>
      <w:r w:rsidR="009B4C9A">
        <w:fldChar w:fldCharType="begin"/>
      </w:r>
      <w:r w:rsidR="009B4C9A">
        <w:instrText xml:space="preserve"> SEQ Table \* ARABIC </w:instrText>
      </w:r>
      <w:r w:rsidR="009B4C9A">
        <w:fldChar w:fldCharType="separate"/>
      </w:r>
      <w:r w:rsidR="00AA10F4">
        <w:rPr>
          <w:noProof/>
        </w:rPr>
        <w:t>106</w:t>
      </w:r>
      <w:r w:rsidR="009B4C9A">
        <w:rPr>
          <w:noProof/>
        </w:rPr>
        <w:fldChar w:fldCharType="end"/>
      </w:r>
      <w:bookmarkEnd w:id="468"/>
      <w:r>
        <w:t>. Midstream Initiative Evaluated Measures</w:t>
      </w:r>
      <w:bookmarkEnd w:id="469"/>
      <w:bookmarkEnd w:id="470"/>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5305"/>
        <w:gridCol w:w="2092"/>
        <w:gridCol w:w="3699"/>
      </w:tblGrid>
      <w:tr w:rsidR="00917A8B" w14:paraId="42657109"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D19054C" w14:textId="77777777" w:rsidR="00917A8B" w:rsidRDefault="00917A8B" w:rsidP="008C6FBE">
            <w:pPr>
              <w:pStyle w:val="TableHeadingLeft"/>
            </w:pPr>
            <w:r>
              <w:t>IL-TRM Measure Name</w:t>
            </w:r>
          </w:p>
        </w:tc>
        <w:tc>
          <w:tcPr>
            <w:tcW w:w="2092" w:type="dxa"/>
            <w:tcBorders>
              <w:bottom w:val="none" w:sz="0" w:space="0" w:color="auto"/>
            </w:tcBorders>
          </w:tcPr>
          <w:p w14:paraId="43ED2FF1" w14:textId="77777777" w:rsidR="00917A8B" w:rsidRDefault="00917A8B" w:rsidP="008C6FBE">
            <w:pPr>
              <w:pStyle w:val="TableHeadingCentered"/>
              <w:cnfStyle w:val="100000000000" w:firstRow="1" w:lastRow="0" w:firstColumn="0" w:lastColumn="0" w:oddVBand="0" w:evenVBand="0" w:oddHBand="0" w:evenHBand="0" w:firstRowFirstColumn="0" w:firstRowLastColumn="0" w:lastRowFirstColumn="0" w:lastRowLastColumn="0"/>
            </w:pPr>
            <w:r>
              <w:t>IL-TRM Measure Code</w:t>
            </w:r>
          </w:p>
        </w:tc>
        <w:tc>
          <w:tcPr>
            <w:tcW w:w="3699" w:type="dxa"/>
            <w:tcBorders>
              <w:bottom w:val="none" w:sz="0" w:space="0" w:color="auto"/>
            </w:tcBorders>
          </w:tcPr>
          <w:p w14:paraId="7D5509C9" w14:textId="77777777" w:rsidR="00917A8B" w:rsidRDefault="00917A8B" w:rsidP="008C6FBE">
            <w:pPr>
              <w:pStyle w:val="TableHeadingCentered"/>
              <w:cnfStyle w:val="100000000000" w:firstRow="1" w:lastRow="0" w:firstColumn="0" w:lastColumn="0" w:oddVBand="0" w:evenVBand="0" w:oddHBand="0" w:evenHBand="0" w:firstRowFirstColumn="0" w:firstRowLastColumn="0" w:lastRowFirstColumn="0" w:lastRowLastColumn="0"/>
            </w:pPr>
            <w:r>
              <w:t>Errata Applied?</w:t>
            </w:r>
          </w:p>
        </w:tc>
      </w:tr>
      <w:tr w:rsidR="00927C3A" w14:paraId="10168CBD"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48AE3A6A" w14:textId="66DAA647" w:rsidR="00927C3A" w:rsidRDefault="00927C3A" w:rsidP="00927C3A">
            <w:r>
              <w:rPr>
                <w:color w:val="4D4D4F"/>
              </w:rPr>
              <w:t>Water Heater</w:t>
            </w:r>
          </w:p>
        </w:tc>
        <w:tc>
          <w:tcPr>
            <w:tcW w:w="2092" w:type="dxa"/>
            <w:tcBorders>
              <w:top w:val="none" w:sz="0" w:space="0" w:color="auto"/>
              <w:left w:val="none" w:sz="0" w:space="0" w:color="auto"/>
              <w:bottom w:val="none" w:sz="0" w:space="0" w:color="auto"/>
              <w:right w:val="none" w:sz="0" w:space="0" w:color="auto"/>
            </w:tcBorders>
          </w:tcPr>
          <w:p w14:paraId="5F03CDAC" w14:textId="6D29ECAC"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Pr>
                <w:color w:val="4D4D4F"/>
              </w:rPr>
              <w:t>4.3.1</w:t>
            </w:r>
          </w:p>
        </w:tc>
        <w:tc>
          <w:tcPr>
            <w:tcW w:w="3699" w:type="dxa"/>
            <w:tcBorders>
              <w:top w:val="none" w:sz="0" w:space="0" w:color="auto"/>
              <w:left w:val="none" w:sz="0" w:space="0" w:color="auto"/>
              <w:bottom w:val="none" w:sz="0" w:space="0" w:color="auto"/>
              <w:right w:val="none" w:sz="0" w:space="0" w:color="auto"/>
            </w:tcBorders>
          </w:tcPr>
          <w:p w14:paraId="2FF61F2B" w14:textId="3FEBCDB8"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sidRPr="00CF70DA">
              <w:t>Errata applied</w:t>
            </w:r>
          </w:p>
        </w:tc>
      </w:tr>
      <w:tr w:rsidR="00927C3A" w14:paraId="575CBD8C"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4C21F983" w14:textId="762672EC" w:rsidR="00927C3A" w:rsidRDefault="00927C3A" w:rsidP="00927C3A">
            <w:r>
              <w:rPr>
                <w:color w:val="4D4D4F"/>
              </w:rPr>
              <w:t>Air and Water Source Heat Pump Systems</w:t>
            </w:r>
          </w:p>
        </w:tc>
        <w:tc>
          <w:tcPr>
            <w:tcW w:w="2092" w:type="dxa"/>
            <w:tcBorders>
              <w:top w:val="none" w:sz="0" w:space="0" w:color="auto"/>
              <w:left w:val="none" w:sz="0" w:space="0" w:color="auto"/>
              <w:bottom w:val="none" w:sz="0" w:space="0" w:color="auto"/>
              <w:right w:val="none" w:sz="0" w:space="0" w:color="auto"/>
            </w:tcBorders>
          </w:tcPr>
          <w:p w14:paraId="4E6E0209" w14:textId="3C13CF21"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4.4.9</w:t>
            </w:r>
          </w:p>
        </w:tc>
        <w:tc>
          <w:tcPr>
            <w:tcW w:w="3699" w:type="dxa"/>
            <w:tcBorders>
              <w:top w:val="none" w:sz="0" w:space="0" w:color="auto"/>
              <w:left w:val="none" w:sz="0" w:space="0" w:color="auto"/>
              <w:bottom w:val="none" w:sz="0" w:space="0" w:color="auto"/>
              <w:right w:val="none" w:sz="0" w:space="0" w:color="auto"/>
            </w:tcBorders>
          </w:tcPr>
          <w:p w14:paraId="6D50FF3D" w14:textId="5EFE0784"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No errata present for this measure</w:t>
            </w:r>
          </w:p>
        </w:tc>
      </w:tr>
      <w:tr w:rsidR="00927C3A" w14:paraId="351B4749"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1BE07D67" w14:textId="52734DAF" w:rsidR="00927C3A" w:rsidRDefault="00927C3A" w:rsidP="00927C3A">
            <w:r>
              <w:rPr>
                <w:color w:val="4D4D4F"/>
              </w:rPr>
              <w:t>Single-Package and Split System Unitary Air Conditioners</w:t>
            </w:r>
          </w:p>
        </w:tc>
        <w:tc>
          <w:tcPr>
            <w:tcW w:w="2092" w:type="dxa"/>
            <w:tcBorders>
              <w:top w:val="none" w:sz="0" w:space="0" w:color="auto"/>
              <w:left w:val="none" w:sz="0" w:space="0" w:color="auto"/>
              <w:bottom w:val="none" w:sz="0" w:space="0" w:color="auto"/>
              <w:right w:val="none" w:sz="0" w:space="0" w:color="auto"/>
            </w:tcBorders>
          </w:tcPr>
          <w:p w14:paraId="0E378E38" w14:textId="2C7820A5"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Pr>
                <w:color w:val="4D4D4F"/>
              </w:rPr>
              <w:t>4.4.15</w:t>
            </w:r>
          </w:p>
        </w:tc>
        <w:tc>
          <w:tcPr>
            <w:tcW w:w="3699" w:type="dxa"/>
            <w:tcBorders>
              <w:top w:val="none" w:sz="0" w:space="0" w:color="auto"/>
              <w:left w:val="none" w:sz="0" w:space="0" w:color="auto"/>
              <w:bottom w:val="none" w:sz="0" w:space="0" w:color="auto"/>
              <w:right w:val="none" w:sz="0" w:space="0" w:color="auto"/>
            </w:tcBorders>
          </w:tcPr>
          <w:p w14:paraId="0457BDDC" w14:textId="17892D44"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Pr>
                <w:color w:val="4D4D4F"/>
              </w:rPr>
              <w:t>No errata present for this measure</w:t>
            </w:r>
          </w:p>
        </w:tc>
      </w:tr>
      <w:tr w:rsidR="00927C3A" w14:paraId="426BC623"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28A955B" w14:textId="049A3C95" w:rsidR="00927C3A" w:rsidRDefault="00927C3A" w:rsidP="00927C3A">
            <w:r>
              <w:rPr>
                <w:color w:val="4D4D4F"/>
              </w:rPr>
              <w:t>Notched V Belts for HVAC Systems</w:t>
            </w:r>
          </w:p>
        </w:tc>
        <w:tc>
          <w:tcPr>
            <w:tcW w:w="2092" w:type="dxa"/>
            <w:tcBorders>
              <w:top w:val="none" w:sz="0" w:space="0" w:color="auto"/>
              <w:left w:val="none" w:sz="0" w:space="0" w:color="auto"/>
              <w:bottom w:val="none" w:sz="0" w:space="0" w:color="auto"/>
              <w:right w:val="none" w:sz="0" w:space="0" w:color="auto"/>
            </w:tcBorders>
          </w:tcPr>
          <w:p w14:paraId="4990BC18" w14:textId="2C12E06B"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4.4.30</w:t>
            </w:r>
          </w:p>
        </w:tc>
        <w:tc>
          <w:tcPr>
            <w:tcW w:w="3699" w:type="dxa"/>
            <w:tcBorders>
              <w:top w:val="none" w:sz="0" w:space="0" w:color="auto"/>
              <w:left w:val="none" w:sz="0" w:space="0" w:color="auto"/>
              <w:bottom w:val="none" w:sz="0" w:space="0" w:color="auto"/>
              <w:right w:val="none" w:sz="0" w:space="0" w:color="auto"/>
            </w:tcBorders>
          </w:tcPr>
          <w:p w14:paraId="508CBE42" w14:textId="6B383CDD"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No errata present for this measure</w:t>
            </w:r>
          </w:p>
        </w:tc>
      </w:tr>
      <w:tr w:rsidR="00927C3A" w14:paraId="7E3257C3"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3B9D1697" w14:textId="6783DBE0" w:rsidR="00927C3A" w:rsidRDefault="00927C3A" w:rsidP="00927C3A">
            <w:r>
              <w:rPr>
                <w:color w:val="4D4D4F"/>
              </w:rPr>
              <w:t>Small Commercial Thermostats</w:t>
            </w:r>
          </w:p>
        </w:tc>
        <w:tc>
          <w:tcPr>
            <w:tcW w:w="2092" w:type="dxa"/>
            <w:tcBorders>
              <w:top w:val="none" w:sz="0" w:space="0" w:color="auto"/>
              <w:left w:val="none" w:sz="0" w:space="0" w:color="auto"/>
              <w:bottom w:val="none" w:sz="0" w:space="0" w:color="auto"/>
              <w:right w:val="none" w:sz="0" w:space="0" w:color="auto"/>
            </w:tcBorders>
          </w:tcPr>
          <w:p w14:paraId="14786B96" w14:textId="4897084D"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Pr>
                <w:color w:val="4D4D4F"/>
              </w:rPr>
              <w:t>4.4.48</w:t>
            </w:r>
          </w:p>
        </w:tc>
        <w:tc>
          <w:tcPr>
            <w:tcW w:w="3699" w:type="dxa"/>
            <w:tcBorders>
              <w:top w:val="none" w:sz="0" w:space="0" w:color="auto"/>
              <w:left w:val="none" w:sz="0" w:space="0" w:color="auto"/>
              <w:bottom w:val="none" w:sz="0" w:space="0" w:color="auto"/>
              <w:right w:val="none" w:sz="0" w:space="0" w:color="auto"/>
            </w:tcBorders>
          </w:tcPr>
          <w:p w14:paraId="6AC40CF7" w14:textId="65264956" w:rsidR="00927C3A" w:rsidRDefault="00927C3A" w:rsidP="00927C3A">
            <w:pPr>
              <w:jc w:val="center"/>
              <w:cnfStyle w:val="000000100000" w:firstRow="0" w:lastRow="0" w:firstColumn="0" w:lastColumn="0" w:oddVBand="0" w:evenVBand="0" w:oddHBand="1" w:evenHBand="0" w:firstRowFirstColumn="0" w:firstRowLastColumn="0" w:lastRowFirstColumn="0" w:lastRowLastColumn="0"/>
            </w:pPr>
            <w:r>
              <w:rPr>
                <w:color w:val="4D4D4F"/>
              </w:rPr>
              <w:t>No errata present for this measure</w:t>
            </w:r>
          </w:p>
        </w:tc>
      </w:tr>
      <w:tr w:rsidR="00927C3A" w14:paraId="653B605C"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6C5DD397" w14:textId="08D86081" w:rsidR="00927C3A" w:rsidRDefault="00927C3A" w:rsidP="00927C3A">
            <w:r>
              <w:rPr>
                <w:color w:val="4D4D4F"/>
              </w:rPr>
              <w:t>Ductless Heat Pumps</w:t>
            </w:r>
          </w:p>
        </w:tc>
        <w:tc>
          <w:tcPr>
            <w:tcW w:w="2092" w:type="dxa"/>
            <w:tcBorders>
              <w:top w:val="none" w:sz="0" w:space="0" w:color="auto"/>
              <w:left w:val="none" w:sz="0" w:space="0" w:color="auto"/>
              <w:bottom w:val="none" w:sz="0" w:space="0" w:color="auto"/>
              <w:right w:val="none" w:sz="0" w:space="0" w:color="auto"/>
            </w:tcBorders>
          </w:tcPr>
          <w:p w14:paraId="668B3C84" w14:textId="6FFAFCCB"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4.4.59</w:t>
            </w:r>
          </w:p>
        </w:tc>
        <w:tc>
          <w:tcPr>
            <w:tcW w:w="3699" w:type="dxa"/>
            <w:tcBorders>
              <w:top w:val="none" w:sz="0" w:space="0" w:color="auto"/>
              <w:left w:val="none" w:sz="0" w:space="0" w:color="auto"/>
              <w:bottom w:val="none" w:sz="0" w:space="0" w:color="auto"/>
              <w:right w:val="none" w:sz="0" w:space="0" w:color="auto"/>
            </w:tcBorders>
          </w:tcPr>
          <w:p w14:paraId="069D8D1E" w14:textId="0AC0DFFA" w:rsidR="00927C3A" w:rsidRDefault="00927C3A" w:rsidP="00927C3A">
            <w:pPr>
              <w:jc w:val="center"/>
              <w:cnfStyle w:val="000000010000" w:firstRow="0" w:lastRow="0" w:firstColumn="0" w:lastColumn="0" w:oddVBand="0" w:evenVBand="0" w:oddHBand="0" w:evenHBand="1" w:firstRowFirstColumn="0" w:firstRowLastColumn="0" w:lastRowFirstColumn="0" w:lastRowLastColumn="0"/>
            </w:pPr>
            <w:r>
              <w:rPr>
                <w:color w:val="4D4D4F"/>
              </w:rPr>
              <w:t>No errata present for this measure</w:t>
            </w:r>
          </w:p>
        </w:tc>
      </w:tr>
      <w:tr w:rsidR="00927C3A" w14:paraId="4F1E8B28"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18F2C54B" w14:textId="0DC0E8D8" w:rsidR="00927C3A" w:rsidRDefault="00927C3A" w:rsidP="00927C3A">
            <w:pPr>
              <w:rPr>
                <w:color w:val="4D4D4F"/>
              </w:rPr>
            </w:pPr>
            <w:r w:rsidRPr="00443220">
              <w:t>Dishwashers</w:t>
            </w:r>
          </w:p>
        </w:tc>
        <w:tc>
          <w:tcPr>
            <w:tcW w:w="2092" w:type="dxa"/>
            <w:tcBorders>
              <w:top w:val="none" w:sz="0" w:space="0" w:color="auto"/>
              <w:left w:val="none" w:sz="0" w:space="0" w:color="auto"/>
              <w:bottom w:val="none" w:sz="0" w:space="0" w:color="auto"/>
              <w:right w:val="none" w:sz="0" w:space="0" w:color="auto"/>
            </w:tcBorders>
          </w:tcPr>
          <w:p w14:paraId="34879F2B" w14:textId="7BEE1DE9"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4.2.6</w:t>
            </w:r>
          </w:p>
        </w:tc>
        <w:tc>
          <w:tcPr>
            <w:tcW w:w="3699" w:type="dxa"/>
            <w:tcBorders>
              <w:top w:val="none" w:sz="0" w:space="0" w:color="auto"/>
              <w:left w:val="none" w:sz="0" w:space="0" w:color="auto"/>
              <w:bottom w:val="none" w:sz="0" w:space="0" w:color="auto"/>
              <w:right w:val="none" w:sz="0" w:space="0" w:color="auto"/>
            </w:tcBorders>
          </w:tcPr>
          <w:p w14:paraId="51F2150E" w14:textId="5195C146"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No errata present for this measure</w:t>
            </w:r>
          </w:p>
        </w:tc>
      </w:tr>
      <w:tr w:rsidR="00927C3A" w14:paraId="2A6D0004"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61CD6BE6" w14:textId="0584D8A4" w:rsidR="00927C3A" w:rsidRDefault="00927C3A" w:rsidP="00927C3A">
            <w:pPr>
              <w:rPr>
                <w:color w:val="4D4D4F"/>
              </w:rPr>
            </w:pPr>
            <w:r w:rsidRPr="00443220">
              <w:t>Fryers</w:t>
            </w:r>
          </w:p>
        </w:tc>
        <w:tc>
          <w:tcPr>
            <w:tcW w:w="2092" w:type="dxa"/>
            <w:tcBorders>
              <w:top w:val="none" w:sz="0" w:space="0" w:color="auto"/>
              <w:left w:val="none" w:sz="0" w:space="0" w:color="auto"/>
              <w:bottom w:val="none" w:sz="0" w:space="0" w:color="auto"/>
              <w:right w:val="none" w:sz="0" w:space="0" w:color="auto"/>
            </w:tcBorders>
          </w:tcPr>
          <w:p w14:paraId="20B145C0" w14:textId="1031560A"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4.2.7</w:t>
            </w:r>
          </w:p>
        </w:tc>
        <w:tc>
          <w:tcPr>
            <w:tcW w:w="3699" w:type="dxa"/>
            <w:tcBorders>
              <w:top w:val="none" w:sz="0" w:space="0" w:color="auto"/>
              <w:left w:val="none" w:sz="0" w:space="0" w:color="auto"/>
              <w:bottom w:val="none" w:sz="0" w:space="0" w:color="auto"/>
              <w:right w:val="none" w:sz="0" w:space="0" w:color="auto"/>
            </w:tcBorders>
          </w:tcPr>
          <w:p w14:paraId="4BCD9F81" w14:textId="573CD9E5"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No errata present for this measure</w:t>
            </w:r>
          </w:p>
        </w:tc>
      </w:tr>
      <w:tr w:rsidR="00927C3A" w14:paraId="7B05BE20"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32A65F5D" w14:textId="507962F4" w:rsidR="00927C3A" w:rsidRDefault="00927C3A" w:rsidP="00927C3A">
            <w:pPr>
              <w:rPr>
                <w:color w:val="4D4D4F"/>
              </w:rPr>
            </w:pPr>
            <w:r w:rsidRPr="00443220">
              <w:t>Refrigerators and Freezers</w:t>
            </w:r>
          </w:p>
        </w:tc>
        <w:tc>
          <w:tcPr>
            <w:tcW w:w="2092" w:type="dxa"/>
            <w:tcBorders>
              <w:top w:val="none" w:sz="0" w:space="0" w:color="auto"/>
              <w:left w:val="none" w:sz="0" w:space="0" w:color="auto"/>
              <w:bottom w:val="none" w:sz="0" w:space="0" w:color="auto"/>
              <w:right w:val="none" w:sz="0" w:space="0" w:color="auto"/>
            </w:tcBorders>
          </w:tcPr>
          <w:p w14:paraId="33A53852" w14:textId="3CCCF07A"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4.2.2</w:t>
            </w:r>
          </w:p>
        </w:tc>
        <w:tc>
          <w:tcPr>
            <w:tcW w:w="3699" w:type="dxa"/>
            <w:tcBorders>
              <w:top w:val="none" w:sz="0" w:space="0" w:color="auto"/>
              <w:left w:val="none" w:sz="0" w:space="0" w:color="auto"/>
              <w:bottom w:val="none" w:sz="0" w:space="0" w:color="auto"/>
              <w:right w:val="none" w:sz="0" w:space="0" w:color="auto"/>
            </w:tcBorders>
          </w:tcPr>
          <w:p w14:paraId="646E6AD8" w14:textId="2D2DD016"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No errata present for this measure</w:t>
            </w:r>
          </w:p>
        </w:tc>
      </w:tr>
      <w:tr w:rsidR="00927C3A" w14:paraId="77A883E6"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265BD3C7" w14:textId="505E4611" w:rsidR="00927C3A" w:rsidRDefault="00927C3A" w:rsidP="00927C3A">
            <w:pPr>
              <w:rPr>
                <w:color w:val="4D4D4F"/>
              </w:rPr>
            </w:pPr>
            <w:r w:rsidRPr="00443220">
              <w:t>Combination Ovens</w:t>
            </w:r>
          </w:p>
        </w:tc>
        <w:tc>
          <w:tcPr>
            <w:tcW w:w="2092" w:type="dxa"/>
            <w:tcBorders>
              <w:top w:val="none" w:sz="0" w:space="0" w:color="auto"/>
              <w:left w:val="none" w:sz="0" w:space="0" w:color="auto"/>
              <w:bottom w:val="none" w:sz="0" w:space="0" w:color="auto"/>
              <w:right w:val="none" w:sz="0" w:space="0" w:color="auto"/>
            </w:tcBorders>
          </w:tcPr>
          <w:p w14:paraId="2BD84067" w14:textId="2A36C431"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4.2.1</w:t>
            </w:r>
          </w:p>
        </w:tc>
        <w:tc>
          <w:tcPr>
            <w:tcW w:w="3699" w:type="dxa"/>
            <w:tcBorders>
              <w:top w:val="none" w:sz="0" w:space="0" w:color="auto"/>
              <w:left w:val="none" w:sz="0" w:space="0" w:color="auto"/>
              <w:bottom w:val="none" w:sz="0" w:space="0" w:color="auto"/>
              <w:right w:val="none" w:sz="0" w:space="0" w:color="auto"/>
            </w:tcBorders>
          </w:tcPr>
          <w:p w14:paraId="222B715B" w14:textId="3C9282FF"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No errata present for this measure</w:t>
            </w:r>
          </w:p>
        </w:tc>
      </w:tr>
      <w:tr w:rsidR="00927C3A" w14:paraId="2A71F3BC"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16D91893" w14:textId="48F3F1A5" w:rsidR="00927C3A" w:rsidRDefault="00927C3A" w:rsidP="00927C3A">
            <w:pPr>
              <w:rPr>
                <w:color w:val="4D4D4F"/>
              </w:rPr>
            </w:pPr>
            <w:r w:rsidRPr="00443220">
              <w:t>Steam Cookers</w:t>
            </w:r>
          </w:p>
        </w:tc>
        <w:tc>
          <w:tcPr>
            <w:tcW w:w="2092" w:type="dxa"/>
            <w:tcBorders>
              <w:top w:val="none" w:sz="0" w:space="0" w:color="auto"/>
              <w:left w:val="none" w:sz="0" w:space="0" w:color="auto"/>
              <w:bottom w:val="none" w:sz="0" w:space="0" w:color="auto"/>
              <w:right w:val="none" w:sz="0" w:space="0" w:color="auto"/>
            </w:tcBorders>
          </w:tcPr>
          <w:p w14:paraId="2190895C" w14:textId="3D5D1034"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4.2.3</w:t>
            </w:r>
          </w:p>
        </w:tc>
        <w:tc>
          <w:tcPr>
            <w:tcW w:w="3699" w:type="dxa"/>
            <w:tcBorders>
              <w:top w:val="none" w:sz="0" w:space="0" w:color="auto"/>
              <w:left w:val="none" w:sz="0" w:space="0" w:color="auto"/>
              <w:bottom w:val="none" w:sz="0" w:space="0" w:color="auto"/>
              <w:right w:val="none" w:sz="0" w:space="0" w:color="auto"/>
            </w:tcBorders>
          </w:tcPr>
          <w:p w14:paraId="40F24C9D" w14:textId="543FDB0B"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CF70DA">
              <w:t>Errata applied</w:t>
            </w:r>
          </w:p>
        </w:tc>
      </w:tr>
      <w:tr w:rsidR="00927C3A" w14:paraId="077E1E6E"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0A03ED2" w14:textId="7AEFF942" w:rsidR="00927C3A" w:rsidRDefault="00927C3A" w:rsidP="00927C3A">
            <w:pPr>
              <w:rPr>
                <w:color w:val="4D4D4F"/>
              </w:rPr>
            </w:pPr>
            <w:r w:rsidRPr="00443220">
              <w:t>Griddles</w:t>
            </w:r>
          </w:p>
        </w:tc>
        <w:tc>
          <w:tcPr>
            <w:tcW w:w="2092" w:type="dxa"/>
            <w:tcBorders>
              <w:top w:val="none" w:sz="0" w:space="0" w:color="auto"/>
              <w:left w:val="none" w:sz="0" w:space="0" w:color="auto"/>
              <w:bottom w:val="none" w:sz="0" w:space="0" w:color="auto"/>
              <w:right w:val="none" w:sz="0" w:space="0" w:color="auto"/>
            </w:tcBorders>
          </w:tcPr>
          <w:p w14:paraId="4E970216" w14:textId="50C1085A"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4.2.8</w:t>
            </w:r>
          </w:p>
        </w:tc>
        <w:tc>
          <w:tcPr>
            <w:tcW w:w="3699" w:type="dxa"/>
            <w:tcBorders>
              <w:top w:val="none" w:sz="0" w:space="0" w:color="auto"/>
              <w:left w:val="none" w:sz="0" w:space="0" w:color="auto"/>
              <w:bottom w:val="none" w:sz="0" w:space="0" w:color="auto"/>
              <w:right w:val="none" w:sz="0" w:space="0" w:color="auto"/>
            </w:tcBorders>
          </w:tcPr>
          <w:p w14:paraId="1237F351" w14:textId="4254D841"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No errata present for this measure</w:t>
            </w:r>
          </w:p>
        </w:tc>
      </w:tr>
      <w:tr w:rsidR="00927C3A" w14:paraId="104D24B7"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38EF874" w14:textId="2F5969B7" w:rsidR="00927C3A" w:rsidRDefault="00927C3A" w:rsidP="00927C3A">
            <w:pPr>
              <w:rPr>
                <w:color w:val="4D4D4F"/>
              </w:rPr>
            </w:pPr>
            <w:r w:rsidRPr="00443220">
              <w:t>Broilers</w:t>
            </w:r>
          </w:p>
        </w:tc>
        <w:tc>
          <w:tcPr>
            <w:tcW w:w="2092" w:type="dxa"/>
            <w:tcBorders>
              <w:top w:val="none" w:sz="0" w:space="0" w:color="auto"/>
              <w:left w:val="none" w:sz="0" w:space="0" w:color="auto"/>
              <w:bottom w:val="none" w:sz="0" w:space="0" w:color="auto"/>
              <w:right w:val="none" w:sz="0" w:space="0" w:color="auto"/>
            </w:tcBorders>
          </w:tcPr>
          <w:p w14:paraId="4EDE79BE" w14:textId="78CBA67C"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4.2.22</w:t>
            </w:r>
          </w:p>
        </w:tc>
        <w:tc>
          <w:tcPr>
            <w:tcW w:w="3699" w:type="dxa"/>
            <w:tcBorders>
              <w:top w:val="none" w:sz="0" w:space="0" w:color="auto"/>
              <w:left w:val="none" w:sz="0" w:space="0" w:color="auto"/>
              <w:bottom w:val="none" w:sz="0" w:space="0" w:color="auto"/>
              <w:right w:val="none" w:sz="0" w:space="0" w:color="auto"/>
            </w:tcBorders>
          </w:tcPr>
          <w:p w14:paraId="47F154C0" w14:textId="30C30E9D"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CF70DA">
              <w:t>Errata applied</w:t>
            </w:r>
          </w:p>
        </w:tc>
      </w:tr>
      <w:tr w:rsidR="00927C3A" w14:paraId="426CBC83"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A864796" w14:textId="37EA399F" w:rsidR="00927C3A" w:rsidRDefault="00927C3A" w:rsidP="00927C3A">
            <w:pPr>
              <w:rPr>
                <w:color w:val="4D4D4F"/>
              </w:rPr>
            </w:pPr>
            <w:r w:rsidRPr="00443220">
              <w:t>Convection Ovens</w:t>
            </w:r>
          </w:p>
        </w:tc>
        <w:tc>
          <w:tcPr>
            <w:tcW w:w="2092" w:type="dxa"/>
            <w:tcBorders>
              <w:top w:val="none" w:sz="0" w:space="0" w:color="auto"/>
              <w:left w:val="none" w:sz="0" w:space="0" w:color="auto"/>
              <w:bottom w:val="none" w:sz="0" w:space="0" w:color="auto"/>
              <w:right w:val="none" w:sz="0" w:space="0" w:color="auto"/>
            </w:tcBorders>
          </w:tcPr>
          <w:p w14:paraId="0C752DCC" w14:textId="41127749"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4.2.5</w:t>
            </w:r>
          </w:p>
        </w:tc>
        <w:tc>
          <w:tcPr>
            <w:tcW w:w="3699" w:type="dxa"/>
            <w:tcBorders>
              <w:top w:val="none" w:sz="0" w:space="0" w:color="auto"/>
              <w:left w:val="none" w:sz="0" w:space="0" w:color="auto"/>
              <w:bottom w:val="none" w:sz="0" w:space="0" w:color="auto"/>
              <w:right w:val="none" w:sz="0" w:space="0" w:color="auto"/>
            </w:tcBorders>
          </w:tcPr>
          <w:p w14:paraId="066A9898" w14:textId="7B0D2380"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No errata present for this measure</w:t>
            </w:r>
          </w:p>
        </w:tc>
      </w:tr>
      <w:tr w:rsidR="00927C3A" w14:paraId="5A86056E"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6088B764" w14:textId="269261A5" w:rsidR="00927C3A" w:rsidRDefault="00927C3A" w:rsidP="00927C3A">
            <w:pPr>
              <w:rPr>
                <w:color w:val="4D4D4F"/>
              </w:rPr>
            </w:pPr>
            <w:r w:rsidRPr="00443220">
              <w:t>Ice Machines</w:t>
            </w:r>
          </w:p>
        </w:tc>
        <w:tc>
          <w:tcPr>
            <w:tcW w:w="2092" w:type="dxa"/>
            <w:tcBorders>
              <w:top w:val="none" w:sz="0" w:space="0" w:color="auto"/>
              <w:left w:val="none" w:sz="0" w:space="0" w:color="auto"/>
              <w:bottom w:val="none" w:sz="0" w:space="0" w:color="auto"/>
              <w:right w:val="none" w:sz="0" w:space="0" w:color="auto"/>
            </w:tcBorders>
          </w:tcPr>
          <w:p w14:paraId="77F0744E" w14:textId="4148E734"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4.2.10</w:t>
            </w:r>
          </w:p>
        </w:tc>
        <w:tc>
          <w:tcPr>
            <w:tcW w:w="3699" w:type="dxa"/>
            <w:tcBorders>
              <w:top w:val="none" w:sz="0" w:space="0" w:color="auto"/>
              <w:left w:val="none" w:sz="0" w:space="0" w:color="auto"/>
              <w:bottom w:val="none" w:sz="0" w:space="0" w:color="auto"/>
              <w:right w:val="none" w:sz="0" w:space="0" w:color="auto"/>
            </w:tcBorders>
          </w:tcPr>
          <w:p w14:paraId="5EAAD3A3" w14:textId="714CD925" w:rsidR="00927C3A" w:rsidRDefault="00927C3A" w:rsidP="00927C3A">
            <w:pPr>
              <w:jc w:val="center"/>
              <w:cnfStyle w:val="000000100000" w:firstRow="0" w:lastRow="0" w:firstColumn="0" w:lastColumn="0" w:oddVBand="0" w:evenVBand="0" w:oddHBand="1" w:evenHBand="0" w:firstRowFirstColumn="0" w:firstRowLastColumn="0" w:lastRowFirstColumn="0" w:lastRowLastColumn="0"/>
              <w:rPr>
                <w:color w:val="4D4D4F"/>
              </w:rPr>
            </w:pPr>
            <w:r w:rsidRPr="00443220">
              <w:t>No errata present for this measure</w:t>
            </w:r>
          </w:p>
        </w:tc>
      </w:tr>
      <w:tr w:rsidR="00927C3A" w14:paraId="1739C542"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628B3868" w14:textId="471B6DA0" w:rsidR="00927C3A" w:rsidRDefault="00927C3A" w:rsidP="00927C3A">
            <w:pPr>
              <w:rPr>
                <w:color w:val="4D4D4F"/>
              </w:rPr>
            </w:pPr>
            <w:r w:rsidRPr="00443220">
              <w:t>Hot Food Holding Cabinets</w:t>
            </w:r>
          </w:p>
        </w:tc>
        <w:tc>
          <w:tcPr>
            <w:tcW w:w="2092" w:type="dxa"/>
            <w:tcBorders>
              <w:top w:val="none" w:sz="0" w:space="0" w:color="auto"/>
              <w:left w:val="none" w:sz="0" w:space="0" w:color="auto"/>
              <w:bottom w:val="none" w:sz="0" w:space="0" w:color="auto"/>
              <w:right w:val="none" w:sz="0" w:space="0" w:color="auto"/>
            </w:tcBorders>
          </w:tcPr>
          <w:p w14:paraId="11FFD9C2" w14:textId="5747A17E"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4.2.9</w:t>
            </w:r>
          </w:p>
        </w:tc>
        <w:tc>
          <w:tcPr>
            <w:tcW w:w="3699" w:type="dxa"/>
            <w:tcBorders>
              <w:top w:val="none" w:sz="0" w:space="0" w:color="auto"/>
              <w:left w:val="none" w:sz="0" w:space="0" w:color="auto"/>
              <w:bottom w:val="none" w:sz="0" w:space="0" w:color="auto"/>
              <w:right w:val="none" w:sz="0" w:space="0" w:color="auto"/>
            </w:tcBorders>
          </w:tcPr>
          <w:p w14:paraId="1F519124" w14:textId="37FCF45E" w:rsidR="00927C3A" w:rsidRDefault="00927C3A" w:rsidP="00927C3A">
            <w:pPr>
              <w:jc w:val="center"/>
              <w:cnfStyle w:val="000000010000" w:firstRow="0" w:lastRow="0" w:firstColumn="0" w:lastColumn="0" w:oddVBand="0" w:evenVBand="0" w:oddHBand="0" w:evenHBand="1" w:firstRowFirstColumn="0" w:firstRowLastColumn="0" w:lastRowFirstColumn="0" w:lastRowLastColumn="0"/>
              <w:rPr>
                <w:color w:val="4D4D4F"/>
              </w:rPr>
            </w:pPr>
            <w:r w:rsidRPr="00443220">
              <w:t>No errata present for this measure</w:t>
            </w:r>
          </w:p>
        </w:tc>
      </w:tr>
      <w:tr w:rsidR="00927C3A" w14:paraId="6E92B1F3"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6BBD95B2" w14:textId="35D61B57" w:rsidR="00927C3A" w:rsidRPr="004E3C48" w:rsidRDefault="00927C3A" w:rsidP="00927C3A">
            <w:r w:rsidRPr="00443220">
              <w:t>Conveyor Ovens</w:t>
            </w:r>
          </w:p>
        </w:tc>
        <w:tc>
          <w:tcPr>
            <w:tcW w:w="2092" w:type="dxa"/>
            <w:tcBorders>
              <w:top w:val="none" w:sz="0" w:space="0" w:color="auto"/>
              <w:left w:val="none" w:sz="0" w:space="0" w:color="auto"/>
              <w:bottom w:val="none" w:sz="0" w:space="0" w:color="auto"/>
              <w:right w:val="none" w:sz="0" w:space="0" w:color="auto"/>
            </w:tcBorders>
          </w:tcPr>
          <w:p w14:paraId="6324AE52" w14:textId="471F12A3" w:rsidR="00927C3A" w:rsidRPr="004E3C48" w:rsidRDefault="00927C3A" w:rsidP="00927C3A">
            <w:pPr>
              <w:jc w:val="center"/>
              <w:cnfStyle w:val="000000100000" w:firstRow="0" w:lastRow="0" w:firstColumn="0" w:lastColumn="0" w:oddVBand="0" w:evenVBand="0" w:oddHBand="1" w:evenHBand="0" w:firstRowFirstColumn="0" w:firstRowLastColumn="0" w:lastRowFirstColumn="0" w:lastRowLastColumn="0"/>
            </w:pPr>
            <w:r w:rsidRPr="00443220">
              <w:t>4.2.4</w:t>
            </w:r>
          </w:p>
        </w:tc>
        <w:tc>
          <w:tcPr>
            <w:tcW w:w="3699" w:type="dxa"/>
            <w:tcBorders>
              <w:top w:val="none" w:sz="0" w:space="0" w:color="auto"/>
              <w:left w:val="none" w:sz="0" w:space="0" w:color="auto"/>
              <w:bottom w:val="none" w:sz="0" w:space="0" w:color="auto"/>
              <w:right w:val="none" w:sz="0" w:space="0" w:color="auto"/>
            </w:tcBorders>
          </w:tcPr>
          <w:p w14:paraId="114065EB" w14:textId="3770C523" w:rsidR="00927C3A" w:rsidRPr="004E3C48" w:rsidRDefault="00927C3A" w:rsidP="00927C3A">
            <w:pPr>
              <w:jc w:val="center"/>
              <w:cnfStyle w:val="000000100000" w:firstRow="0" w:lastRow="0" w:firstColumn="0" w:lastColumn="0" w:oddVBand="0" w:evenVBand="0" w:oddHBand="1" w:evenHBand="0" w:firstRowFirstColumn="0" w:firstRowLastColumn="0" w:lastRowFirstColumn="0" w:lastRowLastColumn="0"/>
            </w:pPr>
            <w:r w:rsidRPr="00443220">
              <w:t>No errata present for this measure</w:t>
            </w:r>
          </w:p>
        </w:tc>
      </w:tr>
      <w:tr w:rsidR="00927C3A" w14:paraId="65428537" w14:textId="77777777" w:rsidTr="00927C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75713B90" w14:textId="0032F5AF" w:rsidR="00927C3A" w:rsidRPr="00A713CC" w:rsidRDefault="00927C3A" w:rsidP="00927C3A">
            <w:r w:rsidRPr="000474CC">
              <w:t>LED Bulbs and Fixtures</w:t>
            </w:r>
          </w:p>
        </w:tc>
        <w:tc>
          <w:tcPr>
            <w:tcW w:w="2092" w:type="dxa"/>
            <w:tcBorders>
              <w:top w:val="none" w:sz="0" w:space="0" w:color="auto"/>
              <w:left w:val="none" w:sz="0" w:space="0" w:color="auto"/>
              <w:bottom w:val="none" w:sz="0" w:space="0" w:color="auto"/>
              <w:right w:val="none" w:sz="0" w:space="0" w:color="auto"/>
            </w:tcBorders>
          </w:tcPr>
          <w:p w14:paraId="1406E998" w14:textId="3E07E210" w:rsidR="00927C3A" w:rsidRPr="00A713CC" w:rsidRDefault="00927C3A" w:rsidP="00927C3A">
            <w:pPr>
              <w:jc w:val="center"/>
              <w:cnfStyle w:val="000000010000" w:firstRow="0" w:lastRow="0" w:firstColumn="0" w:lastColumn="0" w:oddVBand="0" w:evenVBand="0" w:oddHBand="0" w:evenHBand="1" w:firstRowFirstColumn="0" w:firstRowLastColumn="0" w:lastRowFirstColumn="0" w:lastRowLastColumn="0"/>
            </w:pPr>
            <w:r w:rsidRPr="000474CC">
              <w:t>4.5.4</w:t>
            </w:r>
          </w:p>
        </w:tc>
        <w:tc>
          <w:tcPr>
            <w:tcW w:w="3699" w:type="dxa"/>
            <w:tcBorders>
              <w:top w:val="none" w:sz="0" w:space="0" w:color="auto"/>
              <w:left w:val="none" w:sz="0" w:space="0" w:color="auto"/>
              <w:bottom w:val="none" w:sz="0" w:space="0" w:color="auto"/>
              <w:right w:val="none" w:sz="0" w:space="0" w:color="auto"/>
            </w:tcBorders>
          </w:tcPr>
          <w:p w14:paraId="683C1D72" w14:textId="4F784F16" w:rsidR="00927C3A" w:rsidRPr="00A713CC" w:rsidRDefault="00927C3A" w:rsidP="00927C3A">
            <w:pPr>
              <w:jc w:val="center"/>
              <w:cnfStyle w:val="000000010000" w:firstRow="0" w:lastRow="0" w:firstColumn="0" w:lastColumn="0" w:oddVBand="0" w:evenVBand="0" w:oddHBand="0" w:evenHBand="1" w:firstRowFirstColumn="0" w:firstRowLastColumn="0" w:lastRowFirstColumn="0" w:lastRowLastColumn="0"/>
            </w:pPr>
            <w:r w:rsidRPr="000474CC">
              <w:t>No errata present for this measure</w:t>
            </w:r>
          </w:p>
        </w:tc>
      </w:tr>
      <w:tr w:rsidR="00927C3A" w14:paraId="454C2DAD" w14:textId="77777777" w:rsidTr="00927C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05" w:type="dxa"/>
            <w:tcBorders>
              <w:top w:val="none" w:sz="0" w:space="0" w:color="auto"/>
              <w:left w:val="none" w:sz="0" w:space="0" w:color="auto"/>
              <w:bottom w:val="none" w:sz="0" w:space="0" w:color="auto"/>
              <w:right w:val="none" w:sz="0" w:space="0" w:color="auto"/>
            </w:tcBorders>
          </w:tcPr>
          <w:p w14:paraId="43FD70E9" w14:textId="557EEDF6" w:rsidR="00927C3A" w:rsidRPr="00A713CC" w:rsidRDefault="00927C3A" w:rsidP="00927C3A">
            <w:r w:rsidRPr="000474CC">
              <w:t>Commercial LED Exit Signs</w:t>
            </w:r>
          </w:p>
        </w:tc>
        <w:tc>
          <w:tcPr>
            <w:tcW w:w="2092" w:type="dxa"/>
            <w:tcBorders>
              <w:top w:val="none" w:sz="0" w:space="0" w:color="auto"/>
              <w:left w:val="none" w:sz="0" w:space="0" w:color="auto"/>
              <w:bottom w:val="none" w:sz="0" w:space="0" w:color="auto"/>
              <w:right w:val="none" w:sz="0" w:space="0" w:color="auto"/>
            </w:tcBorders>
          </w:tcPr>
          <w:p w14:paraId="6CE183FE" w14:textId="017BD096" w:rsidR="00927C3A" w:rsidRPr="00A713CC" w:rsidRDefault="00927C3A" w:rsidP="00927C3A">
            <w:pPr>
              <w:jc w:val="center"/>
              <w:cnfStyle w:val="000000100000" w:firstRow="0" w:lastRow="0" w:firstColumn="0" w:lastColumn="0" w:oddVBand="0" w:evenVBand="0" w:oddHBand="1" w:evenHBand="0" w:firstRowFirstColumn="0" w:firstRowLastColumn="0" w:lastRowFirstColumn="0" w:lastRowLastColumn="0"/>
            </w:pPr>
            <w:r w:rsidRPr="000474CC">
              <w:t>4.5.5</w:t>
            </w:r>
          </w:p>
        </w:tc>
        <w:tc>
          <w:tcPr>
            <w:tcW w:w="3699" w:type="dxa"/>
            <w:tcBorders>
              <w:top w:val="none" w:sz="0" w:space="0" w:color="auto"/>
              <w:left w:val="none" w:sz="0" w:space="0" w:color="auto"/>
              <w:bottom w:val="none" w:sz="0" w:space="0" w:color="auto"/>
              <w:right w:val="none" w:sz="0" w:space="0" w:color="auto"/>
            </w:tcBorders>
          </w:tcPr>
          <w:p w14:paraId="22918FF3" w14:textId="05FDB248" w:rsidR="00927C3A" w:rsidRPr="00A713CC" w:rsidRDefault="00927C3A" w:rsidP="00927C3A">
            <w:pPr>
              <w:jc w:val="center"/>
              <w:cnfStyle w:val="000000100000" w:firstRow="0" w:lastRow="0" w:firstColumn="0" w:lastColumn="0" w:oddVBand="0" w:evenVBand="0" w:oddHBand="1" w:evenHBand="0" w:firstRowFirstColumn="0" w:firstRowLastColumn="0" w:lastRowFirstColumn="0" w:lastRowLastColumn="0"/>
            </w:pPr>
            <w:r w:rsidRPr="000474CC">
              <w:t>No errata present for this measure</w:t>
            </w:r>
          </w:p>
        </w:tc>
      </w:tr>
    </w:tbl>
    <w:p w14:paraId="08977B8B" w14:textId="77777777" w:rsidR="000A0A23" w:rsidRDefault="000A0A23" w:rsidP="009459C8">
      <w:pPr>
        <w:pStyle w:val="Heading4"/>
        <w:keepNext/>
        <w:keepLines/>
      </w:pPr>
      <w:r>
        <w:t>Measure Lives and Cumulative Persisting Annual Savings</w:t>
      </w:r>
    </w:p>
    <w:p w14:paraId="332E1FD0" w14:textId="5A018FAB" w:rsidR="00917A8B" w:rsidRDefault="00917A8B" w:rsidP="00917A8B">
      <w:r>
        <w:t xml:space="preserve">For prescriptive measures, the evaluation team applied measure lives </w:t>
      </w:r>
      <w:r w:rsidR="00A16B63">
        <w:t>defined in</w:t>
      </w:r>
      <w:r>
        <w:t xml:space="preserve"> IL-TRM V12.0.</w:t>
      </w:r>
    </w:p>
    <w:p w14:paraId="366B31A7" w14:textId="77777777" w:rsidR="000A0A23" w:rsidRDefault="000A0A23" w:rsidP="00FB14E9">
      <w:pPr>
        <w:pStyle w:val="AppendixGamma"/>
      </w:pPr>
      <w:bookmarkStart w:id="471" w:name="_Toc191992477"/>
      <w:r>
        <w:lastRenderedPageBreak/>
        <w:t>Net Impact Methodology</w:t>
      </w:r>
      <w:bookmarkEnd w:id="471"/>
    </w:p>
    <w:p w14:paraId="7311F7C0" w14:textId="71A5635D" w:rsidR="00917A8B" w:rsidRDefault="00917A8B" w:rsidP="00FB14E9">
      <w:pPr>
        <w:keepNext/>
        <w:keepLines/>
      </w:pPr>
      <w:r>
        <w:t>The evaluation team applied SAG-approved 2024 NTGRs to the verified gross savings to calculate verified net savings.</w:t>
      </w:r>
    </w:p>
    <w:p w14:paraId="7262EA54" w14:textId="1B5BF38B" w:rsidR="00917A8B" w:rsidRDefault="00917A8B" w:rsidP="00881B1B">
      <w:pPr>
        <w:pStyle w:val="Caption"/>
      </w:pPr>
      <w:bookmarkStart w:id="472" w:name="_Toc191992625"/>
      <w:bookmarkStart w:id="473" w:name="_Toc192767041"/>
      <w:r>
        <w:t xml:space="preserve">Table </w:t>
      </w:r>
      <w:r w:rsidR="009B4C9A">
        <w:fldChar w:fldCharType="begin"/>
      </w:r>
      <w:r w:rsidR="009B4C9A">
        <w:instrText xml:space="preserve"> SEQ Table \* ARABIC </w:instrText>
      </w:r>
      <w:r w:rsidR="009B4C9A">
        <w:fldChar w:fldCharType="separate"/>
      </w:r>
      <w:r w:rsidR="00AA10F4">
        <w:rPr>
          <w:noProof/>
        </w:rPr>
        <w:t>107</w:t>
      </w:r>
      <w:r w:rsidR="009B4C9A">
        <w:rPr>
          <w:noProof/>
        </w:rPr>
        <w:fldChar w:fldCharType="end"/>
      </w:r>
      <w:r>
        <w:t>. 2024 SAG-Approved Midstream Initiative NTGRs</w:t>
      </w:r>
      <w:bookmarkEnd w:id="472"/>
      <w:bookmarkEnd w:id="473"/>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2187"/>
        <w:gridCol w:w="2784"/>
        <w:gridCol w:w="1305"/>
        <w:gridCol w:w="1005"/>
      </w:tblGrid>
      <w:tr w:rsidR="00917A8B" w14:paraId="67863A11"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135A72B8" w14:textId="77777777" w:rsidR="00917A8B" w:rsidRDefault="00917A8B" w:rsidP="008C6FBE">
            <w:pPr>
              <w:pStyle w:val="TableHeadingLeft"/>
            </w:pPr>
            <w:r>
              <w:t>Channel</w:t>
            </w:r>
          </w:p>
        </w:tc>
        <w:tc>
          <w:tcPr>
            <w:tcW w:w="0" w:type="auto"/>
            <w:tcBorders>
              <w:bottom w:val="none" w:sz="0" w:space="0" w:color="auto"/>
            </w:tcBorders>
          </w:tcPr>
          <w:p w14:paraId="0FEFBAF6" w14:textId="77777777" w:rsidR="00917A8B" w:rsidRDefault="00917A8B" w:rsidP="008C6FBE">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0" w:type="auto"/>
            <w:tcBorders>
              <w:bottom w:val="none" w:sz="0" w:space="0" w:color="auto"/>
            </w:tcBorders>
          </w:tcPr>
          <w:p w14:paraId="7AE43918" w14:textId="77777777" w:rsidR="00917A8B" w:rsidRDefault="00917A8B" w:rsidP="008C6FBE">
            <w:pPr>
              <w:pStyle w:val="TableHeadingCentered"/>
              <w:cnfStyle w:val="100000000000" w:firstRow="1" w:lastRow="0" w:firstColumn="0" w:lastColumn="0" w:oddVBand="0" w:evenVBand="0" w:oddHBand="0" w:evenHBand="0" w:firstRowFirstColumn="0" w:firstRowLastColumn="0" w:lastRowFirstColumn="0" w:lastRowLastColumn="0"/>
            </w:pPr>
            <w:r>
              <w:t>Electric NTGR</w:t>
            </w:r>
          </w:p>
        </w:tc>
        <w:tc>
          <w:tcPr>
            <w:tcW w:w="0" w:type="auto"/>
            <w:tcBorders>
              <w:bottom w:val="none" w:sz="0" w:space="0" w:color="auto"/>
            </w:tcBorders>
          </w:tcPr>
          <w:p w14:paraId="206F43BC" w14:textId="77777777" w:rsidR="00917A8B" w:rsidRDefault="00917A8B" w:rsidP="008C6FBE">
            <w:pPr>
              <w:pStyle w:val="TableHeadingCentered"/>
              <w:cnfStyle w:val="100000000000" w:firstRow="1" w:lastRow="0" w:firstColumn="0" w:lastColumn="0" w:oddVBand="0" w:evenVBand="0" w:oddHBand="0" w:evenHBand="0" w:firstRowFirstColumn="0" w:firstRowLastColumn="0" w:lastRowFirstColumn="0" w:lastRowLastColumn="0"/>
            </w:pPr>
            <w:r>
              <w:t>Gas NTGR</w:t>
            </w:r>
          </w:p>
        </w:tc>
      </w:tr>
      <w:tr w:rsidR="006D2461" w14:paraId="36FD9232"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36E95EA" w14:textId="11A78C34" w:rsidR="006D2461" w:rsidRDefault="006D2461" w:rsidP="006D2461">
            <w:r>
              <w:t>Midstream HVAC</w:t>
            </w:r>
          </w:p>
        </w:tc>
        <w:tc>
          <w:tcPr>
            <w:tcW w:w="0" w:type="auto"/>
            <w:tcBorders>
              <w:top w:val="none" w:sz="0" w:space="0" w:color="auto"/>
              <w:left w:val="none" w:sz="0" w:space="0" w:color="auto"/>
              <w:bottom w:val="none" w:sz="0" w:space="0" w:color="auto"/>
              <w:right w:val="none" w:sz="0" w:space="0" w:color="auto"/>
            </w:tcBorders>
          </w:tcPr>
          <w:p w14:paraId="6479EF86" w14:textId="12F52802" w:rsidR="006D2461" w:rsidRDefault="006D2461" w:rsidP="0056690A">
            <w:pPr>
              <w:cnfStyle w:val="000000100000" w:firstRow="0" w:lastRow="0" w:firstColumn="0" w:lastColumn="0" w:oddVBand="0" w:evenVBand="0" w:oddHBand="1" w:evenHBand="0" w:firstRowFirstColumn="0" w:firstRowLastColumn="0" w:lastRowFirstColumn="0" w:lastRowLastColumn="0"/>
            </w:pPr>
            <w:r w:rsidRPr="001B1502">
              <w:rPr>
                <w:color w:val="4D4D4F"/>
              </w:rPr>
              <w:t>Advanced Thermostat</w:t>
            </w:r>
            <w:r w:rsidR="00BD57BA">
              <w:rPr>
                <w:color w:val="4D4D4F"/>
              </w:rPr>
              <w:t xml:space="preserve"> - Heating</w:t>
            </w:r>
          </w:p>
        </w:tc>
        <w:tc>
          <w:tcPr>
            <w:tcW w:w="0" w:type="auto"/>
            <w:tcBorders>
              <w:top w:val="none" w:sz="0" w:space="0" w:color="auto"/>
              <w:left w:val="none" w:sz="0" w:space="0" w:color="auto"/>
              <w:bottom w:val="none" w:sz="0" w:space="0" w:color="auto"/>
              <w:right w:val="none" w:sz="0" w:space="0" w:color="auto"/>
            </w:tcBorders>
          </w:tcPr>
          <w:p w14:paraId="34E6C664" w14:textId="2103C1A7" w:rsidR="006D2461" w:rsidRDefault="006D2461" w:rsidP="00A16B63">
            <w:pPr>
              <w:jc w:val="center"/>
              <w:cnfStyle w:val="000000100000" w:firstRow="0" w:lastRow="0" w:firstColumn="0" w:lastColumn="0" w:oddVBand="0" w:evenVBand="0" w:oddHBand="1" w:evenHBand="0" w:firstRowFirstColumn="0" w:firstRowLastColumn="0" w:lastRowFirstColumn="0" w:lastRowLastColumn="0"/>
            </w:pPr>
            <w:r w:rsidRPr="00F06A5A">
              <w:t>0.800</w:t>
            </w:r>
          </w:p>
        </w:tc>
        <w:tc>
          <w:tcPr>
            <w:tcW w:w="0" w:type="auto"/>
            <w:tcBorders>
              <w:top w:val="none" w:sz="0" w:space="0" w:color="auto"/>
              <w:left w:val="none" w:sz="0" w:space="0" w:color="auto"/>
              <w:bottom w:val="none" w:sz="0" w:space="0" w:color="auto"/>
              <w:right w:val="none" w:sz="0" w:space="0" w:color="auto"/>
            </w:tcBorders>
          </w:tcPr>
          <w:p w14:paraId="1455B496" w14:textId="193F2167" w:rsidR="006D2461" w:rsidRDefault="006D2461" w:rsidP="00A16B63">
            <w:pPr>
              <w:jc w:val="center"/>
              <w:cnfStyle w:val="000000100000" w:firstRow="0" w:lastRow="0" w:firstColumn="0" w:lastColumn="0" w:oddVBand="0" w:evenVBand="0" w:oddHBand="1" w:evenHBand="0" w:firstRowFirstColumn="0" w:firstRowLastColumn="0" w:lastRowFirstColumn="0" w:lastRowLastColumn="0"/>
            </w:pPr>
            <w:r w:rsidRPr="009E08FD">
              <w:t>0.800</w:t>
            </w:r>
          </w:p>
        </w:tc>
      </w:tr>
      <w:tr w:rsidR="00BD57BA" w14:paraId="522CDEF2"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14:paraId="283DE40B" w14:textId="539D8E49" w:rsidR="00BD57BA" w:rsidRDefault="00BD57BA" w:rsidP="00BD57BA">
            <w:r>
              <w:t>Midstream HVAC</w:t>
            </w:r>
          </w:p>
        </w:tc>
        <w:tc>
          <w:tcPr>
            <w:tcW w:w="0" w:type="auto"/>
            <w:tcBorders>
              <w:top w:val="none" w:sz="0" w:space="0" w:color="auto"/>
              <w:left w:val="none" w:sz="0" w:space="0" w:color="auto"/>
              <w:bottom w:val="none" w:sz="0" w:space="0" w:color="auto"/>
              <w:right w:val="none" w:sz="0" w:space="0" w:color="auto"/>
            </w:tcBorders>
          </w:tcPr>
          <w:p w14:paraId="69624812" w14:textId="7562E107" w:rsidR="00BD57BA" w:rsidRPr="001B1502" w:rsidRDefault="00BD57BA" w:rsidP="0056690A">
            <w:pPr>
              <w:cnfStyle w:val="000000010000" w:firstRow="0" w:lastRow="0" w:firstColumn="0" w:lastColumn="0" w:oddVBand="0" w:evenVBand="0" w:oddHBand="0" w:evenHBand="1" w:firstRowFirstColumn="0" w:firstRowLastColumn="0" w:lastRowFirstColumn="0" w:lastRowLastColumn="0"/>
              <w:rPr>
                <w:color w:val="4D4D4F"/>
              </w:rPr>
            </w:pPr>
            <w:r w:rsidRPr="001B1502">
              <w:rPr>
                <w:color w:val="4D4D4F"/>
              </w:rPr>
              <w:t>Advanced Thermostat</w:t>
            </w:r>
            <w:r>
              <w:rPr>
                <w:color w:val="4D4D4F"/>
              </w:rPr>
              <w:t xml:space="preserve"> - Cooling</w:t>
            </w:r>
          </w:p>
        </w:tc>
        <w:tc>
          <w:tcPr>
            <w:tcW w:w="0" w:type="auto"/>
            <w:tcBorders>
              <w:top w:val="none" w:sz="0" w:space="0" w:color="auto"/>
              <w:left w:val="none" w:sz="0" w:space="0" w:color="auto"/>
              <w:bottom w:val="none" w:sz="0" w:space="0" w:color="auto"/>
              <w:right w:val="none" w:sz="0" w:space="0" w:color="auto"/>
            </w:tcBorders>
          </w:tcPr>
          <w:p w14:paraId="7A73BEB7" w14:textId="58678499" w:rsidR="00BD57BA" w:rsidRPr="00F06A5A" w:rsidRDefault="00BD57BA" w:rsidP="00A16B63">
            <w:pPr>
              <w:jc w:val="center"/>
              <w:cnfStyle w:val="000000010000" w:firstRow="0" w:lastRow="0" w:firstColumn="0" w:lastColumn="0" w:oddVBand="0" w:evenVBand="0" w:oddHBand="0" w:evenHBand="1" w:firstRowFirstColumn="0" w:firstRowLastColumn="0" w:lastRowFirstColumn="0" w:lastRowLastColumn="0"/>
            </w:pPr>
            <w:r w:rsidRPr="00F06A5A">
              <w:t>0.</w:t>
            </w:r>
            <w:r>
              <w:t>6</w:t>
            </w:r>
            <w:r w:rsidRPr="00F06A5A">
              <w:t>00</w:t>
            </w:r>
          </w:p>
        </w:tc>
        <w:tc>
          <w:tcPr>
            <w:tcW w:w="0" w:type="auto"/>
            <w:tcBorders>
              <w:top w:val="none" w:sz="0" w:space="0" w:color="auto"/>
              <w:left w:val="none" w:sz="0" w:space="0" w:color="auto"/>
              <w:bottom w:val="none" w:sz="0" w:space="0" w:color="auto"/>
              <w:right w:val="none" w:sz="0" w:space="0" w:color="auto"/>
            </w:tcBorders>
          </w:tcPr>
          <w:p w14:paraId="45686D10" w14:textId="29BA813A" w:rsidR="00BD57BA" w:rsidRPr="009E08FD" w:rsidRDefault="00BD57BA" w:rsidP="00A16B63">
            <w:pPr>
              <w:jc w:val="center"/>
              <w:cnfStyle w:val="000000010000" w:firstRow="0" w:lastRow="0" w:firstColumn="0" w:lastColumn="0" w:oddVBand="0" w:evenVBand="0" w:oddHBand="0" w:evenHBand="1" w:firstRowFirstColumn="0" w:firstRowLastColumn="0" w:lastRowFirstColumn="0" w:lastRowLastColumn="0"/>
            </w:pPr>
            <w:r>
              <w:t>N/A</w:t>
            </w:r>
          </w:p>
        </w:tc>
      </w:tr>
      <w:tr w:rsidR="00BD57BA" w14:paraId="05110079"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8DE4861" w14:textId="291BC7B1" w:rsidR="00BD57BA" w:rsidRDefault="00BD57BA" w:rsidP="00BD57BA">
            <w:r w:rsidRPr="009F48F2">
              <w:t>Midstream HVAC</w:t>
            </w:r>
          </w:p>
        </w:tc>
        <w:tc>
          <w:tcPr>
            <w:tcW w:w="0" w:type="auto"/>
            <w:tcBorders>
              <w:top w:val="none" w:sz="0" w:space="0" w:color="auto"/>
              <w:left w:val="none" w:sz="0" w:space="0" w:color="auto"/>
              <w:bottom w:val="none" w:sz="0" w:space="0" w:color="auto"/>
              <w:right w:val="none" w:sz="0" w:space="0" w:color="auto"/>
            </w:tcBorders>
          </w:tcPr>
          <w:p w14:paraId="428B7E44" w14:textId="4E84CD0D" w:rsidR="00BD57BA" w:rsidRDefault="00BD57BA" w:rsidP="0056690A">
            <w:pPr>
              <w:cnfStyle w:val="000000100000" w:firstRow="0" w:lastRow="0" w:firstColumn="0" w:lastColumn="0" w:oddVBand="0" w:evenVBand="0" w:oddHBand="1" w:evenHBand="0" w:firstRowFirstColumn="0" w:firstRowLastColumn="0" w:lastRowFirstColumn="0" w:lastRowLastColumn="0"/>
            </w:pPr>
            <w:r w:rsidRPr="001B1502">
              <w:rPr>
                <w:color w:val="4D4D4F"/>
              </w:rPr>
              <w:t>Unitary DMSHP</w:t>
            </w:r>
          </w:p>
        </w:tc>
        <w:tc>
          <w:tcPr>
            <w:tcW w:w="0" w:type="auto"/>
            <w:tcBorders>
              <w:top w:val="none" w:sz="0" w:space="0" w:color="auto"/>
              <w:left w:val="none" w:sz="0" w:space="0" w:color="auto"/>
              <w:bottom w:val="none" w:sz="0" w:space="0" w:color="auto"/>
              <w:right w:val="none" w:sz="0" w:space="0" w:color="auto"/>
            </w:tcBorders>
          </w:tcPr>
          <w:p w14:paraId="7C77C60C" w14:textId="446A7A3D"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rsidRPr="00F06A5A">
              <w:t>0.600</w:t>
            </w:r>
          </w:p>
        </w:tc>
        <w:tc>
          <w:tcPr>
            <w:tcW w:w="0" w:type="auto"/>
            <w:tcBorders>
              <w:top w:val="none" w:sz="0" w:space="0" w:color="auto"/>
              <w:left w:val="none" w:sz="0" w:space="0" w:color="auto"/>
              <w:bottom w:val="none" w:sz="0" w:space="0" w:color="auto"/>
              <w:right w:val="none" w:sz="0" w:space="0" w:color="auto"/>
            </w:tcBorders>
          </w:tcPr>
          <w:p w14:paraId="19F5C847" w14:textId="2B1A37B4"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rsidRPr="00E40829">
              <w:t>N/A</w:t>
            </w:r>
          </w:p>
        </w:tc>
      </w:tr>
      <w:tr w:rsidR="00BD57BA" w14:paraId="041F8C48"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784BC9AA" w14:textId="29C8AC0A" w:rsidR="00BD57BA" w:rsidRDefault="00BD57BA" w:rsidP="00BD57BA">
            <w:r w:rsidRPr="009F48F2">
              <w:t>Midstream HVAC</w:t>
            </w:r>
          </w:p>
        </w:tc>
        <w:tc>
          <w:tcPr>
            <w:tcW w:w="0" w:type="auto"/>
            <w:tcBorders>
              <w:top w:val="none" w:sz="0" w:space="0" w:color="auto"/>
              <w:left w:val="none" w:sz="0" w:space="0" w:color="auto"/>
              <w:bottom w:val="none" w:sz="0" w:space="0" w:color="auto"/>
              <w:right w:val="none" w:sz="0" w:space="0" w:color="auto"/>
            </w:tcBorders>
          </w:tcPr>
          <w:p w14:paraId="0E84894E" w14:textId="0995C252" w:rsidR="00BD57BA" w:rsidRDefault="00BD57BA" w:rsidP="0056690A">
            <w:pPr>
              <w:cnfStyle w:val="000000010000" w:firstRow="0" w:lastRow="0" w:firstColumn="0" w:lastColumn="0" w:oddVBand="0" w:evenVBand="0" w:oddHBand="0" w:evenHBand="1" w:firstRowFirstColumn="0" w:firstRowLastColumn="0" w:lastRowFirstColumn="0" w:lastRowLastColumn="0"/>
            </w:pPr>
            <w:r w:rsidRPr="001B1502">
              <w:rPr>
                <w:color w:val="4D4D4F"/>
              </w:rPr>
              <w:t>Unitary AC</w:t>
            </w:r>
          </w:p>
        </w:tc>
        <w:tc>
          <w:tcPr>
            <w:tcW w:w="0" w:type="auto"/>
            <w:tcBorders>
              <w:top w:val="none" w:sz="0" w:space="0" w:color="auto"/>
              <w:left w:val="none" w:sz="0" w:space="0" w:color="auto"/>
              <w:bottom w:val="none" w:sz="0" w:space="0" w:color="auto"/>
              <w:right w:val="none" w:sz="0" w:space="0" w:color="auto"/>
            </w:tcBorders>
          </w:tcPr>
          <w:p w14:paraId="0D942345" w14:textId="1069B62A" w:rsidR="00BD57BA" w:rsidRDefault="00BD57BA" w:rsidP="00A16B63">
            <w:pPr>
              <w:jc w:val="center"/>
              <w:cnfStyle w:val="000000010000" w:firstRow="0" w:lastRow="0" w:firstColumn="0" w:lastColumn="0" w:oddVBand="0" w:evenVBand="0" w:oddHBand="0" w:evenHBand="1" w:firstRowFirstColumn="0" w:firstRowLastColumn="0" w:lastRowFirstColumn="0" w:lastRowLastColumn="0"/>
            </w:pPr>
            <w:r w:rsidRPr="00F06A5A">
              <w:t>0.600</w:t>
            </w:r>
          </w:p>
        </w:tc>
        <w:tc>
          <w:tcPr>
            <w:tcW w:w="0" w:type="auto"/>
            <w:tcBorders>
              <w:top w:val="none" w:sz="0" w:space="0" w:color="auto"/>
              <w:left w:val="none" w:sz="0" w:space="0" w:color="auto"/>
              <w:bottom w:val="none" w:sz="0" w:space="0" w:color="auto"/>
              <w:right w:val="none" w:sz="0" w:space="0" w:color="auto"/>
            </w:tcBorders>
          </w:tcPr>
          <w:p w14:paraId="0719CECF" w14:textId="199D06D0" w:rsidR="00BD57BA" w:rsidRDefault="00BD57BA" w:rsidP="00A16B63">
            <w:pPr>
              <w:jc w:val="center"/>
              <w:cnfStyle w:val="000000010000" w:firstRow="0" w:lastRow="0" w:firstColumn="0" w:lastColumn="0" w:oddVBand="0" w:evenVBand="0" w:oddHBand="0" w:evenHBand="1" w:firstRowFirstColumn="0" w:firstRowLastColumn="0" w:lastRowFirstColumn="0" w:lastRowLastColumn="0"/>
            </w:pPr>
            <w:r w:rsidRPr="00E40829">
              <w:t>N/A</w:t>
            </w:r>
          </w:p>
        </w:tc>
      </w:tr>
      <w:tr w:rsidR="00BD57BA" w14:paraId="3527BA29"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95558A8" w14:textId="127CD433" w:rsidR="00BD57BA" w:rsidRDefault="00BD57BA" w:rsidP="00BD57BA">
            <w:r w:rsidRPr="009F48F2">
              <w:t>Midstream HVAC</w:t>
            </w:r>
          </w:p>
        </w:tc>
        <w:tc>
          <w:tcPr>
            <w:tcW w:w="0" w:type="auto"/>
            <w:tcBorders>
              <w:top w:val="none" w:sz="0" w:space="0" w:color="auto"/>
              <w:left w:val="none" w:sz="0" w:space="0" w:color="auto"/>
              <w:bottom w:val="none" w:sz="0" w:space="0" w:color="auto"/>
              <w:right w:val="none" w:sz="0" w:space="0" w:color="auto"/>
            </w:tcBorders>
          </w:tcPr>
          <w:p w14:paraId="6A370F34" w14:textId="1277E8CF" w:rsidR="00BD57BA" w:rsidRDefault="00BD57BA" w:rsidP="0056690A">
            <w:pPr>
              <w:cnfStyle w:val="000000100000" w:firstRow="0" w:lastRow="0" w:firstColumn="0" w:lastColumn="0" w:oddVBand="0" w:evenVBand="0" w:oddHBand="1" w:evenHBand="0" w:firstRowFirstColumn="0" w:firstRowLastColumn="0" w:lastRowFirstColumn="0" w:lastRowLastColumn="0"/>
            </w:pPr>
            <w:r w:rsidRPr="001B1502">
              <w:rPr>
                <w:color w:val="4D4D4F"/>
              </w:rPr>
              <w:t>Unitary ASHP</w:t>
            </w:r>
          </w:p>
        </w:tc>
        <w:tc>
          <w:tcPr>
            <w:tcW w:w="0" w:type="auto"/>
            <w:tcBorders>
              <w:top w:val="none" w:sz="0" w:space="0" w:color="auto"/>
              <w:left w:val="none" w:sz="0" w:space="0" w:color="auto"/>
              <w:bottom w:val="none" w:sz="0" w:space="0" w:color="auto"/>
              <w:right w:val="none" w:sz="0" w:space="0" w:color="auto"/>
            </w:tcBorders>
          </w:tcPr>
          <w:p w14:paraId="5D4F267D" w14:textId="7D96ADA5"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rsidRPr="00F06A5A">
              <w:t>0.600</w:t>
            </w:r>
          </w:p>
        </w:tc>
        <w:tc>
          <w:tcPr>
            <w:tcW w:w="0" w:type="auto"/>
            <w:tcBorders>
              <w:top w:val="none" w:sz="0" w:space="0" w:color="auto"/>
              <w:left w:val="none" w:sz="0" w:space="0" w:color="auto"/>
              <w:bottom w:val="none" w:sz="0" w:space="0" w:color="auto"/>
              <w:right w:val="none" w:sz="0" w:space="0" w:color="auto"/>
            </w:tcBorders>
          </w:tcPr>
          <w:p w14:paraId="40847921" w14:textId="009F2C82"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rsidRPr="00E40829">
              <w:t>N/A</w:t>
            </w:r>
          </w:p>
        </w:tc>
      </w:tr>
      <w:tr w:rsidR="00BD57BA" w14:paraId="7D4FE698"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501D8232" w14:textId="59E576D3" w:rsidR="00BD57BA" w:rsidRDefault="00BD57BA" w:rsidP="00BD57BA">
            <w:r w:rsidRPr="009F48F2">
              <w:t>Midstream HVAC</w:t>
            </w:r>
          </w:p>
        </w:tc>
        <w:tc>
          <w:tcPr>
            <w:tcW w:w="0" w:type="auto"/>
            <w:tcBorders>
              <w:top w:val="none" w:sz="0" w:space="0" w:color="auto"/>
              <w:left w:val="none" w:sz="0" w:space="0" w:color="auto"/>
              <w:bottom w:val="none" w:sz="0" w:space="0" w:color="auto"/>
              <w:right w:val="none" w:sz="0" w:space="0" w:color="auto"/>
            </w:tcBorders>
          </w:tcPr>
          <w:p w14:paraId="1718A710" w14:textId="6642D263" w:rsidR="00BD57BA" w:rsidRDefault="00BD57BA" w:rsidP="0056690A">
            <w:pPr>
              <w:cnfStyle w:val="000000010000" w:firstRow="0" w:lastRow="0" w:firstColumn="0" w:lastColumn="0" w:oddVBand="0" w:evenVBand="0" w:oddHBand="0" w:evenHBand="1" w:firstRowFirstColumn="0" w:firstRowLastColumn="0" w:lastRowFirstColumn="0" w:lastRowLastColumn="0"/>
            </w:pPr>
            <w:r w:rsidRPr="001B1502">
              <w:rPr>
                <w:color w:val="4D4D4F"/>
              </w:rPr>
              <w:t>Notched V-Belt</w:t>
            </w:r>
          </w:p>
        </w:tc>
        <w:tc>
          <w:tcPr>
            <w:tcW w:w="0" w:type="auto"/>
            <w:tcBorders>
              <w:top w:val="none" w:sz="0" w:space="0" w:color="auto"/>
              <w:left w:val="none" w:sz="0" w:space="0" w:color="auto"/>
              <w:bottom w:val="none" w:sz="0" w:space="0" w:color="auto"/>
              <w:right w:val="none" w:sz="0" w:space="0" w:color="auto"/>
            </w:tcBorders>
          </w:tcPr>
          <w:p w14:paraId="27CDBDB2" w14:textId="7A5347AD" w:rsidR="00BD57BA" w:rsidRDefault="00BD57BA" w:rsidP="00A16B63">
            <w:pPr>
              <w:jc w:val="center"/>
              <w:cnfStyle w:val="000000010000" w:firstRow="0" w:lastRow="0" w:firstColumn="0" w:lastColumn="0" w:oddVBand="0" w:evenVBand="0" w:oddHBand="0" w:evenHBand="1" w:firstRowFirstColumn="0" w:firstRowLastColumn="0" w:lastRowFirstColumn="0" w:lastRowLastColumn="0"/>
            </w:pPr>
            <w:r w:rsidRPr="00F06A5A">
              <w:t>0.800</w:t>
            </w:r>
          </w:p>
        </w:tc>
        <w:tc>
          <w:tcPr>
            <w:tcW w:w="0" w:type="auto"/>
            <w:tcBorders>
              <w:top w:val="none" w:sz="0" w:space="0" w:color="auto"/>
              <w:left w:val="none" w:sz="0" w:space="0" w:color="auto"/>
              <w:bottom w:val="none" w:sz="0" w:space="0" w:color="auto"/>
              <w:right w:val="none" w:sz="0" w:space="0" w:color="auto"/>
            </w:tcBorders>
          </w:tcPr>
          <w:p w14:paraId="1AF327F0" w14:textId="1010F95A" w:rsidR="00BD57BA" w:rsidRDefault="00BD57BA" w:rsidP="00A16B63">
            <w:pPr>
              <w:jc w:val="center"/>
              <w:cnfStyle w:val="000000010000" w:firstRow="0" w:lastRow="0" w:firstColumn="0" w:lastColumn="0" w:oddVBand="0" w:evenVBand="0" w:oddHBand="0" w:evenHBand="1" w:firstRowFirstColumn="0" w:firstRowLastColumn="0" w:lastRowFirstColumn="0" w:lastRowLastColumn="0"/>
            </w:pPr>
            <w:r>
              <w:t>N/A</w:t>
            </w:r>
          </w:p>
        </w:tc>
      </w:tr>
      <w:tr w:rsidR="00BD57BA" w14:paraId="3D471622"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7D4E4F33" w14:textId="530C75BC" w:rsidR="00BD57BA" w:rsidRDefault="00BD57BA" w:rsidP="00BD57BA">
            <w:r w:rsidRPr="009F48F2">
              <w:t>Midstream HVAC</w:t>
            </w:r>
          </w:p>
        </w:tc>
        <w:tc>
          <w:tcPr>
            <w:tcW w:w="0" w:type="auto"/>
            <w:tcBorders>
              <w:top w:val="none" w:sz="0" w:space="0" w:color="auto"/>
              <w:left w:val="none" w:sz="0" w:space="0" w:color="auto"/>
              <w:bottom w:val="none" w:sz="0" w:space="0" w:color="auto"/>
              <w:right w:val="none" w:sz="0" w:space="0" w:color="auto"/>
            </w:tcBorders>
          </w:tcPr>
          <w:p w14:paraId="40414CA4" w14:textId="06EA5005" w:rsidR="00BD57BA" w:rsidRDefault="00BD57BA" w:rsidP="0056690A">
            <w:pPr>
              <w:cnfStyle w:val="000000100000" w:firstRow="0" w:lastRow="0" w:firstColumn="0" w:lastColumn="0" w:oddVBand="0" w:evenVBand="0" w:oddHBand="1" w:evenHBand="0" w:firstRowFirstColumn="0" w:firstRowLastColumn="0" w:lastRowFirstColumn="0" w:lastRowLastColumn="0"/>
            </w:pPr>
            <w:r w:rsidRPr="001B1502">
              <w:rPr>
                <w:color w:val="4D4D4F"/>
              </w:rPr>
              <w:t>Heat Pump Water Heater</w:t>
            </w:r>
          </w:p>
        </w:tc>
        <w:tc>
          <w:tcPr>
            <w:tcW w:w="0" w:type="auto"/>
            <w:tcBorders>
              <w:top w:val="none" w:sz="0" w:space="0" w:color="auto"/>
              <w:left w:val="none" w:sz="0" w:space="0" w:color="auto"/>
              <w:bottom w:val="none" w:sz="0" w:space="0" w:color="auto"/>
              <w:right w:val="none" w:sz="0" w:space="0" w:color="auto"/>
            </w:tcBorders>
          </w:tcPr>
          <w:p w14:paraId="242605D3" w14:textId="3C79DBB6"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rsidRPr="00F06A5A">
              <w:t>0.600</w:t>
            </w:r>
          </w:p>
        </w:tc>
        <w:tc>
          <w:tcPr>
            <w:tcW w:w="0" w:type="auto"/>
            <w:tcBorders>
              <w:top w:val="none" w:sz="0" w:space="0" w:color="auto"/>
              <w:left w:val="none" w:sz="0" w:space="0" w:color="auto"/>
              <w:bottom w:val="none" w:sz="0" w:space="0" w:color="auto"/>
              <w:right w:val="none" w:sz="0" w:space="0" w:color="auto"/>
            </w:tcBorders>
          </w:tcPr>
          <w:p w14:paraId="61BA25C0" w14:textId="45B979CF" w:rsidR="00BD57BA" w:rsidRDefault="00BD57BA" w:rsidP="00A16B63">
            <w:pPr>
              <w:jc w:val="center"/>
              <w:cnfStyle w:val="000000100000" w:firstRow="0" w:lastRow="0" w:firstColumn="0" w:lastColumn="0" w:oddVBand="0" w:evenVBand="0" w:oddHBand="1" w:evenHBand="0" w:firstRowFirstColumn="0" w:firstRowLastColumn="0" w:lastRowFirstColumn="0" w:lastRowLastColumn="0"/>
            </w:pPr>
            <w:r>
              <w:t>N/A</w:t>
            </w:r>
          </w:p>
        </w:tc>
      </w:tr>
      <w:tr w:rsidR="00BD57BA" w14:paraId="6E511994"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2DCA8DC7" w14:textId="4B5AAB35"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4EADE0C9" w14:textId="7066EB10" w:rsidR="00BD57BA" w:rsidRPr="001B1502" w:rsidRDefault="00BD57BA" w:rsidP="0056690A">
            <w:pPr>
              <w:cnfStyle w:val="000000010000" w:firstRow="0" w:lastRow="0" w:firstColumn="0" w:lastColumn="0" w:oddVBand="0" w:evenVBand="0" w:oddHBand="0" w:evenHBand="1" w:firstRowFirstColumn="0" w:firstRowLastColumn="0" w:lastRowFirstColumn="0" w:lastRowLastColumn="0"/>
              <w:rPr>
                <w:color w:val="4D4D4F"/>
              </w:rPr>
            </w:pPr>
            <w:r w:rsidRPr="006E2E8D">
              <w:t>Specialty LED</w:t>
            </w:r>
          </w:p>
        </w:tc>
        <w:tc>
          <w:tcPr>
            <w:tcW w:w="0" w:type="auto"/>
            <w:tcBorders>
              <w:top w:val="none" w:sz="0" w:space="0" w:color="auto"/>
              <w:left w:val="none" w:sz="0" w:space="0" w:color="auto"/>
              <w:bottom w:val="none" w:sz="0" w:space="0" w:color="auto"/>
              <w:right w:val="none" w:sz="0" w:space="0" w:color="auto"/>
            </w:tcBorders>
          </w:tcPr>
          <w:p w14:paraId="7F956285" w14:textId="3754CAB6"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20F190EA" w14:textId="2C12ADB0"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t>N/A</w:t>
            </w:r>
          </w:p>
        </w:tc>
      </w:tr>
      <w:tr w:rsidR="00BD57BA" w14:paraId="338161D9"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84F21ED" w14:textId="2BBD8094"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4ED54EF3" w14:textId="1FFA6DFB" w:rsidR="00BD57BA" w:rsidRPr="001B1502" w:rsidRDefault="00BD57BA" w:rsidP="0056690A">
            <w:pPr>
              <w:cnfStyle w:val="000000100000" w:firstRow="0" w:lastRow="0" w:firstColumn="0" w:lastColumn="0" w:oddVBand="0" w:evenVBand="0" w:oddHBand="1" w:evenHBand="0" w:firstRowFirstColumn="0" w:firstRowLastColumn="0" w:lastRowFirstColumn="0" w:lastRowLastColumn="0"/>
              <w:rPr>
                <w:color w:val="4D4D4F"/>
              </w:rPr>
            </w:pPr>
            <w:r w:rsidRPr="006E2E8D">
              <w:t>Mogul</w:t>
            </w:r>
          </w:p>
        </w:tc>
        <w:tc>
          <w:tcPr>
            <w:tcW w:w="0" w:type="auto"/>
            <w:tcBorders>
              <w:top w:val="none" w:sz="0" w:space="0" w:color="auto"/>
              <w:left w:val="none" w:sz="0" w:space="0" w:color="auto"/>
              <w:bottom w:val="none" w:sz="0" w:space="0" w:color="auto"/>
              <w:right w:val="none" w:sz="0" w:space="0" w:color="auto"/>
            </w:tcBorders>
          </w:tcPr>
          <w:p w14:paraId="68428F8D" w14:textId="655A0335"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5C89F4CE" w14:textId="4F793FC4"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E86E95">
              <w:t>N/A</w:t>
            </w:r>
          </w:p>
        </w:tc>
      </w:tr>
      <w:tr w:rsidR="00BD57BA" w14:paraId="7A53D5B5"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0593819A" w14:textId="50D0D448"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06DF942A" w14:textId="766CA90B" w:rsidR="00BD57BA" w:rsidRPr="001B1502" w:rsidRDefault="00BD57BA" w:rsidP="0056690A">
            <w:pPr>
              <w:cnfStyle w:val="000000010000" w:firstRow="0" w:lastRow="0" w:firstColumn="0" w:lastColumn="0" w:oddVBand="0" w:evenVBand="0" w:oddHBand="0" w:evenHBand="1" w:firstRowFirstColumn="0" w:firstRowLastColumn="0" w:lastRowFirstColumn="0" w:lastRowLastColumn="0"/>
              <w:rPr>
                <w:color w:val="4D4D4F"/>
              </w:rPr>
            </w:pPr>
            <w:r w:rsidRPr="006E2E8D">
              <w:t>Exit Sign</w:t>
            </w:r>
          </w:p>
        </w:tc>
        <w:tc>
          <w:tcPr>
            <w:tcW w:w="0" w:type="auto"/>
            <w:tcBorders>
              <w:top w:val="none" w:sz="0" w:space="0" w:color="auto"/>
              <w:left w:val="none" w:sz="0" w:space="0" w:color="auto"/>
              <w:bottom w:val="none" w:sz="0" w:space="0" w:color="auto"/>
              <w:right w:val="none" w:sz="0" w:space="0" w:color="auto"/>
            </w:tcBorders>
          </w:tcPr>
          <w:p w14:paraId="4A43D0F8" w14:textId="419DF180"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26B49F66" w14:textId="2BA9FFFA"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rsidRPr="00E86E95">
              <w:t>N/A</w:t>
            </w:r>
          </w:p>
        </w:tc>
      </w:tr>
      <w:tr w:rsidR="00BD57BA" w14:paraId="7F188C83"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7D3A6FCB" w14:textId="22E51E6C"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45DFC671" w14:textId="4ACCD60C" w:rsidR="00BD57BA" w:rsidRPr="001B1502" w:rsidRDefault="00BD57BA" w:rsidP="0056690A">
            <w:pPr>
              <w:cnfStyle w:val="000000100000" w:firstRow="0" w:lastRow="0" w:firstColumn="0" w:lastColumn="0" w:oddVBand="0" w:evenVBand="0" w:oddHBand="1" w:evenHBand="0" w:firstRowFirstColumn="0" w:firstRowLastColumn="0" w:lastRowFirstColumn="0" w:lastRowLastColumn="0"/>
              <w:rPr>
                <w:color w:val="4D4D4F"/>
              </w:rPr>
            </w:pPr>
            <w:r w:rsidRPr="006E2E8D">
              <w:t>Wall Pack</w:t>
            </w:r>
          </w:p>
        </w:tc>
        <w:tc>
          <w:tcPr>
            <w:tcW w:w="0" w:type="auto"/>
            <w:tcBorders>
              <w:top w:val="none" w:sz="0" w:space="0" w:color="auto"/>
              <w:left w:val="none" w:sz="0" w:space="0" w:color="auto"/>
              <w:bottom w:val="none" w:sz="0" w:space="0" w:color="auto"/>
              <w:right w:val="none" w:sz="0" w:space="0" w:color="auto"/>
            </w:tcBorders>
          </w:tcPr>
          <w:p w14:paraId="34CCB518" w14:textId="2F3C68C5"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2C4C1D9B" w14:textId="7B439784"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E86E95">
              <w:t>N/A</w:t>
            </w:r>
          </w:p>
        </w:tc>
      </w:tr>
      <w:tr w:rsidR="00BD57BA" w14:paraId="35F9BDFF"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6BD3692F" w14:textId="0A0D1B40"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287729FC" w14:textId="33DB24F7" w:rsidR="00BD57BA" w:rsidRPr="001B1502" w:rsidRDefault="00BD57BA" w:rsidP="0056690A">
            <w:pPr>
              <w:cnfStyle w:val="000000010000" w:firstRow="0" w:lastRow="0" w:firstColumn="0" w:lastColumn="0" w:oddVBand="0" w:evenVBand="0" w:oddHBand="0" w:evenHBand="1" w:firstRowFirstColumn="0" w:firstRowLastColumn="0" w:lastRowFirstColumn="0" w:lastRowLastColumn="0"/>
              <w:rPr>
                <w:color w:val="4D4D4F"/>
              </w:rPr>
            </w:pPr>
            <w:r w:rsidRPr="006E2E8D">
              <w:t>4-Pin LED</w:t>
            </w:r>
          </w:p>
        </w:tc>
        <w:tc>
          <w:tcPr>
            <w:tcW w:w="0" w:type="auto"/>
            <w:tcBorders>
              <w:top w:val="none" w:sz="0" w:space="0" w:color="auto"/>
              <w:left w:val="none" w:sz="0" w:space="0" w:color="auto"/>
              <w:bottom w:val="none" w:sz="0" w:space="0" w:color="auto"/>
              <w:right w:val="none" w:sz="0" w:space="0" w:color="auto"/>
            </w:tcBorders>
          </w:tcPr>
          <w:p w14:paraId="7E927066" w14:textId="7925F2D7"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52EF00AD" w14:textId="2BB0C1D9" w:rsidR="00BD57BA" w:rsidRDefault="00BD57BA" w:rsidP="00A16B63">
            <w:pPr>
              <w:jc w:val="center"/>
              <w:cnfStyle w:val="000000010000" w:firstRow="0" w:lastRow="0" w:firstColumn="0" w:lastColumn="0" w:oddVBand="0" w:evenVBand="0" w:oddHBand="0" w:evenHBand="1" w:firstRowFirstColumn="0" w:firstRowLastColumn="0" w:lastRowFirstColumn="0" w:lastRowLastColumn="0"/>
              <w:rPr>
                <w:color w:val="4D4D4F"/>
              </w:rPr>
            </w:pPr>
            <w:r w:rsidRPr="00E86E95">
              <w:t>N/A</w:t>
            </w:r>
          </w:p>
        </w:tc>
      </w:tr>
      <w:tr w:rsidR="00BD57BA" w14:paraId="30CBD4CC"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48FAAE9C" w14:textId="60930AB9" w:rsidR="00BD57BA" w:rsidRPr="009F48F2" w:rsidRDefault="00BD57BA" w:rsidP="00BD57BA">
            <w:r w:rsidRPr="006E2E8D">
              <w:t>Midstream Lighting</w:t>
            </w:r>
          </w:p>
        </w:tc>
        <w:tc>
          <w:tcPr>
            <w:tcW w:w="0" w:type="auto"/>
            <w:tcBorders>
              <w:top w:val="none" w:sz="0" w:space="0" w:color="auto"/>
              <w:left w:val="none" w:sz="0" w:space="0" w:color="auto"/>
              <w:bottom w:val="none" w:sz="0" w:space="0" w:color="auto"/>
              <w:right w:val="none" w:sz="0" w:space="0" w:color="auto"/>
            </w:tcBorders>
          </w:tcPr>
          <w:p w14:paraId="540981BE" w14:textId="040F36C6" w:rsidR="00BD57BA" w:rsidRPr="001B1502" w:rsidRDefault="00BD57BA" w:rsidP="0056690A">
            <w:pPr>
              <w:cnfStyle w:val="000000100000" w:firstRow="0" w:lastRow="0" w:firstColumn="0" w:lastColumn="0" w:oddVBand="0" w:evenVBand="0" w:oddHBand="1" w:evenHBand="0" w:firstRowFirstColumn="0" w:firstRowLastColumn="0" w:lastRowFirstColumn="0" w:lastRowLastColumn="0"/>
              <w:rPr>
                <w:color w:val="4D4D4F"/>
              </w:rPr>
            </w:pPr>
            <w:r w:rsidRPr="006E2E8D">
              <w:t>Linear LED</w:t>
            </w:r>
          </w:p>
        </w:tc>
        <w:tc>
          <w:tcPr>
            <w:tcW w:w="0" w:type="auto"/>
            <w:tcBorders>
              <w:top w:val="none" w:sz="0" w:space="0" w:color="auto"/>
              <w:left w:val="none" w:sz="0" w:space="0" w:color="auto"/>
              <w:bottom w:val="none" w:sz="0" w:space="0" w:color="auto"/>
              <w:right w:val="none" w:sz="0" w:space="0" w:color="auto"/>
            </w:tcBorders>
          </w:tcPr>
          <w:p w14:paraId="0BC34585" w14:textId="56B4FC0E"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6E2E8D">
              <w:t>0.918</w:t>
            </w:r>
          </w:p>
        </w:tc>
        <w:tc>
          <w:tcPr>
            <w:tcW w:w="0" w:type="auto"/>
            <w:tcBorders>
              <w:top w:val="none" w:sz="0" w:space="0" w:color="auto"/>
              <w:left w:val="none" w:sz="0" w:space="0" w:color="auto"/>
              <w:bottom w:val="none" w:sz="0" w:space="0" w:color="auto"/>
              <w:right w:val="none" w:sz="0" w:space="0" w:color="auto"/>
            </w:tcBorders>
          </w:tcPr>
          <w:p w14:paraId="5D4EBD95" w14:textId="7FE61DA8" w:rsidR="00BD57BA" w:rsidRDefault="00BD57BA" w:rsidP="00A16B63">
            <w:pPr>
              <w:jc w:val="center"/>
              <w:cnfStyle w:val="000000100000" w:firstRow="0" w:lastRow="0" w:firstColumn="0" w:lastColumn="0" w:oddVBand="0" w:evenVBand="0" w:oddHBand="1" w:evenHBand="0" w:firstRowFirstColumn="0" w:firstRowLastColumn="0" w:lastRowFirstColumn="0" w:lastRowLastColumn="0"/>
              <w:rPr>
                <w:color w:val="4D4D4F"/>
              </w:rPr>
            </w:pPr>
            <w:r w:rsidRPr="00E86E95">
              <w:t>N/A</w:t>
            </w:r>
          </w:p>
        </w:tc>
      </w:tr>
      <w:tr w:rsidR="00BD57BA" w14:paraId="2F1BE0A9"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vAlign w:val="top"/>
          </w:tcPr>
          <w:p w14:paraId="38C3446D" w14:textId="4716DD47" w:rsidR="00BD57BA" w:rsidRPr="006E2E8D" w:rsidRDefault="00BD57BA" w:rsidP="00BD57BA">
            <w:r>
              <w:t>Midstream Food Service</w:t>
            </w:r>
          </w:p>
        </w:tc>
        <w:tc>
          <w:tcPr>
            <w:tcW w:w="0" w:type="auto"/>
            <w:tcBorders>
              <w:top w:val="none" w:sz="0" w:space="0" w:color="auto"/>
              <w:left w:val="none" w:sz="0" w:space="0" w:color="auto"/>
              <w:bottom w:val="none" w:sz="0" w:space="0" w:color="auto"/>
              <w:right w:val="none" w:sz="0" w:space="0" w:color="auto"/>
            </w:tcBorders>
          </w:tcPr>
          <w:p w14:paraId="3624EAC8" w14:textId="792E75C6" w:rsidR="00BD57BA" w:rsidRPr="006E2E8D" w:rsidRDefault="00BD57BA" w:rsidP="0056690A">
            <w:pPr>
              <w:cnfStyle w:val="000000010000" w:firstRow="0" w:lastRow="0" w:firstColumn="0" w:lastColumn="0" w:oddVBand="0" w:evenVBand="0" w:oddHBand="0" w:evenHBand="1" w:firstRowFirstColumn="0" w:firstRowLastColumn="0" w:lastRowFirstColumn="0" w:lastRowLastColumn="0"/>
            </w:pPr>
            <w:r>
              <w:t>All measures</w:t>
            </w:r>
          </w:p>
        </w:tc>
        <w:tc>
          <w:tcPr>
            <w:tcW w:w="0" w:type="auto"/>
            <w:tcBorders>
              <w:top w:val="none" w:sz="0" w:space="0" w:color="auto"/>
              <w:left w:val="none" w:sz="0" w:space="0" w:color="auto"/>
              <w:bottom w:val="none" w:sz="0" w:space="0" w:color="auto"/>
              <w:right w:val="none" w:sz="0" w:space="0" w:color="auto"/>
            </w:tcBorders>
          </w:tcPr>
          <w:p w14:paraId="414FC4B0" w14:textId="04F63A59" w:rsidR="00BD57BA" w:rsidRPr="006E2E8D" w:rsidRDefault="00BD57BA" w:rsidP="00A16B63">
            <w:pPr>
              <w:jc w:val="center"/>
              <w:cnfStyle w:val="000000010000" w:firstRow="0" w:lastRow="0" w:firstColumn="0" w:lastColumn="0" w:oddVBand="0" w:evenVBand="0" w:oddHBand="0" w:evenHBand="1" w:firstRowFirstColumn="0" w:firstRowLastColumn="0" w:lastRowFirstColumn="0" w:lastRowLastColumn="0"/>
            </w:pPr>
            <w:r>
              <w:t>0.800</w:t>
            </w:r>
          </w:p>
        </w:tc>
        <w:tc>
          <w:tcPr>
            <w:tcW w:w="0" w:type="auto"/>
            <w:tcBorders>
              <w:top w:val="none" w:sz="0" w:space="0" w:color="auto"/>
              <w:left w:val="none" w:sz="0" w:space="0" w:color="auto"/>
              <w:bottom w:val="none" w:sz="0" w:space="0" w:color="auto"/>
              <w:right w:val="none" w:sz="0" w:space="0" w:color="auto"/>
            </w:tcBorders>
          </w:tcPr>
          <w:p w14:paraId="2C395919" w14:textId="63549E1F" w:rsidR="00BD57BA" w:rsidRPr="00E86E95" w:rsidRDefault="00BD57BA" w:rsidP="00A16B63">
            <w:pPr>
              <w:jc w:val="center"/>
              <w:cnfStyle w:val="000000010000" w:firstRow="0" w:lastRow="0" w:firstColumn="0" w:lastColumn="0" w:oddVBand="0" w:evenVBand="0" w:oddHBand="0" w:evenHBand="1" w:firstRowFirstColumn="0" w:firstRowLastColumn="0" w:lastRowFirstColumn="0" w:lastRowLastColumn="0"/>
            </w:pPr>
            <w:r>
              <w:t>0.800</w:t>
            </w:r>
          </w:p>
        </w:tc>
      </w:tr>
    </w:tbl>
    <w:p w14:paraId="39872A1E" w14:textId="5A0F9B4A" w:rsidR="000A0A23" w:rsidRDefault="000A0A23" w:rsidP="000A0A23">
      <w:pPr>
        <w:pStyle w:val="Alpha"/>
      </w:pPr>
      <w:bookmarkStart w:id="474" w:name="_Ref187069776"/>
      <w:bookmarkStart w:id="475" w:name="_Toc191992478"/>
      <w:bookmarkStart w:id="476" w:name="_Toc192766918"/>
      <w:r>
        <w:lastRenderedPageBreak/>
        <w:t>Additional Impacts</w:t>
      </w:r>
      <w:bookmarkEnd w:id="474"/>
      <w:bookmarkEnd w:id="475"/>
      <w:bookmarkEnd w:id="476"/>
    </w:p>
    <w:p w14:paraId="650FE100" w14:textId="24D36F93" w:rsidR="000A0A23" w:rsidRDefault="000A0A23" w:rsidP="000A0A23">
      <w:pPr>
        <w:pStyle w:val="AppendixBeta"/>
      </w:pPr>
      <w:bookmarkStart w:id="477" w:name="_Toc191992479"/>
      <w:bookmarkStart w:id="478" w:name="_Toc192766919"/>
      <w:r>
        <w:t>Introduction</w:t>
      </w:r>
      <w:bookmarkEnd w:id="477"/>
      <w:bookmarkEnd w:id="478"/>
    </w:p>
    <w:p w14:paraId="6E2A172D" w14:textId="77777777" w:rsidR="006721B4" w:rsidRDefault="006721B4" w:rsidP="006721B4">
      <w:r>
        <w:t xml:space="preserve">In this appendix, we provide additional quantified impacts from AIC's Business Program that are not presented in the body of the report. Three specific types of additional inputs are provided: </w:t>
      </w:r>
    </w:p>
    <w:p w14:paraId="5FC817D3" w14:textId="13972418" w:rsidR="006721B4" w:rsidRDefault="006721B4" w:rsidP="006721B4">
      <w:pPr>
        <w:pStyle w:val="ListBullet"/>
      </w:pPr>
      <w:r>
        <w:t xml:space="preserve">Summaries of fossil fuel impacts achieved by the Business Program that cannot be directly claimed against AIC’s goals but can be used in cost-effectiveness testing and </w:t>
      </w:r>
      <w:r w:rsidR="002A132A">
        <w:t xml:space="preserve">to </w:t>
      </w:r>
      <w:r>
        <w:t>support savings conversions under Illinois law;</w:t>
      </w:r>
    </w:p>
    <w:p w14:paraId="1A46EADF" w14:textId="2E83D38A" w:rsidR="006721B4" w:rsidRDefault="006721B4" w:rsidP="006721B4">
      <w:pPr>
        <w:pStyle w:val="ListBullet"/>
      </w:pPr>
      <w:r>
        <w:t xml:space="preserve">Summaries of gas penalties that are not counted toward goal attainment but are required for cost-effectiveness analysis; and </w:t>
      </w:r>
    </w:p>
    <w:p w14:paraId="5CA9DCE6" w14:textId="75EC8C5D" w:rsidR="006721B4" w:rsidRDefault="006721B4" w:rsidP="006721B4">
      <w:pPr>
        <w:pStyle w:val="ListBullet"/>
      </w:pPr>
      <w:r>
        <w:t>Summaries of water savings and secondary electric energy savings from water supply and wastewater treatment that are required for cost-effectiveness analysis.</w:t>
      </w:r>
    </w:p>
    <w:p w14:paraId="4E3BBBF1" w14:textId="52673C5C" w:rsidR="006721B4" w:rsidRDefault="006721B4" w:rsidP="006721B4">
      <w:pPr>
        <w:pStyle w:val="AppendixGamma"/>
      </w:pPr>
      <w:bookmarkStart w:id="479" w:name="_Toc191992480"/>
      <w:r>
        <w:t>Additional Fossil Fuel Impacts</w:t>
      </w:r>
      <w:bookmarkEnd w:id="479"/>
    </w:p>
    <w:p w14:paraId="08C0849C" w14:textId="6CBD6D78" w:rsidR="006721B4" w:rsidRDefault="006721B4" w:rsidP="006721B4">
      <w:r>
        <w:t xml:space="preserve">Some AIC customers receive natural gas service from other providers or use unregulated fuels such as propane to serve their energy needs. Measures provided by AIC to these customers through its existing programs may save units of these fuels in addition to energy sources provided by AIC. While these savings cannot be directly claimed against AIC’s energy savings goals, where possible, we quantify these impacts in this appendix to support both cost-effectiveness testing </w:t>
      </w:r>
      <w:r w:rsidR="00DE3D36">
        <w:t>and</w:t>
      </w:r>
      <w:r>
        <w:t xml:space="preserve"> savings conversions under Illinois state law. </w:t>
      </w:r>
    </w:p>
    <w:p w14:paraId="0C961A05" w14:textId="3B842C31" w:rsidR="008616E9" w:rsidRDefault="006721B4" w:rsidP="006721B4">
      <w:r>
        <w:t>The Standard Core</w:t>
      </w:r>
      <w:r w:rsidR="0039016D">
        <w:t>,</w:t>
      </w:r>
      <w:r>
        <w:t xml:space="preserve"> Custom Incentives</w:t>
      </w:r>
      <w:r w:rsidR="0039016D">
        <w:t>, and Small Business Energy Performance</w:t>
      </w:r>
      <w:r>
        <w:t xml:space="preserve"> channels produced quantifiable non-AIC natural gas impacts in 2024.</w:t>
      </w:r>
    </w:p>
    <w:p w14:paraId="6F3C6C25" w14:textId="65D9E701" w:rsidR="00037616" w:rsidRDefault="00037616" w:rsidP="00037616">
      <w:pPr>
        <w:pStyle w:val="AppendixGamma"/>
      </w:pPr>
      <w:bookmarkStart w:id="480" w:name="_Toc191992481"/>
      <w:r>
        <w:t>Gas Heating Penalties</w:t>
      </w:r>
      <w:bookmarkEnd w:id="480"/>
    </w:p>
    <w:p w14:paraId="3A381C97" w14:textId="715F4371" w:rsidR="002C7491" w:rsidRDefault="00037616" w:rsidP="002C7491">
      <w:r>
        <w:t>Per the Policy Manual, AIC is not required to account for gas heating penalties resulting from the installation of energy efficiency measures designed to save electricity when considering savings for goal attainment purposes.</w:t>
      </w:r>
      <w:r>
        <w:rPr>
          <w:rStyle w:val="FootnoteReference"/>
        </w:rPr>
        <w:footnoteReference w:id="51"/>
      </w:r>
      <w:r w:rsidR="002A132A" w:rsidRPr="002A132A">
        <w:rPr>
          <w:vertAlign w:val="superscript"/>
        </w:rPr>
        <w:t>,</w:t>
      </w:r>
      <w:r>
        <w:rPr>
          <w:rStyle w:val="FootnoteReference"/>
        </w:rPr>
        <w:footnoteReference w:id="52"/>
      </w:r>
      <w:r w:rsidR="002C7491">
        <w:t xml:space="preserve"> Therefore, we exclude those effects from all savings reported throughout the body of this report. However, these effects must be evaluated and considered as part of cost-effectiveness testing and are therefore presented in this appendix.</w:t>
      </w:r>
    </w:p>
    <w:p w14:paraId="15AD911F" w14:textId="77777777" w:rsidR="002C7491" w:rsidRDefault="002C7491" w:rsidP="002C7491">
      <w:r>
        <w:t>In the following sections, the evaluation team focuses specifically on the following gas heating penalties:</w:t>
      </w:r>
    </w:p>
    <w:p w14:paraId="3EA4FD0C" w14:textId="6DC831BD" w:rsidR="002C7491" w:rsidRDefault="002C7491" w:rsidP="002C7491">
      <w:pPr>
        <w:pStyle w:val="ListBullet"/>
      </w:pPr>
      <w:r w:rsidRPr="00853B3D">
        <w:rPr>
          <w:b/>
          <w:bCs/>
        </w:rPr>
        <w:t>Lighting Heating Penalties</w:t>
      </w:r>
      <w:r>
        <w:t>. The inclusion of waste heat factors for lighting is based on the concept that heating loads are increased to supplement the reduction in waste heat that was once provided by the existing, less</w:t>
      </w:r>
      <w:r w:rsidR="00DE3D36">
        <w:t xml:space="preserve"> </w:t>
      </w:r>
      <w:r>
        <w:t xml:space="preserve">efficient lamp type. The evaluation team applied the IL-TRM waste heat factors to lamps based on heating fuel types provided in the tracking database to arrive at gross heating penalties. For </w:t>
      </w:r>
      <w:r w:rsidR="00853B3D">
        <w:t>cases</w:t>
      </w:r>
      <w:r>
        <w:t xml:space="preserve"> where tracking data did not provide the heating type, the team assumed natural gas heating, per the IL-TRM.</w:t>
      </w:r>
    </w:p>
    <w:p w14:paraId="5A8C8455" w14:textId="65FF7002" w:rsidR="002C7491" w:rsidRDefault="002C7491" w:rsidP="002C7491">
      <w:pPr>
        <w:pStyle w:val="ListBullet"/>
      </w:pPr>
      <w:r w:rsidRPr="00853B3D">
        <w:rPr>
          <w:b/>
          <w:bCs/>
        </w:rPr>
        <w:t>Furnace Blower Motor Heating Penalties</w:t>
      </w:r>
      <w:r>
        <w:t xml:space="preserve">. </w:t>
      </w:r>
      <w:r w:rsidR="00DE3D36">
        <w:t>High efficiency</w:t>
      </w:r>
      <w:r>
        <w:t xml:space="preserve"> fan motors operate at cooler temperatures than traditional furnace blower motors. The amount of heat that is released decreases due to cooler operating </w:t>
      </w:r>
      <w:r>
        <w:lastRenderedPageBreak/>
        <w:t xml:space="preserve">conditions. Heating equipment must </w:t>
      </w:r>
      <w:r w:rsidR="00DE3D36">
        <w:t>compensate for this heat loss</w:t>
      </w:r>
      <w:r>
        <w:t xml:space="preserve"> during the heating season, </w:t>
      </w:r>
      <w:r w:rsidR="00DE3D36">
        <w:t xml:space="preserve">which can </w:t>
      </w:r>
      <w:r>
        <w:t>increase HVAC heating loads. The team applied IL-TRM algorithms to calculate the associated heating penalty.</w:t>
      </w:r>
    </w:p>
    <w:p w14:paraId="5BBD9BF3" w14:textId="1F028A58" w:rsidR="002C7491" w:rsidRDefault="002C7491" w:rsidP="002C7491">
      <w:pPr>
        <w:pStyle w:val="ListBullet"/>
      </w:pPr>
      <w:r w:rsidRPr="00853B3D">
        <w:rPr>
          <w:b/>
          <w:bCs/>
        </w:rPr>
        <w:t>Heat Pump Water Heater Heating Penalties</w:t>
      </w:r>
      <w:r>
        <w:t>. When HPWHs are installed in conditioned space</w:t>
      </w:r>
      <w:r w:rsidR="00853B3D">
        <w:t>s</w:t>
      </w:r>
      <w:r>
        <w:t>, they move heat from the ambient air into water stored in a tank. During the heating season, this can result in an increase in HVAC heating loads. The team applied IL-TRM algorithms to calculate the associated heating penalty.</w:t>
      </w:r>
    </w:p>
    <w:p w14:paraId="0F9CA27A" w14:textId="029D6548" w:rsidR="00037616" w:rsidRDefault="002C7491" w:rsidP="002C7491">
      <w:r>
        <w:t>All gas heating penalties were calculated using algorithms from the IL-TRM V12.0 (with applicable errata applied).</w:t>
      </w:r>
    </w:p>
    <w:p w14:paraId="0A0ABDEB" w14:textId="0E78FF5A" w:rsidR="002C7491" w:rsidRDefault="004F71FA" w:rsidP="004F71FA">
      <w:pPr>
        <w:pStyle w:val="AppendixGamma"/>
      </w:pPr>
      <w:bookmarkStart w:id="481" w:name="_Toc191992482"/>
      <w:r w:rsidRPr="004F71FA">
        <w:t>S</w:t>
      </w:r>
      <w:r w:rsidR="00AD35A8">
        <w:t xml:space="preserve">econdary </w:t>
      </w:r>
      <w:r w:rsidRPr="004F71FA">
        <w:t>E</w:t>
      </w:r>
      <w:r w:rsidR="00AD35A8">
        <w:t>lectric</w:t>
      </w:r>
      <w:r w:rsidRPr="004F71FA">
        <w:t xml:space="preserve"> S</w:t>
      </w:r>
      <w:r w:rsidR="00AD35A8">
        <w:t>avings for</w:t>
      </w:r>
      <w:r w:rsidRPr="004F71FA">
        <w:t xml:space="preserve"> W</w:t>
      </w:r>
      <w:r w:rsidR="00AD35A8">
        <w:t>ater</w:t>
      </w:r>
      <w:r w:rsidRPr="004F71FA">
        <w:t xml:space="preserve"> S</w:t>
      </w:r>
      <w:r w:rsidR="00AD35A8">
        <w:t>upply</w:t>
      </w:r>
      <w:r w:rsidRPr="004F71FA">
        <w:t xml:space="preserve"> </w:t>
      </w:r>
      <w:r w:rsidR="00AD35A8">
        <w:t>and</w:t>
      </w:r>
      <w:r w:rsidRPr="004F71FA">
        <w:t xml:space="preserve"> W</w:t>
      </w:r>
      <w:r w:rsidR="00AD35A8">
        <w:t>astewater</w:t>
      </w:r>
      <w:r w:rsidRPr="004F71FA">
        <w:t xml:space="preserve"> T</w:t>
      </w:r>
      <w:r w:rsidR="00AD35A8">
        <w:t>reatment</w:t>
      </w:r>
      <w:bookmarkEnd w:id="481"/>
    </w:p>
    <w:p w14:paraId="6D542647" w14:textId="04B49654" w:rsidR="004F71FA" w:rsidRDefault="004F71FA" w:rsidP="004F71FA">
      <w:r w:rsidRPr="004F71FA">
        <w:t>Some measures delivered through the Business Program produce water savings as well as energy savings. For applicable measures, the IL-TRM V1</w:t>
      </w:r>
      <w:r>
        <w:t>2</w:t>
      </w:r>
      <w:r w:rsidRPr="004F71FA">
        <w:t>.0 includes an algorithm to calculate the secondary electric impacts of these water savings resulting from decreased electricity usage for water supply and wastewater treatment. As directly instructed in the IL-TRM, these savings may be included toward goal attainment but must be removed for cost-effectiveness calculations. Therefore, we present these savings separately in this appendix to provide transparency on the reduced savings that will be used when conducting testing for cost-effectiveness. All secondary electric savings were calculated using algorithms from the IL-TRM V1</w:t>
      </w:r>
      <w:r>
        <w:t>2</w:t>
      </w:r>
      <w:r w:rsidRPr="004F71FA">
        <w:t>.0.</w:t>
      </w:r>
    </w:p>
    <w:p w14:paraId="4BE6C7EA" w14:textId="3F4F2259" w:rsidR="006E3C95" w:rsidRDefault="006E3C95" w:rsidP="006E3C95">
      <w:pPr>
        <w:pStyle w:val="AppendixBeta"/>
      </w:pPr>
      <w:bookmarkStart w:id="482" w:name="_Toc191992483"/>
      <w:bookmarkStart w:id="483" w:name="_Toc192766920"/>
      <w:r>
        <w:t>Standard Initiative</w:t>
      </w:r>
      <w:bookmarkEnd w:id="482"/>
      <w:bookmarkEnd w:id="483"/>
    </w:p>
    <w:p w14:paraId="52DEEF17" w14:textId="029D86BE" w:rsidR="006E3C95" w:rsidRDefault="006E3C95" w:rsidP="006E3C95">
      <w:pPr>
        <w:pStyle w:val="AppendixGamma"/>
      </w:pPr>
      <w:bookmarkStart w:id="484" w:name="_Toc191992484"/>
      <w:r>
        <w:t>Additional Fossil Fuel Impacts</w:t>
      </w:r>
      <w:bookmarkEnd w:id="484"/>
    </w:p>
    <w:p w14:paraId="2A586249" w14:textId="3B0EE6A7" w:rsidR="00155BED" w:rsidRDefault="00CF0028" w:rsidP="00155BED">
      <w:r>
        <w:t>One</w:t>
      </w:r>
      <w:r w:rsidR="00155BED" w:rsidRPr="00155BED">
        <w:t xml:space="preserve"> project completed through the Standard Core channel produced non-AIC gas savings in 202</w:t>
      </w:r>
      <w:r w:rsidR="000453D7">
        <w:t>4</w:t>
      </w:r>
      <w:r w:rsidR="00155BED" w:rsidRPr="00155BED">
        <w:t xml:space="preserve">. The ex ante gross, verified gross, and verified net </w:t>
      </w:r>
      <w:r w:rsidR="00853B3D">
        <w:t>gas</w:t>
      </w:r>
      <w:r w:rsidR="00155BED" w:rsidRPr="00155BED">
        <w:t xml:space="preserve"> savings produced through the project are summarized in</w:t>
      </w:r>
      <w:r w:rsidR="00917A8B">
        <w:t xml:space="preserve"> </w:t>
      </w:r>
      <w:r w:rsidR="00917A8B">
        <w:fldChar w:fldCharType="begin"/>
      </w:r>
      <w:r w:rsidR="00917A8B">
        <w:instrText xml:space="preserve"> REF _Ref187404703 \h </w:instrText>
      </w:r>
      <w:r w:rsidR="00917A8B">
        <w:fldChar w:fldCharType="separate"/>
      </w:r>
      <w:r w:rsidR="00AA10F4">
        <w:t xml:space="preserve">Table </w:t>
      </w:r>
      <w:r w:rsidR="00AA10F4">
        <w:rPr>
          <w:noProof/>
        </w:rPr>
        <w:t>108</w:t>
      </w:r>
      <w:r w:rsidR="00917A8B">
        <w:fldChar w:fldCharType="end"/>
      </w:r>
      <w:r w:rsidR="00917A8B">
        <w:t>.</w:t>
      </w:r>
    </w:p>
    <w:p w14:paraId="4DBE2BC7" w14:textId="60BA03F4" w:rsidR="00155BED" w:rsidRDefault="00155BED" w:rsidP="00881B1B">
      <w:pPr>
        <w:pStyle w:val="Caption"/>
      </w:pPr>
      <w:bookmarkStart w:id="485" w:name="_Ref187404703"/>
      <w:bookmarkStart w:id="486" w:name="_Toc191992626"/>
      <w:bookmarkStart w:id="487" w:name="_Toc192767042"/>
      <w:r>
        <w:t xml:space="preserve">Table </w:t>
      </w:r>
      <w:r w:rsidR="009B4C9A">
        <w:fldChar w:fldCharType="begin"/>
      </w:r>
      <w:r w:rsidR="009B4C9A">
        <w:instrText xml:space="preserve"> SEQ Table \* ARABIC </w:instrText>
      </w:r>
      <w:r w:rsidR="009B4C9A">
        <w:fldChar w:fldCharType="separate"/>
      </w:r>
      <w:r w:rsidR="00AA10F4">
        <w:rPr>
          <w:noProof/>
        </w:rPr>
        <w:t>108</w:t>
      </w:r>
      <w:r w:rsidR="009B4C9A">
        <w:rPr>
          <w:noProof/>
        </w:rPr>
        <w:fldChar w:fldCharType="end"/>
      </w:r>
      <w:bookmarkEnd w:id="485"/>
      <w:r>
        <w:t>. 2024 Standard Core Channel non-AIC Natural Gas Savings</w:t>
      </w:r>
      <w:bookmarkEnd w:id="486"/>
      <w:bookmarkEnd w:id="487"/>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155BED" w14:paraId="1094F0FC" w14:textId="77777777" w:rsidTr="005669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23942EF5" w14:textId="4D0FB1F5" w:rsidR="00155BED" w:rsidRDefault="00155BED" w:rsidP="00155BED">
            <w:pPr>
              <w:pStyle w:val="TableHeadingCentered"/>
              <w:jc w:val="left"/>
            </w:pPr>
            <w:r w:rsidRPr="00874CAB">
              <w:t>Measure Category</w:t>
            </w:r>
          </w:p>
        </w:tc>
        <w:tc>
          <w:tcPr>
            <w:tcW w:w="1849" w:type="dxa"/>
            <w:tcBorders>
              <w:bottom w:val="none" w:sz="0" w:space="0" w:color="auto"/>
            </w:tcBorders>
          </w:tcPr>
          <w:p w14:paraId="06DA310B" w14:textId="6E2AD6B9" w:rsidR="00155BED" w:rsidRDefault="00155BED" w:rsidP="0056690A">
            <w:pPr>
              <w:pStyle w:val="TableHeadingCentered"/>
              <w:cnfStyle w:val="100000000000" w:firstRow="1" w:lastRow="0" w:firstColumn="0" w:lastColumn="0" w:oddVBand="0" w:evenVBand="0" w:oddHBand="0" w:evenHBand="0" w:firstRowFirstColumn="0" w:firstRowLastColumn="0" w:lastRowFirstColumn="0" w:lastRowLastColumn="0"/>
            </w:pPr>
            <w:r w:rsidRPr="00874CAB">
              <w:t>Ex Ante Gross Savings (Therms)</w:t>
            </w:r>
          </w:p>
        </w:tc>
        <w:tc>
          <w:tcPr>
            <w:tcW w:w="1849" w:type="dxa"/>
            <w:tcBorders>
              <w:bottom w:val="none" w:sz="0" w:space="0" w:color="auto"/>
            </w:tcBorders>
          </w:tcPr>
          <w:p w14:paraId="7B9823C5" w14:textId="7C7C656C" w:rsidR="00155BED" w:rsidRDefault="00155BED" w:rsidP="0056690A">
            <w:pPr>
              <w:pStyle w:val="TableHeadingCentered"/>
              <w:cnfStyle w:val="100000000000" w:firstRow="1" w:lastRow="0" w:firstColumn="0" w:lastColumn="0" w:oddVBand="0" w:evenVBand="0" w:oddHBand="0" w:evenHBand="0" w:firstRowFirstColumn="0" w:firstRowLastColumn="0" w:lastRowFirstColumn="0" w:lastRowLastColumn="0"/>
            </w:pPr>
            <w:r w:rsidRPr="00874CAB">
              <w:t>Gross Realization Rate</w:t>
            </w:r>
          </w:p>
        </w:tc>
        <w:tc>
          <w:tcPr>
            <w:tcW w:w="1849" w:type="dxa"/>
            <w:tcBorders>
              <w:bottom w:val="none" w:sz="0" w:space="0" w:color="auto"/>
            </w:tcBorders>
          </w:tcPr>
          <w:p w14:paraId="16A1464A" w14:textId="4B4BE7EE" w:rsidR="00155BED" w:rsidRDefault="00155BED" w:rsidP="0056690A">
            <w:pPr>
              <w:pStyle w:val="TableHeadingCentered"/>
              <w:cnfStyle w:val="100000000000" w:firstRow="1" w:lastRow="0" w:firstColumn="0" w:lastColumn="0" w:oddVBand="0" w:evenVBand="0" w:oddHBand="0" w:evenHBand="0" w:firstRowFirstColumn="0" w:firstRowLastColumn="0" w:lastRowFirstColumn="0" w:lastRowLastColumn="0"/>
            </w:pPr>
            <w:r w:rsidRPr="00874CAB">
              <w:t>Verified Gross Savings (Therms)</w:t>
            </w:r>
          </w:p>
        </w:tc>
        <w:tc>
          <w:tcPr>
            <w:tcW w:w="1850" w:type="dxa"/>
            <w:tcBorders>
              <w:bottom w:val="none" w:sz="0" w:space="0" w:color="auto"/>
            </w:tcBorders>
          </w:tcPr>
          <w:p w14:paraId="441232F7" w14:textId="3A0D6D81" w:rsidR="00155BED" w:rsidRDefault="00155BED" w:rsidP="0056690A">
            <w:pPr>
              <w:pStyle w:val="TableHeadingCentered"/>
              <w:cnfStyle w:val="100000000000" w:firstRow="1" w:lastRow="0" w:firstColumn="0" w:lastColumn="0" w:oddVBand="0" w:evenVBand="0" w:oddHBand="0" w:evenHBand="0" w:firstRowFirstColumn="0" w:firstRowLastColumn="0" w:lastRowFirstColumn="0" w:lastRowLastColumn="0"/>
            </w:pPr>
            <w:r w:rsidRPr="00874CAB">
              <w:t>NTGR</w:t>
            </w:r>
          </w:p>
        </w:tc>
        <w:tc>
          <w:tcPr>
            <w:tcW w:w="1850" w:type="dxa"/>
            <w:tcBorders>
              <w:bottom w:val="none" w:sz="0" w:space="0" w:color="auto"/>
            </w:tcBorders>
          </w:tcPr>
          <w:p w14:paraId="0939FC69" w14:textId="302EB1C0" w:rsidR="00155BED" w:rsidRDefault="00155BED" w:rsidP="0056690A">
            <w:pPr>
              <w:pStyle w:val="TableHeadingCentered"/>
              <w:cnfStyle w:val="100000000000" w:firstRow="1" w:lastRow="0" w:firstColumn="0" w:lastColumn="0" w:oddVBand="0" w:evenVBand="0" w:oddHBand="0" w:evenHBand="0" w:firstRowFirstColumn="0" w:firstRowLastColumn="0" w:lastRowFirstColumn="0" w:lastRowLastColumn="0"/>
            </w:pPr>
            <w:r w:rsidRPr="00874CAB">
              <w:t>Verified Net Savings (Therms)</w:t>
            </w:r>
          </w:p>
        </w:tc>
      </w:tr>
      <w:tr w:rsidR="00454E84" w14:paraId="539CF75E" w14:textId="77777777" w:rsidTr="005669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3CEDA6CC" w14:textId="0568AC7E" w:rsidR="00454E84" w:rsidRDefault="00454E84" w:rsidP="00454E84">
            <w:r>
              <w:t>SE</w:t>
            </w:r>
          </w:p>
        </w:tc>
        <w:tc>
          <w:tcPr>
            <w:tcW w:w="1849" w:type="dxa"/>
            <w:tcBorders>
              <w:top w:val="none" w:sz="0" w:space="0" w:color="auto"/>
              <w:left w:val="none" w:sz="0" w:space="0" w:color="auto"/>
              <w:bottom w:val="none" w:sz="0" w:space="0" w:color="auto"/>
              <w:right w:val="none" w:sz="0" w:space="0" w:color="auto"/>
            </w:tcBorders>
          </w:tcPr>
          <w:p w14:paraId="0424C33E" w14:textId="1BAE1F0A" w:rsidR="00454E84" w:rsidRDefault="00454E84" w:rsidP="0056690A">
            <w:pPr>
              <w:jc w:val="right"/>
              <w:cnfStyle w:val="000000100000" w:firstRow="0" w:lastRow="0" w:firstColumn="0" w:lastColumn="0" w:oddVBand="0" w:evenVBand="0" w:oddHBand="1" w:evenHBand="0" w:firstRowFirstColumn="0" w:firstRowLastColumn="0" w:lastRowFirstColumn="0" w:lastRowLastColumn="0"/>
            </w:pPr>
            <w:r>
              <w:t>2,650</w:t>
            </w:r>
          </w:p>
        </w:tc>
        <w:tc>
          <w:tcPr>
            <w:tcW w:w="1849" w:type="dxa"/>
            <w:tcBorders>
              <w:top w:val="none" w:sz="0" w:space="0" w:color="auto"/>
              <w:left w:val="none" w:sz="0" w:space="0" w:color="auto"/>
              <w:bottom w:val="none" w:sz="0" w:space="0" w:color="auto"/>
              <w:right w:val="none" w:sz="0" w:space="0" w:color="auto"/>
            </w:tcBorders>
          </w:tcPr>
          <w:p w14:paraId="1162E0EA" w14:textId="01E97E21" w:rsidR="00454E84" w:rsidRDefault="00454E84" w:rsidP="0056690A">
            <w:pPr>
              <w:jc w:val="right"/>
              <w:cnfStyle w:val="000000100000" w:firstRow="0" w:lastRow="0" w:firstColumn="0" w:lastColumn="0" w:oddVBand="0" w:evenVBand="0" w:oddHBand="1" w:evenHBand="0" w:firstRowFirstColumn="0" w:firstRowLastColumn="0" w:lastRowFirstColumn="0" w:lastRowLastColumn="0"/>
            </w:pPr>
            <w:r>
              <w:rPr>
                <w:color w:val="4A4D56"/>
              </w:rPr>
              <w:t>100%</w:t>
            </w:r>
          </w:p>
        </w:tc>
        <w:tc>
          <w:tcPr>
            <w:tcW w:w="1849" w:type="dxa"/>
            <w:tcBorders>
              <w:top w:val="none" w:sz="0" w:space="0" w:color="auto"/>
              <w:left w:val="none" w:sz="0" w:space="0" w:color="auto"/>
              <w:bottom w:val="none" w:sz="0" w:space="0" w:color="auto"/>
              <w:right w:val="none" w:sz="0" w:space="0" w:color="auto"/>
            </w:tcBorders>
          </w:tcPr>
          <w:p w14:paraId="195B3E1D" w14:textId="75987401" w:rsidR="00454E84" w:rsidRDefault="00454E84" w:rsidP="0056690A">
            <w:pPr>
              <w:jc w:val="right"/>
              <w:cnfStyle w:val="000000100000" w:firstRow="0" w:lastRow="0" w:firstColumn="0" w:lastColumn="0" w:oddVBand="0" w:evenVBand="0" w:oddHBand="1" w:evenHBand="0" w:firstRowFirstColumn="0" w:firstRowLastColumn="0" w:lastRowFirstColumn="0" w:lastRowLastColumn="0"/>
            </w:pPr>
            <w:r>
              <w:rPr>
                <w:color w:val="4A4D56"/>
              </w:rPr>
              <w:t>2,650</w:t>
            </w:r>
          </w:p>
        </w:tc>
        <w:tc>
          <w:tcPr>
            <w:tcW w:w="1850" w:type="dxa"/>
            <w:tcBorders>
              <w:top w:val="none" w:sz="0" w:space="0" w:color="auto"/>
              <w:left w:val="none" w:sz="0" w:space="0" w:color="auto"/>
              <w:bottom w:val="none" w:sz="0" w:space="0" w:color="auto"/>
              <w:right w:val="none" w:sz="0" w:space="0" w:color="auto"/>
            </w:tcBorders>
          </w:tcPr>
          <w:p w14:paraId="5C6A8E7D" w14:textId="74A73729" w:rsidR="00454E84" w:rsidRDefault="00454E84" w:rsidP="0056690A">
            <w:pPr>
              <w:jc w:val="right"/>
              <w:cnfStyle w:val="000000100000" w:firstRow="0" w:lastRow="0" w:firstColumn="0" w:lastColumn="0" w:oddVBand="0" w:evenVBand="0" w:oddHBand="1" w:evenHBand="0" w:firstRowFirstColumn="0" w:firstRowLastColumn="0" w:lastRowFirstColumn="0" w:lastRowLastColumn="0"/>
            </w:pPr>
            <w:r>
              <w:rPr>
                <w:color w:val="4A4D56"/>
              </w:rPr>
              <w:t>0.732</w:t>
            </w:r>
          </w:p>
        </w:tc>
        <w:tc>
          <w:tcPr>
            <w:tcW w:w="1850" w:type="dxa"/>
            <w:tcBorders>
              <w:top w:val="none" w:sz="0" w:space="0" w:color="auto"/>
              <w:left w:val="none" w:sz="0" w:space="0" w:color="auto"/>
              <w:bottom w:val="none" w:sz="0" w:space="0" w:color="auto"/>
              <w:right w:val="none" w:sz="0" w:space="0" w:color="auto"/>
            </w:tcBorders>
          </w:tcPr>
          <w:p w14:paraId="7EE934D6" w14:textId="4DFC06EC" w:rsidR="00454E84" w:rsidRDefault="00454E84" w:rsidP="0056690A">
            <w:pPr>
              <w:jc w:val="right"/>
              <w:cnfStyle w:val="000000100000" w:firstRow="0" w:lastRow="0" w:firstColumn="0" w:lastColumn="0" w:oddVBand="0" w:evenVBand="0" w:oddHBand="1" w:evenHBand="0" w:firstRowFirstColumn="0" w:firstRowLastColumn="0" w:lastRowFirstColumn="0" w:lastRowLastColumn="0"/>
            </w:pPr>
            <w:r>
              <w:rPr>
                <w:color w:val="4A4D56"/>
              </w:rPr>
              <w:t>1,939</w:t>
            </w:r>
          </w:p>
        </w:tc>
      </w:tr>
      <w:tr w:rsidR="00454E84" w14:paraId="448DFD49" w14:textId="77777777" w:rsidTr="005669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15B27385" w14:textId="67BB1A1C" w:rsidR="00454E84" w:rsidRPr="007B4B4B" w:rsidRDefault="00454E84" w:rsidP="00454E84">
            <w:pPr>
              <w:rPr>
                <w:rFonts w:ascii="Franklin Gothic Medium" w:hAnsi="Franklin Gothic Medium"/>
              </w:rPr>
            </w:pPr>
            <w:r w:rsidRPr="007B4B4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7A0664AB" w14:textId="0FE589DA" w:rsidR="00454E84" w:rsidRPr="007B4B4B" w:rsidRDefault="00454E84" w:rsidP="0056690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2,650</w:t>
            </w:r>
          </w:p>
        </w:tc>
        <w:tc>
          <w:tcPr>
            <w:tcW w:w="1849" w:type="dxa"/>
            <w:tcBorders>
              <w:top w:val="none" w:sz="0" w:space="0" w:color="auto"/>
              <w:left w:val="none" w:sz="0" w:space="0" w:color="auto"/>
              <w:bottom w:val="none" w:sz="0" w:space="0" w:color="auto"/>
              <w:right w:val="none" w:sz="0" w:space="0" w:color="auto"/>
            </w:tcBorders>
          </w:tcPr>
          <w:p w14:paraId="6250EC87" w14:textId="73E63653" w:rsidR="00454E84" w:rsidRPr="007B4B4B" w:rsidRDefault="00454E84" w:rsidP="0056690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color w:val="4A4D56"/>
              </w:rPr>
              <w:t>100%</w:t>
            </w:r>
          </w:p>
        </w:tc>
        <w:tc>
          <w:tcPr>
            <w:tcW w:w="1849" w:type="dxa"/>
            <w:tcBorders>
              <w:top w:val="none" w:sz="0" w:space="0" w:color="auto"/>
              <w:left w:val="none" w:sz="0" w:space="0" w:color="auto"/>
              <w:bottom w:val="none" w:sz="0" w:space="0" w:color="auto"/>
              <w:right w:val="none" w:sz="0" w:space="0" w:color="auto"/>
            </w:tcBorders>
          </w:tcPr>
          <w:p w14:paraId="558EF359" w14:textId="61BF0EF4" w:rsidR="00454E84" w:rsidRPr="007B4B4B" w:rsidRDefault="00454E84" w:rsidP="0056690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color w:val="4A4D56"/>
              </w:rPr>
              <w:t>2,650</w:t>
            </w:r>
          </w:p>
        </w:tc>
        <w:tc>
          <w:tcPr>
            <w:tcW w:w="1850" w:type="dxa"/>
            <w:tcBorders>
              <w:top w:val="none" w:sz="0" w:space="0" w:color="auto"/>
              <w:left w:val="none" w:sz="0" w:space="0" w:color="auto"/>
              <w:bottom w:val="none" w:sz="0" w:space="0" w:color="auto"/>
              <w:right w:val="none" w:sz="0" w:space="0" w:color="auto"/>
            </w:tcBorders>
          </w:tcPr>
          <w:p w14:paraId="681A8448" w14:textId="79AD89C4" w:rsidR="00454E84" w:rsidRPr="007B4B4B" w:rsidRDefault="00454E84" w:rsidP="0056690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color w:val="4A4D56"/>
              </w:rPr>
              <w:t>0.732</w:t>
            </w:r>
          </w:p>
        </w:tc>
        <w:tc>
          <w:tcPr>
            <w:tcW w:w="1850" w:type="dxa"/>
            <w:tcBorders>
              <w:top w:val="none" w:sz="0" w:space="0" w:color="auto"/>
              <w:left w:val="none" w:sz="0" w:space="0" w:color="auto"/>
              <w:bottom w:val="none" w:sz="0" w:space="0" w:color="auto"/>
              <w:right w:val="none" w:sz="0" w:space="0" w:color="auto"/>
            </w:tcBorders>
          </w:tcPr>
          <w:p w14:paraId="5C51AE06" w14:textId="118B3052" w:rsidR="00454E84" w:rsidRPr="007B4B4B" w:rsidRDefault="00454E84" w:rsidP="0056690A">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color w:val="4A4D56"/>
              </w:rPr>
              <w:t>1,939</w:t>
            </w:r>
          </w:p>
        </w:tc>
      </w:tr>
    </w:tbl>
    <w:p w14:paraId="4F98D3C4" w14:textId="557B86AB" w:rsidR="00917A8B" w:rsidRDefault="00917A8B" w:rsidP="00917A8B">
      <w:pPr>
        <w:pStyle w:val="AppendixGamma"/>
      </w:pPr>
      <w:bookmarkStart w:id="488" w:name="_Toc191992485"/>
      <w:r>
        <w:t>Gas Heating Penalties</w:t>
      </w:r>
      <w:bookmarkEnd w:id="488"/>
    </w:p>
    <w:p w14:paraId="7B4D7488" w14:textId="445F754A" w:rsidR="00917A8B" w:rsidRDefault="00917A8B" w:rsidP="00917A8B">
      <w:r>
        <w:fldChar w:fldCharType="begin"/>
      </w:r>
      <w:r>
        <w:instrText xml:space="preserve"> REF _Ref187405020 \h </w:instrText>
      </w:r>
      <w:r>
        <w:fldChar w:fldCharType="separate"/>
      </w:r>
      <w:r w:rsidR="00AA10F4">
        <w:t xml:space="preserve">Table </w:t>
      </w:r>
      <w:r w:rsidR="00AA10F4">
        <w:rPr>
          <w:noProof/>
        </w:rPr>
        <w:t>109</w:t>
      </w:r>
      <w:r>
        <w:fldChar w:fldCharType="end"/>
      </w:r>
      <w:r>
        <w:t xml:space="preserve"> presents gas penalties not reported in the body of the report for the Standard Initiative. </w:t>
      </w:r>
    </w:p>
    <w:p w14:paraId="481975D9" w14:textId="5AD0995F" w:rsidR="00917A8B" w:rsidRDefault="00917A8B" w:rsidP="00881B1B">
      <w:pPr>
        <w:pStyle w:val="Caption"/>
      </w:pPr>
      <w:bookmarkStart w:id="489" w:name="_Ref187405020"/>
      <w:bookmarkStart w:id="490" w:name="_Toc191992627"/>
      <w:bookmarkStart w:id="491" w:name="_Toc192767043"/>
      <w:r>
        <w:t xml:space="preserve">Table </w:t>
      </w:r>
      <w:r w:rsidR="009B4C9A">
        <w:fldChar w:fldCharType="begin"/>
      </w:r>
      <w:r w:rsidR="009B4C9A">
        <w:instrText xml:space="preserve"> SEQ Table \* ARABIC </w:instrText>
      </w:r>
      <w:r w:rsidR="009B4C9A">
        <w:fldChar w:fldCharType="separate"/>
      </w:r>
      <w:r w:rsidR="00AA10F4">
        <w:rPr>
          <w:noProof/>
        </w:rPr>
        <w:t>109</w:t>
      </w:r>
      <w:r w:rsidR="009B4C9A">
        <w:rPr>
          <w:noProof/>
        </w:rPr>
        <w:fldChar w:fldCharType="end"/>
      </w:r>
      <w:bookmarkEnd w:id="489"/>
      <w:r>
        <w:t>. 2024 Standard Initiative Gas Heating Penalties</w:t>
      </w:r>
      <w:bookmarkEnd w:id="490"/>
      <w:bookmarkEnd w:id="491"/>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698"/>
        <w:gridCol w:w="3699"/>
        <w:gridCol w:w="3699"/>
      </w:tblGrid>
      <w:tr w:rsidR="00917A8B" w14:paraId="1037CCB1"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65416F0B" w14:textId="040659B0" w:rsidR="00917A8B" w:rsidRDefault="00917A8B" w:rsidP="00917A8B">
            <w:pPr>
              <w:pStyle w:val="TableHeadingLeft"/>
            </w:pPr>
            <w:r>
              <w:t>Channel</w:t>
            </w:r>
          </w:p>
        </w:tc>
        <w:tc>
          <w:tcPr>
            <w:tcW w:w="3699" w:type="dxa"/>
            <w:tcBorders>
              <w:bottom w:val="none" w:sz="0" w:space="0" w:color="auto"/>
            </w:tcBorders>
          </w:tcPr>
          <w:p w14:paraId="1A4DE62B" w14:textId="7D99CE4E" w:rsidR="00917A8B" w:rsidRDefault="00917A8B" w:rsidP="00917A8B">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3699" w:type="dxa"/>
            <w:tcBorders>
              <w:bottom w:val="none" w:sz="0" w:space="0" w:color="auto"/>
            </w:tcBorders>
          </w:tcPr>
          <w:p w14:paraId="3983CC0C" w14:textId="5DB8394A" w:rsidR="00917A8B" w:rsidRDefault="00917A8B" w:rsidP="00917A8B">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F901FB" w14:paraId="14D226FF" w14:textId="77777777" w:rsidTr="007B4B4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vMerge w:val="restart"/>
            <w:tcBorders>
              <w:top w:val="none" w:sz="0" w:space="0" w:color="auto"/>
              <w:left w:val="none" w:sz="0" w:space="0" w:color="auto"/>
              <w:bottom w:val="none" w:sz="0" w:space="0" w:color="auto"/>
              <w:right w:val="none" w:sz="0" w:space="0" w:color="auto"/>
            </w:tcBorders>
          </w:tcPr>
          <w:p w14:paraId="47B45E18" w14:textId="49A24700" w:rsidR="00F901FB" w:rsidRDefault="00F901FB" w:rsidP="00F901FB">
            <w:r>
              <w:t>Standard Core</w:t>
            </w:r>
          </w:p>
        </w:tc>
        <w:tc>
          <w:tcPr>
            <w:tcW w:w="3699" w:type="dxa"/>
            <w:tcBorders>
              <w:top w:val="none" w:sz="0" w:space="0" w:color="auto"/>
              <w:left w:val="none" w:sz="0" w:space="0" w:color="auto"/>
              <w:bottom w:val="none" w:sz="0" w:space="0" w:color="auto"/>
              <w:right w:val="none" w:sz="0" w:space="0" w:color="auto"/>
            </w:tcBorders>
            <w:vAlign w:val="bottom"/>
          </w:tcPr>
          <w:p w14:paraId="6D8A969B" w14:textId="35DAA55E" w:rsidR="00F901FB" w:rsidRDefault="00F901FB" w:rsidP="00F901FB">
            <w:pPr>
              <w:cnfStyle w:val="000000100000" w:firstRow="0" w:lastRow="0" w:firstColumn="0" w:lastColumn="0" w:oddVBand="0" w:evenVBand="0" w:oddHBand="1" w:evenHBand="0" w:firstRowFirstColumn="0" w:firstRowLastColumn="0" w:lastRowFirstColumn="0" w:lastRowLastColumn="0"/>
            </w:pPr>
            <w:r>
              <w:rPr>
                <w:color w:val="4A4D56"/>
              </w:rPr>
              <w:t>LED Fixtures and Bulbs</w:t>
            </w:r>
          </w:p>
        </w:tc>
        <w:tc>
          <w:tcPr>
            <w:tcW w:w="3699" w:type="dxa"/>
            <w:tcBorders>
              <w:top w:val="none" w:sz="0" w:space="0" w:color="auto"/>
              <w:left w:val="none" w:sz="0" w:space="0" w:color="auto"/>
              <w:bottom w:val="none" w:sz="0" w:space="0" w:color="auto"/>
              <w:right w:val="none" w:sz="0" w:space="0" w:color="auto"/>
            </w:tcBorders>
          </w:tcPr>
          <w:p w14:paraId="78C0BAFB" w14:textId="418DAB9E" w:rsidR="00F901FB" w:rsidRDefault="00F901FB" w:rsidP="00F901FB">
            <w:pPr>
              <w:jc w:val="right"/>
              <w:cnfStyle w:val="000000100000" w:firstRow="0" w:lastRow="0" w:firstColumn="0" w:lastColumn="0" w:oddVBand="0" w:evenVBand="0" w:oddHBand="1" w:evenHBand="0" w:firstRowFirstColumn="0" w:firstRowLastColumn="0" w:lastRowFirstColumn="0" w:lastRowLastColumn="0"/>
            </w:pPr>
            <w:r>
              <w:rPr>
                <w:color w:val="4A4D56"/>
              </w:rPr>
              <w:t>-195,134</w:t>
            </w:r>
          </w:p>
        </w:tc>
      </w:tr>
      <w:tr w:rsidR="00F901FB" w14:paraId="2304C6FF" w14:textId="77777777" w:rsidTr="007B4B4B">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72A1FA28" w14:textId="77777777" w:rsidR="00F901FB" w:rsidRDefault="00F901FB" w:rsidP="00F901FB"/>
        </w:tc>
        <w:tc>
          <w:tcPr>
            <w:tcW w:w="3699" w:type="dxa"/>
            <w:tcBorders>
              <w:top w:val="none" w:sz="0" w:space="0" w:color="auto"/>
              <w:left w:val="none" w:sz="0" w:space="0" w:color="auto"/>
              <w:bottom w:val="none" w:sz="0" w:space="0" w:color="auto"/>
              <w:right w:val="none" w:sz="0" w:space="0" w:color="auto"/>
            </w:tcBorders>
            <w:vAlign w:val="bottom"/>
          </w:tcPr>
          <w:p w14:paraId="4B06C56B" w14:textId="09A56F67" w:rsidR="00F901FB" w:rsidRDefault="00F901FB" w:rsidP="00F901FB">
            <w:pPr>
              <w:cnfStyle w:val="000000010000" w:firstRow="0" w:lastRow="0" w:firstColumn="0" w:lastColumn="0" w:oddVBand="0" w:evenVBand="0" w:oddHBand="0" w:evenHBand="1" w:firstRowFirstColumn="0" w:firstRowLastColumn="0" w:lastRowFirstColumn="0" w:lastRowLastColumn="0"/>
            </w:pPr>
            <w:r>
              <w:rPr>
                <w:color w:val="4A4D56"/>
              </w:rPr>
              <w:t>Lighting Controls</w:t>
            </w:r>
          </w:p>
        </w:tc>
        <w:tc>
          <w:tcPr>
            <w:tcW w:w="3699" w:type="dxa"/>
            <w:tcBorders>
              <w:top w:val="none" w:sz="0" w:space="0" w:color="auto"/>
              <w:left w:val="none" w:sz="0" w:space="0" w:color="auto"/>
              <w:bottom w:val="none" w:sz="0" w:space="0" w:color="auto"/>
              <w:right w:val="none" w:sz="0" w:space="0" w:color="auto"/>
            </w:tcBorders>
          </w:tcPr>
          <w:p w14:paraId="5DD0817F" w14:textId="2861A2D5" w:rsidR="00F901FB" w:rsidRDefault="00F901FB" w:rsidP="00F901FB">
            <w:pPr>
              <w:jc w:val="right"/>
              <w:cnfStyle w:val="000000010000" w:firstRow="0" w:lastRow="0" w:firstColumn="0" w:lastColumn="0" w:oddVBand="0" w:evenVBand="0" w:oddHBand="0" w:evenHBand="1" w:firstRowFirstColumn="0" w:firstRowLastColumn="0" w:lastRowFirstColumn="0" w:lastRowLastColumn="0"/>
            </w:pPr>
            <w:r>
              <w:rPr>
                <w:color w:val="4A4D56"/>
              </w:rPr>
              <w:t>-36,703</w:t>
            </w:r>
          </w:p>
        </w:tc>
      </w:tr>
      <w:tr w:rsidR="00C2086E" w14:paraId="33CBEA66" w14:textId="77777777" w:rsidTr="007B4B4B">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vMerge w:val="restart"/>
            <w:tcBorders>
              <w:top w:val="none" w:sz="0" w:space="0" w:color="auto"/>
              <w:left w:val="none" w:sz="0" w:space="0" w:color="auto"/>
              <w:bottom w:val="none" w:sz="0" w:space="0" w:color="auto"/>
              <w:right w:val="none" w:sz="0" w:space="0" w:color="auto"/>
            </w:tcBorders>
          </w:tcPr>
          <w:p w14:paraId="5D2EC932" w14:textId="5733ECBB" w:rsidR="00C2086E" w:rsidRDefault="00C2086E" w:rsidP="00C2086E">
            <w:r>
              <w:t>Online Store</w:t>
            </w:r>
          </w:p>
        </w:tc>
        <w:tc>
          <w:tcPr>
            <w:tcW w:w="3699" w:type="dxa"/>
            <w:tcBorders>
              <w:top w:val="none" w:sz="0" w:space="0" w:color="auto"/>
              <w:left w:val="none" w:sz="0" w:space="0" w:color="auto"/>
              <w:bottom w:val="none" w:sz="0" w:space="0" w:color="auto"/>
              <w:right w:val="none" w:sz="0" w:space="0" w:color="auto"/>
            </w:tcBorders>
            <w:vAlign w:val="top"/>
          </w:tcPr>
          <w:p w14:paraId="66E964B8" w14:textId="66C6E47F" w:rsidR="00C2086E" w:rsidRDefault="00C2086E" w:rsidP="00C2086E">
            <w:pPr>
              <w:cnfStyle w:val="000000100000" w:firstRow="0" w:lastRow="0" w:firstColumn="0" w:lastColumn="0" w:oddVBand="0" w:evenVBand="0" w:oddHBand="1" w:evenHBand="0" w:firstRowFirstColumn="0" w:firstRowLastColumn="0" w:lastRowFirstColumn="0" w:lastRowLastColumn="0"/>
            </w:pPr>
            <w:r w:rsidRPr="00A07141">
              <w:t>LEDs</w:t>
            </w:r>
          </w:p>
        </w:tc>
        <w:tc>
          <w:tcPr>
            <w:tcW w:w="3699" w:type="dxa"/>
            <w:tcBorders>
              <w:top w:val="none" w:sz="0" w:space="0" w:color="auto"/>
              <w:left w:val="none" w:sz="0" w:space="0" w:color="auto"/>
              <w:bottom w:val="none" w:sz="0" w:space="0" w:color="auto"/>
              <w:right w:val="none" w:sz="0" w:space="0" w:color="auto"/>
            </w:tcBorders>
            <w:vAlign w:val="top"/>
          </w:tcPr>
          <w:p w14:paraId="22C9D3B7" w14:textId="588428A4" w:rsidR="00C2086E" w:rsidRDefault="00C2086E" w:rsidP="00C2086E">
            <w:pPr>
              <w:jc w:val="right"/>
              <w:cnfStyle w:val="000000100000" w:firstRow="0" w:lastRow="0" w:firstColumn="0" w:lastColumn="0" w:oddVBand="0" w:evenVBand="0" w:oddHBand="1" w:evenHBand="0" w:firstRowFirstColumn="0" w:firstRowLastColumn="0" w:lastRowFirstColumn="0" w:lastRowLastColumn="0"/>
            </w:pPr>
            <w:r w:rsidRPr="00A07141">
              <w:t>-</w:t>
            </w:r>
            <w:r>
              <w:t>447</w:t>
            </w:r>
          </w:p>
        </w:tc>
      </w:tr>
      <w:tr w:rsidR="00C2086E" w14:paraId="39B0F398" w14:textId="77777777" w:rsidTr="007B4B4B">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061CDCF3" w14:textId="77777777" w:rsidR="00C2086E" w:rsidRDefault="00C2086E" w:rsidP="00C2086E"/>
        </w:tc>
        <w:tc>
          <w:tcPr>
            <w:tcW w:w="3699" w:type="dxa"/>
            <w:tcBorders>
              <w:top w:val="none" w:sz="0" w:space="0" w:color="auto"/>
              <w:left w:val="none" w:sz="0" w:space="0" w:color="auto"/>
              <w:bottom w:val="none" w:sz="0" w:space="0" w:color="auto"/>
              <w:right w:val="none" w:sz="0" w:space="0" w:color="auto"/>
            </w:tcBorders>
            <w:vAlign w:val="top"/>
          </w:tcPr>
          <w:p w14:paraId="1C550376" w14:textId="7339ACFC" w:rsidR="00C2086E" w:rsidRDefault="00C2086E" w:rsidP="00C2086E">
            <w:pPr>
              <w:cnfStyle w:val="000000010000" w:firstRow="0" w:lastRow="0" w:firstColumn="0" w:lastColumn="0" w:oddVBand="0" w:evenVBand="0" w:oddHBand="0" w:evenHBand="1" w:firstRowFirstColumn="0" w:firstRowLastColumn="0" w:lastRowFirstColumn="0" w:lastRowLastColumn="0"/>
            </w:pPr>
            <w:r w:rsidRPr="00A07141">
              <w:t>Lighting Controls</w:t>
            </w:r>
          </w:p>
        </w:tc>
        <w:tc>
          <w:tcPr>
            <w:tcW w:w="3699" w:type="dxa"/>
            <w:tcBorders>
              <w:top w:val="none" w:sz="0" w:space="0" w:color="auto"/>
              <w:left w:val="none" w:sz="0" w:space="0" w:color="auto"/>
              <w:bottom w:val="none" w:sz="0" w:space="0" w:color="auto"/>
              <w:right w:val="none" w:sz="0" w:space="0" w:color="auto"/>
            </w:tcBorders>
            <w:vAlign w:val="top"/>
          </w:tcPr>
          <w:p w14:paraId="04728DA7" w14:textId="61E267C2" w:rsidR="00C2086E" w:rsidRDefault="00C2086E" w:rsidP="00C2086E">
            <w:pPr>
              <w:jc w:val="right"/>
              <w:cnfStyle w:val="000000010000" w:firstRow="0" w:lastRow="0" w:firstColumn="0" w:lastColumn="0" w:oddVBand="0" w:evenVBand="0" w:oddHBand="0" w:evenHBand="1" w:firstRowFirstColumn="0" w:firstRowLastColumn="0" w:lastRowFirstColumn="0" w:lastRowLastColumn="0"/>
            </w:pPr>
            <w:r w:rsidRPr="00A07141">
              <w:t>-</w:t>
            </w:r>
            <w:r>
              <w:t>236</w:t>
            </w:r>
          </w:p>
        </w:tc>
      </w:tr>
      <w:tr w:rsidR="007B4B4B" w14:paraId="454521B6" w14:textId="77777777" w:rsidTr="00CC56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7" w:type="dxa"/>
            <w:gridSpan w:val="2"/>
          </w:tcPr>
          <w:p w14:paraId="6F52BC8D" w14:textId="692AD2C6" w:rsidR="007B4B4B" w:rsidRPr="007B4B4B" w:rsidRDefault="007B4B4B" w:rsidP="00917A8B">
            <w:pPr>
              <w:rPr>
                <w:rFonts w:ascii="Franklin Gothic Medium" w:hAnsi="Franklin Gothic Medium"/>
              </w:rPr>
            </w:pPr>
            <w:r w:rsidRPr="007B4B4B">
              <w:rPr>
                <w:rFonts w:ascii="Franklin Gothic Medium" w:hAnsi="Franklin Gothic Medium"/>
              </w:rPr>
              <w:t>Total Gas Penalties</w:t>
            </w:r>
          </w:p>
        </w:tc>
        <w:tc>
          <w:tcPr>
            <w:tcW w:w="3699" w:type="dxa"/>
          </w:tcPr>
          <w:p w14:paraId="54185A18" w14:textId="4F62200B" w:rsidR="007B4B4B" w:rsidRPr="007B4B4B" w:rsidRDefault="007B4B4B" w:rsidP="00917A8B">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-232,521</w:t>
            </w:r>
          </w:p>
        </w:tc>
      </w:tr>
    </w:tbl>
    <w:p w14:paraId="44EEE709" w14:textId="3DD4E92D" w:rsidR="00917A8B" w:rsidRDefault="00917A8B" w:rsidP="00917A8B">
      <w:pPr>
        <w:pStyle w:val="AppendixGamma"/>
      </w:pPr>
      <w:bookmarkStart w:id="492" w:name="_Toc191992486"/>
      <w:r>
        <w:lastRenderedPageBreak/>
        <w:t>Secondary Electric Savings for Water Supply and Wastewater Treatment</w:t>
      </w:r>
      <w:bookmarkEnd w:id="492"/>
    </w:p>
    <w:p w14:paraId="6622DE7A" w14:textId="42BF8A39" w:rsidR="00917A8B" w:rsidRDefault="00CB7C9D" w:rsidP="00917A8B">
      <w:r>
        <w:fldChar w:fldCharType="begin"/>
      </w:r>
      <w:r>
        <w:instrText xml:space="preserve"> REF _Ref187407933 \h </w:instrText>
      </w:r>
      <w:r>
        <w:fldChar w:fldCharType="separate"/>
      </w:r>
      <w:r w:rsidR="00AA10F4">
        <w:t xml:space="preserve">Table </w:t>
      </w:r>
      <w:r w:rsidR="00AA10F4">
        <w:rPr>
          <w:noProof/>
        </w:rPr>
        <w:t>110</w:t>
      </w:r>
      <w:r>
        <w:fldChar w:fldCharType="end"/>
      </w:r>
      <w:r>
        <w:t xml:space="preserve"> </w:t>
      </w:r>
      <w:r w:rsidR="00917A8B">
        <w:t xml:space="preserve">presents water savings and secondary electric savings for the Standard Initiative. </w:t>
      </w:r>
    </w:p>
    <w:p w14:paraId="2D7AF095" w14:textId="208CE656" w:rsidR="00CB7C9D" w:rsidRDefault="00CB7C9D" w:rsidP="00881B1B">
      <w:pPr>
        <w:pStyle w:val="Caption"/>
      </w:pPr>
      <w:bookmarkStart w:id="493" w:name="_Ref187407933"/>
      <w:bookmarkStart w:id="494" w:name="_Toc191992628"/>
      <w:bookmarkStart w:id="495" w:name="_Toc192767044"/>
      <w:r>
        <w:t xml:space="preserve">Table </w:t>
      </w:r>
      <w:r w:rsidR="009B4C9A">
        <w:fldChar w:fldCharType="begin"/>
      </w:r>
      <w:r w:rsidR="009B4C9A">
        <w:instrText xml:space="preserve"> SEQ Table \* ARABIC </w:instrText>
      </w:r>
      <w:r w:rsidR="009B4C9A">
        <w:fldChar w:fldCharType="separate"/>
      </w:r>
      <w:r w:rsidR="00AA10F4">
        <w:rPr>
          <w:noProof/>
        </w:rPr>
        <w:t>110</w:t>
      </w:r>
      <w:r w:rsidR="009B4C9A">
        <w:rPr>
          <w:noProof/>
        </w:rPr>
        <w:fldChar w:fldCharType="end"/>
      </w:r>
      <w:bookmarkEnd w:id="493"/>
      <w:r>
        <w:t>. 2024 Standard Initiative Secondary Electric and Water Savings by Measure</w:t>
      </w:r>
      <w:bookmarkEnd w:id="494"/>
      <w:bookmarkEnd w:id="495"/>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135"/>
        <w:gridCol w:w="2341"/>
        <w:gridCol w:w="2159"/>
        <w:gridCol w:w="2461"/>
      </w:tblGrid>
      <w:tr w:rsidR="00436606" w14:paraId="4CBDDB54" w14:textId="77777777" w:rsidTr="00BB5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4D373560" w14:textId="63D02414" w:rsidR="00436606" w:rsidRDefault="00436606" w:rsidP="00436606">
            <w:pPr>
              <w:pStyle w:val="TableHeadingLeft"/>
            </w:pPr>
            <w:r>
              <w:t>Measure Category</w:t>
            </w:r>
          </w:p>
        </w:tc>
        <w:tc>
          <w:tcPr>
            <w:tcW w:w="1055" w:type="pct"/>
            <w:tcBorders>
              <w:bottom w:val="none" w:sz="0" w:space="0" w:color="auto"/>
            </w:tcBorders>
          </w:tcPr>
          <w:p w14:paraId="5A0772FF" w14:textId="2596802A" w:rsidR="00436606" w:rsidRDefault="00436606" w:rsidP="00436606">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Water </w:t>
            </w:r>
            <w:r w:rsidR="008D6DB7">
              <w:t>Savings</w:t>
            </w:r>
            <w:r>
              <w:t xml:space="preserve"> (Gallons)</w:t>
            </w:r>
          </w:p>
        </w:tc>
        <w:tc>
          <w:tcPr>
            <w:tcW w:w="973" w:type="pct"/>
            <w:tcBorders>
              <w:bottom w:val="none" w:sz="0" w:space="0" w:color="auto"/>
            </w:tcBorders>
          </w:tcPr>
          <w:p w14:paraId="6AD399A5" w14:textId="674E84D1" w:rsidR="00436606" w:rsidRDefault="00436606" w:rsidP="00BB5189">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1109" w:type="pct"/>
            <w:tcBorders>
              <w:bottom w:val="none" w:sz="0" w:space="0" w:color="auto"/>
            </w:tcBorders>
          </w:tcPr>
          <w:p w14:paraId="52BA3631" w14:textId="6647B79C" w:rsidR="00436606" w:rsidRDefault="00436606" w:rsidP="00436606">
            <w:pPr>
              <w:pStyle w:val="TableHeadingCentered"/>
              <w:cnfStyle w:val="100000000000" w:firstRow="1" w:lastRow="0" w:firstColumn="0" w:lastColumn="0" w:oddVBand="0" w:evenVBand="0" w:oddHBand="0" w:evenHBand="0" w:firstRowFirstColumn="0" w:firstRowLastColumn="0" w:lastRowFirstColumn="0" w:lastRowLastColumn="0"/>
            </w:pPr>
            <w:r>
              <w:t xml:space="preserve">Verified Gross </w:t>
            </w:r>
            <w:r w:rsidR="008D6DB7">
              <w:t>Secondary</w:t>
            </w:r>
            <w:r>
              <w:t xml:space="preserve"> Electric Savings (kWh)</w:t>
            </w:r>
          </w:p>
        </w:tc>
      </w:tr>
      <w:tr w:rsidR="00642AD3" w14:paraId="315A6550" w14:textId="77777777" w:rsidTr="00BB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vAlign w:val="bottom"/>
          </w:tcPr>
          <w:p w14:paraId="2A940414" w14:textId="70422499" w:rsidR="00642AD3" w:rsidRDefault="00642AD3" w:rsidP="00642AD3">
            <w:r>
              <w:rPr>
                <w:color w:val="4A4D56"/>
              </w:rPr>
              <w:t>Ozone Laundry</w:t>
            </w:r>
          </w:p>
        </w:tc>
        <w:tc>
          <w:tcPr>
            <w:tcW w:w="1055" w:type="pct"/>
            <w:tcBorders>
              <w:top w:val="none" w:sz="0" w:space="0" w:color="auto"/>
              <w:left w:val="none" w:sz="0" w:space="0" w:color="auto"/>
              <w:bottom w:val="none" w:sz="0" w:space="0" w:color="auto"/>
              <w:right w:val="none" w:sz="0" w:space="0" w:color="auto"/>
            </w:tcBorders>
          </w:tcPr>
          <w:p w14:paraId="0B6D2F96" w14:textId="200DD799" w:rsidR="00642AD3" w:rsidRDefault="00642AD3" w:rsidP="00BB5189">
            <w:pPr>
              <w:jc w:val="right"/>
              <w:cnfStyle w:val="000000100000" w:firstRow="0" w:lastRow="0" w:firstColumn="0" w:lastColumn="0" w:oddVBand="0" w:evenVBand="0" w:oddHBand="1" w:evenHBand="0" w:firstRowFirstColumn="0" w:firstRowLastColumn="0" w:lastRowFirstColumn="0" w:lastRowLastColumn="0"/>
            </w:pPr>
            <w:r>
              <w:rPr>
                <w:color w:val="4A4D56"/>
              </w:rPr>
              <w:t>1,108,004</w:t>
            </w:r>
          </w:p>
        </w:tc>
        <w:tc>
          <w:tcPr>
            <w:tcW w:w="973" w:type="pct"/>
            <w:tcBorders>
              <w:top w:val="none" w:sz="0" w:space="0" w:color="auto"/>
              <w:left w:val="none" w:sz="0" w:space="0" w:color="auto"/>
              <w:bottom w:val="none" w:sz="0" w:space="0" w:color="auto"/>
              <w:right w:val="none" w:sz="0" w:space="0" w:color="auto"/>
            </w:tcBorders>
          </w:tcPr>
          <w:p w14:paraId="76C7496F" w14:textId="7289F617" w:rsidR="00642AD3" w:rsidRPr="00436606" w:rsidRDefault="00642AD3" w:rsidP="00BB5189">
            <w:pPr>
              <w:contextualSpacing/>
              <w:jc w:val="center"/>
              <w:cnfStyle w:val="000000100000" w:firstRow="0" w:lastRow="0" w:firstColumn="0" w:lastColumn="0" w:oddVBand="0" w:evenVBand="0" w:oddHBand="1" w:evenHBand="0" w:firstRowFirstColumn="0" w:firstRowLastColumn="0" w:lastRowFirstColumn="0" w:lastRowLastColumn="0"/>
              <w:rPr>
                <w:vertAlign w:val="superscript"/>
              </w:rPr>
            </w:pPr>
            <w:r>
              <w:t>5,010 kWh/million gal</w:t>
            </w:r>
            <w:r>
              <w:rPr>
                <w:vertAlign w:val="superscript"/>
              </w:rPr>
              <w:t>a</w:t>
            </w:r>
          </w:p>
        </w:tc>
        <w:tc>
          <w:tcPr>
            <w:tcW w:w="1109" w:type="pct"/>
            <w:tcBorders>
              <w:top w:val="none" w:sz="0" w:space="0" w:color="auto"/>
              <w:left w:val="none" w:sz="0" w:space="0" w:color="auto"/>
              <w:bottom w:val="none" w:sz="0" w:space="0" w:color="auto"/>
              <w:right w:val="none" w:sz="0" w:space="0" w:color="auto"/>
            </w:tcBorders>
          </w:tcPr>
          <w:p w14:paraId="56590D27" w14:textId="4F0E009A" w:rsidR="00642AD3" w:rsidRDefault="00642AD3" w:rsidP="00BB5189">
            <w:pPr>
              <w:jc w:val="right"/>
              <w:cnfStyle w:val="000000100000" w:firstRow="0" w:lastRow="0" w:firstColumn="0" w:lastColumn="0" w:oddVBand="0" w:evenVBand="0" w:oddHBand="1" w:evenHBand="0" w:firstRowFirstColumn="0" w:firstRowLastColumn="0" w:lastRowFirstColumn="0" w:lastRowLastColumn="0"/>
            </w:pPr>
            <w:r>
              <w:rPr>
                <w:color w:val="4A4D56"/>
              </w:rPr>
              <w:t>5,551</w:t>
            </w:r>
          </w:p>
        </w:tc>
      </w:tr>
      <w:tr w:rsidR="00642AD3" w14:paraId="21EFEABB" w14:textId="77777777" w:rsidTr="00BB5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vAlign w:val="bottom"/>
          </w:tcPr>
          <w:p w14:paraId="73ED8739" w14:textId="0E6AE702" w:rsidR="00642AD3" w:rsidRDefault="00642AD3" w:rsidP="00642AD3">
            <w:r>
              <w:rPr>
                <w:color w:val="4A4D56"/>
              </w:rPr>
              <w:t>Steam Trap Replacement or Repair</w:t>
            </w:r>
          </w:p>
        </w:tc>
        <w:tc>
          <w:tcPr>
            <w:tcW w:w="1055" w:type="pct"/>
            <w:tcBorders>
              <w:top w:val="none" w:sz="0" w:space="0" w:color="auto"/>
              <w:left w:val="none" w:sz="0" w:space="0" w:color="auto"/>
              <w:bottom w:val="none" w:sz="0" w:space="0" w:color="auto"/>
              <w:right w:val="none" w:sz="0" w:space="0" w:color="auto"/>
            </w:tcBorders>
          </w:tcPr>
          <w:p w14:paraId="7A699BC0" w14:textId="77D73290" w:rsidR="00642AD3" w:rsidRDefault="00642AD3" w:rsidP="00BB5189">
            <w:pPr>
              <w:jc w:val="right"/>
              <w:cnfStyle w:val="000000010000" w:firstRow="0" w:lastRow="0" w:firstColumn="0" w:lastColumn="0" w:oddVBand="0" w:evenVBand="0" w:oddHBand="0" w:evenHBand="1" w:firstRowFirstColumn="0" w:firstRowLastColumn="0" w:lastRowFirstColumn="0" w:lastRowLastColumn="0"/>
            </w:pPr>
            <w:r>
              <w:rPr>
                <w:color w:val="4A4D56"/>
              </w:rPr>
              <w:t>6,018,338</w:t>
            </w:r>
          </w:p>
        </w:tc>
        <w:tc>
          <w:tcPr>
            <w:tcW w:w="973" w:type="pct"/>
            <w:vMerge w:val="restart"/>
            <w:tcBorders>
              <w:top w:val="none" w:sz="0" w:space="0" w:color="auto"/>
              <w:left w:val="none" w:sz="0" w:space="0" w:color="auto"/>
              <w:bottom w:val="none" w:sz="0" w:space="0" w:color="auto"/>
              <w:right w:val="none" w:sz="0" w:space="0" w:color="auto"/>
            </w:tcBorders>
          </w:tcPr>
          <w:p w14:paraId="4089134E" w14:textId="1E5FFE91" w:rsidR="00642AD3" w:rsidRDefault="00642AD3" w:rsidP="00BB5189">
            <w:pPr>
              <w:jc w:val="center"/>
              <w:cnfStyle w:val="000000010000" w:firstRow="0" w:lastRow="0" w:firstColumn="0" w:lastColumn="0" w:oddVBand="0" w:evenVBand="0" w:oddHBand="0" w:evenHBand="1" w:firstRowFirstColumn="0" w:firstRowLastColumn="0" w:lastRowFirstColumn="0" w:lastRowLastColumn="0"/>
            </w:pPr>
            <w:r w:rsidRPr="00F901FB">
              <w:t>2,571 kWh/million gal</w:t>
            </w:r>
            <w:r w:rsidRPr="00F901FB">
              <w:rPr>
                <w:vertAlign w:val="superscript"/>
              </w:rPr>
              <w:t>a</w:t>
            </w:r>
          </w:p>
        </w:tc>
        <w:tc>
          <w:tcPr>
            <w:tcW w:w="1109" w:type="pct"/>
            <w:tcBorders>
              <w:top w:val="none" w:sz="0" w:space="0" w:color="auto"/>
              <w:left w:val="none" w:sz="0" w:space="0" w:color="auto"/>
              <w:bottom w:val="none" w:sz="0" w:space="0" w:color="auto"/>
              <w:right w:val="none" w:sz="0" w:space="0" w:color="auto"/>
            </w:tcBorders>
          </w:tcPr>
          <w:p w14:paraId="65B6693B" w14:textId="6739EE62" w:rsidR="00642AD3" w:rsidRDefault="00642AD3" w:rsidP="00BB5189">
            <w:pPr>
              <w:jc w:val="right"/>
              <w:cnfStyle w:val="000000010000" w:firstRow="0" w:lastRow="0" w:firstColumn="0" w:lastColumn="0" w:oddVBand="0" w:evenVBand="0" w:oddHBand="0" w:evenHBand="1" w:firstRowFirstColumn="0" w:firstRowLastColumn="0" w:lastRowFirstColumn="0" w:lastRowLastColumn="0"/>
            </w:pPr>
            <w:r>
              <w:rPr>
                <w:color w:val="4A4D56"/>
              </w:rPr>
              <w:t>15,473</w:t>
            </w:r>
          </w:p>
        </w:tc>
      </w:tr>
      <w:tr w:rsidR="00642AD3" w14:paraId="08621545" w14:textId="77777777" w:rsidTr="00BB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vAlign w:val="bottom"/>
          </w:tcPr>
          <w:p w14:paraId="0C0CC9CD" w14:textId="5E29C40B" w:rsidR="00642AD3" w:rsidRDefault="00642AD3" w:rsidP="00642AD3">
            <w:r>
              <w:rPr>
                <w:color w:val="4A4D56"/>
              </w:rPr>
              <w:t>Steam Trap Monitoring System</w:t>
            </w:r>
          </w:p>
        </w:tc>
        <w:tc>
          <w:tcPr>
            <w:tcW w:w="1055" w:type="pct"/>
            <w:tcBorders>
              <w:top w:val="none" w:sz="0" w:space="0" w:color="auto"/>
              <w:left w:val="none" w:sz="0" w:space="0" w:color="auto"/>
              <w:bottom w:val="none" w:sz="0" w:space="0" w:color="auto"/>
              <w:right w:val="none" w:sz="0" w:space="0" w:color="auto"/>
            </w:tcBorders>
          </w:tcPr>
          <w:p w14:paraId="61A663FC" w14:textId="16319145" w:rsidR="00642AD3" w:rsidRDefault="00642AD3" w:rsidP="00BB5189">
            <w:pPr>
              <w:jc w:val="right"/>
              <w:cnfStyle w:val="000000100000" w:firstRow="0" w:lastRow="0" w:firstColumn="0" w:lastColumn="0" w:oddVBand="0" w:evenVBand="0" w:oddHBand="1" w:evenHBand="0" w:firstRowFirstColumn="0" w:firstRowLastColumn="0" w:lastRowFirstColumn="0" w:lastRowLastColumn="0"/>
            </w:pPr>
            <w:r>
              <w:rPr>
                <w:color w:val="4A4D56"/>
              </w:rPr>
              <w:t>69,991</w:t>
            </w:r>
          </w:p>
        </w:tc>
        <w:tc>
          <w:tcPr>
            <w:tcW w:w="973" w:type="pct"/>
            <w:vMerge/>
            <w:tcBorders>
              <w:top w:val="none" w:sz="0" w:space="0" w:color="auto"/>
              <w:left w:val="none" w:sz="0" w:space="0" w:color="auto"/>
              <w:bottom w:val="none" w:sz="0" w:space="0" w:color="auto"/>
              <w:right w:val="none" w:sz="0" w:space="0" w:color="auto"/>
            </w:tcBorders>
          </w:tcPr>
          <w:p w14:paraId="4756A253" w14:textId="77777777" w:rsidR="00642AD3" w:rsidRDefault="00642AD3" w:rsidP="00BB5189">
            <w:pPr>
              <w:jc w:val="center"/>
              <w:cnfStyle w:val="000000100000" w:firstRow="0" w:lastRow="0" w:firstColumn="0" w:lastColumn="0" w:oddVBand="0" w:evenVBand="0" w:oddHBand="1" w:evenHBand="0" w:firstRowFirstColumn="0" w:firstRowLastColumn="0" w:lastRowFirstColumn="0" w:lastRowLastColumn="0"/>
            </w:pPr>
          </w:p>
        </w:tc>
        <w:tc>
          <w:tcPr>
            <w:tcW w:w="1109" w:type="pct"/>
            <w:tcBorders>
              <w:top w:val="none" w:sz="0" w:space="0" w:color="auto"/>
              <w:left w:val="none" w:sz="0" w:space="0" w:color="auto"/>
              <w:bottom w:val="none" w:sz="0" w:space="0" w:color="auto"/>
              <w:right w:val="none" w:sz="0" w:space="0" w:color="auto"/>
            </w:tcBorders>
          </w:tcPr>
          <w:p w14:paraId="619E1395" w14:textId="347B08A8" w:rsidR="00642AD3" w:rsidRDefault="00642AD3" w:rsidP="00BB5189">
            <w:pPr>
              <w:jc w:val="right"/>
              <w:cnfStyle w:val="000000100000" w:firstRow="0" w:lastRow="0" w:firstColumn="0" w:lastColumn="0" w:oddVBand="0" w:evenVBand="0" w:oddHBand="1" w:evenHBand="0" w:firstRowFirstColumn="0" w:firstRowLastColumn="0" w:lastRowFirstColumn="0" w:lastRowLastColumn="0"/>
            </w:pPr>
            <w:r>
              <w:rPr>
                <w:color w:val="4A4D56"/>
              </w:rPr>
              <w:t>180</w:t>
            </w:r>
          </w:p>
        </w:tc>
      </w:tr>
      <w:tr w:rsidR="00642AD3" w14:paraId="7D43AD03" w14:textId="77777777" w:rsidTr="00BB5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3" w:type="pct"/>
            <w:tcBorders>
              <w:top w:val="none" w:sz="0" w:space="0" w:color="auto"/>
              <w:left w:val="none" w:sz="0" w:space="0" w:color="auto"/>
              <w:bottom w:val="none" w:sz="0" w:space="0" w:color="auto"/>
              <w:right w:val="none" w:sz="0" w:space="0" w:color="auto"/>
            </w:tcBorders>
          </w:tcPr>
          <w:p w14:paraId="1F9B9516" w14:textId="5B7535BE" w:rsidR="00642AD3" w:rsidRPr="007B4B4B" w:rsidRDefault="00642AD3" w:rsidP="00642AD3">
            <w:pPr>
              <w:rPr>
                <w:rFonts w:ascii="Franklin Gothic Medium" w:hAnsi="Franklin Gothic Medium"/>
              </w:rPr>
            </w:pPr>
            <w:r w:rsidRPr="007B4B4B">
              <w:rPr>
                <w:rFonts w:ascii="Franklin Gothic Medium" w:hAnsi="Franklin Gothic Medium"/>
              </w:rPr>
              <w:t>Total</w:t>
            </w:r>
          </w:p>
        </w:tc>
        <w:tc>
          <w:tcPr>
            <w:tcW w:w="1055" w:type="pct"/>
            <w:tcBorders>
              <w:top w:val="none" w:sz="0" w:space="0" w:color="auto"/>
              <w:left w:val="none" w:sz="0" w:space="0" w:color="auto"/>
              <w:bottom w:val="none" w:sz="0" w:space="0" w:color="auto"/>
              <w:right w:val="none" w:sz="0" w:space="0" w:color="auto"/>
            </w:tcBorders>
          </w:tcPr>
          <w:p w14:paraId="2EB32172" w14:textId="5EB69613" w:rsidR="00642AD3" w:rsidRPr="007B4B4B" w:rsidRDefault="00642AD3"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7,196,333</w:t>
            </w:r>
          </w:p>
        </w:tc>
        <w:tc>
          <w:tcPr>
            <w:tcW w:w="973" w:type="pct"/>
            <w:tcBorders>
              <w:top w:val="none" w:sz="0" w:space="0" w:color="auto"/>
              <w:left w:val="none" w:sz="0" w:space="0" w:color="auto"/>
              <w:bottom w:val="none" w:sz="0" w:space="0" w:color="auto"/>
              <w:right w:val="none" w:sz="0" w:space="0" w:color="auto"/>
            </w:tcBorders>
          </w:tcPr>
          <w:p w14:paraId="2916E297" w14:textId="77777777" w:rsidR="00642AD3" w:rsidRPr="007B4B4B" w:rsidRDefault="00642AD3" w:rsidP="00BB5189">
            <w:pPr>
              <w:jc w:val="center"/>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p>
        </w:tc>
        <w:tc>
          <w:tcPr>
            <w:tcW w:w="1109" w:type="pct"/>
            <w:tcBorders>
              <w:top w:val="none" w:sz="0" w:space="0" w:color="auto"/>
              <w:left w:val="none" w:sz="0" w:space="0" w:color="auto"/>
              <w:bottom w:val="none" w:sz="0" w:space="0" w:color="auto"/>
              <w:right w:val="none" w:sz="0" w:space="0" w:color="auto"/>
            </w:tcBorders>
          </w:tcPr>
          <w:p w14:paraId="6DFF7BF7" w14:textId="6F07F3D0" w:rsidR="00642AD3" w:rsidRPr="007B4B4B" w:rsidRDefault="00642AD3"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color w:val="4A4D56"/>
              </w:rPr>
              <w:t>21,204</w:t>
            </w:r>
          </w:p>
        </w:tc>
      </w:tr>
    </w:tbl>
    <w:p w14:paraId="17E29229" w14:textId="6D243FC1" w:rsidR="00436606" w:rsidRDefault="00436606" w:rsidP="00881B1B">
      <w:pPr>
        <w:pStyle w:val="Source"/>
      </w:pPr>
      <w:r>
        <w:rPr>
          <w:vertAlign w:val="superscript"/>
        </w:rPr>
        <w:t xml:space="preserve">a </w:t>
      </w:r>
      <w:r>
        <w:t>Source: IL-T</w:t>
      </w:r>
      <w:r w:rsidR="007B4B4B">
        <w:t>R</w:t>
      </w:r>
      <w:r>
        <w:t>M V12.0</w:t>
      </w:r>
    </w:p>
    <w:p w14:paraId="21CAB2BB" w14:textId="00AEB608" w:rsidR="00436606" w:rsidRDefault="00436606" w:rsidP="00436606">
      <w:pPr>
        <w:pStyle w:val="AppendixGamma"/>
      </w:pPr>
      <w:bookmarkStart w:id="496" w:name="_Toc191992487"/>
      <w:r>
        <w:t>Total Impacts for Cost-Effectiveness</w:t>
      </w:r>
      <w:bookmarkEnd w:id="496"/>
    </w:p>
    <w:p w14:paraId="60B10F9E" w14:textId="56F1B6FD" w:rsidR="00436606" w:rsidRDefault="00436606" w:rsidP="00436606">
      <w:r>
        <w:t xml:space="preserve"> </w:t>
      </w:r>
      <w:r w:rsidR="00CB7C9D">
        <w:fldChar w:fldCharType="begin"/>
      </w:r>
      <w:r w:rsidR="00CB7C9D">
        <w:instrText xml:space="preserve"> REF _Ref187407950 \h </w:instrText>
      </w:r>
      <w:r w:rsidR="00CB7C9D">
        <w:fldChar w:fldCharType="separate"/>
      </w:r>
      <w:r w:rsidR="00AA10F4">
        <w:t xml:space="preserve">Table </w:t>
      </w:r>
      <w:r w:rsidR="00AA10F4">
        <w:rPr>
          <w:noProof/>
        </w:rPr>
        <w:t>111</w:t>
      </w:r>
      <w:r w:rsidR="00CB7C9D">
        <w:fldChar w:fldCharType="end"/>
      </w:r>
      <w:r w:rsidR="00CB7C9D">
        <w:t xml:space="preserve"> </w:t>
      </w:r>
      <w:r>
        <w:t>presents a summary of the 2024 Sta</w:t>
      </w:r>
      <w:r w:rsidR="00CB7C9D">
        <w:t>n</w:t>
      </w:r>
      <w:r>
        <w:t xml:space="preserve">dard Initiative verified gross impacts adjusted for the above effects. </w:t>
      </w:r>
    </w:p>
    <w:p w14:paraId="4553517C" w14:textId="65C41E4E" w:rsidR="00CB7C9D" w:rsidRDefault="00CB7C9D" w:rsidP="00881B1B">
      <w:pPr>
        <w:pStyle w:val="Caption"/>
      </w:pPr>
      <w:bookmarkStart w:id="497" w:name="_Ref187407950"/>
      <w:bookmarkStart w:id="498" w:name="_Toc191992629"/>
      <w:bookmarkStart w:id="499" w:name="_Toc192767045"/>
      <w:r>
        <w:t xml:space="preserve">Table </w:t>
      </w:r>
      <w:r w:rsidR="009B4C9A">
        <w:fldChar w:fldCharType="begin"/>
      </w:r>
      <w:r w:rsidR="009B4C9A">
        <w:instrText xml:space="preserve"> SEQ Table \* ARABIC </w:instrText>
      </w:r>
      <w:r w:rsidR="009B4C9A">
        <w:fldChar w:fldCharType="separate"/>
      </w:r>
      <w:r w:rsidR="00AA10F4">
        <w:rPr>
          <w:noProof/>
        </w:rPr>
        <w:t>111</w:t>
      </w:r>
      <w:r w:rsidR="009B4C9A">
        <w:rPr>
          <w:noProof/>
        </w:rPr>
        <w:fldChar w:fldCharType="end"/>
      </w:r>
      <w:bookmarkEnd w:id="497"/>
      <w:r>
        <w:t>. 2024 Standard Initiative Verified Gross Impacts for Cost-Effectiveness</w:t>
      </w:r>
      <w:bookmarkEnd w:id="498"/>
      <w:bookmarkEnd w:id="499"/>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585"/>
        <w:gridCol w:w="1764"/>
        <w:gridCol w:w="1278"/>
        <w:gridCol w:w="2001"/>
        <w:gridCol w:w="1468"/>
      </w:tblGrid>
      <w:tr w:rsidR="006F0CAA" w14:paraId="2F782FBC" w14:textId="77777777" w:rsidTr="00BB5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36CAC55B" w14:textId="77777777" w:rsidR="006F0CAA" w:rsidRDefault="006F0CAA" w:rsidP="00BB5189">
            <w:pPr>
              <w:jc w:val="left"/>
            </w:pPr>
          </w:p>
        </w:tc>
        <w:tc>
          <w:tcPr>
            <w:tcW w:w="1764" w:type="dxa"/>
            <w:tcBorders>
              <w:bottom w:val="none" w:sz="0" w:space="0" w:color="auto"/>
            </w:tcBorders>
          </w:tcPr>
          <w:p w14:paraId="1C0203B6" w14:textId="0C8CC671" w:rsidR="006F0CAA" w:rsidRDefault="006F0CAA" w:rsidP="00CB7C9D">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0" w:type="auto"/>
            <w:tcBorders>
              <w:bottom w:val="none" w:sz="0" w:space="0" w:color="auto"/>
            </w:tcBorders>
          </w:tcPr>
          <w:p w14:paraId="145513D1" w14:textId="75B0D77B" w:rsidR="006F0CAA" w:rsidRDefault="006F0CAA" w:rsidP="00CB7C9D">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0" w:type="auto"/>
            <w:tcBorders>
              <w:bottom w:val="none" w:sz="0" w:space="0" w:color="auto"/>
            </w:tcBorders>
          </w:tcPr>
          <w:p w14:paraId="1EE60355" w14:textId="4DCEBC72" w:rsidR="006F0CAA" w:rsidRDefault="006F0CAA" w:rsidP="00CB7C9D">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0" w:type="auto"/>
            <w:tcBorders>
              <w:bottom w:val="none" w:sz="0" w:space="0" w:color="auto"/>
            </w:tcBorders>
          </w:tcPr>
          <w:p w14:paraId="791A9583" w14:textId="54E18D7E" w:rsidR="006F0CAA" w:rsidRDefault="006F0CAA" w:rsidP="00CB7C9D">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6F0CAA" w14:paraId="6CEF16F5" w14:textId="77777777" w:rsidTr="00BB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30CC0E92" w14:textId="7C9C301F" w:rsidR="006F0CAA" w:rsidRDefault="006F0CAA" w:rsidP="00BB5189">
            <w:r>
              <w:t>Verified Gross Impacts for Goal Attainment</w:t>
            </w:r>
          </w:p>
        </w:tc>
        <w:tc>
          <w:tcPr>
            <w:tcW w:w="1764" w:type="dxa"/>
            <w:tcBorders>
              <w:top w:val="none" w:sz="0" w:space="0" w:color="auto"/>
              <w:left w:val="none" w:sz="0" w:space="0" w:color="auto"/>
              <w:bottom w:val="none" w:sz="0" w:space="0" w:color="auto"/>
              <w:right w:val="none" w:sz="0" w:space="0" w:color="auto"/>
            </w:tcBorders>
          </w:tcPr>
          <w:p w14:paraId="1F57D7A0" w14:textId="770D8653"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66,267,096</w:t>
            </w:r>
          </w:p>
        </w:tc>
        <w:tc>
          <w:tcPr>
            <w:tcW w:w="0" w:type="auto"/>
            <w:tcBorders>
              <w:top w:val="none" w:sz="0" w:space="0" w:color="auto"/>
              <w:left w:val="none" w:sz="0" w:space="0" w:color="auto"/>
              <w:bottom w:val="none" w:sz="0" w:space="0" w:color="auto"/>
              <w:right w:val="none" w:sz="0" w:space="0" w:color="auto"/>
            </w:tcBorders>
          </w:tcPr>
          <w:p w14:paraId="07F7CDC6" w14:textId="2A72F026"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1,681,663</w:t>
            </w:r>
          </w:p>
        </w:tc>
        <w:tc>
          <w:tcPr>
            <w:tcW w:w="0" w:type="auto"/>
            <w:tcBorders>
              <w:top w:val="none" w:sz="0" w:space="0" w:color="auto"/>
              <w:left w:val="none" w:sz="0" w:space="0" w:color="auto"/>
              <w:bottom w:val="none" w:sz="0" w:space="0" w:color="auto"/>
              <w:right w:val="none" w:sz="0" w:space="0" w:color="auto"/>
            </w:tcBorders>
          </w:tcPr>
          <w:p w14:paraId="489DE4B2" w14:textId="6DB3BFFC"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6C5B4A3E" w14:textId="5CE14339"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r>
      <w:tr w:rsidR="006F0CAA" w14:paraId="37807780" w14:textId="77777777" w:rsidTr="00BB5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2B50ABFE" w14:textId="768F9876" w:rsidR="006F0CAA" w:rsidRDefault="006F0CAA" w:rsidP="00BB5189">
            <w:r>
              <w:t>Gas Penalties</w:t>
            </w:r>
          </w:p>
        </w:tc>
        <w:tc>
          <w:tcPr>
            <w:tcW w:w="1764" w:type="dxa"/>
            <w:tcBorders>
              <w:top w:val="none" w:sz="0" w:space="0" w:color="auto"/>
              <w:left w:val="none" w:sz="0" w:space="0" w:color="auto"/>
              <w:bottom w:val="none" w:sz="0" w:space="0" w:color="auto"/>
              <w:right w:val="none" w:sz="0" w:space="0" w:color="auto"/>
            </w:tcBorders>
          </w:tcPr>
          <w:p w14:paraId="50E2F3D5" w14:textId="580250CC"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2DB113F0" w14:textId="6B244629"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-232,521</w:t>
            </w:r>
          </w:p>
        </w:tc>
        <w:tc>
          <w:tcPr>
            <w:tcW w:w="0" w:type="auto"/>
            <w:tcBorders>
              <w:top w:val="none" w:sz="0" w:space="0" w:color="auto"/>
              <w:left w:val="none" w:sz="0" w:space="0" w:color="auto"/>
              <w:bottom w:val="none" w:sz="0" w:space="0" w:color="auto"/>
              <w:right w:val="none" w:sz="0" w:space="0" w:color="auto"/>
            </w:tcBorders>
          </w:tcPr>
          <w:p w14:paraId="7D56A4B1" w14:textId="69C2F6CB"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7FF91794" w14:textId="6B938E99"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r>
      <w:tr w:rsidR="006F0CAA" w14:paraId="245B6420" w14:textId="77777777" w:rsidTr="00BB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56753015" w14:textId="1732CBBF" w:rsidR="006F0CAA" w:rsidRDefault="006F0CAA" w:rsidP="00BB5189">
            <w:r>
              <w:t>Water Savings</w:t>
            </w:r>
          </w:p>
        </w:tc>
        <w:tc>
          <w:tcPr>
            <w:tcW w:w="1764" w:type="dxa"/>
            <w:tcBorders>
              <w:top w:val="none" w:sz="0" w:space="0" w:color="auto"/>
              <w:left w:val="none" w:sz="0" w:space="0" w:color="auto"/>
              <w:bottom w:val="none" w:sz="0" w:space="0" w:color="auto"/>
              <w:right w:val="none" w:sz="0" w:space="0" w:color="auto"/>
            </w:tcBorders>
          </w:tcPr>
          <w:p w14:paraId="68C27383" w14:textId="24924DB8"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06D65949" w14:textId="2079D717"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682C0030" w14:textId="36E663C3"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7B1013E4" w14:textId="43A69175"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7,196,333</w:t>
            </w:r>
          </w:p>
        </w:tc>
      </w:tr>
      <w:tr w:rsidR="006F0CAA" w14:paraId="72BF85F0" w14:textId="77777777" w:rsidTr="00BB5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611CD32D" w14:textId="63758D9B" w:rsidR="006F0CAA" w:rsidRDefault="006F0CAA" w:rsidP="00BB5189">
            <w:r>
              <w:t>Secondary Electric Savings</w:t>
            </w:r>
          </w:p>
        </w:tc>
        <w:tc>
          <w:tcPr>
            <w:tcW w:w="1764" w:type="dxa"/>
            <w:tcBorders>
              <w:top w:val="none" w:sz="0" w:space="0" w:color="auto"/>
              <w:left w:val="none" w:sz="0" w:space="0" w:color="auto"/>
              <w:bottom w:val="none" w:sz="0" w:space="0" w:color="auto"/>
              <w:right w:val="none" w:sz="0" w:space="0" w:color="auto"/>
            </w:tcBorders>
          </w:tcPr>
          <w:p w14:paraId="29DE3DFD" w14:textId="3CB57DF4"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-21,204</w:t>
            </w:r>
          </w:p>
        </w:tc>
        <w:tc>
          <w:tcPr>
            <w:tcW w:w="0" w:type="auto"/>
            <w:tcBorders>
              <w:top w:val="none" w:sz="0" w:space="0" w:color="auto"/>
              <w:left w:val="none" w:sz="0" w:space="0" w:color="auto"/>
              <w:bottom w:val="none" w:sz="0" w:space="0" w:color="auto"/>
              <w:right w:val="none" w:sz="0" w:space="0" w:color="auto"/>
            </w:tcBorders>
          </w:tcPr>
          <w:p w14:paraId="4DFCE82E" w14:textId="3AFEB9B8"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7A63FB4F" w14:textId="61D6F835"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68ACF44B" w14:textId="1A77F52A" w:rsidR="006F0CAA" w:rsidRDefault="006F0CAA" w:rsidP="00BB5189">
            <w:pPr>
              <w:jc w:val="right"/>
              <w:cnfStyle w:val="000000010000" w:firstRow="0" w:lastRow="0" w:firstColumn="0" w:lastColumn="0" w:oddVBand="0" w:evenVBand="0" w:oddHBand="0" w:evenHBand="1" w:firstRowFirstColumn="0" w:firstRowLastColumn="0" w:lastRowFirstColumn="0" w:lastRowLastColumn="0"/>
            </w:pPr>
            <w:r w:rsidRPr="0035209C">
              <w:t>N/A</w:t>
            </w:r>
          </w:p>
        </w:tc>
      </w:tr>
      <w:tr w:rsidR="006F0CAA" w14:paraId="00E9EDA8" w14:textId="77777777" w:rsidTr="00BB5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38823176" w14:textId="54F4AD8F" w:rsidR="006F0CAA" w:rsidRDefault="006F0CAA" w:rsidP="00BB5189">
            <w:r>
              <w:t>Additional Fossil Fuel Impacts</w:t>
            </w:r>
          </w:p>
        </w:tc>
        <w:tc>
          <w:tcPr>
            <w:tcW w:w="1764" w:type="dxa"/>
            <w:tcBorders>
              <w:top w:val="none" w:sz="0" w:space="0" w:color="auto"/>
              <w:left w:val="none" w:sz="0" w:space="0" w:color="auto"/>
              <w:bottom w:val="none" w:sz="0" w:space="0" w:color="auto"/>
              <w:right w:val="none" w:sz="0" w:space="0" w:color="auto"/>
            </w:tcBorders>
          </w:tcPr>
          <w:p w14:paraId="75B05DA5" w14:textId="6743906A"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0A0584B9" w14:textId="1F2D343A"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c>
          <w:tcPr>
            <w:tcW w:w="0" w:type="auto"/>
            <w:tcBorders>
              <w:top w:val="none" w:sz="0" w:space="0" w:color="auto"/>
              <w:left w:val="none" w:sz="0" w:space="0" w:color="auto"/>
              <w:bottom w:val="none" w:sz="0" w:space="0" w:color="auto"/>
              <w:right w:val="none" w:sz="0" w:space="0" w:color="auto"/>
            </w:tcBorders>
          </w:tcPr>
          <w:p w14:paraId="10C15167" w14:textId="49B43A13"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2,650</w:t>
            </w:r>
          </w:p>
        </w:tc>
        <w:tc>
          <w:tcPr>
            <w:tcW w:w="0" w:type="auto"/>
            <w:tcBorders>
              <w:top w:val="none" w:sz="0" w:space="0" w:color="auto"/>
              <w:left w:val="none" w:sz="0" w:space="0" w:color="auto"/>
              <w:bottom w:val="none" w:sz="0" w:space="0" w:color="auto"/>
              <w:right w:val="none" w:sz="0" w:space="0" w:color="auto"/>
            </w:tcBorders>
          </w:tcPr>
          <w:p w14:paraId="635C85A0" w14:textId="7A1AA1FB" w:rsidR="006F0CAA" w:rsidRDefault="006F0CAA" w:rsidP="00BB5189">
            <w:pPr>
              <w:jc w:val="right"/>
              <w:cnfStyle w:val="000000100000" w:firstRow="0" w:lastRow="0" w:firstColumn="0" w:lastColumn="0" w:oddVBand="0" w:evenVBand="0" w:oddHBand="1" w:evenHBand="0" w:firstRowFirstColumn="0" w:firstRowLastColumn="0" w:lastRowFirstColumn="0" w:lastRowLastColumn="0"/>
            </w:pPr>
            <w:r w:rsidRPr="0035209C">
              <w:t>N/A</w:t>
            </w:r>
          </w:p>
        </w:tc>
      </w:tr>
      <w:tr w:rsidR="006F0CAA" w14:paraId="2602D010" w14:textId="77777777" w:rsidTr="00BB51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85" w:type="dxa"/>
            <w:tcBorders>
              <w:top w:val="none" w:sz="0" w:space="0" w:color="auto"/>
              <w:left w:val="none" w:sz="0" w:space="0" w:color="auto"/>
              <w:bottom w:val="none" w:sz="0" w:space="0" w:color="auto"/>
              <w:right w:val="none" w:sz="0" w:space="0" w:color="auto"/>
            </w:tcBorders>
          </w:tcPr>
          <w:p w14:paraId="0A3F8184" w14:textId="48A7722B" w:rsidR="006F0CAA" w:rsidRPr="007B4B4B" w:rsidRDefault="006F0CAA" w:rsidP="00BB5189">
            <w:pPr>
              <w:rPr>
                <w:rFonts w:ascii="Franklin Gothic Medium" w:hAnsi="Franklin Gothic Medium"/>
              </w:rPr>
            </w:pPr>
            <w:r w:rsidRPr="007B4B4B">
              <w:rPr>
                <w:rFonts w:ascii="Franklin Gothic Medium" w:hAnsi="Franklin Gothic Medium"/>
              </w:rPr>
              <w:t>Final Verified Gross Impacts for Cost-Effectiveness</w:t>
            </w:r>
          </w:p>
        </w:tc>
        <w:tc>
          <w:tcPr>
            <w:tcW w:w="1764" w:type="dxa"/>
            <w:tcBorders>
              <w:top w:val="none" w:sz="0" w:space="0" w:color="auto"/>
              <w:left w:val="none" w:sz="0" w:space="0" w:color="auto"/>
              <w:bottom w:val="none" w:sz="0" w:space="0" w:color="auto"/>
              <w:right w:val="none" w:sz="0" w:space="0" w:color="auto"/>
            </w:tcBorders>
          </w:tcPr>
          <w:p w14:paraId="41586E62" w14:textId="27611067" w:rsidR="006F0CAA" w:rsidRPr="007B4B4B" w:rsidRDefault="006F0CAA"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66,245,892</w:t>
            </w:r>
          </w:p>
        </w:tc>
        <w:tc>
          <w:tcPr>
            <w:tcW w:w="0" w:type="auto"/>
            <w:tcBorders>
              <w:top w:val="none" w:sz="0" w:space="0" w:color="auto"/>
              <w:left w:val="none" w:sz="0" w:space="0" w:color="auto"/>
              <w:bottom w:val="none" w:sz="0" w:space="0" w:color="auto"/>
              <w:right w:val="none" w:sz="0" w:space="0" w:color="auto"/>
            </w:tcBorders>
          </w:tcPr>
          <w:p w14:paraId="788F8E1D" w14:textId="27FCEFE5" w:rsidR="006F0CAA" w:rsidRPr="007B4B4B" w:rsidRDefault="006F0CAA"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1,449,142</w:t>
            </w:r>
          </w:p>
        </w:tc>
        <w:tc>
          <w:tcPr>
            <w:tcW w:w="0" w:type="auto"/>
            <w:tcBorders>
              <w:top w:val="none" w:sz="0" w:space="0" w:color="auto"/>
              <w:left w:val="none" w:sz="0" w:space="0" w:color="auto"/>
              <w:bottom w:val="none" w:sz="0" w:space="0" w:color="auto"/>
              <w:right w:val="none" w:sz="0" w:space="0" w:color="auto"/>
            </w:tcBorders>
          </w:tcPr>
          <w:p w14:paraId="364BEE5D" w14:textId="6E300F7D" w:rsidR="006F0CAA" w:rsidRPr="007B4B4B" w:rsidRDefault="006F0CAA"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2,650</w:t>
            </w:r>
          </w:p>
        </w:tc>
        <w:tc>
          <w:tcPr>
            <w:tcW w:w="0" w:type="auto"/>
            <w:tcBorders>
              <w:top w:val="none" w:sz="0" w:space="0" w:color="auto"/>
              <w:left w:val="none" w:sz="0" w:space="0" w:color="auto"/>
              <w:bottom w:val="none" w:sz="0" w:space="0" w:color="auto"/>
              <w:right w:val="none" w:sz="0" w:space="0" w:color="auto"/>
            </w:tcBorders>
          </w:tcPr>
          <w:p w14:paraId="1A043B22" w14:textId="5BA38A20" w:rsidR="006F0CAA" w:rsidRPr="007B4B4B" w:rsidRDefault="006F0CAA" w:rsidP="00BB5189">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7,196,333</w:t>
            </w:r>
          </w:p>
        </w:tc>
      </w:tr>
    </w:tbl>
    <w:p w14:paraId="4815C568" w14:textId="05CC5EC6" w:rsidR="00CB7C9D" w:rsidRDefault="00207E2E" w:rsidP="00881B1B">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7E17B160" w14:textId="5E6532B4" w:rsidR="00207E2E" w:rsidRDefault="00207E2E" w:rsidP="00207E2E">
      <w:pPr>
        <w:pStyle w:val="AppendixBeta"/>
      </w:pPr>
      <w:bookmarkStart w:id="500" w:name="_Toc191992488"/>
      <w:bookmarkStart w:id="501" w:name="_Toc192766921"/>
      <w:r>
        <w:t>Custom Initiative</w:t>
      </w:r>
      <w:bookmarkEnd w:id="500"/>
      <w:bookmarkEnd w:id="501"/>
      <w:r>
        <w:t xml:space="preserve"> </w:t>
      </w:r>
    </w:p>
    <w:p w14:paraId="032C52E3" w14:textId="6AACF440" w:rsidR="00207E2E" w:rsidRDefault="00207E2E" w:rsidP="00207E2E">
      <w:pPr>
        <w:pStyle w:val="AppendixGamma"/>
      </w:pPr>
      <w:bookmarkStart w:id="502" w:name="_Toc191992489"/>
      <w:r>
        <w:t>Additional Fossil Fuel Impacts</w:t>
      </w:r>
      <w:bookmarkEnd w:id="502"/>
    </w:p>
    <w:p w14:paraId="4754095A" w14:textId="24DD223D" w:rsidR="00207E2E" w:rsidRDefault="00045E88" w:rsidP="00207E2E">
      <w:r>
        <w:t>Five</w:t>
      </w:r>
      <w:r w:rsidR="00207E2E">
        <w:t xml:space="preserve"> projects completed through the Custom Incentives channel of the Custom Initiative produced non-A</w:t>
      </w:r>
      <w:r w:rsidR="00DE3D36">
        <w:t>I</w:t>
      </w:r>
      <w:r w:rsidR="00207E2E">
        <w:t xml:space="preserve">C gas savings in 2024. The ex ante gross, verified gross, and verified net </w:t>
      </w:r>
      <w:r w:rsidR="00853B3D">
        <w:t>gas</w:t>
      </w:r>
      <w:r w:rsidR="00207E2E">
        <w:t xml:space="preserve"> savings produced through the projects are summarized in </w:t>
      </w:r>
      <w:r w:rsidR="00207E2E">
        <w:fldChar w:fldCharType="begin"/>
      </w:r>
      <w:r w:rsidR="00207E2E">
        <w:instrText xml:space="preserve"> REF _Ref187408500 \h </w:instrText>
      </w:r>
      <w:r w:rsidR="00207E2E">
        <w:fldChar w:fldCharType="separate"/>
      </w:r>
      <w:r w:rsidR="00AA10F4">
        <w:t xml:space="preserve">Table </w:t>
      </w:r>
      <w:r w:rsidR="00AA10F4">
        <w:rPr>
          <w:noProof/>
        </w:rPr>
        <w:t>112</w:t>
      </w:r>
      <w:r w:rsidR="00207E2E">
        <w:fldChar w:fldCharType="end"/>
      </w:r>
      <w:r w:rsidR="00207E2E">
        <w:t xml:space="preserve">. </w:t>
      </w:r>
    </w:p>
    <w:p w14:paraId="3FA6442F" w14:textId="6F220B3D" w:rsidR="00207E2E" w:rsidRDefault="00207E2E" w:rsidP="00881B1B">
      <w:pPr>
        <w:pStyle w:val="Caption"/>
      </w:pPr>
      <w:bookmarkStart w:id="503" w:name="_Ref187408500"/>
      <w:bookmarkStart w:id="504" w:name="_Toc191992630"/>
      <w:bookmarkStart w:id="505" w:name="_Toc192767046"/>
      <w:r>
        <w:t xml:space="preserve">Table </w:t>
      </w:r>
      <w:r w:rsidR="009B4C9A">
        <w:fldChar w:fldCharType="begin"/>
      </w:r>
      <w:r w:rsidR="009B4C9A">
        <w:instrText xml:space="preserve"> SEQ Table \* ARABIC </w:instrText>
      </w:r>
      <w:r w:rsidR="009B4C9A">
        <w:fldChar w:fldCharType="separate"/>
      </w:r>
      <w:r w:rsidR="00AA10F4">
        <w:rPr>
          <w:noProof/>
        </w:rPr>
        <w:t>112</w:t>
      </w:r>
      <w:r w:rsidR="009B4C9A">
        <w:rPr>
          <w:noProof/>
        </w:rPr>
        <w:fldChar w:fldCharType="end"/>
      </w:r>
      <w:bookmarkEnd w:id="503"/>
      <w:r>
        <w:t xml:space="preserve">. 2024 Custom Initiative </w:t>
      </w:r>
      <w:r w:rsidR="00DE3D36">
        <w:t>N</w:t>
      </w:r>
      <w:r>
        <w:t>on-AIC Natural Gas Savings</w:t>
      </w:r>
      <w:bookmarkEnd w:id="504"/>
      <w:bookmarkEnd w:id="50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207E2E" w14:paraId="60EFC9A1" w14:textId="77777777" w:rsidTr="00F5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53BEEAA3" w14:textId="04B04FD7" w:rsidR="00207E2E" w:rsidRDefault="00207E2E" w:rsidP="00207E2E">
            <w:pPr>
              <w:pStyle w:val="TableHeadingLeft"/>
            </w:pPr>
            <w:r>
              <w:t>Channel</w:t>
            </w:r>
          </w:p>
        </w:tc>
        <w:tc>
          <w:tcPr>
            <w:tcW w:w="1849" w:type="dxa"/>
            <w:tcBorders>
              <w:bottom w:val="none" w:sz="0" w:space="0" w:color="auto"/>
            </w:tcBorders>
          </w:tcPr>
          <w:p w14:paraId="5E3C648D" w14:textId="2E7924AF" w:rsidR="00207E2E" w:rsidRDefault="00207E2E" w:rsidP="00207E2E">
            <w:pPr>
              <w:pStyle w:val="TableHeadingCentered"/>
              <w:cnfStyle w:val="100000000000" w:firstRow="1" w:lastRow="0" w:firstColumn="0" w:lastColumn="0" w:oddVBand="0" w:evenVBand="0" w:oddHBand="0" w:evenHBand="0" w:firstRowFirstColumn="0" w:firstRowLastColumn="0" w:lastRowFirstColumn="0" w:lastRowLastColumn="0"/>
            </w:pPr>
            <w:r>
              <w:t>Ex Ante Gross Savings (Therms)</w:t>
            </w:r>
          </w:p>
        </w:tc>
        <w:tc>
          <w:tcPr>
            <w:tcW w:w="1849" w:type="dxa"/>
            <w:tcBorders>
              <w:bottom w:val="none" w:sz="0" w:space="0" w:color="auto"/>
            </w:tcBorders>
          </w:tcPr>
          <w:p w14:paraId="4DEA604B" w14:textId="19819DE8" w:rsidR="00207E2E" w:rsidRDefault="00207E2E" w:rsidP="00207E2E">
            <w:pPr>
              <w:pStyle w:val="TableHeadingCentered"/>
              <w:cnfStyle w:val="100000000000" w:firstRow="1" w:lastRow="0" w:firstColumn="0" w:lastColumn="0" w:oddVBand="0" w:evenVBand="0" w:oddHBand="0" w:evenHBand="0" w:firstRowFirstColumn="0" w:firstRowLastColumn="0" w:lastRowFirstColumn="0" w:lastRowLastColumn="0"/>
            </w:pPr>
            <w:r>
              <w:t>Gross Realization Rate</w:t>
            </w:r>
          </w:p>
        </w:tc>
        <w:tc>
          <w:tcPr>
            <w:tcW w:w="1849" w:type="dxa"/>
            <w:tcBorders>
              <w:bottom w:val="none" w:sz="0" w:space="0" w:color="auto"/>
            </w:tcBorders>
          </w:tcPr>
          <w:p w14:paraId="337D0CBE" w14:textId="71B09EDF" w:rsidR="00207E2E" w:rsidRDefault="00207E2E" w:rsidP="00207E2E">
            <w:pPr>
              <w:pStyle w:val="TableHeadingCentered"/>
              <w:cnfStyle w:val="100000000000" w:firstRow="1" w:lastRow="0" w:firstColumn="0" w:lastColumn="0" w:oddVBand="0" w:evenVBand="0" w:oddHBand="0" w:evenHBand="0" w:firstRowFirstColumn="0" w:firstRowLastColumn="0" w:lastRowFirstColumn="0" w:lastRowLastColumn="0"/>
            </w:pPr>
            <w:r>
              <w:t>Verified Gross Savings (Therms)</w:t>
            </w:r>
          </w:p>
        </w:tc>
        <w:tc>
          <w:tcPr>
            <w:tcW w:w="1850" w:type="dxa"/>
            <w:tcBorders>
              <w:bottom w:val="none" w:sz="0" w:space="0" w:color="auto"/>
            </w:tcBorders>
          </w:tcPr>
          <w:p w14:paraId="5F5E934A" w14:textId="2B61CA65" w:rsidR="00207E2E" w:rsidRDefault="00207E2E" w:rsidP="00207E2E">
            <w:pPr>
              <w:pStyle w:val="TableHeadingCentered"/>
              <w:cnfStyle w:val="100000000000" w:firstRow="1" w:lastRow="0" w:firstColumn="0" w:lastColumn="0" w:oddVBand="0" w:evenVBand="0" w:oddHBand="0" w:evenHBand="0" w:firstRowFirstColumn="0" w:firstRowLastColumn="0" w:lastRowFirstColumn="0" w:lastRowLastColumn="0"/>
            </w:pPr>
            <w:r>
              <w:t>NTGR</w:t>
            </w:r>
          </w:p>
        </w:tc>
        <w:tc>
          <w:tcPr>
            <w:tcW w:w="1850" w:type="dxa"/>
            <w:tcBorders>
              <w:bottom w:val="none" w:sz="0" w:space="0" w:color="auto"/>
            </w:tcBorders>
          </w:tcPr>
          <w:p w14:paraId="4A45558C" w14:textId="3FAAFC10" w:rsidR="00207E2E" w:rsidRDefault="00207E2E" w:rsidP="00207E2E">
            <w:pPr>
              <w:pStyle w:val="TableHeadingCentered"/>
              <w:cnfStyle w:val="100000000000" w:firstRow="1" w:lastRow="0" w:firstColumn="0" w:lastColumn="0" w:oddVBand="0" w:evenVBand="0" w:oddHBand="0" w:evenHBand="0" w:firstRowFirstColumn="0" w:firstRowLastColumn="0" w:lastRowFirstColumn="0" w:lastRowLastColumn="0"/>
            </w:pPr>
            <w:r>
              <w:t>Verified Net Savings (Therms)</w:t>
            </w:r>
          </w:p>
        </w:tc>
      </w:tr>
      <w:tr w:rsidR="00207E2E" w14:paraId="4975FFA2"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6A17034C" w14:textId="73D9E64B" w:rsidR="00207E2E" w:rsidRDefault="00207E2E" w:rsidP="00207E2E">
            <w:r>
              <w:t>Custom Incentives</w:t>
            </w:r>
          </w:p>
        </w:tc>
        <w:tc>
          <w:tcPr>
            <w:tcW w:w="1849" w:type="dxa"/>
            <w:tcBorders>
              <w:top w:val="none" w:sz="0" w:space="0" w:color="auto"/>
              <w:left w:val="none" w:sz="0" w:space="0" w:color="auto"/>
              <w:bottom w:val="none" w:sz="0" w:space="0" w:color="auto"/>
              <w:right w:val="none" w:sz="0" w:space="0" w:color="auto"/>
            </w:tcBorders>
          </w:tcPr>
          <w:p w14:paraId="0FE66456" w14:textId="2291D4C5" w:rsidR="00207E2E" w:rsidRDefault="006E3C5F" w:rsidP="00F53404">
            <w:pPr>
              <w:jc w:val="right"/>
              <w:cnfStyle w:val="000000100000" w:firstRow="0" w:lastRow="0" w:firstColumn="0" w:lastColumn="0" w:oddVBand="0" w:evenVBand="0" w:oddHBand="1" w:evenHBand="0" w:firstRowFirstColumn="0" w:firstRowLastColumn="0" w:lastRowFirstColumn="0" w:lastRowLastColumn="0"/>
            </w:pPr>
            <w:r w:rsidRPr="006E3C5F">
              <w:t>1,688,295</w:t>
            </w:r>
          </w:p>
        </w:tc>
        <w:tc>
          <w:tcPr>
            <w:tcW w:w="1849" w:type="dxa"/>
            <w:tcBorders>
              <w:top w:val="none" w:sz="0" w:space="0" w:color="auto"/>
              <w:left w:val="none" w:sz="0" w:space="0" w:color="auto"/>
              <w:bottom w:val="none" w:sz="0" w:space="0" w:color="auto"/>
              <w:right w:val="none" w:sz="0" w:space="0" w:color="auto"/>
            </w:tcBorders>
          </w:tcPr>
          <w:p w14:paraId="14A3F609" w14:textId="50BE8DF9" w:rsidR="00207E2E" w:rsidRDefault="00C14818" w:rsidP="00F53404">
            <w:pPr>
              <w:jc w:val="right"/>
              <w:cnfStyle w:val="000000100000" w:firstRow="0" w:lastRow="0" w:firstColumn="0" w:lastColumn="0" w:oddVBand="0" w:evenVBand="0" w:oddHBand="1" w:evenHBand="0" w:firstRowFirstColumn="0" w:firstRowLastColumn="0" w:lastRowFirstColumn="0" w:lastRowLastColumn="0"/>
            </w:pPr>
            <w:r w:rsidRPr="006E3C5F">
              <w:t>13</w:t>
            </w:r>
            <w:r>
              <w:t>3</w:t>
            </w:r>
            <w:r w:rsidR="006E3C5F" w:rsidRPr="006E3C5F">
              <w:t>%</w:t>
            </w:r>
          </w:p>
        </w:tc>
        <w:tc>
          <w:tcPr>
            <w:tcW w:w="1849" w:type="dxa"/>
            <w:tcBorders>
              <w:top w:val="none" w:sz="0" w:space="0" w:color="auto"/>
              <w:left w:val="none" w:sz="0" w:space="0" w:color="auto"/>
              <w:bottom w:val="none" w:sz="0" w:space="0" w:color="auto"/>
              <w:right w:val="none" w:sz="0" w:space="0" w:color="auto"/>
            </w:tcBorders>
          </w:tcPr>
          <w:p w14:paraId="712272FC" w14:textId="55327499" w:rsidR="00207E2E" w:rsidRDefault="006E3C5F" w:rsidP="00F53404">
            <w:pPr>
              <w:jc w:val="right"/>
              <w:cnfStyle w:val="000000100000" w:firstRow="0" w:lastRow="0" w:firstColumn="0" w:lastColumn="0" w:oddVBand="0" w:evenVBand="0" w:oddHBand="1" w:evenHBand="0" w:firstRowFirstColumn="0" w:firstRowLastColumn="0" w:lastRowFirstColumn="0" w:lastRowLastColumn="0"/>
            </w:pPr>
            <w:r w:rsidRPr="006E3C5F">
              <w:t>2,</w:t>
            </w:r>
            <w:r w:rsidR="00C14818" w:rsidRPr="006E3C5F">
              <w:t>2</w:t>
            </w:r>
            <w:r w:rsidR="00C14818">
              <w:t>48</w:t>
            </w:r>
            <w:r w:rsidRPr="006E3C5F">
              <w:t>,</w:t>
            </w:r>
            <w:r w:rsidR="00C14818" w:rsidRPr="006E3C5F">
              <w:t>5</w:t>
            </w:r>
            <w:r w:rsidR="00C14818">
              <w:t>52</w:t>
            </w:r>
          </w:p>
        </w:tc>
        <w:tc>
          <w:tcPr>
            <w:tcW w:w="1850" w:type="dxa"/>
            <w:tcBorders>
              <w:top w:val="none" w:sz="0" w:space="0" w:color="auto"/>
              <w:left w:val="none" w:sz="0" w:space="0" w:color="auto"/>
              <w:bottom w:val="none" w:sz="0" w:space="0" w:color="auto"/>
              <w:right w:val="none" w:sz="0" w:space="0" w:color="auto"/>
            </w:tcBorders>
          </w:tcPr>
          <w:p w14:paraId="51A224D5" w14:textId="5D0DB56A" w:rsidR="00207E2E" w:rsidRDefault="006E3C5F" w:rsidP="00F53404">
            <w:pPr>
              <w:jc w:val="right"/>
              <w:cnfStyle w:val="000000100000" w:firstRow="0" w:lastRow="0" w:firstColumn="0" w:lastColumn="0" w:oddVBand="0" w:evenVBand="0" w:oddHBand="1" w:evenHBand="0" w:firstRowFirstColumn="0" w:firstRowLastColumn="0" w:lastRowFirstColumn="0" w:lastRowLastColumn="0"/>
            </w:pPr>
            <w:r w:rsidRPr="006E3C5F">
              <w:t>0.824</w:t>
            </w:r>
          </w:p>
        </w:tc>
        <w:tc>
          <w:tcPr>
            <w:tcW w:w="1850" w:type="dxa"/>
            <w:tcBorders>
              <w:top w:val="none" w:sz="0" w:space="0" w:color="auto"/>
              <w:left w:val="none" w:sz="0" w:space="0" w:color="auto"/>
              <w:bottom w:val="none" w:sz="0" w:space="0" w:color="auto"/>
              <w:right w:val="none" w:sz="0" w:space="0" w:color="auto"/>
            </w:tcBorders>
          </w:tcPr>
          <w:p w14:paraId="546BDFD0" w14:textId="5466555D" w:rsidR="00207E2E" w:rsidRDefault="006E3C5F" w:rsidP="00F53404">
            <w:pPr>
              <w:jc w:val="right"/>
              <w:cnfStyle w:val="000000100000" w:firstRow="0" w:lastRow="0" w:firstColumn="0" w:lastColumn="0" w:oddVBand="0" w:evenVBand="0" w:oddHBand="1" w:evenHBand="0" w:firstRowFirstColumn="0" w:firstRowLastColumn="0" w:lastRowFirstColumn="0" w:lastRowLastColumn="0"/>
            </w:pPr>
            <w:r w:rsidRPr="006E3C5F">
              <w:t>1,</w:t>
            </w:r>
            <w:r w:rsidR="00C14818" w:rsidRPr="006E3C5F">
              <w:t>8</w:t>
            </w:r>
            <w:r w:rsidR="00C14818">
              <w:t>5</w:t>
            </w:r>
            <w:r w:rsidR="00C14818" w:rsidRPr="006E3C5F">
              <w:t>3</w:t>
            </w:r>
            <w:r w:rsidRPr="006E3C5F">
              <w:t>,</w:t>
            </w:r>
            <w:r w:rsidR="00C14818">
              <w:t>4</w:t>
            </w:r>
            <w:r w:rsidR="00C14818" w:rsidRPr="006E3C5F">
              <w:t>8</w:t>
            </w:r>
            <w:r w:rsidR="00C14818">
              <w:t>1</w:t>
            </w:r>
          </w:p>
        </w:tc>
      </w:tr>
      <w:tr w:rsidR="00207E2E" w14:paraId="7AF58996"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1B882A32" w14:textId="4D70A1B0" w:rsidR="00207E2E" w:rsidRPr="007B4B4B" w:rsidRDefault="00207E2E" w:rsidP="00207E2E">
            <w:pPr>
              <w:rPr>
                <w:rFonts w:ascii="Franklin Gothic Medium" w:hAnsi="Franklin Gothic Medium"/>
              </w:rPr>
            </w:pPr>
            <w:r w:rsidRPr="007B4B4B">
              <w:rPr>
                <w:rFonts w:ascii="Franklin Gothic Medium" w:hAnsi="Franklin Gothic Medium"/>
              </w:rPr>
              <w:t>Total</w:t>
            </w:r>
          </w:p>
        </w:tc>
        <w:tc>
          <w:tcPr>
            <w:tcW w:w="1849" w:type="dxa"/>
            <w:tcBorders>
              <w:top w:val="none" w:sz="0" w:space="0" w:color="auto"/>
              <w:left w:val="none" w:sz="0" w:space="0" w:color="auto"/>
              <w:bottom w:val="none" w:sz="0" w:space="0" w:color="auto"/>
              <w:right w:val="none" w:sz="0" w:space="0" w:color="auto"/>
            </w:tcBorders>
          </w:tcPr>
          <w:p w14:paraId="51C78E17" w14:textId="40EB9AB1" w:rsidR="00207E2E" w:rsidRPr="007B4B4B" w:rsidRDefault="006E3C5F"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1,688,295</w:t>
            </w:r>
          </w:p>
        </w:tc>
        <w:tc>
          <w:tcPr>
            <w:tcW w:w="1849" w:type="dxa"/>
            <w:tcBorders>
              <w:top w:val="none" w:sz="0" w:space="0" w:color="auto"/>
              <w:left w:val="none" w:sz="0" w:space="0" w:color="auto"/>
              <w:bottom w:val="none" w:sz="0" w:space="0" w:color="auto"/>
              <w:right w:val="none" w:sz="0" w:space="0" w:color="auto"/>
            </w:tcBorders>
          </w:tcPr>
          <w:p w14:paraId="6FA2DE98" w14:textId="00468B00" w:rsidR="00207E2E" w:rsidRPr="007B4B4B" w:rsidRDefault="006E3C5F"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135%</w:t>
            </w:r>
          </w:p>
        </w:tc>
        <w:tc>
          <w:tcPr>
            <w:tcW w:w="1849" w:type="dxa"/>
            <w:tcBorders>
              <w:top w:val="none" w:sz="0" w:space="0" w:color="auto"/>
              <w:left w:val="none" w:sz="0" w:space="0" w:color="auto"/>
              <w:bottom w:val="none" w:sz="0" w:space="0" w:color="auto"/>
              <w:right w:val="none" w:sz="0" w:space="0" w:color="auto"/>
            </w:tcBorders>
          </w:tcPr>
          <w:p w14:paraId="5642700B" w14:textId="7D045A2A" w:rsidR="00207E2E" w:rsidRPr="007B4B4B" w:rsidRDefault="006E3C5F"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w:t>
            </w:r>
            <w:r w:rsidR="00C14818" w:rsidRPr="007B4B4B">
              <w:rPr>
                <w:rFonts w:ascii="Franklin Gothic Medium" w:hAnsi="Franklin Gothic Medium"/>
              </w:rPr>
              <w:t>2</w:t>
            </w:r>
            <w:r w:rsidR="00C14818">
              <w:rPr>
                <w:rFonts w:ascii="Franklin Gothic Medium" w:hAnsi="Franklin Gothic Medium"/>
              </w:rPr>
              <w:t>48</w:t>
            </w:r>
            <w:r w:rsidRPr="007B4B4B">
              <w:rPr>
                <w:rFonts w:ascii="Franklin Gothic Medium" w:hAnsi="Franklin Gothic Medium"/>
              </w:rPr>
              <w:t>,</w:t>
            </w:r>
            <w:r w:rsidR="00C14818" w:rsidRPr="007B4B4B">
              <w:rPr>
                <w:rFonts w:ascii="Franklin Gothic Medium" w:hAnsi="Franklin Gothic Medium"/>
              </w:rPr>
              <w:t>5</w:t>
            </w:r>
            <w:r w:rsidR="00C14818">
              <w:rPr>
                <w:rFonts w:ascii="Franklin Gothic Medium" w:hAnsi="Franklin Gothic Medium"/>
              </w:rPr>
              <w:t>52</w:t>
            </w:r>
          </w:p>
        </w:tc>
        <w:tc>
          <w:tcPr>
            <w:tcW w:w="1850" w:type="dxa"/>
            <w:tcBorders>
              <w:top w:val="none" w:sz="0" w:space="0" w:color="auto"/>
              <w:left w:val="none" w:sz="0" w:space="0" w:color="auto"/>
              <w:bottom w:val="none" w:sz="0" w:space="0" w:color="auto"/>
              <w:right w:val="none" w:sz="0" w:space="0" w:color="auto"/>
            </w:tcBorders>
          </w:tcPr>
          <w:p w14:paraId="4DD13587" w14:textId="15DDD069" w:rsidR="00207E2E" w:rsidRPr="007B4B4B" w:rsidRDefault="006E3C5F"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0.824</w:t>
            </w:r>
          </w:p>
        </w:tc>
        <w:tc>
          <w:tcPr>
            <w:tcW w:w="1850" w:type="dxa"/>
            <w:tcBorders>
              <w:top w:val="none" w:sz="0" w:space="0" w:color="auto"/>
              <w:left w:val="none" w:sz="0" w:space="0" w:color="auto"/>
              <w:bottom w:val="none" w:sz="0" w:space="0" w:color="auto"/>
              <w:right w:val="none" w:sz="0" w:space="0" w:color="auto"/>
            </w:tcBorders>
          </w:tcPr>
          <w:p w14:paraId="6DFF6C95" w14:textId="6E69D440" w:rsidR="00207E2E" w:rsidRPr="007B4B4B" w:rsidRDefault="006E3C5F"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1,</w:t>
            </w:r>
            <w:r w:rsidR="00C14818" w:rsidRPr="007B4B4B">
              <w:rPr>
                <w:rFonts w:ascii="Franklin Gothic Medium" w:hAnsi="Franklin Gothic Medium"/>
              </w:rPr>
              <w:t>8</w:t>
            </w:r>
            <w:r w:rsidR="00C14818">
              <w:rPr>
                <w:rFonts w:ascii="Franklin Gothic Medium" w:hAnsi="Franklin Gothic Medium"/>
              </w:rPr>
              <w:t>5</w:t>
            </w:r>
            <w:r w:rsidR="00C14818" w:rsidRPr="007B4B4B">
              <w:rPr>
                <w:rFonts w:ascii="Franklin Gothic Medium" w:hAnsi="Franklin Gothic Medium"/>
              </w:rPr>
              <w:t>3</w:t>
            </w:r>
            <w:r w:rsidRPr="007B4B4B">
              <w:rPr>
                <w:rFonts w:ascii="Franklin Gothic Medium" w:hAnsi="Franklin Gothic Medium"/>
              </w:rPr>
              <w:t>,</w:t>
            </w:r>
            <w:r w:rsidR="00C14818">
              <w:rPr>
                <w:rFonts w:ascii="Franklin Gothic Medium" w:hAnsi="Franklin Gothic Medium"/>
              </w:rPr>
              <w:t>4</w:t>
            </w:r>
            <w:r w:rsidRPr="007B4B4B">
              <w:rPr>
                <w:rFonts w:ascii="Franklin Gothic Medium" w:hAnsi="Franklin Gothic Medium"/>
              </w:rPr>
              <w:t>8</w:t>
            </w:r>
            <w:r w:rsidR="00C14818">
              <w:rPr>
                <w:rFonts w:ascii="Franklin Gothic Medium" w:hAnsi="Franklin Gothic Medium"/>
              </w:rPr>
              <w:t>1</w:t>
            </w:r>
          </w:p>
        </w:tc>
      </w:tr>
    </w:tbl>
    <w:p w14:paraId="1E42901F" w14:textId="628A0F31" w:rsidR="00207E2E" w:rsidRDefault="00207E2E" w:rsidP="00207E2E">
      <w:pPr>
        <w:pStyle w:val="AppendixGamma"/>
      </w:pPr>
      <w:bookmarkStart w:id="506" w:name="_Toc191992490"/>
      <w:r>
        <w:t>Gas Heating Penalties</w:t>
      </w:r>
      <w:bookmarkEnd w:id="506"/>
    </w:p>
    <w:p w14:paraId="70BAD0E6" w14:textId="2805DA54" w:rsidR="00207E2E" w:rsidRDefault="00207E2E" w:rsidP="00207E2E">
      <w:r>
        <w:t xml:space="preserve">No measures delivered through the Custom Initiative produced quantifiable </w:t>
      </w:r>
      <w:r w:rsidR="00853B3D">
        <w:t>gas heating penalties</w:t>
      </w:r>
      <w:r>
        <w:t xml:space="preserve"> in 2024.</w:t>
      </w:r>
    </w:p>
    <w:p w14:paraId="59BC7CB4" w14:textId="49F17E68" w:rsidR="00207E2E" w:rsidRDefault="00207E2E" w:rsidP="00207E2E">
      <w:pPr>
        <w:pStyle w:val="AppendixGamma"/>
      </w:pPr>
      <w:bookmarkStart w:id="507" w:name="_Toc191992491"/>
      <w:r>
        <w:lastRenderedPageBreak/>
        <w:t>Secondary Electric Savings for Water Supply and Wastewater treatment</w:t>
      </w:r>
      <w:bookmarkEnd w:id="507"/>
    </w:p>
    <w:p w14:paraId="09E7EBAB" w14:textId="6D83B156" w:rsidR="00207E2E" w:rsidRDefault="00207E2E" w:rsidP="00207E2E">
      <w:r>
        <w:t>No measures delivered through the Custom Initiative produced quantifiable secondary electric savings in 2024.</w:t>
      </w:r>
    </w:p>
    <w:p w14:paraId="68C8A67F" w14:textId="68C35EFA" w:rsidR="001A3ACE" w:rsidRDefault="001A3ACE" w:rsidP="001A3ACE">
      <w:pPr>
        <w:pStyle w:val="AppendixGamma"/>
      </w:pPr>
      <w:bookmarkStart w:id="508" w:name="_Toc191992492"/>
      <w:r>
        <w:t>Total Impacts for Cost-Effectiveness</w:t>
      </w:r>
      <w:bookmarkEnd w:id="508"/>
    </w:p>
    <w:p w14:paraId="4B7BC0DF" w14:textId="06C102D7" w:rsidR="001A3ACE" w:rsidRDefault="001A3ACE" w:rsidP="001A3ACE">
      <w:r>
        <w:fldChar w:fldCharType="begin"/>
      </w:r>
      <w:r>
        <w:instrText xml:space="preserve"> REF _Ref187408911 \h </w:instrText>
      </w:r>
      <w:r>
        <w:fldChar w:fldCharType="separate"/>
      </w:r>
      <w:r w:rsidR="00AA10F4">
        <w:t xml:space="preserve">Table </w:t>
      </w:r>
      <w:r w:rsidR="00AA10F4">
        <w:rPr>
          <w:noProof/>
        </w:rPr>
        <w:t>113</w:t>
      </w:r>
      <w:r>
        <w:fldChar w:fldCharType="end"/>
      </w:r>
      <w:r>
        <w:t xml:space="preserve"> presents a summary of the 2024 Custom Initiative verified gross impacts adjusted for the above effects. </w:t>
      </w:r>
    </w:p>
    <w:p w14:paraId="786F0E9C" w14:textId="579CDDB8" w:rsidR="001A3ACE" w:rsidRDefault="001A3ACE" w:rsidP="00881B1B">
      <w:pPr>
        <w:pStyle w:val="Caption"/>
      </w:pPr>
      <w:bookmarkStart w:id="509" w:name="_Ref187408911"/>
      <w:bookmarkStart w:id="510" w:name="_Toc191992631"/>
      <w:bookmarkStart w:id="511" w:name="_Toc192767047"/>
      <w:r>
        <w:t xml:space="preserve">Table </w:t>
      </w:r>
      <w:r w:rsidR="009B4C9A">
        <w:fldChar w:fldCharType="begin"/>
      </w:r>
      <w:r w:rsidR="009B4C9A">
        <w:instrText xml:space="preserve"> SEQ Table \* ARABIC </w:instrText>
      </w:r>
      <w:r w:rsidR="009B4C9A">
        <w:fldChar w:fldCharType="separate"/>
      </w:r>
      <w:r w:rsidR="00AA10F4">
        <w:rPr>
          <w:noProof/>
        </w:rPr>
        <w:t>113</w:t>
      </w:r>
      <w:r w:rsidR="009B4C9A">
        <w:rPr>
          <w:noProof/>
        </w:rPr>
        <w:fldChar w:fldCharType="end"/>
      </w:r>
      <w:bookmarkEnd w:id="509"/>
      <w:r>
        <w:t>. 2024 Custom Initiative Verified Gross Impacts for Cost-Effectiveness</w:t>
      </w:r>
      <w:bookmarkEnd w:id="510"/>
      <w:bookmarkEnd w:id="511"/>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495"/>
        <w:gridCol w:w="1840"/>
        <w:gridCol w:w="1280"/>
        <w:gridCol w:w="2010"/>
        <w:gridCol w:w="1471"/>
      </w:tblGrid>
      <w:tr w:rsidR="006F0CAA" w14:paraId="4863FEB3" w14:textId="77777777" w:rsidTr="00F5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9E9D1C6" w14:textId="77777777" w:rsidR="006F0CAA" w:rsidRDefault="006F0CAA" w:rsidP="00F53404">
            <w:pPr>
              <w:jc w:val="left"/>
            </w:pPr>
          </w:p>
        </w:tc>
        <w:tc>
          <w:tcPr>
            <w:tcW w:w="1840" w:type="dxa"/>
            <w:tcBorders>
              <w:bottom w:val="none" w:sz="0" w:space="0" w:color="auto"/>
            </w:tcBorders>
          </w:tcPr>
          <w:p w14:paraId="5A2168CD"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0" w:type="auto"/>
            <w:tcBorders>
              <w:bottom w:val="none" w:sz="0" w:space="0" w:color="auto"/>
            </w:tcBorders>
          </w:tcPr>
          <w:p w14:paraId="4EBE7270"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0" w:type="auto"/>
            <w:tcBorders>
              <w:bottom w:val="none" w:sz="0" w:space="0" w:color="auto"/>
            </w:tcBorders>
          </w:tcPr>
          <w:p w14:paraId="7B391717"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0" w:type="auto"/>
            <w:tcBorders>
              <w:bottom w:val="none" w:sz="0" w:space="0" w:color="auto"/>
            </w:tcBorders>
          </w:tcPr>
          <w:p w14:paraId="6C606087"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6F0CAA" w14:paraId="24E3FF2F"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F2EE2FB" w14:textId="77777777" w:rsidR="006F0CAA" w:rsidRDefault="006F0CAA" w:rsidP="00F53404">
            <w:r>
              <w:t>Verified Gross Impacts for Goal Attainment</w:t>
            </w:r>
          </w:p>
        </w:tc>
        <w:tc>
          <w:tcPr>
            <w:tcW w:w="1840" w:type="dxa"/>
            <w:tcBorders>
              <w:top w:val="none" w:sz="0" w:space="0" w:color="auto"/>
              <w:left w:val="none" w:sz="0" w:space="0" w:color="auto"/>
              <w:bottom w:val="none" w:sz="0" w:space="0" w:color="auto"/>
              <w:right w:val="none" w:sz="0" w:space="0" w:color="auto"/>
            </w:tcBorders>
          </w:tcPr>
          <w:p w14:paraId="04C69BBE" w14:textId="66359BF2" w:rsidR="006F0CAA" w:rsidRDefault="006E3C5F" w:rsidP="008C6FBE">
            <w:pPr>
              <w:jc w:val="right"/>
              <w:cnfStyle w:val="000000100000" w:firstRow="0" w:lastRow="0" w:firstColumn="0" w:lastColumn="0" w:oddVBand="0" w:evenVBand="0" w:oddHBand="1" w:evenHBand="0" w:firstRowFirstColumn="0" w:firstRowLastColumn="0" w:lastRowFirstColumn="0" w:lastRowLastColumn="0"/>
            </w:pPr>
            <w:r w:rsidRPr="006E3C5F">
              <w:t>37,03</w:t>
            </w:r>
            <w:r w:rsidR="00C14818">
              <w:t>4</w:t>
            </w:r>
            <w:r w:rsidRPr="006E3C5F">
              <w:t>,</w:t>
            </w:r>
            <w:r w:rsidR="00C14818">
              <w:t>216</w:t>
            </w:r>
          </w:p>
        </w:tc>
        <w:tc>
          <w:tcPr>
            <w:tcW w:w="0" w:type="auto"/>
            <w:tcBorders>
              <w:top w:val="none" w:sz="0" w:space="0" w:color="auto"/>
              <w:left w:val="none" w:sz="0" w:space="0" w:color="auto"/>
              <w:bottom w:val="none" w:sz="0" w:space="0" w:color="auto"/>
              <w:right w:val="none" w:sz="0" w:space="0" w:color="auto"/>
            </w:tcBorders>
          </w:tcPr>
          <w:p w14:paraId="5251725B" w14:textId="72342291" w:rsidR="006F0CAA" w:rsidRDefault="006E3C5F" w:rsidP="008C6FBE">
            <w:pPr>
              <w:jc w:val="right"/>
              <w:cnfStyle w:val="000000100000" w:firstRow="0" w:lastRow="0" w:firstColumn="0" w:lastColumn="0" w:oddVBand="0" w:evenVBand="0" w:oddHBand="1" w:evenHBand="0" w:firstRowFirstColumn="0" w:firstRowLastColumn="0" w:lastRowFirstColumn="0" w:lastRowLastColumn="0"/>
            </w:pPr>
            <w:r w:rsidRPr="006E3C5F">
              <w:t>1,</w:t>
            </w:r>
            <w:r w:rsidR="00C14818">
              <w:t>892</w:t>
            </w:r>
            <w:r w:rsidRPr="006E3C5F">
              <w:t>,</w:t>
            </w:r>
            <w:r w:rsidR="00C14818">
              <w:t>411</w:t>
            </w:r>
          </w:p>
        </w:tc>
        <w:tc>
          <w:tcPr>
            <w:tcW w:w="0" w:type="auto"/>
            <w:tcBorders>
              <w:top w:val="none" w:sz="0" w:space="0" w:color="auto"/>
              <w:left w:val="none" w:sz="0" w:space="0" w:color="auto"/>
              <w:bottom w:val="none" w:sz="0" w:space="0" w:color="auto"/>
              <w:right w:val="none" w:sz="0" w:space="0" w:color="auto"/>
            </w:tcBorders>
          </w:tcPr>
          <w:p w14:paraId="199CFEF4"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52626C5D"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r>
      <w:tr w:rsidR="006F0CAA" w14:paraId="7DB58C8C"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59C167EB" w14:textId="77777777" w:rsidR="006F0CAA" w:rsidRDefault="006F0CAA" w:rsidP="00F53404">
            <w:r>
              <w:t>Gas Penalties</w:t>
            </w:r>
          </w:p>
        </w:tc>
        <w:tc>
          <w:tcPr>
            <w:tcW w:w="1840" w:type="dxa"/>
            <w:tcBorders>
              <w:top w:val="none" w:sz="0" w:space="0" w:color="auto"/>
              <w:left w:val="none" w:sz="0" w:space="0" w:color="auto"/>
              <w:bottom w:val="none" w:sz="0" w:space="0" w:color="auto"/>
              <w:right w:val="none" w:sz="0" w:space="0" w:color="auto"/>
            </w:tcBorders>
          </w:tcPr>
          <w:p w14:paraId="6BBC84E6"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3A43664A" w14:textId="68979021" w:rsidR="006F0CAA" w:rsidRDefault="006E3C5F"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46B7ECBD"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7A5DDB5E"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r>
      <w:tr w:rsidR="006F0CAA" w14:paraId="78487AE8"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38DDCA2D" w14:textId="77777777" w:rsidR="006F0CAA" w:rsidRDefault="006F0CAA" w:rsidP="00F53404">
            <w:r>
              <w:t>Water Savings</w:t>
            </w:r>
          </w:p>
        </w:tc>
        <w:tc>
          <w:tcPr>
            <w:tcW w:w="1840" w:type="dxa"/>
            <w:tcBorders>
              <w:top w:val="none" w:sz="0" w:space="0" w:color="auto"/>
              <w:left w:val="none" w:sz="0" w:space="0" w:color="auto"/>
              <w:bottom w:val="none" w:sz="0" w:space="0" w:color="auto"/>
              <w:right w:val="none" w:sz="0" w:space="0" w:color="auto"/>
            </w:tcBorders>
          </w:tcPr>
          <w:p w14:paraId="2FA1E8CE"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716CF31C"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7BB775ED"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0B7A923A" w14:textId="0C6CFE4A" w:rsidR="006F0CAA" w:rsidRDefault="006E3C5F" w:rsidP="008C6FBE">
            <w:pPr>
              <w:jc w:val="right"/>
              <w:cnfStyle w:val="000000100000" w:firstRow="0" w:lastRow="0" w:firstColumn="0" w:lastColumn="0" w:oddVBand="0" w:evenVBand="0" w:oddHBand="1" w:evenHBand="0" w:firstRowFirstColumn="0" w:firstRowLastColumn="0" w:lastRowFirstColumn="0" w:lastRowLastColumn="0"/>
            </w:pPr>
            <w:r w:rsidRPr="006E3C5F">
              <w:t>N/A</w:t>
            </w:r>
          </w:p>
        </w:tc>
      </w:tr>
      <w:tr w:rsidR="006F0CAA" w14:paraId="6D7F2A1B"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0FA00D32" w14:textId="77777777" w:rsidR="006F0CAA" w:rsidRDefault="006F0CAA" w:rsidP="00F53404">
            <w:r>
              <w:t>Secondary Electric Savings</w:t>
            </w:r>
          </w:p>
        </w:tc>
        <w:tc>
          <w:tcPr>
            <w:tcW w:w="1840" w:type="dxa"/>
            <w:tcBorders>
              <w:top w:val="none" w:sz="0" w:space="0" w:color="auto"/>
              <w:left w:val="none" w:sz="0" w:space="0" w:color="auto"/>
              <w:bottom w:val="none" w:sz="0" w:space="0" w:color="auto"/>
              <w:right w:val="none" w:sz="0" w:space="0" w:color="auto"/>
            </w:tcBorders>
          </w:tcPr>
          <w:p w14:paraId="0A26F4D5" w14:textId="4EEF3F14" w:rsidR="006F0CAA" w:rsidRDefault="006E3C5F"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138B55AA"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63621CC5"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c>
          <w:tcPr>
            <w:tcW w:w="0" w:type="auto"/>
            <w:tcBorders>
              <w:top w:val="none" w:sz="0" w:space="0" w:color="auto"/>
              <w:left w:val="none" w:sz="0" w:space="0" w:color="auto"/>
              <w:bottom w:val="none" w:sz="0" w:space="0" w:color="auto"/>
              <w:right w:val="none" w:sz="0" w:space="0" w:color="auto"/>
            </w:tcBorders>
          </w:tcPr>
          <w:p w14:paraId="1E7444C6" w14:textId="77777777" w:rsidR="006F0CAA" w:rsidRDefault="006F0CAA" w:rsidP="008C6FBE">
            <w:pPr>
              <w:jc w:val="right"/>
              <w:cnfStyle w:val="000000010000" w:firstRow="0" w:lastRow="0" w:firstColumn="0" w:lastColumn="0" w:oddVBand="0" w:evenVBand="0" w:oddHBand="0" w:evenHBand="1" w:firstRowFirstColumn="0" w:firstRowLastColumn="0" w:lastRowFirstColumn="0" w:lastRowLastColumn="0"/>
            </w:pPr>
            <w:r w:rsidRPr="00587E12">
              <w:t>N/A</w:t>
            </w:r>
          </w:p>
        </w:tc>
      </w:tr>
      <w:tr w:rsidR="006F0CAA" w14:paraId="084DCB8C"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427F4744" w14:textId="77777777" w:rsidR="006F0CAA" w:rsidRDefault="006F0CAA" w:rsidP="00F53404">
            <w:r>
              <w:t>Additional Fossil Fuel Impacts</w:t>
            </w:r>
          </w:p>
        </w:tc>
        <w:tc>
          <w:tcPr>
            <w:tcW w:w="1840" w:type="dxa"/>
            <w:tcBorders>
              <w:top w:val="none" w:sz="0" w:space="0" w:color="auto"/>
              <w:left w:val="none" w:sz="0" w:space="0" w:color="auto"/>
              <w:bottom w:val="none" w:sz="0" w:space="0" w:color="auto"/>
              <w:right w:val="none" w:sz="0" w:space="0" w:color="auto"/>
            </w:tcBorders>
          </w:tcPr>
          <w:p w14:paraId="27DDE67A" w14:textId="72F56575" w:rsidR="006F0CAA" w:rsidRDefault="001318DD" w:rsidP="008C6FBE">
            <w:pPr>
              <w:jc w:val="right"/>
              <w:cnfStyle w:val="000000100000" w:firstRow="0" w:lastRow="0" w:firstColumn="0" w:lastColumn="0" w:oddVBand="0" w:evenVBand="0" w:oddHBand="1" w:evenHBand="0" w:firstRowFirstColumn="0" w:firstRowLastColumn="0" w:lastRowFirstColumn="0" w:lastRowLastColumn="0"/>
            </w:pPr>
            <w:r w:rsidRPr="001318DD">
              <w:t>-12,</w:t>
            </w:r>
            <w:r w:rsidR="00C14818" w:rsidRPr="001318DD">
              <w:t>7</w:t>
            </w:r>
            <w:r w:rsidR="00C14818">
              <w:t>30</w:t>
            </w:r>
            <w:r>
              <w:t>,2</w:t>
            </w:r>
            <w:r w:rsidR="00C14818">
              <w:t>13</w:t>
            </w:r>
          </w:p>
        </w:tc>
        <w:tc>
          <w:tcPr>
            <w:tcW w:w="0" w:type="auto"/>
            <w:tcBorders>
              <w:top w:val="none" w:sz="0" w:space="0" w:color="auto"/>
              <w:left w:val="none" w:sz="0" w:space="0" w:color="auto"/>
              <w:bottom w:val="none" w:sz="0" w:space="0" w:color="auto"/>
              <w:right w:val="none" w:sz="0" w:space="0" w:color="auto"/>
            </w:tcBorders>
          </w:tcPr>
          <w:p w14:paraId="06DFA9F2" w14:textId="22E7CD9A" w:rsidR="006F0CAA" w:rsidRDefault="001318DD" w:rsidP="008C6FBE">
            <w:pPr>
              <w:jc w:val="right"/>
              <w:cnfStyle w:val="000000100000" w:firstRow="0" w:lastRow="0" w:firstColumn="0" w:lastColumn="0" w:oddVBand="0" w:evenVBand="0" w:oddHBand="1" w:evenHBand="0" w:firstRowFirstColumn="0" w:firstRowLastColumn="0" w:lastRowFirstColumn="0" w:lastRowLastColumn="0"/>
            </w:pPr>
            <w:r w:rsidRPr="001318DD">
              <w:t>43</w:t>
            </w:r>
            <w:r w:rsidR="00C14818">
              <w:t>4</w:t>
            </w:r>
            <w:r w:rsidRPr="001318DD">
              <w:t>,</w:t>
            </w:r>
            <w:r w:rsidR="00C14818">
              <w:t>35</w:t>
            </w:r>
            <w:r w:rsidRPr="001318DD">
              <w:t>5</w:t>
            </w:r>
          </w:p>
        </w:tc>
        <w:tc>
          <w:tcPr>
            <w:tcW w:w="0" w:type="auto"/>
            <w:tcBorders>
              <w:top w:val="none" w:sz="0" w:space="0" w:color="auto"/>
              <w:left w:val="none" w:sz="0" w:space="0" w:color="auto"/>
              <w:bottom w:val="none" w:sz="0" w:space="0" w:color="auto"/>
              <w:right w:val="none" w:sz="0" w:space="0" w:color="auto"/>
            </w:tcBorders>
          </w:tcPr>
          <w:p w14:paraId="4D87514D" w14:textId="5220BAFD" w:rsidR="006F0CAA" w:rsidRDefault="006E3C5F" w:rsidP="008C6FBE">
            <w:pPr>
              <w:jc w:val="right"/>
              <w:cnfStyle w:val="000000100000" w:firstRow="0" w:lastRow="0" w:firstColumn="0" w:lastColumn="0" w:oddVBand="0" w:evenVBand="0" w:oddHBand="1" w:evenHBand="0" w:firstRowFirstColumn="0" w:firstRowLastColumn="0" w:lastRowFirstColumn="0" w:lastRowLastColumn="0"/>
            </w:pPr>
            <w:r w:rsidRPr="006E3C5F">
              <w:t>2,24</w:t>
            </w:r>
            <w:r w:rsidR="00C14818">
              <w:t>8</w:t>
            </w:r>
            <w:r w:rsidRPr="006E3C5F">
              <w:t>,5</w:t>
            </w:r>
            <w:r w:rsidR="00C14818">
              <w:t>52</w:t>
            </w:r>
          </w:p>
        </w:tc>
        <w:tc>
          <w:tcPr>
            <w:tcW w:w="0" w:type="auto"/>
            <w:tcBorders>
              <w:top w:val="none" w:sz="0" w:space="0" w:color="auto"/>
              <w:left w:val="none" w:sz="0" w:space="0" w:color="auto"/>
              <w:bottom w:val="none" w:sz="0" w:space="0" w:color="auto"/>
              <w:right w:val="none" w:sz="0" w:space="0" w:color="auto"/>
            </w:tcBorders>
          </w:tcPr>
          <w:p w14:paraId="4638B392" w14:textId="77777777" w:rsidR="006F0CAA" w:rsidRDefault="006F0CAA" w:rsidP="008C6FBE">
            <w:pPr>
              <w:jc w:val="right"/>
              <w:cnfStyle w:val="000000100000" w:firstRow="0" w:lastRow="0" w:firstColumn="0" w:lastColumn="0" w:oddVBand="0" w:evenVBand="0" w:oddHBand="1" w:evenHBand="0" w:firstRowFirstColumn="0" w:firstRowLastColumn="0" w:lastRowFirstColumn="0" w:lastRowLastColumn="0"/>
            </w:pPr>
            <w:r w:rsidRPr="00587E12">
              <w:t>N/A</w:t>
            </w:r>
          </w:p>
        </w:tc>
      </w:tr>
      <w:tr w:rsidR="006F0CAA" w14:paraId="538BA6F1"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95" w:type="dxa"/>
            <w:tcBorders>
              <w:top w:val="none" w:sz="0" w:space="0" w:color="auto"/>
              <w:left w:val="none" w:sz="0" w:space="0" w:color="auto"/>
              <w:bottom w:val="none" w:sz="0" w:space="0" w:color="auto"/>
              <w:right w:val="none" w:sz="0" w:space="0" w:color="auto"/>
            </w:tcBorders>
          </w:tcPr>
          <w:p w14:paraId="2B8675BB" w14:textId="77777777" w:rsidR="006F0CAA" w:rsidRPr="007B4B4B" w:rsidRDefault="006F0CAA" w:rsidP="00F53404">
            <w:pPr>
              <w:rPr>
                <w:rFonts w:ascii="Franklin Gothic Medium" w:hAnsi="Franklin Gothic Medium"/>
              </w:rPr>
            </w:pPr>
            <w:r w:rsidRPr="007B4B4B">
              <w:rPr>
                <w:rFonts w:ascii="Franklin Gothic Medium" w:hAnsi="Franklin Gothic Medium"/>
              </w:rPr>
              <w:t>Final Verified Gross Impacts for Cost-Effectiveness</w:t>
            </w:r>
          </w:p>
        </w:tc>
        <w:tc>
          <w:tcPr>
            <w:tcW w:w="1840" w:type="dxa"/>
            <w:tcBorders>
              <w:top w:val="none" w:sz="0" w:space="0" w:color="auto"/>
              <w:left w:val="none" w:sz="0" w:space="0" w:color="auto"/>
              <w:bottom w:val="none" w:sz="0" w:space="0" w:color="auto"/>
              <w:right w:val="none" w:sz="0" w:space="0" w:color="auto"/>
            </w:tcBorders>
            <w:vAlign w:val="top"/>
          </w:tcPr>
          <w:p w14:paraId="605F3F6E" w14:textId="100D41E5" w:rsidR="006F0CAA" w:rsidRPr="007B4B4B" w:rsidRDefault="001318DD" w:rsidP="008C6FBE">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24,3</w:t>
            </w:r>
            <w:r w:rsidR="00C14818">
              <w:rPr>
                <w:rFonts w:ascii="Franklin Gothic Medium" w:hAnsi="Franklin Gothic Medium"/>
              </w:rPr>
              <w:t>04</w:t>
            </w:r>
            <w:r w:rsidRPr="007B4B4B">
              <w:rPr>
                <w:rFonts w:ascii="Franklin Gothic Medium" w:hAnsi="Franklin Gothic Medium"/>
              </w:rPr>
              <w:t>,</w:t>
            </w:r>
            <w:r w:rsidR="00C14818">
              <w:rPr>
                <w:rFonts w:ascii="Franklin Gothic Medium" w:hAnsi="Franklin Gothic Medium"/>
              </w:rPr>
              <w:t>003</w:t>
            </w:r>
          </w:p>
        </w:tc>
        <w:tc>
          <w:tcPr>
            <w:tcW w:w="0" w:type="auto"/>
            <w:tcBorders>
              <w:top w:val="none" w:sz="0" w:space="0" w:color="auto"/>
              <w:left w:val="none" w:sz="0" w:space="0" w:color="auto"/>
              <w:bottom w:val="none" w:sz="0" w:space="0" w:color="auto"/>
              <w:right w:val="none" w:sz="0" w:space="0" w:color="auto"/>
            </w:tcBorders>
            <w:vAlign w:val="top"/>
          </w:tcPr>
          <w:p w14:paraId="41113727" w14:textId="05450DE5" w:rsidR="006F0CAA" w:rsidRPr="007B4B4B" w:rsidRDefault="001318DD" w:rsidP="008C6FBE">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2,3</w:t>
            </w:r>
            <w:r w:rsidR="00C14818">
              <w:rPr>
                <w:rFonts w:ascii="Franklin Gothic Medium" w:hAnsi="Franklin Gothic Medium"/>
              </w:rPr>
              <w:t>26</w:t>
            </w:r>
            <w:r w:rsidRPr="007B4B4B">
              <w:rPr>
                <w:rFonts w:ascii="Franklin Gothic Medium" w:hAnsi="Franklin Gothic Medium"/>
              </w:rPr>
              <w:t>,</w:t>
            </w:r>
            <w:r w:rsidR="00C14818">
              <w:rPr>
                <w:rFonts w:ascii="Franklin Gothic Medium" w:hAnsi="Franklin Gothic Medium"/>
              </w:rPr>
              <w:t>766</w:t>
            </w:r>
          </w:p>
        </w:tc>
        <w:tc>
          <w:tcPr>
            <w:tcW w:w="0" w:type="auto"/>
            <w:tcBorders>
              <w:top w:val="none" w:sz="0" w:space="0" w:color="auto"/>
              <w:left w:val="none" w:sz="0" w:space="0" w:color="auto"/>
              <w:bottom w:val="none" w:sz="0" w:space="0" w:color="auto"/>
              <w:right w:val="none" w:sz="0" w:space="0" w:color="auto"/>
            </w:tcBorders>
            <w:vAlign w:val="top"/>
          </w:tcPr>
          <w:p w14:paraId="4C7DA4FD" w14:textId="68E107C6" w:rsidR="006F0CAA" w:rsidRPr="007B4B4B" w:rsidRDefault="006E3C5F" w:rsidP="008C6FBE">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2,24</w:t>
            </w:r>
            <w:r w:rsidR="00C14818">
              <w:rPr>
                <w:rFonts w:ascii="Franklin Gothic Medium" w:hAnsi="Franklin Gothic Medium"/>
              </w:rPr>
              <w:t>8</w:t>
            </w:r>
            <w:r w:rsidRPr="007B4B4B">
              <w:rPr>
                <w:rFonts w:ascii="Franklin Gothic Medium" w:hAnsi="Franklin Gothic Medium"/>
              </w:rPr>
              <w:t>,5</w:t>
            </w:r>
            <w:r w:rsidR="00C14818">
              <w:rPr>
                <w:rFonts w:ascii="Franklin Gothic Medium" w:hAnsi="Franklin Gothic Medium"/>
              </w:rPr>
              <w:t>52</w:t>
            </w:r>
          </w:p>
        </w:tc>
        <w:tc>
          <w:tcPr>
            <w:tcW w:w="0" w:type="auto"/>
            <w:tcBorders>
              <w:top w:val="none" w:sz="0" w:space="0" w:color="auto"/>
              <w:left w:val="none" w:sz="0" w:space="0" w:color="auto"/>
              <w:bottom w:val="none" w:sz="0" w:space="0" w:color="auto"/>
              <w:right w:val="none" w:sz="0" w:space="0" w:color="auto"/>
            </w:tcBorders>
            <w:vAlign w:val="top"/>
          </w:tcPr>
          <w:p w14:paraId="344B9B25" w14:textId="4216CDE5" w:rsidR="006F0CAA" w:rsidRPr="007B4B4B" w:rsidRDefault="006E3C5F" w:rsidP="008C6FBE">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N/A</w:t>
            </w:r>
          </w:p>
        </w:tc>
      </w:tr>
    </w:tbl>
    <w:p w14:paraId="2F9056D9" w14:textId="6D3BCF3E" w:rsidR="001A3ACE" w:rsidRDefault="001A3ACE" w:rsidP="00881B1B">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7F518BB7" w14:textId="7AB470E0" w:rsidR="006F62E4" w:rsidRDefault="006F62E4" w:rsidP="006F62E4">
      <w:pPr>
        <w:pStyle w:val="AppendixBeta"/>
      </w:pPr>
      <w:bookmarkStart w:id="512" w:name="_Toc191992493"/>
      <w:bookmarkStart w:id="513" w:name="_Toc192766922"/>
      <w:r>
        <w:t>Retro-Commissioning Initiative</w:t>
      </w:r>
      <w:bookmarkEnd w:id="512"/>
      <w:bookmarkEnd w:id="513"/>
    </w:p>
    <w:p w14:paraId="7997E59E" w14:textId="5D772213" w:rsidR="006F62E4" w:rsidRDefault="006F62E4" w:rsidP="006F62E4">
      <w:pPr>
        <w:pStyle w:val="AppendixGamma"/>
      </w:pPr>
      <w:bookmarkStart w:id="514" w:name="_Toc191992494"/>
      <w:r>
        <w:t>Additional Fossil Fuel Impacts</w:t>
      </w:r>
      <w:bookmarkEnd w:id="514"/>
    </w:p>
    <w:p w14:paraId="79DB3BF5" w14:textId="7DEDF679" w:rsidR="006F62E4" w:rsidRDefault="006F62E4" w:rsidP="006F62E4">
      <w:r>
        <w:t>The Retro-Commissioning Initiative produced no additional fossil fuel impacts in 2024.</w:t>
      </w:r>
    </w:p>
    <w:p w14:paraId="2916BE26" w14:textId="5C8B2280" w:rsidR="006F62E4" w:rsidRDefault="006F62E4" w:rsidP="006F62E4">
      <w:pPr>
        <w:pStyle w:val="AppendixGamma"/>
      </w:pPr>
      <w:bookmarkStart w:id="515" w:name="_Toc191992495"/>
      <w:r>
        <w:t>Gas Heating Penalties</w:t>
      </w:r>
      <w:bookmarkEnd w:id="515"/>
    </w:p>
    <w:p w14:paraId="5A0ADBA3" w14:textId="3601BEB8" w:rsidR="006F62E4" w:rsidRDefault="006F62E4" w:rsidP="006F62E4">
      <w:r>
        <w:t xml:space="preserve">No measures delivered through the Retro-Commissioning Initiative produced quantifiable </w:t>
      </w:r>
      <w:r w:rsidR="00853B3D">
        <w:t xml:space="preserve">gas heating penalties </w:t>
      </w:r>
      <w:r>
        <w:t>in 2024.</w:t>
      </w:r>
    </w:p>
    <w:p w14:paraId="2414F255" w14:textId="77777777" w:rsidR="00B83635" w:rsidRDefault="00B83635" w:rsidP="00B83635">
      <w:pPr>
        <w:pStyle w:val="AppendixGamma"/>
      </w:pPr>
      <w:bookmarkStart w:id="516" w:name="_Toc191992496"/>
      <w:r>
        <w:t>Secondary Electric Savings for Water Supply and Wastewater treatment</w:t>
      </w:r>
      <w:bookmarkEnd w:id="516"/>
    </w:p>
    <w:p w14:paraId="0DD79FAA" w14:textId="2205AD48" w:rsidR="00B83635" w:rsidRDefault="00B83635" w:rsidP="006F62E4">
      <w:r>
        <w:t>No measures delivered through the Retro-Commissioning Initiative produced quantifiable secondary electric savings in 2024.</w:t>
      </w:r>
    </w:p>
    <w:p w14:paraId="6E387ECF" w14:textId="77777777" w:rsidR="006F62E4" w:rsidRDefault="006F62E4" w:rsidP="006F62E4">
      <w:pPr>
        <w:pStyle w:val="AppendixGamma"/>
      </w:pPr>
      <w:bookmarkStart w:id="517" w:name="_Toc191992497"/>
      <w:r>
        <w:t>Total Impacts for Cost-Effectiveness</w:t>
      </w:r>
      <w:bookmarkEnd w:id="517"/>
    </w:p>
    <w:p w14:paraId="41B7FCEE" w14:textId="4EC40BB4" w:rsidR="006F62E4" w:rsidRDefault="006F62E4" w:rsidP="006F62E4">
      <w:r>
        <w:fldChar w:fldCharType="begin"/>
      </w:r>
      <w:r>
        <w:instrText xml:space="preserve"> REF _Ref187409286 \h </w:instrText>
      </w:r>
      <w:r>
        <w:fldChar w:fldCharType="separate"/>
      </w:r>
      <w:r w:rsidR="00AA10F4">
        <w:t xml:space="preserve">Table </w:t>
      </w:r>
      <w:r w:rsidR="00AA10F4">
        <w:rPr>
          <w:noProof/>
        </w:rPr>
        <w:t>114</w:t>
      </w:r>
      <w:r>
        <w:fldChar w:fldCharType="end"/>
      </w:r>
      <w:r>
        <w:t xml:space="preserve"> presents a summary of the 2024 Retro-Commissioning Initiative verified gross impacts adjusted for the above effects.</w:t>
      </w:r>
    </w:p>
    <w:p w14:paraId="7257AB23" w14:textId="083346A2" w:rsidR="006F62E4" w:rsidRDefault="006F62E4" w:rsidP="00F53404">
      <w:pPr>
        <w:pStyle w:val="Caption"/>
      </w:pPr>
      <w:bookmarkStart w:id="518" w:name="_Ref187409286"/>
      <w:bookmarkStart w:id="519" w:name="_Toc191992632"/>
      <w:bookmarkStart w:id="520" w:name="_Toc192767048"/>
      <w:r>
        <w:lastRenderedPageBreak/>
        <w:t xml:space="preserve">Table </w:t>
      </w:r>
      <w:r w:rsidR="009B4C9A">
        <w:fldChar w:fldCharType="begin"/>
      </w:r>
      <w:r w:rsidR="009B4C9A">
        <w:instrText xml:space="preserve"> SEQ Table \* ARABIC </w:instrText>
      </w:r>
      <w:r w:rsidR="009B4C9A">
        <w:fldChar w:fldCharType="separate"/>
      </w:r>
      <w:r w:rsidR="00AA10F4">
        <w:rPr>
          <w:noProof/>
        </w:rPr>
        <w:t>114</w:t>
      </w:r>
      <w:r w:rsidR="009B4C9A">
        <w:rPr>
          <w:noProof/>
        </w:rPr>
        <w:fldChar w:fldCharType="end"/>
      </w:r>
      <w:bookmarkEnd w:id="518"/>
      <w:r>
        <w:t xml:space="preserve">. </w:t>
      </w:r>
      <w:r w:rsidRPr="00307EAB">
        <w:t xml:space="preserve">2024 </w:t>
      </w:r>
      <w:r>
        <w:t xml:space="preserve">Retro-Commissioning </w:t>
      </w:r>
      <w:r w:rsidRPr="00307EAB">
        <w:t>Initiative Verified Gross Impacts for Cost-Effectiveness</w:t>
      </w:r>
      <w:bookmarkEnd w:id="519"/>
      <w:bookmarkEnd w:id="520"/>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526"/>
        <w:gridCol w:w="1581"/>
        <w:gridCol w:w="1369"/>
        <w:gridCol w:w="2002"/>
        <w:gridCol w:w="1618"/>
      </w:tblGrid>
      <w:tr w:rsidR="006F0CAA" w14:paraId="7ED7D52C" w14:textId="77777777" w:rsidTr="00F5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4A6F0E20" w14:textId="77777777" w:rsidR="006F0CAA" w:rsidRDefault="006F0CAA" w:rsidP="00F53404">
            <w:pPr>
              <w:keepNext/>
              <w:keepLines/>
              <w:jc w:val="left"/>
            </w:pPr>
          </w:p>
        </w:tc>
        <w:tc>
          <w:tcPr>
            <w:tcW w:w="712" w:type="pct"/>
            <w:tcBorders>
              <w:bottom w:val="none" w:sz="0" w:space="0" w:color="auto"/>
            </w:tcBorders>
          </w:tcPr>
          <w:p w14:paraId="217DCF66"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Electric Energy (kWh)</w:t>
            </w:r>
          </w:p>
        </w:tc>
        <w:tc>
          <w:tcPr>
            <w:tcW w:w="617" w:type="pct"/>
            <w:tcBorders>
              <w:bottom w:val="none" w:sz="0" w:space="0" w:color="auto"/>
            </w:tcBorders>
          </w:tcPr>
          <w:p w14:paraId="728A3380"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Gas (Therms)</w:t>
            </w:r>
          </w:p>
        </w:tc>
        <w:tc>
          <w:tcPr>
            <w:tcW w:w="902" w:type="pct"/>
            <w:tcBorders>
              <w:bottom w:val="none" w:sz="0" w:space="0" w:color="auto"/>
            </w:tcBorders>
          </w:tcPr>
          <w:p w14:paraId="3AE69F39"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Non-AIC Gas (Therms)</w:t>
            </w:r>
          </w:p>
        </w:tc>
        <w:tc>
          <w:tcPr>
            <w:tcW w:w="729" w:type="pct"/>
            <w:tcBorders>
              <w:bottom w:val="none" w:sz="0" w:space="0" w:color="auto"/>
            </w:tcBorders>
          </w:tcPr>
          <w:p w14:paraId="43E9E3E0"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Water (Gallons)</w:t>
            </w:r>
          </w:p>
        </w:tc>
      </w:tr>
      <w:tr w:rsidR="006F0CAA" w14:paraId="464D2C4C"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391A0028" w14:textId="77777777" w:rsidR="006F0CAA" w:rsidRDefault="006F0CAA" w:rsidP="00F53404">
            <w:pPr>
              <w:keepNext/>
              <w:keepLines/>
            </w:pPr>
            <w:r>
              <w:t>Verified Gross Impacts for Goal Attainment</w:t>
            </w:r>
          </w:p>
        </w:tc>
        <w:tc>
          <w:tcPr>
            <w:tcW w:w="712" w:type="pct"/>
            <w:tcBorders>
              <w:top w:val="none" w:sz="0" w:space="0" w:color="auto"/>
              <w:left w:val="none" w:sz="0" w:space="0" w:color="auto"/>
              <w:bottom w:val="none" w:sz="0" w:space="0" w:color="auto"/>
              <w:right w:val="none" w:sz="0" w:space="0" w:color="auto"/>
            </w:tcBorders>
          </w:tcPr>
          <w:p w14:paraId="3584CC15" w14:textId="41DE2F2D"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t>7,</w:t>
            </w:r>
            <w:r w:rsidR="00BA4749">
              <w:t>618,120</w:t>
            </w:r>
          </w:p>
        </w:tc>
        <w:tc>
          <w:tcPr>
            <w:tcW w:w="617" w:type="pct"/>
            <w:tcBorders>
              <w:top w:val="none" w:sz="0" w:space="0" w:color="auto"/>
              <w:left w:val="none" w:sz="0" w:space="0" w:color="auto"/>
              <w:bottom w:val="none" w:sz="0" w:space="0" w:color="auto"/>
              <w:right w:val="none" w:sz="0" w:space="0" w:color="auto"/>
            </w:tcBorders>
          </w:tcPr>
          <w:p w14:paraId="42961B65" w14:textId="34FDA473"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c>
          <w:tcPr>
            <w:tcW w:w="902" w:type="pct"/>
            <w:tcBorders>
              <w:top w:val="none" w:sz="0" w:space="0" w:color="auto"/>
              <w:left w:val="none" w:sz="0" w:space="0" w:color="auto"/>
              <w:bottom w:val="none" w:sz="0" w:space="0" w:color="auto"/>
              <w:right w:val="none" w:sz="0" w:space="0" w:color="auto"/>
            </w:tcBorders>
          </w:tcPr>
          <w:p w14:paraId="13A5BC66" w14:textId="21BDEE5D"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N/A</w:t>
            </w:r>
          </w:p>
        </w:tc>
        <w:tc>
          <w:tcPr>
            <w:tcW w:w="729" w:type="pct"/>
            <w:tcBorders>
              <w:top w:val="none" w:sz="0" w:space="0" w:color="auto"/>
              <w:left w:val="none" w:sz="0" w:space="0" w:color="auto"/>
              <w:bottom w:val="none" w:sz="0" w:space="0" w:color="auto"/>
              <w:right w:val="none" w:sz="0" w:space="0" w:color="auto"/>
            </w:tcBorders>
          </w:tcPr>
          <w:p w14:paraId="292D34BE" w14:textId="234117C5"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N/A</w:t>
            </w:r>
          </w:p>
        </w:tc>
      </w:tr>
      <w:tr w:rsidR="006F0CAA" w14:paraId="6E14823F"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19A94032" w14:textId="77777777" w:rsidR="006F0CAA" w:rsidRDefault="006F0CAA" w:rsidP="00F53404">
            <w:pPr>
              <w:keepNext/>
              <w:keepLines/>
            </w:pPr>
            <w:r>
              <w:t>Gas Penalties</w:t>
            </w:r>
          </w:p>
        </w:tc>
        <w:tc>
          <w:tcPr>
            <w:tcW w:w="712" w:type="pct"/>
            <w:tcBorders>
              <w:top w:val="none" w:sz="0" w:space="0" w:color="auto"/>
              <w:left w:val="none" w:sz="0" w:space="0" w:color="auto"/>
              <w:bottom w:val="none" w:sz="0" w:space="0" w:color="auto"/>
              <w:right w:val="none" w:sz="0" w:space="0" w:color="auto"/>
            </w:tcBorders>
          </w:tcPr>
          <w:p w14:paraId="0D1076D0" w14:textId="243071C8"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F15E0A">
              <w:t>N/A</w:t>
            </w:r>
          </w:p>
        </w:tc>
        <w:tc>
          <w:tcPr>
            <w:tcW w:w="617" w:type="pct"/>
            <w:tcBorders>
              <w:top w:val="none" w:sz="0" w:space="0" w:color="auto"/>
              <w:left w:val="none" w:sz="0" w:space="0" w:color="auto"/>
              <w:bottom w:val="none" w:sz="0" w:space="0" w:color="auto"/>
              <w:right w:val="none" w:sz="0" w:space="0" w:color="auto"/>
            </w:tcBorders>
          </w:tcPr>
          <w:p w14:paraId="4BAAC953" w14:textId="317594E2"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c>
          <w:tcPr>
            <w:tcW w:w="902" w:type="pct"/>
            <w:tcBorders>
              <w:top w:val="none" w:sz="0" w:space="0" w:color="auto"/>
              <w:left w:val="none" w:sz="0" w:space="0" w:color="auto"/>
              <w:bottom w:val="none" w:sz="0" w:space="0" w:color="auto"/>
              <w:right w:val="none" w:sz="0" w:space="0" w:color="auto"/>
            </w:tcBorders>
          </w:tcPr>
          <w:p w14:paraId="71FA6518" w14:textId="7A180C16"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c>
          <w:tcPr>
            <w:tcW w:w="729" w:type="pct"/>
            <w:tcBorders>
              <w:top w:val="none" w:sz="0" w:space="0" w:color="auto"/>
              <w:left w:val="none" w:sz="0" w:space="0" w:color="auto"/>
              <w:bottom w:val="none" w:sz="0" w:space="0" w:color="auto"/>
              <w:right w:val="none" w:sz="0" w:space="0" w:color="auto"/>
            </w:tcBorders>
          </w:tcPr>
          <w:p w14:paraId="18541E20" w14:textId="71812A1E"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r>
      <w:tr w:rsidR="006F0CAA" w14:paraId="294DEE6D"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23D595D0" w14:textId="77777777" w:rsidR="006F0CAA" w:rsidRDefault="006F0CAA" w:rsidP="00F53404">
            <w:pPr>
              <w:keepNext/>
              <w:keepLines/>
            </w:pPr>
            <w:r>
              <w:t>Water Savings</w:t>
            </w:r>
          </w:p>
        </w:tc>
        <w:tc>
          <w:tcPr>
            <w:tcW w:w="712" w:type="pct"/>
            <w:tcBorders>
              <w:top w:val="none" w:sz="0" w:space="0" w:color="auto"/>
              <w:left w:val="none" w:sz="0" w:space="0" w:color="auto"/>
              <w:bottom w:val="none" w:sz="0" w:space="0" w:color="auto"/>
              <w:right w:val="none" w:sz="0" w:space="0" w:color="auto"/>
            </w:tcBorders>
          </w:tcPr>
          <w:p w14:paraId="53E107D4" w14:textId="4C0319DA"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F15E0A">
              <w:t>N/A</w:t>
            </w:r>
          </w:p>
        </w:tc>
        <w:tc>
          <w:tcPr>
            <w:tcW w:w="617" w:type="pct"/>
            <w:tcBorders>
              <w:top w:val="none" w:sz="0" w:space="0" w:color="auto"/>
              <w:left w:val="none" w:sz="0" w:space="0" w:color="auto"/>
              <w:bottom w:val="none" w:sz="0" w:space="0" w:color="auto"/>
              <w:right w:val="none" w:sz="0" w:space="0" w:color="auto"/>
            </w:tcBorders>
          </w:tcPr>
          <w:p w14:paraId="7AF643DA" w14:textId="6B631AB0"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N/A</w:t>
            </w:r>
          </w:p>
        </w:tc>
        <w:tc>
          <w:tcPr>
            <w:tcW w:w="902" w:type="pct"/>
            <w:tcBorders>
              <w:top w:val="none" w:sz="0" w:space="0" w:color="auto"/>
              <w:left w:val="none" w:sz="0" w:space="0" w:color="auto"/>
              <w:bottom w:val="none" w:sz="0" w:space="0" w:color="auto"/>
              <w:right w:val="none" w:sz="0" w:space="0" w:color="auto"/>
            </w:tcBorders>
          </w:tcPr>
          <w:p w14:paraId="5495FB5A" w14:textId="2FF5342C"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c>
          <w:tcPr>
            <w:tcW w:w="729" w:type="pct"/>
            <w:tcBorders>
              <w:top w:val="none" w:sz="0" w:space="0" w:color="auto"/>
              <w:left w:val="none" w:sz="0" w:space="0" w:color="auto"/>
              <w:bottom w:val="none" w:sz="0" w:space="0" w:color="auto"/>
              <w:right w:val="none" w:sz="0" w:space="0" w:color="auto"/>
            </w:tcBorders>
          </w:tcPr>
          <w:p w14:paraId="49A3BB1C" w14:textId="4D716A42"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r>
      <w:tr w:rsidR="006F0CAA" w14:paraId="7648A075"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2DC0897D" w14:textId="77777777" w:rsidR="006F0CAA" w:rsidRDefault="006F0CAA" w:rsidP="00F53404">
            <w:pPr>
              <w:keepNext/>
              <w:keepLines/>
            </w:pPr>
            <w:r>
              <w:t>Secondary Electric Savings</w:t>
            </w:r>
          </w:p>
        </w:tc>
        <w:tc>
          <w:tcPr>
            <w:tcW w:w="712" w:type="pct"/>
            <w:tcBorders>
              <w:top w:val="none" w:sz="0" w:space="0" w:color="auto"/>
              <w:left w:val="none" w:sz="0" w:space="0" w:color="auto"/>
              <w:bottom w:val="none" w:sz="0" w:space="0" w:color="auto"/>
              <w:right w:val="none" w:sz="0" w:space="0" w:color="auto"/>
            </w:tcBorders>
          </w:tcPr>
          <w:p w14:paraId="4E675B99" w14:textId="5978B11D"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F15E0A">
              <w:t>N/A</w:t>
            </w:r>
          </w:p>
        </w:tc>
        <w:tc>
          <w:tcPr>
            <w:tcW w:w="617" w:type="pct"/>
            <w:tcBorders>
              <w:top w:val="none" w:sz="0" w:space="0" w:color="auto"/>
              <w:left w:val="none" w:sz="0" w:space="0" w:color="auto"/>
              <w:bottom w:val="none" w:sz="0" w:space="0" w:color="auto"/>
              <w:right w:val="none" w:sz="0" w:space="0" w:color="auto"/>
            </w:tcBorders>
          </w:tcPr>
          <w:p w14:paraId="6E31D897" w14:textId="4B3A9BDF"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c>
          <w:tcPr>
            <w:tcW w:w="902" w:type="pct"/>
            <w:tcBorders>
              <w:top w:val="none" w:sz="0" w:space="0" w:color="auto"/>
              <w:left w:val="none" w:sz="0" w:space="0" w:color="auto"/>
              <w:bottom w:val="none" w:sz="0" w:space="0" w:color="auto"/>
              <w:right w:val="none" w:sz="0" w:space="0" w:color="auto"/>
            </w:tcBorders>
          </w:tcPr>
          <w:p w14:paraId="094F1B29" w14:textId="556F8DE1"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c>
          <w:tcPr>
            <w:tcW w:w="729" w:type="pct"/>
            <w:tcBorders>
              <w:top w:val="none" w:sz="0" w:space="0" w:color="auto"/>
              <w:left w:val="none" w:sz="0" w:space="0" w:color="auto"/>
              <w:bottom w:val="none" w:sz="0" w:space="0" w:color="auto"/>
              <w:right w:val="none" w:sz="0" w:space="0" w:color="auto"/>
            </w:tcBorders>
          </w:tcPr>
          <w:p w14:paraId="1756C177" w14:textId="1D3AAC20"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E92959">
              <w:t>N/A</w:t>
            </w:r>
          </w:p>
        </w:tc>
      </w:tr>
      <w:tr w:rsidR="006F0CAA" w14:paraId="4A3F57A3"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5B40AB7A" w14:textId="77777777" w:rsidR="006F0CAA" w:rsidRDefault="006F0CAA" w:rsidP="00F53404">
            <w:pPr>
              <w:keepNext/>
              <w:keepLines/>
            </w:pPr>
            <w:r>
              <w:t>Additional Fossil Fuel Impacts</w:t>
            </w:r>
          </w:p>
        </w:tc>
        <w:tc>
          <w:tcPr>
            <w:tcW w:w="712" w:type="pct"/>
            <w:tcBorders>
              <w:top w:val="none" w:sz="0" w:space="0" w:color="auto"/>
              <w:left w:val="none" w:sz="0" w:space="0" w:color="auto"/>
              <w:bottom w:val="none" w:sz="0" w:space="0" w:color="auto"/>
              <w:right w:val="none" w:sz="0" w:space="0" w:color="auto"/>
            </w:tcBorders>
          </w:tcPr>
          <w:p w14:paraId="5AFF54A4" w14:textId="2DC30BED"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F15E0A">
              <w:t>N/A</w:t>
            </w:r>
          </w:p>
        </w:tc>
        <w:tc>
          <w:tcPr>
            <w:tcW w:w="617" w:type="pct"/>
            <w:tcBorders>
              <w:top w:val="none" w:sz="0" w:space="0" w:color="auto"/>
              <w:left w:val="none" w:sz="0" w:space="0" w:color="auto"/>
              <w:bottom w:val="none" w:sz="0" w:space="0" w:color="auto"/>
              <w:right w:val="none" w:sz="0" w:space="0" w:color="auto"/>
            </w:tcBorders>
          </w:tcPr>
          <w:p w14:paraId="105EF1F2" w14:textId="0B6FB155"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c>
          <w:tcPr>
            <w:tcW w:w="902" w:type="pct"/>
            <w:tcBorders>
              <w:top w:val="none" w:sz="0" w:space="0" w:color="auto"/>
              <w:left w:val="none" w:sz="0" w:space="0" w:color="auto"/>
              <w:bottom w:val="none" w:sz="0" w:space="0" w:color="auto"/>
              <w:right w:val="none" w:sz="0" w:space="0" w:color="auto"/>
            </w:tcBorders>
          </w:tcPr>
          <w:p w14:paraId="257486A4" w14:textId="397F5BEC"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c>
          <w:tcPr>
            <w:tcW w:w="729" w:type="pct"/>
            <w:tcBorders>
              <w:top w:val="none" w:sz="0" w:space="0" w:color="auto"/>
              <w:left w:val="none" w:sz="0" w:space="0" w:color="auto"/>
              <w:bottom w:val="none" w:sz="0" w:space="0" w:color="auto"/>
              <w:right w:val="none" w:sz="0" w:space="0" w:color="auto"/>
            </w:tcBorders>
          </w:tcPr>
          <w:p w14:paraId="6AEABC1B" w14:textId="130FDC70"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E92959">
              <w:t>0</w:t>
            </w:r>
          </w:p>
        </w:tc>
      </w:tr>
      <w:tr w:rsidR="006F0CAA" w14:paraId="1AC071D1"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7B11F47C" w14:textId="77777777" w:rsidR="006F0CAA" w:rsidRPr="007B4B4B" w:rsidRDefault="006F0CAA" w:rsidP="00F53404">
            <w:pPr>
              <w:keepNext/>
              <w:keepLines/>
              <w:rPr>
                <w:rFonts w:ascii="Franklin Gothic Medium" w:hAnsi="Franklin Gothic Medium"/>
              </w:rPr>
            </w:pPr>
            <w:r w:rsidRPr="007B4B4B">
              <w:rPr>
                <w:rFonts w:ascii="Franklin Gothic Medium" w:hAnsi="Franklin Gothic Medium"/>
              </w:rPr>
              <w:t>Final Verified Gross Impacts for Cost-Effectiveness</w:t>
            </w:r>
          </w:p>
        </w:tc>
        <w:tc>
          <w:tcPr>
            <w:tcW w:w="712" w:type="pct"/>
            <w:tcBorders>
              <w:top w:val="none" w:sz="0" w:space="0" w:color="auto"/>
              <w:left w:val="none" w:sz="0" w:space="0" w:color="auto"/>
              <w:bottom w:val="none" w:sz="0" w:space="0" w:color="auto"/>
              <w:right w:val="none" w:sz="0" w:space="0" w:color="auto"/>
            </w:tcBorders>
          </w:tcPr>
          <w:p w14:paraId="7ADD24F1" w14:textId="66FDEF3E" w:rsidR="006F0CAA" w:rsidRPr="007B4B4B"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7,</w:t>
            </w:r>
            <w:r w:rsidR="00BA4749" w:rsidRPr="007B4B4B">
              <w:rPr>
                <w:rFonts w:ascii="Franklin Gothic Medium" w:hAnsi="Franklin Gothic Medium"/>
              </w:rPr>
              <w:t>618,120</w:t>
            </w:r>
          </w:p>
        </w:tc>
        <w:tc>
          <w:tcPr>
            <w:tcW w:w="617" w:type="pct"/>
            <w:tcBorders>
              <w:top w:val="none" w:sz="0" w:space="0" w:color="auto"/>
              <w:left w:val="none" w:sz="0" w:space="0" w:color="auto"/>
              <w:bottom w:val="none" w:sz="0" w:space="0" w:color="auto"/>
              <w:right w:val="none" w:sz="0" w:space="0" w:color="auto"/>
            </w:tcBorders>
          </w:tcPr>
          <w:p w14:paraId="10DF20F9" w14:textId="31076938" w:rsidR="006F0CAA" w:rsidRPr="007B4B4B"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0</w:t>
            </w:r>
          </w:p>
        </w:tc>
        <w:tc>
          <w:tcPr>
            <w:tcW w:w="902" w:type="pct"/>
            <w:tcBorders>
              <w:top w:val="none" w:sz="0" w:space="0" w:color="auto"/>
              <w:left w:val="none" w:sz="0" w:space="0" w:color="auto"/>
              <w:bottom w:val="none" w:sz="0" w:space="0" w:color="auto"/>
              <w:right w:val="none" w:sz="0" w:space="0" w:color="auto"/>
            </w:tcBorders>
          </w:tcPr>
          <w:p w14:paraId="5B00A7D4" w14:textId="6395BEF0" w:rsidR="006F0CAA" w:rsidRPr="007B4B4B"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N/A</w:t>
            </w:r>
          </w:p>
        </w:tc>
        <w:tc>
          <w:tcPr>
            <w:tcW w:w="729" w:type="pct"/>
            <w:tcBorders>
              <w:top w:val="none" w:sz="0" w:space="0" w:color="auto"/>
              <w:left w:val="none" w:sz="0" w:space="0" w:color="auto"/>
              <w:bottom w:val="none" w:sz="0" w:space="0" w:color="auto"/>
              <w:right w:val="none" w:sz="0" w:space="0" w:color="auto"/>
            </w:tcBorders>
          </w:tcPr>
          <w:p w14:paraId="22FB38D8" w14:textId="5B6FDF00" w:rsidR="006F0CAA" w:rsidRPr="007B4B4B"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N/A</w:t>
            </w:r>
          </w:p>
        </w:tc>
      </w:tr>
    </w:tbl>
    <w:p w14:paraId="63DB0D01" w14:textId="2B60CDCE" w:rsidR="006F62E4" w:rsidRDefault="006F62E4" w:rsidP="00F53404">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16AC6D3D" w14:textId="2F8B9592" w:rsidR="00BF6001" w:rsidRDefault="00BF6001" w:rsidP="00BF6001">
      <w:pPr>
        <w:pStyle w:val="AppendixBeta"/>
      </w:pPr>
      <w:bookmarkStart w:id="521" w:name="_Toc191992498"/>
      <w:bookmarkStart w:id="522" w:name="_Toc192766923"/>
      <w:r>
        <w:t>Streetlighting Initiative</w:t>
      </w:r>
      <w:bookmarkEnd w:id="521"/>
      <w:bookmarkEnd w:id="522"/>
    </w:p>
    <w:p w14:paraId="6FE77C3F" w14:textId="77777777" w:rsidR="00BF6001" w:rsidRDefault="00BF6001" w:rsidP="00BF6001">
      <w:pPr>
        <w:pStyle w:val="AppendixGamma"/>
      </w:pPr>
      <w:bookmarkStart w:id="523" w:name="_Toc191992499"/>
      <w:r>
        <w:t>Additional Fossil Fuel Impacts</w:t>
      </w:r>
      <w:bookmarkEnd w:id="523"/>
    </w:p>
    <w:p w14:paraId="1E967AD8" w14:textId="769F4C19" w:rsidR="00BF6001" w:rsidRDefault="00BF6001" w:rsidP="00BF6001">
      <w:r>
        <w:t>The Streetlighting Initiative produced no additional fossil fuel impacts in 2024.</w:t>
      </w:r>
    </w:p>
    <w:p w14:paraId="0DF370FC" w14:textId="77777777" w:rsidR="00BF6001" w:rsidRDefault="00BF6001" w:rsidP="00BF6001">
      <w:pPr>
        <w:pStyle w:val="AppendixGamma"/>
      </w:pPr>
      <w:bookmarkStart w:id="524" w:name="_Toc191992500"/>
      <w:r>
        <w:t>Gas Heating Penalties</w:t>
      </w:r>
      <w:bookmarkEnd w:id="524"/>
    </w:p>
    <w:p w14:paraId="4F423615" w14:textId="127BBEFE" w:rsidR="00BF6001" w:rsidRDefault="00BF6001" w:rsidP="00BF6001">
      <w:r>
        <w:t>Because all measures installed through the Streetlighting Initiative in 2024 are located in unconditioned space, no measures installed through the Initiative produced gas heating penalties.</w:t>
      </w:r>
    </w:p>
    <w:p w14:paraId="14B1A190" w14:textId="77777777" w:rsidR="00B83635" w:rsidRDefault="00B83635" w:rsidP="00B83635">
      <w:pPr>
        <w:pStyle w:val="AppendixGamma"/>
      </w:pPr>
      <w:bookmarkStart w:id="525" w:name="_Toc191992501"/>
      <w:r>
        <w:t>Secondary Electric Savings for Water Supply and Wastewater treatment</w:t>
      </w:r>
      <w:bookmarkEnd w:id="525"/>
    </w:p>
    <w:p w14:paraId="6B1B62FE" w14:textId="75371361" w:rsidR="00B83635" w:rsidRDefault="00B83635" w:rsidP="00BF6001">
      <w:r>
        <w:t>No measures delivered through the Streetlighting Initiative produced quantifiable secondary electric savings in 2024.</w:t>
      </w:r>
    </w:p>
    <w:p w14:paraId="3A21A8DC" w14:textId="77777777" w:rsidR="00BF6001" w:rsidRDefault="00BF6001" w:rsidP="00BF6001">
      <w:pPr>
        <w:pStyle w:val="AppendixGamma"/>
      </w:pPr>
      <w:bookmarkStart w:id="526" w:name="_Toc191992502"/>
      <w:r>
        <w:t>Total Impacts for Cost-Effectiveness</w:t>
      </w:r>
      <w:bookmarkEnd w:id="526"/>
    </w:p>
    <w:p w14:paraId="19D1A77A" w14:textId="6DB72CE2" w:rsidR="00BF6001" w:rsidRDefault="00BF6001" w:rsidP="00BF6001">
      <w:r>
        <w:fldChar w:fldCharType="begin"/>
      </w:r>
      <w:r>
        <w:instrText xml:space="preserve"> REF _Ref187409623 \h </w:instrText>
      </w:r>
      <w:r>
        <w:fldChar w:fldCharType="separate"/>
      </w:r>
      <w:r w:rsidR="00AA10F4">
        <w:t xml:space="preserve">Table </w:t>
      </w:r>
      <w:r w:rsidR="00AA10F4">
        <w:rPr>
          <w:noProof/>
        </w:rPr>
        <w:t>115</w:t>
      </w:r>
      <w:r>
        <w:fldChar w:fldCharType="end"/>
      </w:r>
      <w:r>
        <w:t xml:space="preserve"> presents a summary of the 2024 Streetlighting</w:t>
      </w:r>
      <w:r w:rsidRPr="007B09CF">
        <w:t xml:space="preserve"> </w:t>
      </w:r>
      <w:r>
        <w:t>Initiative verified gross impacts adjusted for the above effects.</w:t>
      </w:r>
    </w:p>
    <w:p w14:paraId="04EE357E" w14:textId="16E9A0CB" w:rsidR="00BF6001" w:rsidRDefault="00BF6001" w:rsidP="00F53404">
      <w:pPr>
        <w:pStyle w:val="Caption"/>
      </w:pPr>
      <w:bookmarkStart w:id="527" w:name="_Ref187409623"/>
      <w:bookmarkStart w:id="528" w:name="_Toc191992633"/>
      <w:bookmarkStart w:id="529" w:name="_Toc192767049"/>
      <w:r>
        <w:lastRenderedPageBreak/>
        <w:t xml:space="preserve">Table </w:t>
      </w:r>
      <w:r w:rsidR="009B4C9A">
        <w:fldChar w:fldCharType="begin"/>
      </w:r>
      <w:r w:rsidR="009B4C9A">
        <w:instrText xml:space="preserve"> SEQ Table \* ARABIC </w:instrText>
      </w:r>
      <w:r w:rsidR="009B4C9A">
        <w:fldChar w:fldCharType="separate"/>
      </w:r>
      <w:r w:rsidR="00AA10F4">
        <w:rPr>
          <w:noProof/>
        </w:rPr>
        <w:t>115</w:t>
      </w:r>
      <w:r w:rsidR="009B4C9A">
        <w:rPr>
          <w:noProof/>
        </w:rPr>
        <w:fldChar w:fldCharType="end"/>
      </w:r>
      <w:bookmarkEnd w:id="527"/>
      <w:r>
        <w:t xml:space="preserve">. </w:t>
      </w:r>
      <w:r w:rsidRPr="007B09CF">
        <w:t xml:space="preserve">2024 </w:t>
      </w:r>
      <w:r>
        <w:t>Streetlighting</w:t>
      </w:r>
      <w:r w:rsidRPr="007B09CF">
        <w:t xml:space="preserve"> Initiative Verified Gross Impacts for Cost-Effectiveness</w:t>
      </w:r>
      <w:bookmarkEnd w:id="528"/>
      <w:bookmarkEnd w:id="529"/>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496"/>
        <w:gridCol w:w="1842"/>
        <w:gridCol w:w="1278"/>
        <w:gridCol w:w="2011"/>
        <w:gridCol w:w="1469"/>
      </w:tblGrid>
      <w:tr w:rsidR="006F0CAA" w14:paraId="66B0E088" w14:textId="77777777" w:rsidTr="00F5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1B12ADC4" w14:textId="77777777" w:rsidR="006F0CAA" w:rsidRDefault="006F0CAA" w:rsidP="00F53404">
            <w:pPr>
              <w:keepNext/>
              <w:keepLines/>
              <w:jc w:val="left"/>
            </w:pPr>
          </w:p>
        </w:tc>
        <w:tc>
          <w:tcPr>
            <w:tcW w:w="830" w:type="pct"/>
            <w:tcBorders>
              <w:bottom w:val="none" w:sz="0" w:space="0" w:color="auto"/>
            </w:tcBorders>
          </w:tcPr>
          <w:p w14:paraId="36A105C1"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Electric Energy (kWh)</w:t>
            </w:r>
          </w:p>
        </w:tc>
        <w:tc>
          <w:tcPr>
            <w:tcW w:w="576" w:type="pct"/>
            <w:tcBorders>
              <w:bottom w:val="none" w:sz="0" w:space="0" w:color="auto"/>
            </w:tcBorders>
          </w:tcPr>
          <w:p w14:paraId="5A6696E0"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Gas (Therms)</w:t>
            </w:r>
          </w:p>
        </w:tc>
        <w:tc>
          <w:tcPr>
            <w:tcW w:w="906" w:type="pct"/>
            <w:tcBorders>
              <w:bottom w:val="none" w:sz="0" w:space="0" w:color="auto"/>
            </w:tcBorders>
          </w:tcPr>
          <w:p w14:paraId="2CB70071"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Non-AIC Gas (Therms)</w:t>
            </w:r>
          </w:p>
        </w:tc>
        <w:tc>
          <w:tcPr>
            <w:tcW w:w="663" w:type="pct"/>
            <w:tcBorders>
              <w:bottom w:val="none" w:sz="0" w:space="0" w:color="auto"/>
            </w:tcBorders>
          </w:tcPr>
          <w:p w14:paraId="17EC7E2A" w14:textId="77777777" w:rsidR="006F0CAA" w:rsidRDefault="006F0CAA" w:rsidP="00F53404">
            <w:pPr>
              <w:pStyle w:val="TableHeadingCentered"/>
              <w:keepNext/>
              <w:keepLines/>
              <w:cnfStyle w:val="100000000000" w:firstRow="1" w:lastRow="0" w:firstColumn="0" w:lastColumn="0" w:oddVBand="0" w:evenVBand="0" w:oddHBand="0" w:evenHBand="0" w:firstRowFirstColumn="0" w:firstRowLastColumn="0" w:lastRowFirstColumn="0" w:lastRowLastColumn="0"/>
            </w:pPr>
            <w:r>
              <w:t>Water (Gallons)</w:t>
            </w:r>
          </w:p>
        </w:tc>
      </w:tr>
      <w:tr w:rsidR="006F0CAA" w14:paraId="14DDEF4D"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2AA2A1FE" w14:textId="77777777" w:rsidR="006F0CAA" w:rsidRDefault="006F0CAA" w:rsidP="00F53404">
            <w:pPr>
              <w:keepNext/>
              <w:keepLines/>
            </w:pPr>
            <w:r>
              <w:t>Verified Gross Impacts for Goal Attainment</w:t>
            </w:r>
          </w:p>
        </w:tc>
        <w:tc>
          <w:tcPr>
            <w:tcW w:w="830" w:type="pct"/>
            <w:tcBorders>
              <w:top w:val="none" w:sz="0" w:space="0" w:color="auto"/>
              <w:left w:val="none" w:sz="0" w:space="0" w:color="auto"/>
              <w:bottom w:val="none" w:sz="0" w:space="0" w:color="auto"/>
              <w:right w:val="none" w:sz="0" w:space="0" w:color="auto"/>
            </w:tcBorders>
          </w:tcPr>
          <w:p w14:paraId="3C2D45EB" w14:textId="49EDE2D9"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12,5</w:t>
            </w:r>
            <w:r>
              <w:t>6</w:t>
            </w:r>
            <w:r w:rsidRPr="00296D84">
              <w:t>6</w:t>
            </w:r>
          </w:p>
        </w:tc>
        <w:tc>
          <w:tcPr>
            <w:tcW w:w="576" w:type="pct"/>
            <w:tcBorders>
              <w:top w:val="none" w:sz="0" w:space="0" w:color="auto"/>
              <w:left w:val="none" w:sz="0" w:space="0" w:color="auto"/>
              <w:bottom w:val="none" w:sz="0" w:space="0" w:color="auto"/>
              <w:right w:val="none" w:sz="0" w:space="0" w:color="auto"/>
            </w:tcBorders>
          </w:tcPr>
          <w:p w14:paraId="2FE02E80" w14:textId="023E78C1"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0</w:t>
            </w:r>
          </w:p>
        </w:tc>
        <w:tc>
          <w:tcPr>
            <w:tcW w:w="906" w:type="pct"/>
            <w:tcBorders>
              <w:top w:val="none" w:sz="0" w:space="0" w:color="auto"/>
              <w:left w:val="none" w:sz="0" w:space="0" w:color="auto"/>
              <w:bottom w:val="none" w:sz="0" w:space="0" w:color="auto"/>
              <w:right w:val="none" w:sz="0" w:space="0" w:color="auto"/>
            </w:tcBorders>
          </w:tcPr>
          <w:p w14:paraId="4664AE14" w14:textId="0DE2ABAA"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N/A</w:t>
            </w:r>
          </w:p>
        </w:tc>
        <w:tc>
          <w:tcPr>
            <w:tcW w:w="663" w:type="pct"/>
            <w:tcBorders>
              <w:top w:val="none" w:sz="0" w:space="0" w:color="auto"/>
              <w:left w:val="none" w:sz="0" w:space="0" w:color="auto"/>
              <w:bottom w:val="none" w:sz="0" w:space="0" w:color="auto"/>
              <w:right w:val="none" w:sz="0" w:space="0" w:color="auto"/>
            </w:tcBorders>
          </w:tcPr>
          <w:p w14:paraId="37AD77E9" w14:textId="44C498EC"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N/A</w:t>
            </w:r>
          </w:p>
        </w:tc>
      </w:tr>
      <w:tr w:rsidR="006F0CAA" w14:paraId="56C37F30"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213225A8" w14:textId="77777777" w:rsidR="006F0CAA" w:rsidRDefault="006F0CAA" w:rsidP="00F53404">
            <w:pPr>
              <w:keepNext/>
              <w:keepLines/>
            </w:pPr>
            <w:r>
              <w:t>Gas Penalties</w:t>
            </w:r>
          </w:p>
        </w:tc>
        <w:tc>
          <w:tcPr>
            <w:tcW w:w="830" w:type="pct"/>
            <w:tcBorders>
              <w:top w:val="none" w:sz="0" w:space="0" w:color="auto"/>
              <w:left w:val="none" w:sz="0" w:space="0" w:color="auto"/>
              <w:bottom w:val="none" w:sz="0" w:space="0" w:color="auto"/>
              <w:right w:val="none" w:sz="0" w:space="0" w:color="auto"/>
            </w:tcBorders>
          </w:tcPr>
          <w:p w14:paraId="1BDB58DA" w14:textId="2D4798E1"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c>
          <w:tcPr>
            <w:tcW w:w="576" w:type="pct"/>
            <w:tcBorders>
              <w:top w:val="none" w:sz="0" w:space="0" w:color="auto"/>
              <w:left w:val="none" w:sz="0" w:space="0" w:color="auto"/>
              <w:bottom w:val="none" w:sz="0" w:space="0" w:color="auto"/>
              <w:right w:val="none" w:sz="0" w:space="0" w:color="auto"/>
            </w:tcBorders>
          </w:tcPr>
          <w:p w14:paraId="48EC6D39" w14:textId="32D73D66"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0</w:t>
            </w:r>
          </w:p>
        </w:tc>
        <w:tc>
          <w:tcPr>
            <w:tcW w:w="906" w:type="pct"/>
            <w:tcBorders>
              <w:top w:val="none" w:sz="0" w:space="0" w:color="auto"/>
              <w:left w:val="none" w:sz="0" w:space="0" w:color="auto"/>
              <w:bottom w:val="none" w:sz="0" w:space="0" w:color="auto"/>
              <w:right w:val="none" w:sz="0" w:space="0" w:color="auto"/>
            </w:tcBorders>
          </w:tcPr>
          <w:p w14:paraId="31270F3B" w14:textId="75E0545B"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c>
          <w:tcPr>
            <w:tcW w:w="663" w:type="pct"/>
            <w:tcBorders>
              <w:top w:val="none" w:sz="0" w:space="0" w:color="auto"/>
              <w:left w:val="none" w:sz="0" w:space="0" w:color="auto"/>
              <w:bottom w:val="none" w:sz="0" w:space="0" w:color="auto"/>
              <w:right w:val="none" w:sz="0" w:space="0" w:color="auto"/>
            </w:tcBorders>
          </w:tcPr>
          <w:p w14:paraId="46FF99FE" w14:textId="71B0D82B"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r>
      <w:tr w:rsidR="006F0CAA" w14:paraId="4AC33AB5"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24F32D14" w14:textId="77777777" w:rsidR="006F0CAA" w:rsidRDefault="006F0CAA" w:rsidP="00F53404">
            <w:pPr>
              <w:keepNext/>
              <w:keepLines/>
            </w:pPr>
            <w:r>
              <w:t>Water Savings</w:t>
            </w:r>
          </w:p>
        </w:tc>
        <w:tc>
          <w:tcPr>
            <w:tcW w:w="830" w:type="pct"/>
            <w:tcBorders>
              <w:top w:val="none" w:sz="0" w:space="0" w:color="auto"/>
              <w:left w:val="none" w:sz="0" w:space="0" w:color="auto"/>
              <w:bottom w:val="none" w:sz="0" w:space="0" w:color="auto"/>
              <w:right w:val="none" w:sz="0" w:space="0" w:color="auto"/>
            </w:tcBorders>
          </w:tcPr>
          <w:p w14:paraId="20152D89" w14:textId="4AD928ED"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N/A</w:t>
            </w:r>
          </w:p>
        </w:tc>
        <w:tc>
          <w:tcPr>
            <w:tcW w:w="576" w:type="pct"/>
            <w:tcBorders>
              <w:top w:val="none" w:sz="0" w:space="0" w:color="auto"/>
              <w:left w:val="none" w:sz="0" w:space="0" w:color="auto"/>
              <w:bottom w:val="none" w:sz="0" w:space="0" w:color="auto"/>
              <w:right w:val="none" w:sz="0" w:space="0" w:color="auto"/>
            </w:tcBorders>
          </w:tcPr>
          <w:p w14:paraId="6780AF5E" w14:textId="17BBA3D2"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N/A</w:t>
            </w:r>
          </w:p>
        </w:tc>
        <w:tc>
          <w:tcPr>
            <w:tcW w:w="906" w:type="pct"/>
            <w:tcBorders>
              <w:top w:val="none" w:sz="0" w:space="0" w:color="auto"/>
              <w:left w:val="none" w:sz="0" w:space="0" w:color="auto"/>
              <w:bottom w:val="none" w:sz="0" w:space="0" w:color="auto"/>
              <w:right w:val="none" w:sz="0" w:space="0" w:color="auto"/>
            </w:tcBorders>
          </w:tcPr>
          <w:p w14:paraId="4ED497BE" w14:textId="50C019AD"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N/A</w:t>
            </w:r>
          </w:p>
        </w:tc>
        <w:tc>
          <w:tcPr>
            <w:tcW w:w="663" w:type="pct"/>
            <w:tcBorders>
              <w:top w:val="none" w:sz="0" w:space="0" w:color="auto"/>
              <w:left w:val="none" w:sz="0" w:space="0" w:color="auto"/>
              <w:bottom w:val="none" w:sz="0" w:space="0" w:color="auto"/>
              <w:right w:val="none" w:sz="0" w:space="0" w:color="auto"/>
            </w:tcBorders>
          </w:tcPr>
          <w:p w14:paraId="1D57C23C" w14:textId="0A82F6E3" w:rsidR="006F0CAA"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pPr>
            <w:r w:rsidRPr="00296D84">
              <w:t>0</w:t>
            </w:r>
          </w:p>
        </w:tc>
      </w:tr>
      <w:tr w:rsidR="006F0CAA" w14:paraId="75EA7A4E"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3EB01376" w14:textId="77777777" w:rsidR="006F0CAA" w:rsidRDefault="006F0CAA" w:rsidP="00F53404">
            <w:pPr>
              <w:keepNext/>
              <w:keepLines/>
            </w:pPr>
            <w:r>
              <w:t>Secondary Electric Savings</w:t>
            </w:r>
          </w:p>
        </w:tc>
        <w:tc>
          <w:tcPr>
            <w:tcW w:w="830" w:type="pct"/>
            <w:tcBorders>
              <w:top w:val="none" w:sz="0" w:space="0" w:color="auto"/>
              <w:left w:val="none" w:sz="0" w:space="0" w:color="auto"/>
              <w:bottom w:val="none" w:sz="0" w:space="0" w:color="auto"/>
              <w:right w:val="none" w:sz="0" w:space="0" w:color="auto"/>
            </w:tcBorders>
          </w:tcPr>
          <w:p w14:paraId="03E76A51" w14:textId="680BEA75"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0</w:t>
            </w:r>
          </w:p>
        </w:tc>
        <w:tc>
          <w:tcPr>
            <w:tcW w:w="576" w:type="pct"/>
            <w:tcBorders>
              <w:top w:val="none" w:sz="0" w:space="0" w:color="auto"/>
              <w:left w:val="none" w:sz="0" w:space="0" w:color="auto"/>
              <w:bottom w:val="none" w:sz="0" w:space="0" w:color="auto"/>
              <w:right w:val="none" w:sz="0" w:space="0" w:color="auto"/>
            </w:tcBorders>
          </w:tcPr>
          <w:p w14:paraId="5FE64DBC" w14:textId="0E5E6C85"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c>
          <w:tcPr>
            <w:tcW w:w="906" w:type="pct"/>
            <w:tcBorders>
              <w:top w:val="none" w:sz="0" w:space="0" w:color="auto"/>
              <w:left w:val="none" w:sz="0" w:space="0" w:color="auto"/>
              <w:bottom w:val="none" w:sz="0" w:space="0" w:color="auto"/>
              <w:right w:val="none" w:sz="0" w:space="0" w:color="auto"/>
            </w:tcBorders>
          </w:tcPr>
          <w:p w14:paraId="21411ADD" w14:textId="5ECD91CC"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c>
          <w:tcPr>
            <w:tcW w:w="663" w:type="pct"/>
            <w:tcBorders>
              <w:top w:val="none" w:sz="0" w:space="0" w:color="auto"/>
              <w:left w:val="none" w:sz="0" w:space="0" w:color="auto"/>
              <w:bottom w:val="none" w:sz="0" w:space="0" w:color="auto"/>
              <w:right w:val="none" w:sz="0" w:space="0" w:color="auto"/>
            </w:tcBorders>
          </w:tcPr>
          <w:p w14:paraId="5A1BC1E6" w14:textId="4C2E5E2C" w:rsidR="006F0CAA" w:rsidRDefault="006F0CAA" w:rsidP="00F53404">
            <w:pPr>
              <w:keepNext/>
              <w:keepLines/>
              <w:jc w:val="right"/>
              <w:cnfStyle w:val="000000010000" w:firstRow="0" w:lastRow="0" w:firstColumn="0" w:lastColumn="0" w:oddVBand="0" w:evenVBand="0" w:oddHBand="0" w:evenHBand="1" w:firstRowFirstColumn="0" w:firstRowLastColumn="0" w:lastRowFirstColumn="0" w:lastRowLastColumn="0"/>
            </w:pPr>
            <w:r w:rsidRPr="00296D84">
              <w:t>N/A</w:t>
            </w:r>
          </w:p>
        </w:tc>
      </w:tr>
      <w:tr w:rsidR="006F0CAA" w14:paraId="2207A218"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6" w:type="pct"/>
            <w:tcBorders>
              <w:top w:val="none" w:sz="0" w:space="0" w:color="auto"/>
              <w:left w:val="none" w:sz="0" w:space="0" w:color="auto"/>
              <w:bottom w:val="none" w:sz="0" w:space="0" w:color="auto"/>
              <w:right w:val="none" w:sz="0" w:space="0" w:color="auto"/>
            </w:tcBorders>
          </w:tcPr>
          <w:p w14:paraId="1C83E3F5" w14:textId="77777777" w:rsidR="006F0CAA" w:rsidRPr="007B4B4B" w:rsidRDefault="006F0CAA" w:rsidP="00F53404">
            <w:pPr>
              <w:keepNext/>
              <w:keepLines/>
              <w:rPr>
                <w:rFonts w:ascii="Franklin Gothic Medium" w:hAnsi="Franklin Gothic Medium"/>
              </w:rPr>
            </w:pPr>
            <w:r w:rsidRPr="007B4B4B">
              <w:rPr>
                <w:rFonts w:ascii="Franklin Gothic Medium" w:hAnsi="Franklin Gothic Medium"/>
              </w:rPr>
              <w:t>Final Verified Gross Impacts for Cost-Effectiveness</w:t>
            </w:r>
          </w:p>
        </w:tc>
        <w:tc>
          <w:tcPr>
            <w:tcW w:w="830" w:type="pct"/>
            <w:tcBorders>
              <w:top w:val="none" w:sz="0" w:space="0" w:color="auto"/>
              <w:left w:val="none" w:sz="0" w:space="0" w:color="auto"/>
              <w:bottom w:val="none" w:sz="0" w:space="0" w:color="auto"/>
              <w:right w:val="none" w:sz="0" w:space="0" w:color="auto"/>
            </w:tcBorders>
          </w:tcPr>
          <w:p w14:paraId="0ACCE082" w14:textId="012992D4" w:rsidR="006F0CAA" w:rsidRPr="007B4B4B"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12,566</w:t>
            </w:r>
          </w:p>
        </w:tc>
        <w:tc>
          <w:tcPr>
            <w:tcW w:w="576" w:type="pct"/>
            <w:tcBorders>
              <w:top w:val="none" w:sz="0" w:space="0" w:color="auto"/>
              <w:left w:val="none" w:sz="0" w:space="0" w:color="auto"/>
              <w:bottom w:val="none" w:sz="0" w:space="0" w:color="auto"/>
              <w:right w:val="none" w:sz="0" w:space="0" w:color="auto"/>
            </w:tcBorders>
          </w:tcPr>
          <w:p w14:paraId="70CD9F09" w14:textId="1DC6DEF7" w:rsidR="006F0CAA" w:rsidRPr="007B4B4B"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0</w:t>
            </w:r>
          </w:p>
        </w:tc>
        <w:tc>
          <w:tcPr>
            <w:tcW w:w="906" w:type="pct"/>
            <w:tcBorders>
              <w:top w:val="none" w:sz="0" w:space="0" w:color="auto"/>
              <w:left w:val="none" w:sz="0" w:space="0" w:color="auto"/>
              <w:bottom w:val="none" w:sz="0" w:space="0" w:color="auto"/>
              <w:right w:val="none" w:sz="0" w:space="0" w:color="auto"/>
            </w:tcBorders>
          </w:tcPr>
          <w:p w14:paraId="1B5B04DF" w14:textId="33D28AEC" w:rsidR="006F0CAA" w:rsidRPr="007B4B4B"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0</w:t>
            </w:r>
          </w:p>
        </w:tc>
        <w:tc>
          <w:tcPr>
            <w:tcW w:w="663" w:type="pct"/>
            <w:tcBorders>
              <w:top w:val="none" w:sz="0" w:space="0" w:color="auto"/>
              <w:left w:val="none" w:sz="0" w:space="0" w:color="auto"/>
              <w:bottom w:val="none" w:sz="0" w:space="0" w:color="auto"/>
              <w:right w:val="none" w:sz="0" w:space="0" w:color="auto"/>
            </w:tcBorders>
          </w:tcPr>
          <w:p w14:paraId="7F05F151" w14:textId="4CECB15E" w:rsidR="006F0CAA" w:rsidRPr="007B4B4B" w:rsidRDefault="006F0CAA" w:rsidP="00F53404">
            <w:pPr>
              <w:keepNext/>
              <w:keepLines/>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0</w:t>
            </w:r>
          </w:p>
        </w:tc>
      </w:tr>
    </w:tbl>
    <w:p w14:paraId="575B8CE1" w14:textId="235B2B51" w:rsidR="006F62E4" w:rsidRDefault="00BF6001" w:rsidP="00F53404">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73FEC142" w14:textId="39AF5D8D" w:rsidR="009136D2" w:rsidRDefault="009136D2" w:rsidP="009136D2">
      <w:pPr>
        <w:pStyle w:val="AppendixBeta"/>
      </w:pPr>
      <w:bookmarkStart w:id="530" w:name="_Toc191992503"/>
      <w:bookmarkStart w:id="531" w:name="_Toc192766924"/>
      <w:r>
        <w:t>Small Business Initiative</w:t>
      </w:r>
      <w:bookmarkEnd w:id="530"/>
      <w:bookmarkEnd w:id="531"/>
    </w:p>
    <w:p w14:paraId="0F48EA67" w14:textId="77777777" w:rsidR="009136D2" w:rsidRDefault="009136D2" w:rsidP="009136D2">
      <w:pPr>
        <w:pStyle w:val="AppendixGamma"/>
      </w:pPr>
      <w:bookmarkStart w:id="532" w:name="_Toc191992504"/>
      <w:r>
        <w:t>Additional Fossil Fuel Impacts</w:t>
      </w:r>
      <w:bookmarkEnd w:id="532"/>
    </w:p>
    <w:p w14:paraId="3AE8465E" w14:textId="2596C9A6" w:rsidR="000453D7" w:rsidRDefault="00A7609D" w:rsidP="000453D7">
      <w:r>
        <w:t>Four</w:t>
      </w:r>
      <w:r w:rsidR="000453D7" w:rsidRPr="00155BED">
        <w:t xml:space="preserve"> projects completed through the </w:t>
      </w:r>
      <w:r w:rsidR="00036531">
        <w:t>SBEP</w:t>
      </w:r>
      <w:r w:rsidR="000453D7" w:rsidRPr="00155BED">
        <w:t xml:space="preserve"> channel produced non-AIC gas savings in 202</w:t>
      </w:r>
      <w:r w:rsidR="000453D7">
        <w:t>4</w:t>
      </w:r>
      <w:r w:rsidR="000453D7" w:rsidRPr="00155BED">
        <w:t xml:space="preserve">. The ex ante gross, verified gross, and verified net </w:t>
      </w:r>
      <w:r w:rsidR="00853B3D">
        <w:t>gas</w:t>
      </w:r>
      <w:r w:rsidR="000453D7" w:rsidRPr="00155BED">
        <w:t xml:space="preserve"> savings produced through the projects are summarized in</w:t>
      </w:r>
      <w:r w:rsidR="000453D7">
        <w:t xml:space="preserve"> </w:t>
      </w:r>
      <w:r w:rsidR="00A37484">
        <w:fldChar w:fldCharType="begin"/>
      </w:r>
      <w:r w:rsidR="00A37484">
        <w:instrText xml:space="preserve"> REF _Ref191649393 \h </w:instrText>
      </w:r>
      <w:r w:rsidR="00A37484">
        <w:fldChar w:fldCharType="separate"/>
      </w:r>
      <w:r w:rsidR="00AA10F4">
        <w:t xml:space="preserve">Table </w:t>
      </w:r>
      <w:r w:rsidR="00AA10F4">
        <w:rPr>
          <w:noProof/>
        </w:rPr>
        <w:t>116</w:t>
      </w:r>
      <w:r w:rsidR="00A37484">
        <w:fldChar w:fldCharType="end"/>
      </w:r>
      <w:r w:rsidR="000453D7">
        <w:t>.</w:t>
      </w:r>
    </w:p>
    <w:p w14:paraId="7BE05930" w14:textId="0112FD6E" w:rsidR="000453D7" w:rsidRDefault="000453D7" w:rsidP="00881B1B">
      <w:pPr>
        <w:pStyle w:val="Caption"/>
      </w:pPr>
      <w:bookmarkStart w:id="533" w:name="_Ref191649393"/>
      <w:bookmarkStart w:id="534" w:name="_Toc191992634"/>
      <w:bookmarkStart w:id="535" w:name="_Toc192767050"/>
      <w:r>
        <w:t xml:space="preserve">Table </w:t>
      </w:r>
      <w:r w:rsidR="009B4C9A">
        <w:fldChar w:fldCharType="begin"/>
      </w:r>
      <w:r w:rsidR="009B4C9A">
        <w:instrText xml:space="preserve"> SEQ Table \* ARABIC </w:instrText>
      </w:r>
      <w:r w:rsidR="009B4C9A">
        <w:fldChar w:fldCharType="separate"/>
      </w:r>
      <w:r w:rsidR="00AA10F4">
        <w:rPr>
          <w:noProof/>
        </w:rPr>
        <w:t>116</w:t>
      </w:r>
      <w:r w:rsidR="009B4C9A">
        <w:rPr>
          <w:noProof/>
        </w:rPr>
        <w:fldChar w:fldCharType="end"/>
      </w:r>
      <w:bookmarkEnd w:id="533"/>
      <w:r>
        <w:t xml:space="preserve">. 2024 </w:t>
      </w:r>
      <w:r w:rsidR="00036531">
        <w:t>Small Business Energy Performance</w:t>
      </w:r>
      <w:r>
        <w:t xml:space="preserve"> Channel non-AIC Natural Gas Savings</w:t>
      </w:r>
      <w:bookmarkEnd w:id="534"/>
      <w:bookmarkEnd w:id="535"/>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1849"/>
        <w:gridCol w:w="1849"/>
        <w:gridCol w:w="1849"/>
        <w:gridCol w:w="1849"/>
        <w:gridCol w:w="1850"/>
        <w:gridCol w:w="1850"/>
      </w:tblGrid>
      <w:tr w:rsidR="000453D7" w14:paraId="10BA40E6" w14:textId="77777777" w:rsidTr="00F534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68CA8CDB" w14:textId="77777777" w:rsidR="000453D7" w:rsidRDefault="000453D7" w:rsidP="00D97405">
            <w:pPr>
              <w:pStyle w:val="TableHeadingCentered"/>
              <w:jc w:val="left"/>
            </w:pPr>
            <w:r w:rsidRPr="00874CAB">
              <w:t>Measure Category</w:t>
            </w:r>
          </w:p>
        </w:tc>
        <w:tc>
          <w:tcPr>
            <w:tcW w:w="1849" w:type="dxa"/>
            <w:tcBorders>
              <w:bottom w:val="none" w:sz="0" w:space="0" w:color="auto"/>
            </w:tcBorders>
          </w:tcPr>
          <w:p w14:paraId="3D8AA8AB" w14:textId="77777777" w:rsidR="000453D7" w:rsidRDefault="000453D7" w:rsidP="00F53404">
            <w:pPr>
              <w:pStyle w:val="TableHeadingCentered"/>
              <w:cnfStyle w:val="100000000000" w:firstRow="1" w:lastRow="0" w:firstColumn="0" w:lastColumn="0" w:oddVBand="0" w:evenVBand="0" w:oddHBand="0" w:evenHBand="0" w:firstRowFirstColumn="0" w:firstRowLastColumn="0" w:lastRowFirstColumn="0" w:lastRowLastColumn="0"/>
            </w:pPr>
            <w:r w:rsidRPr="00874CAB">
              <w:t>Ex Ante Gross Savings (Therms)</w:t>
            </w:r>
          </w:p>
        </w:tc>
        <w:tc>
          <w:tcPr>
            <w:tcW w:w="1849" w:type="dxa"/>
            <w:tcBorders>
              <w:bottom w:val="none" w:sz="0" w:space="0" w:color="auto"/>
            </w:tcBorders>
          </w:tcPr>
          <w:p w14:paraId="0B756C4F" w14:textId="77777777" w:rsidR="000453D7" w:rsidRDefault="000453D7" w:rsidP="00F53404">
            <w:pPr>
              <w:pStyle w:val="TableHeadingCentered"/>
              <w:cnfStyle w:val="100000000000" w:firstRow="1" w:lastRow="0" w:firstColumn="0" w:lastColumn="0" w:oddVBand="0" w:evenVBand="0" w:oddHBand="0" w:evenHBand="0" w:firstRowFirstColumn="0" w:firstRowLastColumn="0" w:lastRowFirstColumn="0" w:lastRowLastColumn="0"/>
            </w:pPr>
            <w:r w:rsidRPr="00874CAB">
              <w:t>Gross Realization Rate</w:t>
            </w:r>
          </w:p>
        </w:tc>
        <w:tc>
          <w:tcPr>
            <w:tcW w:w="1849" w:type="dxa"/>
            <w:tcBorders>
              <w:bottom w:val="none" w:sz="0" w:space="0" w:color="auto"/>
            </w:tcBorders>
          </w:tcPr>
          <w:p w14:paraId="32C8D16A" w14:textId="77777777" w:rsidR="000453D7" w:rsidRDefault="000453D7" w:rsidP="00F53404">
            <w:pPr>
              <w:pStyle w:val="TableHeadingCentered"/>
              <w:cnfStyle w:val="100000000000" w:firstRow="1" w:lastRow="0" w:firstColumn="0" w:lastColumn="0" w:oddVBand="0" w:evenVBand="0" w:oddHBand="0" w:evenHBand="0" w:firstRowFirstColumn="0" w:firstRowLastColumn="0" w:lastRowFirstColumn="0" w:lastRowLastColumn="0"/>
            </w:pPr>
            <w:r w:rsidRPr="00874CAB">
              <w:t>Verified Gross Savings (Therms)</w:t>
            </w:r>
          </w:p>
        </w:tc>
        <w:tc>
          <w:tcPr>
            <w:tcW w:w="1850" w:type="dxa"/>
            <w:tcBorders>
              <w:bottom w:val="none" w:sz="0" w:space="0" w:color="auto"/>
            </w:tcBorders>
          </w:tcPr>
          <w:p w14:paraId="5D16AA9F" w14:textId="77777777" w:rsidR="000453D7" w:rsidRDefault="000453D7" w:rsidP="00F53404">
            <w:pPr>
              <w:pStyle w:val="TableHeadingCentered"/>
              <w:cnfStyle w:val="100000000000" w:firstRow="1" w:lastRow="0" w:firstColumn="0" w:lastColumn="0" w:oddVBand="0" w:evenVBand="0" w:oddHBand="0" w:evenHBand="0" w:firstRowFirstColumn="0" w:firstRowLastColumn="0" w:lastRowFirstColumn="0" w:lastRowLastColumn="0"/>
            </w:pPr>
            <w:r w:rsidRPr="00874CAB">
              <w:t>NTGR</w:t>
            </w:r>
          </w:p>
        </w:tc>
        <w:tc>
          <w:tcPr>
            <w:tcW w:w="1850" w:type="dxa"/>
            <w:tcBorders>
              <w:bottom w:val="none" w:sz="0" w:space="0" w:color="auto"/>
            </w:tcBorders>
          </w:tcPr>
          <w:p w14:paraId="499C6ACE" w14:textId="77777777" w:rsidR="000453D7" w:rsidRDefault="000453D7" w:rsidP="00F53404">
            <w:pPr>
              <w:pStyle w:val="TableHeadingCentered"/>
              <w:cnfStyle w:val="100000000000" w:firstRow="1" w:lastRow="0" w:firstColumn="0" w:lastColumn="0" w:oddVBand="0" w:evenVBand="0" w:oddHBand="0" w:evenHBand="0" w:firstRowFirstColumn="0" w:firstRowLastColumn="0" w:lastRowFirstColumn="0" w:lastRowLastColumn="0"/>
            </w:pPr>
            <w:r w:rsidRPr="00874CAB">
              <w:t>Verified Net Savings (Therms)</w:t>
            </w:r>
          </w:p>
        </w:tc>
      </w:tr>
      <w:tr w:rsidR="008D337C" w14:paraId="12E77138"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tcPr>
          <w:p w14:paraId="545865C9" w14:textId="2EA0BDF7" w:rsidR="008D337C" w:rsidRDefault="008D337C" w:rsidP="008D337C">
            <w:r>
              <w:rPr>
                <w:rFonts w:cs="Calibri"/>
                <w:color w:val="4A4D56"/>
              </w:rPr>
              <w:t>C&amp;I Air Sealing</w:t>
            </w:r>
          </w:p>
        </w:tc>
        <w:tc>
          <w:tcPr>
            <w:tcW w:w="1849" w:type="dxa"/>
            <w:tcBorders>
              <w:top w:val="none" w:sz="0" w:space="0" w:color="auto"/>
              <w:left w:val="none" w:sz="0" w:space="0" w:color="auto"/>
              <w:bottom w:val="none" w:sz="0" w:space="0" w:color="auto"/>
              <w:right w:val="none" w:sz="0" w:space="0" w:color="auto"/>
            </w:tcBorders>
          </w:tcPr>
          <w:p w14:paraId="5E45ACA1" w14:textId="67A46E84" w:rsidR="008D337C" w:rsidRDefault="008D337C" w:rsidP="00F53404">
            <w:pPr>
              <w:jc w:val="right"/>
              <w:cnfStyle w:val="000000100000" w:firstRow="0" w:lastRow="0" w:firstColumn="0" w:lastColumn="0" w:oddVBand="0" w:evenVBand="0" w:oddHBand="1" w:evenHBand="0" w:firstRowFirstColumn="0" w:firstRowLastColumn="0" w:lastRowFirstColumn="0" w:lastRowLastColumn="0"/>
            </w:pPr>
            <w:r>
              <w:rPr>
                <w:rFonts w:cs="Calibri"/>
                <w:color w:val="4A4D56"/>
              </w:rPr>
              <w:t>2,325</w:t>
            </w:r>
          </w:p>
        </w:tc>
        <w:tc>
          <w:tcPr>
            <w:tcW w:w="1849" w:type="dxa"/>
            <w:tcBorders>
              <w:top w:val="none" w:sz="0" w:space="0" w:color="auto"/>
              <w:left w:val="none" w:sz="0" w:space="0" w:color="auto"/>
              <w:bottom w:val="none" w:sz="0" w:space="0" w:color="auto"/>
              <w:right w:val="none" w:sz="0" w:space="0" w:color="auto"/>
            </w:tcBorders>
          </w:tcPr>
          <w:p w14:paraId="31FC89CF" w14:textId="2A30AA3A" w:rsidR="008D337C" w:rsidRDefault="008D337C" w:rsidP="00F53404">
            <w:pPr>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w:t>
            </w:r>
          </w:p>
        </w:tc>
        <w:tc>
          <w:tcPr>
            <w:tcW w:w="1849" w:type="dxa"/>
            <w:tcBorders>
              <w:top w:val="none" w:sz="0" w:space="0" w:color="auto"/>
              <w:left w:val="none" w:sz="0" w:space="0" w:color="auto"/>
              <w:bottom w:val="none" w:sz="0" w:space="0" w:color="auto"/>
              <w:right w:val="none" w:sz="0" w:space="0" w:color="auto"/>
            </w:tcBorders>
          </w:tcPr>
          <w:p w14:paraId="403FA490" w14:textId="27FF389B" w:rsidR="008D337C" w:rsidRDefault="008D337C" w:rsidP="00F53404">
            <w:pPr>
              <w:jc w:val="right"/>
              <w:cnfStyle w:val="000000100000" w:firstRow="0" w:lastRow="0" w:firstColumn="0" w:lastColumn="0" w:oddVBand="0" w:evenVBand="0" w:oddHBand="1" w:evenHBand="0" w:firstRowFirstColumn="0" w:firstRowLastColumn="0" w:lastRowFirstColumn="0" w:lastRowLastColumn="0"/>
            </w:pPr>
            <w:r>
              <w:rPr>
                <w:rFonts w:cs="Calibri"/>
                <w:color w:val="4A4D56"/>
              </w:rPr>
              <w:t>2,325</w:t>
            </w:r>
          </w:p>
        </w:tc>
        <w:tc>
          <w:tcPr>
            <w:tcW w:w="1850" w:type="dxa"/>
            <w:tcBorders>
              <w:top w:val="none" w:sz="0" w:space="0" w:color="auto"/>
              <w:left w:val="none" w:sz="0" w:space="0" w:color="auto"/>
              <w:bottom w:val="none" w:sz="0" w:space="0" w:color="auto"/>
              <w:right w:val="none" w:sz="0" w:space="0" w:color="auto"/>
            </w:tcBorders>
          </w:tcPr>
          <w:p w14:paraId="64990466" w14:textId="052B5B5E" w:rsidR="008D337C" w:rsidRDefault="008D337C" w:rsidP="00F53404">
            <w:pPr>
              <w:jc w:val="right"/>
              <w:cnfStyle w:val="000000100000" w:firstRow="0" w:lastRow="0" w:firstColumn="0" w:lastColumn="0" w:oddVBand="0" w:evenVBand="0" w:oddHBand="1" w:evenHBand="0" w:firstRowFirstColumn="0" w:firstRowLastColumn="0" w:lastRowFirstColumn="0" w:lastRowLastColumn="0"/>
            </w:pPr>
            <w:r>
              <w:rPr>
                <w:rFonts w:cs="Calibri"/>
                <w:color w:val="4A4D56"/>
              </w:rPr>
              <w:t>1.000</w:t>
            </w:r>
          </w:p>
        </w:tc>
        <w:tc>
          <w:tcPr>
            <w:tcW w:w="1850" w:type="dxa"/>
            <w:tcBorders>
              <w:top w:val="none" w:sz="0" w:space="0" w:color="auto"/>
              <w:left w:val="none" w:sz="0" w:space="0" w:color="auto"/>
              <w:bottom w:val="none" w:sz="0" w:space="0" w:color="auto"/>
              <w:right w:val="none" w:sz="0" w:space="0" w:color="auto"/>
            </w:tcBorders>
          </w:tcPr>
          <w:p w14:paraId="5D4A9FF5" w14:textId="6B5CDC71" w:rsidR="008D337C" w:rsidRDefault="008D337C" w:rsidP="00F53404">
            <w:pPr>
              <w:jc w:val="right"/>
              <w:cnfStyle w:val="000000100000" w:firstRow="0" w:lastRow="0" w:firstColumn="0" w:lastColumn="0" w:oddVBand="0" w:evenVBand="0" w:oddHBand="1" w:evenHBand="0" w:firstRowFirstColumn="0" w:firstRowLastColumn="0" w:lastRowFirstColumn="0" w:lastRowLastColumn="0"/>
            </w:pPr>
            <w:r>
              <w:rPr>
                <w:rFonts w:cs="Calibri"/>
                <w:color w:val="4A4D56"/>
              </w:rPr>
              <w:t>2,325</w:t>
            </w:r>
          </w:p>
        </w:tc>
      </w:tr>
      <w:tr w:rsidR="008D337C" w14:paraId="3DD03FCC" w14:textId="77777777" w:rsidTr="00F534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9" w:type="dxa"/>
            <w:tcBorders>
              <w:top w:val="none" w:sz="0" w:space="0" w:color="auto"/>
              <w:left w:val="none" w:sz="0" w:space="0" w:color="auto"/>
              <w:bottom w:val="none" w:sz="0" w:space="0" w:color="auto"/>
              <w:right w:val="none" w:sz="0" w:space="0" w:color="auto"/>
            </w:tcBorders>
            <w:vAlign w:val="top"/>
          </w:tcPr>
          <w:p w14:paraId="53EF2472" w14:textId="650FDAFF" w:rsidR="008D337C" w:rsidRPr="007B4B4B" w:rsidRDefault="008D337C" w:rsidP="008D337C">
            <w:pPr>
              <w:rPr>
                <w:rFonts w:ascii="Franklin Gothic Medium" w:hAnsi="Franklin Gothic Medium"/>
                <w:bCs/>
              </w:rPr>
            </w:pPr>
            <w:r w:rsidRPr="007B4B4B">
              <w:rPr>
                <w:rFonts w:ascii="Franklin Gothic Medium" w:hAnsi="Franklin Gothic Medium"/>
                <w:bCs/>
              </w:rPr>
              <w:t>Total</w:t>
            </w:r>
          </w:p>
        </w:tc>
        <w:tc>
          <w:tcPr>
            <w:tcW w:w="1849" w:type="dxa"/>
            <w:tcBorders>
              <w:top w:val="none" w:sz="0" w:space="0" w:color="auto"/>
              <w:left w:val="none" w:sz="0" w:space="0" w:color="auto"/>
              <w:bottom w:val="none" w:sz="0" w:space="0" w:color="auto"/>
              <w:right w:val="none" w:sz="0" w:space="0" w:color="auto"/>
            </w:tcBorders>
          </w:tcPr>
          <w:p w14:paraId="1855FE9C" w14:textId="2C5150F0" w:rsidR="008D337C" w:rsidRPr="007B4B4B" w:rsidRDefault="008D337C"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Cs/>
              </w:rPr>
            </w:pPr>
            <w:r w:rsidRPr="007B4B4B">
              <w:rPr>
                <w:rFonts w:ascii="Franklin Gothic Medium" w:hAnsi="Franklin Gothic Medium" w:cs="Calibri"/>
                <w:bCs/>
                <w:color w:val="4A4D56"/>
              </w:rPr>
              <w:t>2,325</w:t>
            </w:r>
          </w:p>
        </w:tc>
        <w:tc>
          <w:tcPr>
            <w:tcW w:w="1849" w:type="dxa"/>
            <w:tcBorders>
              <w:top w:val="none" w:sz="0" w:space="0" w:color="auto"/>
              <w:left w:val="none" w:sz="0" w:space="0" w:color="auto"/>
              <w:bottom w:val="none" w:sz="0" w:space="0" w:color="auto"/>
              <w:right w:val="none" w:sz="0" w:space="0" w:color="auto"/>
            </w:tcBorders>
          </w:tcPr>
          <w:p w14:paraId="36156E4E" w14:textId="469ADB08" w:rsidR="008D337C" w:rsidRPr="007B4B4B" w:rsidRDefault="008D337C"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Cs/>
              </w:rPr>
            </w:pPr>
            <w:r w:rsidRPr="007B4B4B">
              <w:rPr>
                <w:rFonts w:ascii="Franklin Gothic Medium" w:hAnsi="Franklin Gothic Medium" w:cs="Calibri"/>
                <w:bCs/>
                <w:color w:val="4A4D56"/>
              </w:rPr>
              <w:t>100%</w:t>
            </w:r>
          </w:p>
        </w:tc>
        <w:tc>
          <w:tcPr>
            <w:tcW w:w="1849" w:type="dxa"/>
            <w:tcBorders>
              <w:top w:val="none" w:sz="0" w:space="0" w:color="auto"/>
              <w:left w:val="none" w:sz="0" w:space="0" w:color="auto"/>
              <w:bottom w:val="none" w:sz="0" w:space="0" w:color="auto"/>
              <w:right w:val="none" w:sz="0" w:space="0" w:color="auto"/>
            </w:tcBorders>
          </w:tcPr>
          <w:p w14:paraId="6F3572AF" w14:textId="3DD1A590" w:rsidR="008D337C" w:rsidRPr="007B4B4B" w:rsidRDefault="008D337C"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Cs/>
              </w:rPr>
            </w:pPr>
            <w:r w:rsidRPr="007B4B4B">
              <w:rPr>
                <w:rFonts w:ascii="Franklin Gothic Medium" w:hAnsi="Franklin Gothic Medium" w:cs="Calibri"/>
                <w:bCs/>
                <w:color w:val="4A4D56"/>
              </w:rPr>
              <w:t>2,325</w:t>
            </w:r>
          </w:p>
        </w:tc>
        <w:tc>
          <w:tcPr>
            <w:tcW w:w="1850" w:type="dxa"/>
            <w:tcBorders>
              <w:top w:val="none" w:sz="0" w:space="0" w:color="auto"/>
              <w:left w:val="none" w:sz="0" w:space="0" w:color="auto"/>
              <w:bottom w:val="none" w:sz="0" w:space="0" w:color="auto"/>
              <w:right w:val="none" w:sz="0" w:space="0" w:color="auto"/>
            </w:tcBorders>
          </w:tcPr>
          <w:p w14:paraId="707DA74C" w14:textId="2EC94F1E" w:rsidR="008D337C" w:rsidRPr="007B4B4B" w:rsidRDefault="008D337C"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Cs/>
              </w:rPr>
            </w:pPr>
            <w:r w:rsidRPr="007B4B4B">
              <w:rPr>
                <w:rFonts w:ascii="Franklin Gothic Medium" w:hAnsi="Franklin Gothic Medium" w:cs="Calibri"/>
                <w:bCs/>
                <w:color w:val="4A4D56"/>
              </w:rPr>
              <w:t>1.000</w:t>
            </w:r>
          </w:p>
        </w:tc>
        <w:tc>
          <w:tcPr>
            <w:tcW w:w="1850" w:type="dxa"/>
            <w:tcBorders>
              <w:top w:val="none" w:sz="0" w:space="0" w:color="auto"/>
              <w:left w:val="none" w:sz="0" w:space="0" w:color="auto"/>
              <w:bottom w:val="none" w:sz="0" w:space="0" w:color="auto"/>
              <w:right w:val="none" w:sz="0" w:space="0" w:color="auto"/>
            </w:tcBorders>
          </w:tcPr>
          <w:p w14:paraId="1F87F50A" w14:textId="7BED0883" w:rsidR="008D337C" w:rsidRPr="007B4B4B" w:rsidRDefault="008D337C" w:rsidP="00F53404">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bCs/>
              </w:rPr>
            </w:pPr>
            <w:r w:rsidRPr="007B4B4B">
              <w:rPr>
                <w:rFonts w:ascii="Franklin Gothic Medium" w:hAnsi="Franklin Gothic Medium" w:cs="Calibri"/>
                <w:bCs/>
                <w:color w:val="4A4D56"/>
              </w:rPr>
              <w:t>2,325</w:t>
            </w:r>
          </w:p>
        </w:tc>
      </w:tr>
    </w:tbl>
    <w:p w14:paraId="01EE32CC" w14:textId="77777777" w:rsidR="009136D2" w:rsidRDefault="009136D2" w:rsidP="009136D2">
      <w:pPr>
        <w:pStyle w:val="AppendixGamma"/>
      </w:pPr>
      <w:bookmarkStart w:id="536" w:name="_Toc191992505"/>
      <w:r>
        <w:t>Gas Heating Penalties</w:t>
      </w:r>
      <w:bookmarkEnd w:id="536"/>
    </w:p>
    <w:p w14:paraId="138F5D1B" w14:textId="28149FBA" w:rsidR="009136D2" w:rsidRDefault="009136D2" w:rsidP="009136D2">
      <w:r>
        <w:fldChar w:fldCharType="begin"/>
      </w:r>
      <w:r>
        <w:instrText xml:space="preserve"> REF _Ref187409901 \h </w:instrText>
      </w:r>
      <w:r>
        <w:fldChar w:fldCharType="separate"/>
      </w:r>
      <w:r w:rsidR="00AA10F4">
        <w:t xml:space="preserve">Table </w:t>
      </w:r>
      <w:r w:rsidR="00AA10F4">
        <w:rPr>
          <w:noProof/>
        </w:rPr>
        <w:t>117</w:t>
      </w:r>
      <w:r>
        <w:fldChar w:fldCharType="end"/>
      </w:r>
      <w:r>
        <w:t xml:space="preserve"> presents gas penalties not reported in the body of the report for the Small Business Initiative. </w:t>
      </w:r>
    </w:p>
    <w:p w14:paraId="36ACA32C" w14:textId="769890A1" w:rsidR="009136D2" w:rsidRDefault="009136D2" w:rsidP="00881B1B">
      <w:pPr>
        <w:pStyle w:val="Caption"/>
      </w:pPr>
      <w:bookmarkStart w:id="537" w:name="_Ref187409901"/>
      <w:bookmarkStart w:id="538" w:name="_Toc191992635"/>
      <w:bookmarkStart w:id="539" w:name="_Toc192767051"/>
      <w:r>
        <w:t xml:space="preserve">Table </w:t>
      </w:r>
      <w:r w:rsidR="009B4C9A">
        <w:fldChar w:fldCharType="begin"/>
      </w:r>
      <w:r w:rsidR="009B4C9A">
        <w:instrText xml:space="preserve"> SEQ Table \* ARABIC </w:instrText>
      </w:r>
      <w:r w:rsidR="009B4C9A">
        <w:fldChar w:fldCharType="separate"/>
      </w:r>
      <w:r w:rsidR="00AA10F4">
        <w:rPr>
          <w:noProof/>
        </w:rPr>
        <w:t>117</w:t>
      </w:r>
      <w:r w:rsidR="009B4C9A">
        <w:rPr>
          <w:noProof/>
        </w:rPr>
        <w:fldChar w:fldCharType="end"/>
      </w:r>
      <w:bookmarkEnd w:id="537"/>
      <w:r>
        <w:t xml:space="preserve">. </w:t>
      </w:r>
      <w:r w:rsidRPr="005F25E4">
        <w:t xml:space="preserve">2024 </w:t>
      </w:r>
      <w:r w:rsidR="007B4B4B">
        <w:t>Small Business</w:t>
      </w:r>
      <w:r w:rsidR="007B4B4B" w:rsidRPr="005F25E4">
        <w:t xml:space="preserve"> </w:t>
      </w:r>
      <w:r w:rsidRPr="005F25E4">
        <w:t>Initiative Gas Heating Penalties</w:t>
      </w:r>
      <w:bookmarkEnd w:id="538"/>
      <w:bookmarkEnd w:id="539"/>
    </w:p>
    <w:tbl>
      <w:tblPr>
        <w:tblStyle w:val="TableGrid"/>
        <w:tblW w:w="0" w:type="auto"/>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3698"/>
        <w:gridCol w:w="3699"/>
        <w:gridCol w:w="3699"/>
      </w:tblGrid>
      <w:tr w:rsidR="009136D2" w14:paraId="47068342"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7DF3A248" w14:textId="77777777" w:rsidR="009136D2" w:rsidRDefault="009136D2" w:rsidP="00F53404">
            <w:pPr>
              <w:pStyle w:val="TableHeadingLeft"/>
            </w:pPr>
            <w:r>
              <w:t>Channel</w:t>
            </w:r>
          </w:p>
        </w:tc>
        <w:tc>
          <w:tcPr>
            <w:tcW w:w="3699" w:type="dxa"/>
            <w:tcBorders>
              <w:bottom w:val="none" w:sz="0" w:space="0" w:color="auto"/>
            </w:tcBorders>
          </w:tcPr>
          <w:p w14:paraId="06A59D52" w14:textId="77777777" w:rsidR="009136D2" w:rsidRDefault="009136D2" w:rsidP="00F53404">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3699" w:type="dxa"/>
            <w:tcBorders>
              <w:bottom w:val="none" w:sz="0" w:space="0" w:color="auto"/>
            </w:tcBorders>
          </w:tcPr>
          <w:p w14:paraId="1A90FB54" w14:textId="77777777" w:rsidR="009136D2" w:rsidRDefault="009136D2" w:rsidP="00F53404">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8D337C" w14:paraId="321E899E" w14:textId="77777777" w:rsidTr="00F53404">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vMerge w:val="restart"/>
            <w:tcBorders>
              <w:top w:val="none" w:sz="0" w:space="0" w:color="auto"/>
              <w:left w:val="none" w:sz="0" w:space="0" w:color="auto"/>
              <w:bottom w:val="none" w:sz="0" w:space="0" w:color="auto"/>
              <w:right w:val="none" w:sz="0" w:space="0" w:color="auto"/>
            </w:tcBorders>
          </w:tcPr>
          <w:p w14:paraId="5FE6483A" w14:textId="727A42F4" w:rsidR="008D337C" w:rsidRDefault="008D337C" w:rsidP="00F53404">
            <w:r>
              <w:t>SBDI</w:t>
            </w:r>
          </w:p>
        </w:tc>
        <w:tc>
          <w:tcPr>
            <w:tcW w:w="3699" w:type="dxa"/>
            <w:tcBorders>
              <w:top w:val="none" w:sz="0" w:space="0" w:color="auto"/>
              <w:left w:val="none" w:sz="0" w:space="0" w:color="auto"/>
              <w:bottom w:val="none" w:sz="0" w:space="0" w:color="auto"/>
              <w:right w:val="none" w:sz="0" w:space="0" w:color="auto"/>
            </w:tcBorders>
          </w:tcPr>
          <w:p w14:paraId="206DBD54" w14:textId="2B0184F3" w:rsidR="008D337C" w:rsidRDefault="008D337C" w:rsidP="00F53404">
            <w:pPr>
              <w:cnfStyle w:val="000000100000" w:firstRow="0" w:lastRow="0" w:firstColumn="0" w:lastColumn="0" w:oddVBand="0" w:evenVBand="0" w:oddHBand="1" w:evenHBand="0" w:firstRowFirstColumn="0" w:firstRowLastColumn="0" w:lastRowFirstColumn="0" w:lastRowLastColumn="0"/>
            </w:pPr>
            <w:r w:rsidRPr="00700FB6">
              <w:t>LED Bulbs and Fixtures</w:t>
            </w:r>
          </w:p>
        </w:tc>
        <w:tc>
          <w:tcPr>
            <w:tcW w:w="3699" w:type="dxa"/>
            <w:tcBorders>
              <w:top w:val="none" w:sz="0" w:space="0" w:color="auto"/>
              <w:left w:val="none" w:sz="0" w:space="0" w:color="auto"/>
              <w:bottom w:val="none" w:sz="0" w:space="0" w:color="auto"/>
              <w:right w:val="none" w:sz="0" w:space="0" w:color="auto"/>
            </w:tcBorders>
          </w:tcPr>
          <w:p w14:paraId="2D04F457" w14:textId="27E508E7" w:rsidR="008D337C" w:rsidRDefault="008D337C" w:rsidP="008D337C">
            <w:pPr>
              <w:jc w:val="right"/>
              <w:cnfStyle w:val="000000100000" w:firstRow="0" w:lastRow="0" w:firstColumn="0" w:lastColumn="0" w:oddVBand="0" w:evenVBand="0" w:oddHBand="1" w:evenHBand="0" w:firstRowFirstColumn="0" w:firstRowLastColumn="0" w:lastRowFirstColumn="0" w:lastRowLastColumn="0"/>
            </w:pPr>
            <w:r w:rsidRPr="00700FB6">
              <w:t>-329,979</w:t>
            </w:r>
          </w:p>
        </w:tc>
      </w:tr>
      <w:tr w:rsidR="008D337C" w14:paraId="6B38268B" w14:textId="77777777" w:rsidTr="00F53404">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58924E56" w14:textId="6C667C0B" w:rsidR="008D337C" w:rsidRDefault="008D337C" w:rsidP="00F53404"/>
        </w:tc>
        <w:tc>
          <w:tcPr>
            <w:tcW w:w="3699" w:type="dxa"/>
            <w:tcBorders>
              <w:top w:val="none" w:sz="0" w:space="0" w:color="auto"/>
              <w:left w:val="none" w:sz="0" w:space="0" w:color="auto"/>
              <w:bottom w:val="none" w:sz="0" w:space="0" w:color="auto"/>
              <w:right w:val="none" w:sz="0" w:space="0" w:color="auto"/>
            </w:tcBorders>
          </w:tcPr>
          <w:p w14:paraId="7FD40E35" w14:textId="67E7717E" w:rsidR="008D337C" w:rsidRDefault="008D337C" w:rsidP="00F53404">
            <w:pPr>
              <w:cnfStyle w:val="000000010000" w:firstRow="0" w:lastRow="0" w:firstColumn="0" w:lastColumn="0" w:oddVBand="0" w:evenVBand="0" w:oddHBand="0" w:evenHBand="1" w:firstRowFirstColumn="0" w:firstRowLastColumn="0" w:lastRowFirstColumn="0" w:lastRowLastColumn="0"/>
            </w:pPr>
            <w:r w:rsidRPr="00700FB6">
              <w:t>Lighting Controls</w:t>
            </w:r>
          </w:p>
        </w:tc>
        <w:tc>
          <w:tcPr>
            <w:tcW w:w="3699" w:type="dxa"/>
            <w:tcBorders>
              <w:top w:val="none" w:sz="0" w:space="0" w:color="auto"/>
              <w:left w:val="none" w:sz="0" w:space="0" w:color="auto"/>
              <w:bottom w:val="none" w:sz="0" w:space="0" w:color="auto"/>
              <w:right w:val="none" w:sz="0" w:space="0" w:color="auto"/>
            </w:tcBorders>
          </w:tcPr>
          <w:p w14:paraId="053206B6" w14:textId="70EA9A2A" w:rsidR="008D337C" w:rsidRDefault="008D337C" w:rsidP="008D337C">
            <w:pPr>
              <w:jc w:val="right"/>
              <w:cnfStyle w:val="000000010000" w:firstRow="0" w:lastRow="0" w:firstColumn="0" w:lastColumn="0" w:oddVBand="0" w:evenVBand="0" w:oddHBand="0" w:evenHBand="1" w:firstRowFirstColumn="0" w:firstRowLastColumn="0" w:lastRowFirstColumn="0" w:lastRowLastColumn="0"/>
            </w:pPr>
            <w:r w:rsidRPr="00700FB6">
              <w:t>-38,907</w:t>
            </w:r>
          </w:p>
        </w:tc>
      </w:tr>
      <w:tr w:rsidR="008D337C" w14:paraId="634F02C6" w14:textId="77777777" w:rsidTr="00F53404">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642B85B3" w14:textId="79A9559C" w:rsidR="008D337C" w:rsidRDefault="008D337C" w:rsidP="00F53404"/>
        </w:tc>
        <w:tc>
          <w:tcPr>
            <w:tcW w:w="3699" w:type="dxa"/>
            <w:tcBorders>
              <w:top w:val="none" w:sz="0" w:space="0" w:color="auto"/>
              <w:left w:val="none" w:sz="0" w:space="0" w:color="auto"/>
              <w:bottom w:val="none" w:sz="0" w:space="0" w:color="auto"/>
              <w:right w:val="none" w:sz="0" w:space="0" w:color="auto"/>
            </w:tcBorders>
          </w:tcPr>
          <w:p w14:paraId="74B510BF" w14:textId="10052B2B" w:rsidR="008D337C" w:rsidRDefault="008D337C" w:rsidP="00F53404">
            <w:pPr>
              <w:cnfStyle w:val="000000100000" w:firstRow="0" w:lastRow="0" w:firstColumn="0" w:lastColumn="0" w:oddVBand="0" w:evenVBand="0" w:oddHBand="1" w:evenHBand="0" w:firstRowFirstColumn="0" w:firstRowLastColumn="0" w:lastRowFirstColumn="0" w:lastRowLastColumn="0"/>
            </w:pPr>
            <w:r w:rsidRPr="00700FB6">
              <w:t>Fluorescent Delamping</w:t>
            </w:r>
          </w:p>
        </w:tc>
        <w:tc>
          <w:tcPr>
            <w:tcW w:w="3699" w:type="dxa"/>
            <w:tcBorders>
              <w:top w:val="none" w:sz="0" w:space="0" w:color="auto"/>
              <w:left w:val="none" w:sz="0" w:space="0" w:color="auto"/>
              <w:bottom w:val="none" w:sz="0" w:space="0" w:color="auto"/>
              <w:right w:val="none" w:sz="0" w:space="0" w:color="auto"/>
            </w:tcBorders>
          </w:tcPr>
          <w:p w14:paraId="61505EBA" w14:textId="44F7263C" w:rsidR="008D337C" w:rsidRDefault="008D337C" w:rsidP="008D337C">
            <w:pPr>
              <w:jc w:val="right"/>
              <w:cnfStyle w:val="000000100000" w:firstRow="0" w:lastRow="0" w:firstColumn="0" w:lastColumn="0" w:oddVBand="0" w:evenVBand="0" w:oddHBand="1" w:evenHBand="0" w:firstRowFirstColumn="0" w:firstRowLastColumn="0" w:lastRowFirstColumn="0" w:lastRowLastColumn="0"/>
            </w:pPr>
            <w:r w:rsidRPr="00700FB6">
              <w:t>-1,947</w:t>
            </w:r>
          </w:p>
        </w:tc>
      </w:tr>
      <w:tr w:rsidR="008D337C" w14:paraId="21C90897" w14:textId="77777777" w:rsidTr="00F53404">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692A53C6" w14:textId="67F77223" w:rsidR="008D337C" w:rsidRDefault="008D337C" w:rsidP="00F53404"/>
        </w:tc>
        <w:tc>
          <w:tcPr>
            <w:tcW w:w="3699" w:type="dxa"/>
            <w:tcBorders>
              <w:top w:val="none" w:sz="0" w:space="0" w:color="auto"/>
              <w:left w:val="none" w:sz="0" w:space="0" w:color="auto"/>
              <w:bottom w:val="none" w:sz="0" w:space="0" w:color="auto"/>
              <w:right w:val="none" w:sz="0" w:space="0" w:color="auto"/>
            </w:tcBorders>
          </w:tcPr>
          <w:p w14:paraId="17DCB7B6" w14:textId="0169DD03" w:rsidR="008D337C" w:rsidRDefault="008D337C" w:rsidP="00F53404">
            <w:pPr>
              <w:cnfStyle w:val="000000010000" w:firstRow="0" w:lastRow="0" w:firstColumn="0" w:lastColumn="0" w:oddVBand="0" w:evenVBand="0" w:oddHBand="0" w:evenHBand="1" w:firstRowFirstColumn="0" w:firstRowLastColumn="0" w:lastRowFirstColumn="0" w:lastRowLastColumn="0"/>
            </w:pPr>
            <w:r w:rsidRPr="00700FB6">
              <w:t>Exit Signs</w:t>
            </w:r>
          </w:p>
        </w:tc>
        <w:tc>
          <w:tcPr>
            <w:tcW w:w="3699" w:type="dxa"/>
            <w:tcBorders>
              <w:top w:val="none" w:sz="0" w:space="0" w:color="auto"/>
              <w:left w:val="none" w:sz="0" w:space="0" w:color="auto"/>
              <w:bottom w:val="none" w:sz="0" w:space="0" w:color="auto"/>
              <w:right w:val="none" w:sz="0" w:space="0" w:color="auto"/>
            </w:tcBorders>
          </w:tcPr>
          <w:p w14:paraId="0980805C" w14:textId="0AAC75A7" w:rsidR="008D337C" w:rsidRDefault="008D337C" w:rsidP="008D337C">
            <w:pPr>
              <w:jc w:val="right"/>
              <w:cnfStyle w:val="000000010000" w:firstRow="0" w:lastRow="0" w:firstColumn="0" w:lastColumn="0" w:oddVBand="0" w:evenVBand="0" w:oddHBand="0" w:evenHBand="1" w:firstRowFirstColumn="0" w:firstRowLastColumn="0" w:lastRowFirstColumn="0" w:lastRowLastColumn="0"/>
            </w:pPr>
            <w:r w:rsidRPr="00700FB6">
              <w:t>-617</w:t>
            </w:r>
          </w:p>
        </w:tc>
      </w:tr>
      <w:tr w:rsidR="007B4B4B" w14:paraId="62004D9F" w14:textId="77777777" w:rsidTr="00F534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7" w:type="dxa"/>
            <w:gridSpan w:val="2"/>
            <w:tcBorders>
              <w:top w:val="none" w:sz="0" w:space="0" w:color="auto"/>
              <w:left w:val="none" w:sz="0" w:space="0" w:color="auto"/>
              <w:bottom w:val="none" w:sz="0" w:space="0" w:color="auto"/>
              <w:right w:val="none" w:sz="0" w:space="0" w:color="auto"/>
            </w:tcBorders>
          </w:tcPr>
          <w:p w14:paraId="75FB9421" w14:textId="440F2ABE" w:rsidR="007B4B4B" w:rsidRPr="007B4B4B" w:rsidRDefault="007B4B4B" w:rsidP="00F53404">
            <w:pPr>
              <w:rPr>
                <w:rFonts w:ascii="Franklin Gothic Medium" w:hAnsi="Franklin Gothic Medium"/>
              </w:rPr>
            </w:pPr>
            <w:r w:rsidRPr="007B4B4B">
              <w:rPr>
                <w:rFonts w:ascii="Franklin Gothic Medium" w:hAnsi="Franklin Gothic Medium"/>
              </w:rPr>
              <w:t>Total Gas Penalties</w:t>
            </w:r>
          </w:p>
        </w:tc>
        <w:tc>
          <w:tcPr>
            <w:tcW w:w="3699" w:type="dxa"/>
            <w:tcBorders>
              <w:top w:val="none" w:sz="0" w:space="0" w:color="auto"/>
              <w:left w:val="none" w:sz="0" w:space="0" w:color="auto"/>
              <w:bottom w:val="none" w:sz="0" w:space="0" w:color="auto"/>
              <w:right w:val="none" w:sz="0" w:space="0" w:color="auto"/>
            </w:tcBorders>
          </w:tcPr>
          <w:p w14:paraId="4F6EA016" w14:textId="702CB937" w:rsidR="007B4B4B" w:rsidRPr="007B4B4B" w:rsidRDefault="007B4B4B" w:rsidP="008D337C">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-371,450</w:t>
            </w:r>
          </w:p>
        </w:tc>
      </w:tr>
    </w:tbl>
    <w:p w14:paraId="14C7C142" w14:textId="77777777" w:rsidR="00162705" w:rsidRDefault="00162705" w:rsidP="00162705">
      <w:pPr>
        <w:pStyle w:val="AppendixGamma"/>
      </w:pPr>
      <w:bookmarkStart w:id="540" w:name="_Toc191992506"/>
      <w:r>
        <w:t>Secondary Electric Savings for Water Supply and Wastewater treatment</w:t>
      </w:r>
      <w:bookmarkEnd w:id="540"/>
    </w:p>
    <w:p w14:paraId="4E4DAF95" w14:textId="1649B0EF" w:rsidR="00162705" w:rsidRDefault="00162705" w:rsidP="00162705">
      <w:r>
        <w:t>No measures delivered through the Small Business Initiative produced quantifiable secondary electric savings in 2024.</w:t>
      </w:r>
    </w:p>
    <w:p w14:paraId="7411479B" w14:textId="77777777" w:rsidR="00162705" w:rsidRDefault="00162705" w:rsidP="00162705">
      <w:pPr>
        <w:pStyle w:val="AppendixGamma"/>
      </w:pPr>
      <w:bookmarkStart w:id="541" w:name="_Toc191992507"/>
      <w:r>
        <w:t>Total Impacts for Cost-Effectiveness</w:t>
      </w:r>
      <w:bookmarkEnd w:id="541"/>
    </w:p>
    <w:p w14:paraId="30690C60" w14:textId="411BFED0" w:rsidR="00162705" w:rsidRDefault="00162705" w:rsidP="00162705">
      <w:r>
        <w:fldChar w:fldCharType="begin"/>
      </w:r>
      <w:r>
        <w:instrText xml:space="preserve"> REF _Ref187410213 \h </w:instrText>
      </w:r>
      <w:r>
        <w:fldChar w:fldCharType="separate"/>
      </w:r>
      <w:r w:rsidR="00AA10F4">
        <w:t xml:space="preserve">Table </w:t>
      </w:r>
      <w:r w:rsidR="00AA10F4">
        <w:rPr>
          <w:noProof/>
        </w:rPr>
        <w:t>118</w:t>
      </w:r>
      <w:r>
        <w:fldChar w:fldCharType="end"/>
      </w:r>
      <w:r>
        <w:t xml:space="preserve"> presents a summary of the 2024 </w:t>
      </w:r>
      <w:r w:rsidR="00656C78">
        <w:t>Small Business</w:t>
      </w:r>
      <w:r>
        <w:t xml:space="preserve"> Initiative verified gross impacts adjusted for the above effects.</w:t>
      </w:r>
    </w:p>
    <w:p w14:paraId="619E4A88" w14:textId="0D55C5E0" w:rsidR="00162705" w:rsidRDefault="00162705" w:rsidP="00881B1B">
      <w:pPr>
        <w:pStyle w:val="Caption"/>
      </w:pPr>
      <w:bookmarkStart w:id="542" w:name="_Ref187410213"/>
      <w:bookmarkStart w:id="543" w:name="_Toc191992636"/>
      <w:bookmarkStart w:id="544" w:name="_Toc192767052"/>
      <w:r>
        <w:lastRenderedPageBreak/>
        <w:t xml:space="preserve">Table </w:t>
      </w:r>
      <w:r w:rsidR="009B4C9A">
        <w:fldChar w:fldCharType="begin"/>
      </w:r>
      <w:r w:rsidR="009B4C9A">
        <w:instrText xml:space="preserve"> SEQ Table \* ARABIC </w:instrText>
      </w:r>
      <w:r w:rsidR="009B4C9A">
        <w:fldChar w:fldCharType="separate"/>
      </w:r>
      <w:r w:rsidR="00AA10F4">
        <w:rPr>
          <w:noProof/>
        </w:rPr>
        <w:t>118</w:t>
      </w:r>
      <w:r w:rsidR="009B4C9A">
        <w:rPr>
          <w:noProof/>
        </w:rPr>
        <w:fldChar w:fldCharType="end"/>
      </w:r>
      <w:bookmarkEnd w:id="542"/>
      <w:r>
        <w:t xml:space="preserve">. </w:t>
      </w:r>
      <w:r w:rsidRPr="000B525E">
        <w:t xml:space="preserve">2024 </w:t>
      </w:r>
      <w:r>
        <w:t>Small Business</w:t>
      </w:r>
      <w:r w:rsidRPr="000B525E">
        <w:t xml:space="preserve"> Initiative Verified Gross Impacts for Cost-Effectiveness</w:t>
      </w:r>
      <w:bookmarkEnd w:id="543"/>
      <w:bookmarkEnd w:id="544"/>
    </w:p>
    <w:tbl>
      <w:tblPr>
        <w:tblStyle w:val="TableGrid"/>
        <w:tblW w:w="5000" w:type="pct"/>
        <w:tblBorders>
          <w:top w:val="single" w:sz="4" w:space="0" w:color="4A4D56" w:themeColor="text1"/>
          <w:left w:val="single" w:sz="4" w:space="0" w:color="4A4D56" w:themeColor="text1"/>
          <w:bottom w:val="single" w:sz="4" w:space="0" w:color="4A4D56" w:themeColor="text1"/>
          <w:right w:val="single" w:sz="4" w:space="0" w:color="4A4D56" w:themeColor="text1"/>
          <w:insideH w:val="single" w:sz="4" w:space="0" w:color="4A4D56" w:themeColor="text1"/>
          <w:insideV w:val="single" w:sz="4" w:space="0" w:color="4A4D56" w:themeColor="text1"/>
        </w:tblBorders>
        <w:tblLook w:val="04A0" w:firstRow="1" w:lastRow="0" w:firstColumn="1" w:lastColumn="0" w:noHBand="0" w:noVBand="1"/>
      </w:tblPr>
      <w:tblGrid>
        <w:gridCol w:w="4526"/>
        <w:gridCol w:w="1581"/>
        <w:gridCol w:w="1369"/>
        <w:gridCol w:w="2002"/>
        <w:gridCol w:w="1618"/>
      </w:tblGrid>
      <w:tr w:rsidR="006F0CAA" w14:paraId="4E8B3C62" w14:textId="77777777" w:rsidTr="00CE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490C8741" w14:textId="77777777" w:rsidR="006F0CAA" w:rsidRDefault="006F0CAA" w:rsidP="00CE6F4F">
            <w:pPr>
              <w:jc w:val="left"/>
            </w:pPr>
          </w:p>
        </w:tc>
        <w:tc>
          <w:tcPr>
            <w:tcW w:w="712" w:type="pct"/>
            <w:tcBorders>
              <w:bottom w:val="none" w:sz="0" w:space="0" w:color="auto"/>
            </w:tcBorders>
          </w:tcPr>
          <w:p w14:paraId="00ADB44A"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617" w:type="pct"/>
            <w:tcBorders>
              <w:bottom w:val="none" w:sz="0" w:space="0" w:color="auto"/>
            </w:tcBorders>
          </w:tcPr>
          <w:p w14:paraId="22EA2F09"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902" w:type="pct"/>
            <w:tcBorders>
              <w:bottom w:val="none" w:sz="0" w:space="0" w:color="auto"/>
            </w:tcBorders>
          </w:tcPr>
          <w:p w14:paraId="0D1B2FEF"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729" w:type="pct"/>
            <w:tcBorders>
              <w:bottom w:val="none" w:sz="0" w:space="0" w:color="auto"/>
            </w:tcBorders>
          </w:tcPr>
          <w:p w14:paraId="1E34115F"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6F0CAA" w14:paraId="1773A7F1"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4E985165" w14:textId="77777777" w:rsidR="006F0CAA" w:rsidRDefault="006F0CAA" w:rsidP="00CE6F4F">
            <w:r>
              <w:t>Verified Gross Impacts for Goal Attainment</w:t>
            </w:r>
          </w:p>
        </w:tc>
        <w:tc>
          <w:tcPr>
            <w:tcW w:w="712" w:type="pct"/>
            <w:tcBorders>
              <w:top w:val="none" w:sz="0" w:space="0" w:color="auto"/>
              <w:left w:val="none" w:sz="0" w:space="0" w:color="auto"/>
              <w:bottom w:val="none" w:sz="0" w:space="0" w:color="auto"/>
              <w:right w:val="none" w:sz="0" w:space="0" w:color="auto"/>
            </w:tcBorders>
          </w:tcPr>
          <w:p w14:paraId="447768B5" w14:textId="4EC03F8A"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35,240,210</w:t>
            </w:r>
          </w:p>
        </w:tc>
        <w:tc>
          <w:tcPr>
            <w:tcW w:w="617" w:type="pct"/>
            <w:tcBorders>
              <w:top w:val="none" w:sz="0" w:space="0" w:color="auto"/>
              <w:left w:val="none" w:sz="0" w:space="0" w:color="auto"/>
              <w:bottom w:val="none" w:sz="0" w:space="0" w:color="auto"/>
              <w:right w:val="none" w:sz="0" w:space="0" w:color="auto"/>
            </w:tcBorders>
          </w:tcPr>
          <w:p w14:paraId="33F8B980" w14:textId="33E48F6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19,319</w:t>
            </w:r>
          </w:p>
        </w:tc>
        <w:tc>
          <w:tcPr>
            <w:tcW w:w="902" w:type="pct"/>
            <w:tcBorders>
              <w:top w:val="none" w:sz="0" w:space="0" w:color="auto"/>
              <w:left w:val="none" w:sz="0" w:space="0" w:color="auto"/>
              <w:bottom w:val="none" w:sz="0" w:space="0" w:color="auto"/>
              <w:right w:val="none" w:sz="0" w:space="0" w:color="auto"/>
            </w:tcBorders>
          </w:tcPr>
          <w:p w14:paraId="67F143DB" w14:textId="33A798D3"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729" w:type="pct"/>
            <w:tcBorders>
              <w:top w:val="none" w:sz="0" w:space="0" w:color="auto"/>
              <w:left w:val="none" w:sz="0" w:space="0" w:color="auto"/>
              <w:bottom w:val="none" w:sz="0" w:space="0" w:color="auto"/>
              <w:right w:val="none" w:sz="0" w:space="0" w:color="auto"/>
            </w:tcBorders>
          </w:tcPr>
          <w:p w14:paraId="7D5DEDAB" w14:textId="6196B44B"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1D59DB">
              <w:t>N/A</w:t>
            </w:r>
          </w:p>
        </w:tc>
      </w:tr>
      <w:tr w:rsidR="006F0CAA" w14:paraId="6601E814"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4AFE94E7" w14:textId="77777777" w:rsidR="006F0CAA" w:rsidRDefault="006F0CAA" w:rsidP="00CE6F4F">
            <w:r>
              <w:t>Gas Penalties</w:t>
            </w:r>
          </w:p>
        </w:tc>
        <w:tc>
          <w:tcPr>
            <w:tcW w:w="712" w:type="pct"/>
            <w:tcBorders>
              <w:top w:val="none" w:sz="0" w:space="0" w:color="auto"/>
              <w:left w:val="none" w:sz="0" w:space="0" w:color="auto"/>
              <w:bottom w:val="none" w:sz="0" w:space="0" w:color="auto"/>
              <w:right w:val="none" w:sz="0" w:space="0" w:color="auto"/>
            </w:tcBorders>
          </w:tcPr>
          <w:p w14:paraId="23A33F48" w14:textId="6AE20685"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N/A</w:t>
            </w:r>
          </w:p>
        </w:tc>
        <w:tc>
          <w:tcPr>
            <w:tcW w:w="617" w:type="pct"/>
            <w:tcBorders>
              <w:top w:val="none" w:sz="0" w:space="0" w:color="auto"/>
              <w:left w:val="none" w:sz="0" w:space="0" w:color="auto"/>
              <w:bottom w:val="none" w:sz="0" w:space="0" w:color="auto"/>
              <w:right w:val="none" w:sz="0" w:space="0" w:color="auto"/>
            </w:tcBorders>
          </w:tcPr>
          <w:p w14:paraId="48BF6D12" w14:textId="1AA0EAE6"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-371,450</w:t>
            </w:r>
          </w:p>
        </w:tc>
        <w:tc>
          <w:tcPr>
            <w:tcW w:w="902" w:type="pct"/>
            <w:tcBorders>
              <w:top w:val="none" w:sz="0" w:space="0" w:color="auto"/>
              <w:left w:val="none" w:sz="0" w:space="0" w:color="auto"/>
              <w:bottom w:val="none" w:sz="0" w:space="0" w:color="auto"/>
              <w:right w:val="none" w:sz="0" w:space="0" w:color="auto"/>
            </w:tcBorders>
          </w:tcPr>
          <w:p w14:paraId="72C8230D" w14:textId="4A7DB19B"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N/A</w:t>
            </w:r>
          </w:p>
        </w:tc>
        <w:tc>
          <w:tcPr>
            <w:tcW w:w="729" w:type="pct"/>
            <w:tcBorders>
              <w:top w:val="none" w:sz="0" w:space="0" w:color="auto"/>
              <w:left w:val="none" w:sz="0" w:space="0" w:color="auto"/>
              <w:bottom w:val="none" w:sz="0" w:space="0" w:color="auto"/>
              <w:right w:val="none" w:sz="0" w:space="0" w:color="auto"/>
            </w:tcBorders>
          </w:tcPr>
          <w:p w14:paraId="266AB080" w14:textId="3696D3F7"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1D59DB">
              <w:t>N/A</w:t>
            </w:r>
          </w:p>
        </w:tc>
      </w:tr>
      <w:tr w:rsidR="006F0CAA" w14:paraId="6E761804"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72314657" w14:textId="77777777" w:rsidR="006F0CAA" w:rsidRDefault="006F0CAA" w:rsidP="00CE6F4F">
            <w:r>
              <w:t>Water Savings</w:t>
            </w:r>
          </w:p>
        </w:tc>
        <w:tc>
          <w:tcPr>
            <w:tcW w:w="712" w:type="pct"/>
            <w:tcBorders>
              <w:top w:val="none" w:sz="0" w:space="0" w:color="auto"/>
              <w:left w:val="none" w:sz="0" w:space="0" w:color="auto"/>
              <w:bottom w:val="none" w:sz="0" w:space="0" w:color="auto"/>
              <w:right w:val="none" w:sz="0" w:space="0" w:color="auto"/>
            </w:tcBorders>
          </w:tcPr>
          <w:p w14:paraId="67647A34" w14:textId="04B8619B"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617" w:type="pct"/>
            <w:tcBorders>
              <w:top w:val="none" w:sz="0" w:space="0" w:color="auto"/>
              <w:left w:val="none" w:sz="0" w:space="0" w:color="auto"/>
              <w:bottom w:val="none" w:sz="0" w:space="0" w:color="auto"/>
              <w:right w:val="none" w:sz="0" w:space="0" w:color="auto"/>
            </w:tcBorders>
          </w:tcPr>
          <w:p w14:paraId="14B10DCF" w14:textId="7E8B00EA"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902" w:type="pct"/>
            <w:tcBorders>
              <w:top w:val="none" w:sz="0" w:space="0" w:color="auto"/>
              <w:left w:val="none" w:sz="0" w:space="0" w:color="auto"/>
              <w:bottom w:val="none" w:sz="0" w:space="0" w:color="auto"/>
              <w:right w:val="none" w:sz="0" w:space="0" w:color="auto"/>
            </w:tcBorders>
          </w:tcPr>
          <w:p w14:paraId="676B8DC5" w14:textId="1714A34D"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729" w:type="pct"/>
            <w:tcBorders>
              <w:top w:val="none" w:sz="0" w:space="0" w:color="auto"/>
              <w:left w:val="none" w:sz="0" w:space="0" w:color="auto"/>
              <w:bottom w:val="none" w:sz="0" w:space="0" w:color="auto"/>
              <w:right w:val="none" w:sz="0" w:space="0" w:color="auto"/>
            </w:tcBorders>
          </w:tcPr>
          <w:p w14:paraId="1655A3B5" w14:textId="033889A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1D59DB">
              <w:t>N/A</w:t>
            </w:r>
          </w:p>
        </w:tc>
      </w:tr>
      <w:tr w:rsidR="006F0CAA" w14:paraId="6B5808E8"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4384334F" w14:textId="77777777" w:rsidR="006F0CAA" w:rsidRDefault="006F0CAA" w:rsidP="00CE6F4F">
            <w:r>
              <w:t>Secondary Electric Savings</w:t>
            </w:r>
          </w:p>
        </w:tc>
        <w:tc>
          <w:tcPr>
            <w:tcW w:w="712" w:type="pct"/>
            <w:tcBorders>
              <w:top w:val="none" w:sz="0" w:space="0" w:color="auto"/>
              <w:left w:val="none" w:sz="0" w:space="0" w:color="auto"/>
              <w:bottom w:val="none" w:sz="0" w:space="0" w:color="auto"/>
              <w:right w:val="none" w:sz="0" w:space="0" w:color="auto"/>
            </w:tcBorders>
          </w:tcPr>
          <w:p w14:paraId="41B1403B" w14:textId="487540B9"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0</w:t>
            </w:r>
          </w:p>
        </w:tc>
        <w:tc>
          <w:tcPr>
            <w:tcW w:w="617" w:type="pct"/>
            <w:tcBorders>
              <w:top w:val="none" w:sz="0" w:space="0" w:color="auto"/>
              <w:left w:val="none" w:sz="0" w:space="0" w:color="auto"/>
              <w:bottom w:val="none" w:sz="0" w:space="0" w:color="auto"/>
              <w:right w:val="none" w:sz="0" w:space="0" w:color="auto"/>
            </w:tcBorders>
          </w:tcPr>
          <w:p w14:paraId="47F9EBCD" w14:textId="319174AE"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N/A</w:t>
            </w:r>
          </w:p>
        </w:tc>
        <w:tc>
          <w:tcPr>
            <w:tcW w:w="902" w:type="pct"/>
            <w:tcBorders>
              <w:top w:val="none" w:sz="0" w:space="0" w:color="auto"/>
              <w:left w:val="none" w:sz="0" w:space="0" w:color="auto"/>
              <w:bottom w:val="none" w:sz="0" w:space="0" w:color="auto"/>
              <w:right w:val="none" w:sz="0" w:space="0" w:color="auto"/>
            </w:tcBorders>
          </w:tcPr>
          <w:p w14:paraId="59D8058B" w14:textId="1924D24D"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B0ACB">
              <w:t>N/A</w:t>
            </w:r>
          </w:p>
        </w:tc>
        <w:tc>
          <w:tcPr>
            <w:tcW w:w="729" w:type="pct"/>
            <w:tcBorders>
              <w:top w:val="none" w:sz="0" w:space="0" w:color="auto"/>
              <w:left w:val="none" w:sz="0" w:space="0" w:color="auto"/>
              <w:bottom w:val="none" w:sz="0" w:space="0" w:color="auto"/>
              <w:right w:val="none" w:sz="0" w:space="0" w:color="auto"/>
            </w:tcBorders>
          </w:tcPr>
          <w:p w14:paraId="367CC32B" w14:textId="70214BB4"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1D59DB">
              <w:t>N/A</w:t>
            </w:r>
          </w:p>
        </w:tc>
      </w:tr>
      <w:tr w:rsidR="006F0CAA" w14:paraId="48581708"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2B5AA6A4" w14:textId="77777777" w:rsidR="006F0CAA" w:rsidRDefault="006F0CAA" w:rsidP="00CE6F4F">
            <w:r>
              <w:t>Additional Fossil Fuel Impacts</w:t>
            </w:r>
          </w:p>
        </w:tc>
        <w:tc>
          <w:tcPr>
            <w:tcW w:w="712" w:type="pct"/>
            <w:tcBorders>
              <w:top w:val="none" w:sz="0" w:space="0" w:color="auto"/>
              <w:left w:val="none" w:sz="0" w:space="0" w:color="auto"/>
              <w:bottom w:val="none" w:sz="0" w:space="0" w:color="auto"/>
              <w:right w:val="none" w:sz="0" w:space="0" w:color="auto"/>
            </w:tcBorders>
          </w:tcPr>
          <w:p w14:paraId="4FB7ACE1" w14:textId="50F975B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617" w:type="pct"/>
            <w:tcBorders>
              <w:top w:val="none" w:sz="0" w:space="0" w:color="auto"/>
              <w:left w:val="none" w:sz="0" w:space="0" w:color="auto"/>
              <w:bottom w:val="none" w:sz="0" w:space="0" w:color="auto"/>
              <w:right w:val="none" w:sz="0" w:space="0" w:color="auto"/>
            </w:tcBorders>
          </w:tcPr>
          <w:p w14:paraId="547022A2" w14:textId="5FB4DC0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N/A</w:t>
            </w:r>
          </w:p>
        </w:tc>
        <w:tc>
          <w:tcPr>
            <w:tcW w:w="902" w:type="pct"/>
            <w:tcBorders>
              <w:top w:val="none" w:sz="0" w:space="0" w:color="auto"/>
              <w:left w:val="none" w:sz="0" w:space="0" w:color="auto"/>
              <w:bottom w:val="none" w:sz="0" w:space="0" w:color="auto"/>
              <w:right w:val="none" w:sz="0" w:space="0" w:color="auto"/>
            </w:tcBorders>
          </w:tcPr>
          <w:p w14:paraId="6CED7418" w14:textId="35F0C8B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B0ACB">
              <w:t>2,325</w:t>
            </w:r>
          </w:p>
        </w:tc>
        <w:tc>
          <w:tcPr>
            <w:tcW w:w="729" w:type="pct"/>
            <w:tcBorders>
              <w:top w:val="none" w:sz="0" w:space="0" w:color="auto"/>
              <w:left w:val="none" w:sz="0" w:space="0" w:color="auto"/>
              <w:bottom w:val="none" w:sz="0" w:space="0" w:color="auto"/>
              <w:right w:val="none" w:sz="0" w:space="0" w:color="auto"/>
            </w:tcBorders>
          </w:tcPr>
          <w:p w14:paraId="46B9289E" w14:textId="3E79FF31"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1D59DB">
              <w:t>N/A</w:t>
            </w:r>
          </w:p>
        </w:tc>
      </w:tr>
      <w:tr w:rsidR="006F0CAA" w14:paraId="1CCD5438"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9" w:type="pct"/>
            <w:tcBorders>
              <w:top w:val="none" w:sz="0" w:space="0" w:color="auto"/>
              <w:left w:val="none" w:sz="0" w:space="0" w:color="auto"/>
              <w:bottom w:val="none" w:sz="0" w:space="0" w:color="auto"/>
              <w:right w:val="none" w:sz="0" w:space="0" w:color="auto"/>
            </w:tcBorders>
          </w:tcPr>
          <w:p w14:paraId="76785B61" w14:textId="77777777" w:rsidR="006F0CAA" w:rsidRPr="007B4B4B" w:rsidRDefault="006F0CAA" w:rsidP="00CE6F4F">
            <w:pPr>
              <w:rPr>
                <w:rFonts w:ascii="Franklin Gothic Medium" w:hAnsi="Franklin Gothic Medium"/>
              </w:rPr>
            </w:pPr>
            <w:r w:rsidRPr="007B4B4B">
              <w:rPr>
                <w:rFonts w:ascii="Franklin Gothic Medium" w:hAnsi="Franklin Gothic Medium"/>
              </w:rPr>
              <w:t>Final Verified Gross Impacts for Cost-Effectiveness</w:t>
            </w:r>
          </w:p>
        </w:tc>
        <w:tc>
          <w:tcPr>
            <w:tcW w:w="712" w:type="pct"/>
            <w:tcBorders>
              <w:top w:val="none" w:sz="0" w:space="0" w:color="auto"/>
              <w:left w:val="none" w:sz="0" w:space="0" w:color="auto"/>
              <w:bottom w:val="none" w:sz="0" w:space="0" w:color="auto"/>
              <w:right w:val="none" w:sz="0" w:space="0" w:color="auto"/>
            </w:tcBorders>
          </w:tcPr>
          <w:p w14:paraId="02569167" w14:textId="04D7C317" w:rsidR="006F0CAA" w:rsidRPr="007B4B4B" w:rsidRDefault="006F0CAA" w:rsidP="00CE6F4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35,240,210</w:t>
            </w:r>
          </w:p>
        </w:tc>
        <w:tc>
          <w:tcPr>
            <w:tcW w:w="617" w:type="pct"/>
            <w:tcBorders>
              <w:top w:val="none" w:sz="0" w:space="0" w:color="auto"/>
              <w:left w:val="none" w:sz="0" w:space="0" w:color="auto"/>
              <w:bottom w:val="none" w:sz="0" w:space="0" w:color="auto"/>
              <w:right w:val="none" w:sz="0" w:space="0" w:color="auto"/>
            </w:tcBorders>
          </w:tcPr>
          <w:p w14:paraId="4E14C4F4" w14:textId="5D4E1051" w:rsidR="006F0CAA" w:rsidRPr="007B4B4B" w:rsidRDefault="006F0CAA" w:rsidP="00CE6F4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-352,130</w:t>
            </w:r>
          </w:p>
        </w:tc>
        <w:tc>
          <w:tcPr>
            <w:tcW w:w="902" w:type="pct"/>
            <w:tcBorders>
              <w:top w:val="none" w:sz="0" w:space="0" w:color="auto"/>
              <w:left w:val="none" w:sz="0" w:space="0" w:color="auto"/>
              <w:bottom w:val="none" w:sz="0" w:space="0" w:color="auto"/>
              <w:right w:val="none" w:sz="0" w:space="0" w:color="auto"/>
            </w:tcBorders>
          </w:tcPr>
          <w:p w14:paraId="0DD4A8C0" w14:textId="58E8B447" w:rsidR="006F0CAA" w:rsidRPr="007B4B4B" w:rsidRDefault="006F0CAA" w:rsidP="00CE6F4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2,325</w:t>
            </w:r>
          </w:p>
        </w:tc>
        <w:tc>
          <w:tcPr>
            <w:tcW w:w="729" w:type="pct"/>
            <w:tcBorders>
              <w:top w:val="none" w:sz="0" w:space="0" w:color="auto"/>
              <w:left w:val="none" w:sz="0" w:space="0" w:color="auto"/>
              <w:bottom w:val="none" w:sz="0" w:space="0" w:color="auto"/>
              <w:right w:val="none" w:sz="0" w:space="0" w:color="auto"/>
            </w:tcBorders>
          </w:tcPr>
          <w:p w14:paraId="56ABEDC4" w14:textId="4BADEDC5" w:rsidR="006F0CAA" w:rsidRPr="007B4B4B" w:rsidRDefault="006F0CAA" w:rsidP="00CE6F4F">
            <w:pPr>
              <w:jc w:val="right"/>
              <w:cnfStyle w:val="000000010000" w:firstRow="0" w:lastRow="0" w:firstColumn="0" w:lastColumn="0" w:oddVBand="0" w:evenVBand="0" w:oddHBand="0" w:evenHBand="1" w:firstRowFirstColumn="0" w:firstRowLastColumn="0" w:lastRowFirstColumn="0" w:lastRowLastColumn="0"/>
              <w:rPr>
                <w:rFonts w:ascii="Franklin Gothic Medium" w:hAnsi="Franklin Gothic Medium"/>
              </w:rPr>
            </w:pPr>
            <w:r w:rsidRPr="007B4B4B">
              <w:rPr>
                <w:rFonts w:ascii="Franklin Gothic Medium" w:hAnsi="Franklin Gothic Medium"/>
              </w:rPr>
              <w:t>N/A</w:t>
            </w:r>
          </w:p>
        </w:tc>
      </w:tr>
    </w:tbl>
    <w:p w14:paraId="0C249DEC" w14:textId="50B1450F" w:rsidR="00162705" w:rsidRDefault="00162705" w:rsidP="00881B1B">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6886939E" w14:textId="6CDCD41A" w:rsidR="00162705" w:rsidRDefault="008D6DB7" w:rsidP="00162705">
      <w:pPr>
        <w:pStyle w:val="AppendixBeta"/>
      </w:pPr>
      <w:bookmarkStart w:id="545" w:name="_Toc191992508"/>
      <w:bookmarkStart w:id="546" w:name="_Toc192766925"/>
      <w:r>
        <w:t xml:space="preserve">Midstream </w:t>
      </w:r>
      <w:r w:rsidR="00162705">
        <w:t>Initiative</w:t>
      </w:r>
      <w:bookmarkEnd w:id="545"/>
      <w:bookmarkEnd w:id="546"/>
    </w:p>
    <w:p w14:paraId="0DDA0B50" w14:textId="77777777" w:rsidR="00162705" w:rsidRDefault="00162705" w:rsidP="00162705">
      <w:pPr>
        <w:pStyle w:val="AppendixGamma"/>
      </w:pPr>
      <w:bookmarkStart w:id="547" w:name="_Toc191992509"/>
      <w:r>
        <w:t>Additional Fossil Fuel Impacts</w:t>
      </w:r>
      <w:bookmarkEnd w:id="547"/>
    </w:p>
    <w:p w14:paraId="1DBDAA1F" w14:textId="07714291" w:rsidR="008D6DB7" w:rsidRDefault="008D6DB7" w:rsidP="008D6DB7">
      <w:r>
        <w:t>The Midstream Initiative produced no additional fossil fuel impacts in 2024.</w:t>
      </w:r>
    </w:p>
    <w:p w14:paraId="5A334153" w14:textId="77777777" w:rsidR="00162705" w:rsidRDefault="00162705" w:rsidP="00162705">
      <w:pPr>
        <w:pStyle w:val="AppendixGamma"/>
      </w:pPr>
      <w:bookmarkStart w:id="548" w:name="_Toc191992510"/>
      <w:r>
        <w:t>Gas Heating Penalties</w:t>
      </w:r>
      <w:bookmarkEnd w:id="548"/>
    </w:p>
    <w:p w14:paraId="5F420F9D" w14:textId="0C7F74DD" w:rsidR="00162705" w:rsidRDefault="008D6DB7" w:rsidP="008D6DB7">
      <w:r>
        <w:fldChar w:fldCharType="begin"/>
      </w:r>
      <w:r>
        <w:instrText xml:space="preserve"> REF _Ref187410422 \h </w:instrText>
      </w:r>
      <w:r>
        <w:fldChar w:fldCharType="separate"/>
      </w:r>
      <w:r w:rsidR="00AA10F4">
        <w:t xml:space="preserve">Table </w:t>
      </w:r>
      <w:r w:rsidR="00AA10F4">
        <w:rPr>
          <w:noProof/>
        </w:rPr>
        <w:t>119</w:t>
      </w:r>
      <w:r>
        <w:fldChar w:fldCharType="end"/>
      </w:r>
      <w:r>
        <w:t xml:space="preserve"> </w:t>
      </w:r>
      <w:r w:rsidR="00162705">
        <w:t xml:space="preserve">presents gas penalties not reported in the body of the report for the </w:t>
      </w:r>
      <w:r w:rsidR="00656C78">
        <w:t>Midstream</w:t>
      </w:r>
      <w:r w:rsidR="00162705">
        <w:t xml:space="preserve"> Initiative. </w:t>
      </w:r>
    </w:p>
    <w:p w14:paraId="3051F698" w14:textId="57AF06CE" w:rsidR="008D6DB7" w:rsidRDefault="008D6DB7" w:rsidP="00881B1B">
      <w:pPr>
        <w:pStyle w:val="Caption"/>
      </w:pPr>
      <w:bookmarkStart w:id="549" w:name="_Ref187410422"/>
      <w:bookmarkStart w:id="550" w:name="_Toc191992637"/>
      <w:bookmarkStart w:id="551" w:name="_Toc192767053"/>
      <w:r>
        <w:t xml:space="preserve">Table </w:t>
      </w:r>
      <w:r w:rsidR="009B4C9A">
        <w:fldChar w:fldCharType="begin"/>
      </w:r>
      <w:r w:rsidR="009B4C9A">
        <w:instrText xml:space="preserve"> SEQ Table \* ARABIC </w:instrText>
      </w:r>
      <w:r w:rsidR="009B4C9A">
        <w:fldChar w:fldCharType="separate"/>
      </w:r>
      <w:r w:rsidR="00AA10F4">
        <w:rPr>
          <w:noProof/>
        </w:rPr>
        <w:t>119</w:t>
      </w:r>
      <w:r w:rsidR="009B4C9A">
        <w:rPr>
          <w:noProof/>
        </w:rPr>
        <w:fldChar w:fldCharType="end"/>
      </w:r>
      <w:bookmarkEnd w:id="549"/>
      <w:r>
        <w:t>. 2024 Midstream Initiative Gas Heating Penalties</w:t>
      </w:r>
      <w:bookmarkEnd w:id="550"/>
      <w:bookmarkEnd w:id="551"/>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3698"/>
        <w:gridCol w:w="3699"/>
        <w:gridCol w:w="3699"/>
      </w:tblGrid>
      <w:tr w:rsidR="00162705" w14:paraId="3B6EACC4" w14:textId="77777777" w:rsidTr="00FB14E9">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045DD8F9" w14:textId="77777777" w:rsidR="00162705" w:rsidRDefault="00162705" w:rsidP="008C6FBE">
            <w:pPr>
              <w:pStyle w:val="TableHeadingLeft"/>
            </w:pPr>
            <w:r>
              <w:t>Channel</w:t>
            </w:r>
          </w:p>
        </w:tc>
        <w:tc>
          <w:tcPr>
            <w:tcW w:w="3699" w:type="dxa"/>
            <w:tcBorders>
              <w:bottom w:val="none" w:sz="0" w:space="0" w:color="auto"/>
            </w:tcBorders>
          </w:tcPr>
          <w:p w14:paraId="1F598141" w14:textId="77777777" w:rsidR="00162705" w:rsidRDefault="00162705" w:rsidP="008C6FBE">
            <w:pPr>
              <w:pStyle w:val="TableHeadingCentered"/>
              <w:cnfStyle w:val="100000000000" w:firstRow="1" w:lastRow="0" w:firstColumn="0" w:lastColumn="0" w:oddVBand="0" w:evenVBand="0" w:oddHBand="0" w:evenHBand="0" w:firstRowFirstColumn="0" w:firstRowLastColumn="0" w:lastRowFirstColumn="0" w:lastRowLastColumn="0"/>
            </w:pPr>
            <w:r>
              <w:t>Measure</w:t>
            </w:r>
          </w:p>
        </w:tc>
        <w:tc>
          <w:tcPr>
            <w:tcW w:w="3699" w:type="dxa"/>
            <w:tcBorders>
              <w:bottom w:val="none" w:sz="0" w:space="0" w:color="auto"/>
            </w:tcBorders>
          </w:tcPr>
          <w:p w14:paraId="47C06850" w14:textId="77777777" w:rsidR="00162705" w:rsidRDefault="00162705" w:rsidP="008C6FBE">
            <w:pPr>
              <w:pStyle w:val="TableHeadingCentered"/>
              <w:cnfStyle w:val="100000000000" w:firstRow="1" w:lastRow="0" w:firstColumn="0" w:lastColumn="0" w:oddVBand="0" w:evenVBand="0" w:oddHBand="0" w:evenHBand="0" w:firstRowFirstColumn="0" w:firstRowLastColumn="0" w:lastRowFirstColumn="0" w:lastRowLastColumn="0"/>
            </w:pPr>
            <w:r>
              <w:t>Therms</w:t>
            </w:r>
          </w:p>
        </w:tc>
      </w:tr>
      <w:tr w:rsidR="00E92028" w14:paraId="6A2E9DA0" w14:textId="77777777" w:rsidTr="00CE6F4F">
        <w:trPr>
          <w:cnfStyle w:val="000000100000" w:firstRow="0" w:lastRow="0" w:firstColumn="0" w:lastColumn="0" w:oddVBand="0" w:evenVBand="0" w:oddHBand="1" w:evenHBand="0"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vMerge w:val="restart"/>
            <w:tcBorders>
              <w:top w:val="none" w:sz="0" w:space="0" w:color="auto"/>
              <w:left w:val="none" w:sz="0" w:space="0" w:color="auto"/>
              <w:bottom w:val="none" w:sz="0" w:space="0" w:color="auto"/>
              <w:right w:val="none" w:sz="0" w:space="0" w:color="auto"/>
            </w:tcBorders>
          </w:tcPr>
          <w:p w14:paraId="1FE69DAB" w14:textId="78F01DF2" w:rsidR="00E92028" w:rsidRDefault="00E92028" w:rsidP="00E92028">
            <w:r>
              <w:t>Lighting</w:t>
            </w:r>
          </w:p>
        </w:tc>
        <w:tc>
          <w:tcPr>
            <w:tcW w:w="3699" w:type="dxa"/>
            <w:tcBorders>
              <w:top w:val="none" w:sz="0" w:space="0" w:color="auto"/>
              <w:left w:val="none" w:sz="0" w:space="0" w:color="auto"/>
              <w:bottom w:val="none" w:sz="0" w:space="0" w:color="auto"/>
              <w:right w:val="none" w:sz="0" w:space="0" w:color="auto"/>
            </w:tcBorders>
          </w:tcPr>
          <w:p w14:paraId="6D3B6104" w14:textId="07959430" w:rsidR="00E92028" w:rsidRDefault="00E92028" w:rsidP="00CE6F4F">
            <w:pPr>
              <w:cnfStyle w:val="000000100000" w:firstRow="0" w:lastRow="0" w:firstColumn="0" w:lastColumn="0" w:oddVBand="0" w:evenVBand="0" w:oddHBand="1" w:evenHBand="0" w:firstRowFirstColumn="0" w:firstRowLastColumn="0" w:lastRowFirstColumn="0" w:lastRowLastColumn="0"/>
            </w:pPr>
            <w:r w:rsidRPr="001D4262">
              <w:t>Linear LEDs</w:t>
            </w:r>
          </w:p>
        </w:tc>
        <w:tc>
          <w:tcPr>
            <w:tcW w:w="3699" w:type="dxa"/>
            <w:tcBorders>
              <w:top w:val="none" w:sz="0" w:space="0" w:color="auto"/>
              <w:left w:val="none" w:sz="0" w:space="0" w:color="auto"/>
              <w:bottom w:val="none" w:sz="0" w:space="0" w:color="auto"/>
              <w:right w:val="none" w:sz="0" w:space="0" w:color="auto"/>
            </w:tcBorders>
          </w:tcPr>
          <w:p w14:paraId="1A05C3A0" w14:textId="32A979AF" w:rsidR="00E92028" w:rsidRDefault="00E92028" w:rsidP="00CE6F4F">
            <w:pPr>
              <w:jc w:val="right"/>
              <w:cnfStyle w:val="000000100000" w:firstRow="0" w:lastRow="0" w:firstColumn="0" w:lastColumn="0" w:oddVBand="0" w:evenVBand="0" w:oddHBand="1" w:evenHBand="0" w:firstRowFirstColumn="0" w:firstRowLastColumn="0" w:lastRowFirstColumn="0" w:lastRowLastColumn="0"/>
            </w:pPr>
            <w:r w:rsidRPr="001D4262">
              <w:t>-293,892</w:t>
            </w:r>
          </w:p>
        </w:tc>
      </w:tr>
      <w:tr w:rsidR="00E92028" w14:paraId="7DC183AA" w14:textId="77777777" w:rsidTr="00CE6F4F">
        <w:trPr>
          <w:cnfStyle w:val="000000010000" w:firstRow="0" w:lastRow="0" w:firstColumn="0" w:lastColumn="0" w:oddVBand="0" w:evenVBand="0" w:oddHBand="0" w:evenHBand="1"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1961EE6D" w14:textId="77777777" w:rsidR="00E92028" w:rsidRDefault="00E92028" w:rsidP="00E92028"/>
        </w:tc>
        <w:tc>
          <w:tcPr>
            <w:tcW w:w="3699" w:type="dxa"/>
            <w:tcBorders>
              <w:top w:val="none" w:sz="0" w:space="0" w:color="auto"/>
              <w:left w:val="none" w:sz="0" w:space="0" w:color="auto"/>
              <w:bottom w:val="none" w:sz="0" w:space="0" w:color="auto"/>
              <w:right w:val="none" w:sz="0" w:space="0" w:color="auto"/>
            </w:tcBorders>
          </w:tcPr>
          <w:p w14:paraId="5D048345" w14:textId="6E5B00A6" w:rsidR="00E92028" w:rsidRDefault="00E92028" w:rsidP="00CE6F4F">
            <w:pPr>
              <w:cnfStyle w:val="000000010000" w:firstRow="0" w:lastRow="0" w:firstColumn="0" w:lastColumn="0" w:oddVBand="0" w:evenVBand="0" w:oddHBand="0" w:evenHBand="1" w:firstRowFirstColumn="0" w:firstRowLastColumn="0" w:lastRowFirstColumn="0" w:lastRowLastColumn="0"/>
            </w:pPr>
            <w:r w:rsidRPr="001D4262">
              <w:t>Moguls</w:t>
            </w:r>
          </w:p>
        </w:tc>
        <w:tc>
          <w:tcPr>
            <w:tcW w:w="3699" w:type="dxa"/>
            <w:tcBorders>
              <w:top w:val="none" w:sz="0" w:space="0" w:color="auto"/>
              <w:left w:val="none" w:sz="0" w:space="0" w:color="auto"/>
              <w:bottom w:val="none" w:sz="0" w:space="0" w:color="auto"/>
              <w:right w:val="none" w:sz="0" w:space="0" w:color="auto"/>
            </w:tcBorders>
          </w:tcPr>
          <w:p w14:paraId="112CC656" w14:textId="6773DC90" w:rsidR="00E92028" w:rsidRDefault="00E92028" w:rsidP="00CE6F4F">
            <w:pPr>
              <w:jc w:val="right"/>
              <w:cnfStyle w:val="000000010000" w:firstRow="0" w:lastRow="0" w:firstColumn="0" w:lastColumn="0" w:oddVBand="0" w:evenVBand="0" w:oddHBand="0" w:evenHBand="1" w:firstRowFirstColumn="0" w:firstRowLastColumn="0" w:lastRowFirstColumn="0" w:lastRowLastColumn="0"/>
            </w:pPr>
            <w:r w:rsidRPr="001D4262">
              <w:t>-63,292</w:t>
            </w:r>
          </w:p>
        </w:tc>
      </w:tr>
      <w:tr w:rsidR="00E92028" w14:paraId="7DEBE9BF" w14:textId="77777777" w:rsidTr="00CE6F4F">
        <w:trPr>
          <w:cnfStyle w:val="000000100000" w:firstRow="0" w:lastRow="0" w:firstColumn="0" w:lastColumn="0" w:oddVBand="0" w:evenVBand="0" w:oddHBand="1" w:evenHBand="0" w:firstRowFirstColumn="0" w:firstRowLastColumn="0" w:lastRowFirstColumn="0" w:lastRowLastColumn="0"/>
          <w:trHeight w:val="76"/>
        </w:trPr>
        <w:tc>
          <w:tcPr>
            <w:cnfStyle w:val="001000000000" w:firstRow="0" w:lastRow="0" w:firstColumn="1" w:lastColumn="0" w:oddVBand="0" w:evenVBand="0" w:oddHBand="0" w:evenHBand="0" w:firstRowFirstColumn="0" w:firstRowLastColumn="0" w:lastRowFirstColumn="0" w:lastRowLastColumn="0"/>
            <w:tcW w:w="3698" w:type="dxa"/>
            <w:vMerge/>
            <w:tcBorders>
              <w:top w:val="none" w:sz="0" w:space="0" w:color="auto"/>
              <w:left w:val="none" w:sz="0" w:space="0" w:color="auto"/>
              <w:bottom w:val="none" w:sz="0" w:space="0" w:color="auto"/>
              <w:right w:val="none" w:sz="0" w:space="0" w:color="auto"/>
            </w:tcBorders>
          </w:tcPr>
          <w:p w14:paraId="03E51A55" w14:textId="77777777" w:rsidR="00E92028" w:rsidRDefault="00E92028" w:rsidP="00E92028"/>
        </w:tc>
        <w:tc>
          <w:tcPr>
            <w:tcW w:w="3699" w:type="dxa"/>
            <w:tcBorders>
              <w:top w:val="none" w:sz="0" w:space="0" w:color="auto"/>
              <w:left w:val="none" w:sz="0" w:space="0" w:color="auto"/>
              <w:bottom w:val="none" w:sz="0" w:space="0" w:color="auto"/>
              <w:right w:val="none" w:sz="0" w:space="0" w:color="auto"/>
            </w:tcBorders>
          </w:tcPr>
          <w:p w14:paraId="072FCEE1" w14:textId="7E544D69" w:rsidR="00E92028" w:rsidRDefault="00E92028" w:rsidP="00CE6F4F">
            <w:pPr>
              <w:cnfStyle w:val="000000100000" w:firstRow="0" w:lastRow="0" w:firstColumn="0" w:lastColumn="0" w:oddVBand="0" w:evenVBand="0" w:oddHBand="1" w:evenHBand="0" w:firstRowFirstColumn="0" w:firstRowLastColumn="0" w:lastRowFirstColumn="0" w:lastRowLastColumn="0"/>
            </w:pPr>
            <w:r w:rsidRPr="001D4262">
              <w:t>4-Pin LEDs</w:t>
            </w:r>
          </w:p>
        </w:tc>
        <w:tc>
          <w:tcPr>
            <w:tcW w:w="3699" w:type="dxa"/>
            <w:tcBorders>
              <w:top w:val="none" w:sz="0" w:space="0" w:color="auto"/>
              <w:left w:val="none" w:sz="0" w:space="0" w:color="auto"/>
              <w:bottom w:val="none" w:sz="0" w:space="0" w:color="auto"/>
              <w:right w:val="none" w:sz="0" w:space="0" w:color="auto"/>
            </w:tcBorders>
          </w:tcPr>
          <w:p w14:paraId="5020305B" w14:textId="152BEF28" w:rsidR="00E92028" w:rsidRDefault="00E92028" w:rsidP="00CE6F4F">
            <w:pPr>
              <w:jc w:val="right"/>
              <w:cnfStyle w:val="000000100000" w:firstRow="0" w:lastRow="0" w:firstColumn="0" w:lastColumn="0" w:oddVBand="0" w:evenVBand="0" w:oddHBand="1" w:evenHBand="0" w:firstRowFirstColumn="0" w:firstRowLastColumn="0" w:lastRowFirstColumn="0" w:lastRowLastColumn="0"/>
            </w:pPr>
            <w:r w:rsidRPr="001D4262">
              <w:t>-14,512</w:t>
            </w:r>
          </w:p>
        </w:tc>
      </w:tr>
      <w:tr w:rsidR="00436667" w14:paraId="639DEAF9" w14:textId="77777777" w:rsidTr="00CE6F4F">
        <w:trPr>
          <w:cnfStyle w:val="000000010000" w:firstRow="0" w:lastRow="0" w:firstColumn="0" w:lastColumn="0" w:oddVBand="0" w:evenVBand="0" w:oddHBand="0" w:evenHBand="1" w:firstRowFirstColumn="0" w:firstRowLastColumn="0" w:lastRowFirstColumn="0" w:lastRowLastColumn="0"/>
          <w:trHeight w:val="78"/>
        </w:trPr>
        <w:tc>
          <w:tcPr>
            <w:cnfStyle w:val="001000000000" w:firstRow="0" w:lastRow="0" w:firstColumn="1" w:lastColumn="0" w:oddVBand="0" w:evenVBand="0" w:oddHBand="0" w:evenHBand="0" w:firstRowFirstColumn="0" w:firstRowLastColumn="0" w:lastRowFirstColumn="0" w:lastRowLastColumn="0"/>
            <w:tcW w:w="3698" w:type="dxa"/>
            <w:tcBorders>
              <w:top w:val="none" w:sz="0" w:space="0" w:color="auto"/>
              <w:left w:val="none" w:sz="0" w:space="0" w:color="auto"/>
              <w:bottom w:val="none" w:sz="0" w:space="0" w:color="auto"/>
              <w:right w:val="none" w:sz="0" w:space="0" w:color="auto"/>
            </w:tcBorders>
          </w:tcPr>
          <w:p w14:paraId="5E734AA8" w14:textId="3E7ED95E" w:rsidR="00436667" w:rsidRDefault="00436667" w:rsidP="00436667">
            <w:r>
              <w:t>HVAC</w:t>
            </w:r>
          </w:p>
        </w:tc>
        <w:tc>
          <w:tcPr>
            <w:tcW w:w="3699" w:type="dxa"/>
            <w:tcBorders>
              <w:top w:val="none" w:sz="0" w:space="0" w:color="auto"/>
              <w:left w:val="none" w:sz="0" w:space="0" w:color="auto"/>
              <w:bottom w:val="none" w:sz="0" w:space="0" w:color="auto"/>
              <w:right w:val="none" w:sz="0" w:space="0" w:color="auto"/>
            </w:tcBorders>
          </w:tcPr>
          <w:p w14:paraId="0803FC0E" w14:textId="194D4D64" w:rsidR="00436667" w:rsidRDefault="00436667" w:rsidP="00CE6F4F">
            <w:pPr>
              <w:cnfStyle w:val="000000010000" w:firstRow="0" w:lastRow="0" w:firstColumn="0" w:lastColumn="0" w:oddVBand="0" w:evenVBand="0" w:oddHBand="0" w:evenHBand="1" w:firstRowFirstColumn="0" w:firstRowLastColumn="0" w:lastRowFirstColumn="0" w:lastRowLastColumn="0"/>
            </w:pPr>
            <w:r>
              <w:rPr>
                <w:color w:val="4D4D4F"/>
              </w:rPr>
              <w:t>Heat Pump Water Heater</w:t>
            </w:r>
          </w:p>
        </w:tc>
        <w:tc>
          <w:tcPr>
            <w:tcW w:w="3699" w:type="dxa"/>
            <w:tcBorders>
              <w:top w:val="none" w:sz="0" w:space="0" w:color="auto"/>
              <w:left w:val="none" w:sz="0" w:space="0" w:color="auto"/>
              <w:bottom w:val="none" w:sz="0" w:space="0" w:color="auto"/>
              <w:right w:val="none" w:sz="0" w:space="0" w:color="auto"/>
            </w:tcBorders>
          </w:tcPr>
          <w:p w14:paraId="1BE96394" w14:textId="74A76285" w:rsidR="00436667" w:rsidRDefault="00436667" w:rsidP="00CE6F4F">
            <w:pPr>
              <w:jc w:val="right"/>
              <w:cnfStyle w:val="000000010000" w:firstRow="0" w:lastRow="0" w:firstColumn="0" w:lastColumn="0" w:oddVBand="0" w:evenVBand="0" w:oddHBand="0" w:evenHBand="1" w:firstRowFirstColumn="0" w:firstRowLastColumn="0" w:lastRowFirstColumn="0" w:lastRowLastColumn="0"/>
            </w:pPr>
            <w:r>
              <w:rPr>
                <w:color w:val="4D4D4F"/>
              </w:rPr>
              <w:t>-196</w:t>
            </w:r>
          </w:p>
        </w:tc>
      </w:tr>
      <w:tr w:rsidR="007B4B4B" w14:paraId="1E54204E"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7" w:type="dxa"/>
            <w:gridSpan w:val="2"/>
          </w:tcPr>
          <w:p w14:paraId="53FF04B5" w14:textId="22DA2658" w:rsidR="007B4B4B" w:rsidRPr="007B4B4B" w:rsidRDefault="007B4B4B" w:rsidP="008C6FBE">
            <w:pPr>
              <w:rPr>
                <w:rFonts w:ascii="Franklin Gothic Medium" w:hAnsi="Franklin Gothic Medium"/>
              </w:rPr>
            </w:pPr>
            <w:r w:rsidRPr="007B4B4B">
              <w:rPr>
                <w:rFonts w:ascii="Franklin Gothic Medium" w:hAnsi="Franklin Gothic Medium"/>
              </w:rPr>
              <w:t>Total Gas Penalties</w:t>
            </w:r>
          </w:p>
        </w:tc>
        <w:tc>
          <w:tcPr>
            <w:tcW w:w="3699" w:type="dxa"/>
          </w:tcPr>
          <w:p w14:paraId="796477C8" w14:textId="6F37D165" w:rsidR="007B4B4B" w:rsidRPr="007B4B4B" w:rsidRDefault="007B4B4B"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-371,892</w:t>
            </w:r>
          </w:p>
        </w:tc>
      </w:tr>
    </w:tbl>
    <w:p w14:paraId="5F9A7AE3" w14:textId="77777777" w:rsidR="00162705" w:rsidRDefault="00162705" w:rsidP="00162705">
      <w:pPr>
        <w:pStyle w:val="AppendixGamma"/>
      </w:pPr>
      <w:bookmarkStart w:id="552" w:name="_Toc191992511"/>
      <w:r>
        <w:t>Secondary Electric Savings for Water Supply and Wastewater Treatment</w:t>
      </w:r>
      <w:bookmarkEnd w:id="552"/>
    </w:p>
    <w:p w14:paraId="110D465F" w14:textId="150543D8" w:rsidR="008D6DB7" w:rsidRDefault="008D6DB7" w:rsidP="008D6DB7">
      <w:r>
        <w:fldChar w:fldCharType="begin"/>
      </w:r>
      <w:r>
        <w:instrText xml:space="preserve"> REF _Ref187410455 \h </w:instrText>
      </w:r>
      <w:r>
        <w:fldChar w:fldCharType="separate"/>
      </w:r>
      <w:r w:rsidR="00AA10F4">
        <w:t xml:space="preserve">Table </w:t>
      </w:r>
      <w:r w:rsidR="00AA10F4">
        <w:rPr>
          <w:noProof/>
        </w:rPr>
        <w:t>120</w:t>
      </w:r>
      <w:r>
        <w:fldChar w:fldCharType="end"/>
      </w:r>
      <w:r w:rsidR="00162705">
        <w:t xml:space="preserve"> presents water savings and secondary electric savings for the </w:t>
      </w:r>
      <w:r>
        <w:t>Midstream Initiative.</w:t>
      </w:r>
    </w:p>
    <w:p w14:paraId="120D3668" w14:textId="219FC814" w:rsidR="00162705" w:rsidRDefault="00162705" w:rsidP="008D6DB7">
      <w:pPr>
        <w:jc w:val="center"/>
      </w:pPr>
      <w:bookmarkStart w:id="553" w:name="_Ref187410455"/>
      <w:bookmarkStart w:id="554" w:name="_Toc191992638"/>
      <w:bookmarkStart w:id="555" w:name="_Toc192767054"/>
      <w:r>
        <w:t xml:space="preserve">Table </w:t>
      </w:r>
      <w:r>
        <w:fldChar w:fldCharType="begin"/>
      </w:r>
      <w:r>
        <w:instrText xml:space="preserve"> SEQ Table \* ARABIC </w:instrText>
      </w:r>
      <w:r>
        <w:fldChar w:fldCharType="separate"/>
      </w:r>
      <w:r w:rsidR="00AA10F4">
        <w:rPr>
          <w:noProof/>
        </w:rPr>
        <w:t>120</w:t>
      </w:r>
      <w:r>
        <w:fldChar w:fldCharType="end"/>
      </w:r>
      <w:bookmarkEnd w:id="553"/>
      <w:r>
        <w:t xml:space="preserve">. 2024 </w:t>
      </w:r>
      <w:r w:rsidR="00656C78">
        <w:t>Midstream</w:t>
      </w:r>
      <w:r>
        <w:t xml:space="preserve"> Initiative Secondary Electric and Water Savings by Measure</w:t>
      </w:r>
      <w:bookmarkEnd w:id="554"/>
      <w:bookmarkEnd w:id="555"/>
    </w:p>
    <w:tbl>
      <w:tblPr>
        <w:tblStyle w:val="TableGrid"/>
        <w:tblW w:w="0" w:type="auto"/>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2024"/>
        <w:gridCol w:w="2239"/>
        <w:gridCol w:w="2239"/>
        <w:gridCol w:w="2315"/>
        <w:gridCol w:w="2279"/>
      </w:tblGrid>
      <w:tr w:rsidR="008D6DB7" w14:paraId="391C9A9D" w14:textId="77777777" w:rsidTr="00CE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24" w:type="dxa"/>
            <w:tcBorders>
              <w:top w:val="none" w:sz="0" w:space="0" w:color="auto"/>
              <w:left w:val="none" w:sz="0" w:space="0" w:color="auto"/>
              <w:bottom w:val="none" w:sz="0" w:space="0" w:color="auto"/>
              <w:right w:val="none" w:sz="0" w:space="0" w:color="auto"/>
            </w:tcBorders>
          </w:tcPr>
          <w:p w14:paraId="2289B64E" w14:textId="76F42655" w:rsidR="008D6DB7" w:rsidRDefault="008D6DB7" w:rsidP="00CE6F4F">
            <w:pPr>
              <w:pStyle w:val="TableHeadingLeft"/>
            </w:pPr>
            <w:r>
              <w:t>Channel</w:t>
            </w:r>
          </w:p>
        </w:tc>
        <w:tc>
          <w:tcPr>
            <w:tcW w:w="2239" w:type="dxa"/>
            <w:tcBorders>
              <w:bottom w:val="none" w:sz="0" w:space="0" w:color="auto"/>
            </w:tcBorders>
          </w:tcPr>
          <w:p w14:paraId="1FECFFD6" w14:textId="67E6F674" w:rsidR="008D6DB7" w:rsidRDefault="008D6DB7" w:rsidP="00CE6F4F">
            <w:pPr>
              <w:pStyle w:val="TableHeadingLeft"/>
              <w:jc w:val="center"/>
              <w:cnfStyle w:val="100000000000" w:firstRow="1" w:lastRow="0" w:firstColumn="0" w:lastColumn="0" w:oddVBand="0" w:evenVBand="0" w:oddHBand="0" w:evenHBand="0" w:firstRowFirstColumn="0" w:firstRowLastColumn="0" w:lastRowFirstColumn="0" w:lastRowLastColumn="0"/>
            </w:pPr>
            <w:r>
              <w:t>Measure Category</w:t>
            </w:r>
          </w:p>
        </w:tc>
        <w:tc>
          <w:tcPr>
            <w:tcW w:w="2239" w:type="dxa"/>
            <w:tcBorders>
              <w:bottom w:val="none" w:sz="0" w:space="0" w:color="auto"/>
            </w:tcBorders>
          </w:tcPr>
          <w:p w14:paraId="621F763A" w14:textId="3106981E" w:rsidR="008D6DB7" w:rsidRDefault="008D6DB7" w:rsidP="00CE6F4F">
            <w:pPr>
              <w:pStyle w:val="TableHeadingCentered"/>
              <w:cnfStyle w:val="100000000000" w:firstRow="1" w:lastRow="0" w:firstColumn="0" w:lastColumn="0" w:oddVBand="0" w:evenVBand="0" w:oddHBand="0" w:evenHBand="0" w:firstRowFirstColumn="0" w:firstRowLastColumn="0" w:lastRowFirstColumn="0" w:lastRowLastColumn="0"/>
            </w:pPr>
            <w:r>
              <w:t>Verified Gross Water Savings (Gallons)</w:t>
            </w:r>
          </w:p>
        </w:tc>
        <w:tc>
          <w:tcPr>
            <w:tcW w:w="2315" w:type="dxa"/>
            <w:tcBorders>
              <w:bottom w:val="none" w:sz="0" w:space="0" w:color="auto"/>
            </w:tcBorders>
          </w:tcPr>
          <w:p w14:paraId="6C0785D4" w14:textId="77777777" w:rsidR="008D6DB7" w:rsidRDefault="008D6DB7" w:rsidP="00CE6F4F">
            <w:pPr>
              <w:pStyle w:val="TableHeadingCentered"/>
              <w:cnfStyle w:val="100000000000" w:firstRow="1" w:lastRow="0" w:firstColumn="0" w:lastColumn="0" w:oddVBand="0" w:evenVBand="0" w:oddHBand="0" w:evenHBand="0" w:firstRowFirstColumn="0" w:firstRowLastColumn="0" w:lastRowFirstColumn="0" w:lastRowLastColumn="0"/>
            </w:pPr>
            <w:r>
              <w:t>Conversion Factor</w:t>
            </w:r>
          </w:p>
        </w:tc>
        <w:tc>
          <w:tcPr>
            <w:tcW w:w="2279" w:type="dxa"/>
            <w:tcBorders>
              <w:bottom w:val="none" w:sz="0" w:space="0" w:color="auto"/>
            </w:tcBorders>
          </w:tcPr>
          <w:p w14:paraId="77A61265" w14:textId="016CEE26" w:rsidR="008D6DB7" w:rsidRDefault="008D6DB7" w:rsidP="00CE6F4F">
            <w:pPr>
              <w:pStyle w:val="TableHeadingCentered"/>
              <w:cnfStyle w:val="100000000000" w:firstRow="1" w:lastRow="0" w:firstColumn="0" w:lastColumn="0" w:oddVBand="0" w:evenVBand="0" w:oddHBand="0" w:evenHBand="0" w:firstRowFirstColumn="0" w:firstRowLastColumn="0" w:lastRowFirstColumn="0" w:lastRowLastColumn="0"/>
            </w:pPr>
            <w:r>
              <w:t>Verified Gross Secondary Electric Savings (kWh)</w:t>
            </w:r>
          </w:p>
        </w:tc>
      </w:tr>
      <w:tr w:rsidR="001D253D" w14:paraId="79AF4334"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27CA1C9F" w14:textId="712C427A" w:rsidR="001D253D" w:rsidRDefault="001D253D" w:rsidP="00CE6F4F">
            <w:r w:rsidRPr="00AB6255">
              <w:t>Food Service</w:t>
            </w:r>
          </w:p>
        </w:tc>
        <w:tc>
          <w:tcPr>
            <w:tcW w:w="0" w:type="dxa"/>
            <w:tcBorders>
              <w:top w:val="none" w:sz="0" w:space="0" w:color="auto"/>
              <w:left w:val="none" w:sz="0" w:space="0" w:color="auto"/>
              <w:bottom w:val="none" w:sz="0" w:space="0" w:color="auto"/>
              <w:right w:val="none" w:sz="0" w:space="0" w:color="auto"/>
            </w:tcBorders>
          </w:tcPr>
          <w:p w14:paraId="19643E7F" w14:textId="5F68CEB5" w:rsidR="001D253D" w:rsidRDefault="001D253D" w:rsidP="00CE6F4F">
            <w:pPr>
              <w:cnfStyle w:val="000000100000" w:firstRow="0" w:lastRow="0" w:firstColumn="0" w:lastColumn="0" w:oddVBand="0" w:evenVBand="0" w:oddHBand="1" w:evenHBand="0" w:firstRowFirstColumn="0" w:firstRowLastColumn="0" w:lastRowFirstColumn="0" w:lastRowLastColumn="0"/>
            </w:pPr>
            <w:r w:rsidRPr="00AB6255">
              <w:t>Dishwashers</w:t>
            </w:r>
          </w:p>
        </w:tc>
        <w:tc>
          <w:tcPr>
            <w:tcW w:w="0" w:type="dxa"/>
            <w:tcBorders>
              <w:top w:val="none" w:sz="0" w:space="0" w:color="auto"/>
              <w:left w:val="none" w:sz="0" w:space="0" w:color="auto"/>
              <w:bottom w:val="none" w:sz="0" w:space="0" w:color="auto"/>
              <w:right w:val="none" w:sz="0" w:space="0" w:color="auto"/>
            </w:tcBorders>
          </w:tcPr>
          <w:p w14:paraId="35BE5039" w14:textId="627D71B5" w:rsidR="001D253D" w:rsidRDefault="001D253D" w:rsidP="00CE6F4F">
            <w:pPr>
              <w:jc w:val="right"/>
              <w:cnfStyle w:val="000000100000" w:firstRow="0" w:lastRow="0" w:firstColumn="0" w:lastColumn="0" w:oddVBand="0" w:evenVBand="0" w:oddHBand="1" w:evenHBand="0" w:firstRowFirstColumn="0" w:firstRowLastColumn="0" w:lastRowFirstColumn="0" w:lastRowLastColumn="0"/>
            </w:pPr>
            <w:r w:rsidRPr="00AB6255">
              <w:t>595,267</w:t>
            </w:r>
          </w:p>
        </w:tc>
        <w:tc>
          <w:tcPr>
            <w:tcW w:w="0" w:type="dxa"/>
            <w:tcBorders>
              <w:top w:val="none" w:sz="0" w:space="0" w:color="auto"/>
              <w:left w:val="none" w:sz="0" w:space="0" w:color="auto"/>
              <w:bottom w:val="none" w:sz="0" w:space="0" w:color="auto"/>
              <w:right w:val="none" w:sz="0" w:space="0" w:color="auto"/>
            </w:tcBorders>
          </w:tcPr>
          <w:p w14:paraId="61187C7D" w14:textId="2C43F072" w:rsidR="001D253D" w:rsidRPr="00436606" w:rsidRDefault="001D253D" w:rsidP="009459C8">
            <w:pPr>
              <w:jc w:val="center"/>
              <w:cnfStyle w:val="000000100000" w:firstRow="0" w:lastRow="0" w:firstColumn="0" w:lastColumn="0" w:oddVBand="0" w:evenVBand="0" w:oddHBand="1" w:evenHBand="0" w:firstRowFirstColumn="0" w:firstRowLastColumn="0" w:lastRowFirstColumn="0" w:lastRowLastColumn="0"/>
              <w:rPr>
                <w:vertAlign w:val="superscript"/>
              </w:rPr>
            </w:pPr>
            <w:r w:rsidRPr="00AB6255">
              <w:t>5,010 kWh/million gal</w:t>
            </w:r>
            <w:r w:rsidRPr="00307925">
              <w:rPr>
                <w:vertAlign w:val="superscript"/>
              </w:rPr>
              <w:t>a</w:t>
            </w:r>
          </w:p>
        </w:tc>
        <w:tc>
          <w:tcPr>
            <w:tcW w:w="0" w:type="dxa"/>
            <w:tcBorders>
              <w:top w:val="none" w:sz="0" w:space="0" w:color="auto"/>
              <w:left w:val="none" w:sz="0" w:space="0" w:color="auto"/>
              <w:bottom w:val="none" w:sz="0" w:space="0" w:color="auto"/>
              <w:right w:val="none" w:sz="0" w:space="0" w:color="auto"/>
            </w:tcBorders>
          </w:tcPr>
          <w:p w14:paraId="036CA2D4" w14:textId="5E9C0D6F" w:rsidR="001D253D" w:rsidRDefault="001D253D" w:rsidP="00CE6F4F">
            <w:pPr>
              <w:jc w:val="right"/>
              <w:cnfStyle w:val="000000100000" w:firstRow="0" w:lastRow="0" w:firstColumn="0" w:lastColumn="0" w:oddVBand="0" w:evenVBand="0" w:oddHBand="1" w:evenHBand="0" w:firstRowFirstColumn="0" w:firstRowLastColumn="0" w:lastRowFirstColumn="0" w:lastRowLastColumn="0"/>
            </w:pPr>
            <w:r w:rsidRPr="00AB6255">
              <w:t>2,982</w:t>
            </w:r>
          </w:p>
        </w:tc>
      </w:tr>
      <w:tr w:rsidR="001D253D" w14:paraId="2A04EAF6"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none" w:sz="0" w:space="0" w:color="auto"/>
              <w:left w:val="none" w:sz="0" w:space="0" w:color="auto"/>
              <w:bottom w:val="none" w:sz="0" w:space="0" w:color="auto"/>
              <w:right w:val="none" w:sz="0" w:space="0" w:color="auto"/>
            </w:tcBorders>
          </w:tcPr>
          <w:p w14:paraId="3DFD0319" w14:textId="086FA57E" w:rsidR="001D253D" w:rsidRDefault="001D253D" w:rsidP="00CE6F4F">
            <w:r w:rsidRPr="00AB6255">
              <w:t>Food Service</w:t>
            </w:r>
          </w:p>
        </w:tc>
        <w:tc>
          <w:tcPr>
            <w:tcW w:w="0" w:type="dxa"/>
            <w:tcBorders>
              <w:top w:val="none" w:sz="0" w:space="0" w:color="auto"/>
              <w:left w:val="none" w:sz="0" w:space="0" w:color="auto"/>
              <w:bottom w:val="none" w:sz="0" w:space="0" w:color="auto"/>
              <w:right w:val="none" w:sz="0" w:space="0" w:color="auto"/>
            </w:tcBorders>
          </w:tcPr>
          <w:p w14:paraId="53B217D4" w14:textId="4B584BBE" w:rsidR="001D253D" w:rsidRDefault="001D253D" w:rsidP="00CE6F4F">
            <w:pPr>
              <w:cnfStyle w:val="000000010000" w:firstRow="0" w:lastRow="0" w:firstColumn="0" w:lastColumn="0" w:oddVBand="0" w:evenVBand="0" w:oddHBand="0" w:evenHBand="1" w:firstRowFirstColumn="0" w:firstRowLastColumn="0" w:lastRowFirstColumn="0" w:lastRowLastColumn="0"/>
            </w:pPr>
            <w:r w:rsidRPr="00AB6255">
              <w:t>Steam Cookers</w:t>
            </w:r>
          </w:p>
        </w:tc>
        <w:tc>
          <w:tcPr>
            <w:tcW w:w="0" w:type="dxa"/>
            <w:tcBorders>
              <w:top w:val="none" w:sz="0" w:space="0" w:color="auto"/>
              <w:left w:val="none" w:sz="0" w:space="0" w:color="auto"/>
              <w:bottom w:val="none" w:sz="0" w:space="0" w:color="auto"/>
              <w:right w:val="none" w:sz="0" w:space="0" w:color="auto"/>
            </w:tcBorders>
          </w:tcPr>
          <w:p w14:paraId="7248F641" w14:textId="69AF6A34" w:rsidR="001D253D" w:rsidRDefault="001D253D" w:rsidP="00CE6F4F">
            <w:pPr>
              <w:jc w:val="right"/>
              <w:cnfStyle w:val="000000010000" w:firstRow="0" w:lastRow="0" w:firstColumn="0" w:lastColumn="0" w:oddVBand="0" w:evenVBand="0" w:oddHBand="0" w:evenHBand="1" w:firstRowFirstColumn="0" w:firstRowLastColumn="0" w:lastRowFirstColumn="0" w:lastRowLastColumn="0"/>
            </w:pPr>
            <w:r w:rsidRPr="00AB6255">
              <w:t>335,825</w:t>
            </w:r>
          </w:p>
        </w:tc>
        <w:tc>
          <w:tcPr>
            <w:tcW w:w="0" w:type="dxa"/>
            <w:tcBorders>
              <w:top w:val="none" w:sz="0" w:space="0" w:color="auto"/>
              <w:left w:val="none" w:sz="0" w:space="0" w:color="auto"/>
              <w:bottom w:val="none" w:sz="0" w:space="0" w:color="auto"/>
              <w:right w:val="none" w:sz="0" w:space="0" w:color="auto"/>
            </w:tcBorders>
          </w:tcPr>
          <w:p w14:paraId="741C1E6F" w14:textId="165B2A52" w:rsidR="001D253D" w:rsidRDefault="001D253D" w:rsidP="009459C8">
            <w:pPr>
              <w:jc w:val="center"/>
              <w:cnfStyle w:val="000000010000" w:firstRow="0" w:lastRow="0" w:firstColumn="0" w:lastColumn="0" w:oddVBand="0" w:evenVBand="0" w:oddHBand="0" w:evenHBand="1" w:firstRowFirstColumn="0" w:firstRowLastColumn="0" w:lastRowFirstColumn="0" w:lastRowLastColumn="0"/>
            </w:pPr>
            <w:r w:rsidRPr="00AB6255">
              <w:t>2,571 kWh/million gal</w:t>
            </w:r>
            <w:r w:rsidRPr="00307925">
              <w:rPr>
                <w:vertAlign w:val="superscript"/>
              </w:rPr>
              <w:t>a</w:t>
            </w:r>
          </w:p>
        </w:tc>
        <w:tc>
          <w:tcPr>
            <w:tcW w:w="0" w:type="dxa"/>
            <w:tcBorders>
              <w:top w:val="none" w:sz="0" w:space="0" w:color="auto"/>
              <w:left w:val="none" w:sz="0" w:space="0" w:color="auto"/>
              <w:bottom w:val="none" w:sz="0" w:space="0" w:color="auto"/>
              <w:right w:val="none" w:sz="0" w:space="0" w:color="auto"/>
            </w:tcBorders>
          </w:tcPr>
          <w:p w14:paraId="75C88E38" w14:textId="5C293009" w:rsidR="001D253D" w:rsidRDefault="001D253D" w:rsidP="00CE6F4F">
            <w:pPr>
              <w:jc w:val="right"/>
              <w:cnfStyle w:val="000000010000" w:firstRow="0" w:lastRow="0" w:firstColumn="0" w:lastColumn="0" w:oddVBand="0" w:evenVBand="0" w:oddHBand="0" w:evenHBand="1" w:firstRowFirstColumn="0" w:firstRowLastColumn="0" w:lastRowFirstColumn="0" w:lastRowLastColumn="0"/>
            </w:pPr>
            <w:r w:rsidRPr="00AB6255">
              <w:t>863</w:t>
            </w:r>
          </w:p>
        </w:tc>
      </w:tr>
      <w:tr w:rsidR="001D253D" w14:paraId="17134E22"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3" w:type="dxa"/>
            <w:gridSpan w:val="2"/>
            <w:tcBorders>
              <w:top w:val="none" w:sz="0" w:space="0" w:color="auto"/>
              <w:left w:val="none" w:sz="0" w:space="0" w:color="auto"/>
              <w:bottom w:val="none" w:sz="0" w:space="0" w:color="auto"/>
              <w:right w:val="none" w:sz="0" w:space="0" w:color="auto"/>
            </w:tcBorders>
          </w:tcPr>
          <w:p w14:paraId="5EE9A356" w14:textId="36793B94" w:rsidR="001D253D" w:rsidRPr="007B4B4B" w:rsidRDefault="007B4B4B" w:rsidP="00CE6F4F">
            <w:pPr>
              <w:rPr>
                <w:rFonts w:ascii="Franklin Gothic Medium" w:hAnsi="Franklin Gothic Medium"/>
              </w:rPr>
            </w:pPr>
            <w:r w:rsidRPr="007B4B4B">
              <w:rPr>
                <w:rFonts w:ascii="Franklin Gothic Medium" w:hAnsi="Franklin Gothic Medium"/>
              </w:rPr>
              <w:t>Total Savings</w:t>
            </w:r>
          </w:p>
        </w:tc>
        <w:tc>
          <w:tcPr>
            <w:tcW w:w="2239" w:type="dxa"/>
            <w:tcBorders>
              <w:top w:val="none" w:sz="0" w:space="0" w:color="auto"/>
              <w:left w:val="none" w:sz="0" w:space="0" w:color="auto"/>
              <w:bottom w:val="none" w:sz="0" w:space="0" w:color="auto"/>
              <w:right w:val="none" w:sz="0" w:space="0" w:color="auto"/>
            </w:tcBorders>
          </w:tcPr>
          <w:p w14:paraId="442C022B" w14:textId="72A49685" w:rsidR="001D253D" w:rsidRPr="007B4B4B" w:rsidRDefault="001D253D"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931,092</w:t>
            </w:r>
          </w:p>
        </w:tc>
        <w:tc>
          <w:tcPr>
            <w:tcW w:w="2315" w:type="dxa"/>
            <w:tcBorders>
              <w:top w:val="none" w:sz="0" w:space="0" w:color="auto"/>
              <w:left w:val="none" w:sz="0" w:space="0" w:color="auto"/>
              <w:bottom w:val="none" w:sz="0" w:space="0" w:color="auto"/>
              <w:right w:val="none" w:sz="0" w:space="0" w:color="auto"/>
            </w:tcBorders>
            <w:vAlign w:val="top"/>
          </w:tcPr>
          <w:p w14:paraId="675C02FC" w14:textId="77777777" w:rsidR="001D253D" w:rsidRPr="007B4B4B" w:rsidRDefault="001D253D" w:rsidP="001D253D">
            <w:pPr>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p>
        </w:tc>
        <w:tc>
          <w:tcPr>
            <w:tcW w:w="2279" w:type="dxa"/>
            <w:tcBorders>
              <w:top w:val="none" w:sz="0" w:space="0" w:color="auto"/>
              <w:left w:val="none" w:sz="0" w:space="0" w:color="auto"/>
              <w:bottom w:val="none" w:sz="0" w:space="0" w:color="auto"/>
              <w:right w:val="none" w:sz="0" w:space="0" w:color="auto"/>
            </w:tcBorders>
          </w:tcPr>
          <w:p w14:paraId="4FEB75CE" w14:textId="4507AE3E" w:rsidR="001D253D" w:rsidRPr="007B4B4B" w:rsidRDefault="001D253D"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3,846</w:t>
            </w:r>
          </w:p>
        </w:tc>
      </w:tr>
    </w:tbl>
    <w:p w14:paraId="5AA93036" w14:textId="477DCF74" w:rsidR="00162705" w:rsidRDefault="00162705" w:rsidP="00881B1B">
      <w:pPr>
        <w:pStyle w:val="Source"/>
      </w:pPr>
      <w:r>
        <w:rPr>
          <w:vertAlign w:val="superscript"/>
        </w:rPr>
        <w:t xml:space="preserve">a </w:t>
      </w:r>
      <w:r>
        <w:t>Source: IL-T</w:t>
      </w:r>
      <w:r w:rsidR="007B4B4B">
        <w:t>R</w:t>
      </w:r>
      <w:r>
        <w:t>M V12.0</w:t>
      </w:r>
      <w:r w:rsidR="0061651E">
        <w:t>.</w:t>
      </w:r>
    </w:p>
    <w:p w14:paraId="27AB7ADC" w14:textId="77777777" w:rsidR="00162705" w:rsidRDefault="00162705" w:rsidP="00162705">
      <w:pPr>
        <w:pStyle w:val="AppendixGamma"/>
      </w:pPr>
      <w:bookmarkStart w:id="556" w:name="_Toc191992512"/>
      <w:r>
        <w:t>Total Impacts for Cost-Effectiveness</w:t>
      </w:r>
      <w:bookmarkEnd w:id="556"/>
    </w:p>
    <w:p w14:paraId="78950B55" w14:textId="0DCBC273" w:rsidR="00162705" w:rsidRDefault="00162705" w:rsidP="00162705">
      <w:r>
        <w:t xml:space="preserve"> </w:t>
      </w:r>
      <w:r w:rsidR="008D6DB7">
        <w:fldChar w:fldCharType="begin"/>
      </w:r>
      <w:r w:rsidR="008D6DB7">
        <w:instrText xml:space="preserve"> REF _Ref187410674 \h </w:instrText>
      </w:r>
      <w:r w:rsidR="008D6DB7">
        <w:fldChar w:fldCharType="separate"/>
      </w:r>
      <w:r w:rsidR="00AA10F4">
        <w:t xml:space="preserve">Table </w:t>
      </w:r>
      <w:r w:rsidR="00AA10F4">
        <w:rPr>
          <w:noProof/>
        </w:rPr>
        <w:t>121</w:t>
      </w:r>
      <w:r w:rsidR="008D6DB7">
        <w:fldChar w:fldCharType="end"/>
      </w:r>
      <w:r w:rsidR="008D6DB7">
        <w:t xml:space="preserve"> </w:t>
      </w:r>
      <w:r>
        <w:t xml:space="preserve">presents a summary of the 2024 </w:t>
      </w:r>
      <w:r w:rsidR="00656C78">
        <w:t>Midstream</w:t>
      </w:r>
      <w:r>
        <w:t xml:space="preserve"> Initiative verified gross impacts adjusted for the above effects. </w:t>
      </w:r>
    </w:p>
    <w:p w14:paraId="08E0ABAD" w14:textId="7801A148" w:rsidR="00162705" w:rsidRDefault="00162705" w:rsidP="00881B1B">
      <w:pPr>
        <w:pStyle w:val="Caption"/>
      </w:pPr>
      <w:bookmarkStart w:id="557" w:name="_Ref187410674"/>
      <w:bookmarkStart w:id="558" w:name="_Toc191992639"/>
      <w:bookmarkStart w:id="559" w:name="_Toc192767055"/>
      <w:r>
        <w:lastRenderedPageBreak/>
        <w:t xml:space="preserve">Table </w:t>
      </w:r>
      <w:r w:rsidR="009B4C9A">
        <w:fldChar w:fldCharType="begin"/>
      </w:r>
      <w:r w:rsidR="009B4C9A">
        <w:instrText xml:space="preserve"> SEQ Table \* ARABIC </w:instrText>
      </w:r>
      <w:r w:rsidR="009B4C9A">
        <w:fldChar w:fldCharType="separate"/>
      </w:r>
      <w:r w:rsidR="00AA10F4">
        <w:rPr>
          <w:noProof/>
        </w:rPr>
        <w:t>121</w:t>
      </w:r>
      <w:r w:rsidR="009B4C9A">
        <w:rPr>
          <w:noProof/>
        </w:rPr>
        <w:fldChar w:fldCharType="end"/>
      </w:r>
      <w:bookmarkEnd w:id="557"/>
      <w:r>
        <w:t xml:space="preserve">. 2024 </w:t>
      </w:r>
      <w:r w:rsidR="008D6DB7">
        <w:t>Midstream</w:t>
      </w:r>
      <w:r>
        <w:t xml:space="preserve"> Initiative Verified Gross Impacts for Cost-Effectiveness</w:t>
      </w:r>
      <w:bookmarkEnd w:id="558"/>
      <w:bookmarkEnd w:id="559"/>
    </w:p>
    <w:tbl>
      <w:tblPr>
        <w:tblStyle w:val="TableGrid"/>
        <w:tblW w:w="5000" w:type="pct"/>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Look w:val="04A0" w:firstRow="1" w:lastRow="0" w:firstColumn="1" w:lastColumn="0" w:noHBand="0" w:noVBand="1"/>
      </w:tblPr>
      <w:tblGrid>
        <w:gridCol w:w="4690"/>
        <w:gridCol w:w="1638"/>
        <w:gridCol w:w="1420"/>
        <w:gridCol w:w="1675"/>
        <w:gridCol w:w="1673"/>
      </w:tblGrid>
      <w:tr w:rsidR="006F0CAA" w14:paraId="1F8127F9" w14:textId="77777777" w:rsidTr="00CE6F4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2E26BFA0" w14:textId="77777777" w:rsidR="006F0CAA" w:rsidRDefault="006F0CAA" w:rsidP="00CE6F4F">
            <w:pPr>
              <w:jc w:val="left"/>
            </w:pPr>
          </w:p>
        </w:tc>
        <w:tc>
          <w:tcPr>
            <w:tcW w:w="738" w:type="pct"/>
            <w:tcBorders>
              <w:bottom w:val="none" w:sz="0" w:space="0" w:color="auto"/>
            </w:tcBorders>
          </w:tcPr>
          <w:p w14:paraId="1F92244F"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Electric Energy (kWh)</w:t>
            </w:r>
          </w:p>
        </w:tc>
        <w:tc>
          <w:tcPr>
            <w:tcW w:w="640" w:type="pct"/>
            <w:tcBorders>
              <w:bottom w:val="none" w:sz="0" w:space="0" w:color="auto"/>
            </w:tcBorders>
          </w:tcPr>
          <w:p w14:paraId="4487B39B" w14:textId="77777777"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Gas (Therms)</w:t>
            </w:r>
          </w:p>
        </w:tc>
        <w:tc>
          <w:tcPr>
            <w:tcW w:w="755" w:type="pct"/>
            <w:tcBorders>
              <w:bottom w:val="none" w:sz="0" w:space="0" w:color="auto"/>
            </w:tcBorders>
          </w:tcPr>
          <w:p w14:paraId="729B7F31" w14:textId="5825859A"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Non-AIC Gas (Therms)</w:t>
            </w:r>
          </w:p>
        </w:tc>
        <w:tc>
          <w:tcPr>
            <w:tcW w:w="754" w:type="pct"/>
            <w:tcBorders>
              <w:bottom w:val="none" w:sz="0" w:space="0" w:color="auto"/>
            </w:tcBorders>
          </w:tcPr>
          <w:p w14:paraId="4ABF1478" w14:textId="7FEAED38" w:rsidR="006F0CAA" w:rsidRDefault="006F0CAA" w:rsidP="008C6FBE">
            <w:pPr>
              <w:pStyle w:val="TableHeadingCentered"/>
              <w:cnfStyle w:val="100000000000" w:firstRow="1" w:lastRow="0" w:firstColumn="0" w:lastColumn="0" w:oddVBand="0" w:evenVBand="0" w:oddHBand="0" w:evenHBand="0" w:firstRowFirstColumn="0" w:firstRowLastColumn="0" w:lastRowFirstColumn="0" w:lastRowLastColumn="0"/>
            </w:pPr>
            <w:r>
              <w:t>Water (Gallons)</w:t>
            </w:r>
          </w:p>
        </w:tc>
      </w:tr>
      <w:tr w:rsidR="006F0CAA" w14:paraId="1507F97D"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38E72FE8" w14:textId="77777777" w:rsidR="006F0CAA" w:rsidRDefault="006F0CAA" w:rsidP="00CE6F4F">
            <w:r>
              <w:t>Verified Gross Impacts for Goal Attainment</w:t>
            </w:r>
          </w:p>
        </w:tc>
        <w:tc>
          <w:tcPr>
            <w:tcW w:w="738" w:type="pct"/>
            <w:tcBorders>
              <w:top w:val="none" w:sz="0" w:space="0" w:color="auto"/>
              <w:left w:val="none" w:sz="0" w:space="0" w:color="auto"/>
              <w:bottom w:val="none" w:sz="0" w:space="0" w:color="auto"/>
              <w:right w:val="none" w:sz="0" w:space="0" w:color="auto"/>
            </w:tcBorders>
          </w:tcPr>
          <w:p w14:paraId="1825B6D1" w14:textId="4056559E"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A84ECB">
              <w:t>30,450,526</w:t>
            </w:r>
          </w:p>
        </w:tc>
        <w:tc>
          <w:tcPr>
            <w:tcW w:w="640" w:type="pct"/>
            <w:tcBorders>
              <w:top w:val="none" w:sz="0" w:space="0" w:color="auto"/>
              <w:left w:val="none" w:sz="0" w:space="0" w:color="auto"/>
              <w:bottom w:val="none" w:sz="0" w:space="0" w:color="auto"/>
              <w:right w:val="none" w:sz="0" w:space="0" w:color="auto"/>
            </w:tcBorders>
          </w:tcPr>
          <w:p w14:paraId="79E33A1A" w14:textId="7D8C077D"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DD00F5">
              <w:t>69,697</w:t>
            </w:r>
          </w:p>
        </w:tc>
        <w:tc>
          <w:tcPr>
            <w:tcW w:w="755" w:type="pct"/>
            <w:tcBorders>
              <w:top w:val="none" w:sz="0" w:space="0" w:color="auto"/>
              <w:left w:val="none" w:sz="0" w:space="0" w:color="auto"/>
              <w:bottom w:val="none" w:sz="0" w:space="0" w:color="auto"/>
              <w:right w:val="none" w:sz="0" w:space="0" w:color="auto"/>
            </w:tcBorders>
          </w:tcPr>
          <w:p w14:paraId="7F1E7555" w14:textId="3CD2B7DD" w:rsidR="006F0CAA" w:rsidRPr="00B65C7C" w:rsidRDefault="006F0CAA" w:rsidP="00CE6F4F">
            <w:pPr>
              <w:jc w:val="right"/>
              <w:cnfStyle w:val="000000100000" w:firstRow="0" w:lastRow="0" w:firstColumn="0" w:lastColumn="0" w:oddVBand="0" w:evenVBand="0" w:oddHBand="1" w:evenHBand="0" w:firstRowFirstColumn="0" w:firstRowLastColumn="0" w:lastRowFirstColumn="0" w:lastRowLastColumn="0"/>
            </w:pPr>
            <w:r>
              <w:t>N/A</w:t>
            </w:r>
          </w:p>
        </w:tc>
        <w:tc>
          <w:tcPr>
            <w:tcW w:w="754" w:type="pct"/>
            <w:tcBorders>
              <w:top w:val="none" w:sz="0" w:space="0" w:color="auto"/>
              <w:left w:val="none" w:sz="0" w:space="0" w:color="auto"/>
              <w:bottom w:val="none" w:sz="0" w:space="0" w:color="auto"/>
              <w:right w:val="none" w:sz="0" w:space="0" w:color="auto"/>
            </w:tcBorders>
          </w:tcPr>
          <w:p w14:paraId="148031EC" w14:textId="526B72C3"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65C7C">
              <w:t>N/A</w:t>
            </w:r>
          </w:p>
        </w:tc>
      </w:tr>
      <w:tr w:rsidR="006F0CAA" w14:paraId="0312C938"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6DFAE036" w14:textId="77777777" w:rsidR="006F0CAA" w:rsidRDefault="006F0CAA" w:rsidP="00CE6F4F">
            <w:r>
              <w:t>Gas Penalties</w:t>
            </w:r>
          </w:p>
        </w:tc>
        <w:tc>
          <w:tcPr>
            <w:tcW w:w="738" w:type="pct"/>
            <w:tcBorders>
              <w:top w:val="none" w:sz="0" w:space="0" w:color="auto"/>
              <w:left w:val="none" w:sz="0" w:space="0" w:color="auto"/>
              <w:bottom w:val="none" w:sz="0" w:space="0" w:color="auto"/>
              <w:right w:val="none" w:sz="0" w:space="0" w:color="auto"/>
            </w:tcBorders>
          </w:tcPr>
          <w:p w14:paraId="4C787379" w14:textId="0D706F09"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A84ECB">
              <w:t>N/A</w:t>
            </w:r>
          </w:p>
        </w:tc>
        <w:tc>
          <w:tcPr>
            <w:tcW w:w="640" w:type="pct"/>
            <w:tcBorders>
              <w:top w:val="none" w:sz="0" w:space="0" w:color="auto"/>
              <w:left w:val="none" w:sz="0" w:space="0" w:color="auto"/>
              <w:bottom w:val="none" w:sz="0" w:space="0" w:color="auto"/>
              <w:right w:val="none" w:sz="0" w:space="0" w:color="auto"/>
            </w:tcBorders>
          </w:tcPr>
          <w:p w14:paraId="43F2CC89" w14:textId="560BA37E"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DD00F5">
              <w:t>-371,892</w:t>
            </w:r>
          </w:p>
        </w:tc>
        <w:tc>
          <w:tcPr>
            <w:tcW w:w="755" w:type="pct"/>
            <w:tcBorders>
              <w:top w:val="none" w:sz="0" w:space="0" w:color="auto"/>
              <w:left w:val="none" w:sz="0" w:space="0" w:color="auto"/>
              <w:bottom w:val="none" w:sz="0" w:space="0" w:color="auto"/>
              <w:right w:val="none" w:sz="0" w:space="0" w:color="auto"/>
            </w:tcBorders>
          </w:tcPr>
          <w:p w14:paraId="5BAE5E34" w14:textId="1E91D6F7" w:rsidR="006F0CAA" w:rsidRPr="00B65C7C" w:rsidRDefault="006F0CAA" w:rsidP="00CE6F4F">
            <w:pPr>
              <w:jc w:val="right"/>
              <w:cnfStyle w:val="000000010000" w:firstRow="0" w:lastRow="0" w:firstColumn="0" w:lastColumn="0" w:oddVBand="0" w:evenVBand="0" w:oddHBand="0" w:evenHBand="1" w:firstRowFirstColumn="0" w:firstRowLastColumn="0" w:lastRowFirstColumn="0" w:lastRowLastColumn="0"/>
            </w:pPr>
            <w:r>
              <w:t>N/A</w:t>
            </w:r>
          </w:p>
        </w:tc>
        <w:tc>
          <w:tcPr>
            <w:tcW w:w="754" w:type="pct"/>
            <w:tcBorders>
              <w:top w:val="none" w:sz="0" w:space="0" w:color="auto"/>
              <w:left w:val="none" w:sz="0" w:space="0" w:color="auto"/>
              <w:bottom w:val="none" w:sz="0" w:space="0" w:color="auto"/>
              <w:right w:val="none" w:sz="0" w:space="0" w:color="auto"/>
            </w:tcBorders>
          </w:tcPr>
          <w:p w14:paraId="1CFF23F2" w14:textId="4E883D8E"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65C7C">
              <w:t>N/A</w:t>
            </w:r>
          </w:p>
        </w:tc>
      </w:tr>
      <w:tr w:rsidR="006F0CAA" w14:paraId="160F13DE"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02BE15B5" w14:textId="77777777" w:rsidR="006F0CAA" w:rsidRDefault="006F0CAA" w:rsidP="00CE6F4F">
            <w:r>
              <w:t>Water Savings</w:t>
            </w:r>
          </w:p>
        </w:tc>
        <w:tc>
          <w:tcPr>
            <w:tcW w:w="738" w:type="pct"/>
            <w:tcBorders>
              <w:top w:val="none" w:sz="0" w:space="0" w:color="auto"/>
              <w:left w:val="none" w:sz="0" w:space="0" w:color="auto"/>
              <w:bottom w:val="none" w:sz="0" w:space="0" w:color="auto"/>
              <w:right w:val="none" w:sz="0" w:space="0" w:color="auto"/>
            </w:tcBorders>
          </w:tcPr>
          <w:p w14:paraId="51536240" w14:textId="66DB41D2"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A84ECB">
              <w:t>N/A</w:t>
            </w:r>
          </w:p>
        </w:tc>
        <w:tc>
          <w:tcPr>
            <w:tcW w:w="640" w:type="pct"/>
            <w:tcBorders>
              <w:top w:val="none" w:sz="0" w:space="0" w:color="auto"/>
              <w:left w:val="none" w:sz="0" w:space="0" w:color="auto"/>
              <w:bottom w:val="none" w:sz="0" w:space="0" w:color="auto"/>
              <w:right w:val="none" w:sz="0" w:space="0" w:color="auto"/>
            </w:tcBorders>
          </w:tcPr>
          <w:p w14:paraId="06ED0325" w14:textId="6F012F2D"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DD00F5">
              <w:t>N/A</w:t>
            </w:r>
          </w:p>
        </w:tc>
        <w:tc>
          <w:tcPr>
            <w:tcW w:w="755" w:type="pct"/>
            <w:tcBorders>
              <w:top w:val="none" w:sz="0" w:space="0" w:color="auto"/>
              <w:left w:val="none" w:sz="0" w:space="0" w:color="auto"/>
              <w:bottom w:val="none" w:sz="0" w:space="0" w:color="auto"/>
              <w:right w:val="none" w:sz="0" w:space="0" w:color="auto"/>
            </w:tcBorders>
          </w:tcPr>
          <w:p w14:paraId="5F8FA897" w14:textId="75BBE429" w:rsidR="006F0CAA" w:rsidRPr="00B65C7C" w:rsidRDefault="006F0CAA" w:rsidP="00CE6F4F">
            <w:pPr>
              <w:jc w:val="right"/>
              <w:cnfStyle w:val="000000100000" w:firstRow="0" w:lastRow="0" w:firstColumn="0" w:lastColumn="0" w:oddVBand="0" w:evenVBand="0" w:oddHBand="1" w:evenHBand="0" w:firstRowFirstColumn="0" w:firstRowLastColumn="0" w:lastRowFirstColumn="0" w:lastRowLastColumn="0"/>
            </w:pPr>
            <w:r>
              <w:t>N/A</w:t>
            </w:r>
          </w:p>
        </w:tc>
        <w:tc>
          <w:tcPr>
            <w:tcW w:w="754" w:type="pct"/>
            <w:tcBorders>
              <w:top w:val="none" w:sz="0" w:space="0" w:color="auto"/>
              <w:left w:val="none" w:sz="0" w:space="0" w:color="auto"/>
              <w:bottom w:val="none" w:sz="0" w:space="0" w:color="auto"/>
              <w:right w:val="none" w:sz="0" w:space="0" w:color="auto"/>
            </w:tcBorders>
          </w:tcPr>
          <w:p w14:paraId="06F23CB1" w14:textId="4B60E721" w:rsidR="006F0CAA" w:rsidRDefault="006F0CAA" w:rsidP="00CE6F4F">
            <w:pPr>
              <w:jc w:val="right"/>
              <w:cnfStyle w:val="000000100000" w:firstRow="0" w:lastRow="0" w:firstColumn="0" w:lastColumn="0" w:oddVBand="0" w:evenVBand="0" w:oddHBand="1" w:evenHBand="0" w:firstRowFirstColumn="0" w:firstRowLastColumn="0" w:lastRowFirstColumn="0" w:lastRowLastColumn="0"/>
            </w:pPr>
            <w:r w:rsidRPr="00B65C7C">
              <w:t>931,092</w:t>
            </w:r>
          </w:p>
        </w:tc>
      </w:tr>
      <w:tr w:rsidR="006F0CAA" w14:paraId="2DF70D5A" w14:textId="77777777" w:rsidTr="00CE6F4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5B79DCA6" w14:textId="77777777" w:rsidR="006F0CAA" w:rsidRDefault="006F0CAA" w:rsidP="00CE6F4F">
            <w:r>
              <w:t>Secondary Electric Savings</w:t>
            </w:r>
          </w:p>
        </w:tc>
        <w:tc>
          <w:tcPr>
            <w:tcW w:w="738" w:type="pct"/>
            <w:tcBorders>
              <w:top w:val="none" w:sz="0" w:space="0" w:color="auto"/>
              <w:left w:val="none" w:sz="0" w:space="0" w:color="auto"/>
              <w:bottom w:val="none" w:sz="0" w:space="0" w:color="auto"/>
              <w:right w:val="none" w:sz="0" w:space="0" w:color="auto"/>
            </w:tcBorders>
          </w:tcPr>
          <w:p w14:paraId="6D12C490" w14:textId="33517EEC"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A84ECB">
              <w:t>-3,846</w:t>
            </w:r>
          </w:p>
        </w:tc>
        <w:tc>
          <w:tcPr>
            <w:tcW w:w="640" w:type="pct"/>
            <w:tcBorders>
              <w:top w:val="none" w:sz="0" w:space="0" w:color="auto"/>
              <w:left w:val="none" w:sz="0" w:space="0" w:color="auto"/>
              <w:bottom w:val="none" w:sz="0" w:space="0" w:color="auto"/>
              <w:right w:val="none" w:sz="0" w:space="0" w:color="auto"/>
            </w:tcBorders>
          </w:tcPr>
          <w:p w14:paraId="040BB69C" w14:textId="7898BA97"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DD00F5">
              <w:t>N/A</w:t>
            </w:r>
          </w:p>
        </w:tc>
        <w:tc>
          <w:tcPr>
            <w:tcW w:w="755" w:type="pct"/>
            <w:tcBorders>
              <w:top w:val="none" w:sz="0" w:space="0" w:color="auto"/>
              <w:left w:val="none" w:sz="0" w:space="0" w:color="auto"/>
              <w:bottom w:val="none" w:sz="0" w:space="0" w:color="auto"/>
              <w:right w:val="none" w:sz="0" w:space="0" w:color="auto"/>
            </w:tcBorders>
          </w:tcPr>
          <w:p w14:paraId="2B8F061A" w14:textId="3C687FB0" w:rsidR="006F0CAA" w:rsidRPr="00B65C7C" w:rsidRDefault="006F0CAA" w:rsidP="00CE6F4F">
            <w:pPr>
              <w:jc w:val="right"/>
              <w:cnfStyle w:val="000000010000" w:firstRow="0" w:lastRow="0" w:firstColumn="0" w:lastColumn="0" w:oddVBand="0" w:evenVBand="0" w:oddHBand="0" w:evenHBand="1" w:firstRowFirstColumn="0" w:firstRowLastColumn="0" w:lastRowFirstColumn="0" w:lastRowLastColumn="0"/>
            </w:pPr>
            <w:r>
              <w:t>N/A</w:t>
            </w:r>
          </w:p>
        </w:tc>
        <w:tc>
          <w:tcPr>
            <w:tcW w:w="754" w:type="pct"/>
            <w:tcBorders>
              <w:top w:val="none" w:sz="0" w:space="0" w:color="auto"/>
              <w:left w:val="none" w:sz="0" w:space="0" w:color="auto"/>
              <w:bottom w:val="none" w:sz="0" w:space="0" w:color="auto"/>
              <w:right w:val="none" w:sz="0" w:space="0" w:color="auto"/>
            </w:tcBorders>
          </w:tcPr>
          <w:p w14:paraId="7F9C65B7" w14:textId="25438D43" w:rsidR="006F0CAA" w:rsidRDefault="006F0CAA" w:rsidP="00CE6F4F">
            <w:pPr>
              <w:jc w:val="right"/>
              <w:cnfStyle w:val="000000010000" w:firstRow="0" w:lastRow="0" w:firstColumn="0" w:lastColumn="0" w:oddVBand="0" w:evenVBand="0" w:oddHBand="0" w:evenHBand="1" w:firstRowFirstColumn="0" w:firstRowLastColumn="0" w:lastRowFirstColumn="0" w:lastRowLastColumn="0"/>
            </w:pPr>
            <w:r w:rsidRPr="00B65C7C">
              <w:t>N/A</w:t>
            </w:r>
          </w:p>
        </w:tc>
      </w:tr>
      <w:tr w:rsidR="006F0CAA" w14:paraId="395800D6" w14:textId="77777777" w:rsidTr="00CE6F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3" w:type="pct"/>
            <w:tcBorders>
              <w:top w:val="none" w:sz="0" w:space="0" w:color="auto"/>
              <w:left w:val="none" w:sz="0" w:space="0" w:color="auto"/>
              <w:bottom w:val="none" w:sz="0" w:space="0" w:color="auto"/>
              <w:right w:val="none" w:sz="0" w:space="0" w:color="auto"/>
            </w:tcBorders>
          </w:tcPr>
          <w:p w14:paraId="664B147A" w14:textId="77777777" w:rsidR="006F0CAA" w:rsidRPr="007B4B4B" w:rsidRDefault="006F0CAA" w:rsidP="00CE6F4F">
            <w:pPr>
              <w:rPr>
                <w:rFonts w:ascii="Franklin Gothic Medium" w:hAnsi="Franklin Gothic Medium"/>
              </w:rPr>
            </w:pPr>
            <w:r w:rsidRPr="007B4B4B">
              <w:rPr>
                <w:rFonts w:ascii="Franklin Gothic Medium" w:hAnsi="Franklin Gothic Medium"/>
              </w:rPr>
              <w:t>Final Verified Gross Impacts for Cost-Effectiveness</w:t>
            </w:r>
          </w:p>
        </w:tc>
        <w:tc>
          <w:tcPr>
            <w:tcW w:w="738" w:type="pct"/>
            <w:tcBorders>
              <w:top w:val="none" w:sz="0" w:space="0" w:color="auto"/>
              <w:left w:val="none" w:sz="0" w:space="0" w:color="auto"/>
              <w:bottom w:val="none" w:sz="0" w:space="0" w:color="auto"/>
              <w:right w:val="none" w:sz="0" w:space="0" w:color="auto"/>
            </w:tcBorders>
          </w:tcPr>
          <w:p w14:paraId="695D8148" w14:textId="1909B6A4" w:rsidR="006F0CAA" w:rsidRPr="007B4B4B" w:rsidRDefault="006F0CAA"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30,446,680</w:t>
            </w:r>
          </w:p>
        </w:tc>
        <w:tc>
          <w:tcPr>
            <w:tcW w:w="640" w:type="pct"/>
            <w:tcBorders>
              <w:top w:val="none" w:sz="0" w:space="0" w:color="auto"/>
              <w:left w:val="none" w:sz="0" w:space="0" w:color="auto"/>
              <w:bottom w:val="none" w:sz="0" w:space="0" w:color="auto"/>
              <w:right w:val="none" w:sz="0" w:space="0" w:color="auto"/>
            </w:tcBorders>
          </w:tcPr>
          <w:p w14:paraId="433595C0" w14:textId="75BE53D0" w:rsidR="006F0CAA" w:rsidRPr="007B4B4B" w:rsidRDefault="006F0CAA"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-302,195</w:t>
            </w:r>
          </w:p>
        </w:tc>
        <w:tc>
          <w:tcPr>
            <w:tcW w:w="755" w:type="pct"/>
            <w:tcBorders>
              <w:top w:val="none" w:sz="0" w:space="0" w:color="auto"/>
              <w:left w:val="none" w:sz="0" w:space="0" w:color="auto"/>
              <w:bottom w:val="none" w:sz="0" w:space="0" w:color="auto"/>
              <w:right w:val="none" w:sz="0" w:space="0" w:color="auto"/>
            </w:tcBorders>
          </w:tcPr>
          <w:p w14:paraId="305805AB" w14:textId="4BC0A1A4" w:rsidR="006F0CAA" w:rsidRPr="007B4B4B" w:rsidRDefault="006F0CAA"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N/A</w:t>
            </w:r>
          </w:p>
        </w:tc>
        <w:tc>
          <w:tcPr>
            <w:tcW w:w="754" w:type="pct"/>
            <w:tcBorders>
              <w:top w:val="none" w:sz="0" w:space="0" w:color="auto"/>
              <w:left w:val="none" w:sz="0" w:space="0" w:color="auto"/>
              <w:bottom w:val="none" w:sz="0" w:space="0" w:color="auto"/>
              <w:right w:val="none" w:sz="0" w:space="0" w:color="auto"/>
            </w:tcBorders>
          </w:tcPr>
          <w:p w14:paraId="4ABFC0E5" w14:textId="28E9E738" w:rsidR="006F0CAA" w:rsidRPr="007B4B4B" w:rsidRDefault="006F0CAA" w:rsidP="00CE6F4F">
            <w:pPr>
              <w:jc w:val="right"/>
              <w:cnfStyle w:val="000000100000" w:firstRow="0" w:lastRow="0" w:firstColumn="0" w:lastColumn="0" w:oddVBand="0" w:evenVBand="0" w:oddHBand="1" w:evenHBand="0" w:firstRowFirstColumn="0" w:firstRowLastColumn="0" w:lastRowFirstColumn="0" w:lastRowLastColumn="0"/>
              <w:rPr>
                <w:rFonts w:ascii="Franklin Gothic Medium" w:hAnsi="Franklin Gothic Medium"/>
              </w:rPr>
            </w:pPr>
            <w:r w:rsidRPr="007B4B4B">
              <w:rPr>
                <w:rFonts w:ascii="Franklin Gothic Medium" w:hAnsi="Franklin Gothic Medium"/>
              </w:rPr>
              <w:t>931,092</w:t>
            </w:r>
          </w:p>
        </w:tc>
      </w:tr>
    </w:tbl>
    <w:p w14:paraId="6820E85D" w14:textId="66808179" w:rsidR="00162705" w:rsidRDefault="00162705" w:rsidP="00881B1B">
      <w:pPr>
        <w:pStyle w:val="Source"/>
      </w:pPr>
      <w:r>
        <w:t xml:space="preserve">Note: All electric demand savings used in cost-effectiveness testing align with those presented in Section </w:t>
      </w:r>
      <w:r w:rsidR="00A85972">
        <w:fldChar w:fldCharType="begin"/>
      </w:r>
      <w:r w:rsidR="00A85972">
        <w:instrText xml:space="preserve"> REF _Ref187077120 \n \h </w:instrText>
      </w:r>
      <w:r w:rsidR="00A85972">
        <w:fldChar w:fldCharType="separate"/>
      </w:r>
      <w:r w:rsidR="00AA10F4">
        <w:t>3</w:t>
      </w:r>
      <w:r w:rsidR="00A85972">
        <w:fldChar w:fldCharType="end"/>
      </w:r>
      <w:r>
        <w:t>.</w:t>
      </w:r>
    </w:p>
    <w:p w14:paraId="15443054" w14:textId="77777777" w:rsidR="009136D2" w:rsidRPr="00207E2E" w:rsidRDefault="009136D2" w:rsidP="006F62E4"/>
    <w:p w14:paraId="001A9869" w14:textId="77777777" w:rsidR="007A6036" w:rsidRDefault="007A6036" w:rsidP="00610569">
      <w:pPr>
        <w:pStyle w:val="Alpha"/>
        <w:numPr>
          <w:ilvl w:val="0"/>
          <w:numId w:val="0"/>
        </w:numPr>
        <w:sectPr w:rsidR="007A6036" w:rsidSect="00B45EFD">
          <w:pgSz w:w="12240" w:h="15840" w:code="1"/>
          <w:pgMar w:top="567" w:right="567" w:bottom="567" w:left="567" w:header="567" w:footer="340" w:gutter="0"/>
          <w:cols w:space="708"/>
          <w:docGrid w:linePitch="360"/>
        </w:sectPr>
      </w:pPr>
      <w:bookmarkStart w:id="560" w:name="_Ref187402949"/>
    </w:p>
    <w:p w14:paraId="7522195C" w14:textId="338AB1D1" w:rsidR="008616E9" w:rsidRDefault="007A6036" w:rsidP="008616E9">
      <w:pPr>
        <w:pStyle w:val="Alpha"/>
      </w:pPr>
      <w:bookmarkStart w:id="561" w:name="_Ref188004720"/>
      <w:bookmarkStart w:id="562" w:name="_Toc191992513"/>
      <w:bookmarkStart w:id="563" w:name="_Toc192766926"/>
      <w:r>
        <w:lastRenderedPageBreak/>
        <w:t>Cumulative Persisting Annual Savings</w:t>
      </w:r>
      <w:bookmarkEnd w:id="561"/>
      <w:bookmarkEnd w:id="562"/>
      <w:bookmarkEnd w:id="563"/>
    </w:p>
    <w:p w14:paraId="54EDECB4" w14:textId="5487187D" w:rsidR="007A6036" w:rsidRDefault="007A6036" w:rsidP="007A6036">
      <w:r>
        <w:t>This appendix presents detailed CPAS for the Business Program initiatives and channels. Due to many years of CPAS, tables are challenging to read; please reference the separately provided CPAS spreadsheet for additional details as needed.</w:t>
      </w:r>
    </w:p>
    <w:p w14:paraId="78B5F78F" w14:textId="6ACCB886" w:rsidR="007A6036" w:rsidRDefault="007A6036" w:rsidP="007A6036">
      <w:r>
        <w:fldChar w:fldCharType="begin"/>
      </w:r>
      <w:r>
        <w:instrText xml:space="preserve"> REF _Ref187411030 \h </w:instrText>
      </w:r>
      <w:r>
        <w:fldChar w:fldCharType="separate"/>
      </w:r>
      <w:r w:rsidR="00AA10F4">
        <w:t xml:space="preserve">Table </w:t>
      </w:r>
      <w:r w:rsidR="00AA10F4">
        <w:rPr>
          <w:noProof/>
        </w:rPr>
        <w:t>122</w:t>
      </w:r>
      <w:r>
        <w:fldChar w:fldCharType="end"/>
      </w:r>
      <w:r>
        <w:t xml:space="preserve"> provides CPAS for the 2024 Business Program through 20</w:t>
      </w:r>
      <w:r w:rsidR="00E572FE">
        <w:t>75</w:t>
      </w:r>
      <w:r>
        <w:t xml:space="preserve"> at the initiative level. Lifetime savings for the 2024 Business Program through 20</w:t>
      </w:r>
      <w:r w:rsidR="00E572FE">
        <w:t xml:space="preserve">75 </w:t>
      </w:r>
      <w:r>
        <w:t xml:space="preserve">are </w:t>
      </w:r>
      <w:r w:rsidR="00E572FE">
        <w:t>2,517,077</w:t>
      </w:r>
      <w:r>
        <w:t xml:space="preserve"> MW</w:t>
      </w:r>
      <w:r w:rsidR="00A16B63">
        <w:t>h</w:t>
      </w:r>
      <w:r>
        <w:t>.</w:t>
      </w:r>
    </w:p>
    <w:p w14:paraId="38AD2AFE" w14:textId="6AC13976" w:rsidR="007A6036" w:rsidRDefault="007A6036" w:rsidP="00881B1B">
      <w:pPr>
        <w:pStyle w:val="Caption"/>
      </w:pPr>
      <w:bookmarkStart w:id="564" w:name="_Ref187411030"/>
      <w:bookmarkStart w:id="565" w:name="_Toc191992640"/>
      <w:bookmarkStart w:id="566" w:name="_Toc192767056"/>
      <w:r>
        <w:t xml:space="preserve">Table </w:t>
      </w:r>
      <w:r w:rsidR="009B4C9A">
        <w:fldChar w:fldCharType="begin"/>
      </w:r>
      <w:r w:rsidR="009B4C9A">
        <w:instrText xml:space="preserve"> SEQ Table \* ARABIC </w:instrText>
      </w:r>
      <w:r w:rsidR="009B4C9A">
        <w:fldChar w:fldCharType="separate"/>
      </w:r>
      <w:r w:rsidR="00AA10F4">
        <w:rPr>
          <w:noProof/>
        </w:rPr>
        <w:t>122</w:t>
      </w:r>
      <w:r w:rsidR="009B4C9A">
        <w:rPr>
          <w:noProof/>
        </w:rPr>
        <w:fldChar w:fldCharType="end"/>
      </w:r>
      <w:bookmarkEnd w:id="564"/>
      <w:r>
        <w:t>. 2024 Business Program CPAS and WAML</w:t>
      </w:r>
      <w:bookmarkEnd w:id="565"/>
      <w:bookmarkEnd w:id="566"/>
    </w:p>
    <w:p w14:paraId="6328B8A3" w14:textId="7B42D7FF" w:rsidR="00E572FE" w:rsidRDefault="00E572FE" w:rsidP="00E572FE">
      <w:pPr>
        <w:pStyle w:val="Caption"/>
        <w:keepNext w:val="0"/>
        <w:keepLines w:val="0"/>
      </w:pPr>
      <w:r>
        <w:rPr>
          <w:noProof/>
        </w:rPr>
        <w:drawing>
          <wp:inline distT="0" distB="0" distL="0" distR="0" wp14:anchorId="4E654AF2" wp14:editId="47B95A9A">
            <wp:extent cx="9344660" cy="2773680"/>
            <wp:effectExtent l="0" t="0" r="8890" b="7620"/>
            <wp:docPr id="2" name="Picture 1">
              <a:extLst xmlns:a="http://schemas.openxmlformats.org/drawingml/2006/main">
                <a:ext uri="{FF2B5EF4-FFF2-40B4-BE49-F238E27FC236}">
                  <a16:creationId xmlns:a16="http://schemas.microsoft.com/office/drawing/2014/main" id="{C2AF6CC3-FDBF-5DEB-11DA-A230E269BA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2AF6CC3-FDBF-5DEB-11DA-A230E269BAC9}"/>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344660" cy="2773680"/>
                    </a:xfrm>
                    <a:prstGeom prst="rect">
                      <a:avLst/>
                    </a:prstGeom>
                    <a:noFill/>
                  </pic:spPr>
                </pic:pic>
              </a:graphicData>
            </a:graphic>
          </wp:inline>
        </w:drawing>
      </w:r>
    </w:p>
    <w:p w14:paraId="7933F992" w14:textId="61FE4A55" w:rsidR="007A6036" w:rsidRDefault="007A6036" w:rsidP="00E572FE">
      <w:pPr>
        <w:pStyle w:val="AppendixBeta"/>
      </w:pPr>
      <w:bookmarkStart w:id="567" w:name="_Toc191992514"/>
      <w:bookmarkStart w:id="568" w:name="_Toc192766927"/>
      <w:r>
        <w:lastRenderedPageBreak/>
        <w:t>Standard Initiative</w:t>
      </w:r>
      <w:bookmarkEnd w:id="567"/>
      <w:bookmarkEnd w:id="568"/>
    </w:p>
    <w:p w14:paraId="0F148FC7" w14:textId="39E47070" w:rsidR="007A6036" w:rsidRDefault="007A6036" w:rsidP="00E572FE">
      <w:pPr>
        <w:keepNext/>
        <w:keepLines/>
      </w:pPr>
      <w:r>
        <w:fldChar w:fldCharType="begin"/>
      </w:r>
      <w:r>
        <w:instrText xml:space="preserve"> REF _Ref187411206 \h </w:instrText>
      </w:r>
      <w:r>
        <w:fldChar w:fldCharType="separate"/>
      </w:r>
      <w:r w:rsidR="00AA10F4">
        <w:t xml:space="preserve">Table </w:t>
      </w:r>
      <w:r w:rsidR="00AA10F4">
        <w:rPr>
          <w:noProof/>
        </w:rPr>
        <w:t>123</w:t>
      </w:r>
      <w:r>
        <w:fldChar w:fldCharType="end"/>
      </w:r>
      <w:r>
        <w:t xml:space="preserve"> provides CPAS for the 2024 Standard Initiative through 20</w:t>
      </w:r>
      <w:r w:rsidR="00E572FE">
        <w:t>51</w:t>
      </w:r>
      <w:r>
        <w:t xml:space="preserve">. Lifetime savings for the Initiative are </w:t>
      </w:r>
      <w:r w:rsidR="00E572FE">
        <w:t xml:space="preserve">762,560 </w:t>
      </w:r>
      <w:r>
        <w:t>MW</w:t>
      </w:r>
      <w:r w:rsidR="00A16B63">
        <w:t>h.</w:t>
      </w:r>
    </w:p>
    <w:p w14:paraId="55E06792" w14:textId="5BB626AB" w:rsidR="007A6036" w:rsidRDefault="007A6036" w:rsidP="00881B1B">
      <w:pPr>
        <w:pStyle w:val="Caption"/>
      </w:pPr>
      <w:bookmarkStart w:id="569" w:name="_Ref187411206"/>
      <w:bookmarkStart w:id="570" w:name="_Toc191992641"/>
      <w:bookmarkStart w:id="571" w:name="_Toc192767057"/>
      <w:r>
        <w:t xml:space="preserve">Table </w:t>
      </w:r>
      <w:r w:rsidR="009B4C9A">
        <w:fldChar w:fldCharType="begin"/>
      </w:r>
      <w:r w:rsidR="009B4C9A">
        <w:instrText xml:space="preserve"> SEQ Table \* ARABIC </w:instrText>
      </w:r>
      <w:r w:rsidR="009B4C9A">
        <w:fldChar w:fldCharType="separate"/>
      </w:r>
      <w:r w:rsidR="00AA10F4">
        <w:rPr>
          <w:noProof/>
        </w:rPr>
        <w:t>123</w:t>
      </w:r>
      <w:r w:rsidR="009B4C9A">
        <w:rPr>
          <w:noProof/>
        </w:rPr>
        <w:fldChar w:fldCharType="end"/>
      </w:r>
      <w:bookmarkEnd w:id="569"/>
      <w:r>
        <w:t>. 2024 Standard Initiative Program CPAS and WAML</w:t>
      </w:r>
      <w:bookmarkEnd w:id="570"/>
      <w:bookmarkEnd w:id="571"/>
    </w:p>
    <w:p w14:paraId="1D50EBD3" w14:textId="46F4F1A7" w:rsidR="00E572FE" w:rsidRDefault="00E572FE" w:rsidP="00E572FE">
      <w:pPr>
        <w:pStyle w:val="Caption"/>
        <w:keepNext w:val="0"/>
        <w:keepLines w:val="0"/>
      </w:pPr>
      <w:r>
        <w:rPr>
          <w:noProof/>
        </w:rPr>
        <w:drawing>
          <wp:inline distT="0" distB="0" distL="0" distR="0" wp14:anchorId="3DE764F7" wp14:editId="6479BE98">
            <wp:extent cx="9344660" cy="3584575"/>
            <wp:effectExtent l="0" t="0" r="8890" b="0"/>
            <wp:docPr id="1897000138" name="Picture 1">
              <a:extLst xmlns:a="http://schemas.openxmlformats.org/drawingml/2006/main">
                <a:ext uri="{FF2B5EF4-FFF2-40B4-BE49-F238E27FC236}">
                  <a16:creationId xmlns:a16="http://schemas.microsoft.com/office/drawing/2014/main" id="{EDC6958E-03BC-5FA9-497E-9004C44D7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EDC6958E-03BC-5FA9-497E-9004C44D7564}"/>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44660" cy="3584575"/>
                    </a:xfrm>
                    <a:prstGeom prst="rect">
                      <a:avLst/>
                    </a:prstGeom>
                    <a:noFill/>
                  </pic:spPr>
                </pic:pic>
              </a:graphicData>
            </a:graphic>
          </wp:inline>
        </w:drawing>
      </w:r>
    </w:p>
    <w:p w14:paraId="67101F2E" w14:textId="4F408719" w:rsidR="007A6036" w:rsidRDefault="007A6036" w:rsidP="00E572FE">
      <w:pPr>
        <w:pStyle w:val="AppendixBeta"/>
      </w:pPr>
      <w:bookmarkStart w:id="572" w:name="_Toc191992515"/>
      <w:bookmarkStart w:id="573" w:name="_Toc192766928"/>
      <w:r>
        <w:lastRenderedPageBreak/>
        <w:t>Custom Initiative</w:t>
      </w:r>
      <w:bookmarkEnd w:id="572"/>
      <w:bookmarkEnd w:id="573"/>
    </w:p>
    <w:p w14:paraId="4801A1DB" w14:textId="6CADDE75" w:rsidR="007A6036" w:rsidRDefault="00721065" w:rsidP="00E572FE">
      <w:pPr>
        <w:keepNext/>
        <w:keepLines/>
      </w:pPr>
      <w:r>
        <w:fldChar w:fldCharType="begin"/>
      </w:r>
      <w:r>
        <w:instrText xml:space="preserve"> REF _Ref187411536 \h </w:instrText>
      </w:r>
      <w:r>
        <w:fldChar w:fldCharType="separate"/>
      </w:r>
      <w:r w:rsidR="00AA10F4">
        <w:t xml:space="preserve">Table </w:t>
      </w:r>
      <w:r w:rsidR="00AA10F4">
        <w:rPr>
          <w:noProof/>
        </w:rPr>
        <w:t>124</w:t>
      </w:r>
      <w:r>
        <w:fldChar w:fldCharType="end"/>
      </w:r>
      <w:r w:rsidR="007A6036">
        <w:t xml:space="preserve"> provides CPAS for the 2024 </w:t>
      </w:r>
      <w:r w:rsidR="00076D6D">
        <w:t>Custom</w:t>
      </w:r>
      <w:r w:rsidR="007A6036">
        <w:t xml:space="preserve"> Initiative through 20</w:t>
      </w:r>
      <w:r w:rsidR="00AE7D30">
        <w:t>75</w:t>
      </w:r>
      <w:r w:rsidR="007A6036">
        <w:t xml:space="preserve">. Lifetime savings for the Initiative are </w:t>
      </w:r>
      <w:r w:rsidR="00E572FE">
        <w:t>551,481</w:t>
      </w:r>
      <w:r w:rsidR="007A6036">
        <w:t xml:space="preserve"> MW</w:t>
      </w:r>
      <w:r w:rsidR="00A16B63">
        <w:t>h.</w:t>
      </w:r>
    </w:p>
    <w:p w14:paraId="65812CAF" w14:textId="4168C5A4" w:rsidR="007A6036" w:rsidRDefault="007A6036" w:rsidP="00881B1B">
      <w:pPr>
        <w:pStyle w:val="Caption"/>
      </w:pPr>
      <w:bookmarkStart w:id="574" w:name="_Ref187411536"/>
      <w:bookmarkStart w:id="575" w:name="_Toc191992642"/>
      <w:bookmarkStart w:id="576" w:name="_Toc192767058"/>
      <w:r>
        <w:t xml:space="preserve">Table </w:t>
      </w:r>
      <w:r w:rsidR="009B4C9A">
        <w:fldChar w:fldCharType="begin"/>
      </w:r>
      <w:r w:rsidR="009B4C9A">
        <w:instrText xml:space="preserve"> SEQ Table \* ARABIC </w:instrText>
      </w:r>
      <w:r w:rsidR="009B4C9A">
        <w:fldChar w:fldCharType="separate"/>
      </w:r>
      <w:r w:rsidR="00AA10F4">
        <w:rPr>
          <w:noProof/>
        </w:rPr>
        <w:t>124</w:t>
      </w:r>
      <w:r w:rsidR="009B4C9A">
        <w:rPr>
          <w:noProof/>
        </w:rPr>
        <w:fldChar w:fldCharType="end"/>
      </w:r>
      <w:bookmarkEnd w:id="574"/>
      <w:r>
        <w:t>. 2024 Custom Initiative Program CPAS and WAML</w:t>
      </w:r>
      <w:bookmarkEnd w:id="575"/>
      <w:bookmarkEnd w:id="576"/>
    </w:p>
    <w:p w14:paraId="42D6AFC9" w14:textId="568E0792" w:rsidR="00E572FE" w:rsidRDefault="00E572FE" w:rsidP="004F4A2A">
      <w:pPr>
        <w:pStyle w:val="Caption"/>
        <w:keepNext w:val="0"/>
        <w:keepLines w:val="0"/>
      </w:pPr>
      <w:r>
        <w:rPr>
          <w:noProof/>
        </w:rPr>
        <w:drawing>
          <wp:inline distT="0" distB="0" distL="0" distR="0" wp14:anchorId="21C56127" wp14:editId="7DEB30B6">
            <wp:extent cx="9344660" cy="1881505"/>
            <wp:effectExtent l="0" t="0" r="8890" b="4445"/>
            <wp:docPr id="973185743" name="Picture 1">
              <a:extLst xmlns:a="http://schemas.openxmlformats.org/drawingml/2006/main">
                <a:ext uri="{FF2B5EF4-FFF2-40B4-BE49-F238E27FC236}">
                  <a16:creationId xmlns:a16="http://schemas.microsoft.com/office/drawing/2014/main" id="{30C24943-6DDE-0D51-32E8-C3F58FFBE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30C24943-6DDE-0D51-32E8-C3F58FFBE67E}"/>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344660" cy="1881505"/>
                    </a:xfrm>
                    <a:prstGeom prst="rect">
                      <a:avLst/>
                    </a:prstGeom>
                    <a:noFill/>
                  </pic:spPr>
                </pic:pic>
              </a:graphicData>
            </a:graphic>
          </wp:inline>
        </w:drawing>
      </w:r>
    </w:p>
    <w:p w14:paraId="67EC8E3F" w14:textId="04A50D84" w:rsidR="00721065" w:rsidRDefault="00721065" w:rsidP="004F4A2A">
      <w:pPr>
        <w:pStyle w:val="AppendixBeta"/>
      </w:pPr>
      <w:bookmarkStart w:id="577" w:name="_Toc191992516"/>
      <w:bookmarkStart w:id="578" w:name="_Toc192766929"/>
      <w:r>
        <w:t>Retro-Commissioning Initiative</w:t>
      </w:r>
      <w:bookmarkEnd w:id="577"/>
      <w:bookmarkEnd w:id="578"/>
    </w:p>
    <w:p w14:paraId="5F5319AF" w14:textId="35DC2C13" w:rsidR="00721065" w:rsidRDefault="00721065" w:rsidP="004F4A2A">
      <w:pPr>
        <w:keepNext/>
        <w:keepLines/>
      </w:pPr>
      <w:r>
        <w:fldChar w:fldCharType="begin"/>
      </w:r>
      <w:r>
        <w:instrText xml:space="preserve"> REF _Ref187411588 \h </w:instrText>
      </w:r>
      <w:r>
        <w:fldChar w:fldCharType="separate"/>
      </w:r>
      <w:r w:rsidR="00AA10F4">
        <w:t xml:space="preserve">Table </w:t>
      </w:r>
      <w:r w:rsidR="00AA10F4">
        <w:rPr>
          <w:noProof/>
        </w:rPr>
        <w:t>125</w:t>
      </w:r>
      <w:r>
        <w:fldChar w:fldCharType="end"/>
      </w:r>
      <w:r>
        <w:t xml:space="preserve"> provides CPAS for the 2024 </w:t>
      </w:r>
      <w:r w:rsidR="00076D6D">
        <w:t>Retro-Commissioning</w:t>
      </w:r>
      <w:r>
        <w:t xml:space="preserve"> Initiative through 20</w:t>
      </w:r>
      <w:r w:rsidR="00E572FE">
        <w:t>32</w:t>
      </w:r>
      <w:r>
        <w:t xml:space="preserve">. Lifetime savings for the Initiative are </w:t>
      </w:r>
      <w:r w:rsidR="00E572FE">
        <w:t>54,581</w:t>
      </w:r>
      <w:r>
        <w:t xml:space="preserve"> MW</w:t>
      </w:r>
      <w:r w:rsidR="00A16B63">
        <w:t>h.</w:t>
      </w:r>
    </w:p>
    <w:p w14:paraId="76D270F6" w14:textId="7ED2CB23" w:rsidR="00721065" w:rsidRDefault="00721065" w:rsidP="00881B1B">
      <w:pPr>
        <w:pStyle w:val="Caption"/>
      </w:pPr>
      <w:bookmarkStart w:id="579" w:name="_Ref187411588"/>
      <w:bookmarkStart w:id="580" w:name="_Toc191992643"/>
      <w:bookmarkStart w:id="581" w:name="_Toc192767059"/>
      <w:r>
        <w:t xml:space="preserve">Table </w:t>
      </w:r>
      <w:r w:rsidR="009B4C9A">
        <w:fldChar w:fldCharType="begin"/>
      </w:r>
      <w:r w:rsidR="009B4C9A">
        <w:instrText xml:space="preserve"> SEQ Table \* ARABIC </w:instrText>
      </w:r>
      <w:r w:rsidR="009B4C9A">
        <w:fldChar w:fldCharType="separate"/>
      </w:r>
      <w:r w:rsidR="00AA10F4">
        <w:rPr>
          <w:noProof/>
        </w:rPr>
        <w:t>125</w:t>
      </w:r>
      <w:r w:rsidR="009B4C9A">
        <w:rPr>
          <w:noProof/>
        </w:rPr>
        <w:fldChar w:fldCharType="end"/>
      </w:r>
      <w:bookmarkEnd w:id="579"/>
      <w:r>
        <w:t>. 2024 Retro-Commissioning Initiative Program CPAS and WAML</w:t>
      </w:r>
      <w:bookmarkEnd w:id="580"/>
      <w:bookmarkEnd w:id="581"/>
    </w:p>
    <w:p w14:paraId="7442CED1" w14:textId="35717A55" w:rsidR="00E572FE" w:rsidRDefault="00E572FE" w:rsidP="00AE7D30">
      <w:pPr>
        <w:pStyle w:val="Caption"/>
        <w:keepNext w:val="0"/>
        <w:keepLines w:val="0"/>
      </w:pPr>
      <w:r>
        <w:rPr>
          <w:noProof/>
        </w:rPr>
        <w:drawing>
          <wp:inline distT="0" distB="0" distL="0" distR="0" wp14:anchorId="5D6EED83" wp14:editId="43525A6C">
            <wp:extent cx="9345168" cy="2160075"/>
            <wp:effectExtent l="0" t="0" r="0" b="0"/>
            <wp:docPr id="944091312" name="Picture 1">
              <a:extLst xmlns:a="http://schemas.openxmlformats.org/drawingml/2006/main">
                <a:ext uri="{FF2B5EF4-FFF2-40B4-BE49-F238E27FC236}">
                  <a16:creationId xmlns:a16="http://schemas.microsoft.com/office/drawing/2014/main" id="{BAECD586-7AD2-DE58-E97F-A12B3A30F6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BAECD586-7AD2-DE58-E97F-A12B3A30F638}"/>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45168" cy="2160075"/>
                    </a:xfrm>
                    <a:prstGeom prst="rect">
                      <a:avLst/>
                    </a:prstGeom>
                    <a:noFill/>
                  </pic:spPr>
                </pic:pic>
              </a:graphicData>
            </a:graphic>
          </wp:inline>
        </w:drawing>
      </w:r>
    </w:p>
    <w:p w14:paraId="0076703B" w14:textId="00195721" w:rsidR="00721065" w:rsidRDefault="00721065" w:rsidP="00721065">
      <w:pPr>
        <w:pStyle w:val="AppendixBeta"/>
      </w:pPr>
      <w:bookmarkStart w:id="582" w:name="_Toc191992517"/>
      <w:bookmarkStart w:id="583" w:name="_Toc192766930"/>
      <w:r>
        <w:lastRenderedPageBreak/>
        <w:t>Streetlighting Initiative</w:t>
      </w:r>
      <w:bookmarkEnd w:id="582"/>
      <w:bookmarkEnd w:id="583"/>
    </w:p>
    <w:p w14:paraId="26FA6246" w14:textId="1286A3C7" w:rsidR="00721065" w:rsidRDefault="00721065" w:rsidP="00721065">
      <w:r>
        <w:fldChar w:fldCharType="begin"/>
      </w:r>
      <w:r>
        <w:instrText xml:space="preserve"> REF _Ref187411699 \h </w:instrText>
      </w:r>
      <w:r>
        <w:fldChar w:fldCharType="separate"/>
      </w:r>
      <w:r w:rsidR="00AA10F4">
        <w:t xml:space="preserve">Table </w:t>
      </w:r>
      <w:r w:rsidR="00AA10F4">
        <w:rPr>
          <w:noProof/>
        </w:rPr>
        <w:t>126</w:t>
      </w:r>
      <w:r>
        <w:fldChar w:fldCharType="end"/>
      </w:r>
      <w:r>
        <w:t xml:space="preserve"> provides CPAS for the 2024 </w:t>
      </w:r>
      <w:r w:rsidR="00076D6D">
        <w:t>Streetlighting</w:t>
      </w:r>
      <w:r>
        <w:t xml:space="preserve"> Initiative through 20</w:t>
      </w:r>
      <w:r w:rsidR="004F4A2A">
        <w:t>45</w:t>
      </w:r>
      <w:r>
        <w:t xml:space="preserve">. Lifetime savings for the Initiative are </w:t>
      </w:r>
      <w:r w:rsidR="004F4A2A">
        <w:t>239,121</w:t>
      </w:r>
      <w:r>
        <w:t xml:space="preserve"> MW</w:t>
      </w:r>
      <w:r w:rsidR="00A16B63">
        <w:t>h.</w:t>
      </w:r>
    </w:p>
    <w:p w14:paraId="402FBE75" w14:textId="3749B9F1" w:rsidR="00721065" w:rsidRDefault="00721065" w:rsidP="00881B1B">
      <w:pPr>
        <w:pStyle w:val="Caption"/>
      </w:pPr>
      <w:bookmarkStart w:id="584" w:name="_Ref187411699"/>
      <w:bookmarkStart w:id="585" w:name="_Toc191992644"/>
      <w:bookmarkStart w:id="586" w:name="_Toc192767060"/>
      <w:r>
        <w:t xml:space="preserve">Table </w:t>
      </w:r>
      <w:r w:rsidR="009B4C9A">
        <w:fldChar w:fldCharType="begin"/>
      </w:r>
      <w:r w:rsidR="009B4C9A">
        <w:instrText xml:space="preserve"> SEQ Table \* ARABIC </w:instrText>
      </w:r>
      <w:r w:rsidR="009B4C9A">
        <w:fldChar w:fldCharType="separate"/>
      </w:r>
      <w:r w:rsidR="00AA10F4">
        <w:rPr>
          <w:noProof/>
        </w:rPr>
        <w:t>126</w:t>
      </w:r>
      <w:r w:rsidR="009B4C9A">
        <w:rPr>
          <w:noProof/>
        </w:rPr>
        <w:fldChar w:fldCharType="end"/>
      </w:r>
      <w:bookmarkEnd w:id="584"/>
      <w:r>
        <w:t>. 2024 Streetlighting Initiative Program CPAS and WAML</w:t>
      </w:r>
      <w:bookmarkEnd w:id="585"/>
      <w:bookmarkEnd w:id="586"/>
    </w:p>
    <w:p w14:paraId="61B57253" w14:textId="57D3D1DF" w:rsidR="004F4A2A" w:rsidRDefault="004F4A2A" w:rsidP="00AE7D30">
      <w:pPr>
        <w:pStyle w:val="Caption"/>
        <w:keepNext w:val="0"/>
        <w:keepLines w:val="0"/>
      </w:pPr>
      <w:r>
        <w:rPr>
          <w:noProof/>
        </w:rPr>
        <w:drawing>
          <wp:inline distT="0" distB="0" distL="0" distR="0" wp14:anchorId="74272ACE" wp14:editId="669A4B50">
            <wp:extent cx="9344660" cy="1036955"/>
            <wp:effectExtent l="0" t="0" r="8890" b="0"/>
            <wp:docPr id="1681862451" name="Picture 1">
              <a:extLst xmlns:a="http://schemas.openxmlformats.org/drawingml/2006/main">
                <a:ext uri="{FF2B5EF4-FFF2-40B4-BE49-F238E27FC236}">
                  <a16:creationId xmlns:a16="http://schemas.microsoft.com/office/drawing/2014/main" id="{F3ABDC5B-0F2E-7DF8-E9CB-F0583D6407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3ABDC5B-0F2E-7DF8-E9CB-F0583D640726}"/>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44660" cy="1036955"/>
                    </a:xfrm>
                    <a:prstGeom prst="rect">
                      <a:avLst/>
                    </a:prstGeom>
                    <a:noFill/>
                  </pic:spPr>
                </pic:pic>
              </a:graphicData>
            </a:graphic>
          </wp:inline>
        </w:drawing>
      </w:r>
    </w:p>
    <w:p w14:paraId="1EA1F6F5" w14:textId="7CA05387" w:rsidR="00721065" w:rsidRDefault="00076D6D" w:rsidP="00AE7D30">
      <w:pPr>
        <w:pStyle w:val="AppendixBeta"/>
      </w:pPr>
      <w:bookmarkStart w:id="587" w:name="_Toc191992518"/>
      <w:bookmarkStart w:id="588" w:name="_Toc192766931"/>
      <w:r>
        <w:lastRenderedPageBreak/>
        <w:t>Small Business Initiative</w:t>
      </w:r>
      <w:bookmarkEnd w:id="587"/>
      <w:bookmarkEnd w:id="588"/>
    </w:p>
    <w:p w14:paraId="37FA45B5" w14:textId="4F26F0B1" w:rsidR="00076D6D" w:rsidRDefault="00076D6D" w:rsidP="00AE7D30">
      <w:pPr>
        <w:keepNext/>
        <w:keepLines/>
      </w:pPr>
      <w:r>
        <w:fldChar w:fldCharType="begin"/>
      </w:r>
      <w:r>
        <w:instrText xml:space="preserve"> REF _Ref187411806 \h </w:instrText>
      </w:r>
      <w:r>
        <w:fldChar w:fldCharType="separate"/>
      </w:r>
      <w:r w:rsidR="00AA10F4">
        <w:t xml:space="preserve">Table </w:t>
      </w:r>
      <w:r w:rsidR="00AA10F4">
        <w:rPr>
          <w:noProof/>
        </w:rPr>
        <w:t>127</w:t>
      </w:r>
      <w:r>
        <w:fldChar w:fldCharType="end"/>
      </w:r>
      <w:r>
        <w:t xml:space="preserve"> provides CPAS for the 2024 Small Business Initiative through 20</w:t>
      </w:r>
      <w:r w:rsidR="00AE7D30">
        <w:t>49</w:t>
      </w:r>
      <w:r>
        <w:t xml:space="preserve">. Lifetime savings for the Initiative are </w:t>
      </w:r>
      <w:r w:rsidR="00AE7D30">
        <w:t>422,611</w:t>
      </w:r>
      <w:r>
        <w:t xml:space="preserve"> MW</w:t>
      </w:r>
      <w:r w:rsidR="00A16B63">
        <w:t>h.</w:t>
      </w:r>
    </w:p>
    <w:p w14:paraId="20B8516D" w14:textId="3B4B12AD" w:rsidR="00076D6D" w:rsidRDefault="00076D6D" w:rsidP="00881B1B">
      <w:pPr>
        <w:pStyle w:val="Caption"/>
      </w:pPr>
      <w:bookmarkStart w:id="589" w:name="_Ref187411806"/>
      <w:bookmarkStart w:id="590" w:name="_Toc191992645"/>
      <w:bookmarkStart w:id="591" w:name="_Toc192767061"/>
      <w:r>
        <w:t xml:space="preserve">Table </w:t>
      </w:r>
      <w:r w:rsidR="009B4C9A">
        <w:fldChar w:fldCharType="begin"/>
      </w:r>
      <w:r w:rsidR="009B4C9A">
        <w:instrText xml:space="preserve"> SEQ Table \* ARABIC </w:instrText>
      </w:r>
      <w:r w:rsidR="009B4C9A">
        <w:fldChar w:fldCharType="separate"/>
      </w:r>
      <w:r w:rsidR="00AA10F4">
        <w:rPr>
          <w:noProof/>
        </w:rPr>
        <w:t>127</w:t>
      </w:r>
      <w:r w:rsidR="009B4C9A">
        <w:rPr>
          <w:noProof/>
        </w:rPr>
        <w:fldChar w:fldCharType="end"/>
      </w:r>
      <w:bookmarkEnd w:id="589"/>
      <w:r>
        <w:t>. 2024 Small Business Initiative Program CPAS and WAML</w:t>
      </w:r>
      <w:bookmarkEnd w:id="590"/>
      <w:bookmarkEnd w:id="591"/>
    </w:p>
    <w:p w14:paraId="778ED172" w14:textId="122D273B" w:rsidR="004F4A2A" w:rsidRDefault="004F4A2A" w:rsidP="004F4A2A">
      <w:pPr>
        <w:pStyle w:val="Caption"/>
        <w:keepNext w:val="0"/>
        <w:keepLines w:val="0"/>
      </w:pPr>
      <w:r>
        <w:rPr>
          <w:noProof/>
        </w:rPr>
        <w:drawing>
          <wp:inline distT="0" distB="0" distL="0" distR="0" wp14:anchorId="6946AD37" wp14:editId="42FF8F56">
            <wp:extent cx="9345168" cy="3322069"/>
            <wp:effectExtent l="0" t="0" r="8890" b="0"/>
            <wp:docPr id="3" name="Picture 2">
              <a:extLst xmlns:a="http://schemas.openxmlformats.org/drawingml/2006/main">
                <a:ext uri="{FF2B5EF4-FFF2-40B4-BE49-F238E27FC236}">
                  <a16:creationId xmlns:a16="http://schemas.microsoft.com/office/drawing/2014/main" id="{82E8ECEE-5726-6B59-42B5-8FF007F3E2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2E8ECEE-5726-6B59-42B5-8FF007F3E29F}"/>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45168" cy="3322069"/>
                    </a:xfrm>
                    <a:prstGeom prst="rect">
                      <a:avLst/>
                    </a:prstGeom>
                    <a:noFill/>
                  </pic:spPr>
                </pic:pic>
              </a:graphicData>
            </a:graphic>
          </wp:inline>
        </w:drawing>
      </w:r>
    </w:p>
    <w:p w14:paraId="249ACD94" w14:textId="5252F11D" w:rsidR="00076D6D" w:rsidRDefault="00076D6D" w:rsidP="004F4A2A">
      <w:pPr>
        <w:pStyle w:val="AppendixBeta"/>
      </w:pPr>
      <w:bookmarkStart w:id="592" w:name="_Toc191992519"/>
      <w:bookmarkStart w:id="593" w:name="_Toc192766932"/>
      <w:r>
        <w:lastRenderedPageBreak/>
        <w:t>Midstream Initiative</w:t>
      </w:r>
      <w:bookmarkEnd w:id="592"/>
      <w:bookmarkEnd w:id="593"/>
    </w:p>
    <w:p w14:paraId="71AEA40D" w14:textId="47A22F5D" w:rsidR="00076D6D" w:rsidRDefault="00076D6D" w:rsidP="004F4A2A">
      <w:pPr>
        <w:keepNext/>
        <w:keepLines/>
      </w:pPr>
      <w:r>
        <w:fldChar w:fldCharType="begin"/>
      </w:r>
      <w:r>
        <w:instrText xml:space="preserve"> REF _Ref187411874 \h </w:instrText>
      </w:r>
      <w:r>
        <w:fldChar w:fldCharType="separate"/>
      </w:r>
      <w:r w:rsidR="00AA10F4">
        <w:t xml:space="preserve">Table </w:t>
      </w:r>
      <w:r w:rsidR="00AA10F4">
        <w:rPr>
          <w:noProof/>
        </w:rPr>
        <w:t>128</w:t>
      </w:r>
      <w:r>
        <w:fldChar w:fldCharType="end"/>
      </w:r>
      <w:r>
        <w:t xml:space="preserve"> provides CPAS for the 2024 Midstream Initiative through 20</w:t>
      </w:r>
      <w:r w:rsidR="004F4A2A">
        <w:t>45</w:t>
      </w:r>
      <w:r>
        <w:t xml:space="preserve">. Lifetime savings for the Initiative are </w:t>
      </w:r>
      <w:r w:rsidR="004F4A2A">
        <w:t>439,733</w:t>
      </w:r>
      <w:r>
        <w:t xml:space="preserve"> MW</w:t>
      </w:r>
      <w:r w:rsidR="00A16B63">
        <w:t>h.</w:t>
      </w:r>
    </w:p>
    <w:p w14:paraId="4E2FD4C9" w14:textId="09F02ACD" w:rsidR="00076D6D" w:rsidRDefault="00076D6D" w:rsidP="00881B1B">
      <w:pPr>
        <w:pStyle w:val="Caption"/>
      </w:pPr>
      <w:bookmarkStart w:id="594" w:name="_Ref187411874"/>
      <w:bookmarkStart w:id="595" w:name="_Toc191992646"/>
      <w:bookmarkStart w:id="596" w:name="_Toc192767062"/>
      <w:r>
        <w:t xml:space="preserve">Table </w:t>
      </w:r>
      <w:r w:rsidR="009B4C9A">
        <w:fldChar w:fldCharType="begin"/>
      </w:r>
      <w:r w:rsidR="009B4C9A">
        <w:instrText xml:space="preserve"> SEQ Table \* ARABIC </w:instrText>
      </w:r>
      <w:r w:rsidR="009B4C9A">
        <w:fldChar w:fldCharType="separate"/>
      </w:r>
      <w:r w:rsidR="00AA10F4">
        <w:rPr>
          <w:noProof/>
        </w:rPr>
        <w:t>128</w:t>
      </w:r>
      <w:r w:rsidR="009B4C9A">
        <w:rPr>
          <w:noProof/>
        </w:rPr>
        <w:fldChar w:fldCharType="end"/>
      </w:r>
      <w:bookmarkEnd w:id="594"/>
      <w:r>
        <w:t>. 2024 Midstream Initiative Program CPAS and WAML</w:t>
      </w:r>
      <w:bookmarkEnd w:id="595"/>
      <w:bookmarkEnd w:id="596"/>
    </w:p>
    <w:p w14:paraId="54B29E65" w14:textId="5C01DCF9" w:rsidR="004F4A2A" w:rsidRDefault="004F4A2A" w:rsidP="004F4A2A">
      <w:pPr>
        <w:pStyle w:val="Caption"/>
        <w:keepNext w:val="0"/>
        <w:keepLines w:val="0"/>
      </w:pPr>
      <w:r>
        <w:rPr>
          <w:noProof/>
        </w:rPr>
        <w:drawing>
          <wp:inline distT="0" distB="0" distL="0" distR="0" wp14:anchorId="4E8733AB" wp14:editId="0005E087">
            <wp:extent cx="9344660" cy="3970020"/>
            <wp:effectExtent l="0" t="0" r="8890" b="0"/>
            <wp:docPr id="1051714744" name="Picture 1">
              <a:extLst xmlns:a="http://schemas.openxmlformats.org/drawingml/2006/main">
                <a:ext uri="{FF2B5EF4-FFF2-40B4-BE49-F238E27FC236}">
                  <a16:creationId xmlns:a16="http://schemas.microsoft.com/office/drawing/2014/main" id="{5E1A7B89-761F-59F7-3A92-271328B603A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E1A7B89-761F-59F7-3A92-271328B603A5}"/>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344660" cy="3970020"/>
                    </a:xfrm>
                    <a:prstGeom prst="rect">
                      <a:avLst/>
                    </a:prstGeom>
                    <a:noFill/>
                  </pic:spPr>
                </pic:pic>
              </a:graphicData>
            </a:graphic>
          </wp:inline>
        </w:drawing>
      </w:r>
    </w:p>
    <w:p w14:paraId="17559CFC" w14:textId="3C4606DB" w:rsidR="00721065" w:rsidRDefault="00721065" w:rsidP="00721065">
      <w:pPr>
        <w:sectPr w:rsidR="00721065" w:rsidSect="007A6036">
          <w:pgSz w:w="15840" w:h="12240" w:orient="landscape" w:code="1"/>
          <w:pgMar w:top="562" w:right="562" w:bottom="562" w:left="562" w:header="562" w:footer="346" w:gutter="0"/>
          <w:cols w:space="708"/>
          <w:docGrid w:linePitch="360"/>
        </w:sectPr>
      </w:pPr>
    </w:p>
    <w:p w14:paraId="73E4CBFA" w14:textId="5DCD3249" w:rsidR="007A6036" w:rsidRDefault="00076D6D" w:rsidP="008616E9">
      <w:pPr>
        <w:pStyle w:val="Alpha"/>
      </w:pPr>
      <w:bookmarkStart w:id="597" w:name="_Ref188005478"/>
      <w:bookmarkStart w:id="598" w:name="_Ref188339887"/>
      <w:bookmarkStart w:id="599" w:name="_Toc191992520"/>
      <w:bookmarkStart w:id="600" w:name="_Toc192766933"/>
      <w:r>
        <w:lastRenderedPageBreak/>
        <w:t>Custom Initiative Project Reports</w:t>
      </w:r>
      <w:bookmarkEnd w:id="597"/>
      <w:bookmarkEnd w:id="598"/>
      <w:bookmarkEnd w:id="599"/>
      <w:bookmarkEnd w:id="600"/>
    </w:p>
    <w:p w14:paraId="40D23640" w14:textId="69741610" w:rsidR="007A33CA" w:rsidRDefault="00076D6D" w:rsidP="007A33CA">
      <w:r>
        <w:t>This appendix is provided under a separate cover.</w:t>
      </w:r>
      <w:bookmarkEnd w:id="560"/>
    </w:p>
    <w:p w14:paraId="104146C3" w14:textId="77777777" w:rsidR="007A33CA" w:rsidRDefault="007A33CA" w:rsidP="007A33CA"/>
    <w:p w14:paraId="655F74D6" w14:textId="2C163DE7" w:rsidR="00F949CE" w:rsidRDefault="007B4B4B" w:rsidP="00F949CE">
      <w:pPr>
        <w:pStyle w:val="Alpha"/>
      </w:pPr>
      <w:bookmarkStart w:id="601" w:name="_Ref191657896"/>
      <w:bookmarkStart w:id="602" w:name="_Toc191992521"/>
      <w:bookmarkStart w:id="603" w:name="_Toc192766934"/>
      <w:r>
        <w:lastRenderedPageBreak/>
        <w:t xml:space="preserve">2024 </w:t>
      </w:r>
      <w:r w:rsidR="00A16B63">
        <w:t>LLLC</w:t>
      </w:r>
      <w:r w:rsidR="00F949CE">
        <w:t xml:space="preserve"> </w:t>
      </w:r>
      <w:r w:rsidR="003D2B1D">
        <w:t xml:space="preserve">MT </w:t>
      </w:r>
      <w:r w:rsidR="00F949CE">
        <w:t>Pilot</w:t>
      </w:r>
      <w:bookmarkEnd w:id="601"/>
      <w:bookmarkEnd w:id="602"/>
      <w:r>
        <w:t xml:space="preserve"> Market Progress Evaluation Report</w:t>
      </w:r>
      <w:bookmarkEnd w:id="603"/>
    </w:p>
    <w:p w14:paraId="0AC241AE" w14:textId="590416EB" w:rsidR="00F949CE" w:rsidRDefault="00F949CE" w:rsidP="00F949CE">
      <w:r w:rsidRPr="00F949CE">
        <w:t>This appendix is provided under a separate cover.</w:t>
      </w:r>
    </w:p>
    <w:p w14:paraId="14DE2BB7" w14:textId="77777777" w:rsidR="00F949CE" w:rsidRDefault="00F949CE" w:rsidP="00F949CE"/>
    <w:p w14:paraId="5B77F995" w14:textId="77777777" w:rsidR="00F949CE" w:rsidRPr="007A33CA" w:rsidRDefault="00F949CE" w:rsidP="00F949CE">
      <w:pPr>
        <w:pStyle w:val="Alpha"/>
        <w:numPr>
          <w:ilvl w:val="0"/>
          <w:numId w:val="0"/>
        </w:numPr>
        <w:ind w:left="360" w:hanging="360"/>
        <w:sectPr w:rsidR="00F949CE" w:rsidRPr="007A33CA" w:rsidSect="00B45EFD">
          <w:pgSz w:w="12240" w:h="15840" w:code="1"/>
          <w:pgMar w:top="567" w:right="567" w:bottom="567" w:left="567" w:header="567" w:footer="340" w:gutter="0"/>
          <w:cols w:space="708"/>
          <w:docGrid w:linePitch="360"/>
        </w:sectPr>
      </w:pPr>
    </w:p>
    <w:p w14:paraId="24AEBC25" w14:textId="23C1D919" w:rsidR="00344C23" w:rsidRPr="00344C23" w:rsidRDefault="001B7219" w:rsidP="00344C23">
      <w:r>
        <w:rPr>
          <w:noProof/>
        </w:rPr>
        <w:lastRenderedPageBreak/>
        <mc:AlternateContent>
          <mc:Choice Requires="wps">
            <w:drawing>
              <wp:anchor distT="45720" distB="45720" distL="114300" distR="114300" simplePos="0" relativeHeight="251669504" behindDoc="0" locked="0" layoutInCell="1" allowOverlap="1" wp14:anchorId="5EB259B0" wp14:editId="7B888BC3">
                <wp:simplePos x="0" y="0"/>
                <wp:positionH relativeFrom="margin">
                  <wp:posOffset>2716530</wp:posOffset>
                </wp:positionH>
                <wp:positionV relativeFrom="paragraph">
                  <wp:posOffset>5638800</wp:posOffset>
                </wp:positionV>
                <wp:extent cx="2933700" cy="1466850"/>
                <wp:effectExtent l="0" t="0" r="0" b="0"/>
                <wp:wrapSquare wrapText="bothSides"/>
                <wp:docPr id="193438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66850"/>
                        </a:xfrm>
                        <a:prstGeom prst="rect">
                          <a:avLst/>
                        </a:prstGeom>
                        <a:noFill/>
                        <a:ln w="9525">
                          <a:noFill/>
                          <a:miter lim="800000"/>
                          <a:headEnd/>
                          <a:tailEnd/>
                        </a:ln>
                      </wps:spPr>
                      <wps:txbx>
                        <w:txbxContent>
                          <w:p w14:paraId="6D3BF04F" w14:textId="77777777" w:rsidR="001B7219" w:rsidRDefault="001B7219" w:rsidP="001B7219">
                            <w:pPr>
                              <w:rPr>
                                <w:sz w:val="28"/>
                                <w:szCs w:val="28"/>
                              </w:rPr>
                            </w:pPr>
                          </w:p>
                          <w:p w14:paraId="2F7F06D4" w14:textId="77777777" w:rsidR="001B7219" w:rsidRPr="005C0286" w:rsidRDefault="001B7219" w:rsidP="001B7219">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259B0" id="_x0000_s1027" type="#_x0000_t202" style="position:absolute;margin-left:213.9pt;margin-top:444pt;width:231pt;height:115.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QAT/AEAANUDAAAOAAAAZHJzL2Uyb0RvYy54bWysU11v2yAUfZ+0/4B4X+y4SZpYcaquXadJ&#10;3YfU7QdgjGM04DIgsbNf3wt202h7m+YHdOH6Hu4597C9GbQiR+G8BFPR+SynRBgOjTT7iv74/vBu&#10;TYkPzDRMgREVPQlPb3Zv32x7W4oCOlCNcARBjC97W9EuBFtmmeed0MzPwAqDyRacZgG3bp81jvWI&#10;rlVW5Pkq68E11gEX3uPp/Ziku4TftoKHr23rRSCqothbSKtLax3XbLdl5d4x20k+tcH+oQvNpMFL&#10;z1D3LDBycPIvKC25Aw9tmHHQGbSt5CJxQDbz/A82Tx2zInFBcbw9y+T/Hyz/cnyy3xwJw3sYcICJ&#10;hLePwH96YuCuY2Yvbp2DvhOswYvnUbKst76cSqPUvvQRpO4/Q4NDZocACWhonY6qIE+C6DiA01l0&#10;MQTC8bDYXF1d55jimJsvVqv1Mo0lY+VLuXU+fBSgSQwq6nCqCZ4dH32I7bDy5Zd4m4EHqVSarDKk&#10;r+hmWSxTwUVGy4DGU1JXdJ3Hb7RCZPnBNKk4MKnGGC9QZqIdmY6cw1APRDaTJlGFGpoT6uBg9Bm+&#10;Cww6cL8p6dFjFfW/DswJStQng1pu5otFNGXaLJbXBW7cZaa+zDDDEaqigZIxvAvJyCPlW9S8lUmN&#10;106mltE7SaTJ59Gcl/v01+tr3D0DAAD//wMAUEsDBBQABgAIAAAAIQCOh9Xu3gAAAAwBAAAPAAAA&#10;ZHJzL2Rvd25yZXYueG1sTI/BTsMwDIbvSLxDZCRuLOk0IC1NJwTiCmLApN2yxmsrGqdqsrW8PebE&#10;jrY//f7+cj37XpxwjF0gA9lCgUCqg+uoMfD58XKjQcRkydk+EBr4wQjr6vKitIULE73jaZMawSEU&#10;C2ugTWkopIx1i97GRRiQ+HYIo7eJx7GRbrQTh/teLpW6k952xB9aO+BTi/X35ugNfL0edtuVemue&#10;/e0whVlJ8rk05vpqfnwAkXBO/zD86bM6VOy0D0dyUfQGVst7Vk8GtNZcigmtc97sGc2yXIGsSnle&#10;ovoFAAD//wMAUEsBAi0AFAAGAAgAAAAhALaDOJL+AAAA4QEAABMAAAAAAAAAAAAAAAAAAAAAAFtD&#10;b250ZW50X1R5cGVzXS54bWxQSwECLQAUAAYACAAAACEAOP0h/9YAAACUAQAACwAAAAAAAAAAAAAA&#10;AAAvAQAAX3JlbHMvLnJlbHNQSwECLQAUAAYACAAAACEAJcUAE/wBAADVAwAADgAAAAAAAAAAAAAA&#10;AAAuAgAAZHJzL2Uyb0RvYy54bWxQSwECLQAUAAYACAAAACEAjofV7t4AAAAMAQAADwAAAAAAAAAA&#10;AAAAAABWBAAAZHJzL2Rvd25yZXYueG1sUEsFBgAAAAAEAAQA8wAAAGEFAAAAAA==&#10;" filled="f" stroked="f">
                <v:textbox>
                  <w:txbxContent>
                    <w:p w14:paraId="6D3BF04F" w14:textId="77777777" w:rsidR="001B7219" w:rsidRDefault="001B7219" w:rsidP="001B7219">
                      <w:pPr>
                        <w:rPr>
                          <w:sz w:val="28"/>
                          <w:szCs w:val="28"/>
                        </w:rPr>
                      </w:pPr>
                    </w:p>
                    <w:p w14:paraId="2F7F06D4" w14:textId="77777777" w:rsidR="001B7219" w:rsidRPr="005C0286" w:rsidRDefault="001B7219" w:rsidP="001B7219">
                      <w:pPr>
                        <w:rPr>
                          <w:sz w:val="28"/>
                          <w:szCs w:val="28"/>
                        </w:rPr>
                      </w:pPr>
                      <w:r>
                        <w:rPr>
                          <w:sz w:val="28"/>
                          <w:szCs w:val="28"/>
                        </w:rPr>
                        <w:t>Tyler Sellner</w:t>
                      </w:r>
                      <w:r>
                        <w:rPr>
                          <w:sz w:val="28"/>
                          <w:szCs w:val="28"/>
                        </w:rPr>
                        <w:br/>
                        <w:t>Principal Consultant</w:t>
                      </w:r>
                      <w:r>
                        <w:rPr>
                          <w:sz w:val="28"/>
                          <w:szCs w:val="28"/>
                        </w:rPr>
                        <w:br/>
                        <w:t>tsellner</w:t>
                      </w:r>
                      <w:r w:rsidRPr="005C0286">
                        <w:rPr>
                          <w:sz w:val="28"/>
                          <w:szCs w:val="28"/>
                        </w:rPr>
                        <w:t>@opiniondynamics.com</w:t>
                      </w:r>
                    </w:p>
                  </w:txbxContent>
                </v:textbox>
                <w10:wrap type="square" anchorx="margin"/>
              </v:shape>
            </w:pict>
          </mc:Fallback>
        </mc:AlternateContent>
      </w:r>
      <w:r w:rsidR="00344C23">
        <w:rPr>
          <w:noProof/>
        </w:rPr>
        <w:drawing>
          <wp:anchor distT="0" distB="0" distL="114300" distR="114300" simplePos="0" relativeHeight="251660288" behindDoc="1" locked="0" layoutInCell="1" allowOverlap="1" wp14:anchorId="4A266DB0" wp14:editId="1BF6463A">
            <wp:simplePos x="0" y="0"/>
            <wp:positionH relativeFrom="page">
              <wp:posOffset>0</wp:posOffset>
            </wp:positionH>
            <wp:positionV relativeFrom="page">
              <wp:posOffset>-11290</wp:posOffset>
            </wp:positionV>
            <wp:extent cx="7762240" cy="10044430"/>
            <wp:effectExtent l="0" t="0" r="0" b="0"/>
            <wp:wrapTight wrapText="bothSides">
              <wp:wrapPolygon edited="0">
                <wp:start x="0" y="0"/>
                <wp:lineTo x="0" y="21548"/>
                <wp:lineTo x="21522" y="21548"/>
                <wp:lineTo x="21522" y="0"/>
                <wp:lineTo x="0" y="0"/>
              </wp:wrapPolygon>
            </wp:wrapTight>
            <wp:docPr id="1332878285" name="Picture 1" descr="A picture containing text, screenshot, fon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878285" name="Picture 1" descr="A picture containing text, screenshot, font, desig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762240" cy="10044430"/>
                    </a:xfrm>
                    <a:prstGeom prst="rect">
                      <a:avLst/>
                    </a:prstGeom>
                  </pic:spPr>
                </pic:pic>
              </a:graphicData>
            </a:graphic>
            <wp14:sizeRelH relativeFrom="margin">
              <wp14:pctWidth>0</wp14:pctWidth>
            </wp14:sizeRelH>
            <wp14:sizeRelV relativeFrom="margin">
              <wp14:pctHeight>0</wp14:pctHeight>
            </wp14:sizeRelV>
          </wp:anchor>
        </w:drawing>
      </w:r>
      <w:r w:rsidR="00344C23">
        <w:rPr>
          <w:noProof/>
        </w:rPr>
        <mc:AlternateContent>
          <mc:Choice Requires="wps">
            <w:drawing>
              <wp:anchor distT="45720" distB="45720" distL="114300" distR="114300" simplePos="0" relativeHeight="251661312" behindDoc="0" locked="0" layoutInCell="1" allowOverlap="1" wp14:anchorId="342BD1FA" wp14:editId="05708A0B">
                <wp:simplePos x="0" y="0"/>
                <wp:positionH relativeFrom="column">
                  <wp:posOffset>117475</wp:posOffset>
                </wp:positionH>
                <wp:positionV relativeFrom="paragraph">
                  <wp:posOffset>5547360</wp:posOffset>
                </wp:positionV>
                <wp:extent cx="6844030" cy="1466850"/>
                <wp:effectExtent l="0" t="0" r="0" b="0"/>
                <wp:wrapSquare wrapText="bothSides"/>
                <wp:docPr id="2059270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1466850"/>
                        </a:xfrm>
                        <a:prstGeom prst="rect">
                          <a:avLst/>
                        </a:prstGeom>
                        <a:noFill/>
                        <a:ln w="9525">
                          <a:noFill/>
                          <a:miter lim="800000"/>
                          <a:headEnd/>
                          <a:tailEnd/>
                        </a:ln>
                      </wps:spPr>
                      <wps:txbx>
                        <w:txbxContent>
                          <w:p w14:paraId="211C8EBD" w14:textId="77777777" w:rsidR="00344C23" w:rsidRDefault="00344C23" w:rsidP="00344C23">
                            <w:pPr>
                              <w:pStyle w:val="Subtitle"/>
                              <w:ind w:left="0"/>
                            </w:pPr>
                            <w:r>
                              <w:t>Contact:</w:t>
                            </w:r>
                          </w:p>
                          <w:p w14:paraId="5F9CBC0E" w14:textId="4562346C" w:rsidR="00344C23" w:rsidRPr="005C0286" w:rsidRDefault="001B7219" w:rsidP="00344C23">
                            <w:pPr>
                              <w:pStyle w:val="BodyText"/>
                              <w:rPr>
                                <w:sz w:val="28"/>
                                <w:szCs w:val="28"/>
                              </w:rPr>
                            </w:pPr>
                            <w:r>
                              <w:rPr>
                                <w:sz w:val="28"/>
                                <w:szCs w:val="28"/>
                              </w:rPr>
                              <w:t xml:space="preserve">Zach Ross            </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2BD1FA" id="_x0000_s1028" type="#_x0000_t202" style="position:absolute;margin-left:9.25pt;margin-top:436.8pt;width:538.9pt;height:11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EN/QEAANUDAAAOAAAAZHJzL2Uyb0RvYy54bWysU9uO2yAQfa/Uf0C8N3bSJM1aIavtbreq&#10;tL1I234AxjhGBYYCiZ1+/Q7Ym43at6p+QAzjOcw5c9heD0aTo/RBgWV0PispkVZAo+ye0R/f799s&#10;KAmR24ZrsJLRkwz0evf61bZ3lVxAB7qRniCIDVXvGO1idFVRBNFJw8MMnLSYbMEbHjH0+6LxvEd0&#10;o4tFWa6LHnzjPAgZAp7ejUm6y/htK0X82rZBRqIZxd5iXn1e67QWuy2v9p67TompDf4PXRiuLF56&#10;hrrjkZODV39BGSU8BGjjTIApoG2VkJkDspmXf7B57LiTmQuKE9xZpvD/YMWX46P75kkc3sOAA8wk&#10;gnsA8TMQC7cdt3t54z30neQNXjxPkhW9C9VUmqQOVUggdf8ZGhwyP0TIQEPrTVIFeRJExwGczqLL&#10;IRKBh+vNclm+xZTA3Hy5Xm9WeSwFr57LnQ/xowRD0oZRj1PN8Pz4EGJqh1fPv6TbLNwrrfNktSU9&#10;o1erxSoXXGSMimg8rQyjmzJ9oxUSyw+2ycWRKz3u8QJtJ9qJ6cg5DvVAVMPoItUmFWpoTqiDh9Fn&#10;+C5w04H/TUmPHmM0/DpwLynRnyxqeTVH6mjKHCxX7xYY+MtMfZnhViAUo5GScXsbs5FHyjeoeauy&#10;Gi+dTC2jd7JIk8+TOS/j/NfLa9w9AQAA//8DAFBLAwQUAAYACAAAACEA3IU4qN8AAAAMAQAADwAA&#10;AGRycy9kb3ducmV2LnhtbEyPTU/DMAyG70j8h8hI3Fiyr9KVphMCcQVtAyRuWeO11RqnarK1/Hu8&#10;E7v5lR+9fpyvR9eKM/ah8aRhOlEgkEpvG6o0fO7eHlIQIRqypvWEGn4xwLq4vclNZv1AGzxvYyW4&#10;hEJmNNQxdpmUoazRmTDxHRLvDr53JnLsK2l7M3C5a+VMqUQ60xBfqE2HLzWWx+3Jafh6P/x8L9RH&#10;9eqW3eBHJcmtpNb3d+PzE4iIY/yH4aLP6lCw096fyAbRck6XTGpIH+cJiAugVskcxJ6nqVokIItc&#10;Xj9R/AEAAP//AwBQSwECLQAUAAYACAAAACEAtoM4kv4AAADhAQAAEwAAAAAAAAAAAAAAAAAAAAAA&#10;W0NvbnRlbnRfVHlwZXNdLnhtbFBLAQItABQABgAIAAAAIQA4/SH/1gAAAJQBAAALAAAAAAAAAAAA&#10;AAAAAC8BAABfcmVscy8ucmVsc1BLAQItABQABgAIAAAAIQBbU6EN/QEAANUDAAAOAAAAAAAAAAAA&#10;AAAAAC4CAABkcnMvZTJvRG9jLnhtbFBLAQItABQABgAIAAAAIQDchTio3wAAAAwBAAAPAAAAAAAA&#10;AAAAAAAAAFcEAABkcnMvZG93bnJldi54bWxQSwUGAAAAAAQABADzAAAAYwUAAAAA&#10;" filled="f" stroked="f">
                <v:textbox>
                  <w:txbxContent>
                    <w:p w14:paraId="211C8EBD" w14:textId="77777777" w:rsidR="00344C23" w:rsidRDefault="00344C23" w:rsidP="00344C23">
                      <w:pPr>
                        <w:pStyle w:val="Subtitle"/>
                        <w:ind w:left="0"/>
                      </w:pPr>
                      <w:r>
                        <w:t>Contact:</w:t>
                      </w:r>
                    </w:p>
                    <w:p w14:paraId="5F9CBC0E" w14:textId="4562346C" w:rsidR="00344C23" w:rsidRPr="005C0286" w:rsidRDefault="001B7219" w:rsidP="00344C23">
                      <w:pPr>
                        <w:pStyle w:val="BodyText"/>
                        <w:rPr>
                          <w:sz w:val="28"/>
                          <w:szCs w:val="28"/>
                        </w:rPr>
                      </w:pPr>
                      <w:r>
                        <w:rPr>
                          <w:sz w:val="28"/>
                          <w:szCs w:val="28"/>
                        </w:rPr>
                        <w:t xml:space="preserve">Zach Ross            </w:t>
                      </w:r>
                      <w:r w:rsidR="00344C23">
                        <w:rPr>
                          <w:sz w:val="28"/>
                          <w:szCs w:val="28"/>
                        </w:rPr>
                        <w:br/>
                      </w:r>
                      <w:r>
                        <w:rPr>
                          <w:sz w:val="28"/>
                          <w:szCs w:val="28"/>
                        </w:rPr>
                        <w:t>Director</w:t>
                      </w:r>
                      <w:r w:rsidR="00344C23">
                        <w:rPr>
                          <w:sz w:val="28"/>
                          <w:szCs w:val="28"/>
                        </w:rPr>
                        <w:br/>
                      </w:r>
                      <w:r>
                        <w:rPr>
                          <w:sz w:val="28"/>
                          <w:szCs w:val="28"/>
                        </w:rPr>
                        <w:t>zross</w:t>
                      </w:r>
                      <w:r w:rsidR="00344C23" w:rsidRPr="005C0286">
                        <w:rPr>
                          <w:sz w:val="28"/>
                          <w:szCs w:val="28"/>
                        </w:rPr>
                        <w:t>@opiniondynamics.com</w:t>
                      </w:r>
                    </w:p>
                  </w:txbxContent>
                </v:textbox>
                <w10:wrap type="square"/>
              </v:shape>
            </w:pict>
          </mc:Fallback>
        </mc:AlternateContent>
      </w:r>
    </w:p>
    <w:sectPr w:rsidR="00344C23" w:rsidRPr="00344C23" w:rsidSect="00B45EFD">
      <w:headerReference w:type="default" r:id="rId34"/>
      <w:pgSz w:w="12240" w:h="15840" w:code="1"/>
      <w:pgMar w:top="0" w:right="567" w:bottom="567" w:left="567" w:header="567"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9B19B" w14:textId="77777777" w:rsidR="00B854C9" w:rsidRDefault="00B854C9">
      <w:pPr>
        <w:spacing w:after="0" w:line="240" w:lineRule="auto"/>
      </w:pPr>
      <w:r>
        <w:separator/>
      </w:r>
    </w:p>
    <w:p w14:paraId="0F8F5F34" w14:textId="77777777" w:rsidR="00B854C9" w:rsidRDefault="00B854C9"/>
  </w:endnote>
  <w:endnote w:type="continuationSeparator" w:id="0">
    <w:p w14:paraId="6E54208D" w14:textId="77777777" w:rsidR="00B854C9" w:rsidRDefault="00B854C9">
      <w:pPr>
        <w:spacing w:after="0" w:line="240" w:lineRule="auto"/>
      </w:pPr>
      <w:r>
        <w:continuationSeparator/>
      </w:r>
    </w:p>
    <w:p w14:paraId="2C71AC12" w14:textId="77777777" w:rsidR="00B854C9" w:rsidRDefault="00B854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Rift Soft">
    <w:panose1 w:val="00000500000000000000"/>
    <w:charset w:val="00"/>
    <w:family w:val="modern"/>
    <w:notTrueType/>
    <w:pitch w:val="variable"/>
    <w:sig w:usb0="00000007" w:usb1="00000000" w:usb2="00000000" w:usb3="00000000" w:csb0="00000093" w:csb1="00000000"/>
  </w:font>
  <w:font w:name="Franklin Gothic Medium">
    <w:panose1 w:val="020B0603020102020204"/>
    <w:charset w:val="00"/>
    <w:family w:val="swiss"/>
    <w:pitch w:val="variable"/>
    <w:sig w:usb0="00000287" w:usb1="00000000" w:usb2="00000000" w:usb3="00000000" w:csb0="0000009F" w:csb1="00000000"/>
  </w:font>
  <w:font w:name="Rift Soft Medium">
    <w:altName w:val="Calibri"/>
    <w:panose1 w:val="00000600000000000000"/>
    <w:charset w:val="00"/>
    <w:family w:val="modern"/>
    <w:notTrueType/>
    <w:pitch w:val="variable"/>
    <w:sig w:usb0="00000007" w:usb1="00000000"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Rift Soft Light">
    <w:panose1 w:val="000004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311011" w:rsidRPr="00EF048B" w14:paraId="1A3FD823" w14:textId="77777777" w:rsidTr="00080B74">
      <w:trPr>
        <w:cnfStyle w:val="100000000000" w:firstRow="1" w:lastRow="0" w:firstColumn="0" w:lastColumn="0" w:oddVBand="0" w:evenVBand="0" w:oddHBand="0" w:evenHBand="0" w:firstRowFirstColumn="0" w:firstRowLastColumn="0" w:lastRowFirstColumn="0" w:lastRowLastColumn="0"/>
      </w:trPr>
      <w:tc>
        <w:tcPr>
          <w:tcW w:w="5548" w:type="dxa"/>
        </w:tcPr>
        <w:p w14:paraId="45A08B10" w14:textId="77777777" w:rsidR="00311011" w:rsidRPr="00EF048B" w:rsidRDefault="00311011" w:rsidP="001F322C">
          <w:pPr>
            <w:pStyle w:val="Footer"/>
            <w:jc w:val="left"/>
          </w:pPr>
          <w:r w:rsidRPr="00CB54CF">
            <w:t>Opinion Dynamics</w:t>
          </w:r>
        </w:p>
      </w:tc>
      <w:tc>
        <w:tcPr>
          <w:tcW w:w="5548" w:type="dxa"/>
        </w:tcPr>
        <w:p w14:paraId="3B03C240" w14:textId="77777777" w:rsidR="00311011" w:rsidRPr="00EF048B" w:rsidRDefault="00311011" w:rsidP="001F322C">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E5363C0" w14:textId="77777777" w:rsidR="00311011" w:rsidRDefault="00311011" w:rsidP="001F322C">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D46533" w:rsidRPr="00EF048B" w14:paraId="58D51067" w14:textId="77777777" w:rsidTr="008420AC">
      <w:trPr>
        <w:cnfStyle w:val="100000000000" w:firstRow="1" w:lastRow="0" w:firstColumn="0" w:lastColumn="0" w:oddVBand="0" w:evenVBand="0" w:oddHBand="0" w:evenHBand="0" w:firstRowFirstColumn="0" w:firstRowLastColumn="0" w:lastRowFirstColumn="0" w:lastRowLastColumn="0"/>
      </w:trPr>
      <w:tc>
        <w:tcPr>
          <w:tcW w:w="5548" w:type="dxa"/>
        </w:tcPr>
        <w:p w14:paraId="04EBD4C3" w14:textId="77777777" w:rsidR="00D46533" w:rsidRPr="00EF048B" w:rsidRDefault="00D46533" w:rsidP="001F322C">
          <w:pPr>
            <w:pStyle w:val="Footer"/>
            <w:jc w:val="left"/>
          </w:pPr>
          <w:r w:rsidRPr="00CB54CF">
            <w:t>Opinion Dynamics</w:t>
          </w:r>
        </w:p>
      </w:tc>
      <w:tc>
        <w:tcPr>
          <w:tcW w:w="5548" w:type="dxa"/>
        </w:tcPr>
        <w:p w14:paraId="664DFC4D" w14:textId="77777777" w:rsidR="00D46533" w:rsidRPr="00EF048B" w:rsidRDefault="00D46533" w:rsidP="001F322C">
          <w:pPr>
            <w:pStyle w:val="Footer"/>
          </w:pPr>
          <w:r w:rsidRPr="00CB54CF">
            <w:t xml:space="preserve">| </w:t>
          </w: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00E337FB" w14:textId="77777777" w:rsidR="00D46533" w:rsidRDefault="00D46533" w:rsidP="001F322C">
    <w:pPr>
      <w:pStyle w:val="Footer"/>
      <w:jc w:val="left"/>
    </w:pPr>
  </w:p>
  <w:p w14:paraId="3B866BA9" w14:textId="77777777" w:rsidR="00210097" w:rsidRDefault="002100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ODExcelPlaceholder"/>
      <w:tblW w:w="0" w:type="auto"/>
      <w:tblLayout w:type="fixed"/>
      <w:tblLook w:val="04A0" w:firstRow="1" w:lastRow="0" w:firstColumn="1" w:lastColumn="0" w:noHBand="0" w:noVBand="1"/>
    </w:tblPr>
    <w:tblGrid>
      <w:gridCol w:w="5548"/>
      <w:gridCol w:w="5548"/>
    </w:tblGrid>
    <w:tr w:rsidR="00BD573A" w:rsidRPr="00EF048B" w14:paraId="0E740AF6" w14:textId="77777777" w:rsidTr="00963607">
      <w:trPr>
        <w:cnfStyle w:val="100000000000" w:firstRow="1" w:lastRow="0" w:firstColumn="0" w:lastColumn="0" w:oddVBand="0" w:evenVBand="0" w:oddHBand="0" w:evenHBand="0" w:firstRowFirstColumn="0" w:firstRowLastColumn="0" w:lastRowFirstColumn="0" w:lastRowLastColumn="0"/>
      </w:trPr>
      <w:tc>
        <w:tcPr>
          <w:tcW w:w="5548" w:type="dxa"/>
        </w:tcPr>
        <w:p w14:paraId="5177A50E" w14:textId="77777777" w:rsidR="00BD573A" w:rsidRPr="00EF048B" w:rsidRDefault="00BD573A" w:rsidP="00BD573A">
          <w:pPr>
            <w:pStyle w:val="Footer"/>
            <w:jc w:val="left"/>
          </w:pPr>
          <w:r w:rsidRPr="00CB54CF">
            <w:t>Opinion Dynamics</w:t>
          </w:r>
        </w:p>
      </w:tc>
      <w:tc>
        <w:tcPr>
          <w:tcW w:w="5548" w:type="dxa"/>
        </w:tcPr>
        <w:p w14:paraId="7603E4F9" w14:textId="77777777" w:rsidR="00BD573A" w:rsidRPr="00EF048B" w:rsidRDefault="00BD573A" w:rsidP="00BD573A">
          <w:pPr>
            <w:pStyle w:val="Footer"/>
          </w:pPr>
          <w:r w:rsidRPr="00CB54CF">
            <w:fldChar w:fldCharType="begin"/>
          </w:r>
          <w:r w:rsidRPr="00CB54CF">
            <w:instrText xml:space="preserve"> PAGE   \* MERGEFORMAT </w:instrText>
          </w:r>
          <w:r w:rsidRPr="00CB54CF">
            <w:fldChar w:fldCharType="separate"/>
          </w:r>
          <w:r w:rsidRPr="00CB54CF">
            <w:t>1</w:t>
          </w:r>
          <w:r w:rsidRPr="00CB54CF">
            <w:fldChar w:fldCharType="end"/>
          </w:r>
        </w:p>
      </w:tc>
    </w:tr>
  </w:tbl>
  <w:p w14:paraId="14D5456E" w14:textId="77777777" w:rsidR="00E842FE" w:rsidRPr="00BD573A" w:rsidRDefault="00E842FE" w:rsidP="00BD57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1E5FB8" w14:textId="77777777" w:rsidR="00B854C9" w:rsidRDefault="00B854C9">
      <w:pPr>
        <w:spacing w:after="0" w:line="240" w:lineRule="auto"/>
      </w:pPr>
      <w:r>
        <w:separator/>
      </w:r>
    </w:p>
  </w:footnote>
  <w:footnote w:type="continuationSeparator" w:id="0">
    <w:p w14:paraId="534308F7" w14:textId="77777777" w:rsidR="00B854C9" w:rsidRDefault="00B854C9">
      <w:pPr>
        <w:spacing w:after="0" w:line="240" w:lineRule="auto"/>
      </w:pPr>
      <w:r>
        <w:continuationSeparator/>
      </w:r>
    </w:p>
  </w:footnote>
  <w:footnote w:id="1">
    <w:p w14:paraId="08114958" w14:textId="0B2C9A00" w:rsidR="00FB0371" w:rsidRDefault="00FB0371">
      <w:pPr>
        <w:pStyle w:val="FootnoteText"/>
      </w:pPr>
      <w:r>
        <w:rPr>
          <w:rStyle w:val="FootnoteReference"/>
        </w:rPr>
        <w:footnoteRef/>
      </w:r>
      <w:r>
        <w:t xml:space="preserve"> </w:t>
      </w:r>
      <w:r w:rsidRPr="00FB0371">
        <w:t>In addition to the channels described here, the Program operates a number of channels that provide customer services but do not directly produce energy savings (such as the Metering and Monitoring channel of the Custom Initiative), or that were operated in 202</w:t>
      </w:r>
      <w:r w:rsidR="00812699">
        <w:t>4</w:t>
      </w:r>
      <w:r w:rsidRPr="00FB0371">
        <w:t xml:space="preserve"> but did not lead to any completed projects (such as the Retro-Commissioning Lite channel of the Retro-Commissioning Initiative).</w:t>
      </w:r>
    </w:p>
  </w:footnote>
  <w:footnote w:id="2">
    <w:p w14:paraId="0F797B87" w14:textId="6EA612A5" w:rsidR="005E1260" w:rsidRDefault="005E1260">
      <w:pPr>
        <w:pStyle w:val="FootnoteText"/>
      </w:pPr>
      <w:r>
        <w:rPr>
          <w:rStyle w:val="FootnoteReference"/>
        </w:rPr>
        <w:footnoteRef/>
      </w:r>
      <w:r>
        <w:t xml:space="preserve"> </w:t>
      </w:r>
      <w:r w:rsidR="004608C0">
        <w:t>The evaluation findings for th</w:t>
      </w:r>
      <w:r w:rsidR="00062EDA">
        <w:t xml:space="preserve">e LLLC </w:t>
      </w:r>
      <w:r w:rsidR="001D5D92">
        <w:t xml:space="preserve">Pilot </w:t>
      </w:r>
      <w:r w:rsidR="004608C0">
        <w:t xml:space="preserve">are presented under </w:t>
      </w:r>
      <w:r w:rsidR="00062EDA">
        <w:t xml:space="preserve">separate </w:t>
      </w:r>
      <w:r w:rsidR="004608C0">
        <w:t>cover</w:t>
      </w:r>
      <w:r w:rsidR="00F949CE">
        <w:t xml:space="preserve">. See </w:t>
      </w:r>
      <w:r w:rsidR="00F949CE">
        <w:fldChar w:fldCharType="begin"/>
      </w:r>
      <w:r w:rsidR="00F949CE">
        <w:instrText xml:space="preserve"> REF _Ref191657896 \n \h </w:instrText>
      </w:r>
      <w:r w:rsidR="00F949CE">
        <w:fldChar w:fldCharType="separate"/>
      </w:r>
      <w:r w:rsidR="00F949CE">
        <w:t>Appendix E</w:t>
      </w:r>
      <w:r w:rsidR="00F949CE">
        <w:fldChar w:fldCharType="end"/>
      </w:r>
      <w:r w:rsidR="00F949CE">
        <w:t>.</w:t>
      </w:r>
    </w:p>
  </w:footnote>
  <w:footnote w:id="3">
    <w:p w14:paraId="53C02C38" w14:textId="5C6B7FD8" w:rsidR="00E141BA" w:rsidRDefault="00E141BA">
      <w:pPr>
        <w:pStyle w:val="FootnoteText"/>
      </w:pPr>
      <w:r>
        <w:rPr>
          <w:rStyle w:val="FootnoteReference"/>
        </w:rPr>
        <w:footnoteRef/>
      </w:r>
      <w:r>
        <w:t xml:space="preserve"> </w:t>
      </w:r>
      <w:r w:rsidR="00211C84" w:rsidRPr="00A73774">
        <w:rPr>
          <w:szCs w:val="18"/>
        </w:rPr>
        <w:t xml:space="preserve">Illinois Energy Efficiency Stakeholder Advisory Group. </w:t>
      </w:r>
      <w:r w:rsidR="00211C84" w:rsidRPr="00A73774">
        <w:rPr>
          <w:i/>
          <w:iCs/>
          <w:szCs w:val="18"/>
        </w:rPr>
        <w:t>Weighted Average Measure Life Report.</w:t>
      </w:r>
      <w:r w:rsidR="00211C84" w:rsidRPr="00A73774">
        <w:rPr>
          <w:szCs w:val="18"/>
        </w:rPr>
        <w:t xml:space="preserve"> 2018</w:t>
      </w:r>
      <w:r w:rsidR="00211C84">
        <w:rPr>
          <w:szCs w:val="18"/>
        </w:rPr>
        <w:t>.</w:t>
      </w:r>
      <w:r w:rsidR="00211C84" w:rsidRPr="00A73774">
        <w:rPr>
          <w:szCs w:val="18"/>
        </w:rPr>
        <w:t xml:space="preserve"> </w:t>
      </w:r>
      <w:r w:rsidR="00211C84">
        <w:rPr>
          <w:szCs w:val="18"/>
        </w:rPr>
        <w:t>A</w:t>
      </w:r>
      <w:r w:rsidR="00211C84" w:rsidRPr="00A73774">
        <w:rPr>
          <w:szCs w:val="18"/>
        </w:rPr>
        <w:t xml:space="preserve">ccessed at: </w:t>
      </w:r>
      <w:hyperlink r:id="rId1" w:history="1">
        <w:r w:rsidR="00211C84" w:rsidRPr="00A73774">
          <w:rPr>
            <w:rStyle w:val="Hyperlink"/>
            <w:sz w:val="18"/>
            <w:szCs w:val="18"/>
          </w:rPr>
          <w:t>https://www.ilsag.info/wp-content/uploads/SAG_files/SAG_Reports/SAG_WAML_Report_Final_2-20-18.pdf</w:t>
        </w:r>
      </w:hyperlink>
      <w:r w:rsidR="00211C84">
        <w:t>.</w:t>
      </w:r>
      <w:r w:rsidR="00211C84" w:rsidRPr="00A73774">
        <w:rPr>
          <w:szCs w:val="18"/>
        </w:rPr>
        <w:t xml:space="preserve"> </w:t>
      </w:r>
    </w:p>
  </w:footnote>
  <w:footnote w:id="4">
    <w:p w14:paraId="335036F8" w14:textId="0D836ED4" w:rsidR="00E141BA" w:rsidRDefault="00E141BA">
      <w:pPr>
        <w:pStyle w:val="FootnoteText"/>
      </w:pPr>
      <w:r>
        <w:rPr>
          <w:rStyle w:val="FootnoteReference"/>
        </w:rPr>
        <w:footnoteRef/>
      </w:r>
      <w:r>
        <w:t xml:space="preserve"> Ibid.</w:t>
      </w:r>
    </w:p>
  </w:footnote>
  <w:footnote w:id="5">
    <w:p w14:paraId="3EA9C371" w14:textId="0E6EC5CD" w:rsidR="00E141BA" w:rsidRDefault="00E141BA">
      <w:pPr>
        <w:pStyle w:val="FootnoteText"/>
      </w:pPr>
      <w:r>
        <w:rPr>
          <w:rStyle w:val="FootnoteReference"/>
        </w:rPr>
        <w:footnoteRef/>
      </w:r>
      <w:r>
        <w:t xml:space="preserve"> </w:t>
      </w:r>
      <w:r w:rsidRPr="00E141BA">
        <w:t>The annual total savings requirement is the AAIG plus the additional savings that need to be acquired on an annual basis to replace any savings from measures at the end of their measure life before progress can be counted toward AAIG.</w:t>
      </w:r>
    </w:p>
  </w:footnote>
  <w:footnote w:id="6">
    <w:p w14:paraId="58506C7D" w14:textId="64DA2FEC" w:rsidR="00E141BA" w:rsidRDefault="00E141BA">
      <w:pPr>
        <w:pStyle w:val="FootnoteText"/>
      </w:pPr>
      <w:r>
        <w:rPr>
          <w:rStyle w:val="FootnoteReference"/>
        </w:rPr>
        <w:footnoteRef/>
      </w:r>
      <w:r>
        <w:t xml:space="preserve"> </w:t>
      </w:r>
      <w:r w:rsidRPr="00E141BA">
        <w:t>Note that prior to the passage of CEJA, the (b-25) savings conversion was capped at 10% of AAIG, rather than the annual total savings requirement.</w:t>
      </w:r>
    </w:p>
  </w:footnote>
  <w:footnote w:id="7">
    <w:p w14:paraId="67B7BC06" w14:textId="77777777" w:rsidR="00357A4A" w:rsidRDefault="00357A4A" w:rsidP="00357A4A">
      <w:pPr>
        <w:pStyle w:val="FootnoteText"/>
      </w:pPr>
      <w:r w:rsidRPr="00162D32">
        <w:rPr>
          <w:vertAlign w:val="superscript"/>
        </w:rPr>
        <w:footnoteRef/>
      </w:r>
      <w:r>
        <w:t xml:space="preserve"> </w:t>
      </w:r>
      <w:r w:rsidRPr="00B63B6D">
        <w:t>Large electric customers are defined as nonresidential electric customers with electric demand of over 10 MW.</w:t>
      </w:r>
    </w:p>
  </w:footnote>
  <w:footnote w:id="8">
    <w:p w14:paraId="52480EA1" w14:textId="73489230" w:rsidR="00D36CFE" w:rsidRDefault="00D36CFE">
      <w:pPr>
        <w:pStyle w:val="FootnoteText"/>
      </w:pPr>
      <w:r>
        <w:rPr>
          <w:rStyle w:val="FootnoteReference"/>
        </w:rPr>
        <w:footnoteRef/>
      </w:r>
      <w:r>
        <w:t xml:space="preserve"> </w:t>
      </w:r>
      <w:r w:rsidRPr="00D36CFE">
        <w:t>Large gas customers are defined as nonresidential natural gas customers with annual usage of 4,000,000 therms or more across all AIC service points, or 8,000,000 therms or more across all Illinois service points.</w:t>
      </w:r>
    </w:p>
  </w:footnote>
  <w:footnote w:id="9">
    <w:p w14:paraId="4BDB21DB" w14:textId="663A4C09" w:rsidR="00703617" w:rsidRDefault="00703617">
      <w:pPr>
        <w:pStyle w:val="FootnoteText"/>
      </w:pPr>
      <w:r>
        <w:rPr>
          <w:rStyle w:val="FootnoteReference"/>
        </w:rPr>
        <w:footnoteRef/>
      </w:r>
      <w:r>
        <w:t xml:space="preserve"> Policy Manual Version </w:t>
      </w:r>
      <w:r w:rsidR="00D177E5">
        <w:t>3</w:t>
      </w:r>
      <w:r>
        <w:t>.</w:t>
      </w:r>
      <w:r w:rsidR="00D177E5">
        <w:t>0</w:t>
      </w:r>
      <w:r>
        <w:t xml:space="preserve"> is effective as of January 1, 2024</w:t>
      </w:r>
      <w:r w:rsidR="00875F07">
        <w:t>.</w:t>
      </w:r>
      <w:r>
        <w:t xml:space="preserve"> </w:t>
      </w:r>
    </w:p>
  </w:footnote>
  <w:footnote w:id="10">
    <w:p w14:paraId="0CED58DC" w14:textId="017DC4BE" w:rsidR="00703617" w:rsidRDefault="00703617">
      <w:pPr>
        <w:pStyle w:val="FootnoteText"/>
      </w:pPr>
      <w:r>
        <w:rPr>
          <w:rStyle w:val="FootnoteReference"/>
        </w:rPr>
        <w:footnoteRef/>
      </w:r>
      <w:r>
        <w:t xml:space="preserve"> In future years, the evaluation team will apply updated versions of these manuals to the evaluation of this Program as required by law, Illinois Commerce Commission orders, and changes to the manuals themselves. </w:t>
      </w:r>
    </w:p>
  </w:footnote>
  <w:footnote w:id="11">
    <w:p w14:paraId="19B76EFA" w14:textId="77777777" w:rsidR="0090266A" w:rsidRDefault="0090266A" w:rsidP="0090266A">
      <w:pPr>
        <w:pStyle w:val="FootnoteText"/>
      </w:pPr>
      <w:r>
        <w:rPr>
          <w:rStyle w:val="FootnoteReference"/>
        </w:rPr>
        <w:footnoteRef/>
      </w:r>
      <w:r>
        <w:t xml:space="preserve"> </w:t>
      </w:r>
      <w:r w:rsidRPr="00330172">
        <w:rPr>
          <w:szCs w:val="18"/>
        </w:rPr>
        <w:t>Due to changes made to lighting measures in IL-TRM V11.0, the IL-TRM V10</w:t>
      </w:r>
      <w:r>
        <w:rPr>
          <w:szCs w:val="18"/>
        </w:rPr>
        <w:t>.0</w:t>
      </w:r>
      <w:r w:rsidRPr="00330172">
        <w:rPr>
          <w:szCs w:val="18"/>
        </w:rPr>
        <w:t xml:space="preserve"> and IL-TRM V10.0 errata memo is the final reference source for key lighting assumptions necessary for remaining carryover from certain lighting measures sold prior to 2023.</w:t>
      </w:r>
    </w:p>
  </w:footnote>
  <w:footnote w:id="12">
    <w:p w14:paraId="2D2921A5" w14:textId="77777777" w:rsidR="0090266A" w:rsidRDefault="0090266A" w:rsidP="0090266A">
      <w:pPr>
        <w:pStyle w:val="FootnoteText"/>
      </w:pPr>
      <w:r w:rsidRPr="00A73774">
        <w:rPr>
          <w:rStyle w:val="FootnoteReference"/>
          <w:szCs w:val="18"/>
        </w:rPr>
        <w:footnoteRef/>
      </w:r>
      <w:r w:rsidRPr="00A73774">
        <w:rPr>
          <w:szCs w:val="18"/>
        </w:rPr>
        <w:t xml:space="preserve"> </w:t>
      </w:r>
      <w:bookmarkStart w:id="35" w:name="_Hlk161300953"/>
      <w:r w:rsidRPr="00A73774">
        <w:rPr>
          <w:szCs w:val="18"/>
        </w:rPr>
        <w:t xml:space="preserve">Opinion Dynamics. </w:t>
      </w:r>
      <w:r w:rsidRPr="00A73774">
        <w:rPr>
          <w:i/>
          <w:iCs/>
          <w:szCs w:val="18"/>
        </w:rPr>
        <w:t>Ameren Illinois Company Lighting Carryover Savings Claimable in 202</w:t>
      </w:r>
      <w:r>
        <w:rPr>
          <w:i/>
          <w:iCs/>
          <w:szCs w:val="18"/>
        </w:rPr>
        <w:t>4</w:t>
      </w:r>
      <w:r>
        <w:rPr>
          <w:szCs w:val="18"/>
        </w:rPr>
        <w:t>. A</w:t>
      </w:r>
      <w:r w:rsidRPr="00A73774">
        <w:rPr>
          <w:szCs w:val="18"/>
        </w:rPr>
        <w:t>ccessed at</w:t>
      </w:r>
      <w:bookmarkEnd w:id="35"/>
      <w:r>
        <w:rPr>
          <w:szCs w:val="18"/>
        </w:rPr>
        <w:t xml:space="preserve"> </w:t>
      </w:r>
      <w:hyperlink r:id="rId2" w:history="1">
        <w:r w:rsidRPr="00416FA1">
          <w:rPr>
            <w:rStyle w:val="Hyperlink"/>
            <w:rFonts w:ascii="Franklin Gothic Book" w:hAnsi="Franklin Gothic Book"/>
            <w:noProof w:val="0"/>
            <w:sz w:val="18"/>
            <w:szCs w:val="18"/>
          </w:rPr>
          <w:t>https://www.ilsag.info/wp-content/uploads/AIC-2024-Lighting-Carryover-Savings-Memo-FINAL-2025-01-21.pdf</w:t>
        </w:r>
      </w:hyperlink>
      <w:r>
        <w:t>.</w:t>
      </w:r>
      <w:r>
        <w:rPr>
          <w:szCs w:val="18"/>
        </w:rPr>
        <w:t xml:space="preserve"> </w:t>
      </w:r>
    </w:p>
  </w:footnote>
  <w:footnote w:id="13">
    <w:p w14:paraId="463E35DB" w14:textId="77777777" w:rsidR="0090266A" w:rsidRDefault="0090266A" w:rsidP="0090266A">
      <w:pPr>
        <w:pStyle w:val="FootnoteText"/>
      </w:pPr>
      <w:r>
        <w:rPr>
          <w:rStyle w:val="FootnoteReference"/>
        </w:rPr>
        <w:footnoteRef/>
      </w:r>
      <w:r>
        <w:t xml:space="preserve"> </w:t>
      </w:r>
      <w:r w:rsidRPr="005139E7">
        <w:rPr>
          <w:i/>
          <w:iCs/>
          <w:szCs w:val="18"/>
        </w:rPr>
        <w:t xml:space="preserve">Illinois Energy Efficiency Policy </w:t>
      </w:r>
      <w:r w:rsidRPr="00610A7B">
        <w:rPr>
          <w:i/>
          <w:iCs/>
          <w:szCs w:val="18"/>
        </w:rPr>
        <w:t>Manual V3.0</w:t>
      </w:r>
      <w:r>
        <w:rPr>
          <w:i/>
          <w:iCs/>
          <w:szCs w:val="18"/>
        </w:rPr>
        <w:t>,</w:t>
      </w:r>
      <w:r w:rsidRPr="003569AD">
        <w:rPr>
          <w:szCs w:val="18"/>
        </w:rPr>
        <w:t xml:space="preserve"> Section </w:t>
      </w:r>
      <w:r>
        <w:rPr>
          <w:szCs w:val="18"/>
        </w:rPr>
        <w:t>7.4.</w:t>
      </w:r>
      <w:r w:rsidRPr="003569AD">
        <w:rPr>
          <w:szCs w:val="18"/>
        </w:rPr>
        <w:t xml:space="preserve"> </w:t>
      </w:r>
      <w:r>
        <w:rPr>
          <w:szCs w:val="18"/>
        </w:rPr>
        <w:t>Accessed at</w:t>
      </w:r>
      <w:r w:rsidRPr="003569AD">
        <w:rPr>
          <w:szCs w:val="18"/>
        </w:rPr>
        <w:t xml:space="preserve"> </w:t>
      </w:r>
      <w:hyperlink r:id="rId3" w:history="1">
        <w:r w:rsidRPr="00A940DD">
          <w:rPr>
            <w:rStyle w:val="Hyperlink"/>
            <w:sz w:val="18"/>
            <w:szCs w:val="18"/>
          </w:rPr>
          <w:t>https://www.ilsag.info/wp-content/uploads/IL_EE_Policy_Manual_Version_3.0_Final_11-3-2023.pdf</w:t>
        </w:r>
      </w:hyperlink>
      <w:r>
        <w:t>.</w:t>
      </w:r>
    </w:p>
  </w:footnote>
  <w:footnote w:id="14">
    <w:p w14:paraId="4F9C98C3" w14:textId="77777777" w:rsidR="0090266A" w:rsidRDefault="0090266A" w:rsidP="0090266A">
      <w:pPr>
        <w:pStyle w:val="FootnoteText"/>
      </w:pPr>
      <w:r>
        <w:rPr>
          <w:rStyle w:val="FootnoteReference"/>
        </w:rPr>
        <w:footnoteRef/>
      </w:r>
      <w:r>
        <w:t xml:space="preserve"> </w:t>
      </w:r>
      <w:r w:rsidRPr="00A955FD">
        <w:t>Areas identified as “income-eligible households” by Illinois Solar for All</w:t>
      </w:r>
      <w:r>
        <w:t>.</w:t>
      </w:r>
      <w:r w:rsidRPr="00A955FD">
        <w:t xml:space="preserve"> </w:t>
      </w:r>
    </w:p>
  </w:footnote>
  <w:footnote w:id="15">
    <w:p w14:paraId="53ECA34C" w14:textId="77777777" w:rsidR="00612763" w:rsidRDefault="00612763" w:rsidP="00612763">
      <w:pPr>
        <w:pStyle w:val="FootnoteText"/>
      </w:pPr>
      <w:r>
        <w:rPr>
          <w:rStyle w:val="FootnoteReference"/>
        </w:rPr>
        <w:footnoteRef/>
      </w:r>
      <w:r>
        <w:t xml:space="preserve"> Municipalities where at least fifty percent (50%) of the municipality is identified as income-eligible through Illinois Solar for All.</w:t>
      </w:r>
    </w:p>
  </w:footnote>
  <w:footnote w:id="16">
    <w:p w14:paraId="6CAE5F4F" w14:textId="52768918" w:rsidR="00612763" w:rsidRDefault="00612763" w:rsidP="00612763">
      <w:pPr>
        <w:pStyle w:val="FootnoteText"/>
      </w:pPr>
      <w:r>
        <w:rPr>
          <w:rStyle w:val="FootnoteReference"/>
        </w:rPr>
        <w:footnoteRef/>
      </w:r>
      <w:r>
        <w:t xml:space="preserve"> Opinion Dynamics. </w:t>
      </w:r>
      <w:r w:rsidRPr="00307925">
        <w:rPr>
          <w:i/>
          <w:iCs/>
        </w:rPr>
        <w:t>Overview of Disadvantaged Areas Net-to-Gross Tracking for Ameren Illinois</w:t>
      </w:r>
      <w:r w:rsidR="00950717">
        <w:t>. July 17, 2024. A</w:t>
      </w:r>
      <w:r>
        <w:t>ccessed at</w:t>
      </w:r>
      <w:r w:rsidR="00950717">
        <w:t>:</w:t>
      </w:r>
      <w:r>
        <w:t xml:space="preserve"> </w:t>
      </w:r>
      <w:hyperlink r:id="rId4" w:history="1">
        <w:r w:rsidRPr="00CD41D6">
          <w:rPr>
            <w:rStyle w:val="Hyperlink"/>
            <w:rFonts w:ascii="Franklin Gothic Book" w:hAnsi="Franklin Gothic Book"/>
            <w:noProof w:val="0"/>
            <w:sz w:val="18"/>
          </w:rPr>
          <w:t>https://www.ilsag.info/wp-content/uploads/SAG-NTGR-for-Disadvantaged-Areas-Presentation_ODC_2024-07-17.pdf</w:t>
        </w:r>
      </w:hyperlink>
      <w:r w:rsidR="00F555F5">
        <w:t>.</w:t>
      </w:r>
    </w:p>
  </w:footnote>
  <w:footnote w:id="17">
    <w:p w14:paraId="5888B15E" w14:textId="57E4017F" w:rsidR="00AF076C" w:rsidRDefault="00AF076C">
      <w:pPr>
        <w:pStyle w:val="FootnoteText"/>
      </w:pPr>
      <w:r>
        <w:rPr>
          <w:rStyle w:val="FootnoteReference"/>
        </w:rPr>
        <w:footnoteRef/>
      </w:r>
      <w:r>
        <w:t xml:space="preserve"> </w:t>
      </w:r>
      <w:r w:rsidRPr="00AF076C">
        <w:t xml:space="preserve">Webster, Lia. </w:t>
      </w:r>
      <w:r w:rsidRPr="009D34C8">
        <w:rPr>
          <w:i/>
          <w:iCs/>
        </w:rPr>
        <w:t>IPMVP Application Guide on Non-Routine Events and Adjustments</w:t>
      </w:r>
      <w:r w:rsidRPr="00AF076C">
        <w:t>. Efficiency Valuation Organization (EVO). 2020</w:t>
      </w:r>
      <w:r>
        <w:t>.</w:t>
      </w:r>
    </w:p>
  </w:footnote>
  <w:footnote w:id="18">
    <w:p w14:paraId="7E171456" w14:textId="43B06663" w:rsidR="006A384C" w:rsidRDefault="006A384C">
      <w:pPr>
        <w:pStyle w:val="FootnoteText"/>
      </w:pPr>
      <w:r>
        <w:rPr>
          <w:rStyle w:val="FootnoteReference"/>
        </w:rPr>
        <w:footnoteRef/>
      </w:r>
      <w:r>
        <w:t xml:space="preserve"> A </w:t>
      </w:r>
      <w:r w:rsidR="003F3F47">
        <w:t>Program Ally</w:t>
      </w:r>
      <w:r>
        <w:t xml:space="preserve"> is a contractor or vendor that is enrolled in AIC’s Program Ally Network, which is a network of companies qualified to deliver services through AIC’s initiatives.</w:t>
      </w:r>
    </w:p>
  </w:footnote>
  <w:footnote w:id="19">
    <w:p w14:paraId="55734334" w14:textId="3AAAE47B" w:rsidR="00FD5696" w:rsidRDefault="00FD5696">
      <w:pPr>
        <w:pStyle w:val="FootnoteText"/>
      </w:pPr>
      <w:r>
        <w:rPr>
          <w:rStyle w:val="FootnoteReference"/>
        </w:rPr>
        <w:footnoteRef/>
      </w:r>
      <w:r>
        <w:t xml:space="preserve"> The 67% cap for process fans is prescribed in IL-TRM V12.0 </w:t>
      </w:r>
      <w:r w:rsidR="00290B97">
        <w:t>S</w:t>
      </w:r>
      <w:r>
        <w:t>ection 4.8.13. The 42% cap for process pumps comes from a 2010 memorandum titled “Recommendations for Verifying Savings for non-HVAC VFDs</w:t>
      </w:r>
      <w:r w:rsidR="00290B97">
        <w:t>.</w:t>
      </w:r>
      <w:r>
        <w:t xml:space="preserve">” More details on the evaluation team’s gross impact methodology for these measures is provided in the </w:t>
      </w:r>
      <w:r>
        <w:fldChar w:fldCharType="begin"/>
      </w:r>
      <w:r>
        <w:instrText xml:space="preserve"> REF _Ref187157397 \n \h </w:instrText>
      </w:r>
      <w:r>
        <w:fldChar w:fldCharType="separate"/>
      </w:r>
      <w:r>
        <w:t>Appendix A</w:t>
      </w:r>
      <w:r>
        <w:fldChar w:fldCharType="end"/>
      </w:r>
      <w:r>
        <w:t xml:space="preserve">.  </w:t>
      </w:r>
    </w:p>
  </w:footnote>
  <w:footnote w:id="20">
    <w:p w14:paraId="4784EF28" w14:textId="1AC9CA7E" w:rsidR="00C055A3" w:rsidRDefault="00C055A3">
      <w:pPr>
        <w:pStyle w:val="FootnoteText"/>
      </w:pPr>
      <w:r>
        <w:rPr>
          <w:rStyle w:val="FootnoteReference"/>
        </w:rPr>
        <w:footnoteRef/>
      </w:r>
      <w:r>
        <w:t xml:space="preserve"> For further detail, including achieved CPAS in years not presented in this table, please see the </w:t>
      </w:r>
      <w:r w:rsidR="00C1465C" w:rsidRPr="00C1465C">
        <w:rPr>
          <w:i/>
          <w:iCs/>
        </w:rPr>
        <w:t>2024 AIC CPAS and AAIG Workbook</w:t>
      </w:r>
      <w:r>
        <w:t>.</w:t>
      </w:r>
    </w:p>
  </w:footnote>
  <w:footnote w:id="21">
    <w:p w14:paraId="46E1E949" w14:textId="73C4586B" w:rsidR="008F7815" w:rsidRDefault="008F7815">
      <w:pPr>
        <w:pStyle w:val="FootnoteText"/>
      </w:pPr>
      <w:r>
        <w:rPr>
          <w:rStyle w:val="FootnoteReference"/>
        </w:rPr>
        <w:footnoteRef/>
      </w:r>
      <w:r>
        <w:t xml:space="preserve"> Three allies completed projects through both Custom Incentives and New Construction Lighting.</w:t>
      </w:r>
    </w:p>
  </w:footnote>
  <w:footnote w:id="22">
    <w:p w14:paraId="11E15901" w14:textId="0885D475" w:rsidR="00E60908" w:rsidRDefault="00E60908">
      <w:pPr>
        <w:pStyle w:val="FootnoteText"/>
      </w:pPr>
      <w:r>
        <w:rPr>
          <w:rStyle w:val="FootnoteReference"/>
        </w:rPr>
        <w:footnoteRef/>
      </w:r>
      <w:r>
        <w:t xml:space="preserve"> </w:t>
      </w:r>
      <w:r w:rsidRPr="00AB1443">
        <w:t xml:space="preserve">Cochran, William G. </w:t>
      </w:r>
      <w:r w:rsidRPr="00AB1443">
        <w:rPr>
          <w:i/>
          <w:iCs/>
        </w:rPr>
        <w:t>Sampling Techniques</w:t>
      </w:r>
      <w:r w:rsidRPr="00AB1443">
        <w:t>. John Wiley &amp; Sons, 1977.</w:t>
      </w:r>
    </w:p>
  </w:footnote>
  <w:footnote w:id="23">
    <w:p w14:paraId="1A93AEB3" w14:textId="7E35E82D" w:rsidR="00D615CF" w:rsidRDefault="00D615CF">
      <w:pPr>
        <w:pStyle w:val="FootnoteText"/>
      </w:pPr>
      <w:r>
        <w:rPr>
          <w:rStyle w:val="FootnoteReference"/>
        </w:rPr>
        <w:footnoteRef/>
      </w:r>
      <w:r>
        <w:t xml:space="preserve"> </w:t>
      </w:r>
      <w:bookmarkStart w:id="138" w:name="_Hlk192611614"/>
      <w:r w:rsidRPr="00D615CF">
        <w:t xml:space="preserve">Cochran, William Gemmell. </w:t>
      </w:r>
      <w:r w:rsidRPr="009D34C8">
        <w:rPr>
          <w:i/>
          <w:iCs/>
        </w:rPr>
        <w:t>Sampling Techniques</w:t>
      </w:r>
      <w:r w:rsidRPr="00D615CF">
        <w:t>. John Wiley &amp; Sons</w:t>
      </w:r>
      <w:r w:rsidR="00290B97">
        <w:t xml:space="preserve">, </w:t>
      </w:r>
      <w:r w:rsidR="00290B97" w:rsidRPr="00D615CF">
        <w:t xml:space="preserve">1977. </w:t>
      </w:r>
      <w:bookmarkEnd w:id="138"/>
    </w:p>
  </w:footnote>
  <w:footnote w:id="24">
    <w:p w14:paraId="493C0F4B" w14:textId="4FB7F4BA" w:rsidR="00D615CF" w:rsidRDefault="00D615CF">
      <w:pPr>
        <w:pStyle w:val="FootnoteText"/>
      </w:pPr>
      <w:r>
        <w:rPr>
          <w:rStyle w:val="FootnoteReference"/>
        </w:rPr>
        <w:footnoteRef/>
      </w:r>
      <w:r>
        <w:t xml:space="preserve"> </w:t>
      </w:r>
      <w:bookmarkStart w:id="139" w:name="_Hlk192611620"/>
      <w:r w:rsidRPr="00D615CF">
        <w:t xml:space="preserve">Levy, Paul S., and Stanley Lemeshow. </w:t>
      </w:r>
      <w:r w:rsidRPr="009D34C8">
        <w:rPr>
          <w:i/>
          <w:iCs/>
        </w:rPr>
        <w:t xml:space="preserve">Sampling of </w:t>
      </w:r>
      <w:r w:rsidR="00290B97" w:rsidRPr="00290B97">
        <w:rPr>
          <w:i/>
          <w:iCs/>
        </w:rPr>
        <w:t>Populations</w:t>
      </w:r>
      <w:r w:rsidRPr="009D34C8">
        <w:rPr>
          <w:i/>
          <w:iCs/>
        </w:rPr>
        <w:t>: Methods and Applications</w:t>
      </w:r>
      <w:r w:rsidRPr="00D615CF">
        <w:t>. John Wiley &amp; Sons</w:t>
      </w:r>
      <w:r w:rsidR="00290B97">
        <w:t xml:space="preserve">, </w:t>
      </w:r>
      <w:r w:rsidR="00290B97" w:rsidRPr="00D615CF">
        <w:t xml:space="preserve">2008. </w:t>
      </w:r>
      <w:bookmarkEnd w:id="139"/>
    </w:p>
  </w:footnote>
  <w:footnote w:id="25">
    <w:p w14:paraId="1FF5ECE3" w14:textId="607E11DF" w:rsidR="0044357B" w:rsidRDefault="0044357B" w:rsidP="0044357B">
      <w:pPr>
        <w:pStyle w:val="FootnoteText"/>
      </w:pPr>
      <w:r>
        <w:rPr>
          <w:rStyle w:val="FootnoteReference"/>
        </w:rPr>
        <w:footnoteRef/>
      </w:r>
      <w:r>
        <w:t xml:space="preserve"> </w:t>
      </w:r>
      <w:r w:rsidRPr="00D615CF">
        <w:t xml:space="preserve">Cochran, William Gemmell. </w:t>
      </w:r>
      <w:r w:rsidRPr="009D34C8">
        <w:rPr>
          <w:i/>
          <w:iCs/>
        </w:rPr>
        <w:t>Sampling Techniques</w:t>
      </w:r>
      <w:r w:rsidRPr="00D615CF">
        <w:t>. John Wiley &amp; Sons</w:t>
      </w:r>
      <w:r w:rsidR="00290B97">
        <w:t xml:space="preserve">, </w:t>
      </w:r>
      <w:r w:rsidR="00290B97" w:rsidRPr="00D615CF">
        <w:t xml:space="preserve">1977. </w:t>
      </w:r>
    </w:p>
  </w:footnote>
  <w:footnote w:id="26">
    <w:p w14:paraId="388D8566" w14:textId="461EB759" w:rsidR="0044357B" w:rsidRDefault="0044357B" w:rsidP="0044357B">
      <w:pPr>
        <w:pStyle w:val="FootnoteText"/>
      </w:pPr>
      <w:r>
        <w:rPr>
          <w:rStyle w:val="FootnoteReference"/>
        </w:rPr>
        <w:footnoteRef/>
      </w:r>
      <w:r>
        <w:t xml:space="preserve"> </w:t>
      </w:r>
      <w:r w:rsidR="00290B97" w:rsidRPr="00D615CF">
        <w:t xml:space="preserve">Levy, Paul S., and Stanley Lemeshow. </w:t>
      </w:r>
      <w:r w:rsidR="00290B97" w:rsidRPr="009C56F6">
        <w:rPr>
          <w:i/>
          <w:iCs/>
        </w:rPr>
        <w:t xml:space="preserve">Sampling of </w:t>
      </w:r>
      <w:r w:rsidR="00290B97" w:rsidRPr="00290B97">
        <w:rPr>
          <w:i/>
          <w:iCs/>
        </w:rPr>
        <w:t>Populations</w:t>
      </w:r>
      <w:r w:rsidR="00290B97" w:rsidRPr="009C56F6">
        <w:rPr>
          <w:i/>
          <w:iCs/>
        </w:rPr>
        <w:t>: Methods and Applications</w:t>
      </w:r>
      <w:r w:rsidR="00290B97" w:rsidRPr="00D615CF">
        <w:t>. John Wiley &amp; Sons</w:t>
      </w:r>
      <w:r w:rsidR="00290B97">
        <w:t xml:space="preserve">, </w:t>
      </w:r>
      <w:r w:rsidR="00290B97" w:rsidRPr="00D615CF">
        <w:t xml:space="preserve">2008. </w:t>
      </w:r>
    </w:p>
  </w:footnote>
  <w:footnote w:id="27">
    <w:p w14:paraId="10E0ACB8" w14:textId="0531D188" w:rsidR="00587337" w:rsidRDefault="00587337" w:rsidP="00587337">
      <w:pPr>
        <w:pStyle w:val="FootnoteText"/>
      </w:pPr>
      <w:r>
        <w:rPr>
          <w:rStyle w:val="FootnoteReference"/>
        </w:rPr>
        <w:footnoteRef/>
      </w:r>
      <w:r>
        <w:t xml:space="preserve"> For further detail, including achieved CPAS in years not presented in this table, </w:t>
      </w:r>
      <w:r w:rsidR="00C1465C">
        <w:t xml:space="preserve">please see the </w:t>
      </w:r>
      <w:r w:rsidR="00C1465C" w:rsidRPr="00C1465C">
        <w:rPr>
          <w:i/>
          <w:iCs/>
        </w:rPr>
        <w:t>2024 AIC CPAS and AAIG Workbook</w:t>
      </w:r>
      <w:r>
        <w:t>.</w:t>
      </w:r>
    </w:p>
  </w:footnote>
  <w:footnote w:id="28">
    <w:p w14:paraId="552CB1FD" w14:textId="48AAF38E" w:rsidR="00227DD5" w:rsidRDefault="00227DD5">
      <w:pPr>
        <w:pStyle w:val="FootnoteText"/>
      </w:pPr>
      <w:r>
        <w:rPr>
          <w:rStyle w:val="FootnoteReference"/>
        </w:rPr>
        <w:footnoteRef/>
      </w:r>
      <w:r>
        <w:t xml:space="preserve"> </w:t>
      </w:r>
      <w:r w:rsidRPr="00227DD5">
        <w:t>These criteria are specified in AIC’s Virtual Commissioning M&amp;V Plan authored by Power TakeOff and are as follows: the normalized savings uncertainty must be below 50% at 68% confidence; the absolute value of normalized mean bias error (NMBE) must be below 0.5%; and the coefficient of variation of root mean square error [CV(RMSE)] must be below 25%. CV(RMSE) and NMBE are both metrics of how well a regression model explains or fits the data.</w:t>
      </w:r>
    </w:p>
  </w:footnote>
  <w:footnote w:id="29">
    <w:p w14:paraId="1BB8C592" w14:textId="7871B891" w:rsidR="007B7779" w:rsidRDefault="007B7779">
      <w:pPr>
        <w:pStyle w:val="FootnoteText"/>
      </w:pPr>
      <w:r>
        <w:rPr>
          <w:rStyle w:val="FootnoteReference"/>
        </w:rPr>
        <w:footnoteRef/>
      </w:r>
      <w:r>
        <w:t xml:space="preserve"> </w:t>
      </w:r>
      <w:r w:rsidRPr="007B7779">
        <w:t>We identified unique organizations by using unique contacts in the program tracking database.</w:t>
      </w:r>
    </w:p>
  </w:footnote>
  <w:footnote w:id="30">
    <w:p w14:paraId="1F68C7FC" w14:textId="2A66E356" w:rsidR="00704706" w:rsidRDefault="00704706">
      <w:pPr>
        <w:pStyle w:val="FootnoteText"/>
      </w:pPr>
      <w:r>
        <w:rPr>
          <w:rStyle w:val="FootnoteReference"/>
        </w:rPr>
        <w:footnoteRef/>
      </w:r>
      <w:r>
        <w:t xml:space="preserve"> </w:t>
      </w:r>
      <w:r w:rsidRPr="00704706">
        <w:t xml:space="preserve">For further detail, including achieved CPAS in years not presented in this table, </w:t>
      </w:r>
      <w:r w:rsidR="00C1465C">
        <w:t xml:space="preserve">please see the </w:t>
      </w:r>
      <w:r w:rsidR="00C1465C" w:rsidRPr="00C1465C">
        <w:rPr>
          <w:i/>
          <w:iCs/>
        </w:rPr>
        <w:t>2024 AIC CPAS and AAIG Workbook</w:t>
      </w:r>
      <w:r w:rsidRPr="00704706">
        <w:t>.</w:t>
      </w:r>
    </w:p>
  </w:footnote>
  <w:footnote w:id="31">
    <w:p w14:paraId="020F3269" w14:textId="5DEEB3D1" w:rsidR="0065762E" w:rsidRDefault="0065762E">
      <w:pPr>
        <w:pStyle w:val="FootnoteText"/>
      </w:pPr>
      <w:r>
        <w:rPr>
          <w:rStyle w:val="FootnoteReference"/>
        </w:rPr>
        <w:footnoteRef/>
      </w:r>
      <w:r>
        <w:t xml:space="preserve"> For further detail, including CPAS in years not presented in this table, </w:t>
      </w:r>
      <w:r w:rsidR="00C1465C">
        <w:t xml:space="preserve">please see the </w:t>
      </w:r>
      <w:r w:rsidR="00C1465C" w:rsidRPr="00C1465C">
        <w:rPr>
          <w:i/>
          <w:iCs/>
        </w:rPr>
        <w:t>2024 AIC CPAS and AAIG Workbook</w:t>
      </w:r>
      <w:r>
        <w:t xml:space="preserve">. </w:t>
      </w:r>
    </w:p>
  </w:footnote>
  <w:footnote w:id="32">
    <w:p w14:paraId="0AE85B4F" w14:textId="4EB04201" w:rsidR="00DD36E7" w:rsidRDefault="00DD36E7">
      <w:pPr>
        <w:pStyle w:val="FootnoteText"/>
      </w:pPr>
      <w:r>
        <w:rPr>
          <w:rStyle w:val="FootnoteReference"/>
        </w:rPr>
        <w:footnoteRef/>
      </w:r>
      <w:r>
        <w:t xml:space="preserve"> Predominately non-</w:t>
      </w:r>
      <w:r w:rsidR="00290B97">
        <w:t xml:space="preserve">white </w:t>
      </w:r>
      <w:r>
        <w:t>and/or economically challenged communities.</w:t>
      </w:r>
    </w:p>
  </w:footnote>
  <w:footnote w:id="33">
    <w:p w14:paraId="66B48133" w14:textId="0FC4BF68" w:rsidR="00692748" w:rsidRDefault="00692748">
      <w:pPr>
        <w:pStyle w:val="FootnoteText"/>
      </w:pPr>
      <w:r>
        <w:rPr>
          <w:rStyle w:val="FootnoteReference"/>
        </w:rPr>
        <w:footnoteRef/>
      </w:r>
      <w:r>
        <w:t xml:space="preserve"> For further detail, including achieved CPAS in years not presented in this table, </w:t>
      </w:r>
      <w:r w:rsidR="00C1465C">
        <w:t xml:space="preserve">please see the </w:t>
      </w:r>
      <w:r w:rsidR="00C1465C" w:rsidRPr="00C1465C">
        <w:rPr>
          <w:i/>
          <w:iCs/>
        </w:rPr>
        <w:t>2024 AIC CPAS and AAIG Workbook</w:t>
      </w:r>
      <w:r>
        <w:t>.</w:t>
      </w:r>
    </w:p>
  </w:footnote>
  <w:footnote w:id="34">
    <w:p w14:paraId="667FDB3B" w14:textId="66C446C0" w:rsidR="00C53208" w:rsidRDefault="00C53208">
      <w:pPr>
        <w:pStyle w:val="FootnoteText"/>
      </w:pPr>
      <w:r>
        <w:rPr>
          <w:rStyle w:val="FootnoteReference"/>
        </w:rPr>
        <w:footnoteRef/>
      </w:r>
      <w:r>
        <w:t xml:space="preserve"> </w:t>
      </w:r>
      <w:r w:rsidRPr="00C53208">
        <w:t xml:space="preserve">The ENERGY STAR® name and mark are registered trademarks owned by the US EPA. </w:t>
      </w:r>
    </w:p>
  </w:footnote>
  <w:footnote w:id="35">
    <w:p w14:paraId="3F870AD8" w14:textId="493D6255" w:rsidR="000A439D" w:rsidRDefault="000A439D">
      <w:pPr>
        <w:pStyle w:val="FootnoteText"/>
      </w:pPr>
      <w:r>
        <w:rPr>
          <w:rStyle w:val="FootnoteReference"/>
        </w:rPr>
        <w:footnoteRef/>
      </w:r>
      <w:r>
        <w:t xml:space="preserve"> For further detail, including achieved CPAS in years not presented in this table, </w:t>
      </w:r>
      <w:r w:rsidR="00C1465C">
        <w:t xml:space="preserve">please see the </w:t>
      </w:r>
      <w:r w:rsidR="00C1465C" w:rsidRPr="00C1465C">
        <w:rPr>
          <w:i/>
          <w:iCs/>
        </w:rPr>
        <w:t>2024 AIC CPAS and AAIG Workbook</w:t>
      </w:r>
      <w:r>
        <w:t>.</w:t>
      </w:r>
    </w:p>
  </w:footnote>
  <w:footnote w:id="36">
    <w:p w14:paraId="27A38F90" w14:textId="0A7DEAA9" w:rsidR="008552F0" w:rsidRDefault="008552F0">
      <w:pPr>
        <w:pStyle w:val="FootnoteText"/>
      </w:pPr>
      <w:r>
        <w:rPr>
          <w:rStyle w:val="FootnoteReference"/>
        </w:rPr>
        <w:footnoteRef/>
      </w:r>
      <w:r>
        <w:t xml:space="preserve"> The memorandum titled “Recommendations for Verifying Savings for non-HVAC VFDs” was submitted in response to program administrator comments regarding the PY2 evaluation methods for non-HVAC VFDs.</w:t>
      </w:r>
    </w:p>
  </w:footnote>
  <w:footnote w:id="37">
    <w:p w14:paraId="30BE7AC8" w14:textId="55B6AB25" w:rsidR="00130CAB" w:rsidRDefault="00130CAB">
      <w:pPr>
        <w:pStyle w:val="FootnoteText"/>
      </w:pPr>
      <w:r>
        <w:rPr>
          <w:rStyle w:val="FootnoteReference"/>
        </w:rPr>
        <w:footnoteRef/>
      </w:r>
      <w:r>
        <w:t xml:space="preserve"> </w:t>
      </w:r>
      <w:r w:rsidRPr="00130CAB">
        <w:t xml:space="preserve">Dalenius, Tore, and Joseph L. Hodges. “Minimum Variance Stratification.” </w:t>
      </w:r>
      <w:r w:rsidRPr="009D34C8">
        <w:rPr>
          <w:i/>
          <w:iCs/>
        </w:rPr>
        <w:t>Journal of the American Statistical Association</w:t>
      </w:r>
      <w:r w:rsidRPr="00130CAB">
        <w:t xml:space="preserve"> 54, no. 285 (1959): 88–101. </w:t>
      </w:r>
      <w:hyperlink r:id="rId5" w:history="1">
        <w:r w:rsidR="00290B97" w:rsidRPr="00370A59">
          <w:rPr>
            <w:rStyle w:val="Hyperlink"/>
            <w:rFonts w:ascii="Franklin Gothic Book" w:hAnsi="Franklin Gothic Book"/>
            <w:noProof w:val="0"/>
            <w:sz w:val="18"/>
          </w:rPr>
          <w:t>https://doi.org/10.2307/2282141</w:t>
        </w:r>
      </w:hyperlink>
      <w:r w:rsidR="00290B97">
        <w:t xml:space="preserve">. </w:t>
      </w:r>
    </w:p>
  </w:footnote>
  <w:footnote w:id="38">
    <w:p w14:paraId="65F86879" w14:textId="79DB1081" w:rsidR="00130CAB" w:rsidRDefault="00130CAB">
      <w:pPr>
        <w:pStyle w:val="FootnoteText"/>
      </w:pPr>
      <w:r>
        <w:rPr>
          <w:rStyle w:val="FootnoteReference"/>
        </w:rPr>
        <w:footnoteRef/>
      </w:r>
      <w:r>
        <w:t xml:space="preserve"> </w:t>
      </w:r>
      <w:r w:rsidRPr="00130CAB">
        <w:t xml:space="preserve">Neyman, Jerzy. “On the Two Different Aspects of the Representative Method: The Method of Stratified Sampling and the Method of Purposive Selection.” </w:t>
      </w:r>
      <w:r w:rsidRPr="009D34C8">
        <w:rPr>
          <w:i/>
          <w:iCs/>
        </w:rPr>
        <w:t>Journal of the Royal Statistical Society</w:t>
      </w:r>
      <w:r w:rsidRPr="00130CAB">
        <w:t xml:space="preserve"> 97, no. 4 (1934): 558–625. </w:t>
      </w:r>
      <w:hyperlink r:id="rId6" w:history="1">
        <w:r w:rsidR="00290B97" w:rsidRPr="00370A59">
          <w:rPr>
            <w:rStyle w:val="Hyperlink"/>
            <w:rFonts w:ascii="Franklin Gothic Book" w:hAnsi="Franklin Gothic Book"/>
            <w:noProof w:val="0"/>
            <w:sz w:val="18"/>
          </w:rPr>
          <w:t>https://doi.org/10.2307/2342192</w:t>
        </w:r>
      </w:hyperlink>
      <w:r w:rsidR="00290B97">
        <w:t xml:space="preserve">. </w:t>
      </w:r>
      <w:r w:rsidRPr="00130CAB">
        <w:t xml:space="preserve"> </w:t>
      </w:r>
    </w:p>
  </w:footnote>
  <w:footnote w:id="39">
    <w:p w14:paraId="6BFD8CF8" w14:textId="5C50AE6D" w:rsidR="009C1EBC" w:rsidRDefault="009C1EBC">
      <w:pPr>
        <w:pStyle w:val="FootnoteText"/>
      </w:pPr>
      <w:r>
        <w:rPr>
          <w:rStyle w:val="FootnoteReference"/>
        </w:rPr>
        <w:footnoteRef/>
      </w:r>
      <w:r>
        <w:t xml:space="preserve"> </w:t>
      </w:r>
      <w:r w:rsidR="00A932A2">
        <w:t>Nine</w:t>
      </w:r>
      <w:r w:rsidRPr="009C1EBC">
        <w:t xml:space="preserve"> projects were sampled as part of both the electric and gas samples.</w:t>
      </w:r>
    </w:p>
  </w:footnote>
  <w:footnote w:id="40">
    <w:p w14:paraId="3B3AFBB3" w14:textId="1E15A9DB" w:rsidR="00130CAB" w:rsidRDefault="00130CAB">
      <w:pPr>
        <w:pStyle w:val="FootnoteText"/>
      </w:pPr>
      <w:r>
        <w:rPr>
          <w:rStyle w:val="FootnoteReference"/>
        </w:rPr>
        <w:footnoteRef/>
      </w:r>
      <w:r>
        <w:t xml:space="preserve"> </w:t>
      </w:r>
      <w:r w:rsidRPr="00130CAB">
        <w:t xml:space="preserve">Cochran, William Gemmell. </w:t>
      </w:r>
      <w:r w:rsidRPr="009D34C8">
        <w:rPr>
          <w:i/>
          <w:iCs/>
        </w:rPr>
        <w:t>Sampling Techniques</w:t>
      </w:r>
      <w:r w:rsidRPr="00130CAB">
        <w:t>. John Wiley &amp; Sons</w:t>
      </w:r>
      <w:r w:rsidR="00290B97">
        <w:t>, 1977</w:t>
      </w:r>
      <w:r w:rsidRPr="00130CAB">
        <w:t>.</w:t>
      </w:r>
    </w:p>
  </w:footnote>
  <w:footnote w:id="41">
    <w:p w14:paraId="283A3C5F" w14:textId="2DEE37ED" w:rsidR="00130CAB" w:rsidRDefault="00130CAB">
      <w:pPr>
        <w:pStyle w:val="FootnoteText"/>
      </w:pPr>
      <w:r>
        <w:rPr>
          <w:rStyle w:val="FootnoteReference"/>
        </w:rPr>
        <w:footnoteRef/>
      </w:r>
      <w:r>
        <w:t xml:space="preserve"> </w:t>
      </w:r>
      <w:r w:rsidRPr="00130CAB">
        <w:t>Levy, Paul S., and Stanley Lemeshow</w:t>
      </w:r>
      <w:r w:rsidRPr="009D34C8">
        <w:rPr>
          <w:i/>
          <w:iCs/>
        </w:rPr>
        <w:t xml:space="preserve">. Sampling of </w:t>
      </w:r>
      <w:r w:rsidR="00290B97">
        <w:rPr>
          <w:i/>
          <w:iCs/>
        </w:rPr>
        <w:t>P</w:t>
      </w:r>
      <w:r w:rsidRPr="009D34C8">
        <w:rPr>
          <w:i/>
          <w:iCs/>
        </w:rPr>
        <w:t>opulations: Methods and Applications</w:t>
      </w:r>
      <w:r w:rsidRPr="00130CAB">
        <w:t>. John Wiley &amp; Sons</w:t>
      </w:r>
      <w:r w:rsidR="00290B97">
        <w:t xml:space="preserve">, </w:t>
      </w:r>
      <w:r w:rsidR="00290B97" w:rsidRPr="00130CAB">
        <w:t>2008</w:t>
      </w:r>
      <w:r w:rsidRPr="00130CAB">
        <w:t>.</w:t>
      </w:r>
    </w:p>
  </w:footnote>
  <w:footnote w:id="42">
    <w:p w14:paraId="453E9EC0" w14:textId="26E44349" w:rsidR="00130CAB" w:rsidRDefault="00130CAB">
      <w:pPr>
        <w:pStyle w:val="FootnoteText"/>
      </w:pPr>
      <w:r>
        <w:rPr>
          <w:rStyle w:val="FootnoteReference"/>
        </w:rPr>
        <w:footnoteRef/>
      </w:r>
      <w:r>
        <w:t xml:space="preserve"> The population number represents the population of completed 2024 projects which produced electric energy or gas savings.</w:t>
      </w:r>
    </w:p>
  </w:footnote>
  <w:footnote w:id="43">
    <w:p w14:paraId="0DCF6959" w14:textId="08AC98A8" w:rsidR="009C1EBC" w:rsidRDefault="009C1EBC">
      <w:pPr>
        <w:pStyle w:val="FootnoteText"/>
      </w:pPr>
      <w:r>
        <w:rPr>
          <w:rStyle w:val="FootnoteReference"/>
        </w:rPr>
        <w:footnoteRef/>
      </w:r>
      <w:r>
        <w:t xml:space="preserve"> </w:t>
      </w:r>
      <w:r w:rsidRPr="009C1EBC">
        <w:t>The error bound of the total savings is estimated by calculating the square root of the sum of the squared error bounds of each wave or group of projects. These calculations are consistent with the California Evaluation Framework</w:t>
      </w:r>
      <w:r>
        <w:t>.</w:t>
      </w:r>
    </w:p>
  </w:footnote>
  <w:footnote w:id="44">
    <w:p w14:paraId="390E9C0F" w14:textId="0EFE6C4E" w:rsidR="00F71AB0" w:rsidRDefault="00F71AB0">
      <w:pPr>
        <w:pStyle w:val="FootnoteText"/>
      </w:pPr>
      <w:r>
        <w:rPr>
          <w:rStyle w:val="FootnoteReference"/>
        </w:rPr>
        <w:footnoteRef/>
      </w:r>
      <w:r>
        <w:t xml:space="preserve"> I</w:t>
      </w:r>
      <w:r w:rsidRPr="00F71AB0">
        <w:t>llinois Statewide Technical Reference Manual</w:t>
      </w:r>
      <w:r>
        <w:t xml:space="preserve"> </w:t>
      </w:r>
      <w:r w:rsidRPr="00F71AB0">
        <w:t>V1</w:t>
      </w:r>
      <w:r>
        <w:t>2</w:t>
      </w:r>
      <w:r w:rsidRPr="00F71AB0">
        <w:t>.0 – Attachment B: Effective Useful Life for Custom Measure Guidelines.</w:t>
      </w:r>
    </w:p>
  </w:footnote>
  <w:footnote w:id="45">
    <w:p w14:paraId="3D3D6D5C" w14:textId="5BF795B4" w:rsidR="00F71AB0" w:rsidRDefault="00F71AB0">
      <w:pPr>
        <w:pStyle w:val="FootnoteText"/>
      </w:pPr>
      <w:r>
        <w:rPr>
          <w:rStyle w:val="FootnoteReference"/>
        </w:rPr>
        <w:footnoteRef/>
      </w:r>
      <w:r>
        <w:t xml:space="preserve"> </w:t>
      </w:r>
      <w:r w:rsidRPr="00F71AB0">
        <w:t>Illinois Statewide Technical Reference Manual V1</w:t>
      </w:r>
      <w:r>
        <w:t>2</w:t>
      </w:r>
      <w:r w:rsidRPr="00F71AB0">
        <w:t>.0 – Attachment B: Effective Useful Life for Custom Measure Guidelines.</w:t>
      </w:r>
    </w:p>
  </w:footnote>
  <w:footnote w:id="46">
    <w:p w14:paraId="034F9CA8" w14:textId="77777777" w:rsidR="00EC08F3" w:rsidRDefault="00EC08F3" w:rsidP="00EC08F3">
      <w:pPr>
        <w:pStyle w:val="FootnoteText"/>
      </w:pPr>
      <w:r>
        <w:rPr>
          <w:rStyle w:val="FootnoteReference"/>
        </w:rPr>
        <w:footnoteRef/>
      </w:r>
      <w:r>
        <w:t xml:space="preserve"> </w:t>
      </w:r>
      <w:r w:rsidRPr="009D34C8">
        <w:rPr>
          <w:i/>
          <w:iCs/>
        </w:rPr>
        <w:t>Uncertainty Assessment for IPMVP.</w:t>
      </w:r>
      <w:r w:rsidRPr="00DF0519">
        <w:t xml:space="preserve"> Efficiency Valuation Organization (EVO). 2019.</w:t>
      </w:r>
    </w:p>
  </w:footnote>
  <w:footnote w:id="47">
    <w:p w14:paraId="32C6FDB3" w14:textId="18E153CA" w:rsidR="00793916" w:rsidRDefault="00793916">
      <w:pPr>
        <w:pStyle w:val="FootnoteText"/>
      </w:pPr>
      <w:r>
        <w:rPr>
          <w:rStyle w:val="FootnoteReference"/>
        </w:rPr>
        <w:footnoteRef/>
      </w:r>
      <w:r>
        <w:t xml:space="preserve"> </w:t>
      </w:r>
      <w:r w:rsidR="00290B97">
        <w:t xml:space="preserve">Illinois Statewide Technical Resource Manual — Volume 4: Cross-Cutting Measures and Attachments. Accessed at: </w:t>
      </w:r>
      <w:hyperlink r:id="rId7" w:history="1">
        <w:r w:rsidR="00290B97" w:rsidRPr="00370A59">
          <w:rPr>
            <w:rStyle w:val="Hyperlink"/>
            <w:rFonts w:ascii="Franklin Gothic Book" w:hAnsi="Franklin Gothic Book"/>
            <w:noProof w:val="0"/>
            <w:sz w:val="18"/>
          </w:rPr>
          <w:t>https://www.ilsag.info/wp-content/uploads/IL-TRM_Effective_010124_v12.0_Vol_4_X-Cutting_Measures_and_Attach_09222023_FINAL.pdf</w:t>
        </w:r>
      </w:hyperlink>
      <w:r w:rsidR="00290B97">
        <w:t xml:space="preserve">. </w:t>
      </w:r>
      <w:r w:rsidRPr="00793916">
        <w:t xml:space="preserve"> </w:t>
      </w:r>
    </w:p>
  </w:footnote>
  <w:footnote w:id="48">
    <w:p w14:paraId="3EB488A0" w14:textId="77777777" w:rsidR="004D12D6" w:rsidRDefault="004D12D6" w:rsidP="004D12D6">
      <w:pPr>
        <w:pStyle w:val="FootnoteText"/>
      </w:pPr>
      <w:r>
        <w:rPr>
          <w:rStyle w:val="FootnoteReference"/>
        </w:rPr>
        <w:footnoteRef/>
      </w:r>
      <w:r>
        <w:t xml:space="preserve"> </w:t>
      </w:r>
      <w:r w:rsidRPr="009D34C8">
        <w:rPr>
          <w:i/>
          <w:iCs/>
        </w:rPr>
        <w:t>Uncertainty Assessment for IPMVP</w:t>
      </w:r>
      <w:r w:rsidRPr="00064179">
        <w:t>. Efficiency Valuation Organization (EVO). 2019.</w:t>
      </w:r>
    </w:p>
  </w:footnote>
  <w:footnote w:id="49">
    <w:p w14:paraId="667C7F0A" w14:textId="61B51B20" w:rsidR="008A6E3B" w:rsidRDefault="008A6E3B">
      <w:pPr>
        <w:pStyle w:val="FootnoteText"/>
      </w:pPr>
      <w:r>
        <w:rPr>
          <w:rStyle w:val="FootnoteReference"/>
        </w:rPr>
        <w:footnoteRef/>
      </w:r>
      <w:r>
        <w:t xml:space="preserve"> </w:t>
      </w:r>
      <w:r w:rsidR="00A56599">
        <w:t xml:space="preserve">Illinois Statewide Technical Resource Manual — Volume 4: Cross-Cutting Measures and Attachments. Accessed at: </w:t>
      </w:r>
      <w:hyperlink r:id="rId8" w:history="1">
        <w:r w:rsidR="00A56599" w:rsidRPr="00370A59">
          <w:rPr>
            <w:rStyle w:val="Hyperlink"/>
            <w:rFonts w:ascii="Franklin Gothic Book" w:hAnsi="Franklin Gothic Book"/>
            <w:noProof w:val="0"/>
            <w:sz w:val="18"/>
          </w:rPr>
          <w:t>https://www.ilsag.info/wp-content/uploads/IL-TRM_Effective_010124_v12.0_Vol_4_X-Cutting_Measures_and_Attach_09222023_FINAL.pdf</w:t>
        </w:r>
      </w:hyperlink>
      <w:r w:rsidR="00A56599">
        <w:t xml:space="preserve">. </w:t>
      </w:r>
      <w:r w:rsidR="00A56599" w:rsidRPr="00793916">
        <w:t xml:space="preserve"> </w:t>
      </w:r>
    </w:p>
  </w:footnote>
  <w:footnote w:id="50">
    <w:p w14:paraId="14D49D58" w14:textId="1AD888FE" w:rsidR="00F71AB0" w:rsidRDefault="00F71AB0">
      <w:pPr>
        <w:pStyle w:val="FootnoteText"/>
      </w:pPr>
      <w:r>
        <w:rPr>
          <w:rStyle w:val="FootnoteReference"/>
        </w:rPr>
        <w:footnoteRef/>
      </w:r>
      <w:r>
        <w:t xml:space="preserve"> </w:t>
      </w:r>
      <w:r w:rsidR="00941E9C" w:rsidRPr="00941E9C">
        <w:t>All evaluated streetlights in 202</w:t>
      </w:r>
      <w:r w:rsidR="00941E9C">
        <w:t>4</w:t>
      </w:r>
      <w:r w:rsidR="00941E9C" w:rsidRPr="00941E9C">
        <w:t xml:space="preserve"> were determined to be under standard operation</w:t>
      </w:r>
      <w:r w:rsidR="00941E9C">
        <w:t>.</w:t>
      </w:r>
    </w:p>
  </w:footnote>
  <w:footnote w:id="51">
    <w:p w14:paraId="5B348C20" w14:textId="73177B75" w:rsidR="00037616" w:rsidRDefault="00037616">
      <w:pPr>
        <w:pStyle w:val="FootnoteText"/>
      </w:pPr>
      <w:r>
        <w:rPr>
          <w:rStyle w:val="FootnoteReference"/>
        </w:rPr>
        <w:footnoteRef/>
      </w:r>
      <w:r>
        <w:t xml:space="preserve"> </w:t>
      </w:r>
      <w:r w:rsidRPr="00037616">
        <w:t xml:space="preserve">Illinois Energy Efficiency Policy Manual. Section 7.7. </w:t>
      </w:r>
      <w:r w:rsidR="00A56599">
        <w:t xml:space="preserve">Accessed at: </w:t>
      </w:r>
      <w:hyperlink r:id="rId9" w:history="1">
        <w:r w:rsidR="00A56599" w:rsidRPr="00A56599">
          <w:rPr>
            <w:rStyle w:val="Hyperlink"/>
            <w:rFonts w:ascii="Franklin Gothic Book" w:hAnsi="Franklin Gothic Book"/>
            <w:noProof w:val="0"/>
            <w:sz w:val="18"/>
          </w:rPr>
          <w:t>https://www.ilsag.info/wp-content/uploads/IL_EE_Policy_Manual_Version_3.0_Final_11-3-2023.pdf</w:t>
        </w:r>
      </w:hyperlink>
      <w:r w:rsidR="00A56599">
        <w:t>.</w:t>
      </w:r>
    </w:p>
  </w:footnote>
  <w:footnote w:id="52">
    <w:p w14:paraId="5B7AB81B" w14:textId="2FC4F087" w:rsidR="00037616" w:rsidRDefault="00037616">
      <w:pPr>
        <w:pStyle w:val="FootnoteText"/>
      </w:pPr>
      <w:r>
        <w:rPr>
          <w:rStyle w:val="FootnoteReference"/>
        </w:rPr>
        <w:footnoteRef/>
      </w:r>
      <w:r>
        <w:t xml:space="preserve"> </w:t>
      </w:r>
      <w:r w:rsidRPr="00037616">
        <w:t xml:space="preserve">AIC is required to account for </w:t>
      </w:r>
      <w:r w:rsidRPr="007B7779">
        <w:rPr>
          <w:i/>
          <w:iCs/>
        </w:rPr>
        <w:t>electric</w:t>
      </w:r>
      <w:r w:rsidRPr="00037616">
        <w:t xml:space="preserve"> heating penalties resulting from the installation of energy efficiency measures designed to save electricity, and those effects are accounted for throughout this report.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9221D" w14:textId="77777777" w:rsidR="00311011" w:rsidRDefault="00311011" w:rsidP="00E249F6">
    <w:pPr>
      <w:tabs>
        <w:tab w:val="right" w:pos="11106"/>
      </w:tabs>
    </w:pPr>
    <w:r>
      <w:rPr>
        <w:noProof/>
      </w:rPr>
      <w:drawing>
        <wp:anchor distT="0" distB="0" distL="114300" distR="114300" simplePos="0" relativeHeight="251684864" behindDoc="0" locked="1" layoutInCell="1" allowOverlap="1" wp14:anchorId="2EBF6C5B" wp14:editId="00ACAD96">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1156647550" name="Picture 115664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087BF" w14:textId="77777777" w:rsidR="00311011" w:rsidRDefault="00311011">
    <w:r>
      <w:rPr>
        <w:noProof/>
      </w:rPr>
      <w:drawing>
        <wp:anchor distT="0" distB="0" distL="114300" distR="114300" simplePos="0" relativeHeight="251685888" behindDoc="0" locked="1" layoutInCell="1" allowOverlap="1" wp14:anchorId="7B8C14C0" wp14:editId="480511F8">
          <wp:simplePos x="0" y="0"/>
          <wp:positionH relativeFrom="page">
            <wp:posOffset>360045</wp:posOffset>
          </wp:positionH>
          <wp:positionV relativeFrom="page">
            <wp:posOffset>252095</wp:posOffset>
          </wp:positionV>
          <wp:extent cx="7896225" cy="266700"/>
          <wp:effectExtent l="0" t="0" r="9525" b="0"/>
          <wp:wrapThrough wrapText="bothSides">
            <wp:wrapPolygon edited="0">
              <wp:start x="0" y="0"/>
              <wp:lineTo x="0" y="20057"/>
              <wp:lineTo x="21574" y="20057"/>
              <wp:lineTo x="21574" y="0"/>
              <wp:lineTo x="0" y="0"/>
            </wp:wrapPolygon>
          </wp:wrapThrough>
          <wp:docPr id="98397923" name="Picture 98397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8624E" w14:textId="77777777" w:rsidR="00D46533" w:rsidRDefault="00D46533" w:rsidP="00AE2204">
    <w:r>
      <w:rPr>
        <w:noProof/>
      </w:rPr>
      <w:drawing>
        <wp:anchor distT="0" distB="0" distL="114300" distR="114300" simplePos="0" relativeHeight="251682816" behindDoc="0" locked="1" layoutInCell="1" allowOverlap="1" wp14:anchorId="44904267" wp14:editId="6D504581">
          <wp:simplePos x="0" y="0"/>
          <wp:positionH relativeFrom="page">
            <wp:posOffset>0</wp:posOffset>
          </wp:positionH>
          <wp:positionV relativeFrom="page">
            <wp:posOffset>0</wp:posOffset>
          </wp:positionV>
          <wp:extent cx="7896225" cy="266700"/>
          <wp:effectExtent l="0" t="0" r="9525" b="0"/>
          <wp:wrapThrough wrapText="bothSides">
            <wp:wrapPolygon edited="0">
              <wp:start x="0" y="0"/>
              <wp:lineTo x="0" y="20057"/>
              <wp:lineTo x="21574" y="20057"/>
              <wp:lineTo x="21574"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96225" cy="266700"/>
                  </a:xfrm>
                  <a:prstGeom prst="rect">
                    <a:avLst/>
                  </a:prstGeom>
                </pic:spPr>
              </pic:pic>
            </a:graphicData>
          </a:graphic>
          <wp14:sizeRelH relativeFrom="margin">
            <wp14:pctWidth>0</wp14:pctWidth>
          </wp14:sizeRelH>
          <wp14:sizeRelV relativeFrom="margin">
            <wp14:pctHeight>0</wp14:pctHeight>
          </wp14:sizeRelV>
        </wp:anchor>
      </w:drawing>
    </w:r>
  </w:p>
  <w:p w14:paraId="7DB6F213" w14:textId="77777777" w:rsidR="00210097" w:rsidRDefault="0021009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CB2DD" w14:textId="77777777" w:rsidR="00E842FE" w:rsidRDefault="00A53C8F">
    <w:r>
      <w:rPr>
        <w:noProof/>
      </w:rPr>
      <w:drawing>
        <wp:anchor distT="0" distB="0" distL="114300" distR="114300" simplePos="0" relativeHeight="251669504" behindDoc="0" locked="1" layoutInCell="1" allowOverlap="1" wp14:anchorId="3B8748C5" wp14:editId="3C178112">
          <wp:simplePos x="0" y="0"/>
          <wp:positionH relativeFrom="page">
            <wp:posOffset>-64135</wp:posOffset>
          </wp:positionH>
          <wp:positionV relativeFrom="page">
            <wp:posOffset>0</wp:posOffset>
          </wp:positionV>
          <wp:extent cx="10128885" cy="266700"/>
          <wp:effectExtent l="0" t="0" r="5715" b="0"/>
          <wp:wrapThrough wrapText="bothSides">
            <wp:wrapPolygon edited="0">
              <wp:start x="0" y="0"/>
              <wp:lineTo x="0" y="20057"/>
              <wp:lineTo x="21572" y="20057"/>
              <wp:lineTo x="21572" y="0"/>
              <wp:lineTo x="0" y="0"/>
            </wp:wrapPolygon>
          </wp:wrapThrough>
          <wp:docPr id="1207722398" name="Picture 120772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0128885" cy="2667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1855B" w14:textId="77777777" w:rsidR="00344C23" w:rsidRDefault="00344C2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CF104C38"/>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FDC63BA"/>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75F80716"/>
    <w:lvl w:ilvl="0">
      <w:start w:val="1"/>
      <w:numFmt w:val="bullet"/>
      <w:pStyle w:val="Bullet1"/>
      <w:lvlText w:val=""/>
      <w:lvlJc w:val="left"/>
      <w:pPr>
        <w:ind w:left="720" w:hanging="360"/>
      </w:pPr>
      <w:rPr>
        <w:rFonts w:ascii="Wingdings" w:hAnsi="Wingdings" w:hint="default"/>
        <w:color w:val="053572"/>
        <w:sz w:val="22"/>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3" w15:restartNumberingAfterBreak="0">
    <w:nsid w:val="00000002"/>
    <w:multiLevelType w:val="multilevel"/>
    <w:tmpl w:val="75F80716"/>
    <w:lvl w:ilvl="0">
      <w:start w:val="1"/>
      <w:numFmt w:val="bullet"/>
      <w:pStyle w:val="Bullet2"/>
      <w:lvlText w:val=""/>
      <w:lvlJc w:val="left"/>
      <w:pPr>
        <w:ind w:left="720" w:hanging="360"/>
      </w:pPr>
      <w:rPr>
        <w:rFonts w:ascii="Wingdings" w:hAnsi="Wingdings" w:hint="default"/>
        <w:color w:val="053572"/>
        <w:sz w:val="22"/>
      </w:rPr>
    </w:lvl>
    <w:lvl w:ilvl="1">
      <w:start w:val="1"/>
      <w:numFmt w:val="bullet"/>
      <w:pStyle w:val="Bullet2"/>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4" w15:restartNumberingAfterBreak="0">
    <w:nsid w:val="00000003"/>
    <w:multiLevelType w:val="multilevel"/>
    <w:tmpl w:val="75F80716"/>
    <w:lvl w:ilvl="0">
      <w:start w:val="1"/>
      <w:numFmt w:val="bullet"/>
      <w:lvlText w:val=""/>
      <w:lvlJc w:val="left"/>
      <w:pPr>
        <w:ind w:left="720" w:hanging="360"/>
      </w:pPr>
      <w:rPr>
        <w:rFonts w:ascii="Wingdings" w:hAnsi="Wingdings" w:hint="default"/>
        <w:color w:val="053572"/>
        <w:sz w:val="22"/>
      </w:rPr>
    </w:lvl>
    <w:lvl w:ilvl="1">
      <w:start w:val="1"/>
      <w:numFmt w:val="bullet"/>
      <w:pStyle w:val="Bullet3"/>
      <w:lvlText w:val=""/>
      <w:lvlJc w:val="left"/>
      <w:pPr>
        <w:ind w:left="1080" w:hanging="360"/>
      </w:pPr>
      <w:rPr>
        <w:rFonts w:ascii="Wingdings" w:hAnsi="Wingdings" w:hint="default"/>
        <w:color w:val="1295D8"/>
        <w:sz w:val="22"/>
      </w:rPr>
    </w:lvl>
    <w:lvl w:ilvl="2">
      <w:start w:val="1"/>
      <w:numFmt w:val="bullet"/>
      <w:lvlRestart w:val="0"/>
      <w:pStyle w:val="Bullet3"/>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5" w15:restartNumberingAfterBreak="0">
    <w:nsid w:val="00000004"/>
    <w:multiLevelType w:val="hybridMultilevel"/>
    <w:tmpl w:val="1B8E5A38"/>
    <w:lvl w:ilvl="0" w:tplc="7AF6CC48">
      <w:start w:val="1"/>
      <w:numFmt w:val="decimal"/>
      <w:pStyle w:val="CaptionFigure"/>
      <w:suff w:val="space"/>
      <w:lvlText w:val="Figure %1."/>
      <w:lvlJc w:val="left"/>
      <w:pPr>
        <w:ind w:left="0" w:firstLine="0"/>
      </w:pPr>
      <w:rPr>
        <w:rFonts w:hint="default"/>
      </w:rPr>
    </w:lvl>
    <w:lvl w:ilvl="1" w:tplc="7BF24E5E" w:tentative="1">
      <w:start w:val="1"/>
      <w:numFmt w:val="lowerLetter"/>
      <w:lvlText w:val="%2."/>
      <w:lvlJc w:val="left"/>
      <w:pPr>
        <w:ind w:left="1440" w:hanging="360"/>
      </w:pPr>
    </w:lvl>
    <w:lvl w:ilvl="2" w:tplc="F168DD18" w:tentative="1">
      <w:start w:val="1"/>
      <w:numFmt w:val="lowerRoman"/>
      <w:lvlText w:val="%3."/>
      <w:lvlJc w:val="right"/>
      <w:pPr>
        <w:ind w:left="2160" w:hanging="180"/>
      </w:pPr>
    </w:lvl>
    <w:lvl w:ilvl="3" w:tplc="A60EEB6E" w:tentative="1">
      <w:start w:val="1"/>
      <w:numFmt w:val="decimal"/>
      <w:lvlText w:val="%4."/>
      <w:lvlJc w:val="left"/>
      <w:pPr>
        <w:ind w:left="2880" w:hanging="360"/>
      </w:pPr>
    </w:lvl>
    <w:lvl w:ilvl="4" w:tplc="A17489F8" w:tentative="1">
      <w:start w:val="1"/>
      <w:numFmt w:val="lowerLetter"/>
      <w:lvlText w:val="%5."/>
      <w:lvlJc w:val="left"/>
      <w:pPr>
        <w:ind w:left="3600" w:hanging="360"/>
      </w:pPr>
    </w:lvl>
    <w:lvl w:ilvl="5" w:tplc="600C179E" w:tentative="1">
      <w:start w:val="1"/>
      <w:numFmt w:val="lowerRoman"/>
      <w:lvlText w:val="%6."/>
      <w:lvlJc w:val="right"/>
      <w:pPr>
        <w:ind w:left="4320" w:hanging="180"/>
      </w:pPr>
    </w:lvl>
    <w:lvl w:ilvl="6" w:tplc="6E02CEE4" w:tentative="1">
      <w:start w:val="1"/>
      <w:numFmt w:val="decimal"/>
      <w:lvlText w:val="%7."/>
      <w:lvlJc w:val="left"/>
      <w:pPr>
        <w:ind w:left="5040" w:hanging="360"/>
      </w:pPr>
    </w:lvl>
    <w:lvl w:ilvl="7" w:tplc="BF0A646A" w:tentative="1">
      <w:start w:val="1"/>
      <w:numFmt w:val="lowerLetter"/>
      <w:lvlText w:val="%8."/>
      <w:lvlJc w:val="left"/>
      <w:pPr>
        <w:ind w:left="5760" w:hanging="360"/>
      </w:pPr>
    </w:lvl>
    <w:lvl w:ilvl="8" w:tplc="CC1CF72C" w:tentative="1">
      <w:start w:val="1"/>
      <w:numFmt w:val="lowerRoman"/>
      <w:lvlText w:val="%9."/>
      <w:lvlJc w:val="right"/>
      <w:pPr>
        <w:ind w:left="6480" w:hanging="180"/>
      </w:pPr>
    </w:lvl>
  </w:abstractNum>
  <w:abstractNum w:abstractNumId="6" w15:restartNumberingAfterBreak="0">
    <w:nsid w:val="00000005"/>
    <w:multiLevelType w:val="hybridMultilevel"/>
    <w:tmpl w:val="F0A220D0"/>
    <w:lvl w:ilvl="0" w:tplc="5B1CC83A">
      <w:start w:val="1"/>
      <w:numFmt w:val="decimal"/>
      <w:pStyle w:val="CaptionTable"/>
      <w:suff w:val="space"/>
      <w:lvlText w:val="Table %1."/>
      <w:lvlJc w:val="left"/>
      <w:pPr>
        <w:ind w:left="0" w:firstLine="0"/>
      </w:pPr>
      <w:rPr>
        <w:rFonts w:hint="default"/>
      </w:rPr>
    </w:lvl>
    <w:lvl w:ilvl="1" w:tplc="093EE0BA" w:tentative="1">
      <w:start w:val="1"/>
      <w:numFmt w:val="lowerLetter"/>
      <w:lvlText w:val="%2."/>
      <w:lvlJc w:val="left"/>
      <w:pPr>
        <w:ind w:left="1440" w:hanging="360"/>
      </w:pPr>
    </w:lvl>
    <w:lvl w:ilvl="2" w:tplc="D1D43996" w:tentative="1">
      <w:start w:val="1"/>
      <w:numFmt w:val="lowerRoman"/>
      <w:lvlText w:val="%3."/>
      <w:lvlJc w:val="right"/>
      <w:pPr>
        <w:ind w:left="2160" w:hanging="180"/>
      </w:pPr>
    </w:lvl>
    <w:lvl w:ilvl="3" w:tplc="90EEA078" w:tentative="1">
      <w:start w:val="1"/>
      <w:numFmt w:val="decimal"/>
      <w:lvlText w:val="%4."/>
      <w:lvlJc w:val="left"/>
      <w:pPr>
        <w:ind w:left="2880" w:hanging="360"/>
      </w:pPr>
    </w:lvl>
    <w:lvl w:ilvl="4" w:tplc="A7F4AC76" w:tentative="1">
      <w:start w:val="1"/>
      <w:numFmt w:val="lowerLetter"/>
      <w:lvlText w:val="%5."/>
      <w:lvlJc w:val="left"/>
      <w:pPr>
        <w:ind w:left="3600" w:hanging="360"/>
      </w:pPr>
    </w:lvl>
    <w:lvl w:ilvl="5" w:tplc="D066842C" w:tentative="1">
      <w:start w:val="1"/>
      <w:numFmt w:val="lowerRoman"/>
      <w:lvlText w:val="%6."/>
      <w:lvlJc w:val="right"/>
      <w:pPr>
        <w:ind w:left="4320" w:hanging="180"/>
      </w:pPr>
    </w:lvl>
    <w:lvl w:ilvl="6" w:tplc="FA6A41E6" w:tentative="1">
      <w:start w:val="1"/>
      <w:numFmt w:val="decimal"/>
      <w:lvlText w:val="%7."/>
      <w:lvlJc w:val="left"/>
      <w:pPr>
        <w:ind w:left="5040" w:hanging="360"/>
      </w:pPr>
    </w:lvl>
    <w:lvl w:ilvl="7" w:tplc="78885896" w:tentative="1">
      <w:start w:val="1"/>
      <w:numFmt w:val="lowerLetter"/>
      <w:lvlText w:val="%8."/>
      <w:lvlJc w:val="left"/>
      <w:pPr>
        <w:ind w:left="5760" w:hanging="360"/>
      </w:pPr>
    </w:lvl>
    <w:lvl w:ilvl="8" w:tplc="DA024234" w:tentative="1">
      <w:start w:val="1"/>
      <w:numFmt w:val="lowerRoman"/>
      <w:lvlText w:val="%9."/>
      <w:lvlJc w:val="right"/>
      <w:pPr>
        <w:ind w:left="6480" w:hanging="180"/>
      </w:pPr>
    </w:lvl>
  </w:abstractNum>
  <w:abstractNum w:abstractNumId="7" w15:restartNumberingAfterBreak="0">
    <w:nsid w:val="00000006"/>
    <w:multiLevelType w:val="multilevel"/>
    <w:tmpl w:val="03F6716A"/>
    <w:lvl w:ilvl="0">
      <w:start w:val="1"/>
      <w:numFmt w:val="decimal"/>
      <w:pStyle w:val="Heading1"/>
      <w:lvlText w:val="%1."/>
      <w:lvlJc w:val="left"/>
      <w:pPr>
        <w:tabs>
          <w:tab w:val="num" w:pos="1080"/>
        </w:tabs>
        <w:ind w:left="0" w:firstLine="0"/>
      </w:pPr>
      <w:rPr>
        <w:rFonts w:hint="default"/>
      </w:rPr>
    </w:lvl>
    <w:lvl w:ilvl="1">
      <w:start w:val="1"/>
      <w:numFmt w:val="decimal"/>
      <w:pStyle w:val="Heading2"/>
      <w:lvlText w:val="%1.%2"/>
      <w:lvlJc w:val="left"/>
      <w:pPr>
        <w:tabs>
          <w:tab w:val="num" w:pos="1080"/>
        </w:tabs>
        <w:ind w:left="0" w:firstLine="0"/>
      </w:pPr>
    </w:lvl>
    <w:lvl w:ilvl="2">
      <w:start w:val="1"/>
      <w:numFmt w:val="decimal"/>
      <w:pStyle w:val="Heading3"/>
      <w:lvlText w:val="%1.%2.%3"/>
      <w:lvlJc w:val="left"/>
      <w:pPr>
        <w:tabs>
          <w:tab w:val="num" w:pos="2160"/>
        </w:tabs>
        <w:ind w:left="1080" w:firstLine="0"/>
      </w:pPr>
      <w:rPr>
        <w:rFonts w:cs="Times New Roman"/>
        <w:b w:val="0"/>
        <w:bCs w:val="0"/>
        <w:i w:val="0"/>
        <w:iCs w:val="0"/>
        <w:caps w:val="0"/>
        <w:smallCaps w:val="0"/>
        <w:strike w:val="0"/>
        <w:dstrike w:val="0"/>
        <w:outline w:val="0"/>
        <w:shadow w:val="0"/>
        <w:emboss w:val="0"/>
        <w:imprint w:val="0"/>
        <w:noProof w:val="0"/>
        <w:vanish w:val="0"/>
        <w:color w:val="1FA9E1" w:themeColor="accent3"/>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lvlText w:val="%1.%2.%3.%4"/>
      <w:lvlJc w:val="left"/>
      <w:pPr>
        <w:tabs>
          <w:tab w:val="num" w:pos="360"/>
        </w:tabs>
        <w:ind w:left="0" w:firstLine="0"/>
      </w:pPr>
      <w:rPr>
        <w:rFonts w:hint="default"/>
      </w:rPr>
    </w:lvl>
    <w:lvl w:ilvl="4">
      <w:start w:val="1"/>
      <w:numFmt w:val="decimal"/>
      <w:lvlText w:val="%1.%2.%3.%4.%5"/>
      <w:lvlJc w:val="left"/>
      <w:pPr>
        <w:tabs>
          <w:tab w:val="num" w:pos="360"/>
        </w:tabs>
        <w:ind w:left="0" w:firstLine="0"/>
      </w:pPr>
      <w:rPr>
        <w:rFonts w:hint="default"/>
      </w:rPr>
    </w:lvl>
    <w:lvl w:ilvl="5">
      <w:start w:val="1"/>
      <w:numFmt w:val="decimal"/>
      <w:lvlText w:val="%1.%2.%3.%4.%5.%6"/>
      <w:lvlJc w:val="left"/>
      <w:pPr>
        <w:tabs>
          <w:tab w:val="num" w:pos="360"/>
        </w:tabs>
        <w:ind w:left="0" w:firstLine="0"/>
      </w:pPr>
      <w:rPr>
        <w:rFonts w:hint="default"/>
      </w:rPr>
    </w:lvl>
    <w:lvl w:ilvl="6">
      <w:start w:val="1"/>
      <w:numFmt w:val="decimal"/>
      <w:lvlText w:val="%1.%2.%3.%4.%5.%6.%7"/>
      <w:lvlJc w:val="left"/>
      <w:pPr>
        <w:tabs>
          <w:tab w:val="num" w:pos="360"/>
        </w:tabs>
        <w:ind w:left="0" w:firstLine="0"/>
      </w:pPr>
      <w:rPr>
        <w:rFonts w:hint="default"/>
      </w:rPr>
    </w:lvl>
    <w:lvl w:ilvl="7">
      <w:start w:val="1"/>
      <w:numFmt w:val="decimal"/>
      <w:lvlText w:val="%1.%2.%3.%4.%5.%6.%7.%8"/>
      <w:lvlJc w:val="left"/>
      <w:pPr>
        <w:tabs>
          <w:tab w:val="num" w:pos="360"/>
        </w:tabs>
        <w:ind w:left="0" w:firstLine="0"/>
      </w:pPr>
      <w:rPr>
        <w:rFonts w:hint="default"/>
      </w:rPr>
    </w:lvl>
    <w:lvl w:ilvl="8">
      <w:start w:val="1"/>
      <w:numFmt w:val="decimal"/>
      <w:lvlText w:val="%1.%2.%3.%4.%5.%6.%7.%8.%9"/>
      <w:lvlJc w:val="left"/>
      <w:pPr>
        <w:tabs>
          <w:tab w:val="num" w:pos="360"/>
        </w:tabs>
        <w:ind w:left="0" w:firstLine="0"/>
      </w:pPr>
      <w:rPr>
        <w:rFonts w:hint="default"/>
      </w:rPr>
    </w:lvl>
  </w:abstractNum>
  <w:abstractNum w:abstractNumId="8" w15:restartNumberingAfterBreak="0">
    <w:nsid w:val="00000009"/>
    <w:multiLevelType w:val="singleLevel"/>
    <w:tmpl w:val="01A6B67E"/>
    <w:lvl w:ilvl="0">
      <w:start w:val="1"/>
      <w:numFmt w:val="decimal"/>
      <w:pStyle w:val="ListNumber"/>
      <w:lvlText w:val="%1."/>
      <w:lvlJc w:val="left"/>
      <w:pPr>
        <w:tabs>
          <w:tab w:val="num" w:pos="360"/>
        </w:tabs>
        <w:ind w:left="360" w:hanging="360"/>
      </w:pPr>
    </w:lvl>
  </w:abstractNum>
  <w:abstractNum w:abstractNumId="9" w15:restartNumberingAfterBreak="0">
    <w:nsid w:val="0000000A"/>
    <w:multiLevelType w:val="singleLevel"/>
    <w:tmpl w:val="AB1A98D2"/>
    <w:lvl w:ilvl="0">
      <w:start w:val="1"/>
      <w:numFmt w:val="decimal"/>
      <w:pStyle w:val="ListNumber2"/>
      <w:lvlText w:val="%1."/>
      <w:lvlJc w:val="left"/>
      <w:pPr>
        <w:tabs>
          <w:tab w:val="num" w:pos="720"/>
        </w:tabs>
        <w:ind w:left="720" w:hanging="360"/>
      </w:pPr>
    </w:lvl>
  </w:abstractNum>
  <w:abstractNum w:abstractNumId="10" w15:restartNumberingAfterBreak="0">
    <w:nsid w:val="0000000B"/>
    <w:multiLevelType w:val="singleLevel"/>
    <w:tmpl w:val="57B63BE6"/>
    <w:lvl w:ilvl="0">
      <w:start w:val="1"/>
      <w:numFmt w:val="decimal"/>
      <w:pStyle w:val="ListNumber3"/>
      <w:lvlText w:val="%1."/>
      <w:lvlJc w:val="left"/>
      <w:pPr>
        <w:tabs>
          <w:tab w:val="num" w:pos="1080"/>
        </w:tabs>
        <w:ind w:left="1080" w:hanging="360"/>
      </w:pPr>
    </w:lvl>
  </w:abstractNum>
  <w:abstractNum w:abstractNumId="11" w15:restartNumberingAfterBreak="0">
    <w:nsid w:val="0000000C"/>
    <w:multiLevelType w:val="multilevel"/>
    <w:tmpl w:val="7C74D798"/>
    <w:lvl w:ilvl="0">
      <w:start w:val="1"/>
      <w:numFmt w:val="decimal"/>
      <w:pStyle w:val="NoList1"/>
      <w:lvlText w:val="%1."/>
      <w:lvlJc w:val="left"/>
      <w:pPr>
        <w:ind w:left="360" w:hanging="360"/>
      </w:pPr>
    </w:lvl>
    <w:lvl w:ilvl="1">
      <w:start w:val="1"/>
      <w:numFmt w:val="lowerLetter"/>
      <w:lvlText w:val="%2."/>
      <w:lvlJc w:val="left"/>
      <w:pPr>
        <w:ind w:left="720" w:hanging="360"/>
      </w:pPr>
      <w:rPr>
        <w:rFonts w:hint="default"/>
        <w:color w:val="auto"/>
      </w:r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000000D"/>
    <w:multiLevelType w:val="multilevel"/>
    <w:tmpl w:val="CA48C9AC"/>
    <w:lvl w:ilvl="0">
      <w:start w:val="1"/>
      <w:numFmt w:val="decimal"/>
      <w:lvlText w:val="%1."/>
      <w:lvlJc w:val="left"/>
      <w:pPr>
        <w:ind w:left="360" w:hanging="360"/>
      </w:pPr>
      <w:rPr>
        <w:rFonts w:hint="default"/>
        <w:b w:val="0"/>
        <w:i w:val="0"/>
        <w:color w:val="auto"/>
        <w:sz w:val="22"/>
      </w:rPr>
    </w:lvl>
    <w:lvl w:ilvl="1">
      <w:start w:val="1"/>
      <w:numFmt w:val="lowerLetter"/>
      <w:pStyle w:val="NoList2"/>
      <w:lvlText w:val="%2."/>
      <w:lvlJc w:val="left"/>
      <w:pPr>
        <w:ind w:left="720" w:hanging="360"/>
      </w:pPr>
    </w:lvl>
    <w:lvl w:ilvl="2">
      <w:start w:val="1"/>
      <w:numFmt w:val="lowerRoman"/>
      <w:lvlText w:val="%3."/>
      <w:lvlJc w:val="left"/>
      <w:pPr>
        <w:ind w:left="1080" w:hanging="360"/>
      </w:pPr>
      <w:rPr>
        <w:rFonts w:hint="default"/>
        <w:color w:val="auto"/>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0000000E"/>
    <w:multiLevelType w:val="multilevel"/>
    <w:tmpl w:val="73526CFC"/>
    <w:lvl w:ilvl="0">
      <w:start w:val="1"/>
      <w:numFmt w:val="decimal"/>
      <w:lvlText w:val="%1."/>
      <w:lvlJc w:val="left"/>
      <w:pPr>
        <w:ind w:left="360" w:hanging="360"/>
      </w:pPr>
      <w:rPr>
        <w:rFonts w:hint="default"/>
        <w:b w:val="0"/>
        <w:i w:val="0"/>
        <w:color w:val="auto"/>
        <w:sz w:val="22"/>
      </w:rPr>
    </w:lvl>
    <w:lvl w:ilvl="1">
      <w:start w:val="1"/>
      <w:numFmt w:val="lowerLetter"/>
      <w:lvlText w:val="%2."/>
      <w:lvlJc w:val="left"/>
      <w:pPr>
        <w:ind w:left="720" w:hanging="360"/>
      </w:pPr>
      <w:rPr>
        <w:rFonts w:hint="default"/>
        <w:color w:val="auto"/>
      </w:rPr>
    </w:lvl>
    <w:lvl w:ilvl="2">
      <w:start w:val="1"/>
      <w:numFmt w:val="lowerRoman"/>
      <w:pStyle w:val="NoList3"/>
      <w:lvlText w:val="%3."/>
      <w:lvlJc w:val="left"/>
      <w:pPr>
        <w:ind w:left="1080" w:hanging="360"/>
      </w:pPr>
      <w:rPr>
        <w:rFonts w:hint="default"/>
        <w:color w:val="4A4D56" w:themeColor="text1"/>
      </w:rPr>
    </w:lvl>
    <w:lvl w:ilvl="3">
      <w:start w:val="1"/>
      <w:numFmt w:val="decimal"/>
      <w:lvlText w:val="%4."/>
      <w:lvlJc w:val="left"/>
      <w:pPr>
        <w:ind w:left="1440" w:hanging="360"/>
      </w:pPr>
      <w:rPr>
        <w:rFonts w:hint="default"/>
        <w:color w:val="auto"/>
      </w:rPr>
    </w:lvl>
    <w:lvl w:ilvl="4">
      <w:start w:val="1"/>
      <w:numFmt w:val="lowerLetter"/>
      <w:lvlText w:val="%5."/>
      <w:lvlJc w:val="left"/>
      <w:pPr>
        <w:ind w:left="1800" w:hanging="360"/>
      </w:pPr>
      <w:rPr>
        <w:rFonts w:hint="default"/>
        <w:color w:val="auto"/>
      </w:rPr>
    </w:lvl>
    <w:lvl w:ilvl="5">
      <w:start w:val="1"/>
      <w:numFmt w:val="lowerRoman"/>
      <w:lvlText w:val="%6."/>
      <w:lvlJc w:val="left"/>
      <w:pPr>
        <w:ind w:left="2160" w:hanging="360"/>
      </w:pPr>
      <w:rPr>
        <w:rFonts w:hint="default"/>
        <w:color w:val="auto"/>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00000012"/>
    <w:multiLevelType w:val="multilevel"/>
    <w:tmpl w:val="62AA902E"/>
    <w:lvl w:ilvl="0">
      <w:start w:val="1"/>
      <w:numFmt w:val="bullet"/>
      <w:pStyle w:val="TableBullet"/>
      <w:lvlText w:val=""/>
      <w:lvlJc w:val="left"/>
      <w:pPr>
        <w:ind w:left="720" w:hanging="360"/>
      </w:pPr>
      <w:rPr>
        <w:rFonts w:ascii="Wingdings" w:hAnsi="Wingdings" w:hint="default"/>
        <w:color w:val="053572" w:themeColor="text2"/>
        <w:sz w:val="20"/>
      </w:rPr>
    </w:lvl>
    <w:lvl w:ilvl="1">
      <w:start w:val="1"/>
      <w:numFmt w:val="bullet"/>
      <w:lvlText w:val=""/>
      <w:lvlJc w:val="left"/>
      <w:pPr>
        <w:ind w:left="1080" w:hanging="360"/>
      </w:pPr>
      <w:rPr>
        <w:rFonts w:ascii="Wingdings" w:hAnsi="Wingdings" w:hint="default"/>
        <w:color w:val="1295D8"/>
        <w:sz w:val="22"/>
      </w:rPr>
    </w:lvl>
    <w:lvl w:ilvl="2">
      <w:start w:val="1"/>
      <w:numFmt w:val="bullet"/>
      <w:lvlRestart w:val="0"/>
      <w:lvlText w:val=""/>
      <w:lvlJc w:val="left"/>
      <w:pPr>
        <w:tabs>
          <w:tab w:val="num" w:pos="1080"/>
        </w:tabs>
        <w:ind w:left="1440" w:hanging="360"/>
      </w:pPr>
      <w:rPr>
        <w:rFonts w:ascii="Wingdings" w:hAnsi="Wingdings" w:hint="default"/>
        <w:color w:val="4D4D4F"/>
        <w:sz w:val="22"/>
      </w:rPr>
    </w:lvl>
    <w:lvl w:ilvl="3">
      <w:start w:val="1"/>
      <w:numFmt w:val="bullet"/>
      <w:lvlText w:val=""/>
      <w:lvlJc w:val="left"/>
      <w:pPr>
        <w:ind w:left="2160" w:hanging="432"/>
      </w:pPr>
      <w:rPr>
        <w:rFonts w:ascii="Wingdings" w:hAnsi="Wingdings" w:cs="Times New Roman" w:hint="default"/>
        <w:b w:val="0"/>
        <w:bCs w:val="0"/>
        <w:i w:val="0"/>
        <w:iCs w:val="0"/>
        <w:caps w:val="0"/>
        <w:smallCaps w:val="0"/>
        <w:strike w:val="0"/>
        <w:dstrike w:val="0"/>
        <w:noProof w:val="0"/>
        <w:vanish w:val="0"/>
        <w:color w:val="0069B6"/>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
      <w:lvlJc w:val="left"/>
      <w:pPr>
        <w:ind w:left="3600" w:hanging="360"/>
      </w:pPr>
      <w:rPr>
        <w:rFonts w:ascii="Wingdings" w:hAnsi="Wingdings" w:hint="default"/>
        <w:color w:val="64B3E8"/>
      </w:rPr>
    </w:lvl>
    <w:lvl w:ilvl="5">
      <w:start w:val="1"/>
      <w:numFmt w:val="bullet"/>
      <w:lvlText w:val=""/>
      <w:lvlJc w:val="left"/>
      <w:pPr>
        <w:ind w:left="4320" w:hanging="360"/>
      </w:pPr>
      <w:rPr>
        <w:rFonts w:ascii="Wingdings" w:hAnsi="Wingdings" w:hint="default"/>
        <w:color w:val="696969"/>
      </w:rPr>
    </w:lvl>
    <w:lvl w:ilvl="6">
      <w:start w:val="1"/>
      <w:numFmt w:val="bullet"/>
      <w:lvlText w:val=""/>
      <w:lvlJc w:val="left"/>
      <w:pPr>
        <w:ind w:left="5040" w:hanging="360"/>
      </w:pPr>
      <w:rPr>
        <w:rFonts w:ascii="Wingdings" w:hAnsi="Wingdings" w:hint="default"/>
        <w:color w:val="172B54" w:themeColor="accent1"/>
      </w:rPr>
    </w:lvl>
    <w:lvl w:ilvl="7">
      <w:start w:val="1"/>
      <w:numFmt w:val="bullet"/>
      <w:lvlText w:val=""/>
      <w:lvlJc w:val="left"/>
      <w:pPr>
        <w:ind w:left="5760" w:hanging="360"/>
      </w:pPr>
      <w:rPr>
        <w:rFonts w:ascii="Wingdings" w:hAnsi="Wingdings" w:hint="default"/>
        <w:color w:val="265EAC" w:themeColor="accent2"/>
      </w:rPr>
    </w:lvl>
    <w:lvl w:ilvl="8">
      <w:start w:val="1"/>
      <w:numFmt w:val="bullet"/>
      <w:lvlText w:val=""/>
      <w:lvlJc w:val="left"/>
      <w:pPr>
        <w:ind w:left="6480" w:hanging="360"/>
      </w:pPr>
      <w:rPr>
        <w:rFonts w:ascii="Wingdings" w:hAnsi="Wingdings" w:hint="default"/>
        <w:color w:val="1FA9E1" w:themeColor="accent3"/>
      </w:rPr>
    </w:lvl>
  </w:abstractNum>
  <w:abstractNum w:abstractNumId="15" w15:restartNumberingAfterBreak="0">
    <w:nsid w:val="087A61FD"/>
    <w:multiLevelType w:val="multilevel"/>
    <w:tmpl w:val="C0CE1E54"/>
    <w:name w:val="Appendix Headings2"/>
    <w:numStyleLink w:val="Addendum"/>
  </w:abstractNum>
  <w:abstractNum w:abstractNumId="16" w15:restartNumberingAfterBreak="0">
    <w:nsid w:val="503D6C61"/>
    <w:multiLevelType w:val="hybridMultilevel"/>
    <w:tmpl w:val="57AA98B0"/>
    <w:lvl w:ilvl="0" w:tplc="FAFC4BC8">
      <w:start w:val="1"/>
      <w:numFmt w:val="bullet"/>
      <w:pStyle w:val="ListBullet"/>
      <w:lvlText w:val=""/>
      <w:lvlJc w:val="left"/>
      <w:pPr>
        <w:ind w:left="540" w:hanging="360"/>
      </w:pPr>
      <w:rPr>
        <w:rFonts w:ascii="Wingdings" w:hAnsi="Wingdings" w:hint="default"/>
        <w:color w:val="053572" w:themeColor="text2"/>
      </w:rPr>
    </w:lvl>
    <w:lvl w:ilvl="1" w:tplc="3CA2820E">
      <w:start w:val="1"/>
      <w:numFmt w:val="bullet"/>
      <w:pStyle w:val="ListBullet2"/>
      <w:lvlText w:val=""/>
      <w:lvlJc w:val="left"/>
      <w:pPr>
        <w:ind w:left="2670" w:hanging="360"/>
      </w:pPr>
      <w:rPr>
        <w:rFonts w:ascii="Wingdings" w:hAnsi="Wingdings" w:hint="default"/>
        <w:color w:val="1FA9E1" w:themeColor="accent3"/>
      </w:rPr>
    </w:lvl>
    <w:lvl w:ilvl="2" w:tplc="B24CA5AC">
      <w:start w:val="1"/>
      <w:numFmt w:val="bullet"/>
      <w:pStyle w:val="ListBullet3"/>
      <w:lvlText w:val=""/>
      <w:lvlJc w:val="left"/>
      <w:pPr>
        <w:ind w:left="3390" w:hanging="360"/>
      </w:pPr>
      <w:rPr>
        <w:rFonts w:ascii="Wingdings" w:hAnsi="Wingdings" w:hint="default"/>
        <w:color w:val="7E83C0" w:themeColor="accent4"/>
      </w:rPr>
    </w:lvl>
    <w:lvl w:ilvl="3" w:tplc="DA64E1E2" w:tentative="1">
      <w:start w:val="1"/>
      <w:numFmt w:val="bullet"/>
      <w:lvlText w:val=""/>
      <w:lvlJc w:val="left"/>
      <w:pPr>
        <w:ind w:left="4110" w:hanging="360"/>
      </w:pPr>
      <w:rPr>
        <w:rFonts w:ascii="Symbol" w:hAnsi="Symbol" w:hint="default"/>
      </w:rPr>
    </w:lvl>
    <w:lvl w:ilvl="4" w:tplc="1A5E05F0" w:tentative="1">
      <w:start w:val="1"/>
      <w:numFmt w:val="bullet"/>
      <w:lvlText w:val="o"/>
      <w:lvlJc w:val="left"/>
      <w:pPr>
        <w:ind w:left="4830" w:hanging="360"/>
      </w:pPr>
      <w:rPr>
        <w:rFonts w:ascii="Courier New" w:hAnsi="Courier New" w:cs="Courier New" w:hint="default"/>
      </w:rPr>
    </w:lvl>
    <w:lvl w:ilvl="5" w:tplc="28D0307C" w:tentative="1">
      <w:start w:val="1"/>
      <w:numFmt w:val="bullet"/>
      <w:lvlText w:val=""/>
      <w:lvlJc w:val="left"/>
      <w:pPr>
        <w:ind w:left="5550" w:hanging="360"/>
      </w:pPr>
      <w:rPr>
        <w:rFonts w:ascii="Wingdings" w:hAnsi="Wingdings" w:hint="default"/>
      </w:rPr>
    </w:lvl>
    <w:lvl w:ilvl="6" w:tplc="8BDC1F4A" w:tentative="1">
      <w:start w:val="1"/>
      <w:numFmt w:val="bullet"/>
      <w:lvlText w:val=""/>
      <w:lvlJc w:val="left"/>
      <w:pPr>
        <w:ind w:left="6270" w:hanging="360"/>
      </w:pPr>
      <w:rPr>
        <w:rFonts w:ascii="Symbol" w:hAnsi="Symbol" w:hint="default"/>
      </w:rPr>
    </w:lvl>
    <w:lvl w:ilvl="7" w:tplc="CC2EA80E" w:tentative="1">
      <w:start w:val="1"/>
      <w:numFmt w:val="bullet"/>
      <w:lvlText w:val="o"/>
      <w:lvlJc w:val="left"/>
      <w:pPr>
        <w:ind w:left="6990" w:hanging="360"/>
      </w:pPr>
      <w:rPr>
        <w:rFonts w:ascii="Courier New" w:hAnsi="Courier New" w:cs="Courier New" w:hint="default"/>
      </w:rPr>
    </w:lvl>
    <w:lvl w:ilvl="8" w:tplc="A58C68C4" w:tentative="1">
      <w:start w:val="1"/>
      <w:numFmt w:val="bullet"/>
      <w:lvlText w:val=""/>
      <w:lvlJc w:val="left"/>
      <w:pPr>
        <w:ind w:left="7710" w:hanging="360"/>
      </w:pPr>
      <w:rPr>
        <w:rFonts w:ascii="Wingdings" w:hAnsi="Wingdings" w:hint="default"/>
      </w:rPr>
    </w:lvl>
  </w:abstractNum>
  <w:abstractNum w:abstractNumId="17" w15:restartNumberingAfterBreak="0">
    <w:nsid w:val="520E2E78"/>
    <w:multiLevelType w:val="multilevel"/>
    <w:tmpl w:val="C0CE1E54"/>
    <w:styleLink w:val="Addendum"/>
    <w:lvl w:ilvl="0">
      <w:start w:val="1"/>
      <w:numFmt w:val="upperLetter"/>
      <w:lvlText w:val="Appendix %1. "/>
      <w:lvlJc w:val="left"/>
      <w:pPr>
        <w:ind w:left="2268" w:hanging="2268"/>
      </w:pPr>
      <w:rPr>
        <w:rFonts w:ascii="Rift Soft" w:hAnsi="Rift Soft"/>
        <w:color w:val="053572" w:themeColor="text2"/>
        <w:sz w:val="36"/>
      </w:rPr>
    </w:lvl>
    <w:lvl w:ilvl="1">
      <w:start w:val="1"/>
      <w:numFmt w:val="upperRoman"/>
      <w:lvlText w:val="Appendix %1-%2."/>
      <w:lvlJc w:val="left"/>
      <w:pPr>
        <w:ind w:left="2268" w:hanging="2268"/>
      </w:pPr>
      <w:rPr>
        <w:rFonts w:ascii="Rift Soft" w:hAnsi="Rift Soft" w:hint="default"/>
        <w:color w:val="1FA9E1" w:themeColor="accent3"/>
        <w:sz w:val="36"/>
      </w:rPr>
    </w:lvl>
    <w:lvl w:ilvl="2">
      <w:start w:val="1"/>
      <w:numFmt w:val="upperRoman"/>
      <w:lvlText w:val="Appendix %1-%2.%3."/>
      <w:lvlJc w:val="left"/>
      <w:pPr>
        <w:ind w:left="2268" w:hanging="2268"/>
      </w:pPr>
      <w:rPr>
        <w:rFonts w:ascii="Rift Soft" w:hAnsi="Rift Soft" w:hint="default"/>
        <w:color w:val="4A4D56" w:themeColor="text1"/>
        <w:sz w:val="32"/>
      </w:r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18" w15:restartNumberingAfterBreak="0">
    <w:nsid w:val="575D65CB"/>
    <w:multiLevelType w:val="multilevel"/>
    <w:tmpl w:val="359AAF8C"/>
    <w:styleLink w:val="ODXAPPENDIX"/>
    <w:lvl w:ilvl="0">
      <w:start w:val="1"/>
      <w:numFmt w:val="upperLetter"/>
      <w:lvlText w:val="APPENDIX %1 "/>
      <w:lvlJc w:val="left"/>
      <w:pPr>
        <w:ind w:left="360" w:hanging="360"/>
      </w:pPr>
      <w:rPr>
        <w:rFonts w:ascii="Rift Soft" w:hAnsi="Rift Soft" w:hint="default"/>
        <w:color w:val="053572" w:themeColor="text2"/>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33B1067"/>
    <w:multiLevelType w:val="hybridMultilevel"/>
    <w:tmpl w:val="E1F64434"/>
    <w:lvl w:ilvl="0" w:tplc="B712B298">
      <w:start w:val="1"/>
      <w:numFmt w:val="decimal"/>
      <w:lvlText w:val="%1."/>
      <w:lvlJc w:val="left"/>
      <w:pPr>
        <w:ind w:left="720" w:hanging="360"/>
      </w:pPr>
      <w:rPr>
        <w:rFonts w:ascii="Franklin Gothic Medium" w:hAnsi="Franklin Gothic Medium" w:hint="default"/>
        <w:b w:val="0"/>
        <w:i w:val="0"/>
        <w:color w:val="4A4D56" w:themeColor="text1"/>
        <w:sz w:val="20"/>
        <w:u w:val="none" w:color="4A4D56"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24E5C8B"/>
    <w:multiLevelType w:val="multilevel"/>
    <w:tmpl w:val="6A22351C"/>
    <w:name w:val="Appendix Headings"/>
    <w:lvl w:ilvl="0">
      <w:start w:val="1"/>
      <w:numFmt w:val="upperLetter"/>
      <w:lvlText w:val="Appendix %1."/>
      <w:lvlJc w:val="left"/>
      <w:pPr>
        <w:ind w:left="360" w:hanging="360"/>
      </w:pPr>
      <w:rPr>
        <w:rFonts w:ascii="Rift Soft Medium" w:hAnsi="Rift Soft Medium" w:hint="default"/>
        <w:color w:val="053572" w:themeColor="text2"/>
        <w:sz w:val="44"/>
        <w:u w:color="FFFFFF" w:themeColor="background1"/>
      </w:rPr>
    </w:lvl>
    <w:lvl w:ilvl="1">
      <w:start w:val="1"/>
      <w:numFmt w:val="upperRoman"/>
      <w:lvlText w:val="Appendix %1-%2."/>
      <w:lvlJc w:val="left"/>
      <w:pPr>
        <w:ind w:left="2268" w:hanging="2268"/>
      </w:pPr>
    </w:lvl>
    <w:lvl w:ilvl="2">
      <w:start w:val="1"/>
      <w:numFmt w:val="upperRoman"/>
      <w:lvlText w:val="Appendix %1-%2.%3."/>
      <w:lvlJc w:val="left"/>
      <w:pPr>
        <w:ind w:left="2268" w:hanging="2268"/>
      </w:pPr>
    </w:lvl>
    <w:lvl w:ilvl="3">
      <w:start w:val="1"/>
      <w:numFmt w:val="decimal"/>
      <w:lvlText w:val="%4."/>
      <w:lvlJc w:val="left"/>
      <w:pPr>
        <w:ind w:left="2268" w:hanging="2268"/>
      </w:pPr>
      <w:rPr>
        <w:rFonts w:hint="default"/>
      </w:rPr>
    </w:lvl>
    <w:lvl w:ilvl="4">
      <w:start w:val="1"/>
      <w:numFmt w:val="lowerLetter"/>
      <w:lvlText w:val="%5."/>
      <w:lvlJc w:val="left"/>
      <w:pPr>
        <w:ind w:left="2268" w:hanging="2268"/>
      </w:pPr>
      <w:rPr>
        <w:rFonts w:hint="default"/>
      </w:rPr>
    </w:lvl>
    <w:lvl w:ilvl="5">
      <w:start w:val="1"/>
      <w:numFmt w:val="lowerRoman"/>
      <w:lvlText w:val="%6."/>
      <w:lvlJc w:val="right"/>
      <w:pPr>
        <w:ind w:left="2268" w:hanging="2268"/>
      </w:pPr>
      <w:rPr>
        <w:rFonts w:hint="default"/>
      </w:rPr>
    </w:lvl>
    <w:lvl w:ilvl="6">
      <w:start w:val="1"/>
      <w:numFmt w:val="decimal"/>
      <w:lvlText w:val="%7."/>
      <w:lvlJc w:val="left"/>
      <w:pPr>
        <w:ind w:left="2268" w:hanging="2268"/>
      </w:pPr>
      <w:rPr>
        <w:rFonts w:hint="default"/>
      </w:rPr>
    </w:lvl>
    <w:lvl w:ilvl="7">
      <w:start w:val="1"/>
      <w:numFmt w:val="lowerLetter"/>
      <w:lvlText w:val="%8."/>
      <w:lvlJc w:val="left"/>
      <w:pPr>
        <w:ind w:left="2268" w:hanging="2268"/>
      </w:pPr>
      <w:rPr>
        <w:rFonts w:hint="default"/>
      </w:rPr>
    </w:lvl>
    <w:lvl w:ilvl="8">
      <w:start w:val="1"/>
      <w:numFmt w:val="lowerRoman"/>
      <w:lvlText w:val="%9."/>
      <w:lvlJc w:val="right"/>
      <w:pPr>
        <w:ind w:left="2268" w:hanging="2268"/>
      </w:pPr>
      <w:rPr>
        <w:rFonts w:hint="default"/>
      </w:rPr>
    </w:lvl>
  </w:abstractNum>
  <w:abstractNum w:abstractNumId="21" w15:restartNumberingAfterBreak="0">
    <w:nsid w:val="72515C48"/>
    <w:multiLevelType w:val="hybridMultilevel"/>
    <w:tmpl w:val="F45E62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779C6EF2"/>
    <w:multiLevelType w:val="hybridMultilevel"/>
    <w:tmpl w:val="C5A497C4"/>
    <w:lvl w:ilvl="0" w:tplc="E6A26C46">
      <w:start w:val="1"/>
      <w:numFmt w:val="upperLetter"/>
      <w:pStyle w:val="Alpha"/>
      <w:lvlText w:val="Appendix %1."/>
      <w:lvlJc w:val="left"/>
      <w:pPr>
        <w:ind w:left="360" w:hanging="360"/>
      </w:pPr>
      <w:rPr>
        <w:rFonts w:ascii="Rift Soft Medium" w:hAnsi="Rift Soft Medium" w:hint="default"/>
        <w:color w:val="053572" w:themeColor="text2"/>
        <w:sz w:val="44"/>
        <w:u w:color="FFFFFF" w:themeColor="background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151BF5"/>
    <w:multiLevelType w:val="hybridMultilevel"/>
    <w:tmpl w:val="AB4060DA"/>
    <w:name w:val="Appendix Headings3"/>
    <w:lvl w:ilvl="0" w:tplc="19B6C76E">
      <w:start w:val="1"/>
      <w:numFmt w:val="upperLetter"/>
      <w:pStyle w:val="AppendixOne"/>
      <w:lvlText w:val="Appendix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61206283">
    <w:abstractNumId w:val="2"/>
  </w:num>
  <w:num w:numId="2" w16cid:durableId="545600677">
    <w:abstractNumId w:val="3"/>
  </w:num>
  <w:num w:numId="3" w16cid:durableId="1299147011">
    <w:abstractNumId w:val="4"/>
  </w:num>
  <w:num w:numId="4" w16cid:durableId="1501771948">
    <w:abstractNumId w:val="5"/>
  </w:num>
  <w:num w:numId="5" w16cid:durableId="556820789">
    <w:abstractNumId w:val="6"/>
  </w:num>
  <w:num w:numId="6" w16cid:durableId="2095126736">
    <w:abstractNumId w:val="7"/>
  </w:num>
  <w:num w:numId="7" w16cid:durableId="1435440616">
    <w:abstractNumId w:val="8"/>
  </w:num>
  <w:num w:numId="8" w16cid:durableId="1899240670">
    <w:abstractNumId w:val="9"/>
  </w:num>
  <w:num w:numId="9" w16cid:durableId="1607806446">
    <w:abstractNumId w:val="10"/>
  </w:num>
  <w:num w:numId="10" w16cid:durableId="614562843">
    <w:abstractNumId w:val="11"/>
  </w:num>
  <w:num w:numId="11" w16cid:durableId="1790003988">
    <w:abstractNumId w:val="12"/>
  </w:num>
  <w:num w:numId="12" w16cid:durableId="699361803">
    <w:abstractNumId w:val="13"/>
  </w:num>
  <w:num w:numId="13" w16cid:durableId="1925264602">
    <w:abstractNumId w:val="14"/>
  </w:num>
  <w:num w:numId="14" w16cid:durableId="1804107596">
    <w:abstractNumId w:val="16"/>
  </w:num>
  <w:num w:numId="15" w16cid:durableId="1244608247">
    <w:abstractNumId w:val="18"/>
  </w:num>
  <w:num w:numId="16" w16cid:durableId="1371999592">
    <w:abstractNumId w:val="20"/>
  </w:num>
  <w:num w:numId="17" w16cid:durableId="149310839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57425416">
    <w:abstractNumId w:val="17"/>
  </w:num>
  <w:num w:numId="19" w16cid:durableId="677805838">
    <w:abstractNumId w:val="15"/>
  </w:num>
  <w:num w:numId="20" w16cid:durableId="808669919">
    <w:abstractNumId w:val="22"/>
  </w:num>
  <w:num w:numId="21" w16cid:durableId="2109305949">
    <w:abstractNumId w:val="19"/>
  </w:num>
  <w:num w:numId="22" w16cid:durableId="1913083433">
    <w:abstractNumId w:val="1"/>
  </w:num>
  <w:num w:numId="23" w16cid:durableId="1809278681">
    <w:abstractNumId w:val="0"/>
  </w:num>
  <w:num w:numId="24" w16cid:durableId="624586310">
    <w:abstractNumId w:val="21"/>
  </w:num>
  <w:num w:numId="25" w16cid:durableId="2009089694">
    <w:abstractNumId w:val="16"/>
  </w:num>
  <w:num w:numId="26" w16cid:durableId="520315940">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YyMTU3NDAxNzW1NDVX0lEKTi0uzszPAykwNKwFACofVKAtAAAA"/>
  </w:docVars>
  <w:rsids>
    <w:rsidRoot w:val="00B854C9"/>
    <w:rsid w:val="00001386"/>
    <w:rsid w:val="00002523"/>
    <w:rsid w:val="000025D4"/>
    <w:rsid w:val="0000361D"/>
    <w:rsid w:val="000036C9"/>
    <w:rsid w:val="0000529D"/>
    <w:rsid w:val="000069D1"/>
    <w:rsid w:val="000071FF"/>
    <w:rsid w:val="000110CC"/>
    <w:rsid w:val="000150F5"/>
    <w:rsid w:val="00021C08"/>
    <w:rsid w:val="00023359"/>
    <w:rsid w:val="000262F6"/>
    <w:rsid w:val="00026697"/>
    <w:rsid w:val="000268F0"/>
    <w:rsid w:val="000274B9"/>
    <w:rsid w:val="0003099F"/>
    <w:rsid w:val="000317D8"/>
    <w:rsid w:val="0003416C"/>
    <w:rsid w:val="00036531"/>
    <w:rsid w:val="00037616"/>
    <w:rsid w:val="00040A6A"/>
    <w:rsid w:val="000413E8"/>
    <w:rsid w:val="00041AA5"/>
    <w:rsid w:val="00043AA9"/>
    <w:rsid w:val="000453D7"/>
    <w:rsid w:val="000458DD"/>
    <w:rsid w:val="00045964"/>
    <w:rsid w:val="00045E88"/>
    <w:rsid w:val="00046703"/>
    <w:rsid w:val="00050F40"/>
    <w:rsid w:val="00052E9D"/>
    <w:rsid w:val="0006058A"/>
    <w:rsid w:val="00060FF5"/>
    <w:rsid w:val="00062EDA"/>
    <w:rsid w:val="000649C2"/>
    <w:rsid w:val="00064E2E"/>
    <w:rsid w:val="0006754C"/>
    <w:rsid w:val="00076D6D"/>
    <w:rsid w:val="00077B7B"/>
    <w:rsid w:val="00081AB4"/>
    <w:rsid w:val="00082A18"/>
    <w:rsid w:val="00084362"/>
    <w:rsid w:val="00090275"/>
    <w:rsid w:val="00095BE3"/>
    <w:rsid w:val="000966E9"/>
    <w:rsid w:val="000968C8"/>
    <w:rsid w:val="00096D40"/>
    <w:rsid w:val="00097CA2"/>
    <w:rsid w:val="000A0A23"/>
    <w:rsid w:val="000A0C88"/>
    <w:rsid w:val="000A14F4"/>
    <w:rsid w:val="000A15B0"/>
    <w:rsid w:val="000A439D"/>
    <w:rsid w:val="000A5807"/>
    <w:rsid w:val="000B010E"/>
    <w:rsid w:val="000B04B2"/>
    <w:rsid w:val="000B0944"/>
    <w:rsid w:val="000B0BF7"/>
    <w:rsid w:val="000B1B6F"/>
    <w:rsid w:val="000C10BF"/>
    <w:rsid w:val="000C2EF9"/>
    <w:rsid w:val="000C4B2B"/>
    <w:rsid w:val="000C5266"/>
    <w:rsid w:val="000C53C6"/>
    <w:rsid w:val="000D0BCD"/>
    <w:rsid w:val="000D2C7B"/>
    <w:rsid w:val="000E0419"/>
    <w:rsid w:val="000E0719"/>
    <w:rsid w:val="000E0ECE"/>
    <w:rsid w:val="000E33F9"/>
    <w:rsid w:val="000E3450"/>
    <w:rsid w:val="000E49C3"/>
    <w:rsid w:val="000F2C3E"/>
    <w:rsid w:val="000F3E83"/>
    <w:rsid w:val="000F414B"/>
    <w:rsid w:val="000F4523"/>
    <w:rsid w:val="000F48C9"/>
    <w:rsid w:val="000F5311"/>
    <w:rsid w:val="00100236"/>
    <w:rsid w:val="00101259"/>
    <w:rsid w:val="001022C3"/>
    <w:rsid w:val="00102CB6"/>
    <w:rsid w:val="001043F6"/>
    <w:rsid w:val="001056E0"/>
    <w:rsid w:val="00105940"/>
    <w:rsid w:val="00106E7D"/>
    <w:rsid w:val="00110FA1"/>
    <w:rsid w:val="001112DA"/>
    <w:rsid w:val="00114D51"/>
    <w:rsid w:val="00116E45"/>
    <w:rsid w:val="001172A7"/>
    <w:rsid w:val="00120468"/>
    <w:rsid w:val="001210D9"/>
    <w:rsid w:val="00130CAB"/>
    <w:rsid w:val="001318DD"/>
    <w:rsid w:val="00132696"/>
    <w:rsid w:val="0013337B"/>
    <w:rsid w:val="001341E3"/>
    <w:rsid w:val="00134ABC"/>
    <w:rsid w:val="0013593F"/>
    <w:rsid w:val="0013670D"/>
    <w:rsid w:val="001374B5"/>
    <w:rsid w:val="0014011F"/>
    <w:rsid w:val="00140F50"/>
    <w:rsid w:val="00143669"/>
    <w:rsid w:val="00144B1E"/>
    <w:rsid w:val="00144C50"/>
    <w:rsid w:val="001507DA"/>
    <w:rsid w:val="00150970"/>
    <w:rsid w:val="00150B28"/>
    <w:rsid w:val="00150CD9"/>
    <w:rsid w:val="00151D53"/>
    <w:rsid w:val="00153DBC"/>
    <w:rsid w:val="001542B2"/>
    <w:rsid w:val="00154FC1"/>
    <w:rsid w:val="00155088"/>
    <w:rsid w:val="00155875"/>
    <w:rsid w:val="00155BED"/>
    <w:rsid w:val="001566DF"/>
    <w:rsid w:val="00157B19"/>
    <w:rsid w:val="00157D54"/>
    <w:rsid w:val="0016138F"/>
    <w:rsid w:val="00162705"/>
    <w:rsid w:val="00165A4C"/>
    <w:rsid w:val="001665A4"/>
    <w:rsid w:val="00166C4D"/>
    <w:rsid w:val="00170D04"/>
    <w:rsid w:val="00171C84"/>
    <w:rsid w:val="00172B87"/>
    <w:rsid w:val="001730B3"/>
    <w:rsid w:val="00173BAD"/>
    <w:rsid w:val="00174312"/>
    <w:rsid w:val="001754EE"/>
    <w:rsid w:val="00176989"/>
    <w:rsid w:val="0017742C"/>
    <w:rsid w:val="00177788"/>
    <w:rsid w:val="001779CF"/>
    <w:rsid w:val="00180954"/>
    <w:rsid w:val="00181175"/>
    <w:rsid w:val="001846FF"/>
    <w:rsid w:val="00187C6A"/>
    <w:rsid w:val="00190EA3"/>
    <w:rsid w:val="00191389"/>
    <w:rsid w:val="001914EE"/>
    <w:rsid w:val="00193142"/>
    <w:rsid w:val="00195577"/>
    <w:rsid w:val="00196D76"/>
    <w:rsid w:val="001A03DD"/>
    <w:rsid w:val="001A04AB"/>
    <w:rsid w:val="001A2958"/>
    <w:rsid w:val="001A36B5"/>
    <w:rsid w:val="001A3ACE"/>
    <w:rsid w:val="001A3B31"/>
    <w:rsid w:val="001A45D4"/>
    <w:rsid w:val="001A47AD"/>
    <w:rsid w:val="001A5095"/>
    <w:rsid w:val="001A5648"/>
    <w:rsid w:val="001A6F9E"/>
    <w:rsid w:val="001B035A"/>
    <w:rsid w:val="001B0CEC"/>
    <w:rsid w:val="001B2FF4"/>
    <w:rsid w:val="001B4481"/>
    <w:rsid w:val="001B47B9"/>
    <w:rsid w:val="001B7219"/>
    <w:rsid w:val="001B726D"/>
    <w:rsid w:val="001B763E"/>
    <w:rsid w:val="001C0A10"/>
    <w:rsid w:val="001C0C9D"/>
    <w:rsid w:val="001C2529"/>
    <w:rsid w:val="001C32D6"/>
    <w:rsid w:val="001C4ACA"/>
    <w:rsid w:val="001C57A9"/>
    <w:rsid w:val="001C6CD4"/>
    <w:rsid w:val="001C77F6"/>
    <w:rsid w:val="001D0BB4"/>
    <w:rsid w:val="001D253D"/>
    <w:rsid w:val="001D2BDA"/>
    <w:rsid w:val="001D5B3C"/>
    <w:rsid w:val="001D5D92"/>
    <w:rsid w:val="001E0E4B"/>
    <w:rsid w:val="001E5818"/>
    <w:rsid w:val="001E5F44"/>
    <w:rsid w:val="001F01F9"/>
    <w:rsid w:val="001F1009"/>
    <w:rsid w:val="001F186F"/>
    <w:rsid w:val="001F266E"/>
    <w:rsid w:val="001F2C4E"/>
    <w:rsid w:val="001F2D5C"/>
    <w:rsid w:val="001F322C"/>
    <w:rsid w:val="001F3663"/>
    <w:rsid w:val="001F4D82"/>
    <w:rsid w:val="001F677D"/>
    <w:rsid w:val="002042DB"/>
    <w:rsid w:val="002051EB"/>
    <w:rsid w:val="002055E0"/>
    <w:rsid w:val="002067A9"/>
    <w:rsid w:val="00207E2E"/>
    <w:rsid w:val="00210097"/>
    <w:rsid w:val="002110D8"/>
    <w:rsid w:val="00211478"/>
    <w:rsid w:val="002114D1"/>
    <w:rsid w:val="00211C84"/>
    <w:rsid w:val="00213877"/>
    <w:rsid w:val="002139E5"/>
    <w:rsid w:val="0021540D"/>
    <w:rsid w:val="00215499"/>
    <w:rsid w:val="00217423"/>
    <w:rsid w:val="002177A5"/>
    <w:rsid w:val="002220FC"/>
    <w:rsid w:val="002258A8"/>
    <w:rsid w:val="00225E4D"/>
    <w:rsid w:val="00227724"/>
    <w:rsid w:val="00227DD5"/>
    <w:rsid w:val="002328C8"/>
    <w:rsid w:val="00235C08"/>
    <w:rsid w:val="00240463"/>
    <w:rsid w:val="00241C08"/>
    <w:rsid w:val="00241CE4"/>
    <w:rsid w:val="00241E2C"/>
    <w:rsid w:val="00242FC1"/>
    <w:rsid w:val="00245BED"/>
    <w:rsid w:val="00251BB3"/>
    <w:rsid w:val="0025231E"/>
    <w:rsid w:val="00253579"/>
    <w:rsid w:val="00257B2C"/>
    <w:rsid w:val="00260EB8"/>
    <w:rsid w:val="002647C6"/>
    <w:rsid w:val="00265AE0"/>
    <w:rsid w:val="00267358"/>
    <w:rsid w:val="002711CA"/>
    <w:rsid w:val="00271D2D"/>
    <w:rsid w:val="002724DB"/>
    <w:rsid w:val="00272A4F"/>
    <w:rsid w:val="0027445D"/>
    <w:rsid w:val="002749C2"/>
    <w:rsid w:val="00275A7B"/>
    <w:rsid w:val="00275FB0"/>
    <w:rsid w:val="00280359"/>
    <w:rsid w:val="0028194D"/>
    <w:rsid w:val="0028504E"/>
    <w:rsid w:val="0028512B"/>
    <w:rsid w:val="002855BC"/>
    <w:rsid w:val="00286D4F"/>
    <w:rsid w:val="00286F65"/>
    <w:rsid w:val="00290B97"/>
    <w:rsid w:val="002922C3"/>
    <w:rsid w:val="00292BA3"/>
    <w:rsid w:val="00293FA6"/>
    <w:rsid w:val="00294548"/>
    <w:rsid w:val="00295A61"/>
    <w:rsid w:val="002A05F3"/>
    <w:rsid w:val="002A132A"/>
    <w:rsid w:val="002A35C7"/>
    <w:rsid w:val="002A42BB"/>
    <w:rsid w:val="002A7C18"/>
    <w:rsid w:val="002B08F1"/>
    <w:rsid w:val="002B2717"/>
    <w:rsid w:val="002B2845"/>
    <w:rsid w:val="002B288C"/>
    <w:rsid w:val="002B2C09"/>
    <w:rsid w:val="002B3CAA"/>
    <w:rsid w:val="002B512D"/>
    <w:rsid w:val="002B5D61"/>
    <w:rsid w:val="002B5E4A"/>
    <w:rsid w:val="002B74AD"/>
    <w:rsid w:val="002B7F92"/>
    <w:rsid w:val="002C18DF"/>
    <w:rsid w:val="002C1F1B"/>
    <w:rsid w:val="002C1FF1"/>
    <w:rsid w:val="002C2979"/>
    <w:rsid w:val="002C3C5A"/>
    <w:rsid w:val="002C3D19"/>
    <w:rsid w:val="002C4108"/>
    <w:rsid w:val="002C70DA"/>
    <w:rsid w:val="002C7491"/>
    <w:rsid w:val="002C7686"/>
    <w:rsid w:val="002C7A1A"/>
    <w:rsid w:val="002D3FF2"/>
    <w:rsid w:val="002D4013"/>
    <w:rsid w:val="002D569D"/>
    <w:rsid w:val="002E204C"/>
    <w:rsid w:val="002E20E6"/>
    <w:rsid w:val="002E2AB7"/>
    <w:rsid w:val="002E7602"/>
    <w:rsid w:val="002E783A"/>
    <w:rsid w:val="002F032E"/>
    <w:rsid w:val="002F1B62"/>
    <w:rsid w:val="002F3C1E"/>
    <w:rsid w:val="002F6B23"/>
    <w:rsid w:val="00300CFB"/>
    <w:rsid w:val="00304BD2"/>
    <w:rsid w:val="00305B2A"/>
    <w:rsid w:val="00307925"/>
    <w:rsid w:val="00307C26"/>
    <w:rsid w:val="00310033"/>
    <w:rsid w:val="00310B2F"/>
    <w:rsid w:val="00311011"/>
    <w:rsid w:val="0031132E"/>
    <w:rsid w:val="00313347"/>
    <w:rsid w:val="0031362D"/>
    <w:rsid w:val="00313DC4"/>
    <w:rsid w:val="0031410B"/>
    <w:rsid w:val="003143B6"/>
    <w:rsid w:val="00316B19"/>
    <w:rsid w:val="00320E3F"/>
    <w:rsid w:val="003240FF"/>
    <w:rsid w:val="00324528"/>
    <w:rsid w:val="00324A06"/>
    <w:rsid w:val="003308B0"/>
    <w:rsid w:val="00330A57"/>
    <w:rsid w:val="003315C4"/>
    <w:rsid w:val="00332B7E"/>
    <w:rsid w:val="00344C23"/>
    <w:rsid w:val="00344C36"/>
    <w:rsid w:val="00351734"/>
    <w:rsid w:val="003527BD"/>
    <w:rsid w:val="003527F2"/>
    <w:rsid w:val="00352AFC"/>
    <w:rsid w:val="00352CF7"/>
    <w:rsid w:val="003533B0"/>
    <w:rsid w:val="003561A9"/>
    <w:rsid w:val="00357278"/>
    <w:rsid w:val="00357A4A"/>
    <w:rsid w:val="00360217"/>
    <w:rsid w:val="00361B07"/>
    <w:rsid w:val="00363CB8"/>
    <w:rsid w:val="00364EE9"/>
    <w:rsid w:val="003722F0"/>
    <w:rsid w:val="0037257E"/>
    <w:rsid w:val="00374656"/>
    <w:rsid w:val="00375C66"/>
    <w:rsid w:val="00376D43"/>
    <w:rsid w:val="00381AEE"/>
    <w:rsid w:val="00381CEF"/>
    <w:rsid w:val="0038263F"/>
    <w:rsid w:val="00387017"/>
    <w:rsid w:val="0039016D"/>
    <w:rsid w:val="00390B32"/>
    <w:rsid w:val="00390BFA"/>
    <w:rsid w:val="003A084A"/>
    <w:rsid w:val="003A0E54"/>
    <w:rsid w:val="003A30F3"/>
    <w:rsid w:val="003A3404"/>
    <w:rsid w:val="003A4550"/>
    <w:rsid w:val="003A475E"/>
    <w:rsid w:val="003A6058"/>
    <w:rsid w:val="003A71F0"/>
    <w:rsid w:val="003B561E"/>
    <w:rsid w:val="003B615C"/>
    <w:rsid w:val="003B6B47"/>
    <w:rsid w:val="003C0BC9"/>
    <w:rsid w:val="003C3D4A"/>
    <w:rsid w:val="003C4811"/>
    <w:rsid w:val="003D01A4"/>
    <w:rsid w:val="003D1C9A"/>
    <w:rsid w:val="003D2B1D"/>
    <w:rsid w:val="003D4637"/>
    <w:rsid w:val="003D582A"/>
    <w:rsid w:val="003D6449"/>
    <w:rsid w:val="003D768D"/>
    <w:rsid w:val="003E45AB"/>
    <w:rsid w:val="003E5581"/>
    <w:rsid w:val="003E7382"/>
    <w:rsid w:val="003F09CC"/>
    <w:rsid w:val="003F24FC"/>
    <w:rsid w:val="003F35FE"/>
    <w:rsid w:val="003F3C7E"/>
    <w:rsid w:val="003F3F47"/>
    <w:rsid w:val="003F45B2"/>
    <w:rsid w:val="003F4FDE"/>
    <w:rsid w:val="003F6F9A"/>
    <w:rsid w:val="00400102"/>
    <w:rsid w:val="0040439C"/>
    <w:rsid w:val="00404523"/>
    <w:rsid w:val="0040625B"/>
    <w:rsid w:val="00410311"/>
    <w:rsid w:val="004169F3"/>
    <w:rsid w:val="0042014A"/>
    <w:rsid w:val="00421A1B"/>
    <w:rsid w:val="00422FEF"/>
    <w:rsid w:val="00423A84"/>
    <w:rsid w:val="00424F0A"/>
    <w:rsid w:val="00430495"/>
    <w:rsid w:val="004316BA"/>
    <w:rsid w:val="00431A11"/>
    <w:rsid w:val="00431D61"/>
    <w:rsid w:val="00434114"/>
    <w:rsid w:val="00434F0D"/>
    <w:rsid w:val="0043589F"/>
    <w:rsid w:val="00436164"/>
    <w:rsid w:val="00436606"/>
    <w:rsid w:val="00436667"/>
    <w:rsid w:val="0044357B"/>
    <w:rsid w:val="0044544A"/>
    <w:rsid w:val="00447552"/>
    <w:rsid w:val="004541E1"/>
    <w:rsid w:val="00454E84"/>
    <w:rsid w:val="00455E81"/>
    <w:rsid w:val="004566ED"/>
    <w:rsid w:val="00456737"/>
    <w:rsid w:val="004573DA"/>
    <w:rsid w:val="004602B6"/>
    <w:rsid w:val="004608C0"/>
    <w:rsid w:val="00460B2D"/>
    <w:rsid w:val="00462F2A"/>
    <w:rsid w:val="00463E1B"/>
    <w:rsid w:val="00464243"/>
    <w:rsid w:val="0046689E"/>
    <w:rsid w:val="0046793B"/>
    <w:rsid w:val="00467C54"/>
    <w:rsid w:val="00473485"/>
    <w:rsid w:val="0047600E"/>
    <w:rsid w:val="0047619D"/>
    <w:rsid w:val="00480EB8"/>
    <w:rsid w:val="00480FC3"/>
    <w:rsid w:val="00484152"/>
    <w:rsid w:val="00484B58"/>
    <w:rsid w:val="00490770"/>
    <w:rsid w:val="0049086A"/>
    <w:rsid w:val="004915EF"/>
    <w:rsid w:val="00491B03"/>
    <w:rsid w:val="00494799"/>
    <w:rsid w:val="004A0744"/>
    <w:rsid w:val="004A4F72"/>
    <w:rsid w:val="004A63E9"/>
    <w:rsid w:val="004B04E5"/>
    <w:rsid w:val="004B1CF5"/>
    <w:rsid w:val="004B45E5"/>
    <w:rsid w:val="004C193F"/>
    <w:rsid w:val="004C217D"/>
    <w:rsid w:val="004C388A"/>
    <w:rsid w:val="004C38FD"/>
    <w:rsid w:val="004C425A"/>
    <w:rsid w:val="004C4E52"/>
    <w:rsid w:val="004D12D6"/>
    <w:rsid w:val="004D4A14"/>
    <w:rsid w:val="004E14E5"/>
    <w:rsid w:val="004E232C"/>
    <w:rsid w:val="004E329F"/>
    <w:rsid w:val="004E7E79"/>
    <w:rsid w:val="004F3D98"/>
    <w:rsid w:val="004F4125"/>
    <w:rsid w:val="004F4A2A"/>
    <w:rsid w:val="004F71FA"/>
    <w:rsid w:val="004F7FA8"/>
    <w:rsid w:val="00503497"/>
    <w:rsid w:val="0050364C"/>
    <w:rsid w:val="00503B5A"/>
    <w:rsid w:val="005042E6"/>
    <w:rsid w:val="00511EBD"/>
    <w:rsid w:val="00512EF9"/>
    <w:rsid w:val="00513F8B"/>
    <w:rsid w:val="0051436E"/>
    <w:rsid w:val="005210B0"/>
    <w:rsid w:val="00521DC1"/>
    <w:rsid w:val="00521F3D"/>
    <w:rsid w:val="00522845"/>
    <w:rsid w:val="00526C94"/>
    <w:rsid w:val="00526CF2"/>
    <w:rsid w:val="005315C4"/>
    <w:rsid w:val="00531B1A"/>
    <w:rsid w:val="00531DE7"/>
    <w:rsid w:val="005350F7"/>
    <w:rsid w:val="00540D33"/>
    <w:rsid w:val="005413D4"/>
    <w:rsid w:val="00541712"/>
    <w:rsid w:val="00542B25"/>
    <w:rsid w:val="0054466C"/>
    <w:rsid w:val="0054538A"/>
    <w:rsid w:val="0054546B"/>
    <w:rsid w:val="005456E3"/>
    <w:rsid w:val="00550024"/>
    <w:rsid w:val="00550690"/>
    <w:rsid w:val="00554A60"/>
    <w:rsid w:val="00554CC9"/>
    <w:rsid w:val="00556B05"/>
    <w:rsid w:val="00556B80"/>
    <w:rsid w:val="00556D7B"/>
    <w:rsid w:val="005601F2"/>
    <w:rsid w:val="00562306"/>
    <w:rsid w:val="00562725"/>
    <w:rsid w:val="00563FCD"/>
    <w:rsid w:val="005643BD"/>
    <w:rsid w:val="0056690A"/>
    <w:rsid w:val="00566DFC"/>
    <w:rsid w:val="005676FF"/>
    <w:rsid w:val="005709EF"/>
    <w:rsid w:val="00572CBA"/>
    <w:rsid w:val="005740CA"/>
    <w:rsid w:val="00574124"/>
    <w:rsid w:val="00576403"/>
    <w:rsid w:val="00577109"/>
    <w:rsid w:val="005776D9"/>
    <w:rsid w:val="00577E29"/>
    <w:rsid w:val="005821BF"/>
    <w:rsid w:val="00587337"/>
    <w:rsid w:val="005877F6"/>
    <w:rsid w:val="00590371"/>
    <w:rsid w:val="00591F36"/>
    <w:rsid w:val="00593503"/>
    <w:rsid w:val="00596339"/>
    <w:rsid w:val="005A1AC3"/>
    <w:rsid w:val="005A28F5"/>
    <w:rsid w:val="005A472F"/>
    <w:rsid w:val="005A4919"/>
    <w:rsid w:val="005B6865"/>
    <w:rsid w:val="005B775A"/>
    <w:rsid w:val="005C2BB2"/>
    <w:rsid w:val="005C3EDE"/>
    <w:rsid w:val="005C46B0"/>
    <w:rsid w:val="005C754B"/>
    <w:rsid w:val="005D166C"/>
    <w:rsid w:val="005D183A"/>
    <w:rsid w:val="005D1D01"/>
    <w:rsid w:val="005D4CCB"/>
    <w:rsid w:val="005D5529"/>
    <w:rsid w:val="005E1260"/>
    <w:rsid w:val="005E423D"/>
    <w:rsid w:val="005E76F9"/>
    <w:rsid w:val="005F0C2A"/>
    <w:rsid w:val="005F39CC"/>
    <w:rsid w:val="005F6832"/>
    <w:rsid w:val="00600CFF"/>
    <w:rsid w:val="006069C4"/>
    <w:rsid w:val="00610569"/>
    <w:rsid w:val="00612763"/>
    <w:rsid w:val="00612B6A"/>
    <w:rsid w:val="006143A7"/>
    <w:rsid w:val="00614FF7"/>
    <w:rsid w:val="0061651E"/>
    <w:rsid w:val="006224ED"/>
    <w:rsid w:val="00623854"/>
    <w:rsid w:val="00623F06"/>
    <w:rsid w:val="0062758A"/>
    <w:rsid w:val="006306B7"/>
    <w:rsid w:val="00630A46"/>
    <w:rsid w:val="00633ED7"/>
    <w:rsid w:val="00634424"/>
    <w:rsid w:val="00635000"/>
    <w:rsid w:val="0063566D"/>
    <w:rsid w:val="0063604E"/>
    <w:rsid w:val="00637A7B"/>
    <w:rsid w:val="00640CC6"/>
    <w:rsid w:val="00640DF3"/>
    <w:rsid w:val="00641AF9"/>
    <w:rsid w:val="00642406"/>
    <w:rsid w:val="00642A2D"/>
    <w:rsid w:val="00642AD3"/>
    <w:rsid w:val="00643210"/>
    <w:rsid w:val="00643FC9"/>
    <w:rsid w:val="00645611"/>
    <w:rsid w:val="0064563C"/>
    <w:rsid w:val="00645BC9"/>
    <w:rsid w:val="006476B1"/>
    <w:rsid w:val="006519F8"/>
    <w:rsid w:val="00652535"/>
    <w:rsid w:val="00655078"/>
    <w:rsid w:val="00656C78"/>
    <w:rsid w:val="0065762E"/>
    <w:rsid w:val="00660CEF"/>
    <w:rsid w:val="00661E84"/>
    <w:rsid w:val="00662108"/>
    <w:rsid w:val="00666213"/>
    <w:rsid w:val="0066658C"/>
    <w:rsid w:val="00667704"/>
    <w:rsid w:val="0067044D"/>
    <w:rsid w:val="006721B4"/>
    <w:rsid w:val="00675D43"/>
    <w:rsid w:val="0068148B"/>
    <w:rsid w:val="0068154D"/>
    <w:rsid w:val="00684AA9"/>
    <w:rsid w:val="00690BD2"/>
    <w:rsid w:val="00692748"/>
    <w:rsid w:val="00693107"/>
    <w:rsid w:val="00693C6B"/>
    <w:rsid w:val="00695041"/>
    <w:rsid w:val="006953B1"/>
    <w:rsid w:val="006A2679"/>
    <w:rsid w:val="006A384C"/>
    <w:rsid w:val="006A3CC4"/>
    <w:rsid w:val="006A7E31"/>
    <w:rsid w:val="006B2076"/>
    <w:rsid w:val="006B2FA7"/>
    <w:rsid w:val="006B3567"/>
    <w:rsid w:val="006B781F"/>
    <w:rsid w:val="006C2A9E"/>
    <w:rsid w:val="006C4030"/>
    <w:rsid w:val="006C435E"/>
    <w:rsid w:val="006D0604"/>
    <w:rsid w:val="006D0CB9"/>
    <w:rsid w:val="006D2461"/>
    <w:rsid w:val="006D370F"/>
    <w:rsid w:val="006D486D"/>
    <w:rsid w:val="006D731A"/>
    <w:rsid w:val="006D7C02"/>
    <w:rsid w:val="006E2B4E"/>
    <w:rsid w:val="006E3975"/>
    <w:rsid w:val="006E3C5F"/>
    <w:rsid w:val="006E3C95"/>
    <w:rsid w:val="006E68B0"/>
    <w:rsid w:val="006F0CAA"/>
    <w:rsid w:val="006F1233"/>
    <w:rsid w:val="006F18A0"/>
    <w:rsid w:val="006F2A5C"/>
    <w:rsid w:val="006F34B1"/>
    <w:rsid w:val="006F49FB"/>
    <w:rsid w:val="006F62E4"/>
    <w:rsid w:val="006F77B7"/>
    <w:rsid w:val="006F7DD7"/>
    <w:rsid w:val="00703617"/>
    <w:rsid w:val="00704706"/>
    <w:rsid w:val="00704EFB"/>
    <w:rsid w:val="007071B6"/>
    <w:rsid w:val="00714472"/>
    <w:rsid w:val="00716C4C"/>
    <w:rsid w:val="00721065"/>
    <w:rsid w:val="00723CEA"/>
    <w:rsid w:val="00723E7F"/>
    <w:rsid w:val="00725A3A"/>
    <w:rsid w:val="00727A20"/>
    <w:rsid w:val="0073073D"/>
    <w:rsid w:val="007364E5"/>
    <w:rsid w:val="007367A8"/>
    <w:rsid w:val="007423DC"/>
    <w:rsid w:val="0074531F"/>
    <w:rsid w:val="00746640"/>
    <w:rsid w:val="00746722"/>
    <w:rsid w:val="007475DF"/>
    <w:rsid w:val="00747A87"/>
    <w:rsid w:val="00752724"/>
    <w:rsid w:val="007535FC"/>
    <w:rsid w:val="00756541"/>
    <w:rsid w:val="00760C8A"/>
    <w:rsid w:val="00760F6A"/>
    <w:rsid w:val="007640C5"/>
    <w:rsid w:val="00767B83"/>
    <w:rsid w:val="00767E6C"/>
    <w:rsid w:val="007713AA"/>
    <w:rsid w:val="00771429"/>
    <w:rsid w:val="00771E40"/>
    <w:rsid w:val="00772144"/>
    <w:rsid w:val="00773487"/>
    <w:rsid w:val="0077483E"/>
    <w:rsid w:val="00777A8A"/>
    <w:rsid w:val="0078163B"/>
    <w:rsid w:val="007816C7"/>
    <w:rsid w:val="00781DD0"/>
    <w:rsid w:val="00786A5A"/>
    <w:rsid w:val="007903C8"/>
    <w:rsid w:val="00790696"/>
    <w:rsid w:val="00793621"/>
    <w:rsid w:val="0079382E"/>
    <w:rsid w:val="00793916"/>
    <w:rsid w:val="00793A6F"/>
    <w:rsid w:val="007949A8"/>
    <w:rsid w:val="00794F15"/>
    <w:rsid w:val="0079670C"/>
    <w:rsid w:val="007A33CA"/>
    <w:rsid w:val="007A3AD9"/>
    <w:rsid w:val="007A5984"/>
    <w:rsid w:val="007A5BA2"/>
    <w:rsid w:val="007A6036"/>
    <w:rsid w:val="007B284B"/>
    <w:rsid w:val="007B3833"/>
    <w:rsid w:val="007B3E50"/>
    <w:rsid w:val="007B4B4B"/>
    <w:rsid w:val="007B5307"/>
    <w:rsid w:val="007B6DF3"/>
    <w:rsid w:val="007B7779"/>
    <w:rsid w:val="007B7C05"/>
    <w:rsid w:val="007C02E7"/>
    <w:rsid w:val="007C59EC"/>
    <w:rsid w:val="007C5AA1"/>
    <w:rsid w:val="007C64E1"/>
    <w:rsid w:val="007C7122"/>
    <w:rsid w:val="007C7583"/>
    <w:rsid w:val="007D24B7"/>
    <w:rsid w:val="007D4FA1"/>
    <w:rsid w:val="007D7F06"/>
    <w:rsid w:val="007E2E90"/>
    <w:rsid w:val="007E3F2C"/>
    <w:rsid w:val="007E4CD6"/>
    <w:rsid w:val="007E54AE"/>
    <w:rsid w:val="007E56F0"/>
    <w:rsid w:val="007F1440"/>
    <w:rsid w:val="007F2D66"/>
    <w:rsid w:val="007F3A67"/>
    <w:rsid w:val="007F4D52"/>
    <w:rsid w:val="007F56EC"/>
    <w:rsid w:val="007F6F3E"/>
    <w:rsid w:val="00800BCD"/>
    <w:rsid w:val="00801282"/>
    <w:rsid w:val="0080139E"/>
    <w:rsid w:val="0080180E"/>
    <w:rsid w:val="00801A70"/>
    <w:rsid w:val="008024FC"/>
    <w:rsid w:val="0080549D"/>
    <w:rsid w:val="00806037"/>
    <w:rsid w:val="00812177"/>
    <w:rsid w:val="00812699"/>
    <w:rsid w:val="00815892"/>
    <w:rsid w:val="00815F70"/>
    <w:rsid w:val="0082244D"/>
    <w:rsid w:val="00823EBC"/>
    <w:rsid w:val="00824014"/>
    <w:rsid w:val="00826EBB"/>
    <w:rsid w:val="00836FE5"/>
    <w:rsid w:val="00845B5B"/>
    <w:rsid w:val="0085004E"/>
    <w:rsid w:val="0085392F"/>
    <w:rsid w:val="00853B3D"/>
    <w:rsid w:val="0085528A"/>
    <w:rsid w:val="008552F0"/>
    <w:rsid w:val="0085545C"/>
    <w:rsid w:val="00861243"/>
    <w:rsid w:val="008616E9"/>
    <w:rsid w:val="00861813"/>
    <w:rsid w:val="00862ADA"/>
    <w:rsid w:val="00862AE1"/>
    <w:rsid w:val="00862AF0"/>
    <w:rsid w:val="00862C32"/>
    <w:rsid w:val="0086517C"/>
    <w:rsid w:val="008702DB"/>
    <w:rsid w:val="008732BD"/>
    <w:rsid w:val="008750FB"/>
    <w:rsid w:val="00875F07"/>
    <w:rsid w:val="008764AE"/>
    <w:rsid w:val="0087650D"/>
    <w:rsid w:val="008801E6"/>
    <w:rsid w:val="00881B1B"/>
    <w:rsid w:val="00882AB1"/>
    <w:rsid w:val="00883750"/>
    <w:rsid w:val="00885135"/>
    <w:rsid w:val="008851E7"/>
    <w:rsid w:val="00890376"/>
    <w:rsid w:val="00893CFA"/>
    <w:rsid w:val="00894381"/>
    <w:rsid w:val="00896423"/>
    <w:rsid w:val="00896498"/>
    <w:rsid w:val="00897967"/>
    <w:rsid w:val="008A0837"/>
    <w:rsid w:val="008A0F2C"/>
    <w:rsid w:val="008A4518"/>
    <w:rsid w:val="008A4799"/>
    <w:rsid w:val="008A582A"/>
    <w:rsid w:val="008A60FE"/>
    <w:rsid w:val="008A615B"/>
    <w:rsid w:val="008A64AD"/>
    <w:rsid w:val="008A6E3B"/>
    <w:rsid w:val="008A7EA0"/>
    <w:rsid w:val="008B2F0D"/>
    <w:rsid w:val="008B4B2A"/>
    <w:rsid w:val="008B776D"/>
    <w:rsid w:val="008C0411"/>
    <w:rsid w:val="008C30CC"/>
    <w:rsid w:val="008C49AB"/>
    <w:rsid w:val="008D174C"/>
    <w:rsid w:val="008D20A9"/>
    <w:rsid w:val="008D2B6A"/>
    <w:rsid w:val="008D337C"/>
    <w:rsid w:val="008D35DD"/>
    <w:rsid w:val="008D37DE"/>
    <w:rsid w:val="008D69E9"/>
    <w:rsid w:val="008D6DB7"/>
    <w:rsid w:val="008E12F6"/>
    <w:rsid w:val="008E21AB"/>
    <w:rsid w:val="008E3838"/>
    <w:rsid w:val="008E619B"/>
    <w:rsid w:val="008E69BB"/>
    <w:rsid w:val="008F0909"/>
    <w:rsid w:val="008F0B76"/>
    <w:rsid w:val="008F344F"/>
    <w:rsid w:val="008F3B3B"/>
    <w:rsid w:val="008F54D8"/>
    <w:rsid w:val="008F7815"/>
    <w:rsid w:val="00901A80"/>
    <w:rsid w:val="009020B9"/>
    <w:rsid w:val="0090266A"/>
    <w:rsid w:val="00902C34"/>
    <w:rsid w:val="00904EE9"/>
    <w:rsid w:val="0090588D"/>
    <w:rsid w:val="009105B7"/>
    <w:rsid w:val="009136D2"/>
    <w:rsid w:val="00917A8B"/>
    <w:rsid w:val="009236A2"/>
    <w:rsid w:val="00924754"/>
    <w:rsid w:val="00926338"/>
    <w:rsid w:val="00927A2D"/>
    <w:rsid w:val="00927C3A"/>
    <w:rsid w:val="00934062"/>
    <w:rsid w:val="00934693"/>
    <w:rsid w:val="0094112A"/>
    <w:rsid w:val="00941E9C"/>
    <w:rsid w:val="00945306"/>
    <w:rsid w:val="009459C8"/>
    <w:rsid w:val="00947A7A"/>
    <w:rsid w:val="00950717"/>
    <w:rsid w:val="0095219B"/>
    <w:rsid w:val="00954350"/>
    <w:rsid w:val="00954729"/>
    <w:rsid w:val="0095523D"/>
    <w:rsid w:val="00960F83"/>
    <w:rsid w:val="00962988"/>
    <w:rsid w:val="00962ADA"/>
    <w:rsid w:val="00965A05"/>
    <w:rsid w:val="009667FC"/>
    <w:rsid w:val="009673AE"/>
    <w:rsid w:val="0097056A"/>
    <w:rsid w:val="00973B1B"/>
    <w:rsid w:val="009753EA"/>
    <w:rsid w:val="00975745"/>
    <w:rsid w:val="00980293"/>
    <w:rsid w:val="009803B5"/>
    <w:rsid w:val="00980F9B"/>
    <w:rsid w:val="0098109A"/>
    <w:rsid w:val="00985305"/>
    <w:rsid w:val="00985BB4"/>
    <w:rsid w:val="0098743C"/>
    <w:rsid w:val="009916BA"/>
    <w:rsid w:val="009933E0"/>
    <w:rsid w:val="00994030"/>
    <w:rsid w:val="009965DE"/>
    <w:rsid w:val="009968ED"/>
    <w:rsid w:val="009A0862"/>
    <w:rsid w:val="009A24AC"/>
    <w:rsid w:val="009A25BF"/>
    <w:rsid w:val="009A396B"/>
    <w:rsid w:val="009A5962"/>
    <w:rsid w:val="009A7882"/>
    <w:rsid w:val="009B32D3"/>
    <w:rsid w:val="009B46ED"/>
    <w:rsid w:val="009B4750"/>
    <w:rsid w:val="009B4C9A"/>
    <w:rsid w:val="009C043B"/>
    <w:rsid w:val="009C1EBC"/>
    <w:rsid w:val="009C21BA"/>
    <w:rsid w:val="009C4DAF"/>
    <w:rsid w:val="009C55D9"/>
    <w:rsid w:val="009D0947"/>
    <w:rsid w:val="009D34C8"/>
    <w:rsid w:val="009D3A5A"/>
    <w:rsid w:val="009D578C"/>
    <w:rsid w:val="009D75C9"/>
    <w:rsid w:val="009D7F6A"/>
    <w:rsid w:val="009E0BDD"/>
    <w:rsid w:val="009E0E22"/>
    <w:rsid w:val="009E5482"/>
    <w:rsid w:val="009E5D48"/>
    <w:rsid w:val="009E5DB3"/>
    <w:rsid w:val="009E7D40"/>
    <w:rsid w:val="009F02EF"/>
    <w:rsid w:val="009F4BC0"/>
    <w:rsid w:val="009F4F24"/>
    <w:rsid w:val="009F50A8"/>
    <w:rsid w:val="00A00014"/>
    <w:rsid w:val="00A05768"/>
    <w:rsid w:val="00A063BE"/>
    <w:rsid w:val="00A12B73"/>
    <w:rsid w:val="00A1487D"/>
    <w:rsid w:val="00A14F20"/>
    <w:rsid w:val="00A1509D"/>
    <w:rsid w:val="00A15369"/>
    <w:rsid w:val="00A157AE"/>
    <w:rsid w:val="00A15B19"/>
    <w:rsid w:val="00A16B63"/>
    <w:rsid w:val="00A20D0D"/>
    <w:rsid w:val="00A22FA3"/>
    <w:rsid w:val="00A235EF"/>
    <w:rsid w:val="00A23C10"/>
    <w:rsid w:val="00A23EB9"/>
    <w:rsid w:val="00A251B2"/>
    <w:rsid w:val="00A32334"/>
    <w:rsid w:val="00A32E0B"/>
    <w:rsid w:val="00A33424"/>
    <w:rsid w:val="00A35628"/>
    <w:rsid w:val="00A36CA2"/>
    <w:rsid w:val="00A37484"/>
    <w:rsid w:val="00A406D2"/>
    <w:rsid w:val="00A41366"/>
    <w:rsid w:val="00A4257C"/>
    <w:rsid w:val="00A42F3F"/>
    <w:rsid w:val="00A46573"/>
    <w:rsid w:val="00A46D2C"/>
    <w:rsid w:val="00A47663"/>
    <w:rsid w:val="00A51DD3"/>
    <w:rsid w:val="00A5222C"/>
    <w:rsid w:val="00A5275A"/>
    <w:rsid w:val="00A53C8F"/>
    <w:rsid w:val="00A546B3"/>
    <w:rsid w:val="00A556BD"/>
    <w:rsid w:val="00A55E72"/>
    <w:rsid w:val="00A56599"/>
    <w:rsid w:val="00A5705E"/>
    <w:rsid w:val="00A63589"/>
    <w:rsid w:val="00A6401A"/>
    <w:rsid w:val="00A65DE5"/>
    <w:rsid w:val="00A6784C"/>
    <w:rsid w:val="00A7034E"/>
    <w:rsid w:val="00A72804"/>
    <w:rsid w:val="00A74A24"/>
    <w:rsid w:val="00A7609D"/>
    <w:rsid w:val="00A77B5C"/>
    <w:rsid w:val="00A80BAE"/>
    <w:rsid w:val="00A81CD1"/>
    <w:rsid w:val="00A83819"/>
    <w:rsid w:val="00A83BC4"/>
    <w:rsid w:val="00A83E7D"/>
    <w:rsid w:val="00A85972"/>
    <w:rsid w:val="00A85B8D"/>
    <w:rsid w:val="00A92B35"/>
    <w:rsid w:val="00A9306B"/>
    <w:rsid w:val="00A932A2"/>
    <w:rsid w:val="00A95016"/>
    <w:rsid w:val="00A955FD"/>
    <w:rsid w:val="00A95C32"/>
    <w:rsid w:val="00A96174"/>
    <w:rsid w:val="00A96735"/>
    <w:rsid w:val="00A969A6"/>
    <w:rsid w:val="00AA0F6E"/>
    <w:rsid w:val="00AA10F4"/>
    <w:rsid w:val="00AA4D22"/>
    <w:rsid w:val="00AA5DA7"/>
    <w:rsid w:val="00AA6E13"/>
    <w:rsid w:val="00AB135D"/>
    <w:rsid w:val="00AB2BBE"/>
    <w:rsid w:val="00AB5038"/>
    <w:rsid w:val="00AB6E58"/>
    <w:rsid w:val="00AB7531"/>
    <w:rsid w:val="00AB782B"/>
    <w:rsid w:val="00AB787E"/>
    <w:rsid w:val="00AB79BD"/>
    <w:rsid w:val="00AB7C6D"/>
    <w:rsid w:val="00AC0952"/>
    <w:rsid w:val="00AC29AB"/>
    <w:rsid w:val="00AC566E"/>
    <w:rsid w:val="00AC64E0"/>
    <w:rsid w:val="00AC66A1"/>
    <w:rsid w:val="00AC68EA"/>
    <w:rsid w:val="00AD218D"/>
    <w:rsid w:val="00AD2CD7"/>
    <w:rsid w:val="00AD31B0"/>
    <w:rsid w:val="00AD35A8"/>
    <w:rsid w:val="00AD4F49"/>
    <w:rsid w:val="00AD5580"/>
    <w:rsid w:val="00AD74CE"/>
    <w:rsid w:val="00AE0A72"/>
    <w:rsid w:val="00AE120B"/>
    <w:rsid w:val="00AE2204"/>
    <w:rsid w:val="00AE7D30"/>
    <w:rsid w:val="00AF076C"/>
    <w:rsid w:val="00AF2F08"/>
    <w:rsid w:val="00AF342A"/>
    <w:rsid w:val="00AF4022"/>
    <w:rsid w:val="00AF48C0"/>
    <w:rsid w:val="00AF4A67"/>
    <w:rsid w:val="00AF6F3C"/>
    <w:rsid w:val="00AF70E6"/>
    <w:rsid w:val="00AF718D"/>
    <w:rsid w:val="00B010C4"/>
    <w:rsid w:val="00B02B47"/>
    <w:rsid w:val="00B07C85"/>
    <w:rsid w:val="00B12D25"/>
    <w:rsid w:val="00B12FF8"/>
    <w:rsid w:val="00B13062"/>
    <w:rsid w:val="00B17AC6"/>
    <w:rsid w:val="00B20147"/>
    <w:rsid w:val="00B202CE"/>
    <w:rsid w:val="00B254C4"/>
    <w:rsid w:val="00B27F2D"/>
    <w:rsid w:val="00B3015A"/>
    <w:rsid w:val="00B35D97"/>
    <w:rsid w:val="00B3754F"/>
    <w:rsid w:val="00B408C3"/>
    <w:rsid w:val="00B40B70"/>
    <w:rsid w:val="00B42FC3"/>
    <w:rsid w:val="00B4386A"/>
    <w:rsid w:val="00B455F6"/>
    <w:rsid w:val="00B45EFD"/>
    <w:rsid w:val="00B47754"/>
    <w:rsid w:val="00B47E63"/>
    <w:rsid w:val="00B51AF9"/>
    <w:rsid w:val="00B54CD6"/>
    <w:rsid w:val="00B55070"/>
    <w:rsid w:val="00B56707"/>
    <w:rsid w:val="00B571BA"/>
    <w:rsid w:val="00B6243E"/>
    <w:rsid w:val="00B638E7"/>
    <w:rsid w:val="00B65B28"/>
    <w:rsid w:val="00B71E6A"/>
    <w:rsid w:val="00B72619"/>
    <w:rsid w:val="00B777D6"/>
    <w:rsid w:val="00B803B6"/>
    <w:rsid w:val="00B83635"/>
    <w:rsid w:val="00B854C9"/>
    <w:rsid w:val="00B85543"/>
    <w:rsid w:val="00B85AD9"/>
    <w:rsid w:val="00B8662F"/>
    <w:rsid w:val="00B87A6C"/>
    <w:rsid w:val="00B90C45"/>
    <w:rsid w:val="00B975E1"/>
    <w:rsid w:val="00B978E7"/>
    <w:rsid w:val="00BA038D"/>
    <w:rsid w:val="00BA2C3C"/>
    <w:rsid w:val="00BA3B39"/>
    <w:rsid w:val="00BA3F6A"/>
    <w:rsid w:val="00BA4749"/>
    <w:rsid w:val="00BA492E"/>
    <w:rsid w:val="00BA6418"/>
    <w:rsid w:val="00BB503F"/>
    <w:rsid w:val="00BB5189"/>
    <w:rsid w:val="00BB61BF"/>
    <w:rsid w:val="00BB6EE4"/>
    <w:rsid w:val="00BB75B4"/>
    <w:rsid w:val="00BC0434"/>
    <w:rsid w:val="00BC0F97"/>
    <w:rsid w:val="00BC1600"/>
    <w:rsid w:val="00BC2330"/>
    <w:rsid w:val="00BC69D4"/>
    <w:rsid w:val="00BC6E39"/>
    <w:rsid w:val="00BC711F"/>
    <w:rsid w:val="00BD169F"/>
    <w:rsid w:val="00BD2DAA"/>
    <w:rsid w:val="00BD2E07"/>
    <w:rsid w:val="00BD4C61"/>
    <w:rsid w:val="00BD573A"/>
    <w:rsid w:val="00BD57BA"/>
    <w:rsid w:val="00BD6082"/>
    <w:rsid w:val="00BD7998"/>
    <w:rsid w:val="00BE0286"/>
    <w:rsid w:val="00BE0CCC"/>
    <w:rsid w:val="00BE25D3"/>
    <w:rsid w:val="00BE5299"/>
    <w:rsid w:val="00BE6CD3"/>
    <w:rsid w:val="00BE7992"/>
    <w:rsid w:val="00BF2D6B"/>
    <w:rsid w:val="00BF3EB9"/>
    <w:rsid w:val="00BF4B9E"/>
    <w:rsid w:val="00BF4C20"/>
    <w:rsid w:val="00BF6001"/>
    <w:rsid w:val="00C01961"/>
    <w:rsid w:val="00C0286B"/>
    <w:rsid w:val="00C055A3"/>
    <w:rsid w:val="00C05880"/>
    <w:rsid w:val="00C05932"/>
    <w:rsid w:val="00C07C0D"/>
    <w:rsid w:val="00C11F4E"/>
    <w:rsid w:val="00C140A0"/>
    <w:rsid w:val="00C1465C"/>
    <w:rsid w:val="00C14818"/>
    <w:rsid w:val="00C15C9E"/>
    <w:rsid w:val="00C2086E"/>
    <w:rsid w:val="00C22186"/>
    <w:rsid w:val="00C2344D"/>
    <w:rsid w:val="00C26534"/>
    <w:rsid w:val="00C2664B"/>
    <w:rsid w:val="00C2694D"/>
    <w:rsid w:val="00C27CE9"/>
    <w:rsid w:val="00C30B95"/>
    <w:rsid w:val="00C4147D"/>
    <w:rsid w:val="00C425C2"/>
    <w:rsid w:val="00C434E1"/>
    <w:rsid w:val="00C441A9"/>
    <w:rsid w:val="00C44477"/>
    <w:rsid w:val="00C45FA3"/>
    <w:rsid w:val="00C46C49"/>
    <w:rsid w:val="00C46EE4"/>
    <w:rsid w:val="00C5313F"/>
    <w:rsid w:val="00C53208"/>
    <w:rsid w:val="00C54B21"/>
    <w:rsid w:val="00C60549"/>
    <w:rsid w:val="00C6211D"/>
    <w:rsid w:val="00C641B8"/>
    <w:rsid w:val="00C64734"/>
    <w:rsid w:val="00C677C7"/>
    <w:rsid w:val="00C7113B"/>
    <w:rsid w:val="00C7189F"/>
    <w:rsid w:val="00C73426"/>
    <w:rsid w:val="00C73CB7"/>
    <w:rsid w:val="00C7500B"/>
    <w:rsid w:val="00C75A3E"/>
    <w:rsid w:val="00C8284A"/>
    <w:rsid w:val="00C82870"/>
    <w:rsid w:val="00C83112"/>
    <w:rsid w:val="00C83536"/>
    <w:rsid w:val="00C83D59"/>
    <w:rsid w:val="00C84A2D"/>
    <w:rsid w:val="00C856E4"/>
    <w:rsid w:val="00C85F22"/>
    <w:rsid w:val="00C86382"/>
    <w:rsid w:val="00C90BFB"/>
    <w:rsid w:val="00C97C79"/>
    <w:rsid w:val="00CA464E"/>
    <w:rsid w:val="00CA4ECF"/>
    <w:rsid w:val="00CB178E"/>
    <w:rsid w:val="00CB479C"/>
    <w:rsid w:val="00CB506D"/>
    <w:rsid w:val="00CB50DA"/>
    <w:rsid w:val="00CB54CF"/>
    <w:rsid w:val="00CB568A"/>
    <w:rsid w:val="00CB73B5"/>
    <w:rsid w:val="00CB7C9D"/>
    <w:rsid w:val="00CC1CA8"/>
    <w:rsid w:val="00CC265E"/>
    <w:rsid w:val="00CC39E0"/>
    <w:rsid w:val="00CC443F"/>
    <w:rsid w:val="00CC473A"/>
    <w:rsid w:val="00CC777B"/>
    <w:rsid w:val="00CD0C24"/>
    <w:rsid w:val="00CD0F41"/>
    <w:rsid w:val="00CD2409"/>
    <w:rsid w:val="00CD45F2"/>
    <w:rsid w:val="00CD7328"/>
    <w:rsid w:val="00CD79DD"/>
    <w:rsid w:val="00CE0CB4"/>
    <w:rsid w:val="00CE6F4F"/>
    <w:rsid w:val="00CE7C01"/>
    <w:rsid w:val="00CF0028"/>
    <w:rsid w:val="00CF056F"/>
    <w:rsid w:val="00CF08AF"/>
    <w:rsid w:val="00CF21AA"/>
    <w:rsid w:val="00CF3100"/>
    <w:rsid w:val="00CF3862"/>
    <w:rsid w:val="00D0063A"/>
    <w:rsid w:val="00D01AA5"/>
    <w:rsid w:val="00D02241"/>
    <w:rsid w:val="00D051F7"/>
    <w:rsid w:val="00D063C8"/>
    <w:rsid w:val="00D075CA"/>
    <w:rsid w:val="00D11196"/>
    <w:rsid w:val="00D14E4E"/>
    <w:rsid w:val="00D167A1"/>
    <w:rsid w:val="00D177E5"/>
    <w:rsid w:val="00D223C0"/>
    <w:rsid w:val="00D23D91"/>
    <w:rsid w:val="00D25430"/>
    <w:rsid w:val="00D2545F"/>
    <w:rsid w:val="00D26840"/>
    <w:rsid w:val="00D27354"/>
    <w:rsid w:val="00D2764E"/>
    <w:rsid w:val="00D327B0"/>
    <w:rsid w:val="00D32E83"/>
    <w:rsid w:val="00D33071"/>
    <w:rsid w:val="00D3469D"/>
    <w:rsid w:val="00D350AE"/>
    <w:rsid w:val="00D366FC"/>
    <w:rsid w:val="00D36CFE"/>
    <w:rsid w:val="00D406CD"/>
    <w:rsid w:val="00D40E17"/>
    <w:rsid w:val="00D4188F"/>
    <w:rsid w:val="00D41E5C"/>
    <w:rsid w:val="00D4245B"/>
    <w:rsid w:val="00D42A84"/>
    <w:rsid w:val="00D441D6"/>
    <w:rsid w:val="00D456E9"/>
    <w:rsid w:val="00D4579E"/>
    <w:rsid w:val="00D46027"/>
    <w:rsid w:val="00D46533"/>
    <w:rsid w:val="00D47D0F"/>
    <w:rsid w:val="00D50F47"/>
    <w:rsid w:val="00D510A9"/>
    <w:rsid w:val="00D546DC"/>
    <w:rsid w:val="00D54B4A"/>
    <w:rsid w:val="00D615CF"/>
    <w:rsid w:val="00D62CB0"/>
    <w:rsid w:val="00D63894"/>
    <w:rsid w:val="00D63984"/>
    <w:rsid w:val="00D65702"/>
    <w:rsid w:val="00D6622B"/>
    <w:rsid w:val="00D6690D"/>
    <w:rsid w:val="00D709F6"/>
    <w:rsid w:val="00D739EC"/>
    <w:rsid w:val="00D74862"/>
    <w:rsid w:val="00D76653"/>
    <w:rsid w:val="00D76D1E"/>
    <w:rsid w:val="00D77DA5"/>
    <w:rsid w:val="00D80452"/>
    <w:rsid w:val="00D8092A"/>
    <w:rsid w:val="00D80A65"/>
    <w:rsid w:val="00D81990"/>
    <w:rsid w:val="00D831C0"/>
    <w:rsid w:val="00D85F48"/>
    <w:rsid w:val="00D924DA"/>
    <w:rsid w:val="00D92710"/>
    <w:rsid w:val="00D93890"/>
    <w:rsid w:val="00D95FFB"/>
    <w:rsid w:val="00DA1791"/>
    <w:rsid w:val="00DA3488"/>
    <w:rsid w:val="00DB1B6A"/>
    <w:rsid w:val="00DB28CA"/>
    <w:rsid w:val="00DB52FA"/>
    <w:rsid w:val="00DB6679"/>
    <w:rsid w:val="00DB79E2"/>
    <w:rsid w:val="00DC0F99"/>
    <w:rsid w:val="00DC1C8C"/>
    <w:rsid w:val="00DC2754"/>
    <w:rsid w:val="00DC6BA8"/>
    <w:rsid w:val="00DD206A"/>
    <w:rsid w:val="00DD2F88"/>
    <w:rsid w:val="00DD36E7"/>
    <w:rsid w:val="00DD3A42"/>
    <w:rsid w:val="00DD5C53"/>
    <w:rsid w:val="00DD63DF"/>
    <w:rsid w:val="00DE15C0"/>
    <w:rsid w:val="00DE3C94"/>
    <w:rsid w:val="00DE3D36"/>
    <w:rsid w:val="00DE7F40"/>
    <w:rsid w:val="00DF40C9"/>
    <w:rsid w:val="00E00491"/>
    <w:rsid w:val="00E01563"/>
    <w:rsid w:val="00E0170B"/>
    <w:rsid w:val="00E04BF6"/>
    <w:rsid w:val="00E052C3"/>
    <w:rsid w:val="00E05628"/>
    <w:rsid w:val="00E137A7"/>
    <w:rsid w:val="00E13B94"/>
    <w:rsid w:val="00E141BA"/>
    <w:rsid w:val="00E15787"/>
    <w:rsid w:val="00E161E7"/>
    <w:rsid w:val="00E167DF"/>
    <w:rsid w:val="00E16AD5"/>
    <w:rsid w:val="00E17B11"/>
    <w:rsid w:val="00E202AB"/>
    <w:rsid w:val="00E21C1F"/>
    <w:rsid w:val="00E23893"/>
    <w:rsid w:val="00E24A9D"/>
    <w:rsid w:val="00E24DBD"/>
    <w:rsid w:val="00E258E7"/>
    <w:rsid w:val="00E26326"/>
    <w:rsid w:val="00E3116D"/>
    <w:rsid w:val="00E358B7"/>
    <w:rsid w:val="00E37377"/>
    <w:rsid w:val="00E40A00"/>
    <w:rsid w:val="00E41E92"/>
    <w:rsid w:val="00E421AC"/>
    <w:rsid w:val="00E43820"/>
    <w:rsid w:val="00E447E9"/>
    <w:rsid w:val="00E45190"/>
    <w:rsid w:val="00E4636D"/>
    <w:rsid w:val="00E463A0"/>
    <w:rsid w:val="00E513FF"/>
    <w:rsid w:val="00E51FB2"/>
    <w:rsid w:val="00E53385"/>
    <w:rsid w:val="00E5571C"/>
    <w:rsid w:val="00E5619B"/>
    <w:rsid w:val="00E572FE"/>
    <w:rsid w:val="00E601DE"/>
    <w:rsid w:val="00E6039A"/>
    <w:rsid w:val="00E60908"/>
    <w:rsid w:val="00E614E9"/>
    <w:rsid w:val="00E644D5"/>
    <w:rsid w:val="00E65671"/>
    <w:rsid w:val="00E7019E"/>
    <w:rsid w:val="00E70806"/>
    <w:rsid w:val="00E71203"/>
    <w:rsid w:val="00E713E6"/>
    <w:rsid w:val="00E71C00"/>
    <w:rsid w:val="00E73D15"/>
    <w:rsid w:val="00E7685D"/>
    <w:rsid w:val="00E842FE"/>
    <w:rsid w:val="00E907F9"/>
    <w:rsid w:val="00E90DF6"/>
    <w:rsid w:val="00E92028"/>
    <w:rsid w:val="00E9259E"/>
    <w:rsid w:val="00E93A13"/>
    <w:rsid w:val="00E962BB"/>
    <w:rsid w:val="00E96C20"/>
    <w:rsid w:val="00E96D15"/>
    <w:rsid w:val="00EA21DB"/>
    <w:rsid w:val="00EA24C5"/>
    <w:rsid w:val="00EA7475"/>
    <w:rsid w:val="00EB0269"/>
    <w:rsid w:val="00EB16C4"/>
    <w:rsid w:val="00EB2070"/>
    <w:rsid w:val="00EB4CF4"/>
    <w:rsid w:val="00EB795D"/>
    <w:rsid w:val="00EB7FB2"/>
    <w:rsid w:val="00EC08F3"/>
    <w:rsid w:val="00EC0DE8"/>
    <w:rsid w:val="00EC14BE"/>
    <w:rsid w:val="00ED0D28"/>
    <w:rsid w:val="00ED26AB"/>
    <w:rsid w:val="00ED4937"/>
    <w:rsid w:val="00ED5498"/>
    <w:rsid w:val="00EE0DA0"/>
    <w:rsid w:val="00EE3D49"/>
    <w:rsid w:val="00EF048B"/>
    <w:rsid w:val="00EF1659"/>
    <w:rsid w:val="00EF1852"/>
    <w:rsid w:val="00F01FC7"/>
    <w:rsid w:val="00F02C26"/>
    <w:rsid w:val="00F05A88"/>
    <w:rsid w:val="00F10DB2"/>
    <w:rsid w:val="00F12CF9"/>
    <w:rsid w:val="00F12E47"/>
    <w:rsid w:val="00F138F3"/>
    <w:rsid w:val="00F144E2"/>
    <w:rsid w:val="00F15F4C"/>
    <w:rsid w:val="00F23723"/>
    <w:rsid w:val="00F25277"/>
    <w:rsid w:val="00F25B7C"/>
    <w:rsid w:val="00F262C3"/>
    <w:rsid w:val="00F264FA"/>
    <w:rsid w:val="00F30D41"/>
    <w:rsid w:val="00F33BA9"/>
    <w:rsid w:val="00F33E55"/>
    <w:rsid w:val="00F37006"/>
    <w:rsid w:val="00F415CF"/>
    <w:rsid w:val="00F41B77"/>
    <w:rsid w:val="00F445D6"/>
    <w:rsid w:val="00F46164"/>
    <w:rsid w:val="00F5042F"/>
    <w:rsid w:val="00F51639"/>
    <w:rsid w:val="00F53404"/>
    <w:rsid w:val="00F53CD8"/>
    <w:rsid w:val="00F555F5"/>
    <w:rsid w:val="00F57D26"/>
    <w:rsid w:val="00F57E07"/>
    <w:rsid w:val="00F601C8"/>
    <w:rsid w:val="00F618AD"/>
    <w:rsid w:val="00F61EB7"/>
    <w:rsid w:val="00F622D7"/>
    <w:rsid w:val="00F63485"/>
    <w:rsid w:val="00F656F9"/>
    <w:rsid w:val="00F663ED"/>
    <w:rsid w:val="00F67C73"/>
    <w:rsid w:val="00F70BA8"/>
    <w:rsid w:val="00F7132B"/>
    <w:rsid w:val="00F71AB0"/>
    <w:rsid w:val="00F724A9"/>
    <w:rsid w:val="00F7299B"/>
    <w:rsid w:val="00F764F3"/>
    <w:rsid w:val="00F8419C"/>
    <w:rsid w:val="00F852E6"/>
    <w:rsid w:val="00F901FB"/>
    <w:rsid w:val="00F934AA"/>
    <w:rsid w:val="00F93A68"/>
    <w:rsid w:val="00F93E47"/>
    <w:rsid w:val="00F949CE"/>
    <w:rsid w:val="00F96B7E"/>
    <w:rsid w:val="00FA03F7"/>
    <w:rsid w:val="00FA1523"/>
    <w:rsid w:val="00FA39DF"/>
    <w:rsid w:val="00FB0371"/>
    <w:rsid w:val="00FB14E9"/>
    <w:rsid w:val="00FB221D"/>
    <w:rsid w:val="00FB40FA"/>
    <w:rsid w:val="00FB51D3"/>
    <w:rsid w:val="00FB5441"/>
    <w:rsid w:val="00FB7D3A"/>
    <w:rsid w:val="00FC2BBC"/>
    <w:rsid w:val="00FC42B3"/>
    <w:rsid w:val="00FC7A0C"/>
    <w:rsid w:val="00FD4291"/>
    <w:rsid w:val="00FD42FA"/>
    <w:rsid w:val="00FD5400"/>
    <w:rsid w:val="00FD5696"/>
    <w:rsid w:val="00FD6EB1"/>
    <w:rsid w:val="00FD7123"/>
    <w:rsid w:val="00FD7493"/>
    <w:rsid w:val="00FE015A"/>
    <w:rsid w:val="00FE0CDF"/>
    <w:rsid w:val="00FE3500"/>
    <w:rsid w:val="00FE3B55"/>
    <w:rsid w:val="00FE7C0B"/>
    <w:rsid w:val="00FF19C8"/>
    <w:rsid w:val="00FF3465"/>
    <w:rsid w:val="00FF565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883F78"/>
  <w15:chartTrackingRefBased/>
  <w15:docId w15:val="{8732C125-1E22-49F1-AF95-C15934A44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6989"/>
    <w:rPr>
      <w:rFonts w:ascii="Franklin Gothic Book" w:eastAsia="Times New Roman" w:hAnsi="Franklin Gothic Book" w:cs="Times New Roman"/>
      <w:color w:val="4A4D56" w:themeColor="text1"/>
      <w:lang w:val="en-US"/>
    </w:rPr>
  </w:style>
  <w:style w:type="paragraph" w:styleId="Heading1">
    <w:name w:val="heading 1"/>
    <w:next w:val="Normal"/>
    <w:uiPriority w:val="9"/>
    <w:qFormat/>
    <w:rsid w:val="00CB73B5"/>
    <w:pPr>
      <w:keepNext/>
      <w:keepLines/>
      <w:pageBreakBefore/>
      <w:numPr>
        <w:numId w:val="6"/>
      </w:numPr>
      <w:suppressAutoHyphens/>
      <w:spacing w:before="300" w:after="240" w:line="240" w:lineRule="auto"/>
      <w:outlineLvl w:val="0"/>
    </w:pPr>
    <w:rPr>
      <w:rFonts w:ascii="Rift Soft Medium" w:eastAsia="Times New Roman" w:hAnsi="Rift Soft Medium" w:cs="Times New Roman"/>
      <w:color w:val="053572"/>
      <w:sz w:val="44"/>
      <w:szCs w:val="24"/>
      <w:lang w:val="en-US"/>
    </w:rPr>
  </w:style>
  <w:style w:type="paragraph" w:styleId="Heading2">
    <w:name w:val="heading 2"/>
    <w:basedOn w:val="Heading1"/>
    <w:next w:val="Normal"/>
    <w:uiPriority w:val="9"/>
    <w:qFormat/>
    <w:rsid w:val="001754EE"/>
    <w:pPr>
      <w:pageBreakBefore w:val="0"/>
      <w:numPr>
        <w:ilvl w:val="1"/>
      </w:numPr>
      <w:outlineLvl w:val="1"/>
    </w:pPr>
    <w:rPr>
      <w:color w:val="416DCB" w:themeColor="accent1" w:themeTint="99"/>
      <w:sz w:val="40"/>
    </w:rPr>
  </w:style>
  <w:style w:type="paragraph" w:styleId="Heading3">
    <w:name w:val="heading 3"/>
    <w:basedOn w:val="Heading1"/>
    <w:next w:val="Normal"/>
    <w:link w:val="Heading3Char"/>
    <w:uiPriority w:val="9"/>
    <w:qFormat/>
    <w:rsid w:val="008B776D"/>
    <w:pPr>
      <w:pageBreakBefore w:val="0"/>
      <w:numPr>
        <w:ilvl w:val="2"/>
      </w:numPr>
      <w:outlineLvl w:val="2"/>
    </w:pPr>
    <w:rPr>
      <w:color w:val="1FA9E1" w:themeColor="accent3"/>
      <w:sz w:val="36"/>
    </w:rPr>
  </w:style>
  <w:style w:type="paragraph" w:styleId="Heading4">
    <w:name w:val="heading 4"/>
    <w:basedOn w:val="Normal"/>
    <w:link w:val="Heading4Char"/>
    <w:uiPriority w:val="9"/>
    <w:qFormat/>
    <w:rsid w:val="00473485"/>
    <w:pPr>
      <w:spacing w:before="240" w:after="180"/>
      <w:outlineLvl w:val="3"/>
    </w:pPr>
    <w:rPr>
      <w:rFonts w:ascii="Rift Soft Medium" w:hAnsi="Rift Soft Medium" w:cs="Arial"/>
      <w:bCs/>
      <w:color w:val="053572" w:themeColor="text2"/>
      <w:sz w:val="32"/>
      <w:szCs w:val="24"/>
    </w:rPr>
  </w:style>
  <w:style w:type="paragraph" w:styleId="Heading5">
    <w:name w:val="heading 5"/>
    <w:basedOn w:val="Heading4"/>
    <w:uiPriority w:val="9"/>
    <w:rsid w:val="00A7034E"/>
    <w:pPr>
      <w:spacing w:after="160"/>
      <w:outlineLvl w:val="4"/>
    </w:pPr>
    <w:rPr>
      <w:rFonts w:asciiTheme="majorHAnsi" w:hAnsiTheme="majorHAnsi"/>
      <w:iCs/>
      <w:color w:val="416DCB" w:themeColor="accent1" w:themeTint="99"/>
      <w:sz w:val="26"/>
      <w:szCs w:val="22"/>
    </w:rPr>
  </w:style>
  <w:style w:type="paragraph" w:styleId="Heading6">
    <w:name w:val="heading 6"/>
    <w:next w:val="Normal"/>
    <w:uiPriority w:val="9"/>
    <w:rsid w:val="00A7034E"/>
    <w:pPr>
      <w:spacing w:after="120"/>
      <w:outlineLvl w:val="5"/>
    </w:pPr>
    <w:rPr>
      <w:rFonts w:ascii="Franklin Gothic Medium" w:eastAsia="Times New Roman" w:hAnsi="Franklin Gothic Medium" w:cs="Arial"/>
      <w:bCs/>
      <w:iCs/>
      <w:color w:val="1FA9E1" w:themeColor="accent3"/>
      <w:sz w:val="24"/>
      <w:szCs w:val="21"/>
      <w:lang w:val="en-US"/>
    </w:rPr>
  </w:style>
  <w:style w:type="paragraph" w:styleId="Heading7">
    <w:name w:val="heading 7"/>
    <w:aliases w:val="Appendix Level 1"/>
    <w:basedOn w:val="Heading6"/>
    <w:next w:val="Normal"/>
    <w:uiPriority w:val="2"/>
    <w:qFormat/>
    <w:rsid w:val="00E37377"/>
    <w:pPr>
      <w:pageBreakBefore/>
      <w:spacing w:line="240" w:lineRule="auto"/>
      <w:outlineLvl w:val="6"/>
    </w:pPr>
    <w:rPr>
      <w:rFonts w:asciiTheme="majorHAnsi" w:hAnsiTheme="majorHAnsi"/>
      <w:color w:val="78CBED" w:themeColor="accent3" w:themeTint="99"/>
      <w:sz w:val="22"/>
      <w:szCs w:val="36"/>
    </w:rPr>
  </w:style>
  <w:style w:type="paragraph" w:styleId="Heading8">
    <w:name w:val="heading 8"/>
    <w:aliases w:val="Appendix Level 2"/>
    <w:basedOn w:val="Heading7"/>
    <w:next w:val="Normal"/>
    <w:uiPriority w:val="2"/>
    <w:qFormat/>
    <w:rsid w:val="00E37377"/>
    <w:pPr>
      <w:pageBreakBefore w:val="0"/>
      <w:outlineLvl w:val="7"/>
    </w:pPr>
    <w:rPr>
      <w:color w:val="4A4D56" w:themeColor="text1"/>
    </w:rPr>
  </w:style>
  <w:style w:type="paragraph" w:styleId="Heading9">
    <w:name w:val="heading 9"/>
    <w:aliases w:val="Appendix Level 3"/>
    <w:basedOn w:val="Heading8"/>
    <w:next w:val="Normal"/>
    <w:uiPriority w:val="2"/>
    <w:qFormat/>
    <w:rsid w:val="00E37377"/>
    <w:pPr>
      <w:numPr>
        <w:ilvl w:val="2"/>
      </w:numPr>
      <w:outlineLvl w:val="8"/>
    </w:pPr>
    <w:rPr>
      <w:rFonts w:ascii="Franklin Gothic Book" w:hAnsi="Franklin Gothic Book"/>
      <w:color w:val="05357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next w:val="Normal"/>
    <w:link w:val="FooterChar"/>
    <w:uiPriority w:val="69"/>
    <w:rsid w:val="001E0E4B"/>
    <w:pPr>
      <w:tabs>
        <w:tab w:val="center" w:pos="4320"/>
        <w:tab w:val="right" w:pos="9360"/>
      </w:tabs>
      <w:spacing w:after="0"/>
      <w:jc w:val="right"/>
    </w:pPr>
    <w:rPr>
      <w:noProof/>
      <w:color w:val="A6A6A6" w:themeColor="background1" w:themeShade="A6"/>
      <w:sz w:val="20"/>
      <w:szCs w:val="20"/>
    </w:rPr>
  </w:style>
  <w:style w:type="character" w:customStyle="1" w:styleId="FooterChar">
    <w:name w:val="Footer Char"/>
    <w:basedOn w:val="DefaultParagraphFont"/>
    <w:link w:val="Footer"/>
    <w:uiPriority w:val="69"/>
    <w:rsid w:val="001E0E4B"/>
    <w:rPr>
      <w:rFonts w:ascii="Franklin Gothic Book" w:eastAsia="Times New Roman" w:hAnsi="Franklin Gothic Book" w:cs="Times New Roman"/>
      <w:noProof/>
      <w:color w:val="A6A6A6" w:themeColor="background1" w:themeShade="A6"/>
      <w:sz w:val="20"/>
      <w:szCs w:val="20"/>
      <w:lang w:val="en-US"/>
    </w:rPr>
  </w:style>
  <w:style w:type="paragraph" w:styleId="TOAHeading">
    <w:name w:val="toa heading"/>
    <w:basedOn w:val="TableofFigures"/>
    <w:next w:val="Normal"/>
    <w:uiPriority w:val="99"/>
    <w:unhideWhenUsed/>
    <w:rsid w:val="00C677C7"/>
    <w:pPr>
      <w:ind w:right="-4"/>
    </w:pPr>
    <w:rPr>
      <w:rFonts w:ascii="Rift Soft" w:hAnsi="Rift Soft"/>
      <w:color w:val="053572"/>
      <w:sz w:val="48"/>
      <w:szCs w:val="48"/>
    </w:rPr>
  </w:style>
  <w:style w:type="character" w:styleId="Strong">
    <w:name w:val="Strong"/>
    <w:aliases w:val="Resume Style 1"/>
    <w:uiPriority w:val="22"/>
    <w:semiHidden/>
    <w:qFormat/>
    <w:rsid w:val="00473485"/>
    <w:rPr>
      <w:rFonts w:ascii="Franklin Gothic Medium" w:hAnsi="Franklin Gothic Medium"/>
      <w:color w:val="053572" w:themeColor="text2"/>
      <w:sz w:val="24"/>
    </w:rPr>
  </w:style>
  <w:style w:type="paragraph" w:styleId="BalloonText">
    <w:name w:val="Balloon Text"/>
    <w:basedOn w:val="Normal"/>
    <w:semiHidden/>
    <w:rsid w:val="00B51ADD"/>
    <w:rPr>
      <w:rFonts w:ascii="Tahoma" w:hAnsi="Tahoma" w:cs="Tahoma"/>
      <w:sz w:val="16"/>
      <w:szCs w:val="16"/>
    </w:rPr>
  </w:style>
  <w:style w:type="paragraph" w:styleId="BodyText">
    <w:name w:val="Body Text"/>
    <w:aliases w:val="bt,body text,Body Text Char Char Char Char Char Char Char Char Char Char Char Char Char Char Char,Body Text1 Char Char Char Char,Body Text Char Char1 Char Char Char Char Char Char,Body Text Char Char,bt Char,Body Text Char1 Char,Memo Body Text"/>
    <w:basedOn w:val="Normal"/>
    <w:link w:val="BodyTextChar"/>
    <w:qFormat/>
    <w:rsid w:val="001F4D82"/>
  </w:style>
  <w:style w:type="paragraph" w:customStyle="1" w:styleId="Bullet1">
    <w:name w:val="Bullet 1"/>
    <w:basedOn w:val="Normal"/>
    <w:next w:val="Normal"/>
    <w:uiPriority w:val="99"/>
    <w:semiHidden/>
    <w:qFormat/>
    <w:rsid w:val="00F54AE8"/>
    <w:pPr>
      <w:numPr>
        <w:numId w:val="1"/>
      </w:numPr>
      <w:tabs>
        <w:tab w:val="num" w:pos="360"/>
      </w:tabs>
      <w:spacing w:after="120"/>
      <w:ind w:left="0" w:firstLine="0"/>
    </w:pPr>
  </w:style>
  <w:style w:type="paragraph" w:customStyle="1" w:styleId="Bullet2">
    <w:name w:val="Bullet 2"/>
    <w:basedOn w:val="Normal"/>
    <w:next w:val="Normal"/>
    <w:uiPriority w:val="99"/>
    <w:semiHidden/>
    <w:qFormat/>
    <w:rsid w:val="00F54AE8"/>
    <w:pPr>
      <w:numPr>
        <w:ilvl w:val="1"/>
        <w:numId w:val="2"/>
      </w:numPr>
      <w:tabs>
        <w:tab w:val="num" w:pos="360"/>
      </w:tabs>
      <w:spacing w:after="120"/>
      <w:ind w:left="0" w:firstLine="0"/>
    </w:pPr>
  </w:style>
  <w:style w:type="paragraph" w:customStyle="1" w:styleId="Bullet3">
    <w:name w:val="Bullet 3"/>
    <w:basedOn w:val="Normal"/>
    <w:next w:val="Normal"/>
    <w:uiPriority w:val="99"/>
    <w:semiHidden/>
    <w:qFormat/>
    <w:rsid w:val="00F54AE8"/>
    <w:pPr>
      <w:numPr>
        <w:ilvl w:val="2"/>
        <w:numId w:val="3"/>
      </w:numPr>
      <w:spacing w:after="120"/>
    </w:pPr>
  </w:style>
  <w:style w:type="paragraph" w:styleId="Caption">
    <w:name w:val="caption"/>
    <w:link w:val="CaptionChar"/>
    <w:autoRedefine/>
    <w:uiPriority w:val="35"/>
    <w:qFormat/>
    <w:rsid w:val="00881B1B"/>
    <w:pPr>
      <w:keepNext/>
      <w:keepLines/>
      <w:spacing w:before="240" w:after="240" w:line="240" w:lineRule="auto"/>
      <w:jc w:val="center"/>
    </w:pPr>
    <w:rPr>
      <w:rFonts w:ascii="Franklin Gothic Book" w:eastAsia="Times New Roman" w:hAnsi="Franklin Gothic Book" w:cs="Times New Roman"/>
      <w:bCs/>
      <w:color w:val="4A4D56" w:themeColor="text1"/>
      <w:szCs w:val="20"/>
      <w:lang w:val="en-US"/>
    </w:rPr>
  </w:style>
  <w:style w:type="paragraph" w:customStyle="1" w:styleId="CaptionFigure">
    <w:name w:val="Caption Figure"/>
    <w:uiPriority w:val="99"/>
    <w:semiHidden/>
    <w:qFormat/>
    <w:locked/>
    <w:rsid w:val="000C2EF9"/>
    <w:pPr>
      <w:keepNext/>
      <w:numPr>
        <w:numId w:val="4"/>
      </w:numPr>
      <w:spacing w:before="200" w:after="80" w:line="240" w:lineRule="auto"/>
      <w:jc w:val="center"/>
    </w:pPr>
    <w:rPr>
      <w:rFonts w:eastAsia="Times New Roman" w:cs="Times New Roman"/>
      <w:bCs/>
      <w:color w:val="4A4D56" w:themeColor="text1"/>
      <w:szCs w:val="20"/>
      <w:lang w:val="en-US"/>
    </w:rPr>
  </w:style>
  <w:style w:type="paragraph" w:customStyle="1" w:styleId="CaptionTable">
    <w:name w:val="Caption Table"/>
    <w:uiPriority w:val="99"/>
    <w:semiHidden/>
    <w:qFormat/>
    <w:locked/>
    <w:rsid w:val="000C2EF9"/>
    <w:pPr>
      <w:keepNext/>
      <w:numPr>
        <w:numId w:val="5"/>
      </w:numPr>
      <w:spacing w:before="200" w:after="80" w:line="240" w:lineRule="auto"/>
      <w:jc w:val="center"/>
    </w:pPr>
    <w:rPr>
      <w:rFonts w:eastAsia="Times New Roman" w:cs="Times New Roman"/>
      <w:bCs/>
      <w:color w:val="4A4D56" w:themeColor="text1"/>
      <w:szCs w:val="20"/>
      <w:lang w:val="en-US"/>
    </w:rPr>
  </w:style>
  <w:style w:type="paragraph" w:customStyle="1" w:styleId="CenterTableText">
    <w:name w:val="Center Table Text"/>
    <w:uiPriority w:val="14"/>
    <w:semiHidden/>
    <w:rsid w:val="00BD0DC6"/>
    <w:pPr>
      <w:spacing w:after="0" w:line="240" w:lineRule="auto"/>
      <w:jc w:val="center"/>
    </w:pPr>
    <w:rPr>
      <w:rFonts w:ascii="Franklin Gothic Book" w:eastAsia="Times New Roman" w:hAnsi="Franklin Gothic Book" w:cs="Times New Roman"/>
      <w:sz w:val="20"/>
      <w:lang w:val="en-US"/>
    </w:rPr>
  </w:style>
  <w:style w:type="paragraph" w:customStyle="1" w:styleId="TOC3Style">
    <w:name w:val="TOC 3 Style"/>
    <w:basedOn w:val="TOC3"/>
    <w:semiHidden/>
    <w:rsid w:val="001C4ACA"/>
    <w:pPr>
      <w:ind w:right="-4"/>
    </w:pPr>
    <w:rPr>
      <w:szCs w:val="20"/>
    </w:rPr>
  </w:style>
  <w:style w:type="paragraph" w:styleId="CommentSubject">
    <w:name w:val="annotation subject"/>
    <w:semiHidden/>
    <w:rsid w:val="00B51ADD"/>
    <w:pPr>
      <w:spacing w:before="200" w:line="240" w:lineRule="auto"/>
      <w:jc w:val="both"/>
    </w:pPr>
    <w:rPr>
      <w:rFonts w:ascii="Franklin Gothic Book" w:eastAsia="Times New Roman" w:hAnsi="Franklin Gothic Book" w:cs="Times New Roman"/>
      <w:b/>
      <w:bCs/>
      <w:sz w:val="20"/>
      <w:szCs w:val="20"/>
      <w:lang w:val="en-US"/>
    </w:rPr>
  </w:style>
  <w:style w:type="paragraph" w:styleId="CommentText">
    <w:name w:val="annotation text"/>
    <w:basedOn w:val="Normal"/>
    <w:link w:val="CommentTextChar"/>
    <w:uiPriority w:val="99"/>
    <w:semiHidden/>
    <w:rsid w:val="00B51ADD"/>
    <w:rPr>
      <w:sz w:val="20"/>
      <w:szCs w:val="20"/>
    </w:rPr>
  </w:style>
  <w:style w:type="character" w:styleId="Emphasis">
    <w:name w:val="Emphasis"/>
    <w:basedOn w:val="DefaultParagraphFont"/>
    <w:uiPriority w:val="4"/>
    <w:qFormat/>
    <w:rsid w:val="00B51ADD"/>
    <w:rPr>
      <w:i/>
      <w:iCs/>
    </w:rPr>
  </w:style>
  <w:style w:type="paragraph" w:styleId="EndnoteText">
    <w:name w:val="endnote text"/>
    <w:basedOn w:val="Normal"/>
    <w:uiPriority w:val="69"/>
    <w:rsid w:val="002A6F47"/>
    <w:pPr>
      <w:spacing w:after="0"/>
    </w:pPr>
    <w:rPr>
      <w:sz w:val="18"/>
      <w:szCs w:val="20"/>
    </w:rPr>
  </w:style>
  <w:style w:type="paragraph" w:customStyle="1" w:styleId="FigureCaption">
    <w:name w:val="Figure_Caption"/>
    <w:basedOn w:val="Normal"/>
    <w:next w:val="Normal"/>
    <w:uiPriority w:val="3"/>
    <w:semiHidden/>
    <w:qFormat/>
    <w:locked/>
    <w:rsid w:val="00B51ADD"/>
    <w:pPr>
      <w:keepNext/>
      <w:keepLines/>
      <w:suppressAutoHyphens/>
      <w:spacing w:before="320" w:after="120"/>
      <w:jc w:val="center"/>
    </w:pPr>
    <w:rPr>
      <w:b/>
    </w:rPr>
  </w:style>
  <w:style w:type="character" w:styleId="FollowedHyperlink">
    <w:name w:val="FollowedHyperlink"/>
    <w:basedOn w:val="DefaultParagraphFont"/>
    <w:uiPriority w:val="69"/>
    <w:rsid w:val="001C4ACA"/>
    <w:rPr>
      <w:rFonts w:asciiTheme="minorHAnsi" w:hAnsiTheme="minorHAnsi"/>
      <w:color w:val="5661AC" w:themeColor="accent5"/>
      <w:sz w:val="22"/>
      <w:u w:val="single"/>
    </w:rPr>
  </w:style>
  <w:style w:type="character" w:styleId="FootnoteReference">
    <w:name w:val="footnote reference"/>
    <w:aliases w:val="Footnote_Reference,o,fr,Style 17,o + Times New Roman,TT - Footnote Reference,FC,Style 9"/>
    <w:basedOn w:val="DefaultParagraphFont"/>
    <w:qFormat/>
    <w:rsid w:val="00B51ADD"/>
    <w:rPr>
      <w:vertAlign w:val="superscript"/>
    </w:rPr>
  </w:style>
  <w:style w:type="paragraph" w:styleId="FootnoteText">
    <w:name w:val="footnote text"/>
    <w:aliases w:val="Footnote_Text,Footnote Text1 Char,Footnote Text Char Ch Char Char Char,Footnote Text Char Ch Char Char,Footnote Text1 Char Char Char,Footnote Text Char Ch Char,Footnote Text Char Ch,ft Char,ft,Char2 Char,TBG Style,ALTS FOOTNOTE,fn,FOOTNOTE"/>
    <w:basedOn w:val="Normal"/>
    <w:link w:val="FootnoteTextChar"/>
    <w:uiPriority w:val="69"/>
    <w:qFormat/>
    <w:rsid w:val="009753EA"/>
    <w:pPr>
      <w:spacing w:after="0"/>
    </w:pPr>
    <w:rPr>
      <w:sz w:val="18"/>
      <w:szCs w:val="20"/>
    </w:rPr>
  </w:style>
  <w:style w:type="paragraph" w:customStyle="1" w:styleId="GraphFootnote">
    <w:name w:val="Graph Footnote"/>
    <w:basedOn w:val="Normal"/>
    <w:next w:val="Normal"/>
    <w:uiPriority w:val="99"/>
    <w:semiHidden/>
    <w:locked/>
    <w:rsid w:val="00B51ADD"/>
    <w:pPr>
      <w:spacing w:after="0"/>
    </w:pPr>
    <w:rPr>
      <w:rFonts w:ascii="Times New Roman" w:hAnsi="Times New Roman"/>
      <w:i/>
      <w:sz w:val="18"/>
    </w:rPr>
  </w:style>
  <w:style w:type="table" w:styleId="GridTable1Light-Accent1">
    <w:name w:val="Grid Table 1 Light Accent 1"/>
    <w:basedOn w:val="TableNormal"/>
    <w:uiPriority w:val="46"/>
    <w:locked/>
    <w:rsid w:val="00D721EA"/>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809EDC" w:themeColor="accent1" w:themeTint="66"/>
        <w:left w:val="single" w:sz="4" w:space="0" w:color="809EDC" w:themeColor="accent1" w:themeTint="66"/>
        <w:bottom w:val="single" w:sz="4" w:space="0" w:color="809EDC" w:themeColor="accent1" w:themeTint="66"/>
        <w:right w:val="single" w:sz="4" w:space="0" w:color="809EDC" w:themeColor="accent1" w:themeTint="66"/>
        <w:insideH w:val="single" w:sz="4" w:space="0" w:color="809EDC" w:themeColor="accent1" w:themeTint="66"/>
        <w:insideV w:val="single" w:sz="4" w:space="0" w:color="809EDC" w:themeColor="accent1" w:themeTint="66"/>
      </w:tblBorders>
    </w:tblPr>
    <w:tblStylePr w:type="firstRow">
      <w:rPr>
        <w:b/>
        <w:bCs/>
      </w:rPr>
      <w:tblPr/>
      <w:tcPr>
        <w:tcBorders>
          <w:bottom w:val="single" w:sz="12" w:space="0" w:color="416DCB" w:themeColor="accent1" w:themeTint="99"/>
        </w:tcBorders>
      </w:tcPr>
    </w:tblStylePr>
    <w:tblStylePr w:type="lastRow">
      <w:rPr>
        <w:b/>
        <w:bCs/>
      </w:rPr>
      <w:tblPr/>
      <w:tcPr>
        <w:tcBorders>
          <w:top w:val="double" w:sz="2" w:space="0" w:color="416DCB" w:themeColor="accent1" w:themeTint="99"/>
        </w:tcBorders>
      </w:tcPr>
    </w:tblStylePr>
    <w:tblStylePr w:type="firstCol">
      <w:rPr>
        <w:b/>
        <w:bCs/>
      </w:rPr>
    </w:tblStylePr>
    <w:tblStylePr w:type="lastCol">
      <w:rPr>
        <w:b/>
        <w:bCs/>
      </w:rPr>
    </w:tblStylePr>
  </w:style>
  <w:style w:type="paragraph" w:customStyle="1" w:styleId="Headernone">
    <w:name w:val="Header_none"/>
    <w:uiPriority w:val="1"/>
    <w:semiHidden/>
    <w:locked/>
    <w:rsid w:val="00B51ADD"/>
    <w:pPr>
      <w:tabs>
        <w:tab w:val="right" w:pos="9360"/>
      </w:tabs>
      <w:spacing w:before="200" w:line="240" w:lineRule="auto"/>
      <w:jc w:val="both"/>
    </w:pPr>
    <w:rPr>
      <w:rFonts w:ascii="Franklin Gothic Book" w:eastAsia="Times New Roman" w:hAnsi="Franklin Gothic Book" w:cs="Times New Roman"/>
      <w:i/>
      <w:noProof/>
      <w:sz w:val="16"/>
      <w:szCs w:val="16"/>
      <w:lang w:val="en-US"/>
    </w:rPr>
  </w:style>
  <w:style w:type="character" w:styleId="Hyperlink">
    <w:name w:val="Hyperlink"/>
    <w:basedOn w:val="DefaultParagraphFont"/>
    <w:uiPriority w:val="99"/>
    <w:rsid w:val="001C4ACA"/>
    <w:rPr>
      <w:rFonts w:asciiTheme="minorHAnsi" w:hAnsiTheme="minorHAnsi"/>
      <w:noProof/>
      <w:color w:val="5661AC" w:themeColor="accent5"/>
      <w:sz w:val="22"/>
      <w:u w:val="single"/>
    </w:rPr>
  </w:style>
  <w:style w:type="paragraph" w:styleId="Index1">
    <w:name w:val="index 1"/>
    <w:basedOn w:val="Normal"/>
    <w:next w:val="Normal"/>
    <w:autoRedefine/>
    <w:semiHidden/>
    <w:rsid w:val="00B51ADD"/>
    <w:pPr>
      <w:ind w:left="240" w:hanging="240"/>
    </w:pPr>
  </w:style>
  <w:style w:type="character" w:styleId="IntenseEmphasis">
    <w:name w:val="Intense Emphasis"/>
    <w:aliases w:val="Emphasis (Intense)"/>
    <w:basedOn w:val="DefaultParagraphFont"/>
    <w:uiPriority w:val="4"/>
    <w:rsid w:val="00E7019E"/>
    <w:rPr>
      <w:rFonts w:ascii="Franklin Gothic Demi" w:hAnsi="Franklin Gothic Demi"/>
      <w:b w:val="0"/>
      <w:i w:val="0"/>
      <w:iCs/>
      <w:color w:val="4A4D56" w:themeColor="text1"/>
      <w:sz w:val="22"/>
    </w:rPr>
  </w:style>
  <w:style w:type="paragraph" w:styleId="ListBullet">
    <w:name w:val="List Bullet"/>
    <w:aliases w:val="Bullet Level 1,List Bullet 1 Alt+1"/>
    <w:basedOn w:val="Normal"/>
    <w:uiPriority w:val="9"/>
    <w:qFormat/>
    <w:rsid w:val="002E20E6"/>
    <w:pPr>
      <w:numPr>
        <w:numId w:val="14"/>
      </w:numPr>
      <w:spacing w:before="120" w:after="120"/>
      <w:ind w:left="465" w:hanging="285"/>
    </w:pPr>
  </w:style>
  <w:style w:type="paragraph" w:styleId="ListBullet2">
    <w:name w:val="List Bullet 2"/>
    <w:aliases w:val="Bullet Level 2,List Bullet 2 Alt+2"/>
    <w:basedOn w:val="ListBullet"/>
    <w:uiPriority w:val="9"/>
    <w:qFormat/>
    <w:rsid w:val="001C32D6"/>
    <w:pPr>
      <w:numPr>
        <w:ilvl w:val="1"/>
      </w:numPr>
      <w:ind w:left="735" w:hanging="285"/>
    </w:pPr>
  </w:style>
  <w:style w:type="paragraph" w:styleId="ListBullet3">
    <w:name w:val="List Bullet 3"/>
    <w:aliases w:val="Bullet Level 3,List Bullet 3 Alt+3"/>
    <w:basedOn w:val="ListBullet2"/>
    <w:uiPriority w:val="9"/>
    <w:qFormat/>
    <w:rsid w:val="001C32D6"/>
    <w:pPr>
      <w:numPr>
        <w:ilvl w:val="2"/>
      </w:numPr>
      <w:ind w:left="1035" w:hanging="285"/>
    </w:pPr>
  </w:style>
  <w:style w:type="paragraph" w:styleId="ListNumber">
    <w:name w:val="List Number"/>
    <w:basedOn w:val="Normal"/>
    <w:uiPriority w:val="99"/>
    <w:semiHidden/>
    <w:rsid w:val="00351E32"/>
    <w:pPr>
      <w:numPr>
        <w:numId w:val="7"/>
      </w:numPr>
      <w:spacing w:after="120"/>
    </w:pPr>
  </w:style>
  <w:style w:type="paragraph" w:styleId="ListNumber2">
    <w:name w:val="List Number 2"/>
    <w:basedOn w:val="Normal"/>
    <w:uiPriority w:val="99"/>
    <w:semiHidden/>
    <w:rsid w:val="00351E32"/>
    <w:pPr>
      <w:numPr>
        <w:numId w:val="8"/>
      </w:numPr>
      <w:spacing w:after="120"/>
    </w:pPr>
  </w:style>
  <w:style w:type="paragraph" w:styleId="ListNumber3">
    <w:name w:val="List Number 3"/>
    <w:basedOn w:val="Normal"/>
    <w:uiPriority w:val="99"/>
    <w:semiHidden/>
    <w:rsid w:val="004D778A"/>
    <w:pPr>
      <w:numPr>
        <w:numId w:val="9"/>
      </w:numPr>
      <w:contextualSpacing/>
    </w:pPr>
  </w:style>
  <w:style w:type="paragraph" w:customStyle="1" w:styleId="ListNumber1">
    <w:name w:val="List Number1"/>
    <w:basedOn w:val="Normal"/>
    <w:uiPriority w:val="99"/>
    <w:semiHidden/>
    <w:locked/>
    <w:rsid w:val="00351E32"/>
    <w:pPr>
      <w:tabs>
        <w:tab w:val="num" w:pos="360"/>
      </w:tabs>
      <w:spacing w:after="120"/>
      <w:ind w:left="360" w:hanging="360"/>
    </w:pPr>
  </w:style>
  <w:style w:type="paragraph" w:styleId="ListParagraph">
    <w:name w:val="List Paragraph"/>
    <w:basedOn w:val="Normal"/>
    <w:uiPriority w:val="1"/>
    <w:semiHidden/>
    <w:rsid w:val="00BD0DC6"/>
    <w:pPr>
      <w:ind w:left="720"/>
      <w:contextualSpacing/>
    </w:pPr>
  </w:style>
  <w:style w:type="table" w:styleId="ListTable7Colorful-Accent1">
    <w:name w:val="List Table 7 Colorful Accent 1"/>
    <w:basedOn w:val="TableNormal"/>
    <w:uiPriority w:val="52"/>
    <w:locked/>
    <w:rsid w:val="006B3D7D"/>
    <w:pPr>
      <w:spacing w:after="0" w:line="240" w:lineRule="auto"/>
    </w:pPr>
    <w:rPr>
      <w:rFonts w:ascii="Franklin Gothic Book" w:eastAsia="Franklin Gothic Book" w:hAnsi="Franklin Gothic Book" w:cs="Times New Roman"/>
      <w:color w:val="032755"/>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72B5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72B5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72B5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72B54" w:themeColor="accent1"/>
        </w:tcBorders>
        <w:shd w:val="clear" w:color="auto" w:fill="FFFFFF" w:themeFill="background1"/>
      </w:tcPr>
    </w:tblStylePr>
    <w:tblStylePr w:type="band1Vert">
      <w:tblPr/>
      <w:tcPr>
        <w:shd w:val="clear" w:color="auto" w:fill="BFCEED" w:themeFill="accent1" w:themeFillTint="33"/>
      </w:tcPr>
    </w:tblStylePr>
    <w:tblStylePr w:type="band1Horz">
      <w:tblPr/>
      <w:tcPr>
        <w:shd w:val="clear" w:color="auto" w:fill="BFCEE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Spacing">
    <w:name w:val="No Spacing"/>
    <w:basedOn w:val="Normal"/>
    <w:link w:val="NoSpacingChar"/>
    <w:uiPriority w:val="1"/>
    <w:qFormat/>
    <w:rsid w:val="00F6662D"/>
    <w:pPr>
      <w:spacing w:after="0"/>
    </w:pPr>
  </w:style>
  <w:style w:type="paragraph" w:customStyle="1" w:styleId="NoList1">
    <w:name w:val="No. List 1"/>
    <w:uiPriority w:val="9"/>
    <w:rsid w:val="00E65671"/>
    <w:pPr>
      <w:numPr>
        <w:numId w:val="10"/>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2">
    <w:name w:val="No. List 2"/>
    <w:uiPriority w:val="9"/>
    <w:rsid w:val="00E65671"/>
    <w:pPr>
      <w:numPr>
        <w:ilvl w:val="1"/>
        <w:numId w:val="11"/>
      </w:numPr>
      <w:spacing w:after="120" w:line="240" w:lineRule="auto"/>
      <w:jc w:val="both"/>
    </w:pPr>
    <w:rPr>
      <w:rFonts w:ascii="Franklin Gothic Book" w:eastAsia="Times New Roman" w:hAnsi="Franklin Gothic Book" w:cs="Times New Roman"/>
      <w:color w:val="4A4D56" w:themeColor="text1"/>
      <w:lang w:val="en-US"/>
    </w:rPr>
  </w:style>
  <w:style w:type="paragraph" w:customStyle="1" w:styleId="NoList3">
    <w:name w:val="No. List 3"/>
    <w:uiPriority w:val="9"/>
    <w:rsid w:val="00E65671"/>
    <w:pPr>
      <w:numPr>
        <w:ilvl w:val="2"/>
        <w:numId w:val="12"/>
      </w:numPr>
      <w:spacing w:after="120" w:line="240" w:lineRule="auto"/>
      <w:jc w:val="both"/>
    </w:pPr>
    <w:rPr>
      <w:rFonts w:ascii="Franklin Gothic Book" w:eastAsia="Times New Roman" w:hAnsi="Franklin Gothic Book" w:cs="Times New Roman"/>
      <w:color w:val="4A4D56" w:themeColor="text1"/>
      <w:lang w:val="en-US"/>
    </w:rPr>
  </w:style>
  <w:style w:type="paragraph" w:styleId="NormalWeb">
    <w:name w:val="Normal (Web)"/>
    <w:basedOn w:val="Normal"/>
    <w:uiPriority w:val="99"/>
    <w:semiHidden/>
    <w:rsid w:val="00B51ADD"/>
    <w:pPr>
      <w:spacing w:before="100" w:beforeAutospacing="1" w:after="100" w:afterAutospacing="1"/>
    </w:pPr>
    <w:rPr>
      <w:rFonts w:ascii="Times New Roman" w:hAnsi="Times New Roman"/>
    </w:rPr>
  </w:style>
  <w:style w:type="paragraph" w:customStyle="1" w:styleId="NormalCenter">
    <w:name w:val="Normal Center"/>
    <w:basedOn w:val="Normal"/>
    <w:uiPriority w:val="1"/>
    <w:rsid w:val="001E1344"/>
    <w:pPr>
      <w:jc w:val="center"/>
    </w:pPr>
    <w:rPr>
      <w:noProof/>
    </w:rPr>
  </w:style>
  <w:style w:type="numbering" w:customStyle="1" w:styleId="ODBulletList">
    <w:name w:val="OD Bullet List"/>
    <w:uiPriority w:val="99"/>
    <w:rsid w:val="0028728B"/>
  </w:style>
  <w:style w:type="numbering" w:customStyle="1" w:styleId="ODNumberList">
    <w:name w:val="OD Number List"/>
    <w:uiPriority w:val="99"/>
    <w:rsid w:val="00BD0DC6"/>
  </w:style>
  <w:style w:type="table" w:customStyle="1" w:styleId="ODCBasic-1">
    <w:name w:val="ODC_Basic-1"/>
    <w:basedOn w:val="TableNormal"/>
    <w:uiPriority w:val="99"/>
    <w:qFormat/>
    <w:rsid w:val="00E6039A"/>
    <w:pPr>
      <w:spacing w:after="0" w:line="240" w:lineRule="auto"/>
    </w:pPr>
    <w:rPr>
      <w:rFonts w:ascii="Franklin Gothic Book" w:eastAsia="Times New Roman" w:hAnsi="Franklin Gothic Book" w:cs="Times New Roman"/>
      <w:color w:val="FFFFFF" w:themeColor="background1"/>
      <w:sz w:val="18"/>
      <w:szCs w:val="20"/>
      <w:lang w:val="en-US"/>
    </w:rPr>
    <w:tblPr>
      <w:tblStyleRowBandSize w:val="1"/>
      <w:tblStyleColBandSize w:val="1"/>
      <w:jc w:val="center"/>
      <w:tblBorders>
        <w:top w:val="single" w:sz="4" w:space="0" w:color="4D4D4F"/>
        <w:left w:val="single" w:sz="4" w:space="0" w:color="4D4D4F"/>
        <w:bottom w:val="single" w:sz="4" w:space="0" w:color="4D4D4F"/>
        <w:right w:val="single" w:sz="4" w:space="0" w:color="4D4D4F"/>
        <w:insideH w:val="single" w:sz="4" w:space="0" w:color="4D4D4F"/>
        <w:insideV w:val="single" w:sz="4" w:space="0" w:color="4D4D4F"/>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rPr>
        <w:rFonts w:ascii="Franklin Gothic Medium" w:hAnsi="Franklin Gothic Medium"/>
        <w:b w:val="0"/>
        <w:i w:val="0"/>
        <w:iCs/>
        <w:color w:val="1FA9E1" w:themeColor="accent3"/>
        <w:sz w:val="18"/>
      </w:rPr>
      <w:tblPr/>
      <w:tcPr>
        <w:tcBorders>
          <w:bottom w:val="single" w:sz="4" w:space="0" w:color="FFFFFF" w:themeColor="background2"/>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PageNumber">
    <w:name w:val="page number"/>
    <w:basedOn w:val="DefaultParagraphFont"/>
    <w:uiPriority w:val="99"/>
    <w:semiHidden/>
    <w:rsid w:val="00B51ADD"/>
  </w:style>
  <w:style w:type="character" w:styleId="PlaceholderText">
    <w:name w:val="Placeholder Text"/>
    <w:basedOn w:val="DefaultParagraphFont"/>
    <w:uiPriority w:val="99"/>
    <w:semiHidden/>
    <w:rsid w:val="002C33BF"/>
    <w:rPr>
      <w:color w:val="808080"/>
    </w:rPr>
  </w:style>
  <w:style w:type="table" w:styleId="PlainTable1">
    <w:name w:val="Plain Table 1"/>
    <w:basedOn w:val="TableNormal"/>
    <w:uiPriority w:val="41"/>
    <w:locked/>
    <w:rsid w:val="006143D1"/>
    <w:pPr>
      <w:spacing w:before="200" w:after="0" w:line="240" w:lineRule="auto"/>
    </w:pPr>
    <w:rPr>
      <w:rFonts w:ascii="Franklin Gothic Book" w:eastAsia="Times New Roman" w:hAnsi="Franklin Gothic Book" w:cs="Times New Roman"/>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locked/>
    <w:rsid w:val="00904FB6"/>
    <w:pPr>
      <w:spacing w:before="200" w:after="0" w:line="240" w:lineRule="auto"/>
    </w:pPr>
    <w:rPr>
      <w:rFonts w:ascii="Franklin Gothic Book" w:eastAsia="Times New Roman" w:hAnsi="Franklin Gothic Book" w:cs="Times New Roman"/>
      <w:lang w:val="en-US"/>
    </w:rPr>
    <w:tblPr>
      <w:tblStyleRowBandSize w:val="1"/>
      <w:tblStyleColBandSize w:val="1"/>
    </w:tblPr>
    <w:tblStylePr w:type="firstRow">
      <w:rPr>
        <w:b/>
        <w:bCs/>
        <w:caps/>
      </w:rPr>
      <w:tblPr/>
      <w:tcPr>
        <w:tcBorders>
          <w:bottom w:val="single" w:sz="4" w:space="0" w:color="A0A3AD"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0A3AD"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QuoteStyle">
    <w:name w:val="Quote Style"/>
    <w:basedOn w:val="Normal"/>
    <w:next w:val="Normal"/>
    <w:uiPriority w:val="5"/>
    <w:rsid w:val="00D075CA"/>
    <w:pPr>
      <w:jc w:val="center"/>
    </w:pPr>
    <w:rPr>
      <w:color w:val="6B9BDE" w:themeColor="accent2" w:themeTint="99"/>
      <w:sz w:val="24"/>
    </w:rPr>
  </w:style>
  <w:style w:type="paragraph" w:styleId="Quote">
    <w:name w:val="Quote"/>
    <w:basedOn w:val="Normal"/>
    <w:next w:val="Normal"/>
    <w:uiPriority w:val="99"/>
    <w:semiHidden/>
    <w:qFormat/>
    <w:rsid w:val="00C970BA"/>
    <w:pPr>
      <w:ind w:left="864" w:right="864"/>
      <w:jc w:val="center"/>
    </w:pPr>
    <w:rPr>
      <w:i/>
      <w:iCs/>
    </w:rPr>
  </w:style>
  <w:style w:type="paragraph" w:styleId="Signature">
    <w:name w:val="Signature"/>
    <w:basedOn w:val="Normal"/>
    <w:uiPriority w:val="99"/>
    <w:semiHidden/>
    <w:rsid w:val="00B51ADD"/>
    <w:pPr>
      <w:spacing w:after="0"/>
      <w:ind w:left="4320"/>
    </w:pPr>
  </w:style>
  <w:style w:type="paragraph" w:styleId="Subtitle">
    <w:name w:val="Subtitle"/>
    <w:aliases w:val="Title 2"/>
    <w:basedOn w:val="Normal"/>
    <w:next w:val="Normal"/>
    <w:link w:val="SubtitleChar"/>
    <w:uiPriority w:val="69"/>
    <w:rsid w:val="00B85543"/>
    <w:pPr>
      <w:ind w:left="446" w:right="6163"/>
    </w:pPr>
    <w:rPr>
      <w:rFonts w:ascii="Rift Soft" w:hAnsi="Rift Soft"/>
      <w:color w:val="265EAC" w:themeColor="accent2"/>
      <w:sz w:val="40"/>
      <w:szCs w:val="44"/>
    </w:rPr>
  </w:style>
  <w:style w:type="paragraph" w:customStyle="1" w:styleId="Title3">
    <w:name w:val="Title 3"/>
    <w:basedOn w:val="Normal"/>
    <w:uiPriority w:val="69"/>
    <w:rsid w:val="00B85543"/>
    <w:pPr>
      <w:spacing w:after="0"/>
      <w:ind w:left="446" w:right="6163"/>
    </w:pPr>
    <w:rPr>
      <w:rFonts w:ascii="Rift Soft" w:hAnsi="Rift Soft"/>
      <w:sz w:val="32"/>
      <w:szCs w:val="28"/>
    </w:rPr>
  </w:style>
  <w:style w:type="character" w:styleId="SubtleEmphasis">
    <w:name w:val="Subtle Emphasis"/>
    <w:aliases w:val="Emphasis (Subtle)"/>
    <w:uiPriority w:val="4"/>
    <w:qFormat/>
    <w:rsid w:val="00E7019E"/>
    <w:rPr>
      <w:rFonts w:asciiTheme="minorHAnsi" w:hAnsiTheme="minorHAnsi"/>
      <w:b/>
      <w:iCs/>
      <w:color w:val="4A4D56" w:themeColor="text1"/>
      <w:sz w:val="22"/>
    </w:rPr>
  </w:style>
  <w:style w:type="paragraph" w:styleId="TOC1">
    <w:name w:val="toc 1"/>
    <w:aliases w:val="TOC Entries"/>
    <w:basedOn w:val="Normal"/>
    <w:next w:val="Normal"/>
    <w:autoRedefine/>
    <w:uiPriority w:val="39"/>
    <w:qFormat/>
    <w:rsid w:val="00062EDA"/>
    <w:pPr>
      <w:tabs>
        <w:tab w:val="left" w:pos="1584"/>
        <w:tab w:val="right" w:leader="dot" w:pos="10746"/>
      </w:tabs>
      <w:spacing w:before="120" w:after="120"/>
      <w:ind w:left="360" w:right="-4" w:hanging="360"/>
    </w:pPr>
    <w:rPr>
      <w:noProof/>
    </w:rPr>
  </w:style>
  <w:style w:type="paragraph" w:styleId="TOC2">
    <w:name w:val="toc 2"/>
    <w:aliases w:val="TOC 2 Style"/>
    <w:basedOn w:val="Normal"/>
    <w:next w:val="Normal"/>
    <w:autoRedefine/>
    <w:uiPriority w:val="39"/>
    <w:rsid w:val="00A14F20"/>
    <w:pPr>
      <w:tabs>
        <w:tab w:val="left" w:leader="dot" w:pos="1152"/>
        <w:tab w:val="right" w:leader="dot" w:pos="10746"/>
      </w:tabs>
      <w:spacing w:before="120" w:after="120"/>
      <w:ind w:left="936" w:right="360" w:hanging="504"/>
    </w:pPr>
    <w:rPr>
      <w:noProof/>
    </w:rPr>
  </w:style>
  <w:style w:type="paragraph" w:styleId="TOC3">
    <w:name w:val="toc 3"/>
    <w:basedOn w:val="Normal"/>
    <w:next w:val="Normal"/>
    <w:autoRedefine/>
    <w:uiPriority w:val="39"/>
    <w:rsid w:val="00046703"/>
    <w:pPr>
      <w:tabs>
        <w:tab w:val="right" w:leader="dot" w:pos="9360"/>
      </w:tabs>
      <w:spacing w:before="100"/>
      <w:ind w:left="1584" w:right="333" w:hanging="648"/>
    </w:pPr>
  </w:style>
  <w:style w:type="paragraph" w:styleId="TOC4">
    <w:name w:val="toc 4"/>
    <w:basedOn w:val="Normal"/>
    <w:next w:val="Normal"/>
    <w:autoRedefine/>
    <w:uiPriority w:val="39"/>
    <w:rsid w:val="00721364"/>
    <w:pPr>
      <w:spacing w:after="0"/>
      <w:ind w:left="660"/>
    </w:pPr>
    <w:rPr>
      <w:sz w:val="20"/>
      <w:szCs w:val="20"/>
    </w:rPr>
  </w:style>
  <w:style w:type="paragraph" w:styleId="TOC5">
    <w:name w:val="toc 5"/>
    <w:basedOn w:val="Normal"/>
    <w:next w:val="Normal"/>
    <w:autoRedefine/>
    <w:uiPriority w:val="39"/>
    <w:rsid w:val="00721364"/>
    <w:pPr>
      <w:spacing w:after="0"/>
      <w:ind w:left="880"/>
    </w:pPr>
    <w:rPr>
      <w:sz w:val="20"/>
      <w:szCs w:val="20"/>
    </w:rPr>
  </w:style>
  <w:style w:type="paragraph" w:styleId="TOC6">
    <w:name w:val="toc 6"/>
    <w:basedOn w:val="Normal"/>
    <w:next w:val="Normal"/>
    <w:autoRedefine/>
    <w:uiPriority w:val="39"/>
    <w:rsid w:val="00721364"/>
    <w:pPr>
      <w:spacing w:after="0"/>
      <w:ind w:left="1100"/>
    </w:pPr>
    <w:rPr>
      <w:sz w:val="20"/>
      <w:szCs w:val="20"/>
    </w:rPr>
  </w:style>
  <w:style w:type="paragraph" w:styleId="TOC9">
    <w:name w:val="toc 9"/>
    <w:basedOn w:val="Normal"/>
    <w:next w:val="Normal"/>
    <w:autoRedefine/>
    <w:uiPriority w:val="99"/>
    <w:rsid w:val="00102DB2"/>
    <w:pPr>
      <w:spacing w:after="100"/>
      <w:ind w:left="1760"/>
    </w:pPr>
  </w:style>
  <w:style w:type="paragraph" w:styleId="TOCHeading">
    <w:name w:val="TOC Heading"/>
    <w:basedOn w:val="Normal"/>
    <w:uiPriority w:val="39"/>
    <w:qFormat/>
    <w:rsid w:val="003B615C"/>
    <w:pPr>
      <w:spacing w:line="500" w:lineRule="exact"/>
    </w:pPr>
    <w:rPr>
      <w:rFonts w:ascii="Rift Soft" w:hAnsi="Rift Soft"/>
      <w:color w:val="053572"/>
      <w:sz w:val="48"/>
      <w:szCs w:val="48"/>
    </w:rPr>
  </w:style>
  <w:style w:type="table" w:styleId="Table3Deffects3">
    <w:name w:val="Table 3D effects 3"/>
    <w:basedOn w:val="TableNormal"/>
    <w:locked/>
    <w:rsid w:val="004B54F7"/>
    <w:pPr>
      <w:spacing w:before="200" w:line="240" w:lineRule="auto"/>
      <w:jc w:val="both"/>
    </w:pPr>
    <w:rPr>
      <w:rFonts w:ascii="Franklin Gothic Book" w:eastAsia="Times New Roman" w:hAnsi="Franklin Gothic Book" w:cs="Times New Roman"/>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Bullet">
    <w:name w:val="Table Bullet"/>
    <w:basedOn w:val="Normal"/>
    <w:uiPriority w:val="6"/>
    <w:qFormat/>
    <w:rsid w:val="00800410"/>
    <w:pPr>
      <w:numPr>
        <w:numId w:val="13"/>
      </w:numPr>
      <w:spacing w:after="0"/>
      <w:ind w:left="144" w:hanging="144"/>
    </w:pPr>
    <w:rPr>
      <w:sz w:val="20"/>
      <w:szCs w:val="20"/>
    </w:rPr>
  </w:style>
  <w:style w:type="paragraph" w:customStyle="1" w:styleId="TableCenterText">
    <w:name w:val="Table Center Text"/>
    <w:uiPriority w:val="6"/>
    <w:rsid w:val="00150B28"/>
    <w:pPr>
      <w:spacing w:before="10" w:after="0" w:line="240" w:lineRule="auto"/>
      <w:jc w:val="center"/>
    </w:pPr>
    <w:rPr>
      <w:rFonts w:ascii="Franklin Gothic Book" w:eastAsia="Times New Roman" w:hAnsi="Franklin Gothic Book" w:cs="Times New Roman"/>
      <w:color w:val="4A4D56" w:themeColor="text1"/>
      <w:sz w:val="20"/>
      <w:lang w:val="en-US"/>
    </w:rPr>
  </w:style>
  <w:style w:type="table" w:styleId="TableGrid">
    <w:name w:val="Table Grid"/>
    <w:locked/>
    <w:rsid w:val="002B512D"/>
    <w:pPr>
      <w:spacing w:after="0" w:line="240" w:lineRule="auto"/>
    </w:pPr>
    <w:rPr>
      <w:rFonts w:ascii="Franklin Gothic Book" w:eastAsia="Times New Roman" w:hAnsi="Franklin Gothic Book" w:cs="Times New Roman"/>
      <w:color w:val="FFFFFF"/>
      <w:sz w:val="20"/>
      <w:szCs w:val="20"/>
      <w:lang w:val="en-US" w:eastAsia="en-ZA"/>
    </w:rPr>
    <w:tblPr>
      <w:tblStyleRowBandSize w:val="1"/>
      <w:tblStyleColBandSize w:val="1"/>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72" w:type="dxa"/>
        <w:bottom w:w="29" w:type="dxa"/>
        <w:right w:w="72" w:type="dxa"/>
      </w:tblCellMar>
    </w:tblPr>
    <w:trPr>
      <w:jc w:val="center"/>
    </w:trPr>
    <w:tcPr>
      <w:shd w:val="clear" w:color="auto" w:fill="auto"/>
      <w:vAlign w:val="center"/>
    </w:tcPr>
    <w:tblStylePr w:type="firstRow">
      <w:pPr>
        <w:wordWrap/>
        <w:spacing w:beforeLines="0" w:before="0" w:beforeAutospacing="0" w:afterLines="0" w:after="0" w:afterAutospacing="0" w:line="240" w:lineRule="auto"/>
        <w:ind w:leftChars="0" w:left="0" w:rightChars="0" w:right="0" w:firstLineChars="0" w:firstLine="0"/>
        <w:contextualSpacing/>
        <w:jc w:val="center"/>
        <w:outlineLvl w:val="9"/>
      </w:pPr>
      <w:tblPr/>
      <w:trPr>
        <w:tblHeader/>
      </w:trPr>
      <w:tcPr>
        <w:tcBorders>
          <w:bottom w:val="single" w:sz="6" w:space="0" w:color="000000"/>
        </w:tcBorders>
        <w:shd w:val="clear" w:color="auto" w:fill="053572" w:themeFill="text2"/>
      </w:tcPr>
    </w:tblStylePr>
    <w:tblStylePr w:type="lastRow">
      <w:pPr>
        <w:jc w:val="left"/>
      </w:pPr>
      <w:rPr>
        <w:rFonts w:asciiTheme="minorHAnsi" w:hAnsiTheme="minorHAnsi"/>
        <w:b/>
        <w:color w:val="auto"/>
        <w:sz w:val="20"/>
      </w:r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fir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l2br w:val="none" w:sz="0" w:space="0" w:color="auto"/>
          <w:tr2bl w:val="none" w:sz="0" w:space="0" w:color="auto"/>
        </w:tcBorders>
        <w:shd w:val="clear" w:color="auto" w:fill="auto"/>
      </w:tcPr>
    </w:tblStylePr>
    <w:tblStylePr w:type="lastCol">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Vert">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1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band2Horz">
      <w:pPr>
        <w:wordWrap/>
        <w:jc w:val="left"/>
      </w:pPr>
      <w:tblPr/>
      <w:tcPr>
        <w:tcBorders>
          <w:top w:val="single" w:sz="4" w:space="0" w:color="4D4D4F"/>
          <w:left w:val="single" w:sz="4" w:space="0" w:color="4D4D4F"/>
          <w:bottom w:val="single" w:sz="4" w:space="0" w:color="4D4D4F"/>
          <w:right w:val="single" w:sz="4" w:space="0" w:color="4D4D4F"/>
          <w:insideH w:val="single" w:sz="4" w:space="0" w:color="4D4D4F"/>
          <w:insideV w:val="single" w:sz="4" w:space="0" w:color="4D4D4F"/>
        </w:tcBorders>
        <w:shd w:val="clear" w:color="auto" w:fill="auto"/>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LeftText">
    <w:name w:val="Table Left Text"/>
    <w:aliases w:val="Table Left Alt+T,L"/>
    <w:link w:val="TableLeftTextChar"/>
    <w:uiPriority w:val="6"/>
    <w:qFormat/>
    <w:rsid w:val="00150B28"/>
    <w:pPr>
      <w:spacing w:before="10" w:after="0" w:line="240" w:lineRule="auto"/>
    </w:pPr>
    <w:rPr>
      <w:rFonts w:ascii="Franklin Gothic Book" w:eastAsia="Times New Roman" w:hAnsi="Franklin Gothic Book" w:cs="Times New Roman"/>
      <w:color w:val="4A4D56" w:themeColor="text1"/>
      <w:sz w:val="20"/>
      <w:lang w:val="en-US"/>
    </w:rPr>
  </w:style>
  <w:style w:type="paragraph" w:customStyle="1" w:styleId="TableRightText">
    <w:name w:val="Table Right Text"/>
    <w:basedOn w:val="Normal"/>
    <w:uiPriority w:val="6"/>
    <w:rsid w:val="00150B28"/>
    <w:pPr>
      <w:spacing w:before="10" w:after="0"/>
      <w:jc w:val="right"/>
    </w:pPr>
    <w:rPr>
      <w:sz w:val="20"/>
    </w:rPr>
  </w:style>
  <w:style w:type="paragraph" w:customStyle="1" w:styleId="TableHeadingCentered">
    <w:name w:val="Table Heading (Centered)"/>
    <w:uiPriority w:val="6"/>
    <w:qFormat/>
    <w:rsid w:val="00150B28"/>
    <w:pPr>
      <w:spacing w:before="10" w:after="0" w:line="240" w:lineRule="auto"/>
      <w:jc w:val="center"/>
    </w:pPr>
    <w:rPr>
      <w:rFonts w:ascii="Franklin Gothic Medium" w:eastAsia="Times New Roman" w:hAnsi="Franklin Gothic Medium" w:cs="Times New Roman"/>
      <w:color w:val="FFFFFF" w:themeColor="background1"/>
      <w:sz w:val="20"/>
      <w:szCs w:val="20"/>
      <w:lang w:val="en-US"/>
    </w:rPr>
  </w:style>
  <w:style w:type="paragraph" w:customStyle="1" w:styleId="TableWhiteTextBook">
    <w:name w:val="Table White Text (Book)"/>
    <w:uiPriority w:val="6"/>
    <w:rsid w:val="00150B28"/>
    <w:pPr>
      <w:spacing w:before="10" w:after="0" w:line="240" w:lineRule="auto"/>
    </w:pPr>
    <w:rPr>
      <w:rFonts w:ascii="Franklin Gothic Book" w:eastAsia="Times New Roman" w:hAnsi="Franklin Gothic Book" w:cs="Times New Roman"/>
      <w:color w:val="FFFFFF"/>
      <w:sz w:val="20"/>
      <w:szCs w:val="20"/>
      <w:lang w:val="en-US"/>
    </w:rPr>
  </w:style>
  <w:style w:type="paragraph" w:styleId="TableofFigures">
    <w:name w:val="table of figures"/>
    <w:basedOn w:val="Normal"/>
    <w:next w:val="Normal"/>
    <w:uiPriority w:val="99"/>
    <w:rsid w:val="00062EDA"/>
    <w:pPr>
      <w:tabs>
        <w:tab w:val="right" w:leader="dot" w:pos="10742"/>
      </w:tabs>
      <w:spacing w:before="120" w:after="120"/>
      <w:ind w:right="360"/>
    </w:pPr>
  </w:style>
  <w:style w:type="paragraph" w:customStyle="1" w:styleId="TableFootnote">
    <w:name w:val="Table_Footnote"/>
    <w:uiPriority w:val="6"/>
    <w:rsid w:val="007C5AA1"/>
    <w:pPr>
      <w:spacing w:before="40" w:after="60" w:line="240" w:lineRule="auto"/>
      <w:jc w:val="both"/>
    </w:pPr>
    <w:rPr>
      <w:rFonts w:ascii="Franklin Gothic Book" w:eastAsia="Times New Roman" w:hAnsi="Franklin Gothic Book" w:cs="Times New Roman"/>
      <w:color w:val="4A4D56" w:themeColor="text1"/>
      <w:sz w:val="18"/>
      <w:szCs w:val="19"/>
      <w:lang w:val="en-US"/>
    </w:rPr>
  </w:style>
  <w:style w:type="paragraph" w:styleId="Title">
    <w:name w:val="Title"/>
    <w:basedOn w:val="Normal"/>
    <w:next w:val="Normal"/>
    <w:link w:val="TitleChar"/>
    <w:uiPriority w:val="69"/>
    <w:qFormat/>
    <w:rsid w:val="00B65B28"/>
    <w:pPr>
      <w:spacing w:after="0" w:line="800" w:lineRule="exact"/>
      <w:ind w:left="435" w:right="4290"/>
    </w:pPr>
    <w:rPr>
      <w:rFonts w:ascii="Rift Soft Medium" w:hAnsi="Rift Soft Medium"/>
      <w:color w:val="053572"/>
      <w:sz w:val="56"/>
      <w:szCs w:val="72"/>
      <w:lang w:val="en-ZA"/>
    </w:rPr>
  </w:style>
  <w:style w:type="character" w:styleId="UnresolvedMention">
    <w:name w:val="Unresolved Mention"/>
    <w:basedOn w:val="DefaultParagraphFont"/>
    <w:uiPriority w:val="99"/>
    <w:semiHidden/>
    <w:unhideWhenUsed/>
    <w:rsid w:val="00E71369"/>
    <w:rPr>
      <w:color w:val="605E5C"/>
      <w:shd w:val="clear" w:color="auto" w:fill="E1DFDD"/>
    </w:rPr>
  </w:style>
  <w:style w:type="table" w:customStyle="1" w:styleId="ODExcelPlaceholder">
    <w:name w:val="_OD Excel Placeholder"/>
    <w:basedOn w:val="TableNormal"/>
    <w:uiPriority w:val="99"/>
    <w:rsid w:val="00865C6A"/>
    <w:pPr>
      <w:spacing w:after="0"/>
    </w:pPr>
    <w:rPr>
      <w:sz w:val="18"/>
    </w:rPr>
    <w:tblPr>
      <w:tblCellMar>
        <w:left w:w="0" w:type="dxa"/>
        <w:right w:w="0" w:type="dxa"/>
      </w:tblCellMar>
    </w:tblPr>
    <w:tblStylePr w:type="firstRow">
      <w:pPr>
        <w:wordWrap/>
        <w:spacing w:beforeLines="0" w:before="0" w:beforeAutospacing="0" w:afterLines="0" w:after="0" w:afterAutospacing="0" w:line="240" w:lineRule="auto"/>
        <w:ind w:leftChars="0" w:left="0" w:rightChars="0" w:right="0"/>
        <w:jc w:val="center"/>
        <w:outlineLvl w:val="9"/>
      </w:pPr>
      <w:rPr>
        <w:rFonts w:asciiTheme="minorHAnsi" w:hAnsiTheme="minorHAnsi"/>
        <w:sz w:val="18"/>
      </w:rPr>
    </w:tblStylePr>
  </w:style>
  <w:style w:type="paragraph" w:customStyle="1" w:styleId="zSRnote">
    <w:name w:val="zSR note"/>
    <w:basedOn w:val="Normal"/>
    <w:uiPriority w:val="99"/>
    <w:semiHidden/>
    <w:locked/>
    <w:rsid w:val="000C2EF9"/>
    <w:pPr>
      <w:spacing w:after="0"/>
    </w:pPr>
    <w:rPr>
      <w:color w:val="C00000"/>
    </w:rPr>
  </w:style>
  <w:style w:type="character" w:customStyle="1" w:styleId="BodyTextChar">
    <w:name w:val="Body Text Char"/>
    <w:aliases w:val="bt Char1,body text Char,Body Text Char Char Char Char Char Char Char Char Char Char Char Char Char Char Char Char,Body Text1 Char Char Char Char Char,Body Text Char Char1 Char Char Char Char Char Char Char,Body Text Char Char Char"/>
    <w:basedOn w:val="DefaultParagraphFont"/>
    <w:link w:val="BodyText"/>
    <w:uiPriority w:val="69"/>
    <w:rsid w:val="00E7019E"/>
    <w:rPr>
      <w:rFonts w:ascii="Franklin Gothic Book" w:eastAsia="Times New Roman" w:hAnsi="Franklin Gothic Book" w:cs="Times New Roman"/>
      <w:color w:val="4A4D56" w:themeColor="text1"/>
      <w:lang w:val="en-US"/>
    </w:rPr>
  </w:style>
  <w:style w:type="paragraph" w:styleId="IntenseQuote">
    <w:name w:val="Intense Quote"/>
    <w:basedOn w:val="Normal"/>
    <w:next w:val="Normal"/>
    <w:link w:val="IntenseQuoteChar"/>
    <w:uiPriority w:val="30"/>
    <w:qFormat/>
    <w:rsid w:val="00D075CA"/>
    <w:pPr>
      <w:pBdr>
        <w:top w:val="single" w:sz="4" w:space="10" w:color="172B54"/>
        <w:bottom w:val="single" w:sz="4" w:space="10" w:color="172B54"/>
      </w:pBdr>
      <w:spacing w:before="360" w:after="360" w:line="240" w:lineRule="auto"/>
      <w:ind w:left="864" w:right="864"/>
      <w:jc w:val="center"/>
    </w:pPr>
    <w:rPr>
      <w:rFonts w:eastAsia="Franklin Gothic Book"/>
      <w:i/>
      <w:iCs/>
      <w:color w:val="809EDC" w:themeColor="accent1" w:themeTint="66"/>
      <w:sz w:val="24"/>
    </w:rPr>
  </w:style>
  <w:style w:type="character" w:customStyle="1" w:styleId="IntenseQuoteChar">
    <w:name w:val="Intense Quote Char"/>
    <w:basedOn w:val="DefaultParagraphFont"/>
    <w:link w:val="IntenseQuote"/>
    <w:uiPriority w:val="30"/>
    <w:rsid w:val="00D075CA"/>
    <w:rPr>
      <w:rFonts w:ascii="Franklin Gothic Book" w:eastAsia="Franklin Gothic Book" w:hAnsi="Franklin Gothic Book" w:cs="Times New Roman"/>
      <w:i/>
      <w:iCs/>
      <w:color w:val="809EDC" w:themeColor="accent1" w:themeTint="66"/>
      <w:sz w:val="24"/>
      <w:lang w:val="en-US"/>
    </w:rPr>
  </w:style>
  <w:style w:type="character" w:customStyle="1" w:styleId="TitleChar">
    <w:name w:val="Title Char"/>
    <w:basedOn w:val="DefaultParagraphFont"/>
    <w:link w:val="Title"/>
    <w:uiPriority w:val="69"/>
    <w:rsid w:val="00D4245B"/>
    <w:rPr>
      <w:rFonts w:ascii="Rift Soft Medium" w:eastAsia="Times New Roman" w:hAnsi="Rift Soft Medium" w:cs="Times New Roman"/>
      <w:color w:val="053572"/>
      <w:sz w:val="56"/>
      <w:szCs w:val="72"/>
    </w:rPr>
  </w:style>
  <w:style w:type="paragraph" w:customStyle="1" w:styleId="SectionName">
    <w:name w:val="Section Name"/>
    <w:link w:val="SectionNameChar"/>
    <w:unhideWhenUsed/>
    <w:qFormat/>
    <w:rsid w:val="00994030"/>
    <w:pPr>
      <w:spacing w:before="300" w:after="300"/>
      <w:ind w:left="435" w:right="2610"/>
    </w:pPr>
    <w:rPr>
      <w:rFonts w:ascii="Rift Soft Medium" w:eastAsia="Times New Roman" w:hAnsi="Rift Soft Medium" w:cs="Times New Roman"/>
      <w:iCs/>
      <w:noProof/>
      <w:color w:val="172B54" w:themeColor="accent1"/>
      <w:sz w:val="72"/>
      <w:szCs w:val="72"/>
    </w:rPr>
  </w:style>
  <w:style w:type="character" w:customStyle="1" w:styleId="SectionNameChar">
    <w:name w:val="Section Name Char"/>
    <w:basedOn w:val="DefaultParagraphFont"/>
    <w:link w:val="SectionName"/>
    <w:rsid w:val="006306B7"/>
    <w:rPr>
      <w:rFonts w:ascii="Rift Soft Medium" w:eastAsia="Times New Roman" w:hAnsi="Rift Soft Medium" w:cs="Times New Roman"/>
      <w:iCs/>
      <w:noProof/>
      <w:color w:val="172B54" w:themeColor="accent1"/>
      <w:sz w:val="72"/>
      <w:szCs w:val="72"/>
    </w:rPr>
  </w:style>
  <w:style w:type="paragraph" w:styleId="Header">
    <w:name w:val="header"/>
    <w:basedOn w:val="Normal"/>
    <w:link w:val="HeaderChar"/>
    <w:uiPriority w:val="99"/>
    <w:rsid w:val="00196D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19E"/>
    <w:rPr>
      <w:rFonts w:ascii="Franklin Gothic Book" w:eastAsia="Times New Roman" w:hAnsi="Franklin Gothic Book" w:cs="Times New Roman"/>
      <w:color w:val="4A4D56" w:themeColor="text1"/>
      <w:lang w:val="en-US"/>
    </w:rPr>
  </w:style>
  <w:style w:type="paragraph" w:customStyle="1" w:styleId="SectionSubtitle">
    <w:name w:val="Section Subtitle"/>
    <w:basedOn w:val="SectionName"/>
    <w:link w:val="SectionSubtitleChar"/>
    <w:unhideWhenUsed/>
    <w:qFormat/>
    <w:rsid w:val="00A5705E"/>
    <w:rPr>
      <w:rFonts w:ascii="Rift Soft" w:hAnsi="Rift Soft"/>
      <w:color w:val="1FA9E1" w:themeColor="accent3"/>
      <w:sz w:val="40"/>
      <w:szCs w:val="40"/>
      <w:lang w:val="en-US"/>
    </w:rPr>
  </w:style>
  <w:style w:type="character" w:customStyle="1" w:styleId="SectionSubtitleChar">
    <w:name w:val="Section Subtitle Char"/>
    <w:basedOn w:val="DefaultParagraphFont"/>
    <w:link w:val="SectionSubtitle"/>
    <w:rsid w:val="006306B7"/>
    <w:rPr>
      <w:rFonts w:ascii="Rift Soft" w:eastAsia="Times New Roman" w:hAnsi="Rift Soft" w:cs="Times New Roman"/>
      <w:iCs/>
      <w:noProof/>
      <w:color w:val="1FA9E1" w:themeColor="accent3"/>
      <w:sz w:val="40"/>
      <w:szCs w:val="40"/>
      <w:lang w:val="en-US"/>
    </w:rPr>
  </w:style>
  <w:style w:type="character" w:customStyle="1" w:styleId="NoSpacingChar">
    <w:name w:val="No Spacing Char"/>
    <w:basedOn w:val="DefaultParagraphFont"/>
    <w:link w:val="NoSpacing"/>
    <w:uiPriority w:val="1"/>
    <w:rsid w:val="001F322C"/>
    <w:rPr>
      <w:rFonts w:ascii="Franklin Gothic Book" w:eastAsia="Times New Roman" w:hAnsi="Franklin Gothic Book" w:cs="Times New Roman"/>
      <w:color w:val="4A4D56" w:themeColor="text1"/>
      <w:lang w:val="en-US"/>
    </w:rPr>
  </w:style>
  <w:style w:type="table" w:customStyle="1" w:styleId="ODTable1">
    <w:name w:val="OD Table 1"/>
    <w:basedOn w:val="TableNormal"/>
    <w:uiPriority w:val="99"/>
    <w:rsid w:val="008F0909"/>
    <w:pPr>
      <w:spacing w:after="0" w:line="240" w:lineRule="auto"/>
    </w:pPr>
    <w:tblPr/>
  </w:style>
  <w:style w:type="numbering" w:customStyle="1" w:styleId="ODXAPPENDIX">
    <w:name w:val="ODX APPENDIX"/>
    <w:uiPriority w:val="99"/>
    <w:rsid w:val="008B2F0D"/>
    <w:pPr>
      <w:numPr>
        <w:numId w:val="15"/>
      </w:numPr>
    </w:pPr>
  </w:style>
  <w:style w:type="character" w:styleId="SmartLink">
    <w:name w:val="Smart Link"/>
    <w:basedOn w:val="DefaultParagraphFont"/>
    <w:uiPriority w:val="99"/>
    <w:semiHidden/>
    <w:unhideWhenUsed/>
    <w:rsid w:val="000C2EF9"/>
    <w:rPr>
      <w:rFonts w:asciiTheme="minorHAnsi" w:hAnsiTheme="minorHAnsi"/>
      <w:color w:val="1FA9E1" w:themeColor="accent3"/>
      <w:sz w:val="22"/>
      <w:u w:val="single"/>
      <w:shd w:val="clear" w:color="auto" w:fill="F3F2F1"/>
    </w:rPr>
  </w:style>
  <w:style w:type="paragraph" w:customStyle="1" w:styleId="TableHeadingLeft">
    <w:name w:val="Table Heading (Left)"/>
    <w:basedOn w:val="TableHeadingCentered"/>
    <w:qFormat/>
    <w:rsid w:val="007C5AA1"/>
    <w:pPr>
      <w:jc w:val="left"/>
    </w:pPr>
  </w:style>
  <w:style w:type="paragraph" w:customStyle="1" w:styleId="Source">
    <w:name w:val="Source"/>
    <w:basedOn w:val="Caption"/>
    <w:next w:val="Normal"/>
    <w:link w:val="SourceChar"/>
    <w:qFormat/>
    <w:rsid w:val="00D546DC"/>
    <w:pPr>
      <w:spacing w:before="40" w:after="60"/>
      <w:jc w:val="left"/>
    </w:pPr>
    <w:rPr>
      <w:sz w:val="18"/>
    </w:rPr>
  </w:style>
  <w:style w:type="character" w:customStyle="1" w:styleId="CaptionChar">
    <w:name w:val="Caption Char"/>
    <w:basedOn w:val="DefaultParagraphFont"/>
    <w:link w:val="Caption"/>
    <w:uiPriority w:val="35"/>
    <w:rsid w:val="00881B1B"/>
    <w:rPr>
      <w:rFonts w:ascii="Franklin Gothic Book" w:eastAsia="Times New Roman" w:hAnsi="Franklin Gothic Book" w:cs="Times New Roman"/>
      <w:bCs/>
      <w:color w:val="4A4D56" w:themeColor="text1"/>
      <w:szCs w:val="20"/>
      <w:lang w:val="en-US"/>
    </w:rPr>
  </w:style>
  <w:style w:type="character" w:customStyle="1" w:styleId="SourceChar">
    <w:name w:val="Source Char"/>
    <w:basedOn w:val="CaptionChar"/>
    <w:link w:val="Source"/>
    <w:rsid w:val="00D546DC"/>
    <w:rPr>
      <w:rFonts w:ascii="Franklin Gothic Book" w:eastAsia="Times New Roman" w:hAnsi="Franklin Gothic Book" w:cs="Times New Roman"/>
      <w:bCs/>
      <w:color w:val="4A4D56" w:themeColor="text1"/>
      <w:sz w:val="18"/>
      <w:szCs w:val="20"/>
      <w:lang w:val="en-US"/>
    </w:rPr>
  </w:style>
  <w:style w:type="paragraph" w:customStyle="1" w:styleId="AppendicesEntries">
    <w:name w:val="Appendices Entries"/>
    <w:basedOn w:val="TOC1"/>
    <w:semiHidden/>
    <w:rsid w:val="003C4811"/>
    <w:rPr>
      <w:szCs w:val="20"/>
    </w:rPr>
  </w:style>
  <w:style w:type="paragraph" w:customStyle="1" w:styleId="TableTextLeftMedium">
    <w:name w:val="Table Text Left (Medium)"/>
    <w:basedOn w:val="TableHeadingLeft"/>
    <w:qFormat/>
    <w:rsid w:val="00150B28"/>
    <w:rPr>
      <w:color w:val="4A4D56" w:themeColor="text1"/>
      <w:szCs w:val="22"/>
    </w:rPr>
  </w:style>
  <w:style w:type="numbering" w:customStyle="1" w:styleId="Addendum">
    <w:name w:val="Addendum"/>
    <w:basedOn w:val="NoList"/>
    <w:uiPriority w:val="99"/>
    <w:rsid w:val="00143669"/>
    <w:pPr>
      <w:numPr>
        <w:numId w:val="18"/>
      </w:numPr>
    </w:pPr>
  </w:style>
  <w:style w:type="character" w:customStyle="1" w:styleId="SubtitleChar">
    <w:name w:val="Subtitle Char"/>
    <w:aliases w:val="Title 2 Char"/>
    <w:basedOn w:val="DefaultParagraphFont"/>
    <w:link w:val="Subtitle"/>
    <w:uiPriority w:val="69"/>
    <w:rsid w:val="00344C23"/>
    <w:rPr>
      <w:rFonts w:ascii="Rift Soft" w:eastAsia="Times New Roman" w:hAnsi="Rift Soft" w:cs="Times New Roman"/>
      <w:color w:val="265EAC" w:themeColor="accent2"/>
      <w:sz w:val="40"/>
      <w:szCs w:val="44"/>
      <w:lang w:val="en-US"/>
    </w:rPr>
  </w:style>
  <w:style w:type="paragraph" w:customStyle="1" w:styleId="ResumeStyle2">
    <w:name w:val="Resume Style 2"/>
    <w:basedOn w:val="Normal"/>
    <w:semiHidden/>
    <w:qFormat/>
    <w:rsid w:val="00E7019E"/>
    <w:rPr>
      <w:color w:val="053572" w:themeColor="text2"/>
      <w:sz w:val="24"/>
    </w:rPr>
  </w:style>
  <w:style w:type="paragraph" w:customStyle="1" w:styleId="ResumeText">
    <w:name w:val="Resume Text"/>
    <w:basedOn w:val="Normal"/>
    <w:semiHidden/>
    <w:qFormat/>
    <w:rsid w:val="00D4245B"/>
    <w:pPr>
      <w:spacing w:before="200" w:after="200" w:line="240" w:lineRule="auto"/>
    </w:pPr>
  </w:style>
  <w:style w:type="paragraph" w:customStyle="1" w:styleId="ResumeHeading1">
    <w:name w:val="Resume Heading 1"/>
    <w:basedOn w:val="ResumeText"/>
    <w:semiHidden/>
    <w:qFormat/>
    <w:rsid w:val="00D4245B"/>
    <w:pPr>
      <w:spacing w:before="120" w:after="0"/>
    </w:pPr>
    <w:rPr>
      <w:rFonts w:ascii="Rift Soft Medium" w:hAnsi="Rift Soft Medium"/>
      <w:color w:val="053572" w:themeColor="text2"/>
      <w:sz w:val="56"/>
    </w:rPr>
  </w:style>
  <w:style w:type="paragraph" w:customStyle="1" w:styleId="ResumeHeading2">
    <w:name w:val="Resume Heading 2"/>
    <w:basedOn w:val="ResumeHeading1"/>
    <w:semiHidden/>
    <w:qFormat/>
    <w:rsid w:val="00D4245B"/>
    <w:pPr>
      <w:spacing w:before="40" w:after="100"/>
    </w:pPr>
    <w:rPr>
      <w:rFonts w:ascii="Franklin Gothic Medium" w:hAnsi="Franklin Gothic Medium"/>
      <w:color w:val="1FA9E1" w:themeColor="accent3"/>
      <w:sz w:val="28"/>
    </w:rPr>
  </w:style>
  <w:style w:type="paragraph" w:customStyle="1" w:styleId="Alpha">
    <w:name w:val="Alpha"/>
    <w:basedOn w:val="Heading1"/>
    <w:qFormat/>
    <w:rsid w:val="00E37377"/>
    <w:pPr>
      <w:numPr>
        <w:numId w:val="20"/>
      </w:numPr>
      <w:spacing w:line="440" w:lineRule="exact"/>
    </w:pPr>
  </w:style>
  <w:style w:type="paragraph" w:customStyle="1" w:styleId="AppendixBeta">
    <w:name w:val="Appendix Beta"/>
    <w:basedOn w:val="Heading2"/>
    <w:qFormat/>
    <w:rsid w:val="009E5DB3"/>
    <w:pPr>
      <w:numPr>
        <w:ilvl w:val="0"/>
        <w:numId w:val="0"/>
      </w:numPr>
    </w:pPr>
  </w:style>
  <w:style w:type="paragraph" w:customStyle="1" w:styleId="AppendixGamma">
    <w:name w:val="Appendix Gamma"/>
    <w:basedOn w:val="Heading3"/>
    <w:qFormat/>
    <w:rsid w:val="009E5DB3"/>
    <w:pPr>
      <w:numPr>
        <w:ilvl w:val="0"/>
        <w:numId w:val="0"/>
      </w:numPr>
    </w:pPr>
  </w:style>
  <w:style w:type="character" w:customStyle="1" w:styleId="Heading4Char">
    <w:name w:val="Heading 4 Char"/>
    <w:basedOn w:val="DefaultParagraphFont"/>
    <w:link w:val="Heading4"/>
    <w:uiPriority w:val="9"/>
    <w:rsid w:val="006D0CB9"/>
    <w:rPr>
      <w:rFonts w:ascii="Rift Soft Medium" w:eastAsia="Times New Roman" w:hAnsi="Rift Soft Medium" w:cs="Arial"/>
      <w:bCs/>
      <w:color w:val="053572" w:themeColor="text2"/>
      <w:sz w:val="32"/>
      <w:szCs w:val="24"/>
      <w:lang w:val="en-US"/>
    </w:rPr>
  </w:style>
  <w:style w:type="character" w:customStyle="1" w:styleId="Heading3Char">
    <w:name w:val="Heading 3 Char"/>
    <w:basedOn w:val="DefaultParagraphFont"/>
    <w:link w:val="Heading3"/>
    <w:uiPriority w:val="9"/>
    <w:rsid w:val="00771E40"/>
    <w:rPr>
      <w:rFonts w:ascii="Rift Soft Medium" w:eastAsia="Times New Roman" w:hAnsi="Rift Soft Medium" w:cs="Times New Roman"/>
      <w:color w:val="1FA9E1" w:themeColor="accent3"/>
      <w:sz w:val="36"/>
      <w:szCs w:val="24"/>
      <w:lang w:val="en-US"/>
    </w:rPr>
  </w:style>
  <w:style w:type="character" w:styleId="SubtleReference">
    <w:name w:val="Subtle Reference"/>
    <w:basedOn w:val="DefaultParagraphFont"/>
    <w:uiPriority w:val="31"/>
    <w:qFormat/>
    <w:rsid w:val="00637A7B"/>
    <w:rPr>
      <w:smallCaps/>
      <w:color w:val="858996" w:themeColor="text1" w:themeTint="A5"/>
    </w:rPr>
  </w:style>
  <w:style w:type="character" w:customStyle="1" w:styleId="CommentTextChar">
    <w:name w:val="Comment Text Char"/>
    <w:basedOn w:val="DefaultParagraphFont"/>
    <w:link w:val="CommentText"/>
    <w:uiPriority w:val="99"/>
    <w:semiHidden/>
    <w:rsid w:val="00C83536"/>
    <w:rPr>
      <w:rFonts w:ascii="Franklin Gothic Book" w:eastAsia="Times New Roman" w:hAnsi="Franklin Gothic Book" w:cs="Times New Roman"/>
      <w:color w:val="4A4D56" w:themeColor="text1"/>
      <w:sz w:val="20"/>
      <w:szCs w:val="20"/>
      <w:lang w:val="en-US"/>
    </w:rPr>
  </w:style>
  <w:style w:type="character" w:styleId="CommentReference">
    <w:name w:val="annotation reference"/>
    <w:basedOn w:val="DefaultParagraphFont"/>
    <w:semiHidden/>
    <w:unhideWhenUsed/>
    <w:rsid w:val="00C83536"/>
    <w:rPr>
      <w:sz w:val="16"/>
      <w:szCs w:val="16"/>
    </w:rPr>
  </w:style>
  <w:style w:type="character" w:customStyle="1" w:styleId="FootnoteTextChar">
    <w:name w:val="Footnote Text Char"/>
    <w:aliases w:val="Footnote_Text Char,Footnote Text1 Char Char,Footnote Text Char Ch Char Char Char Char,Footnote Text Char Ch Char Char Char1,Footnote Text1 Char Char Char Char,Footnote Text Char Ch Char Char1,Footnote Text Char Ch Char1,ft Char Char"/>
    <w:basedOn w:val="DefaultParagraphFont"/>
    <w:link w:val="FootnoteText"/>
    <w:uiPriority w:val="69"/>
    <w:rsid w:val="00E141BA"/>
    <w:rPr>
      <w:rFonts w:ascii="Franklin Gothic Book" w:eastAsia="Times New Roman" w:hAnsi="Franklin Gothic Book" w:cs="Times New Roman"/>
      <w:color w:val="4A4D56" w:themeColor="text1"/>
      <w:sz w:val="18"/>
      <w:szCs w:val="20"/>
      <w:lang w:val="en-US"/>
    </w:rPr>
  </w:style>
  <w:style w:type="paragraph" w:styleId="TOC7">
    <w:name w:val="toc 7"/>
    <w:basedOn w:val="Normal"/>
    <w:next w:val="Normal"/>
    <w:autoRedefine/>
    <w:uiPriority w:val="39"/>
    <w:unhideWhenUsed/>
    <w:rsid w:val="00286F65"/>
    <w:pPr>
      <w:spacing w:after="100" w:line="278" w:lineRule="auto"/>
      <w:ind w:left="1440"/>
    </w:pPr>
    <w:rPr>
      <w:rFonts w:asciiTheme="minorHAnsi" w:eastAsiaTheme="minorEastAsia" w:hAnsiTheme="minorHAnsi" w:cstheme="minorBidi"/>
      <w:color w:val="auto"/>
      <w:kern w:val="2"/>
      <w:sz w:val="24"/>
      <w:szCs w:val="24"/>
      <w14:ligatures w14:val="standardContextual"/>
    </w:rPr>
  </w:style>
  <w:style w:type="paragraph" w:styleId="TOC8">
    <w:name w:val="toc 8"/>
    <w:basedOn w:val="Normal"/>
    <w:next w:val="Normal"/>
    <w:autoRedefine/>
    <w:uiPriority w:val="39"/>
    <w:unhideWhenUsed/>
    <w:rsid w:val="00286F65"/>
    <w:pPr>
      <w:spacing w:after="100" w:line="278" w:lineRule="auto"/>
      <w:ind w:left="1680"/>
    </w:pPr>
    <w:rPr>
      <w:rFonts w:asciiTheme="minorHAnsi" w:eastAsiaTheme="minorEastAsia" w:hAnsiTheme="minorHAnsi" w:cstheme="minorBidi"/>
      <w:color w:val="auto"/>
      <w:kern w:val="2"/>
      <w:sz w:val="24"/>
      <w:szCs w:val="24"/>
      <w14:ligatures w14:val="standardContextual"/>
    </w:rPr>
  </w:style>
  <w:style w:type="paragraph" w:styleId="Revision">
    <w:name w:val="Revision"/>
    <w:hidden/>
    <w:uiPriority w:val="99"/>
    <w:semiHidden/>
    <w:rsid w:val="001B763E"/>
    <w:pPr>
      <w:spacing w:after="0" w:line="240" w:lineRule="auto"/>
    </w:pPr>
    <w:rPr>
      <w:rFonts w:ascii="Franklin Gothic Book" w:eastAsia="Times New Roman" w:hAnsi="Franklin Gothic Book" w:cs="Times New Roman"/>
      <w:color w:val="4A4D56" w:themeColor="text1"/>
      <w:lang w:val="en-US"/>
    </w:rPr>
  </w:style>
  <w:style w:type="paragraph" w:customStyle="1" w:styleId="AppendixLevel4">
    <w:name w:val="Appendix Level 4"/>
    <w:basedOn w:val="Normal"/>
    <w:qFormat/>
    <w:rsid w:val="00311011"/>
    <w:pPr>
      <w:keepNext/>
      <w:keepLines/>
    </w:pPr>
    <w:rPr>
      <w:rFonts w:ascii="Rift Soft Medium" w:hAnsi="Rift Soft Medium"/>
      <w:color w:val="053572" w:themeColor="text2"/>
      <w:sz w:val="32"/>
    </w:rPr>
  </w:style>
  <w:style w:type="paragraph" w:customStyle="1" w:styleId="AppendixLevel5">
    <w:name w:val="Appendix Level 5"/>
    <w:basedOn w:val="AppendixLevel4"/>
    <w:qFormat/>
    <w:rsid w:val="00311011"/>
    <w:rPr>
      <w:rFonts w:ascii="Franklin Gothic Medium" w:hAnsi="Franklin Gothic Medium"/>
      <w:color w:val="416DCB" w:themeColor="accent1" w:themeTint="99"/>
      <w:sz w:val="26"/>
    </w:rPr>
  </w:style>
  <w:style w:type="paragraph" w:customStyle="1" w:styleId="AppendixLevel6">
    <w:name w:val="Appendix Level 6"/>
    <w:basedOn w:val="AppendixLevel5"/>
    <w:qFormat/>
    <w:rsid w:val="00311011"/>
    <w:rPr>
      <w:color w:val="1FA9E1" w:themeColor="accent3"/>
      <w:sz w:val="22"/>
    </w:rPr>
  </w:style>
  <w:style w:type="paragraph" w:customStyle="1" w:styleId="ODTable">
    <w:name w:val="OD Table"/>
    <w:link w:val="ODTableChar"/>
    <w:qFormat/>
    <w:rsid w:val="00311011"/>
    <w:pPr>
      <w:spacing w:after="0" w:line="240" w:lineRule="auto"/>
    </w:pPr>
    <w:rPr>
      <w:rFonts w:ascii="Franklin Gothic Book" w:eastAsia="Times New Roman" w:hAnsi="Franklin Gothic Book" w:cs="Times New Roman"/>
      <w:color w:val="4A4D56" w:themeColor="text1"/>
      <w:sz w:val="20"/>
      <w:szCs w:val="20"/>
      <w:lang w:val="en-US"/>
    </w:rPr>
  </w:style>
  <w:style w:type="character" w:customStyle="1" w:styleId="ODTableChar">
    <w:name w:val="OD Table Char"/>
    <w:basedOn w:val="DefaultParagraphFont"/>
    <w:link w:val="ODTable"/>
    <w:rsid w:val="00311011"/>
    <w:rPr>
      <w:rFonts w:ascii="Franklin Gothic Book" w:eastAsia="Times New Roman" w:hAnsi="Franklin Gothic Book" w:cs="Times New Roman"/>
      <w:color w:val="4A4D56" w:themeColor="text1"/>
      <w:sz w:val="20"/>
      <w:szCs w:val="20"/>
      <w:lang w:val="en-US"/>
    </w:rPr>
  </w:style>
  <w:style w:type="paragraph" w:customStyle="1" w:styleId="AppendixOne">
    <w:name w:val="Appendix One"/>
    <w:next w:val="Normal"/>
    <w:qFormat/>
    <w:rsid w:val="00311011"/>
    <w:pPr>
      <w:keepNext/>
      <w:keepLines/>
      <w:pageBreakBefore/>
      <w:numPr>
        <w:numId w:val="26"/>
      </w:numPr>
      <w:spacing w:before="100" w:beforeAutospacing="1"/>
      <w:ind w:left="0" w:firstLine="0"/>
      <w:outlineLvl w:val="0"/>
    </w:pPr>
    <w:rPr>
      <w:rFonts w:ascii="Rift Soft Medium" w:eastAsia="Times New Roman" w:hAnsi="Rift Soft Medium" w:cs="Times New Roman"/>
      <w:color w:val="053572"/>
      <w:sz w:val="44"/>
      <w:lang w:val="en-US"/>
    </w:rPr>
  </w:style>
  <w:style w:type="paragraph" w:customStyle="1" w:styleId="AppendixTwo">
    <w:name w:val="Appendix Two"/>
    <w:next w:val="Normal"/>
    <w:qFormat/>
    <w:rsid w:val="00311011"/>
    <w:pPr>
      <w:keepNext/>
      <w:keepLines/>
      <w:spacing w:before="100" w:beforeAutospacing="1"/>
      <w:outlineLvl w:val="1"/>
    </w:pPr>
    <w:rPr>
      <w:rFonts w:ascii="Rift Soft Medium" w:eastAsia="Times New Roman" w:hAnsi="Rift Soft Medium" w:cs="Times New Roman"/>
      <w:color w:val="416DCB"/>
      <w:sz w:val="40"/>
      <w:lang w:val="en-US"/>
    </w:rPr>
  </w:style>
  <w:style w:type="paragraph" w:customStyle="1" w:styleId="AppendixThree">
    <w:name w:val="Appendix Three"/>
    <w:next w:val="Normal"/>
    <w:qFormat/>
    <w:rsid w:val="00311011"/>
    <w:pPr>
      <w:keepNext/>
      <w:keepLines/>
      <w:spacing w:before="100" w:beforeAutospacing="1"/>
      <w:outlineLvl w:val="2"/>
    </w:pPr>
    <w:rPr>
      <w:rFonts w:ascii="Rift Soft Medium" w:eastAsia="Times New Roman" w:hAnsi="Rift Soft Medium" w:cs="Times New Roman"/>
      <w:color w:val="1FA9E1"/>
      <w:sz w:val="36"/>
      <w:lang w:val="en-US"/>
    </w:rPr>
  </w:style>
  <w:style w:type="character" w:styleId="Mention">
    <w:name w:val="Mention"/>
    <w:basedOn w:val="DefaultParagraphFont"/>
    <w:uiPriority w:val="99"/>
    <w:unhideWhenUsed/>
    <w:rsid w:val="00311011"/>
    <w:rPr>
      <w:color w:val="2B579A"/>
      <w:shd w:val="clear" w:color="auto" w:fill="E6E6E6"/>
    </w:rPr>
  </w:style>
  <w:style w:type="character" w:customStyle="1" w:styleId="TableLeftTextChar">
    <w:name w:val="Table Left Text Char"/>
    <w:aliases w:val="Table Left Alt+T Char,L Char"/>
    <w:basedOn w:val="BodyTextChar"/>
    <w:link w:val="TableLeftText"/>
    <w:uiPriority w:val="6"/>
    <w:rsid w:val="003527BD"/>
    <w:rPr>
      <w:rFonts w:ascii="Franklin Gothic Book" w:eastAsia="Times New Roman" w:hAnsi="Franklin Gothic Book" w:cs="Times New Roman"/>
      <w:color w:val="4A4D56" w:themeColor="text1"/>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79557">
      <w:bodyDiv w:val="1"/>
      <w:marLeft w:val="0"/>
      <w:marRight w:val="0"/>
      <w:marTop w:val="0"/>
      <w:marBottom w:val="0"/>
      <w:divBdr>
        <w:top w:val="none" w:sz="0" w:space="0" w:color="auto"/>
        <w:left w:val="none" w:sz="0" w:space="0" w:color="auto"/>
        <w:bottom w:val="none" w:sz="0" w:space="0" w:color="auto"/>
        <w:right w:val="none" w:sz="0" w:space="0" w:color="auto"/>
      </w:divBdr>
    </w:div>
    <w:div w:id="523985175">
      <w:bodyDiv w:val="1"/>
      <w:marLeft w:val="0"/>
      <w:marRight w:val="0"/>
      <w:marTop w:val="0"/>
      <w:marBottom w:val="0"/>
      <w:divBdr>
        <w:top w:val="none" w:sz="0" w:space="0" w:color="auto"/>
        <w:left w:val="none" w:sz="0" w:space="0" w:color="auto"/>
        <w:bottom w:val="none" w:sz="0" w:space="0" w:color="auto"/>
        <w:right w:val="none" w:sz="0" w:space="0" w:color="auto"/>
      </w:divBdr>
    </w:div>
    <w:div w:id="649334802">
      <w:bodyDiv w:val="1"/>
      <w:marLeft w:val="0"/>
      <w:marRight w:val="0"/>
      <w:marTop w:val="0"/>
      <w:marBottom w:val="0"/>
      <w:divBdr>
        <w:top w:val="none" w:sz="0" w:space="0" w:color="auto"/>
        <w:left w:val="none" w:sz="0" w:space="0" w:color="auto"/>
        <w:bottom w:val="none" w:sz="0" w:space="0" w:color="auto"/>
        <w:right w:val="none" w:sz="0" w:space="0" w:color="auto"/>
      </w:divBdr>
    </w:div>
    <w:div w:id="653146780">
      <w:bodyDiv w:val="1"/>
      <w:marLeft w:val="0"/>
      <w:marRight w:val="0"/>
      <w:marTop w:val="0"/>
      <w:marBottom w:val="0"/>
      <w:divBdr>
        <w:top w:val="none" w:sz="0" w:space="0" w:color="auto"/>
        <w:left w:val="none" w:sz="0" w:space="0" w:color="auto"/>
        <w:bottom w:val="none" w:sz="0" w:space="0" w:color="auto"/>
        <w:right w:val="none" w:sz="0" w:space="0" w:color="auto"/>
      </w:divBdr>
    </w:div>
    <w:div w:id="690256900">
      <w:bodyDiv w:val="1"/>
      <w:marLeft w:val="0"/>
      <w:marRight w:val="0"/>
      <w:marTop w:val="0"/>
      <w:marBottom w:val="0"/>
      <w:divBdr>
        <w:top w:val="none" w:sz="0" w:space="0" w:color="auto"/>
        <w:left w:val="none" w:sz="0" w:space="0" w:color="auto"/>
        <w:bottom w:val="none" w:sz="0" w:space="0" w:color="auto"/>
        <w:right w:val="none" w:sz="0" w:space="0" w:color="auto"/>
      </w:divBdr>
    </w:div>
    <w:div w:id="891887825">
      <w:bodyDiv w:val="1"/>
      <w:marLeft w:val="0"/>
      <w:marRight w:val="0"/>
      <w:marTop w:val="0"/>
      <w:marBottom w:val="0"/>
      <w:divBdr>
        <w:top w:val="none" w:sz="0" w:space="0" w:color="auto"/>
        <w:left w:val="none" w:sz="0" w:space="0" w:color="auto"/>
        <w:bottom w:val="none" w:sz="0" w:space="0" w:color="auto"/>
        <w:right w:val="none" w:sz="0" w:space="0" w:color="auto"/>
      </w:divBdr>
    </w:div>
    <w:div w:id="894002615">
      <w:bodyDiv w:val="1"/>
      <w:marLeft w:val="0"/>
      <w:marRight w:val="0"/>
      <w:marTop w:val="0"/>
      <w:marBottom w:val="0"/>
      <w:divBdr>
        <w:top w:val="none" w:sz="0" w:space="0" w:color="auto"/>
        <w:left w:val="none" w:sz="0" w:space="0" w:color="auto"/>
        <w:bottom w:val="none" w:sz="0" w:space="0" w:color="auto"/>
        <w:right w:val="none" w:sz="0" w:space="0" w:color="auto"/>
      </w:divBdr>
    </w:div>
    <w:div w:id="930090318">
      <w:bodyDiv w:val="1"/>
      <w:marLeft w:val="0"/>
      <w:marRight w:val="0"/>
      <w:marTop w:val="0"/>
      <w:marBottom w:val="0"/>
      <w:divBdr>
        <w:top w:val="none" w:sz="0" w:space="0" w:color="auto"/>
        <w:left w:val="none" w:sz="0" w:space="0" w:color="auto"/>
        <w:bottom w:val="none" w:sz="0" w:space="0" w:color="auto"/>
        <w:right w:val="none" w:sz="0" w:space="0" w:color="auto"/>
      </w:divBdr>
    </w:div>
    <w:div w:id="935022218">
      <w:bodyDiv w:val="1"/>
      <w:marLeft w:val="0"/>
      <w:marRight w:val="0"/>
      <w:marTop w:val="0"/>
      <w:marBottom w:val="0"/>
      <w:divBdr>
        <w:top w:val="none" w:sz="0" w:space="0" w:color="auto"/>
        <w:left w:val="none" w:sz="0" w:space="0" w:color="auto"/>
        <w:bottom w:val="none" w:sz="0" w:space="0" w:color="auto"/>
        <w:right w:val="none" w:sz="0" w:space="0" w:color="auto"/>
      </w:divBdr>
    </w:div>
    <w:div w:id="961576898">
      <w:bodyDiv w:val="1"/>
      <w:marLeft w:val="0"/>
      <w:marRight w:val="0"/>
      <w:marTop w:val="0"/>
      <w:marBottom w:val="0"/>
      <w:divBdr>
        <w:top w:val="none" w:sz="0" w:space="0" w:color="auto"/>
        <w:left w:val="none" w:sz="0" w:space="0" w:color="auto"/>
        <w:bottom w:val="none" w:sz="0" w:space="0" w:color="auto"/>
        <w:right w:val="none" w:sz="0" w:space="0" w:color="auto"/>
      </w:divBdr>
    </w:div>
    <w:div w:id="1083455191">
      <w:bodyDiv w:val="1"/>
      <w:marLeft w:val="0"/>
      <w:marRight w:val="0"/>
      <w:marTop w:val="0"/>
      <w:marBottom w:val="0"/>
      <w:divBdr>
        <w:top w:val="none" w:sz="0" w:space="0" w:color="auto"/>
        <w:left w:val="none" w:sz="0" w:space="0" w:color="auto"/>
        <w:bottom w:val="none" w:sz="0" w:space="0" w:color="auto"/>
        <w:right w:val="none" w:sz="0" w:space="0" w:color="auto"/>
      </w:divBdr>
    </w:div>
    <w:div w:id="1107232861">
      <w:bodyDiv w:val="1"/>
      <w:marLeft w:val="0"/>
      <w:marRight w:val="0"/>
      <w:marTop w:val="0"/>
      <w:marBottom w:val="0"/>
      <w:divBdr>
        <w:top w:val="none" w:sz="0" w:space="0" w:color="auto"/>
        <w:left w:val="none" w:sz="0" w:space="0" w:color="auto"/>
        <w:bottom w:val="none" w:sz="0" w:space="0" w:color="auto"/>
        <w:right w:val="none" w:sz="0" w:space="0" w:color="auto"/>
      </w:divBdr>
    </w:div>
    <w:div w:id="1144352901">
      <w:bodyDiv w:val="1"/>
      <w:marLeft w:val="0"/>
      <w:marRight w:val="0"/>
      <w:marTop w:val="0"/>
      <w:marBottom w:val="0"/>
      <w:divBdr>
        <w:top w:val="none" w:sz="0" w:space="0" w:color="auto"/>
        <w:left w:val="none" w:sz="0" w:space="0" w:color="auto"/>
        <w:bottom w:val="none" w:sz="0" w:space="0" w:color="auto"/>
        <w:right w:val="none" w:sz="0" w:space="0" w:color="auto"/>
      </w:divBdr>
    </w:div>
    <w:div w:id="1238591903">
      <w:bodyDiv w:val="1"/>
      <w:marLeft w:val="0"/>
      <w:marRight w:val="0"/>
      <w:marTop w:val="0"/>
      <w:marBottom w:val="0"/>
      <w:divBdr>
        <w:top w:val="none" w:sz="0" w:space="0" w:color="auto"/>
        <w:left w:val="none" w:sz="0" w:space="0" w:color="auto"/>
        <w:bottom w:val="none" w:sz="0" w:space="0" w:color="auto"/>
        <w:right w:val="none" w:sz="0" w:space="0" w:color="auto"/>
      </w:divBdr>
    </w:div>
    <w:div w:id="1243878331">
      <w:bodyDiv w:val="1"/>
      <w:marLeft w:val="0"/>
      <w:marRight w:val="0"/>
      <w:marTop w:val="0"/>
      <w:marBottom w:val="0"/>
      <w:divBdr>
        <w:top w:val="none" w:sz="0" w:space="0" w:color="auto"/>
        <w:left w:val="none" w:sz="0" w:space="0" w:color="auto"/>
        <w:bottom w:val="none" w:sz="0" w:space="0" w:color="auto"/>
        <w:right w:val="none" w:sz="0" w:space="0" w:color="auto"/>
      </w:divBdr>
    </w:div>
    <w:div w:id="1253006692">
      <w:bodyDiv w:val="1"/>
      <w:marLeft w:val="0"/>
      <w:marRight w:val="0"/>
      <w:marTop w:val="0"/>
      <w:marBottom w:val="0"/>
      <w:divBdr>
        <w:top w:val="none" w:sz="0" w:space="0" w:color="auto"/>
        <w:left w:val="none" w:sz="0" w:space="0" w:color="auto"/>
        <w:bottom w:val="none" w:sz="0" w:space="0" w:color="auto"/>
        <w:right w:val="none" w:sz="0" w:space="0" w:color="auto"/>
      </w:divBdr>
    </w:div>
    <w:div w:id="1364751079">
      <w:bodyDiv w:val="1"/>
      <w:marLeft w:val="0"/>
      <w:marRight w:val="0"/>
      <w:marTop w:val="0"/>
      <w:marBottom w:val="0"/>
      <w:divBdr>
        <w:top w:val="none" w:sz="0" w:space="0" w:color="auto"/>
        <w:left w:val="none" w:sz="0" w:space="0" w:color="auto"/>
        <w:bottom w:val="none" w:sz="0" w:space="0" w:color="auto"/>
        <w:right w:val="none" w:sz="0" w:space="0" w:color="auto"/>
      </w:divBdr>
    </w:div>
    <w:div w:id="1386642414">
      <w:bodyDiv w:val="1"/>
      <w:marLeft w:val="0"/>
      <w:marRight w:val="0"/>
      <w:marTop w:val="0"/>
      <w:marBottom w:val="0"/>
      <w:divBdr>
        <w:top w:val="none" w:sz="0" w:space="0" w:color="auto"/>
        <w:left w:val="none" w:sz="0" w:space="0" w:color="auto"/>
        <w:bottom w:val="none" w:sz="0" w:space="0" w:color="auto"/>
        <w:right w:val="none" w:sz="0" w:space="0" w:color="auto"/>
      </w:divBdr>
    </w:div>
    <w:div w:id="1590846767">
      <w:bodyDiv w:val="1"/>
      <w:marLeft w:val="0"/>
      <w:marRight w:val="0"/>
      <w:marTop w:val="0"/>
      <w:marBottom w:val="0"/>
      <w:divBdr>
        <w:top w:val="none" w:sz="0" w:space="0" w:color="auto"/>
        <w:left w:val="none" w:sz="0" w:space="0" w:color="auto"/>
        <w:bottom w:val="none" w:sz="0" w:space="0" w:color="auto"/>
        <w:right w:val="none" w:sz="0" w:space="0" w:color="auto"/>
      </w:divBdr>
    </w:div>
    <w:div w:id="1613390909">
      <w:bodyDiv w:val="1"/>
      <w:marLeft w:val="0"/>
      <w:marRight w:val="0"/>
      <w:marTop w:val="0"/>
      <w:marBottom w:val="0"/>
      <w:divBdr>
        <w:top w:val="none" w:sz="0" w:space="0" w:color="auto"/>
        <w:left w:val="none" w:sz="0" w:space="0" w:color="auto"/>
        <w:bottom w:val="none" w:sz="0" w:space="0" w:color="auto"/>
        <w:right w:val="none" w:sz="0" w:space="0" w:color="auto"/>
      </w:divBdr>
    </w:div>
    <w:div w:id="1688553278">
      <w:bodyDiv w:val="1"/>
      <w:marLeft w:val="0"/>
      <w:marRight w:val="0"/>
      <w:marTop w:val="0"/>
      <w:marBottom w:val="0"/>
      <w:divBdr>
        <w:top w:val="none" w:sz="0" w:space="0" w:color="auto"/>
        <w:left w:val="none" w:sz="0" w:space="0" w:color="auto"/>
        <w:bottom w:val="none" w:sz="0" w:space="0" w:color="auto"/>
        <w:right w:val="none" w:sz="0" w:space="0" w:color="auto"/>
      </w:divBdr>
    </w:div>
    <w:div w:id="1841895941">
      <w:bodyDiv w:val="1"/>
      <w:marLeft w:val="0"/>
      <w:marRight w:val="0"/>
      <w:marTop w:val="0"/>
      <w:marBottom w:val="0"/>
      <w:divBdr>
        <w:top w:val="none" w:sz="0" w:space="0" w:color="auto"/>
        <w:left w:val="none" w:sz="0" w:space="0" w:color="auto"/>
        <w:bottom w:val="none" w:sz="0" w:space="0" w:color="auto"/>
        <w:right w:val="none" w:sz="0" w:space="0" w:color="auto"/>
      </w:divBdr>
    </w:div>
    <w:div w:id="1908880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footer" Target="footer3.xml"/><Relationship Id="rId34"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4.xml"/><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image" Target="media/image16.emf"/><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fontTable" Target="fontTable.xml"/><Relationship Id="rId8" Type="http://schemas.openxmlformats.org/officeDocument/2006/relationships/webSettings" Target="webSettings.xml"/></Relationships>
</file>

<file path=word/_rels/footnotes.xml.rels><?xml version="1.0" encoding="UTF-8" standalone="yes"?>
<Relationships xmlns="http://schemas.openxmlformats.org/package/2006/relationships"><Relationship Id="rId8" Type="http://schemas.openxmlformats.org/officeDocument/2006/relationships/hyperlink" Target="https://www.ilsag.info/wp-content/uploads/IL-TRM_Effective_010124_v12.0_Vol_4_X-Cutting_Measures_and_Attach_09222023_FINAL.pdf" TargetMode="External"/><Relationship Id="rId3" Type="http://schemas.openxmlformats.org/officeDocument/2006/relationships/hyperlink" Target="https://www.ilsag.info/wp-content/uploads/IL_EE_Policy_Manual_Version_3.0_Final_11-3-2023.pdf" TargetMode="External"/><Relationship Id="rId7" Type="http://schemas.openxmlformats.org/officeDocument/2006/relationships/hyperlink" Target="https://www.ilsag.info/wp-content/uploads/IL-TRM_Effective_010124_v12.0_Vol_4_X-Cutting_Measures_and_Attach_09222023_FINAL.pdf" TargetMode="External"/><Relationship Id="rId2" Type="http://schemas.openxmlformats.org/officeDocument/2006/relationships/hyperlink" Target="https://www.ilsag.info/wp-content/uploads/AIC-2024-Lighting-Carryover-Savings-Memo-FINAL-2025-01-21.pdf" TargetMode="External"/><Relationship Id="rId1" Type="http://schemas.openxmlformats.org/officeDocument/2006/relationships/hyperlink" Target="https://www.ilsag.info/wp-content/uploads/SAG_files/SAG_Reports/SAG_WAML_Report_Final_2-20-18.pdf" TargetMode="External"/><Relationship Id="rId6" Type="http://schemas.openxmlformats.org/officeDocument/2006/relationships/hyperlink" Target="https://doi.org/10.2307/2342192" TargetMode="External"/><Relationship Id="rId5" Type="http://schemas.openxmlformats.org/officeDocument/2006/relationships/hyperlink" Target="https://doi.org/10.2307/2282141" TargetMode="External"/><Relationship Id="rId4" Type="http://schemas.openxmlformats.org/officeDocument/2006/relationships/hyperlink" Target="https://www.ilsag.info/wp-content/uploads/SAG-NTGR-for-Disadvantaged-Areas-Presentation_ODC_2024-07-17.pdf" TargetMode="External"/><Relationship Id="rId9" Type="http://schemas.openxmlformats.org/officeDocument/2006/relationships/hyperlink" Target="https://www.ilsag.info/wp-content/uploads/IL_EE_Policy_Manual_Version_3.0_Final_11-3-202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dgate\AppData\Local\Temp\abe9b707-aed2-4e0c-a076-e8c529272200\3112024.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19.svg"/><Relationship Id="rId1" Type="http://schemas.openxmlformats.org/officeDocument/2006/relationships/image" Target="../media/image18.png"/></Relationships>
</file>

<file path=word/theme/theme1.xml><?xml version="1.0" encoding="utf-8"?>
<a:theme xmlns:a="http://schemas.openxmlformats.org/drawingml/2006/main" name="Office Theme">
  <a:themeElements>
    <a:clrScheme name="OD main theme">
      <a:dk1>
        <a:srgbClr val="4A4D56"/>
      </a:dk1>
      <a:lt1>
        <a:srgbClr val="FFFFFF"/>
      </a:lt1>
      <a:dk2>
        <a:srgbClr val="053572"/>
      </a:dk2>
      <a:lt2>
        <a:srgbClr val="FFFFFF"/>
      </a:lt2>
      <a:accent1>
        <a:srgbClr val="172B54"/>
      </a:accent1>
      <a:accent2>
        <a:srgbClr val="265EAC"/>
      </a:accent2>
      <a:accent3>
        <a:srgbClr val="1FA9E1"/>
      </a:accent3>
      <a:accent4>
        <a:srgbClr val="7E83C0"/>
      </a:accent4>
      <a:accent5>
        <a:srgbClr val="5661AC"/>
      </a:accent5>
      <a:accent6>
        <a:srgbClr val="FFDFB8"/>
      </a:accent6>
      <a:hlink>
        <a:srgbClr val="4087C7"/>
      </a:hlink>
      <a:folHlink>
        <a:srgbClr val="A1CBED"/>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blipFill>
          <a:blip xmlns:r="http://schemas.openxmlformats.org/officeDocument/2006/relationships" r:embed="rId1">
            <a:extLst>
              <a:ext uri="{96DAC541-7B7A-43D3-8B79-37D633B846F1}">
                <asvg:svgBlip xmlns:asvg="http://schemas.microsoft.com/office/drawing/2016/SVG/main" r:embed="rId2"/>
              </a:ext>
            </a:extLst>
          </a:blip>
          <a:stretch>
            <a:fillRect/>
          </a:stretch>
        </a:blipFill>
        <a:ln w="9525">
          <a:noFill/>
          <a:miter lim="800000"/>
          <a:headEnd/>
          <a:tailEnd/>
        </a:ln>
      </a:spPr>
      <a:bodyPr rot="0" vert="horz" wrap="square" lIns="468000" tIns="360000" rIns="468000" bIns="36000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e1301a-4824-4f76-be5e-fb0e78a42f4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Section</b:Tag>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27766C08AEF7C4DAA862693811D8D32" ma:contentTypeVersion="15" ma:contentTypeDescription="Create a new document." ma:contentTypeScope="" ma:versionID="32258ae4c42afe4f6bdf1a5de5c40a07">
  <xsd:schema xmlns:xsd="http://www.w3.org/2001/XMLSchema" xmlns:xs="http://www.w3.org/2001/XMLSchema" xmlns:p="http://schemas.microsoft.com/office/2006/metadata/properties" xmlns:ns3="4396c974-d301-4196-85bd-788e990e69b3" xmlns:ns4="e8e1301a-4824-4f76-be5e-fb0e78a42f4f" targetNamespace="http://schemas.microsoft.com/office/2006/metadata/properties" ma:root="true" ma:fieldsID="4aca3cbdb7e98eac911e230c5ff1de7e" ns3:_="" ns4:_="">
    <xsd:import namespace="4396c974-d301-4196-85bd-788e990e69b3"/>
    <xsd:import namespace="e8e1301a-4824-4f76-be5e-fb0e78a42f4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element ref="ns4:MediaServiceOCR" minOccurs="0"/>
                <xsd:element ref="ns4:MediaServiceDateTaken" minOccurs="0"/>
                <xsd:element ref="ns4:MediaServiceLocation"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96c974-d301-4196-85bd-788e990e69b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e1301a-4824-4f76-be5e-fb0e78a42f4f"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C013B-9303-494A-AC0C-A15519A06B20}">
  <ds:schemaRefs>
    <ds:schemaRef ds:uri="http://schemas.microsoft.com/sharepoint/v3/contenttype/forms"/>
  </ds:schemaRefs>
</ds:datastoreItem>
</file>

<file path=customXml/itemProps2.xml><?xml version="1.0" encoding="utf-8"?>
<ds:datastoreItem xmlns:ds="http://schemas.openxmlformats.org/officeDocument/2006/customXml" ds:itemID="{57BCF9B4-11FA-43C8-A177-CBCBF7796F48}">
  <ds:schemaRefs>
    <ds:schemaRef ds:uri="e8e1301a-4824-4f76-be5e-fb0e78a42f4f"/>
    <ds:schemaRef ds:uri="http://purl.org/dc/terms/"/>
    <ds:schemaRef ds:uri="http://schemas.microsoft.com/office/2006/documentManagement/types"/>
    <ds:schemaRef ds:uri="http://purl.org/dc/elements/1.1/"/>
    <ds:schemaRef ds:uri="http://www.w3.org/XML/1998/namespace"/>
    <ds:schemaRef ds:uri="http://schemas.microsoft.com/office/2006/metadata/properties"/>
    <ds:schemaRef ds:uri="http://schemas.microsoft.com/office/infopath/2007/PartnerControls"/>
    <ds:schemaRef ds:uri="http://schemas.openxmlformats.org/package/2006/metadata/core-properties"/>
    <ds:schemaRef ds:uri="4396c974-d301-4196-85bd-788e990e69b3"/>
    <ds:schemaRef ds:uri="http://purl.org/dc/dcmitype/"/>
  </ds:schemaRefs>
</ds:datastoreItem>
</file>

<file path=customXml/itemProps3.xml><?xml version="1.0" encoding="utf-8"?>
<ds:datastoreItem xmlns:ds="http://schemas.openxmlformats.org/officeDocument/2006/customXml" ds:itemID="{5AE5D383-8288-463E-A8CC-DB995C254DEF}">
  <ds:schemaRefs>
    <ds:schemaRef ds:uri="http://schemas.openxmlformats.org/officeDocument/2006/bibliography"/>
  </ds:schemaRefs>
</ds:datastoreItem>
</file>

<file path=customXml/itemProps4.xml><?xml version="1.0" encoding="utf-8"?>
<ds:datastoreItem xmlns:ds="http://schemas.openxmlformats.org/officeDocument/2006/customXml" ds:itemID="{A31C775A-C7B5-46A8-A80A-2378AC78F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96c974-d301-4196-85bd-788e990e69b3"/>
    <ds:schemaRef ds:uri="e8e1301a-4824-4f76-be5e-fb0e78a42f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3112024</Template>
  <TotalTime>162</TotalTime>
  <Pages>132</Pages>
  <Words>45554</Words>
  <Characters>259664</Characters>
  <Application>Microsoft Office Word</Application>
  <DocSecurity>0</DocSecurity>
  <Lines>2163</Lines>
  <Paragraphs>609</Paragraphs>
  <ScaleCrop>false</ScaleCrop>
  <HeadingPairs>
    <vt:vector size="2" baseType="variant">
      <vt:variant>
        <vt:lpstr>Title</vt:lpstr>
      </vt:variant>
      <vt:variant>
        <vt:i4>1</vt:i4>
      </vt:variant>
    </vt:vector>
  </HeadingPairs>
  <TitlesOfParts>
    <vt:vector size="1" baseType="lpstr">
      <vt:lpstr>Report</vt:lpstr>
    </vt:vector>
  </TitlesOfParts>
  <Company/>
  <LinksUpToDate>false</LinksUpToDate>
  <CharactersWithSpaces>304609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Jack Adgate</dc:creator>
  <cp:lastModifiedBy>Zachary Ross</cp:lastModifiedBy>
  <cp:revision>8</cp:revision>
  <dcterms:created xsi:type="dcterms:W3CDTF">2025-03-13T14:52:00Z</dcterms:created>
  <dcterms:modified xsi:type="dcterms:W3CDTF">2025-03-13T18:01:00Z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73564f48-a1c1-4ad1-8cac-555e9f90f817</vt:lpwstr>
  </property>
  <property fmtid="{D5CDD505-2E9C-101B-9397-08002B2CF9AE}" pid="3" name="ContentTypeId">
    <vt:lpwstr>0x010100427766C08AEF7C4DAA862693811D8D32</vt:lpwstr>
  </property>
</Properties>
</file>