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B2F103" w14:textId="64B84B99" w:rsidR="002861F1" w:rsidRDefault="0075721C" w:rsidP="000E0419">
      <w:pPr>
        <w:pStyle w:val="TableTextLeftMedium"/>
        <w:rPr>
          <w:rFonts w:ascii="Franklin Gothic Book" w:hAnsi="Franklin Gothic Book"/>
          <w:sz w:val="22"/>
        </w:rPr>
      </w:pPr>
      <w:r>
        <w:rPr>
          <w:noProof/>
        </w:rPr>
        <w:drawing>
          <wp:anchor distT="0" distB="0" distL="114300" distR="114300" simplePos="0" relativeHeight="251667456" behindDoc="1" locked="0" layoutInCell="1" allowOverlap="1" wp14:anchorId="6160FE0B" wp14:editId="202AA5F3">
            <wp:simplePos x="0" y="0"/>
            <wp:positionH relativeFrom="column">
              <wp:posOffset>-350520</wp:posOffset>
            </wp:positionH>
            <wp:positionV relativeFrom="paragraph">
              <wp:posOffset>-551660</wp:posOffset>
            </wp:positionV>
            <wp:extent cx="7802088" cy="10087855"/>
            <wp:effectExtent l="0" t="0" r="8890" b="8890"/>
            <wp:wrapNone/>
            <wp:docPr id="1596089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89302"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7802088" cy="10087855"/>
                    </a:xfrm>
                    <a:prstGeom prst="rect">
                      <a:avLst/>
                    </a:prstGeom>
                  </pic:spPr>
                </pic:pic>
              </a:graphicData>
            </a:graphic>
            <wp14:sizeRelH relativeFrom="margin">
              <wp14:pctWidth>0</wp14:pctWidth>
            </wp14:sizeRelH>
            <wp14:sizeRelV relativeFrom="margin">
              <wp14:pctHeight>0</wp14:pctHeight>
            </wp14:sizeRelV>
          </wp:anchor>
        </w:drawing>
      </w:r>
    </w:p>
    <w:sdt>
      <w:sdtPr>
        <w:rPr>
          <w:rFonts w:ascii="Franklin Gothic Book" w:hAnsi="Franklin Gothic Book"/>
          <w:sz w:val="22"/>
        </w:rPr>
        <w:id w:val="2047950357"/>
        <w:docPartObj>
          <w:docPartGallery w:val="Cover Pages"/>
          <w:docPartUnique/>
        </w:docPartObj>
      </w:sdtPr>
      <w:sdtEndPr/>
      <w:sdtContent>
        <w:p w14:paraId="7E78B886" w14:textId="2190EBCE" w:rsidR="001F322C" w:rsidRDefault="001F322C" w:rsidP="000E0419">
          <w:pPr>
            <w:pStyle w:val="TableTextLeftMedium"/>
          </w:pPr>
        </w:p>
        <w:p w14:paraId="784BD880" w14:textId="6BC1DA07" w:rsidR="001F322C" w:rsidRDefault="008B407C" w:rsidP="001F322C">
          <w:r>
            <w:rPr>
              <w:noProof/>
            </w:rPr>
            <mc:AlternateContent>
              <mc:Choice Requires="wps">
                <w:drawing>
                  <wp:anchor distT="190500" distB="190500" distL="476250" distR="476250" simplePos="0" relativeHeight="251671552" behindDoc="0" locked="0" layoutInCell="1" allowOverlap="1" wp14:anchorId="06D63695" wp14:editId="62F8A54E">
                    <wp:simplePos x="0" y="0"/>
                    <wp:positionH relativeFrom="page">
                      <wp:posOffset>0</wp:posOffset>
                    </wp:positionH>
                    <wp:positionV relativeFrom="page">
                      <wp:posOffset>2040890</wp:posOffset>
                    </wp:positionV>
                    <wp:extent cx="7766685" cy="37719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6685" cy="3771900"/>
                            </a:xfrm>
                            <a:prstGeom prst="rect">
                              <a:avLst/>
                            </a:prstGeom>
                            <a:noFill/>
                            <a:ln w="9525">
                              <a:noFill/>
                              <a:miter lim="800000"/>
                              <a:headEnd/>
                              <a:tailEnd/>
                            </a:ln>
                          </wps:spPr>
                          <wps:txbx>
                            <w:txbxContent>
                              <w:p w14:paraId="39E98989" w14:textId="77777777" w:rsidR="008B407C" w:rsidRDefault="008B407C" w:rsidP="008B407C">
                                <w:pPr>
                                  <w:pStyle w:val="Title"/>
                                </w:pPr>
                                <w:r>
                                  <w:t>Ameren Illinois Company</w:t>
                                </w:r>
                              </w:p>
                              <w:p w14:paraId="4F4E18AC" w14:textId="77777777" w:rsidR="008B407C" w:rsidRDefault="008B407C" w:rsidP="008B407C">
                                <w:pPr>
                                  <w:pStyle w:val="Subtitle"/>
                                  <w:ind w:right="3735"/>
                                  <w:contextualSpacing/>
                                  <w:rPr>
                                    <w:lang w:val="en-ZA"/>
                                  </w:rPr>
                                </w:pPr>
                                <w:r>
                                  <w:rPr>
                                    <w:lang w:val="en-ZA"/>
                                  </w:rPr>
                                  <w:t>2024 Business Program Impact Evaluation Report</w:t>
                                </w:r>
                              </w:p>
                              <w:p w14:paraId="1019E9EA" w14:textId="71FAFC00" w:rsidR="008B407C" w:rsidRPr="008B407C" w:rsidRDefault="008B407C" w:rsidP="008B407C">
                                <w:pPr>
                                  <w:pStyle w:val="Subtitle"/>
                                  <w:ind w:right="3730"/>
                                  <w:contextualSpacing/>
                                  <w:rPr>
                                    <w:lang w:val="en-ZA"/>
                                  </w:rPr>
                                </w:pPr>
                                <w:r>
                                  <w:rPr>
                                    <w:lang w:val="en-ZA"/>
                                  </w:rPr>
                                  <w:t xml:space="preserve">Appendix </w:t>
                                </w:r>
                                <w:r>
                                  <w:rPr>
                                    <w:lang w:val="en-ZA"/>
                                  </w:rPr>
                                  <w:t>e</w:t>
                                </w:r>
                                <w:r>
                                  <w:rPr>
                                    <w:lang w:val="en-ZA"/>
                                  </w:rPr>
                                  <w:t xml:space="preserve">: </w:t>
                                </w:r>
                                <w:r>
                                  <w:rPr>
                                    <w:lang w:val="en-ZA"/>
                                  </w:rPr>
                                  <w:t>Luminaire-Level Lighting Controls Market Transformation Pilot - 2024 Market Progress Evaluation Report</w:t>
                                </w:r>
                              </w:p>
                              <w:p w14:paraId="07ED19B3" w14:textId="77777777" w:rsidR="008B407C" w:rsidRPr="00723193" w:rsidRDefault="008B407C" w:rsidP="008B407C">
                                <w:pPr>
                                  <w:pStyle w:val="Subtitle"/>
                                  <w:ind w:right="3735"/>
                                  <w:rPr>
                                    <w:lang w:val="en-ZA"/>
                                  </w:rPr>
                                </w:pPr>
                              </w:p>
                              <w:p w14:paraId="2DFF96F0" w14:textId="77777777" w:rsidR="008B407C" w:rsidRPr="00D27354" w:rsidRDefault="008B407C" w:rsidP="008B407C">
                                <w:pPr>
                                  <w:ind w:left="450"/>
                                  <w:rPr>
                                    <w:rFonts w:ascii="Rift Soft Light" w:hAnsi="Rift Soft Light"/>
                                    <w:sz w:val="44"/>
                                    <w:szCs w:val="44"/>
                                    <w:lang w:val="en-ZA"/>
                                  </w:rPr>
                                </w:pPr>
                              </w:p>
                              <w:p w14:paraId="414E346B" w14:textId="77777777" w:rsidR="008B407C" w:rsidRDefault="008B407C" w:rsidP="008B407C">
                                <w:pPr>
                                  <w:pStyle w:val="Title3"/>
                                  <w:rPr>
                                    <w:lang w:val="en-ZA"/>
                                  </w:rPr>
                                </w:pPr>
                                <w:r>
                                  <w:rPr>
                                    <w:lang w:val="en-ZA"/>
                                  </w:rPr>
                                  <w:t>Draft</w:t>
                                </w:r>
                              </w:p>
                              <w:p w14:paraId="703DC326" w14:textId="77777777" w:rsidR="008B407C" w:rsidRPr="00D27354" w:rsidRDefault="008B407C" w:rsidP="008B407C">
                                <w:pPr>
                                  <w:pStyle w:val="Title3"/>
                                  <w:rPr>
                                    <w:lang w:val="en-ZA"/>
                                  </w:rPr>
                                </w:pPr>
                                <w:r>
                                  <w:rPr>
                                    <w:lang w:val="en-ZA"/>
                                  </w:rPr>
                                  <w:t>March 13, 2024</w:t>
                                </w:r>
                              </w:p>
                              <w:p w14:paraId="0C747BE6" w14:textId="77777777" w:rsidR="008B407C" w:rsidRPr="00D27354" w:rsidRDefault="008B407C" w:rsidP="008B407C">
                                <w:pPr>
                                  <w:pStyle w:val="Title3"/>
                                  <w:rPr>
                                    <w:lang w:val="en-Z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D63695" id="_x0000_t202" coordsize="21600,21600" o:spt="202" path="m,l,21600r21600,l21600,xe">
                    <v:stroke joinstyle="miter"/>
                    <v:path gradientshapeok="t" o:connecttype="rect"/>
                  </v:shapetype>
                  <v:shape id="Text Box 2" o:spid="_x0000_s1026" type="#_x0000_t202" style="position:absolute;margin-left:0;margin-top:160.7pt;width:611.55pt;height:297pt;z-index:251671552;visibility:visible;mso-wrap-style:square;mso-width-percent:0;mso-height-percent:0;mso-wrap-distance-left:37.5pt;mso-wrap-distance-top:15pt;mso-wrap-distance-right:37.5pt;mso-wrap-distance-bottom:15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" filled="f" stroked="f">
                    <v:textbox>
                      <w:txbxContent>
                        <w:p w14:paraId="39E98989" w14:textId="77777777" w:rsidR="008B407C" w:rsidRDefault="008B407C" w:rsidP="008B407C">
                          <w:pPr>
                            <w:pStyle w:val="Title"/>
                          </w:pPr>
                          <w:r>
                            <w:t>Ameren Illinois Company</w:t>
                          </w:r>
                        </w:p>
                        <w:p w14:paraId="4F4E18AC" w14:textId="77777777" w:rsidR="008B407C" w:rsidRDefault="008B407C" w:rsidP="008B407C">
                          <w:pPr>
                            <w:pStyle w:val="Subtitle"/>
                            <w:ind w:right="3735"/>
                            <w:contextualSpacing/>
                            <w:rPr>
                              <w:lang w:val="en-ZA"/>
                            </w:rPr>
                          </w:pPr>
                          <w:r>
                            <w:rPr>
                              <w:lang w:val="en-ZA"/>
                            </w:rPr>
                            <w:t>2024 Business Program Impact Evaluation Report</w:t>
                          </w:r>
                        </w:p>
                        <w:p w14:paraId="1019E9EA" w14:textId="71FAFC00" w:rsidR="008B407C" w:rsidRPr="008B407C" w:rsidRDefault="008B407C" w:rsidP="008B407C">
                          <w:pPr>
                            <w:pStyle w:val="Subtitle"/>
                            <w:ind w:right="3730"/>
                            <w:contextualSpacing/>
                            <w:rPr>
                              <w:lang w:val="en-ZA"/>
                            </w:rPr>
                          </w:pPr>
                          <w:r>
                            <w:rPr>
                              <w:lang w:val="en-ZA"/>
                            </w:rPr>
                            <w:t xml:space="preserve">Appendix </w:t>
                          </w:r>
                          <w:r>
                            <w:rPr>
                              <w:lang w:val="en-ZA"/>
                            </w:rPr>
                            <w:t>e</w:t>
                          </w:r>
                          <w:r>
                            <w:rPr>
                              <w:lang w:val="en-ZA"/>
                            </w:rPr>
                            <w:t xml:space="preserve">: </w:t>
                          </w:r>
                          <w:r>
                            <w:rPr>
                              <w:lang w:val="en-ZA"/>
                            </w:rPr>
                            <w:t>Luminaire-Level Lighting Controls Market Transformation Pilot - 2024 Market Progress Evaluation Report</w:t>
                          </w:r>
                        </w:p>
                        <w:p w14:paraId="07ED19B3" w14:textId="77777777" w:rsidR="008B407C" w:rsidRPr="00723193" w:rsidRDefault="008B407C" w:rsidP="008B407C">
                          <w:pPr>
                            <w:pStyle w:val="Subtitle"/>
                            <w:ind w:right="3735"/>
                            <w:rPr>
                              <w:lang w:val="en-ZA"/>
                            </w:rPr>
                          </w:pPr>
                        </w:p>
                        <w:p w14:paraId="2DFF96F0" w14:textId="77777777" w:rsidR="008B407C" w:rsidRPr="00D27354" w:rsidRDefault="008B407C" w:rsidP="008B407C">
                          <w:pPr>
                            <w:ind w:left="450"/>
                            <w:rPr>
                              <w:rFonts w:ascii="Rift Soft Light" w:hAnsi="Rift Soft Light"/>
                              <w:sz w:val="44"/>
                              <w:szCs w:val="44"/>
                              <w:lang w:val="en-ZA"/>
                            </w:rPr>
                          </w:pPr>
                        </w:p>
                        <w:p w14:paraId="414E346B" w14:textId="77777777" w:rsidR="008B407C" w:rsidRDefault="008B407C" w:rsidP="008B407C">
                          <w:pPr>
                            <w:pStyle w:val="Title3"/>
                            <w:rPr>
                              <w:lang w:val="en-ZA"/>
                            </w:rPr>
                          </w:pPr>
                          <w:r>
                            <w:rPr>
                              <w:lang w:val="en-ZA"/>
                            </w:rPr>
                            <w:t>Draft</w:t>
                          </w:r>
                        </w:p>
                        <w:p w14:paraId="703DC326" w14:textId="77777777" w:rsidR="008B407C" w:rsidRPr="00D27354" w:rsidRDefault="008B407C" w:rsidP="008B407C">
                          <w:pPr>
                            <w:pStyle w:val="Title3"/>
                            <w:rPr>
                              <w:lang w:val="en-ZA"/>
                            </w:rPr>
                          </w:pPr>
                          <w:r>
                            <w:rPr>
                              <w:lang w:val="en-ZA"/>
                            </w:rPr>
                            <w:t>March 13, 2024</w:t>
                          </w:r>
                        </w:p>
                        <w:p w14:paraId="0C747BE6" w14:textId="77777777" w:rsidR="008B407C" w:rsidRPr="00D27354" w:rsidRDefault="008B407C" w:rsidP="008B407C">
                          <w:pPr>
                            <w:pStyle w:val="Title3"/>
                            <w:rPr>
                              <w:lang w:val="en-ZA"/>
                            </w:rPr>
                          </w:pPr>
                        </w:p>
                      </w:txbxContent>
                    </v:textbox>
                    <w10:wrap type="square" anchorx="page" anchory="page"/>
                  </v:shape>
                </w:pict>
              </mc:Fallback>
            </mc:AlternateContent>
          </w:r>
          <w:r w:rsidR="001F322C">
            <w:br w:type="page"/>
          </w:r>
          <w:r w:rsidR="00C425C2">
            <w:rPr>
              <w:noProof/>
            </w:rPr>
            <w:drawing>
              <wp:anchor distT="0" distB="0" distL="114300" distR="114300" simplePos="0" relativeHeight="251665408" behindDoc="1" locked="0" layoutInCell="1" allowOverlap="1" wp14:anchorId="2D877FE9" wp14:editId="4242CF82">
                <wp:simplePos x="0" y="0"/>
                <wp:positionH relativeFrom="column">
                  <wp:posOffset>-350520</wp:posOffset>
                </wp:positionH>
                <wp:positionV relativeFrom="paragraph">
                  <wp:posOffset>-875030</wp:posOffset>
                </wp:positionV>
                <wp:extent cx="7938877" cy="10272789"/>
                <wp:effectExtent l="0" t="0" r="5080" b="0"/>
                <wp:wrapNone/>
                <wp:docPr id="1259283369" name="Picture 1" descr="A cover of a magaz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283369" name="Picture 1" descr="A cover of a magazin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7938877" cy="10272789"/>
                        </a:xfrm>
                        <a:prstGeom prst="rect">
                          <a:avLst/>
                        </a:prstGeom>
                      </pic:spPr>
                    </pic:pic>
                  </a:graphicData>
                </a:graphic>
                <wp14:sizeRelH relativeFrom="margin">
                  <wp14:pctWidth>0</wp14:pctWidth>
                </wp14:sizeRelH>
                <wp14:sizeRelV relativeFrom="margin">
                  <wp14:pctHeight>0</wp14:pctHeight>
                </wp14:sizeRelV>
              </wp:anchor>
            </w:drawing>
          </w:r>
          <w:r w:rsidR="00B45EFD">
            <w:rPr>
              <w:noProof/>
            </w:rPr>
            <w:drawing>
              <wp:anchor distT="0" distB="0" distL="114300" distR="114300" simplePos="0" relativeHeight="251663360" behindDoc="1" locked="0" layoutInCell="1" allowOverlap="1" wp14:anchorId="181F7B1B" wp14:editId="0ED0DBD6">
                <wp:simplePos x="0" y="0"/>
                <wp:positionH relativeFrom="column">
                  <wp:posOffset>-350520</wp:posOffset>
                </wp:positionH>
                <wp:positionV relativeFrom="paragraph">
                  <wp:posOffset>-875030</wp:posOffset>
                </wp:positionV>
                <wp:extent cx="7838880" cy="10143395"/>
                <wp:effectExtent l="0" t="0" r="0" b="0"/>
                <wp:wrapNone/>
                <wp:docPr id="826601317" name="Picture 1" descr="A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601317" name="Picture 1" descr="A cover of a book&#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838880" cy="10143395"/>
                        </a:xfrm>
                        <a:prstGeom prst="rect">
                          <a:avLst/>
                        </a:prstGeom>
                      </pic:spPr>
                    </pic:pic>
                  </a:graphicData>
                </a:graphic>
                <wp14:sizeRelH relativeFrom="margin">
                  <wp14:pctWidth>0</wp14:pctWidth>
                </wp14:sizeRelH>
                <wp14:sizeRelV relativeFrom="margin">
                  <wp14:pctHeight>0</wp14:pctHeight>
                </wp14:sizeRelV>
              </wp:anchor>
            </w:drawing>
          </w:r>
          <w:r w:rsidR="00FA39DF">
            <w:rPr>
              <w:noProof/>
            </w:rPr>
            <w:drawing>
              <wp:anchor distT="0" distB="0" distL="114300" distR="114300" simplePos="0" relativeHeight="251657215" behindDoc="1" locked="1" layoutInCell="1" allowOverlap="1" wp14:anchorId="62246023" wp14:editId="2888F8DB">
                <wp:simplePos x="0" y="0"/>
                <wp:positionH relativeFrom="page">
                  <wp:posOffset>9525</wp:posOffset>
                </wp:positionH>
                <wp:positionV relativeFrom="page">
                  <wp:posOffset>-46990</wp:posOffset>
                </wp:positionV>
                <wp:extent cx="7753350" cy="10032365"/>
                <wp:effectExtent l="0" t="0" r="0" b="698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4">
                          <a:extLst>
                            <a:ext uri="{28A0092B-C50C-407E-A947-70E740481C1C}">
                              <a14:useLocalDpi xmlns:a14="http://schemas.microsoft.com/office/drawing/2010/main" val="0"/>
                            </a:ext>
                          </a:extLst>
                        </a:blip>
                        <a:stretch>
                          <a:fillRect/>
                        </a:stretch>
                      </pic:blipFill>
                      <pic:spPr>
                        <a:xfrm>
                          <a:off x="0" y="0"/>
                          <a:ext cx="7753350" cy="10032365"/>
                        </a:xfrm>
                        <a:prstGeom prst="rect">
                          <a:avLst/>
                        </a:prstGeom>
                      </pic:spPr>
                    </pic:pic>
                  </a:graphicData>
                </a:graphic>
                <wp14:sizeRelH relativeFrom="margin">
                  <wp14:pctWidth>0</wp14:pctWidth>
                </wp14:sizeRelH>
                <wp14:sizeRelV relativeFrom="margin">
                  <wp14:pctHeight>0</wp14:pctHeight>
                </wp14:sizeRelV>
              </wp:anchor>
            </w:drawing>
          </w:r>
        </w:p>
      </w:sdtContent>
    </w:sdt>
    <w:sdt>
      <w:sdtPr>
        <w:id w:val="-1772313642"/>
        <w:docPartObj>
          <w:docPartGallery w:val="Table of Contents"/>
          <w:docPartUnique/>
        </w:docPartObj>
      </w:sdtPr>
      <w:sdtEndPr>
        <w:rPr>
          <w:noProof/>
        </w:rPr>
      </w:sdtEndPr>
      <w:sdtContent>
        <w:p w14:paraId="3CD80A7E" w14:textId="6D754329" w:rsidR="001127AD" w:rsidRDefault="001127AD">
          <w:pPr>
            <w:pStyle w:val="TOCHeading"/>
          </w:pPr>
          <w:r>
            <w:t>Contents</w:t>
          </w:r>
        </w:p>
        <w:p w14:paraId="18E36995" w14:textId="0200EE9A" w:rsidR="00586954" w:rsidRDefault="00586954">
          <w:pPr>
            <w:pStyle w:val="TOC1"/>
            <w:rPr>
              <w:rFonts w:asciiTheme="minorHAnsi" w:eastAsiaTheme="minorEastAsia" w:hAnsiTheme="minorHAnsi" w:cstheme="minorBidi"/>
              <w:color w:val="auto"/>
              <w:kern w:val="2"/>
              <w:sz w:val="24"/>
              <w:szCs w:val="24"/>
              <w14:ligatures w14:val="standardContextual"/>
            </w:rPr>
          </w:pPr>
          <w:r>
            <w:fldChar w:fldCharType="begin"/>
          </w:r>
          <w:r>
            <w:instrText xml:space="preserve"> TOC \o "1-2" \h \z \u </w:instrText>
          </w:r>
          <w:r>
            <w:fldChar w:fldCharType="separate"/>
          </w:r>
          <w:hyperlink w:anchor="_Toc192240879" w:history="1">
            <w:r w:rsidRPr="006B0336">
              <w:rPr>
                <w:rStyle w:val="Hyperlink"/>
              </w:rPr>
              <w:t>1.</w:t>
            </w:r>
            <w:r>
              <w:rPr>
                <w:rFonts w:asciiTheme="minorHAnsi" w:eastAsiaTheme="minorEastAsia" w:hAnsiTheme="minorHAnsi" w:cstheme="minorBidi"/>
                <w:color w:val="auto"/>
                <w:kern w:val="2"/>
                <w:sz w:val="24"/>
                <w:szCs w:val="24"/>
                <w14:ligatures w14:val="standardContextual"/>
              </w:rPr>
              <w:tab/>
            </w:r>
            <w:r w:rsidRPr="006B0336">
              <w:rPr>
                <w:rStyle w:val="Hyperlink"/>
              </w:rPr>
              <w:t>Executive Summary</w:t>
            </w:r>
            <w:r>
              <w:rPr>
                <w:webHidden/>
              </w:rPr>
              <w:tab/>
            </w:r>
            <w:r>
              <w:rPr>
                <w:webHidden/>
              </w:rPr>
              <w:fldChar w:fldCharType="begin"/>
            </w:r>
            <w:r>
              <w:rPr>
                <w:webHidden/>
              </w:rPr>
              <w:instrText xml:space="preserve"> PAGEREF _Toc192240879 \h </w:instrText>
            </w:r>
            <w:r>
              <w:rPr>
                <w:webHidden/>
              </w:rPr>
            </w:r>
            <w:r>
              <w:rPr>
                <w:webHidden/>
              </w:rPr>
              <w:fldChar w:fldCharType="separate"/>
            </w:r>
            <w:r>
              <w:rPr>
                <w:webHidden/>
              </w:rPr>
              <w:t>4</w:t>
            </w:r>
            <w:r>
              <w:rPr>
                <w:webHidden/>
              </w:rPr>
              <w:fldChar w:fldCharType="end"/>
            </w:r>
          </w:hyperlink>
        </w:p>
        <w:p w14:paraId="675640AF" w14:textId="002FDF91" w:rsidR="00586954" w:rsidRDefault="00586954">
          <w:pPr>
            <w:pStyle w:val="TOC2"/>
            <w:rPr>
              <w:rFonts w:asciiTheme="minorHAnsi" w:eastAsiaTheme="minorEastAsia" w:hAnsiTheme="minorHAnsi" w:cstheme="minorBidi"/>
              <w:color w:val="auto"/>
              <w:kern w:val="2"/>
              <w:sz w:val="24"/>
              <w:szCs w:val="24"/>
              <w14:ligatures w14:val="standardContextual"/>
            </w:rPr>
          </w:pPr>
          <w:hyperlink w:anchor="_Toc192240880" w:history="1">
            <w:r w:rsidRPr="006B0336">
              <w:rPr>
                <w:rStyle w:val="Hyperlink"/>
              </w:rPr>
              <w:t>1.1</w:t>
            </w:r>
            <w:r>
              <w:rPr>
                <w:rFonts w:asciiTheme="minorHAnsi" w:eastAsiaTheme="minorEastAsia" w:hAnsiTheme="minorHAnsi" w:cstheme="minorBidi"/>
                <w:color w:val="auto"/>
                <w:kern w:val="2"/>
                <w:sz w:val="24"/>
                <w:szCs w:val="24"/>
                <w14:ligatures w14:val="standardContextual"/>
              </w:rPr>
              <w:tab/>
            </w:r>
            <w:r w:rsidRPr="006B0336">
              <w:rPr>
                <w:rStyle w:val="Hyperlink"/>
              </w:rPr>
              <w:t>Background</w:t>
            </w:r>
            <w:r>
              <w:rPr>
                <w:webHidden/>
              </w:rPr>
              <w:tab/>
            </w:r>
            <w:r>
              <w:rPr>
                <w:webHidden/>
              </w:rPr>
              <w:fldChar w:fldCharType="begin"/>
            </w:r>
            <w:r>
              <w:rPr>
                <w:webHidden/>
              </w:rPr>
              <w:instrText xml:space="preserve"> PAGEREF _Toc192240880 \h </w:instrText>
            </w:r>
            <w:r>
              <w:rPr>
                <w:webHidden/>
              </w:rPr>
            </w:r>
            <w:r>
              <w:rPr>
                <w:webHidden/>
              </w:rPr>
              <w:fldChar w:fldCharType="separate"/>
            </w:r>
            <w:r>
              <w:rPr>
                <w:webHidden/>
              </w:rPr>
              <w:t>4</w:t>
            </w:r>
            <w:r>
              <w:rPr>
                <w:webHidden/>
              </w:rPr>
              <w:fldChar w:fldCharType="end"/>
            </w:r>
          </w:hyperlink>
        </w:p>
        <w:p w14:paraId="72FC6551" w14:textId="749BE8F4" w:rsidR="00586954" w:rsidRDefault="00586954">
          <w:pPr>
            <w:pStyle w:val="TOC2"/>
            <w:rPr>
              <w:rFonts w:asciiTheme="minorHAnsi" w:eastAsiaTheme="minorEastAsia" w:hAnsiTheme="minorHAnsi" w:cstheme="minorBidi"/>
              <w:color w:val="auto"/>
              <w:kern w:val="2"/>
              <w:sz w:val="24"/>
              <w:szCs w:val="24"/>
              <w14:ligatures w14:val="standardContextual"/>
            </w:rPr>
          </w:pPr>
          <w:hyperlink w:anchor="_Toc192240881" w:history="1">
            <w:r w:rsidRPr="006B0336">
              <w:rPr>
                <w:rStyle w:val="Hyperlink"/>
              </w:rPr>
              <w:t>1.2</w:t>
            </w:r>
            <w:r>
              <w:rPr>
                <w:rFonts w:asciiTheme="minorHAnsi" w:eastAsiaTheme="minorEastAsia" w:hAnsiTheme="minorHAnsi" w:cstheme="minorBidi"/>
                <w:color w:val="auto"/>
                <w:kern w:val="2"/>
                <w:sz w:val="24"/>
                <w:szCs w:val="24"/>
                <w14:ligatures w14:val="standardContextual"/>
              </w:rPr>
              <w:tab/>
            </w:r>
            <w:r w:rsidRPr="006B0336">
              <w:rPr>
                <w:rStyle w:val="Hyperlink"/>
              </w:rPr>
              <w:t>Research Objectives and Methods</w:t>
            </w:r>
            <w:r>
              <w:rPr>
                <w:webHidden/>
              </w:rPr>
              <w:tab/>
            </w:r>
            <w:r>
              <w:rPr>
                <w:webHidden/>
              </w:rPr>
              <w:fldChar w:fldCharType="begin"/>
            </w:r>
            <w:r>
              <w:rPr>
                <w:webHidden/>
              </w:rPr>
              <w:instrText xml:space="preserve"> PAGEREF _Toc192240881 \h </w:instrText>
            </w:r>
            <w:r>
              <w:rPr>
                <w:webHidden/>
              </w:rPr>
            </w:r>
            <w:r>
              <w:rPr>
                <w:webHidden/>
              </w:rPr>
              <w:fldChar w:fldCharType="separate"/>
            </w:r>
            <w:r>
              <w:rPr>
                <w:webHidden/>
              </w:rPr>
              <w:t>4</w:t>
            </w:r>
            <w:r>
              <w:rPr>
                <w:webHidden/>
              </w:rPr>
              <w:fldChar w:fldCharType="end"/>
            </w:r>
          </w:hyperlink>
        </w:p>
        <w:p w14:paraId="57C7DC45" w14:textId="2C238376" w:rsidR="00586954" w:rsidRDefault="00586954">
          <w:pPr>
            <w:pStyle w:val="TOC2"/>
            <w:rPr>
              <w:rFonts w:asciiTheme="minorHAnsi" w:eastAsiaTheme="minorEastAsia" w:hAnsiTheme="minorHAnsi" w:cstheme="minorBidi"/>
              <w:color w:val="auto"/>
              <w:kern w:val="2"/>
              <w:sz w:val="24"/>
              <w:szCs w:val="24"/>
              <w14:ligatures w14:val="standardContextual"/>
            </w:rPr>
          </w:pPr>
          <w:hyperlink w:anchor="_Toc192240882" w:history="1">
            <w:r w:rsidRPr="006B0336">
              <w:rPr>
                <w:rStyle w:val="Hyperlink"/>
              </w:rPr>
              <w:t>1.3</w:t>
            </w:r>
            <w:r>
              <w:rPr>
                <w:rFonts w:asciiTheme="minorHAnsi" w:eastAsiaTheme="minorEastAsia" w:hAnsiTheme="minorHAnsi" w:cstheme="minorBidi"/>
                <w:color w:val="auto"/>
                <w:kern w:val="2"/>
                <w:sz w:val="24"/>
                <w:szCs w:val="24"/>
                <w14:ligatures w14:val="standardContextual"/>
              </w:rPr>
              <w:tab/>
            </w:r>
            <w:r w:rsidRPr="006B0336">
              <w:rPr>
                <w:rStyle w:val="Hyperlink"/>
              </w:rPr>
              <w:t>Key Findings</w:t>
            </w:r>
            <w:r>
              <w:rPr>
                <w:webHidden/>
              </w:rPr>
              <w:tab/>
            </w:r>
            <w:r>
              <w:rPr>
                <w:webHidden/>
              </w:rPr>
              <w:fldChar w:fldCharType="begin"/>
            </w:r>
            <w:r>
              <w:rPr>
                <w:webHidden/>
              </w:rPr>
              <w:instrText xml:space="preserve"> PAGEREF _Toc192240882 \h </w:instrText>
            </w:r>
            <w:r>
              <w:rPr>
                <w:webHidden/>
              </w:rPr>
            </w:r>
            <w:r>
              <w:rPr>
                <w:webHidden/>
              </w:rPr>
              <w:fldChar w:fldCharType="separate"/>
            </w:r>
            <w:r>
              <w:rPr>
                <w:webHidden/>
              </w:rPr>
              <w:t>5</w:t>
            </w:r>
            <w:r>
              <w:rPr>
                <w:webHidden/>
              </w:rPr>
              <w:fldChar w:fldCharType="end"/>
            </w:r>
          </w:hyperlink>
        </w:p>
        <w:p w14:paraId="295A290C" w14:textId="69D8CF91" w:rsidR="00586954" w:rsidRDefault="00586954">
          <w:pPr>
            <w:pStyle w:val="TOC1"/>
            <w:rPr>
              <w:rFonts w:asciiTheme="minorHAnsi" w:eastAsiaTheme="minorEastAsia" w:hAnsiTheme="minorHAnsi" w:cstheme="minorBidi"/>
              <w:color w:val="auto"/>
              <w:kern w:val="2"/>
              <w:sz w:val="24"/>
              <w:szCs w:val="24"/>
              <w14:ligatures w14:val="standardContextual"/>
            </w:rPr>
          </w:pPr>
          <w:hyperlink w:anchor="_Toc192240883" w:history="1">
            <w:r w:rsidRPr="006B0336">
              <w:rPr>
                <w:rStyle w:val="Hyperlink"/>
              </w:rPr>
              <w:t>2.</w:t>
            </w:r>
            <w:r>
              <w:rPr>
                <w:rFonts w:asciiTheme="minorHAnsi" w:eastAsiaTheme="minorEastAsia" w:hAnsiTheme="minorHAnsi" w:cstheme="minorBidi"/>
                <w:color w:val="auto"/>
                <w:kern w:val="2"/>
                <w:sz w:val="24"/>
                <w:szCs w:val="24"/>
                <w14:ligatures w14:val="standardContextual"/>
              </w:rPr>
              <w:tab/>
            </w:r>
            <w:r w:rsidRPr="006B0336">
              <w:rPr>
                <w:rStyle w:val="Hyperlink"/>
              </w:rPr>
              <w:t>Introduction and Background</w:t>
            </w:r>
            <w:r>
              <w:rPr>
                <w:webHidden/>
              </w:rPr>
              <w:tab/>
            </w:r>
            <w:r>
              <w:rPr>
                <w:webHidden/>
              </w:rPr>
              <w:fldChar w:fldCharType="begin"/>
            </w:r>
            <w:r>
              <w:rPr>
                <w:webHidden/>
              </w:rPr>
              <w:instrText xml:space="preserve"> PAGEREF _Toc192240883 \h </w:instrText>
            </w:r>
            <w:r>
              <w:rPr>
                <w:webHidden/>
              </w:rPr>
            </w:r>
            <w:r>
              <w:rPr>
                <w:webHidden/>
              </w:rPr>
              <w:fldChar w:fldCharType="separate"/>
            </w:r>
            <w:r>
              <w:rPr>
                <w:webHidden/>
              </w:rPr>
              <w:t>7</w:t>
            </w:r>
            <w:r>
              <w:rPr>
                <w:webHidden/>
              </w:rPr>
              <w:fldChar w:fldCharType="end"/>
            </w:r>
          </w:hyperlink>
        </w:p>
        <w:p w14:paraId="02E56D02" w14:textId="36E95974" w:rsidR="00586954" w:rsidRDefault="00586954">
          <w:pPr>
            <w:pStyle w:val="TOC2"/>
            <w:rPr>
              <w:rFonts w:asciiTheme="minorHAnsi" w:eastAsiaTheme="minorEastAsia" w:hAnsiTheme="minorHAnsi" w:cstheme="minorBidi"/>
              <w:color w:val="auto"/>
              <w:kern w:val="2"/>
              <w:sz w:val="24"/>
              <w:szCs w:val="24"/>
              <w14:ligatures w14:val="standardContextual"/>
            </w:rPr>
          </w:pPr>
          <w:hyperlink w:anchor="_Toc192240884" w:history="1">
            <w:r w:rsidRPr="006B0336">
              <w:rPr>
                <w:rStyle w:val="Hyperlink"/>
              </w:rPr>
              <w:t>2.1</w:t>
            </w:r>
            <w:r>
              <w:rPr>
                <w:rFonts w:asciiTheme="minorHAnsi" w:eastAsiaTheme="minorEastAsia" w:hAnsiTheme="minorHAnsi" w:cstheme="minorBidi"/>
                <w:color w:val="auto"/>
                <w:kern w:val="2"/>
                <w:sz w:val="24"/>
                <w:szCs w:val="24"/>
                <w14:ligatures w14:val="standardContextual"/>
              </w:rPr>
              <w:tab/>
            </w:r>
            <w:r w:rsidRPr="006B0336">
              <w:rPr>
                <w:rStyle w:val="Hyperlink"/>
              </w:rPr>
              <w:t>Pilot Implementation</w:t>
            </w:r>
            <w:r>
              <w:rPr>
                <w:webHidden/>
              </w:rPr>
              <w:tab/>
            </w:r>
            <w:r>
              <w:rPr>
                <w:webHidden/>
              </w:rPr>
              <w:fldChar w:fldCharType="begin"/>
            </w:r>
            <w:r>
              <w:rPr>
                <w:webHidden/>
              </w:rPr>
              <w:instrText xml:space="preserve"> PAGEREF _Toc192240884 \h </w:instrText>
            </w:r>
            <w:r>
              <w:rPr>
                <w:webHidden/>
              </w:rPr>
            </w:r>
            <w:r>
              <w:rPr>
                <w:webHidden/>
              </w:rPr>
              <w:fldChar w:fldCharType="separate"/>
            </w:r>
            <w:r>
              <w:rPr>
                <w:webHidden/>
              </w:rPr>
              <w:t>9</w:t>
            </w:r>
            <w:r>
              <w:rPr>
                <w:webHidden/>
              </w:rPr>
              <w:fldChar w:fldCharType="end"/>
            </w:r>
          </w:hyperlink>
        </w:p>
        <w:p w14:paraId="36938952" w14:textId="597FED81" w:rsidR="00586954" w:rsidRDefault="00586954">
          <w:pPr>
            <w:pStyle w:val="TOC2"/>
            <w:rPr>
              <w:rFonts w:asciiTheme="minorHAnsi" w:eastAsiaTheme="minorEastAsia" w:hAnsiTheme="minorHAnsi" w:cstheme="minorBidi"/>
              <w:color w:val="auto"/>
              <w:kern w:val="2"/>
              <w:sz w:val="24"/>
              <w:szCs w:val="24"/>
              <w14:ligatures w14:val="standardContextual"/>
            </w:rPr>
          </w:pPr>
          <w:hyperlink w:anchor="_Toc192240885" w:history="1">
            <w:r w:rsidRPr="006B0336">
              <w:rPr>
                <w:rStyle w:val="Hyperlink"/>
              </w:rPr>
              <w:t>2.2</w:t>
            </w:r>
            <w:r>
              <w:rPr>
                <w:rFonts w:asciiTheme="minorHAnsi" w:eastAsiaTheme="minorEastAsia" w:hAnsiTheme="minorHAnsi" w:cstheme="minorBidi"/>
                <w:color w:val="auto"/>
                <w:kern w:val="2"/>
                <w:sz w:val="24"/>
                <w:szCs w:val="24"/>
                <w14:ligatures w14:val="standardContextual"/>
              </w:rPr>
              <w:tab/>
            </w:r>
            <w:r w:rsidRPr="006B0336">
              <w:rPr>
                <w:rStyle w:val="Hyperlink"/>
              </w:rPr>
              <w:t>Research Objectives</w:t>
            </w:r>
            <w:r>
              <w:rPr>
                <w:webHidden/>
              </w:rPr>
              <w:tab/>
            </w:r>
            <w:r>
              <w:rPr>
                <w:webHidden/>
              </w:rPr>
              <w:fldChar w:fldCharType="begin"/>
            </w:r>
            <w:r>
              <w:rPr>
                <w:webHidden/>
              </w:rPr>
              <w:instrText xml:space="preserve"> PAGEREF _Toc192240885 \h </w:instrText>
            </w:r>
            <w:r>
              <w:rPr>
                <w:webHidden/>
              </w:rPr>
            </w:r>
            <w:r>
              <w:rPr>
                <w:webHidden/>
              </w:rPr>
              <w:fldChar w:fldCharType="separate"/>
            </w:r>
            <w:r>
              <w:rPr>
                <w:webHidden/>
              </w:rPr>
              <w:t>9</w:t>
            </w:r>
            <w:r>
              <w:rPr>
                <w:webHidden/>
              </w:rPr>
              <w:fldChar w:fldCharType="end"/>
            </w:r>
          </w:hyperlink>
        </w:p>
        <w:p w14:paraId="5507CCFB" w14:textId="33005EF7" w:rsidR="00586954" w:rsidRDefault="00586954" w:rsidP="00586954">
          <w:pPr>
            <w:pStyle w:val="TOC1"/>
            <w:tabs>
              <w:tab w:val="clear" w:pos="1584"/>
            </w:tabs>
            <w:rPr>
              <w:rFonts w:asciiTheme="minorHAnsi" w:eastAsiaTheme="minorEastAsia" w:hAnsiTheme="minorHAnsi" w:cstheme="minorBidi"/>
              <w:color w:val="auto"/>
              <w:kern w:val="2"/>
              <w:sz w:val="24"/>
              <w:szCs w:val="24"/>
              <w14:ligatures w14:val="standardContextual"/>
            </w:rPr>
          </w:pPr>
          <w:hyperlink w:anchor="_Toc192240886" w:history="1">
            <w:r w:rsidRPr="006B0336">
              <w:rPr>
                <w:rStyle w:val="Hyperlink"/>
              </w:rPr>
              <w:t>3.</w:t>
            </w:r>
            <w:r>
              <w:rPr>
                <w:rFonts w:asciiTheme="minorHAnsi" w:eastAsiaTheme="minorEastAsia" w:hAnsiTheme="minorHAnsi" w:cstheme="minorBidi"/>
                <w:color w:val="auto"/>
                <w:kern w:val="2"/>
                <w:sz w:val="24"/>
                <w:szCs w:val="24"/>
                <w14:ligatures w14:val="standardContextual"/>
              </w:rPr>
              <w:tab/>
            </w:r>
            <w:r w:rsidRPr="006B0336">
              <w:rPr>
                <w:rStyle w:val="Hyperlink"/>
              </w:rPr>
              <w:t>Methods</w:t>
            </w:r>
            <w:r>
              <w:rPr>
                <w:webHidden/>
              </w:rPr>
              <w:tab/>
            </w:r>
            <w:r>
              <w:rPr>
                <w:webHidden/>
              </w:rPr>
              <w:fldChar w:fldCharType="begin"/>
            </w:r>
            <w:r>
              <w:rPr>
                <w:webHidden/>
              </w:rPr>
              <w:instrText xml:space="preserve"> PAGEREF _Toc192240886 \h </w:instrText>
            </w:r>
            <w:r>
              <w:rPr>
                <w:webHidden/>
              </w:rPr>
            </w:r>
            <w:r>
              <w:rPr>
                <w:webHidden/>
              </w:rPr>
              <w:fldChar w:fldCharType="separate"/>
            </w:r>
            <w:r>
              <w:rPr>
                <w:webHidden/>
              </w:rPr>
              <w:t>11</w:t>
            </w:r>
            <w:r>
              <w:rPr>
                <w:webHidden/>
              </w:rPr>
              <w:fldChar w:fldCharType="end"/>
            </w:r>
          </w:hyperlink>
        </w:p>
        <w:p w14:paraId="274FA0E3" w14:textId="497CF84A" w:rsidR="00586954" w:rsidRDefault="00586954">
          <w:pPr>
            <w:pStyle w:val="TOC2"/>
            <w:rPr>
              <w:rFonts w:asciiTheme="minorHAnsi" w:eastAsiaTheme="minorEastAsia" w:hAnsiTheme="minorHAnsi" w:cstheme="minorBidi"/>
              <w:color w:val="auto"/>
              <w:kern w:val="2"/>
              <w:sz w:val="24"/>
              <w:szCs w:val="24"/>
              <w14:ligatures w14:val="standardContextual"/>
            </w:rPr>
          </w:pPr>
          <w:hyperlink w:anchor="_Toc192240887" w:history="1">
            <w:r w:rsidRPr="006B0336">
              <w:rPr>
                <w:rStyle w:val="Hyperlink"/>
              </w:rPr>
              <w:t>3.1</w:t>
            </w:r>
            <w:r>
              <w:rPr>
                <w:rFonts w:asciiTheme="minorHAnsi" w:eastAsiaTheme="minorEastAsia" w:hAnsiTheme="minorHAnsi" w:cstheme="minorBidi"/>
                <w:color w:val="auto"/>
                <w:kern w:val="2"/>
                <w:sz w:val="24"/>
                <w:szCs w:val="24"/>
                <w14:ligatures w14:val="standardContextual"/>
              </w:rPr>
              <w:tab/>
            </w:r>
            <w:r w:rsidRPr="006B0336">
              <w:rPr>
                <w:rStyle w:val="Hyperlink"/>
              </w:rPr>
              <w:t>Training Assessment Surveys</w:t>
            </w:r>
            <w:r>
              <w:rPr>
                <w:webHidden/>
              </w:rPr>
              <w:tab/>
            </w:r>
            <w:r>
              <w:rPr>
                <w:webHidden/>
              </w:rPr>
              <w:fldChar w:fldCharType="begin"/>
            </w:r>
            <w:r>
              <w:rPr>
                <w:webHidden/>
              </w:rPr>
              <w:instrText xml:space="preserve"> PAGEREF _Toc192240887 \h </w:instrText>
            </w:r>
            <w:r>
              <w:rPr>
                <w:webHidden/>
              </w:rPr>
            </w:r>
            <w:r>
              <w:rPr>
                <w:webHidden/>
              </w:rPr>
              <w:fldChar w:fldCharType="separate"/>
            </w:r>
            <w:r>
              <w:rPr>
                <w:webHidden/>
              </w:rPr>
              <w:t>11</w:t>
            </w:r>
            <w:r>
              <w:rPr>
                <w:webHidden/>
              </w:rPr>
              <w:fldChar w:fldCharType="end"/>
            </w:r>
          </w:hyperlink>
        </w:p>
        <w:p w14:paraId="34DBE6ED" w14:textId="02AF00FC" w:rsidR="00586954" w:rsidRDefault="00586954">
          <w:pPr>
            <w:pStyle w:val="TOC2"/>
            <w:rPr>
              <w:rFonts w:asciiTheme="minorHAnsi" w:eastAsiaTheme="minorEastAsia" w:hAnsiTheme="minorHAnsi" w:cstheme="minorBidi"/>
              <w:color w:val="auto"/>
              <w:kern w:val="2"/>
              <w:sz w:val="24"/>
              <w:szCs w:val="24"/>
              <w14:ligatures w14:val="standardContextual"/>
            </w:rPr>
          </w:pPr>
          <w:hyperlink w:anchor="_Toc192240888" w:history="1">
            <w:r w:rsidRPr="006B0336">
              <w:rPr>
                <w:rStyle w:val="Hyperlink"/>
              </w:rPr>
              <w:t>3.2</w:t>
            </w:r>
            <w:r>
              <w:rPr>
                <w:rFonts w:asciiTheme="minorHAnsi" w:eastAsiaTheme="minorEastAsia" w:hAnsiTheme="minorHAnsi" w:cstheme="minorBidi"/>
                <w:color w:val="auto"/>
                <w:kern w:val="2"/>
                <w:sz w:val="24"/>
                <w:szCs w:val="24"/>
                <w14:ligatures w14:val="standardContextual"/>
              </w:rPr>
              <w:tab/>
            </w:r>
            <w:r w:rsidRPr="006B0336">
              <w:rPr>
                <w:rStyle w:val="Hyperlink"/>
              </w:rPr>
              <w:t>Market Actor Surveys</w:t>
            </w:r>
            <w:r>
              <w:rPr>
                <w:webHidden/>
              </w:rPr>
              <w:tab/>
            </w:r>
            <w:r>
              <w:rPr>
                <w:webHidden/>
              </w:rPr>
              <w:fldChar w:fldCharType="begin"/>
            </w:r>
            <w:r>
              <w:rPr>
                <w:webHidden/>
              </w:rPr>
              <w:instrText xml:space="preserve"> PAGEREF _Toc192240888 \h </w:instrText>
            </w:r>
            <w:r>
              <w:rPr>
                <w:webHidden/>
              </w:rPr>
            </w:r>
            <w:r>
              <w:rPr>
                <w:webHidden/>
              </w:rPr>
              <w:fldChar w:fldCharType="separate"/>
            </w:r>
            <w:r>
              <w:rPr>
                <w:webHidden/>
              </w:rPr>
              <w:t>12</w:t>
            </w:r>
            <w:r>
              <w:rPr>
                <w:webHidden/>
              </w:rPr>
              <w:fldChar w:fldCharType="end"/>
            </w:r>
          </w:hyperlink>
        </w:p>
        <w:p w14:paraId="7336F05B" w14:textId="2AD415D8" w:rsidR="00586954" w:rsidRDefault="00586954">
          <w:pPr>
            <w:pStyle w:val="TOC2"/>
            <w:rPr>
              <w:rFonts w:asciiTheme="minorHAnsi" w:eastAsiaTheme="minorEastAsia" w:hAnsiTheme="minorHAnsi" w:cstheme="minorBidi"/>
              <w:color w:val="auto"/>
              <w:kern w:val="2"/>
              <w:sz w:val="24"/>
              <w:szCs w:val="24"/>
              <w14:ligatures w14:val="standardContextual"/>
            </w:rPr>
          </w:pPr>
          <w:hyperlink w:anchor="_Toc192240889" w:history="1">
            <w:r w:rsidRPr="006B0336">
              <w:rPr>
                <w:rStyle w:val="Hyperlink"/>
              </w:rPr>
              <w:t>3.3</w:t>
            </w:r>
            <w:r>
              <w:rPr>
                <w:rFonts w:asciiTheme="minorHAnsi" w:eastAsiaTheme="minorEastAsia" w:hAnsiTheme="minorHAnsi" w:cstheme="minorBidi"/>
                <w:color w:val="auto"/>
                <w:kern w:val="2"/>
                <w:sz w:val="24"/>
                <w:szCs w:val="24"/>
                <w14:ligatures w14:val="standardContextual"/>
              </w:rPr>
              <w:tab/>
            </w:r>
            <w:r w:rsidRPr="006B0336">
              <w:rPr>
                <w:rStyle w:val="Hyperlink"/>
              </w:rPr>
              <w:t>Market Analysis</w:t>
            </w:r>
            <w:r>
              <w:rPr>
                <w:webHidden/>
              </w:rPr>
              <w:tab/>
            </w:r>
            <w:r>
              <w:rPr>
                <w:webHidden/>
              </w:rPr>
              <w:fldChar w:fldCharType="begin"/>
            </w:r>
            <w:r>
              <w:rPr>
                <w:webHidden/>
              </w:rPr>
              <w:instrText xml:space="preserve"> PAGEREF _Toc192240889 \h </w:instrText>
            </w:r>
            <w:r>
              <w:rPr>
                <w:webHidden/>
              </w:rPr>
            </w:r>
            <w:r>
              <w:rPr>
                <w:webHidden/>
              </w:rPr>
              <w:fldChar w:fldCharType="separate"/>
            </w:r>
            <w:r>
              <w:rPr>
                <w:webHidden/>
              </w:rPr>
              <w:t>13</w:t>
            </w:r>
            <w:r>
              <w:rPr>
                <w:webHidden/>
              </w:rPr>
              <w:fldChar w:fldCharType="end"/>
            </w:r>
          </w:hyperlink>
        </w:p>
        <w:p w14:paraId="1DAFC03B" w14:textId="27B15E56" w:rsidR="00586954" w:rsidRDefault="00586954">
          <w:pPr>
            <w:pStyle w:val="TOC2"/>
            <w:rPr>
              <w:rFonts w:asciiTheme="minorHAnsi" w:eastAsiaTheme="minorEastAsia" w:hAnsiTheme="minorHAnsi" w:cstheme="minorBidi"/>
              <w:color w:val="auto"/>
              <w:kern w:val="2"/>
              <w:sz w:val="24"/>
              <w:szCs w:val="24"/>
              <w14:ligatures w14:val="standardContextual"/>
            </w:rPr>
          </w:pPr>
          <w:hyperlink w:anchor="_Toc192240890" w:history="1">
            <w:r w:rsidRPr="006B0336">
              <w:rPr>
                <w:rStyle w:val="Hyperlink"/>
              </w:rPr>
              <w:t>3.4</w:t>
            </w:r>
            <w:r>
              <w:rPr>
                <w:rFonts w:asciiTheme="minorHAnsi" w:eastAsiaTheme="minorEastAsia" w:hAnsiTheme="minorHAnsi" w:cstheme="minorBidi"/>
                <w:color w:val="auto"/>
                <w:kern w:val="2"/>
                <w:sz w:val="24"/>
                <w:szCs w:val="24"/>
                <w14:ligatures w14:val="standardContextual"/>
              </w:rPr>
              <w:tab/>
            </w:r>
            <w:r w:rsidRPr="006B0336">
              <w:rPr>
                <w:rStyle w:val="Hyperlink"/>
              </w:rPr>
              <w:t>Market Transformation Savings</w:t>
            </w:r>
            <w:r>
              <w:rPr>
                <w:webHidden/>
              </w:rPr>
              <w:tab/>
            </w:r>
            <w:r>
              <w:rPr>
                <w:webHidden/>
              </w:rPr>
              <w:fldChar w:fldCharType="begin"/>
            </w:r>
            <w:r>
              <w:rPr>
                <w:webHidden/>
              </w:rPr>
              <w:instrText xml:space="preserve"> PAGEREF _Toc192240890 \h </w:instrText>
            </w:r>
            <w:r>
              <w:rPr>
                <w:webHidden/>
              </w:rPr>
            </w:r>
            <w:r>
              <w:rPr>
                <w:webHidden/>
              </w:rPr>
              <w:fldChar w:fldCharType="separate"/>
            </w:r>
            <w:r>
              <w:rPr>
                <w:webHidden/>
              </w:rPr>
              <w:t>14</w:t>
            </w:r>
            <w:r>
              <w:rPr>
                <w:webHidden/>
              </w:rPr>
              <w:fldChar w:fldCharType="end"/>
            </w:r>
          </w:hyperlink>
        </w:p>
        <w:p w14:paraId="7A6E63EF" w14:textId="3DE16181" w:rsidR="00586954" w:rsidRDefault="00586954">
          <w:pPr>
            <w:pStyle w:val="TOC2"/>
            <w:rPr>
              <w:rFonts w:asciiTheme="minorHAnsi" w:eastAsiaTheme="minorEastAsia" w:hAnsiTheme="minorHAnsi" w:cstheme="minorBidi"/>
              <w:color w:val="auto"/>
              <w:kern w:val="2"/>
              <w:sz w:val="24"/>
              <w:szCs w:val="24"/>
              <w14:ligatures w14:val="standardContextual"/>
            </w:rPr>
          </w:pPr>
          <w:hyperlink w:anchor="_Toc192240891" w:history="1">
            <w:r w:rsidRPr="006B0336">
              <w:rPr>
                <w:rStyle w:val="Hyperlink"/>
              </w:rPr>
              <w:t>3.5</w:t>
            </w:r>
            <w:r>
              <w:rPr>
                <w:rFonts w:asciiTheme="minorHAnsi" w:eastAsiaTheme="minorEastAsia" w:hAnsiTheme="minorHAnsi" w:cstheme="minorBidi"/>
                <w:color w:val="auto"/>
                <w:kern w:val="2"/>
                <w:sz w:val="24"/>
                <w:szCs w:val="24"/>
                <w14:ligatures w14:val="standardContextual"/>
              </w:rPr>
              <w:tab/>
            </w:r>
            <w:r w:rsidRPr="006B0336">
              <w:rPr>
                <w:rStyle w:val="Hyperlink"/>
              </w:rPr>
              <w:t>Sources and Mitigation of Error</w:t>
            </w:r>
            <w:r>
              <w:rPr>
                <w:webHidden/>
              </w:rPr>
              <w:tab/>
            </w:r>
            <w:r>
              <w:rPr>
                <w:webHidden/>
              </w:rPr>
              <w:fldChar w:fldCharType="begin"/>
            </w:r>
            <w:r>
              <w:rPr>
                <w:webHidden/>
              </w:rPr>
              <w:instrText xml:space="preserve"> PAGEREF _Toc192240891 \h </w:instrText>
            </w:r>
            <w:r>
              <w:rPr>
                <w:webHidden/>
              </w:rPr>
            </w:r>
            <w:r>
              <w:rPr>
                <w:webHidden/>
              </w:rPr>
              <w:fldChar w:fldCharType="separate"/>
            </w:r>
            <w:r>
              <w:rPr>
                <w:webHidden/>
              </w:rPr>
              <w:t>15</w:t>
            </w:r>
            <w:r>
              <w:rPr>
                <w:webHidden/>
              </w:rPr>
              <w:fldChar w:fldCharType="end"/>
            </w:r>
          </w:hyperlink>
        </w:p>
        <w:p w14:paraId="77FCB31E" w14:textId="55CE0CDB" w:rsidR="00586954" w:rsidRDefault="00586954">
          <w:pPr>
            <w:pStyle w:val="TOC1"/>
            <w:rPr>
              <w:rFonts w:asciiTheme="minorHAnsi" w:eastAsiaTheme="minorEastAsia" w:hAnsiTheme="minorHAnsi" w:cstheme="minorBidi"/>
              <w:color w:val="auto"/>
              <w:kern w:val="2"/>
              <w:sz w:val="24"/>
              <w:szCs w:val="24"/>
              <w14:ligatures w14:val="standardContextual"/>
            </w:rPr>
          </w:pPr>
          <w:hyperlink w:anchor="_Toc192240892" w:history="1">
            <w:r w:rsidRPr="006B0336">
              <w:rPr>
                <w:rStyle w:val="Hyperlink"/>
              </w:rPr>
              <w:t>4.</w:t>
            </w:r>
            <w:r>
              <w:rPr>
                <w:rFonts w:asciiTheme="minorHAnsi" w:eastAsiaTheme="minorEastAsia" w:hAnsiTheme="minorHAnsi" w:cstheme="minorBidi"/>
                <w:color w:val="auto"/>
                <w:kern w:val="2"/>
                <w:sz w:val="24"/>
                <w:szCs w:val="24"/>
                <w14:ligatures w14:val="standardContextual"/>
              </w:rPr>
              <w:tab/>
            </w:r>
            <w:r w:rsidRPr="006B0336">
              <w:rPr>
                <w:rStyle w:val="Hyperlink"/>
              </w:rPr>
              <w:t>Detailed Findings</w:t>
            </w:r>
            <w:r>
              <w:rPr>
                <w:webHidden/>
              </w:rPr>
              <w:tab/>
            </w:r>
            <w:r>
              <w:rPr>
                <w:webHidden/>
              </w:rPr>
              <w:fldChar w:fldCharType="begin"/>
            </w:r>
            <w:r>
              <w:rPr>
                <w:webHidden/>
              </w:rPr>
              <w:instrText xml:space="preserve"> PAGEREF _Toc192240892 \h </w:instrText>
            </w:r>
            <w:r>
              <w:rPr>
                <w:webHidden/>
              </w:rPr>
            </w:r>
            <w:r>
              <w:rPr>
                <w:webHidden/>
              </w:rPr>
              <w:fldChar w:fldCharType="separate"/>
            </w:r>
            <w:r>
              <w:rPr>
                <w:webHidden/>
              </w:rPr>
              <w:t>16</w:t>
            </w:r>
            <w:r>
              <w:rPr>
                <w:webHidden/>
              </w:rPr>
              <w:fldChar w:fldCharType="end"/>
            </w:r>
          </w:hyperlink>
        </w:p>
        <w:p w14:paraId="34708A4C" w14:textId="51A78F32" w:rsidR="00586954" w:rsidRDefault="00586954">
          <w:pPr>
            <w:pStyle w:val="TOC2"/>
            <w:rPr>
              <w:rFonts w:asciiTheme="minorHAnsi" w:eastAsiaTheme="minorEastAsia" w:hAnsiTheme="minorHAnsi" w:cstheme="minorBidi"/>
              <w:color w:val="auto"/>
              <w:kern w:val="2"/>
              <w:sz w:val="24"/>
              <w:szCs w:val="24"/>
              <w14:ligatures w14:val="standardContextual"/>
            </w:rPr>
          </w:pPr>
          <w:hyperlink w:anchor="_Toc192240893" w:history="1">
            <w:r w:rsidRPr="006B0336">
              <w:rPr>
                <w:rStyle w:val="Hyperlink"/>
              </w:rPr>
              <w:t>4.1</w:t>
            </w:r>
            <w:r>
              <w:rPr>
                <w:rFonts w:asciiTheme="minorHAnsi" w:eastAsiaTheme="minorEastAsia" w:hAnsiTheme="minorHAnsi" w:cstheme="minorBidi"/>
                <w:color w:val="auto"/>
                <w:kern w:val="2"/>
                <w:sz w:val="24"/>
                <w:szCs w:val="24"/>
                <w14:ligatures w14:val="standardContextual"/>
              </w:rPr>
              <w:tab/>
            </w:r>
            <w:r w:rsidRPr="006B0336">
              <w:rPr>
                <w:rStyle w:val="Hyperlink"/>
              </w:rPr>
              <w:t>Training Assessments</w:t>
            </w:r>
            <w:r>
              <w:rPr>
                <w:webHidden/>
              </w:rPr>
              <w:tab/>
            </w:r>
            <w:r>
              <w:rPr>
                <w:webHidden/>
              </w:rPr>
              <w:fldChar w:fldCharType="begin"/>
            </w:r>
            <w:r>
              <w:rPr>
                <w:webHidden/>
              </w:rPr>
              <w:instrText xml:space="preserve"> PAGEREF _Toc192240893 \h </w:instrText>
            </w:r>
            <w:r>
              <w:rPr>
                <w:webHidden/>
              </w:rPr>
            </w:r>
            <w:r>
              <w:rPr>
                <w:webHidden/>
              </w:rPr>
              <w:fldChar w:fldCharType="separate"/>
            </w:r>
            <w:r>
              <w:rPr>
                <w:webHidden/>
              </w:rPr>
              <w:t>16</w:t>
            </w:r>
            <w:r>
              <w:rPr>
                <w:webHidden/>
              </w:rPr>
              <w:fldChar w:fldCharType="end"/>
            </w:r>
          </w:hyperlink>
        </w:p>
        <w:p w14:paraId="5C765DF3" w14:textId="77818AC7" w:rsidR="00586954" w:rsidRDefault="00586954">
          <w:pPr>
            <w:pStyle w:val="TOC2"/>
            <w:rPr>
              <w:rFonts w:asciiTheme="minorHAnsi" w:eastAsiaTheme="minorEastAsia" w:hAnsiTheme="minorHAnsi" w:cstheme="minorBidi"/>
              <w:color w:val="auto"/>
              <w:kern w:val="2"/>
              <w:sz w:val="24"/>
              <w:szCs w:val="24"/>
              <w14:ligatures w14:val="standardContextual"/>
            </w:rPr>
          </w:pPr>
          <w:hyperlink w:anchor="_Toc192240894" w:history="1">
            <w:r w:rsidRPr="006B0336">
              <w:rPr>
                <w:rStyle w:val="Hyperlink"/>
              </w:rPr>
              <w:t>4.2</w:t>
            </w:r>
            <w:r>
              <w:rPr>
                <w:rFonts w:asciiTheme="minorHAnsi" w:eastAsiaTheme="minorEastAsia" w:hAnsiTheme="minorHAnsi" w:cstheme="minorBidi"/>
                <w:color w:val="auto"/>
                <w:kern w:val="2"/>
                <w:sz w:val="24"/>
                <w:szCs w:val="24"/>
                <w14:ligatures w14:val="standardContextual"/>
              </w:rPr>
              <w:tab/>
            </w:r>
            <w:r w:rsidRPr="006B0336">
              <w:rPr>
                <w:rStyle w:val="Hyperlink"/>
              </w:rPr>
              <w:t>Market Actor Research</w:t>
            </w:r>
            <w:r>
              <w:rPr>
                <w:webHidden/>
              </w:rPr>
              <w:tab/>
            </w:r>
            <w:r>
              <w:rPr>
                <w:webHidden/>
              </w:rPr>
              <w:fldChar w:fldCharType="begin"/>
            </w:r>
            <w:r>
              <w:rPr>
                <w:webHidden/>
              </w:rPr>
              <w:instrText xml:space="preserve"> PAGEREF _Toc192240894 \h </w:instrText>
            </w:r>
            <w:r>
              <w:rPr>
                <w:webHidden/>
              </w:rPr>
            </w:r>
            <w:r>
              <w:rPr>
                <w:webHidden/>
              </w:rPr>
              <w:fldChar w:fldCharType="separate"/>
            </w:r>
            <w:r>
              <w:rPr>
                <w:webHidden/>
              </w:rPr>
              <w:t>18</w:t>
            </w:r>
            <w:r>
              <w:rPr>
                <w:webHidden/>
              </w:rPr>
              <w:fldChar w:fldCharType="end"/>
            </w:r>
          </w:hyperlink>
        </w:p>
        <w:p w14:paraId="43FF1309" w14:textId="58670DEB" w:rsidR="00586954" w:rsidRDefault="00586954">
          <w:pPr>
            <w:pStyle w:val="TOC2"/>
            <w:rPr>
              <w:rFonts w:asciiTheme="minorHAnsi" w:eastAsiaTheme="minorEastAsia" w:hAnsiTheme="minorHAnsi" w:cstheme="minorBidi"/>
              <w:color w:val="auto"/>
              <w:kern w:val="2"/>
              <w:sz w:val="24"/>
              <w:szCs w:val="24"/>
              <w14:ligatures w14:val="standardContextual"/>
            </w:rPr>
          </w:pPr>
          <w:hyperlink w:anchor="_Toc192240895" w:history="1">
            <w:r w:rsidRPr="006B0336">
              <w:rPr>
                <w:rStyle w:val="Hyperlink"/>
              </w:rPr>
              <w:t>4.3</w:t>
            </w:r>
            <w:r>
              <w:rPr>
                <w:rFonts w:asciiTheme="minorHAnsi" w:eastAsiaTheme="minorEastAsia" w:hAnsiTheme="minorHAnsi" w:cstheme="minorBidi"/>
                <w:color w:val="auto"/>
                <w:kern w:val="2"/>
                <w:sz w:val="24"/>
                <w:szCs w:val="24"/>
                <w14:ligatures w14:val="standardContextual"/>
              </w:rPr>
              <w:tab/>
            </w:r>
            <w:r w:rsidRPr="006B0336">
              <w:rPr>
                <w:rStyle w:val="Hyperlink"/>
              </w:rPr>
              <w:t>Market Analysis</w:t>
            </w:r>
            <w:r>
              <w:rPr>
                <w:webHidden/>
              </w:rPr>
              <w:tab/>
            </w:r>
            <w:r>
              <w:rPr>
                <w:webHidden/>
              </w:rPr>
              <w:fldChar w:fldCharType="begin"/>
            </w:r>
            <w:r>
              <w:rPr>
                <w:webHidden/>
              </w:rPr>
              <w:instrText xml:space="preserve"> PAGEREF _Toc192240895 \h </w:instrText>
            </w:r>
            <w:r>
              <w:rPr>
                <w:webHidden/>
              </w:rPr>
            </w:r>
            <w:r>
              <w:rPr>
                <w:webHidden/>
              </w:rPr>
              <w:fldChar w:fldCharType="separate"/>
            </w:r>
            <w:r>
              <w:rPr>
                <w:webHidden/>
              </w:rPr>
              <w:t>23</w:t>
            </w:r>
            <w:r>
              <w:rPr>
                <w:webHidden/>
              </w:rPr>
              <w:fldChar w:fldCharType="end"/>
            </w:r>
          </w:hyperlink>
        </w:p>
        <w:p w14:paraId="2B8A1F5B" w14:textId="7BA42A96" w:rsidR="00586954" w:rsidRDefault="00586954">
          <w:pPr>
            <w:pStyle w:val="TOC2"/>
            <w:rPr>
              <w:rFonts w:asciiTheme="minorHAnsi" w:eastAsiaTheme="minorEastAsia" w:hAnsiTheme="minorHAnsi" w:cstheme="minorBidi"/>
              <w:color w:val="auto"/>
              <w:kern w:val="2"/>
              <w:sz w:val="24"/>
              <w:szCs w:val="24"/>
              <w14:ligatures w14:val="standardContextual"/>
            </w:rPr>
          </w:pPr>
          <w:hyperlink w:anchor="_Toc192240896" w:history="1">
            <w:r w:rsidRPr="006B0336">
              <w:rPr>
                <w:rStyle w:val="Hyperlink"/>
              </w:rPr>
              <w:t>4.4</w:t>
            </w:r>
            <w:r>
              <w:rPr>
                <w:rFonts w:asciiTheme="minorHAnsi" w:eastAsiaTheme="minorEastAsia" w:hAnsiTheme="minorHAnsi" w:cstheme="minorBidi"/>
                <w:color w:val="auto"/>
                <w:kern w:val="2"/>
                <w:sz w:val="24"/>
                <w:szCs w:val="24"/>
                <w14:ligatures w14:val="standardContextual"/>
              </w:rPr>
              <w:tab/>
            </w:r>
            <w:r w:rsidRPr="006B0336">
              <w:rPr>
                <w:rStyle w:val="Hyperlink"/>
              </w:rPr>
              <w:t>Market Transformation Savings</w:t>
            </w:r>
            <w:r>
              <w:rPr>
                <w:webHidden/>
              </w:rPr>
              <w:tab/>
            </w:r>
            <w:r>
              <w:rPr>
                <w:webHidden/>
              </w:rPr>
              <w:fldChar w:fldCharType="begin"/>
            </w:r>
            <w:r>
              <w:rPr>
                <w:webHidden/>
              </w:rPr>
              <w:instrText xml:space="preserve"> PAGEREF _Toc192240896 \h </w:instrText>
            </w:r>
            <w:r>
              <w:rPr>
                <w:webHidden/>
              </w:rPr>
            </w:r>
            <w:r>
              <w:rPr>
                <w:webHidden/>
              </w:rPr>
              <w:fldChar w:fldCharType="separate"/>
            </w:r>
            <w:r>
              <w:rPr>
                <w:webHidden/>
              </w:rPr>
              <w:t>30</w:t>
            </w:r>
            <w:r>
              <w:rPr>
                <w:webHidden/>
              </w:rPr>
              <w:fldChar w:fldCharType="end"/>
            </w:r>
          </w:hyperlink>
        </w:p>
        <w:p w14:paraId="6CE1ACCA" w14:textId="2A2A2225" w:rsidR="00586954" w:rsidRDefault="00586954">
          <w:pPr>
            <w:pStyle w:val="TOC1"/>
            <w:rPr>
              <w:rFonts w:asciiTheme="minorHAnsi" w:eastAsiaTheme="minorEastAsia" w:hAnsiTheme="minorHAnsi" w:cstheme="minorBidi"/>
              <w:color w:val="auto"/>
              <w:kern w:val="2"/>
              <w:sz w:val="24"/>
              <w:szCs w:val="24"/>
              <w14:ligatures w14:val="standardContextual"/>
            </w:rPr>
          </w:pPr>
          <w:hyperlink w:anchor="_Toc192240897" w:history="1">
            <w:r w:rsidRPr="006B0336">
              <w:rPr>
                <w:rStyle w:val="Hyperlink"/>
              </w:rPr>
              <w:t>Appendix A.</w:t>
            </w:r>
            <w:r>
              <w:rPr>
                <w:rFonts w:asciiTheme="minorHAnsi" w:eastAsiaTheme="minorEastAsia" w:hAnsiTheme="minorHAnsi" w:cstheme="minorBidi"/>
                <w:color w:val="auto"/>
                <w:kern w:val="2"/>
                <w:sz w:val="24"/>
                <w:szCs w:val="24"/>
                <w14:ligatures w14:val="standardContextual"/>
              </w:rPr>
              <w:tab/>
            </w:r>
            <w:r w:rsidRPr="006B0336">
              <w:rPr>
                <w:rStyle w:val="Hyperlink"/>
              </w:rPr>
              <w:t>Data Collection Instruments</w:t>
            </w:r>
            <w:r>
              <w:rPr>
                <w:webHidden/>
              </w:rPr>
              <w:tab/>
            </w:r>
            <w:r>
              <w:rPr>
                <w:webHidden/>
              </w:rPr>
              <w:fldChar w:fldCharType="begin"/>
            </w:r>
            <w:r>
              <w:rPr>
                <w:webHidden/>
              </w:rPr>
              <w:instrText xml:space="preserve"> PAGEREF _Toc192240897 \h </w:instrText>
            </w:r>
            <w:r>
              <w:rPr>
                <w:webHidden/>
              </w:rPr>
            </w:r>
            <w:r>
              <w:rPr>
                <w:webHidden/>
              </w:rPr>
              <w:fldChar w:fldCharType="separate"/>
            </w:r>
            <w:r>
              <w:rPr>
                <w:webHidden/>
              </w:rPr>
              <w:t>31</w:t>
            </w:r>
            <w:r>
              <w:rPr>
                <w:webHidden/>
              </w:rPr>
              <w:fldChar w:fldCharType="end"/>
            </w:r>
          </w:hyperlink>
        </w:p>
        <w:p w14:paraId="28AEAD35" w14:textId="4EB2A0EF" w:rsidR="00586954" w:rsidRDefault="00586954">
          <w:pPr>
            <w:pStyle w:val="TOC1"/>
            <w:rPr>
              <w:rFonts w:asciiTheme="minorHAnsi" w:eastAsiaTheme="minorEastAsia" w:hAnsiTheme="minorHAnsi" w:cstheme="minorBidi"/>
              <w:color w:val="auto"/>
              <w:kern w:val="2"/>
              <w:sz w:val="24"/>
              <w:szCs w:val="24"/>
              <w14:ligatures w14:val="standardContextual"/>
            </w:rPr>
          </w:pPr>
          <w:hyperlink w:anchor="_Toc192240898" w:history="1">
            <w:r w:rsidRPr="006B0336">
              <w:rPr>
                <w:rStyle w:val="Hyperlink"/>
              </w:rPr>
              <w:t>Appendix B.</w:t>
            </w:r>
            <w:r>
              <w:rPr>
                <w:rFonts w:asciiTheme="minorHAnsi" w:eastAsiaTheme="minorEastAsia" w:hAnsiTheme="minorHAnsi" w:cstheme="minorBidi"/>
                <w:color w:val="auto"/>
                <w:kern w:val="2"/>
                <w:sz w:val="24"/>
                <w:szCs w:val="24"/>
                <w14:ligatures w14:val="standardContextual"/>
              </w:rPr>
              <w:tab/>
            </w:r>
            <w:r w:rsidRPr="006B0336">
              <w:rPr>
                <w:rStyle w:val="Hyperlink"/>
              </w:rPr>
              <w:t>Glossary of Lighting Control Terminology</w:t>
            </w:r>
            <w:r>
              <w:rPr>
                <w:webHidden/>
              </w:rPr>
              <w:tab/>
            </w:r>
            <w:r>
              <w:rPr>
                <w:webHidden/>
              </w:rPr>
              <w:fldChar w:fldCharType="begin"/>
            </w:r>
            <w:r>
              <w:rPr>
                <w:webHidden/>
              </w:rPr>
              <w:instrText xml:space="preserve"> PAGEREF _Toc192240898 \h </w:instrText>
            </w:r>
            <w:r>
              <w:rPr>
                <w:webHidden/>
              </w:rPr>
            </w:r>
            <w:r>
              <w:rPr>
                <w:webHidden/>
              </w:rPr>
              <w:fldChar w:fldCharType="separate"/>
            </w:r>
            <w:r>
              <w:rPr>
                <w:webHidden/>
              </w:rPr>
              <w:t>32</w:t>
            </w:r>
            <w:r>
              <w:rPr>
                <w:webHidden/>
              </w:rPr>
              <w:fldChar w:fldCharType="end"/>
            </w:r>
          </w:hyperlink>
        </w:p>
        <w:p w14:paraId="715425A1" w14:textId="50378C6A" w:rsidR="001127AD" w:rsidRDefault="00586954">
          <w:pPr>
            <w:rPr>
              <w:b/>
              <w:bCs/>
              <w:noProof/>
            </w:rPr>
            <w:sectPr w:rsidR="001127AD" w:rsidSect="00B45EFD">
              <w:headerReference w:type="default" r:id="rId15"/>
              <w:footerReference w:type="default" r:id="rId16"/>
              <w:headerReference w:type="first" r:id="rId17"/>
              <w:type w:val="continuous"/>
              <w:pgSz w:w="12240" w:h="15840" w:code="1"/>
              <w:pgMar w:top="39" w:right="567" w:bottom="567" w:left="567" w:header="142" w:footer="340" w:gutter="0"/>
              <w:cols w:space="708"/>
              <w:titlePg/>
              <w:docGrid w:linePitch="360"/>
            </w:sectPr>
          </w:pPr>
          <w:r>
            <w:rPr>
              <w:noProof/>
            </w:rPr>
            <w:fldChar w:fldCharType="end"/>
          </w:r>
        </w:p>
        <w:p w14:paraId="5AD8120F" w14:textId="77777777" w:rsidR="001127AD" w:rsidRDefault="001127AD">
          <w:pPr>
            <w:rPr>
              <w:b/>
              <w:bCs/>
              <w:noProof/>
            </w:rPr>
          </w:pPr>
        </w:p>
        <w:p w14:paraId="471748B5" w14:textId="02DFDAF2" w:rsidR="001127AD" w:rsidRDefault="001127AD" w:rsidP="001127AD">
          <w:pPr>
            <w:pStyle w:val="TOCHeading"/>
          </w:pPr>
          <w:r>
            <w:rPr>
              <w:noProof/>
            </w:rPr>
            <w:t>Table of Tables &amp; Figures</w:t>
          </w:r>
        </w:p>
      </w:sdtContent>
    </w:sdt>
    <w:p w14:paraId="058A6F35" w14:textId="1797EF06" w:rsidR="00E74EB3" w:rsidRDefault="001127AD">
      <w:pPr>
        <w:pStyle w:val="TableofFigures"/>
        <w:rPr>
          <w:rFonts w:asciiTheme="minorHAnsi" w:eastAsiaTheme="minorEastAsia" w:hAnsiTheme="minorHAnsi" w:cstheme="minorBidi"/>
          <w:noProof/>
          <w:color w:val="auto"/>
          <w:kern w:val="2"/>
          <w:sz w:val="24"/>
          <w:szCs w:val="24"/>
          <w14:ligatures w14:val="standardContextual"/>
        </w:rPr>
      </w:pPr>
      <w:r>
        <w:fldChar w:fldCharType="begin"/>
      </w:r>
      <w:r>
        <w:instrText xml:space="preserve"> TOC \h \z \c "Table" </w:instrText>
      </w:r>
      <w:r>
        <w:fldChar w:fldCharType="separate"/>
      </w:r>
      <w:hyperlink w:anchor="_Toc192238278" w:history="1">
        <w:r w:rsidR="00E74EB3" w:rsidRPr="00D2556D">
          <w:rPr>
            <w:rStyle w:val="Hyperlink"/>
          </w:rPr>
          <w:t>Table 1. 2024 LLLC Pilot MPI Goal Achievement</w:t>
        </w:r>
        <w:r w:rsidR="00E74EB3">
          <w:rPr>
            <w:noProof/>
            <w:webHidden/>
          </w:rPr>
          <w:tab/>
        </w:r>
        <w:r w:rsidR="00E74EB3">
          <w:rPr>
            <w:noProof/>
            <w:webHidden/>
          </w:rPr>
          <w:fldChar w:fldCharType="begin"/>
        </w:r>
        <w:r w:rsidR="00E74EB3">
          <w:rPr>
            <w:noProof/>
            <w:webHidden/>
          </w:rPr>
          <w:instrText xml:space="preserve"> PAGEREF _Toc192238278 \h </w:instrText>
        </w:r>
        <w:r w:rsidR="00E74EB3">
          <w:rPr>
            <w:noProof/>
            <w:webHidden/>
          </w:rPr>
        </w:r>
        <w:r w:rsidR="00E74EB3">
          <w:rPr>
            <w:noProof/>
            <w:webHidden/>
          </w:rPr>
          <w:fldChar w:fldCharType="separate"/>
        </w:r>
        <w:r w:rsidR="00E74EB3">
          <w:rPr>
            <w:noProof/>
            <w:webHidden/>
          </w:rPr>
          <w:t>6</w:t>
        </w:r>
        <w:r w:rsidR="00E74EB3">
          <w:rPr>
            <w:noProof/>
            <w:webHidden/>
          </w:rPr>
          <w:fldChar w:fldCharType="end"/>
        </w:r>
      </w:hyperlink>
    </w:p>
    <w:p w14:paraId="2AD8EEBD" w14:textId="334C387B" w:rsidR="00E74EB3" w:rsidRDefault="00E74EB3">
      <w:pPr>
        <w:pStyle w:val="TableofFigures"/>
        <w:rPr>
          <w:rFonts w:asciiTheme="minorHAnsi" w:eastAsiaTheme="minorEastAsia" w:hAnsiTheme="minorHAnsi" w:cstheme="minorBidi"/>
          <w:noProof/>
          <w:color w:val="auto"/>
          <w:kern w:val="2"/>
          <w:sz w:val="24"/>
          <w:szCs w:val="24"/>
          <w14:ligatures w14:val="standardContextual"/>
        </w:rPr>
      </w:pPr>
      <w:hyperlink w:anchor="_Toc192238279" w:history="1">
        <w:r w:rsidRPr="00D2556D">
          <w:rPr>
            <w:rStyle w:val="Hyperlink"/>
          </w:rPr>
          <w:t>Table 2. LLLC Pilot MPI Summary</w:t>
        </w:r>
        <w:r>
          <w:rPr>
            <w:noProof/>
            <w:webHidden/>
          </w:rPr>
          <w:tab/>
        </w:r>
        <w:r>
          <w:rPr>
            <w:noProof/>
            <w:webHidden/>
          </w:rPr>
          <w:fldChar w:fldCharType="begin"/>
        </w:r>
        <w:r>
          <w:rPr>
            <w:noProof/>
            <w:webHidden/>
          </w:rPr>
          <w:instrText xml:space="preserve"> PAGEREF _Toc192238279 \h </w:instrText>
        </w:r>
        <w:r>
          <w:rPr>
            <w:noProof/>
            <w:webHidden/>
          </w:rPr>
        </w:r>
        <w:r>
          <w:rPr>
            <w:noProof/>
            <w:webHidden/>
          </w:rPr>
          <w:fldChar w:fldCharType="separate"/>
        </w:r>
        <w:r>
          <w:rPr>
            <w:noProof/>
            <w:webHidden/>
          </w:rPr>
          <w:t>8</w:t>
        </w:r>
        <w:r>
          <w:rPr>
            <w:noProof/>
            <w:webHidden/>
          </w:rPr>
          <w:fldChar w:fldCharType="end"/>
        </w:r>
      </w:hyperlink>
    </w:p>
    <w:p w14:paraId="5F4BA21F" w14:textId="3BE61B5E" w:rsidR="00E74EB3" w:rsidRDefault="00E74EB3">
      <w:pPr>
        <w:pStyle w:val="TableofFigures"/>
        <w:rPr>
          <w:rFonts w:asciiTheme="minorHAnsi" w:eastAsiaTheme="minorEastAsia" w:hAnsiTheme="minorHAnsi" w:cstheme="minorBidi"/>
          <w:noProof/>
          <w:color w:val="auto"/>
          <w:kern w:val="2"/>
          <w:sz w:val="24"/>
          <w:szCs w:val="24"/>
          <w14:ligatures w14:val="standardContextual"/>
        </w:rPr>
      </w:pPr>
      <w:hyperlink w:anchor="_Toc192238280" w:history="1">
        <w:r w:rsidRPr="00D2556D">
          <w:rPr>
            <w:rStyle w:val="Hyperlink"/>
          </w:rPr>
          <w:t>Table 3. LLLC Pilot MPIs Assessed in 2024 Evaluation</w:t>
        </w:r>
        <w:r>
          <w:rPr>
            <w:noProof/>
            <w:webHidden/>
          </w:rPr>
          <w:tab/>
        </w:r>
        <w:r>
          <w:rPr>
            <w:noProof/>
            <w:webHidden/>
          </w:rPr>
          <w:fldChar w:fldCharType="begin"/>
        </w:r>
        <w:r>
          <w:rPr>
            <w:noProof/>
            <w:webHidden/>
          </w:rPr>
          <w:instrText xml:space="preserve"> PAGEREF _Toc192238280 \h </w:instrText>
        </w:r>
        <w:r>
          <w:rPr>
            <w:noProof/>
            <w:webHidden/>
          </w:rPr>
        </w:r>
        <w:r>
          <w:rPr>
            <w:noProof/>
            <w:webHidden/>
          </w:rPr>
          <w:fldChar w:fldCharType="separate"/>
        </w:r>
        <w:r>
          <w:rPr>
            <w:noProof/>
            <w:webHidden/>
          </w:rPr>
          <w:t>10</w:t>
        </w:r>
        <w:r>
          <w:rPr>
            <w:noProof/>
            <w:webHidden/>
          </w:rPr>
          <w:fldChar w:fldCharType="end"/>
        </w:r>
      </w:hyperlink>
    </w:p>
    <w:p w14:paraId="73977AD1" w14:textId="3DE48BC2" w:rsidR="00E74EB3" w:rsidRDefault="00E74EB3">
      <w:pPr>
        <w:pStyle w:val="TableofFigures"/>
        <w:rPr>
          <w:rFonts w:asciiTheme="minorHAnsi" w:eastAsiaTheme="minorEastAsia" w:hAnsiTheme="minorHAnsi" w:cstheme="minorBidi"/>
          <w:noProof/>
          <w:color w:val="auto"/>
          <w:kern w:val="2"/>
          <w:sz w:val="24"/>
          <w:szCs w:val="24"/>
          <w14:ligatures w14:val="standardContextual"/>
        </w:rPr>
      </w:pPr>
      <w:hyperlink w:anchor="_Toc192238281" w:history="1">
        <w:r w:rsidRPr="00D2556D">
          <w:rPr>
            <w:rStyle w:val="Hyperlink"/>
          </w:rPr>
          <w:t>Table 4. Research Questions and Subsequent Research Activities</w:t>
        </w:r>
        <w:r>
          <w:rPr>
            <w:noProof/>
            <w:webHidden/>
          </w:rPr>
          <w:tab/>
        </w:r>
        <w:r>
          <w:rPr>
            <w:noProof/>
            <w:webHidden/>
          </w:rPr>
          <w:fldChar w:fldCharType="begin"/>
        </w:r>
        <w:r>
          <w:rPr>
            <w:noProof/>
            <w:webHidden/>
          </w:rPr>
          <w:instrText xml:space="preserve"> PAGEREF _Toc192238281 \h </w:instrText>
        </w:r>
        <w:r>
          <w:rPr>
            <w:noProof/>
            <w:webHidden/>
          </w:rPr>
        </w:r>
        <w:r>
          <w:rPr>
            <w:noProof/>
            <w:webHidden/>
          </w:rPr>
          <w:fldChar w:fldCharType="separate"/>
        </w:r>
        <w:r>
          <w:rPr>
            <w:noProof/>
            <w:webHidden/>
          </w:rPr>
          <w:t>11</w:t>
        </w:r>
        <w:r>
          <w:rPr>
            <w:noProof/>
            <w:webHidden/>
          </w:rPr>
          <w:fldChar w:fldCharType="end"/>
        </w:r>
      </w:hyperlink>
    </w:p>
    <w:p w14:paraId="154F91EC" w14:textId="63BF878F" w:rsidR="00E74EB3" w:rsidRDefault="00E74EB3">
      <w:pPr>
        <w:pStyle w:val="TableofFigures"/>
        <w:rPr>
          <w:rFonts w:asciiTheme="minorHAnsi" w:eastAsiaTheme="minorEastAsia" w:hAnsiTheme="minorHAnsi" w:cstheme="minorBidi"/>
          <w:noProof/>
          <w:color w:val="auto"/>
          <w:kern w:val="2"/>
          <w:sz w:val="24"/>
          <w:szCs w:val="24"/>
          <w14:ligatures w14:val="standardContextual"/>
        </w:rPr>
      </w:pPr>
      <w:hyperlink w:anchor="_Toc192238282" w:history="1">
        <w:r w:rsidRPr="00D2556D">
          <w:rPr>
            <w:rStyle w:val="Hyperlink"/>
          </w:rPr>
          <w:t>Table 5. Training Assessment Survey Fielding Summary</w:t>
        </w:r>
        <w:r>
          <w:rPr>
            <w:noProof/>
            <w:webHidden/>
          </w:rPr>
          <w:tab/>
        </w:r>
        <w:r>
          <w:rPr>
            <w:noProof/>
            <w:webHidden/>
          </w:rPr>
          <w:fldChar w:fldCharType="begin"/>
        </w:r>
        <w:r>
          <w:rPr>
            <w:noProof/>
            <w:webHidden/>
          </w:rPr>
          <w:instrText xml:space="preserve"> PAGEREF _Toc192238282 \h </w:instrText>
        </w:r>
        <w:r>
          <w:rPr>
            <w:noProof/>
            <w:webHidden/>
          </w:rPr>
        </w:r>
        <w:r>
          <w:rPr>
            <w:noProof/>
            <w:webHidden/>
          </w:rPr>
          <w:fldChar w:fldCharType="separate"/>
        </w:r>
        <w:r>
          <w:rPr>
            <w:noProof/>
            <w:webHidden/>
          </w:rPr>
          <w:t>12</w:t>
        </w:r>
        <w:r>
          <w:rPr>
            <w:noProof/>
            <w:webHidden/>
          </w:rPr>
          <w:fldChar w:fldCharType="end"/>
        </w:r>
      </w:hyperlink>
    </w:p>
    <w:p w14:paraId="289DD717" w14:textId="68E6B9E7" w:rsidR="00E74EB3" w:rsidRDefault="00E74EB3">
      <w:pPr>
        <w:pStyle w:val="TableofFigures"/>
        <w:rPr>
          <w:rFonts w:asciiTheme="minorHAnsi" w:eastAsiaTheme="minorEastAsia" w:hAnsiTheme="minorHAnsi" w:cstheme="minorBidi"/>
          <w:noProof/>
          <w:color w:val="auto"/>
          <w:kern w:val="2"/>
          <w:sz w:val="24"/>
          <w:szCs w:val="24"/>
          <w14:ligatures w14:val="standardContextual"/>
        </w:rPr>
      </w:pPr>
      <w:hyperlink w:anchor="_Toc192238283" w:history="1">
        <w:r w:rsidRPr="00D2556D">
          <w:rPr>
            <w:rStyle w:val="Hyperlink"/>
          </w:rPr>
          <w:t>Table 6. Customer Survey Fielding Summary</w:t>
        </w:r>
        <w:r>
          <w:rPr>
            <w:noProof/>
            <w:webHidden/>
          </w:rPr>
          <w:tab/>
        </w:r>
        <w:r>
          <w:rPr>
            <w:noProof/>
            <w:webHidden/>
          </w:rPr>
          <w:fldChar w:fldCharType="begin"/>
        </w:r>
        <w:r>
          <w:rPr>
            <w:noProof/>
            <w:webHidden/>
          </w:rPr>
          <w:instrText xml:space="preserve"> PAGEREF _Toc192238283 \h </w:instrText>
        </w:r>
        <w:r>
          <w:rPr>
            <w:noProof/>
            <w:webHidden/>
          </w:rPr>
        </w:r>
        <w:r>
          <w:rPr>
            <w:noProof/>
            <w:webHidden/>
          </w:rPr>
          <w:fldChar w:fldCharType="separate"/>
        </w:r>
        <w:r>
          <w:rPr>
            <w:noProof/>
            <w:webHidden/>
          </w:rPr>
          <w:t>12</w:t>
        </w:r>
        <w:r>
          <w:rPr>
            <w:noProof/>
            <w:webHidden/>
          </w:rPr>
          <w:fldChar w:fldCharType="end"/>
        </w:r>
      </w:hyperlink>
    </w:p>
    <w:p w14:paraId="4A51445A" w14:textId="5E29A195" w:rsidR="00E74EB3" w:rsidRDefault="00E74EB3">
      <w:pPr>
        <w:pStyle w:val="TableofFigures"/>
        <w:rPr>
          <w:rFonts w:asciiTheme="minorHAnsi" w:eastAsiaTheme="minorEastAsia" w:hAnsiTheme="minorHAnsi" w:cstheme="minorBidi"/>
          <w:noProof/>
          <w:color w:val="auto"/>
          <w:kern w:val="2"/>
          <w:sz w:val="24"/>
          <w:szCs w:val="24"/>
          <w14:ligatures w14:val="standardContextual"/>
        </w:rPr>
      </w:pPr>
      <w:hyperlink w:anchor="_Toc192238284" w:history="1">
        <w:r w:rsidRPr="00D2556D">
          <w:rPr>
            <w:rStyle w:val="Hyperlink"/>
          </w:rPr>
          <w:t>Table 7. Trade Ally Survey Fielding Summary</w:t>
        </w:r>
        <w:r>
          <w:rPr>
            <w:noProof/>
            <w:webHidden/>
          </w:rPr>
          <w:tab/>
        </w:r>
        <w:r>
          <w:rPr>
            <w:noProof/>
            <w:webHidden/>
          </w:rPr>
          <w:fldChar w:fldCharType="begin"/>
        </w:r>
        <w:r>
          <w:rPr>
            <w:noProof/>
            <w:webHidden/>
          </w:rPr>
          <w:instrText xml:space="preserve"> PAGEREF _Toc192238284 \h </w:instrText>
        </w:r>
        <w:r>
          <w:rPr>
            <w:noProof/>
            <w:webHidden/>
          </w:rPr>
        </w:r>
        <w:r>
          <w:rPr>
            <w:noProof/>
            <w:webHidden/>
          </w:rPr>
          <w:fldChar w:fldCharType="separate"/>
        </w:r>
        <w:r>
          <w:rPr>
            <w:noProof/>
            <w:webHidden/>
          </w:rPr>
          <w:t>13</w:t>
        </w:r>
        <w:r>
          <w:rPr>
            <w:noProof/>
            <w:webHidden/>
          </w:rPr>
          <w:fldChar w:fldCharType="end"/>
        </w:r>
      </w:hyperlink>
    </w:p>
    <w:p w14:paraId="2AB816F9" w14:textId="58421A9A" w:rsidR="00E74EB3" w:rsidRDefault="00E74EB3">
      <w:pPr>
        <w:pStyle w:val="TableofFigures"/>
        <w:rPr>
          <w:rFonts w:asciiTheme="minorHAnsi" w:eastAsiaTheme="minorEastAsia" w:hAnsiTheme="minorHAnsi" w:cstheme="minorBidi"/>
          <w:noProof/>
          <w:color w:val="auto"/>
          <w:kern w:val="2"/>
          <w:sz w:val="24"/>
          <w:szCs w:val="24"/>
          <w14:ligatures w14:val="standardContextual"/>
        </w:rPr>
      </w:pPr>
      <w:hyperlink w:anchor="_Toc192238285" w:history="1">
        <w:r w:rsidRPr="00D2556D">
          <w:rPr>
            <w:rStyle w:val="Hyperlink"/>
          </w:rPr>
          <w:t>Table 8. LLLC Market Shares Forecasted by Natural Market Baseline</w:t>
        </w:r>
        <w:r>
          <w:rPr>
            <w:noProof/>
            <w:webHidden/>
          </w:rPr>
          <w:tab/>
        </w:r>
        <w:r>
          <w:rPr>
            <w:noProof/>
            <w:webHidden/>
          </w:rPr>
          <w:fldChar w:fldCharType="begin"/>
        </w:r>
        <w:r>
          <w:rPr>
            <w:noProof/>
            <w:webHidden/>
          </w:rPr>
          <w:instrText xml:space="preserve"> PAGEREF _Toc192238285 \h </w:instrText>
        </w:r>
        <w:r>
          <w:rPr>
            <w:noProof/>
            <w:webHidden/>
          </w:rPr>
        </w:r>
        <w:r>
          <w:rPr>
            <w:noProof/>
            <w:webHidden/>
          </w:rPr>
          <w:fldChar w:fldCharType="separate"/>
        </w:r>
        <w:r>
          <w:rPr>
            <w:noProof/>
            <w:webHidden/>
          </w:rPr>
          <w:t>14</w:t>
        </w:r>
        <w:r>
          <w:rPr>
            <w:noProof/>
            <w:webHidden/>
          </w:rPr>
          <w:fldChar w:fldCharType="end"/>
        </w:r>
      </w:hyperlink>
    </w:p>
    <w:p w14:paraId="735625F8" w14:textId="041DAFFB" w:rsidR="00E74EB3" w:rsidRDefault="00E74EB3">
      <w:pPr>
        <w:pStyle w:val="TableofFigures"/>
        <w:rPr>
          <w:rFonts w:asciiTheme="minorHAnsi" w:eastAsiaTheme="minorEastAsia" w:hAnsiTheme="minorHAnsi" w:cstheme="minorBidi"/>
          <w:noProof/>
          <w:color w:val="auto"/>
          <w:kern w:val="2"/>
          <w:sz w:val="24"/>
          <w:szCs w:val="24"/>
          <w14:ligatures w14:val="standardContextual"/>
        </w:rPr>
      </w:pPr>
      <w:hyperlink w:anchor="_Toc192238286" w:history="1">
        <w:r w:rsidRPr="00D2556D">
          <w:rPr>
            <w:rStyle w:val="Hyperlink"/>
          </w:rPr>
          <w:t>Table 9. Per-Fixture Costs of Typical LLLC Systems</w:t>
        </w:r>
        <w:r>
          <w:rPr>
            <w:noProof/>
            <w:webHidden/>
          </w:rPr>
          <w:tab/>
        </w:r>
        <w:r>
          <w:rPr>
            <w:noProof/>
            <w:webHidden/>
          </w:rPr>
          <w:fldChar w:fldCharType="begin"/>
        </w:r>
        <w:r>
          <w:rPr>
            <w:noProof/>
            <w:webHidden/>
          </w:rPr>
          <w:instrText xml:space="preserve"> PAGEREF _Toc192238286 \h </w:instrText>
        </w:r>
        <w:r>
          <w:rPr>
            <w:noProof/>
            <w:webHidden/>
          </w:rPr>
        </w:r>
        <w:r>
          <w:rPr>
            <w:noProof/>
            <w:webHidden/>
          </w:rPr>
          <w:fldChar w:fldCharType="separate"/>
        </w:r>
        <w:r>
          <w:rPr>
            <w:noProof/>
            <w:webHidden/>
          </w:rPr>
          <w:t>24</w:t>
        </w:r>
        <w:r>
          <w:rPr>
            <w:noProof/>
            <w:webHidden/>
          </w:rPr>
          <w:fldChar w:fldCharType="end"/>
        </w:r>
      </w:hyperlink>
    </w:p>
    <w:p w14:paraId="4AFBA14A" w14:textId="1496DAEC" w:rsidR="00E74EB3" w:rsidRDefault="00E74EB3">
      <w:pPr>
        <w:pStyle w:val="TableofFigures"/>
        <w:rPr>
          <w:rFonts w:asciiTheme="minorHAnsi" w:eastAsiaTheme="minorEastAsia" w:hAnsiTheme="minorHAnsi" w:cstheme="minorBidi"/>
          <w:noProof/>
          <w:color w:val="auto"/>
          <w:kern w:val="2"/>
          <w:sz w:val="24"/>
          <w:szCs w:val="24"/>
          <w14:ligatures w14:val="standardContextual"/>
        </w:rPr>
      </w:pPr>
      <w:hyperlink w:anchor="_Toc192238287" w:history="1">
        <w:r w:rsidRPr="00D2556D">
          <w:rPr>
            <w:rStyle w:val="Hyperlink"/>
          </w:rPr>
          <w:t>Table 10. 2024 LLLC Pilot MT Savings Roll-Up</w:t>
        </w:r>
        <w:r>
          <w:rPr>
            <w:noProof/>
            <w:webHidden/>
          </w:rPr>
          <w:tab/>
        </w:r>
        <w:r>
          <w:rPr>
            <w:noProof/>
            <w:webHidden/>
          </w:rPr>
          <w:fldChar w:fldCharType="begin"/>
        </w:r>
        <w:r>
          <w:rPr>
            <w:noProof/>
            <w:webHidden/>
          </w:rPr>
          <w:instrText xml:space="preserve"> PAGEREF _Toc192238287 \h </w:instrText>
        </w:r>
        <w:r>
          <w:rPr>
            <w:noProof/>
            <w:webHidden/>
          </w:rPr>
        </w:r>
        <w:r>
          <w:rPr>
            <w:noProof/>
            <w:webHidden/>
          </w:rPr>
          <w:fldChar w:fldCharType="separate"/>
        </w:r>
        <w:r>
          <w:rPr>
            <w:noProof/>
            <w:webHidden/>
          </w:rPr>
          <w:t>30</w:t>
        </w:r>
        <w:r>
          <w:rPr>
            <w:noProof/>
            <w:webHidden/>
          </w:rPr>
          <w:fldChar w:fldCharType="end"/>
        </w:r>
      </w:hyperlink>
    </w:p>
    <w:p w14:paraId="0704B044" w14:textId="32677A03" w:rsidR="00BD573A" w:rsidRPr="00BD573A" w:rsidRDefault="001127AD" w:rsidP="00BD573A">
      <w:r>
        <w:fldChar w:fldCharType="end"/>
      </w:r>
    </w:p>
    <w:p w14:paraId="3DB4F786" w14:textId="714ED9BC" w:rsidR="00D0329D" w:rsidRDefault="001127AD">
      <w:pPr>
        <w:pStyle w:val="TableofFigures"/>
        <w:rPr>
          <w:rFonts w:asciiTheme="minorHAnsi" w:eastAsiaTheme="minorEastAsia" w:hAnsiTheme="minorHAnsi" w:cstheme="minorBidi"/>
          <w:noProof/>
          <w:color w:val="auto"/>
          <w:kern w:val="2"/>
          <w:sz w:val="24"/>
          <w:szCs w:val="24"/>
          <w14:ligatures w14:val="standardContextual"/>
        </w:rPr>
      </w:pPr>
      <w:r>
        <w:fldChar w:fldCharType="begin"/>
      </w:r>
      <w:r>
        <w:instrText xml:space="preserve"> TOC \h \z \c "Figure" </w:instrText>
      </w:r>
      <w:r>
        <w:fldChar w:fldCharType="separate"/>
      </w:r>
      <w:hyperlink w:anchor="_Toc192173114" w:history="1">
        <w:r w:rsidR="00D0329D" w:rsidRPr="00F74149">
          <w:rPr>
            <w:rStyle w:val="Hyperlink"/>
          </w:rPr>
          <w:t>Figure 1. LLLC Pilot Logic Model</w:t>
        </w:r>
        <w:r w:rsidR="00D0329D">
          <w:rPr>
            <w:noProof/>
            <w:webHidden/>
          </w:rPr>
          <w:tab/>
        </w:r>
        <w:r w:rsidR="00D0329D">
          <w:rPr>
            <w:noProof/>
            <w:webHidden/>
          </w:rPr>
          <w:fldChar w:fldCharType="begin"/>
        </w:r>
        <w:r w:rsidR="00D0329D">
          <w:rPr>
            <w:noProof/>
            <w:webHidden/>
          </w:rPr>
          <w:instrText xml:space="preserve"> PAGEREF _Toc192173114 \h </w:instrText>
        </w:r>
        <w:r w:rsidR="00D0329D">
          <w:rPr>
            <w:noProof/>
            <w:webHidden/>
          </w:rPr>
        </w:r>
        <w:r w:rsidR="00D0329D">
          <w:rPr>
            <w:noProof/>
            <w:webHidden/>
          </w:rPr>
          <w:fldChar w:fldCharType="separate"/>
        </w:r>
        <w:r w:rsidR="00D0329D">
          <w:rPr>
            <w:noProof/>
            <w:webHidden/>
          </w:rPr>
          <w:t>8</w:t>
        </w:r>
        <w:r w:rsidR="00D0329D">
          <w:rPr>
            <w:noProof/>
            <w:webHidden/>
          </w:rPr>
          <w:fldChar w:fldCharType="end"/>
        </w:r>
      </w:hyperlink>
    </w:p>
    <w:p w14:paraId="6288B7E7" w14:textId="386E37DD" w:rsidR="00D0329D" w:rsidRDefault="00D0329D">
      <w:pPr>
        <w:pStyle w:val="TableofFigures"/>
        <w:rPr>
          <w:rFonts w:asciiTheme="minorHAnsi" w:eastAsiaTheme="minorEastAsia" w:hAnsiTheme="minorHAnsi" w:cstheme="minorBidi"/>
          <w:noProof/>
          <w:color w:val="auto"/>
          <w:kern w:val="2"/>
          <w:sz w:val="24"/>
          <w:szCs w:val="24"/>
          <w14:ligatures w14:val="standardContextual"/>
        </w:rPr>
      </w:pPr>
      <w:hyperlink w:anchor="_Toc192173115" w:history="1">
        <w:r w:rsidRPr="00F74149">
          <w:rPr>
            <w:rStyle w:val="Hyperlink"/>
          </w:rPr>
          <w:t>Figure 2. Pre-Training Self-Reported LLLC and NLC Knowledge (n=50)</w:t>
        </w:r>
        <w:r>
          <w:rPr>
            <w:noProof/>
            <w:webHidden/>
          </w:rPr>
          <w:tab/>
        </w:r>
        <w:r>
          <w:rPr>
            <w:noProof/>
            <w:webHidden/>
          </w:rPr>
          <w:fldChar w:fldCharType="begin"/>
        </w:r>
        <w:r>
          <w:rPr>
            <w:noProof/>
            <w:webHidden/>
          </w:rPr>
          <w:instrText xml:space="preserve"> PAGEREF _Toc192173115 \h </w:instrText>
        </w:r>
        <w:r>
          <w:rPr>
            <w:noProof/>
            <w:webHidden/>
          </w:rPr>
        </w:r>
        <w:r>
          <w:rPr>
            <w:noProof/>
            <w:webHidden/>
          </w:rPr>
          <w:fldChar w:fldCharType="separate"/>
        </w:r>
        <w:r>
          <w:rPr>
            <w:noProof/>
            <w:webHidden/>
          </w:rPr>
          <w:t>16</w:t>
        </w:r>
        <w:r>
          <w:rPr>
            <w:noProof/>
            <w:webHidden/>
          </w:rPr>
          <w:fldChar w:fldCharType="end"/>
        </w:r>
      </w:hyperlink>
    </w:p>
    <w:p w14:paraId="32040C29" w14:textId="45EC203D" w:rsidR="00D0329D" w:rsidRDefault="00D0329D">
      <w:pPr>
        <w:pStyle w:val="TableofFigures"/>
        <w:rPr>
          <w:rFonts w:asciiTheme="minorHAnsi" w:eastAsiaTheme="minorEastAsia" w:hAnsiTheme="minorHAnsi" w:cstheme="minorBidi"/>
          <w:noProof/>
          <w:color w:val="auto"/>
          <w:kern w:val="2"/>
          <w:sz w:val="24"/>
          <w:szCs w:val="24"/>
          <w14:ligatures w14:val="standardContextual"/>
        </w:rPr>
      </w:pPr>
      <w:hyperlink w:anchor="_Toc192173116" w:history="1">
        <w:r w:rsidRPr="00F74149">
          <w:rPr>
            <w:rStyle w:val="Hyperlink"/>
          </w:rPr>
          <w:t>Figure 3. Post-Training Self-Reported LLLC and NLC Knowledge (n=8)</w:t>
        </w:r>
        <w:r>
          <w:rPr>
            <w:noProof/>
            <w:webHidden/>
          </w:rPr>
          <w:tab/>
        </w:r>
        <w:r>
          <w:rPr>
            <w:noProof/>
            <w:webHidden/>
          </w:rPr>
          <w:fldChar w:fldCharType="begin"/>
        </w:r>
        <w:r>
          <w:rPr>
            <w:noProof/>
            <w:webHidden/>
          </w:rPr>
          <w:instrText xml:space="preserve"> PAGEREF _Toc192173116 \h </w:instrText>
        </w:r>
        <w:r>
          <w:rPr>
            <w:noProof/>
            <w:webHidden/>
          </w:rPr>
        </w:r>
        <w:r>
          <w:rPr>
            <w:noProof/>
            <w:webHidden/>
          </w:rPr>
          <w:fldChar w:fldCharType="separate"/>
        </w:r>
        <w:r>
          <w:rPr>
            <w:noProof/>
            <w:webHidden/>
          </w:rPr>
          <w:t>17</w:t>
        </w:r>
        <w:r>
          <w:rPr>
            <w:noProof/>
            <w:webHidden/>
          </w:rPr>
          <w:fldChar w:fldCharType="end"/>
        </w:r>
      </w:hyperlink>
    </w:p>
    <w:p w14:paraId="6053424E" w14:textId="515D49D1" w:rsidR="00D0329D" w:rsidRDefault="00D0329D">
      <w:pPr>
        <w:pStyle w:val="TableofFigures"/>
        <w:rPr>
          <w:rFonts w:asciiTheme="minorHAnsi" w:eastAsiaTheme="minorEastAsia" w:hAnsiTheme="minorHAnsi" w:cstheme="minorBidi"/>
          <w:noProof/>
          <w:color w:val="auto"/>
          <w:kern w:val="2"/>
          <w:sz w:val="24"/>
          <w:szCs w:val="24"/>
          <w14:ligatures w14:val="standardContextual"/>
        </w:rPr>
      </w:pPr>
      <w:hyperlink w:anchor="_Toc192173117" w:history="1">
        <w:r w:rsidRPr="00F74149">
          <w:rPr>
            <w:rStyle w:val="Hyperlink"/>
          </w:rPr>
          <w:t>Figure 4. Customer and Trade Ally Familiarity with NLCs and LLLCs</w:t>
        </w:r>
        <w:r>
          <w:rPr>
            <w:noProof/>
            <w:webHidden/>
          </w:rPr>
          <w:tab/>
        </w:r>
        <w:r>
          <w:rPr>
            <w:noProof/>
            <w:webHidden/>
          </w:rPr>
          <w:fldChar w:fldCharType="begin"/>
        </w:r>
        <w:r>
          <w:rPr>
            <w:noProof/>
            <w:webHidden/>
          </w:rPr>
          <w:instrText xml:space="preserve"> PAGEREF _Toc192173117 \h </w:instrText>
        </w:r>
        <w:r>
          <w:rPr>
            <w:noProof/>
            <w:webHidden/>
          </w:rPr>
        </w:r>
        <w:r>
          <w:rPr>
            <w:noProof/>
            <w:webHidden/>
          </w:rPr>
          <w:fldChar w:fldCharType="separate"/>
        </w:r>
        <w:r>
          <w:rPr>
            <w:noProof/>
            <w:webHidden/>
          </w:rPr>
          <w:t>18</w:t>
        </w:r>
        <w:r>
          <w:rPr>
            <w:noProof/>
            <w:webHidden/>
          </w:rPr>
          <w:fldChar w:fldCharType="end"/>
        </w:r>
      </w:hyperlink>
    </w:p>
    <w:p w14:paraId="75239A20" w14:textId="0AE5C3BB" w:rsidR="00D0329D" w:rsidRDefault="00D0329D">
      <w:pPr>
        <w:pStyle w:val="TableofFigures"/>
        <w:rPr>
          <w:rFonts w:asciiTheme="minorHAnsi" w:eastAsiaTheme="minorEastAsia" w:hAnsiTheme="minorHAnsi" w:cstheme="minorBidi"/>
          <w:noProof/>
          <w:color w:val="auto"/>
          <w:kern w:val="2"/>
          <w:sz w:val="24"/>
          <w:szCs w:val="24"/>
          <w14:ligatures w14:val="standardContextual"/>
        </w:rPr>
      </w:pPr>
      <w:hyperlink w:anchor="_Toc192173118" w:history="1">
        <w:r w:rsidRPr="00F74149">
          <w:rPr>
            <w:rStyle w:val="Hyperlink"/>
          </w:rPr>
          <w:t>Figure 5. Customer Familiarity with Lighting Control Technologies (n=353)</w:t>
        </w:r>
        <w:r>
          <w:rPr>
            <w:noProof/>
            <w:webHidden/>
          </w:rPr>
          <w:tab/>
        </w:r>
        <w:r>
          <w:rPr>
            <w:noProof/>
            <w:webHidden/>
          </w:rPr>
          <w:fldChar w:fldCharType="begin"/>
        </w:r>
        <w:r>
          <w:rPr>
            <w:noProof/>
            <w:webHidden/>
          </w:rPr>
          <w:instrText xml:space="preserve"> PAGEREF _Toc192173118 \h </w:instrText>
        </w:r>
        <w:r>
          <w:rPr>
            <w:noProof/>
            <w:webHidden/>
          </w:rPr>
        </w:r>
        <w:r>
          <w:rPr>
            <w:noProof/>
            <w:webHidden/>
          </w:rPr>
          <w:fldChar w:fldCharType="separate"/>
        </w:r>
        <w:r>
          <w:rPr>
            <w:noProof/>
            <w:webHidden/>
          </w:rPr>
          <w:t>19</w:t>
        </w:r>
        <w:r>
          <w:rPr>
            <w:noProof/>
            <w:webHidden/>
          </w:rPr>
          <w:fldChar w:fldCharType="end"/>
        </w:r>
      </w:hyperlink>
    </w:p>
    <w:p w14:paraId="71DCBE20" w14:textId="24F36078" w:rsidR="00D0329D" w:rsidRDefault="00D0329D">
      <w:pPr>
        <w:pStyle w:val="TableofFigures"/>
        <w:rPr>
          <w:rFonts w:asciiTheme="minorHAnsi" w:eastAsiaTheme="minorEastAsia" w:hAnsiTheme="minorHAnsi" w:cstheme="minorBidi"/>
          <w:noProof/>
          <w:color w:val="auto"/>
          <w:kern w:val="2"/>
          <w:sz w:val="24"/>
          <w:szCs w:val="24"/>
          <w14:ligatures w14:val="standardContextual"/>
        </w:rPr>
      </w:pPr>
      <w:hyperlink w:anchor="_Toc192173119" w:history="1">
        <w:r w:rsidRPr="00F74149">
          <w:rPr>
            <w:rStyle w:val="Hyperlink"/>
          </w:rPr>
          <w:t>Figure 6. Trade Ally Familiarity with Individual Lighting Control Technologies (n=37)</w:t>
        </w:r>
        <w:r>
          <w:rPr>
            <w:noProof/>
            <w:webHidden/>
          </w:rPr>
          <w:tab/>
        </w:r>
        <w:r>
          <w:rPr>
            <w:noProof/>
            <w:webHidden/>
          </w:rPr>
          <w:fldChar w:fldCharType="begin"/>
        </w:r>
        <w:r>
          <w:rPr>
            <w:noProof/>
            <w:webHidden/>
          </w:rPr>
          <w:instrText xml:space="preserve"> PAGEREF _Toc192173119 \h </w:instrText>
        </w:r>
        <w:r>
          <w:rPr>
            <w:noProof/>
            <w:webHidden/>
          </w:rPr>
        </w:r>
        <w:r>
          <w:rPr>
            <w:noProof/>
            <w:webHidden/>
          </w:rPr>
          <w:fldChar w:fldCharType="separate"/>
        </w:r>
        <w:r>
          <w:rPr>
            <w:noProof/>
            <w:webHidden/>
          </w:rPr>
          <w:t>19</w:t>
        </w:r>
        <w:r>
          <w:rPr>
            <w:noProof/>
            <w:webHidden/>
          </w:rPr>
          <w:fldChar w:fldCharType="end"/>
        </w:r>
      </w:hyperlink>
    </w:p>
    <w:p w14:paraId="3C76BF3F" w14:textId="5B841BAB" w:rsidR="00D0329D" w:rsidRDefault="00D0329D">
      <w:pPr>
        <w:pStyle w:val="TableofFigures"/>
        <w:rPr>
          <w:rFonts w:asciiTheme="minorHAnsi" w:eastAsiaTheme="minorEastAsia" w:hAnsiTheme="minorHAnsi" w:cstheme="minorBidi"/>
          <w:noProof/>
          <w:color w:val="auto"/>
          <w:kern w:val="2"/>
          <w:sz w:val="24"/>
          <w:szCs w:val="24"/>
          <w14:ligatures w14:val="standardContextual"/>
        </w:rPr>
      </w:pPr>
      <w:hyperlink w:anchor="_Toc192173120" w:history="1">
        <w:r w:rsidRPr="00F74149">
          <w:rPr>
            <w:rStyle w:val="Hyperlink"/>
          </w:rPr>
          <w:t>Figure 7. Incidence of Lighting Controls Installed in Facilities (n=327)</w:t>
        </w:r>
        <w:r>
          <w:rPr>
            <w:noProof/>
            <w:webHidden/>
          </w:rPr>
          <w:tab/>
        </w:r>
        <w:r>
          <w:rPr>
            <w:noProof/>
            <w:webHidden/>
          </w:rPr>
          <w:fldChar w:fldCharType="begin"/>
        </w:r>
        <w:r>
          <w:rPr>
            <w:noProof/>
            <w:webHidden/>
          </w:rPr>
          <w:instrText xml:space="preserve"> PAGEREF _Toc192173120 \h </w:instrText>
        </w:r>
        <w:r>
          <w:rPr>
            <w:noProof/>
            <w:webHidden/>
          </w:rPr>
        </w:r>
        <w:r>
          <w:rPr>
            <w:noProof/>
            <w:webHidden/>
          </w:rPr>
          <w:fldChar w:fldCharType="separate"/>
        </w:r>
        <w:r>
          <w:rPr>
            <w:noProof/>
            <w:webHidden/>
          </w:rPr>
          <w:t>20</w:t>
        </w:r>
        <w:r>
          <w:rPr>
            <w:noProof/>
            <w:webHidden/>
          </w:rPr>
          <w:fldChar w:fldCharType="end"/>
        </w:r>
      </w:hyperlink>
    </w:p>
    <w:p w14:paraId="3293A3D6" w14:textId="65A23D57" w:rsidR="00D0329D" w:rsidRDefault="00D0329D">
      <w:pPr>
        <w:pStyle w:val="TableofFigures"/>
        <w:rPr>
          <w:rFonts w:asciiTheme="minorHAnsi" w:eastAsiaTheme="minorEastAsia" w:hAnsiTheme="minorHAnsi" w:cstheme="minorBidi"/>
          <w:noProof/>
          <w:color w:val="auto"/>
          <w:kern w:val="2"/>
          <w:sz w:val="24"/>
          <w:szCs w:val="24"/>
          <w14:ligatures w14:val="standardContextual"/>
        </w:rPr>
      </w:pPr>
      <w:hyperlink w:anchor="_Toc192173121" w:history="1">
        <w:r w:rsidRPr="00F74149">
          <w:rPr>
            <w:rStyle w:val="Hyperlink"/>
          </w:rPr>
          <w:t>Figure 8. Trade Ally Recommendations and Installations of LLLCs and NLCs</w:t>
        </w:r>
        <w:r>
          <w:rPr>
            <w:noProof/>
            <w:webHidden/>
          </w:rPr>
          <w:tab/>
        </w:r>
        <w:r>
          <w:rPr>
            <w:noProof/>
            <w:webHidden/>
          </w:rPr>
          <w:fldChar w:fldCharType="begin"/>
        </w:r>
        <w:r>
          <w:rPr>
            <w:noProof/>
            <w:webHidden/>
          </w:rPr>
          <w:instrText xml:space="preserve"> PAGEREF _Toc192173121 \h </w:instrText>
        </w:r>
        <w:r>
          <w:rPr>
            <w:noProof/>
            <w:webHidden/>
          </w:rPr>
        </w:r>
        <w:r>
          <w:rPr>
            <w:noProof/>
            <w:webHidden/>
          </w:rPr>
          <w:fldChar w:fldCharType="separate"/>
        </w:r>
        <w:r>
          <w:rPr>
            <w:noProof/>
            <w:webHidden/>
          </w:rPr>
          <w:t>21</w:t>
        </w:r>
        <w:r>
          <w:rPr>
            <w:noProof/>
            <w:webHidden/>
          </w:rPr>
          <w:fldChar w:fldCharType="end"/>
        </w:r>
      </w:hyperlink>
    </w:p>
    <w:p w14:paraId="65011B50" w14:textId="4DF13558" w:rsidR="00D0329D" w:rsidRDefault="00D0329D">
      <w:pPr>
        <w:pStyle w:val="TableofFigures"/>
        <w:rPr>
          <w:rFonts w:asciiTheme="minorHAnsi" w:eastAsiaTheme="minorEastAsia" w:hAnsiTheme="minorHAnsi" w:cstheme="minorBidi"/>
          <w:noProof/>
          <w:color w:val="auto"/>
          <w:kern w:val="2"/>
          <w:sz w:val="24"/>
          <w:szCs w:val="24"/>
          <w14:ligatures w14:val="standardContextual"/>
        </w:rPr>
      </w:pPr>
      <w:hyperlink w:anchor="_Toc192173122" w:history="1">
        <w:r w:rsidRPr="00F74149">
          <w:rPr>
            <w:rStyle w:val="Hyperlink"/>
          </w:rPr>
          <w:t>Figure 9. Customer Priorities for Lighting Equipment (n=353)</w:t>
        </w:r>
        <w:r>
          <w:rPr>
            <w:noProof/>
            <w:webHidden/>
          </w:rPr>
          <w:tab/>
        </w:r>
        <w:r>
          <w:rPr>
            <w:noProof/>
            <w:webHidden/>
          </w:rPr>
          <w:fldChar w:fldCharType="begin"/>
        </w:r>
        <w:r>
          <w:rPr>
            <w:noProof/>
            <w:webHidden/>
          </w:rPr>
          <w:instrText xml:space="preserve"> PAGEREF _Toc192173122 \h </w:instrText>
        </w:r>
        <w:r>
          <w:rPr>
            <w:noProof/>
            <w:webHidden/>
          </w:rPr>
        </w:r>
        <w:r>
          <w:rPr>
            <w:noProof/>
            <w:webHidden/>
          </w:rPr>
          <w:fldChar w:fldCharType="separate"/>
        </w:r>
        <w:r>
          <w:rPr>
            <w:noProof/>
            <w:webHidden/>
          </w:rPr>
          <w:t>22</w:t>
        </w:r>
        <w:r>
          <w:rPr>
            <w:noProof/>
            <w:webHidden/>
          </w:rPr>
          <w:fldChar w:fldCharType="end"/>
        </w:r>
      </w:hyperlink>
    </w:p>
    <w:p w14:paraId="7681AC58" w14:textId="33B90C1F" w:rsidR="00D0329D" w:rsidRDefault="00D0329D">
      <w:pPr>
        <w:pStyle w:val="TableofFigures"/>
        <w:rPr>
          <w:rFonts w:asciiTheme="minorHAnsi" w:eastAsiaTheme="minorEastAsia" w:hAnsiTheme="minorHAnsi" w:cstheme="minorBidi"/>
          <w:noProof/>
          <w:color w:val="auto"/>
          <w:kern w:val="2"/>
          <w:sz w:val="24"/>
          <w:szCs w:val="24"/>
          <w14:ligatures w14:val="standardContextual"/>
        </w:rPr>
      </w:pPr>
      <w:hyperlink w:anchor="_Toc192173123" w:history="1">
        <w:r w:rsidRPr="00F74149">
          <w:rPr>
            <w:rStyle w:val="Hyperlink"/>
          </w:rPr>
          <w:t>Figure 10. LLLC Supply Chain Overview</w:t>
        </w:r>
        <w:r>
          <w:rPr>
            <w:noProof/>
            <w:webHidden/>
          </w:rPr>
          <w:tab/>
        </w:r>
        <w:r>
          <w:rPr>
            <w:noProof/>
            <w:webHidden/>
          </w:rPr>
          <w:fldChar w:fldCharType="begin"/>
        </w:r>
        <w:r>
          <w:rPr>
            <w:noProof/>
            <w:webHidden/>
          </w:rPr>
          <w:instrText xml:space="preserve"> PAGEREF _Toc192173123 \h </w:instrText>
        </w:r>
        <w:r>
          <w:rPr>
            <w:noProof/>
            <w:webHidden/>
          </w:rPr>
        </w:r>
        <w:r>
          <w:rPr>
            <w:noProof/>
            <w:webHidden/>
          </w:rPr>
          <w:fldChar w:fldCharType="separate"/>
        </w:r>
        <w:r>
          <w:rPr>
            <w:noProof/>
            <w:webHidden/>
          </w:rPr>
          <w:t>27</w:t>
        </w:r>
        <w:r>
          <w:rPr>
            <w:noProof/>
            <w:webHidden/>
          </w:rPr>
          <w:fldChar w:fldCharType="end"/>
        </w:r>
      </w:hyperlink>
    </w:p>
    <w:p w14:paraId="59EAD29B" w14:textId="67BD9577" w:rsidR="00BD573A" w:rsidRPr="00E7019E" w:rsidRDefault="001127AD" w:rsidP="00E7019E">
      <w:r>
        <w:fldChar w:fldCharType="end"/>
      </w:r>
    </w:p>
    <w:p w14:paraId="209E5D1A" w14:textId="77777777" w:rsidR="00BD573A" w:rsidRPr="00BD573A" w:rsidRDefault="00BD573A" w:rsidP="00BD573A"/>
    <w:p w14:paraId="76666B49" w14:textId="77777777" w:rsidR="00BD573A" w:rsidRPr="00BD573A" w:rsidRDefault="00BD573A" w:rsidP="00BD573A">
      <w:pPr>
        <w:sectPr w:rsidR="00BD573A" w:rsidRPr="00BD573A" w:rsidSect="001127AD">
          <w:pgSz w:w="12240" w:h="15840" w:code="1"/>
          <w:pgMar w:top="39" w:right="567" w:bottom="567" w:left="567" w:header="142" w:footer="340" w:gutter="0"/>
          <w:cols w:space="708"/>
          <w:titlePg/>
          <w:docGrid w:linePitch="360"/>
        </w:sectPr>
      </w:pPr>
    </w:p>
    <w:p w14:paraId="7BA4594C" w14:textId="6C90B26B" w:rsidR="00685354" w:rsidRPr="00B55D4B" w:rsidRDefault="00685354" w:rsidP="00685354">
      <w:pPr>
        <w:pStyle w:val="Heading1"/>
      </w:pPr>
      <w:bookmarkStart w:id="0" w:name="_Toc192240879"/>
      <w:r w:rsidRPr="00B55D4B">
        <w:lastRenderedPageBreak/>
        <w:t>Executive Summary</w:t>
      </w:r>
      <w:bookmarkEnd w:id="0"/>
    </w:p>
    <w:p w14:paraId="236703F8" w14:textId="75DEED6D" w:rsidR="00685354" w:rsidRPr="00B55D4B" w:rsidRDefault="00685354" w:rsidP="00685354">
      <w:r w:rsidRPr="00B55D4B">
        <w:t xml:space="preserve">This </w:t>
      </w:r>
      <w:r w:rsidR="00435180" w:rsidRPr="00B55D4B">
        <w:t xml:space="preserve">report </w:t>
      </w:r>
      <w:r w:rsidRPr="00B55D4B">
        <w:t xml:space="preserve">presents </w:t>
      </w:r>
      <w:r w:rsidR="006907E1">
        <w:t xml:space="preserve">results from the first annual </w:t>
      </w:r>
      <w:r w:rsidR="00D40B32">
        <w:t xml:space="preserve">market progress </w:t>
      </w:r>
      <w:r w:rsidR="006907E1">
        <w:t>evaluation of</w:t>
      </w:r>
      <w:r w:rsidRPr="00B55D4B">
        <w:t xml:space="preserve"> Ameren Illinois Company’s (AIC) Luminaire Level Lighting Controls (LLLC)</w:t>
      </w:r>
      <w:r w:rsidR="00B722F3">
        <w:t xml:space="preserve"> </w:t>
      </w:r>
      <w:r w:rsidR="00205DFD">
        <w:t xml:space="preserve">Market Transformation (MT) </w:t>
      </w:r>
      <w:r w:rsidRPr="00B55D4B">
        <w:t>Pilot</w:t>
      </w:r>
      <w:r w:rsidR="00B722F3">
        <w:t>,</w:t>
      </w:r>
      <w:r w:rsidR="006907E1">
        <w:t xml:space="preserve"> covering the</w:t>
      </w:r>
      <w:r w:rsidRPr="00B55D4B">
        <w:t xml:space="preserve"> 2024</w:t>
      </w:r>
      <w:r w:rsidR="006907E1">
        <w:t xml:space="preserve"> program year</w:t>
      </w:r>
      <w:r w:rsidRPr="00B55D4B">
        <w:t>. The objective of the 2024 evaluation was to assess</w:t>
      </w:r>
      <w:r w:rsidR="006907E1">
        <w:t xml:space="preserve"> the status of</w:t>
      </w:r>
      <w:r w:rsidRPr="00B55D4B">
        <w:t xml:space="preserve"> key market progress indicators (MPIs) and estimate verified energy and peak demand savings attributable to </w:t>
      </w:r>
      <w:r w:rsidR="000D573F">
        <w:t>LLLC Pilot</w:t>
      </w:r>
      <w:r w:rsidRPr="00B55D4B">
        <w:t xml:space="preserve"> interventions in 2024.</w:t>
      </w:r>
    </w:p>
    <w:p w14:paraId="154D8EC9" w14:textId="45BFCDE3" w:rsidR="00685354" w:rsidRPr="00B55D4B" w:rsidRDefault="00685354" w:rsidP="00685354">
      <w:pPr>
        <w:pStyle w:val="Heading2"/>
      </w:pPr>
      <w:bookmarkStart w:id="1" w:name="_Toc192240880"/>
      <w:r w:rsidRPr="00B55D4B">
        <w:t>Background</w:t>
      </w:r>
      <w:bookmarkEnd w:id="1"/>
    </w:p>
    <w:p w14:paraId="096EFACA" w14:textId="4F8A7406" w:rsidR="000C1BB0" w:rsidRDefault="00CA14A7" w:rsidP="00A57F87">
      <w:r w:rsidRPr="00B55D4B">
        <w:t xml:space="preserve">AIC operates the </w:t>
      </w:r>
      <w:r w:rsidR="000D573F">
        <w:t>LLLC Pilot</w:t>
      </w:r>
      <w:r w:rsidRPr="00B55D4B">
        <w:t xml:space="preserve"> as </w:t>
      </w:r>
      <w:r w:rsidR="00E97F62">
        <w:t>a</w:t>
      </w:r>
      <w:r w:rsidRPr="00B55D4B">
        <w:t xml:space="preserve"> </w:t>
      </w:r>
      <w:r w:rsidR="00E97F62">
        <w:t>Market Transformation Initiative (MTI)</w:t>
      </w:r>
      <w:r w:rsidR="00A57F87" w:rsidRPr="00B55D4B">
        <w:t xml:space="preserve">. </w:t>
      </w:r>
      <w:r w:rsidR="000C1BB0" w:rsidRPr="000C1BB0">
        <w:t>AIC’s energy efficiency portfolio has historically focused on resource acquisition (RA) programs. In RA programs, the program implementer aims to directly influence the decision-making and behaviors of individual actors (i.e., program participants)</w:t>
      </w:r>
      <w:r w:rsidR="00AF1F48">
        <w:t xml:space="preserve">, encouraging </w:t>
      </w:r>
      <w:r w:rsidR="00AF1F48" w:rsidRPr="000C1BB0">
        <w:t xml:space="preserve">them to take </w:t>
      </w:r>
      <w:r w:rsidR="00AF1F48">
        <w:t xml:space="preserve">energy-saving actions they would not have </w:t>
      </w:r>
      <w:r w:rsidR="00AF1F48" w:rsidRPr="000C1BB0">
        <w:t xml:space="preserve">taken </w:t>
      </w:r>
      <w:r w:rsidR="00AF1F48">
        <w:t>in the absence of program interventions</w:t>
      </w:r>
      <w:r w:rsidR="000C1BB0" w:rsidRPr="000C1BB0">
        <w:t>.</w:t>
      </w:r>
      <w:r w:rsidR="00E97F62" w:rsidRPr="00E97F62">
        <w:t xml:space="preserve"> </w:t>
      </w:r>
      <w:r w:rsidR="00E97F62">
        <w:t xml:space="preserve">The LLLC Pilot, however, is an MT program. </w:t>
      </w:r>
      <w:r w:rsidR="00AF1F48" w:rsidRPr="000C1BB0">
        <w:t xml:space="preserve"> </w:t>
      </w:r>
      <w:r w:rsidR="000C1BB0" w:rsidRPr="000C1BB0">
        <w:t xml:space="preserve">Theoretically, MT programs involve </w:t>
      </w:r>
      <w:r w:rsidR="000C1BB0">
        <w:t xml:space="preserve">a shift in focus </w:t>
      </w:r>
      <w:r w:rsidR="000C1BB0" w:rsidRPr="000C1BB0">
        <w:t xml:space="preserve">away from </w:t>
      </w:r>
      <w:r w:rsidR="00205DFD">
        <w:t>influencing</w:t>
      </w:r>
      <w:r w:rsidR="000C1BB0" w:rsidRPr="000C1BB0">
        <w:t xml:space="preserve"> individuals’ actions and </w:t>
      </w:r>
      <w:r w:rsidR="000C1BB0">
        <w:t xml:space="preserve">instead toward </w:t>
      </w:r>
      <w:r w:rsidR="000C1BB0" w:rsidRPr="000C1BB0">
        <w:t xml:space="preserve">changing the structure and function of an entire market. By doing so, MT programs have the potential to provide substantial benefits to society because </w:t>
      </w:r>
      <w:r w:rsidR="000C1BB0" w:rsidRPr="00B55D4B">
        <w:t xml:space="preserve">the offering directly influences </w:t>
      </w:r>
      <w:r w:rsidR="00C3102B">
        <w:t xml:space="preserve">various </w:t>
      </w:r>
      <w:r w:rsidR="000C1BB0" w:rsidRPr="00B55D4B">
        <w:t xml:space="preserve">market dynamics </w:t>
      </w:r>
      <w:r w:rsidR="000C1BB0">
        <w:t xml:space="preserve">and </w:t>
      </w:r>
      <w:r w:rsidR="000C1BB0" w:rsidRPr="00B55D4B">
        <w:t>the actions of a broader pool of market actors</w:t>
      </w:r>
      <w:r w:rsidR="000C1BB0" w:rsidRPr="000C1BB0">
        <w:t>.</w:t>
      </w:r>
    </w:p>
    <w:p w14:paraId="535AD84E" w14:textId="2036DADF" w:rsidR="00F333A5" w:rsidRPr="00B55D4B" w:rsidRDefault="00F333A5" w:rsidP="00F333A5">
      <w:pPr>
        <w:pStyle w:val="Heading2"/>
      </w:pPr>
      <w:bookmarkStart w:id="2" w:name="_Toc192240881"/>
      <w:r w:rsidRPr="00B55D4B">
        <w:t>Research Objectives</w:t>
      </w:r>
      <w:r w:rsidR="00377137">
        <w:t xml:space="preserve"> and Methods</w:t>
      </w:r>
      <w:bookmarkEnd w:id="2"/>
    </w:p>
    <w:p w14:paraId="4FA6CB76" w14:textId="537FB5C4" w:rsidR="001A3A9D" w:rsidRPr="00B55D4B" w:rsidRDefault="001A3A9D" w:rsidP="0076102F">
      <w:pPr>
        <w:pStyle w:val="NoSpacing"/>
      </w:pPr>
      <w:r w:rsidRPr="00B55D4B">
        <w:t xml:space="preserve">The 2024 </w:t>
      </w:r>
      <w:r w:rsidR="000D573F">
        <w:t>LLLC Pilot</w:t>
      </w:r>
      <w:r w:rsidRPr="00B55D4B">
        <w:t xml:space="preserve"> </w:t>
      </w:r>
      <w:r w:rsidR="00795B35">
        <w:t xml:space="preserve">market progress evaluation </w:t>
      </w:r>
      <w:r w:rsidRPr="00B55D4B">
        <w:t xml:space="preserve">included </w:t>
      </w:r>
      <w:r w:rsidR="006907E1">
        <w:t>market</w:t>
      </w:r>
      <w:r w:rsidR="00C55FF2">
        <w:t>-</w:t>
      </w:r>
      <w:r w:rsidR="006907E1">
        <w:t>,</w:t>
      </w:r>
      <w:r w:rsidR="006907E1" w:rsidRPr="00B55D4B">
        <w:t xml:space="preserve"> </w:t>
      </w:r>
      <w:r w:rsidRPr="00B55D4B">
        <w:t>process-</w:t>
      </w:r>
      <w:r w:rsidR="006907E1">
        <w:t>,</w:t>
      </w:r>
      <w:r w:rsidRPr="00B55D4B">
        <w:t xml:space="preserve"> and impact-oriented components. The evaluation addressed the following key objectives:</w:t>
      </w:r>
    </w:p>
    <w:p w14:paraId="4CD84DC6" w14:textId="64E06B17" w:rsidR="001A3A9D" w:rsidRPr="00B55D4B" w:rsidRDefault="007C0380" w:rsidP="001A3A9D">
      <w:pPr>
        <w:pStyle w:val="ListBullet"/>
      </w:pPr>
      <w:r w:rsidRPr="00B55D4B">
        <w:t xml:space="preserve">Review and characterize </w:t>
      </w:r>
      <w:r w:rsidR="000D573F">
        <w:t>LLLC Pilot</w:t>
      </w:r>
      <w:r w:rsidR="005760C1" w:rsidRPr="00B55D4B">
        <w:t xml:space="preserve"> implementation</w:t>
      </w:r>
    </w:p>
    <w:p w14:paraId="212C91F4" w14:textId="4EF7E8A3" w:rsidR="001A3A9D" w:rsidRPr="00B55D4B" w:rsidRDefault="00830AB3" w:rsidP="001A3A9D">
      <w:pPr>
        <w:pStyle w:val="ListBullet"/>
      </w:pPr>
      <w:r w:rsidRPr="00B55D4B">
        <w:t xml:space="preserve">Explore opportunities for </w:t>
      </w:r>
      <w:r w:rsidR="000D573F">
        <w:t>LLLC Pilot</w:t>
      </w:r>
      <w:r w:rsidRPr="00B55D4B">
        <w:t xml:space="preserve"> improvement, including increased overall effectiveness or ease of implementation</w:t>
      </w:r>
    </w:p>
    <w:p w14:paraId="09837A30" w14:textId="29DAD166" w:rsidR="005760C1" w:rsidRPr="00B55D4B" w:rsidRDefault="001A3A9D" w:rsidP="005760C1">
      <w:pPr>
        <w:pStyle w:val="ListBullet"/>
      </w:pPr>
      <w:r w:rsidRPr="00B55D4B">
        <w:t xml:space="preserve">Assess </w:t>
      </w:r>
      <w:r w:rsidR="00784638" w:rsidRPr="00B55D4B">
        <w:t xml:space="preserve">LLLC training effectiveness and knowledge </w:t>
      </w:r>
      <w:r w:rsidR="00867D20" w:rsidRPr="00B55D4B">
        <w:t>transfer</w:t>
      </w:r>
    </w:p>
    <w:p w14:paraId="6FC06A8F" w14:textId="6E3BAF3F" w:rsidR="001A3A9D" w:rsidRPr="00B55D4B" w:rsidRDefault="001A3A9D" w:rsidP="001A3A9D">
      <w:pPr>
        <w:pStyle w:val="ListBullet"/>
      </w:pPr>
      <w:r w:rsidRPr="00B55D4B">
        <w:t xml:space="preserve">Assess </w:t>
      </w:r>
      <w:r w:rsidR="00784638" w:rsidRPr="00B55D4B">
        <w:t xml:space="preserve">2024 </w:t>
      </w:r>
      <w:r w:rsidRPr="00B55D4B">
        <w:t>levels of awareness and understanding of LLLCs among market actors</w:t>
      </w:r>
    </w:p>
    <w:p w14:paraId="43C4D15B" w14:textId="7E6486DA" w:rsidR="001A3A9D" w:rsidRPr="00B55D4B" w:rsidRDefault="001A3A9D" w:rsidP="001A3A9D">
      <w:pPr>
        <w:pStyle w:val="ListBullet"/>
      </w:pPr>
      <w:r w:rsidRPr="00B55D4B">
        <w:t xml:space="preserve">Measure </w:t>
      </w:r>
      <w:r w:rsidR="00784638" w:rsidRPr="00B55D4B">
        <w:t>changes in LLLC market share</w:t>
      </w:r>
    </w:p>
    <w:p w14:paraId="6714C9D8" w14:textId="3A0D02ED" w:rsidR="00BC303F" w:rsidRPr="00B55D4B" w:rsidRDefault="001A3A9D" w:rsidP="00BC303F">
      <w:pPr>
        <w:pStyle w:val="ListBullet"/>
      </w:pPr>
      <w:r w:rsidRPr="00B55D4B">
        <w:t xml:space="preserve">Estimate net energy savings associated with the </w:t>
      </w:r>
      <w:r w:rsidR="000D573F">
        <w:t>LLLC Pilot</w:t>
      </w:r>
    </w:p>
    <w:p w14:paraId="7BDC4339" w14:textId="7C2E0DF6" w:rsidR="00A57F87" w:rsidRPr="00B55D4B" w:rsidRDefault="00F7139F" w:rsidP="0076102F">
      <w:pPr>
        <w:pStyle w:val="NoSpacing"/>
      </w:pPr>
      <w:r w:rsidRPr="00B55D4B">
        <w:t xml:space="preserve">To address these research objectives, the evaluation team utilized both primary data collection </w:t>
      </w:r>
      <w:r w:rsidR="005760C1" w:rsidRPr="00B55D4B">
        <w:t>and secondary research activities</w:t>
      </w:r>
      <w:r w:rsidRPr="00B55D4B">
        <w:t>, including</w:t>
      </w:r>
      <w:r w:rsidR="005760C1" w:rsidRPr="00B55D4B">
        <w:t xml:space="preserve"> the following</w:t>
      </w:r>
      <w:r w:rsidRPr="00B55D4B">
        <w:t xml:space="preserve">: </w:t>
      </w:r>
    </w:p>
    <w:p w14:paraId="35EDB47A" w14:textId="4E323C7D" w:rsidR="00F7139F" w:rsidRPr="00B55D4B" w:rsidRDefault="00280FA1" w:rsidP="00F7139F">
      <w:pPr>
        <w:pStyle w:val="ListBullet"/>
      </w:pPr>
      <w:r w:rsidRPr="00280FA1">
        <w:t>Training assessment surveys administered to trade allies before and after completing AIC’s in-person and online LLLC training</w:t>
      </w:r>
      <w:r w:rsidRPr="00280FA1" w:rsidDel="00280FA1">
        <w:t xml:space="preserve"> </w:t>
      </w:r>
      <w:r w:rsidR="00377137">
        <w:t>(n=50 and n=8, respectively)</w:t>
      </w:r>
    </w:p>
    <w:p w14:paraId="099AF09C" w14:textId="180B6291" w:rsidR="00F7139F" w:rsidRPr="00B55D4B" w:rsidRDefault="00280FA1" w:rsidP="00F7139F">
      <w:pPr>
        <w:pStyle w:val="ListBullet"/>
      </w:pPr>
      <w:r>
        <w:t>Market actor surveys of both AIC commercial customers and lighting trade allies</w:t>
      </w:r>
      <w:r w:rsidRPr="00B55D4B">
        <w:t xml:space="preserve"> </w:t>
      </w:r>
      <w:r w:rsidR="00377137">
        <w:t>(n=350 and n=37, respectively)</w:t>
      </w:r>
    </w:p>
    <w:p w14:paraId="2443874D" w14:textId="77777777" w:rsidR="00280FA1" w:rsidRDefault="00280FA1" w:rsidP="00ED491D">
      <w:pPr>
        <w:pStyle w:val="ListBullet"/>
      </w:pPr>
      <w:r>
        <w:t>Market analysis involving a review of secondary data sources and third-party sales data</w:t>
      </w:r>
    </w:p>
    <w:p w14:paraId="37F0CDB8" w14:textId="51773133" w:rsidR="00ED491D" w:rsidRPr="00B55D4B" w:rsidRDefault="00280FA1" w:rsidP="00ED491D">
      <w:pPr>
        <w:pStyle w:val="ListBullet"/>
      </w:pPr>
      <w:r w:rsidRPr="00280FA1">
        <w:t xml:space="preserve">MT savings analysis to estimate net energy savings attributable to the </w:t>
      </w:r>
      <w:r w:rsidR="000D573F">
        <w:t>LLLC Pilot</w:t>
      </w:r>
    </w:p>
    <w:p w14:paraId="6C9F52CD" w14:textId="1B7F0A80" w:rsidR="009105DB" w:rsidRPr="00B55D4B" w:rsidRDefault="009105DB" w:rsidP="00FA4669">
      <w:pPr>
        <w:pStyle w:val="Heading2"/>
      </w:pPr>
      <w:bookmarkStart w:id="3" w:name="_Toc192240882"/>
      <w:r w:rsidRPr="00B55D4B">
        <w:lastRenderedPageBreak/>
        <w:t>Key Findings</w:t>
      </w:r>
      <w:bookmarkEnd w:id="3"/>
    </w:p>
    <w:p w14:paraId="1491A507" w14:textId="244FD4A8" w:rsidR="009D7E59" w:rsidRDefault="007C6166" w:rsidP="00FA4669">
      <w:pPr>
        <w:keepNext/>
        <w:keepLines/>
      </w:pPr>
      <w:r>
        <w:t xml:space="preserve">The </w:t>
      </w:r>
      <w:r w:rsidR="000D573F">
        <w:t>LLLC Pilot</w:t>
      </w:r>
      <w:r>
        <w:t xml:space="preserve"> implemented a combination of in-person </w:t>
      </w:r>
      <w:r w:rsidR="007515D6">
        <w:t>workshops</w:t>
      </w:r>
      <w:r w:rsidR="004F51F5">
        <w:t xml:space="preserve">, </w:t>
      </w:r>
      <w:r w:rsidR="007515D6">
        <w:t xml:space="preserve">an </w:t>
      </w:r>
      <w:r w:rsidR="004F51F5">
        <w:t xml:space="preserve">online </w:t>
      </w:r>
      <w:r w:rsidR="007515D6">
        <w:t>course</w:t>
      </w:r>
      <w:r w:rsidR="004F51F5">
        <w:t>, and marketing support</w:t>
      </w:r>
      <w:r>
        <w:t xml:space="preserve"> </w:t>
      </w:r>
      <w:r w:rsidR="004F51F5">
        <w:t xml:space="preserve">efforts </w:t>
      </w:r>
      <w:r>
        <w:t>in 2024 that</w:t>
      </w:r>
      <w:r w:rsidR="00330FB7">
        <w:t>,</w:t>
      </w:r>
      <w:r>
        <w:t xml:space="preserve"> by all available metrics</w:t>
      </w:r>
      <w:r w:rsidR="00330FB7">
        <w:t>,</w:t>
      </w:r>
      <w:r>
        <w:t xml:space="preserve"> effectively informed trade allies operating in AIC service territory about LLLC </w:t>
      </w:r>
      <w:r w:rsidR="00715636" w:rsidRPr="00715636">
        <w:t>functionality, benefits, and associated AIC RA offerings</w:t>
      </w:r>
      <w:r>
        <w:t xml:space="preserve">. </w:t>
      </w:r>
      <w:r w:rsidR="004F51F5">
        <w:t>Training participants</w:t>
      </w:r>
      <w:r>
        <w:t xml:space="preserve"> demonstrated </w:t>
      </w:r>
      <w:r w:rsidR="00330FB7">
        <w:t>increased</w:t>
      </w:r>
      <w:r>
        <w:t xml:space="preserve"> knowledge and familiarity with LLLCs and broadly expressed satisfaction with the</w:t>
      </w:r>
      <w:r w:rsidR="004F51F5">
        <w:t>ir</w:t>
      </w:r>
      <w:r>
        <w:t xml:space="preserve"> training experience. </w:t>
      </w:r>
      <w:r w:rsidR="001D705E">
        <w:t xml:space="preserve">More broadly, trade allies and </w:t>
      </w:r>
      <w:r w:rsidR="00140451">
        <w:t xml:space="preserve">business customers </w:t>
      </w:r>
      <w:r w:rsidR="001D705E">
        <w:t xml:space="preserve">throughout AIC service territory </w:t>
      </w:r>
      <w:r w:rsidR="00140451">
        <w:t xml:space="preserve">similarly demonstrated increases </w:t>
      </w:r>
      <w:r w:rsidR="001D705E">
        <w:t>in LLLC awareness and experience</w:t>
      </w:r>
      <w:r w:rsidR="00330FB7">
        <w:t>,</w:t>
      </w:r>
      <w:r w:rsidR="001D705E">
        <w:t xml:space="preserve"> marking progress toward MPIs meant to track </w:t>
      </w:r>
      <w:r w:rsidR="004F51F5">
        <w:t xml:space="preserve">anticipated market outcomes associated with </w:t>
      </w:r>
      <w:r w:rsidR="000D573F">
        <w:t>LLLC Pilot</w:t>
      </w:r>
      <w:r w:rsidR="001D705E">
        <w:t xml:space="preserve"> </w:t>
      </w:r>
      <w:r w:rsidR="004F51F5">
        <w:t>efforts.</w:t>
      </w:r>
      <w:r w:rsidR="001D705E">
        <w:t xml:space="preserve"> </w:t>
      </w:r>
    </w:p>
    <w:p w14:paraId="17CD5934" w14:textId="372D43D0" w:rsidR="007C6166" w:rsidRDefault="001D705E" w:rsidP="00BE2BE3">
      <w:r>
        <w:t xml:space="preserve">According to AIC business customers, 1.5% of their facilities have LLLC equipment installed </w:t>
      </w:r>
      <w:r w:rsidR="00D20339">
        <w:t>as of</w:t>
      </w:r>
      <w:r>
        <w:t xml:space="preserve"> 2024, which is more than twice the </w:t>
      </w:r>
      <w:r w:rsidRPr="001D705E">
        <w:t xml:space="preserve">0.7% forecasted by the 2023 AIC </w:t>
      </w:r>
      <w:r w:rsidR="00463CEE">
        <w:t xml:space="preserve">LLLC </w:t>
      </w:r>
      <w:r w:rsidRPr="001D705E">
        <w:t>MTI Business Plan</w:t>
      </w:r>
      <w:r w:rsidR="009D7E59">
        <w:t>’s natural market baseline (NMB)</w:t>
      </w:r>
      <w:r w:rsidR="004F51F5">
        <w:t xml:space="preserve"> meant to forecast </w:t>
      </w:r>
      <w:r w:rsidR="009D7E59">
        <w:t xml:space="preserve">adoption </w:t>
      </w:r>
      <w:r>
        <w:t>in the absence of any AIC interventions.</w:t>
      </w:r>
      <w:r w:rsidR="000E5295">
        <w:rPr>
          <w:rStyle w:val="FootnoteReference"/>
        </w:rPr>
        <w:footnoteReference w:id="1"/>
      </w:r>
      <w:r w:rsidR="009D7E59">
        <w:t xml:space="preserve"> AIC incentive-based offerings seemingly played a substantial role in the market, </w:t>
      </w:r>
      <w:r w:rsidR="007221DB">
        <w:t xml:space="preserve">fully </w:t>
      </w:r>
      <w:r w:rsidR="009D7E59">
        <w:t>accounting for th</w:t>
      </w:r>
      <w:r w:rsidR="007221DB">
        <w:t>e estimated</w:t>
      </w:r>
      <w:r w:rsidR="009D7E59">
        <w:t xml:space="preserve"> </w:t>
      </w:r>
      <w:r w:rsidR="007221DB">
        <w:t>increase in</w:t>
      </w:r>
      <w:r w:rsidR="009D7E59">
        <w:t xml:space="preserve"> adoption. Within the current MT savings framework, </w:t>
      </w:r>
      <w:r w:rsidR="004F51F5">
        <w:t xml:space="preserve">the </w:t>
      </w:r>
      <w:r w:rsidR="009D7E59">
        <w:t>associated savings are claimed in their entirety by the RA offerings</w:t>
      </w:r>
      <w:r w:rsidR="00D20339">
        <w:t xml:space="preserve">; however, </w:t>
      </w:r>
      <w:r w:rsidR="009D7E59">
        <w:t xml:space="preserve">current evaluation findings broadly suggest that the </w:t>
      </w:r>
      <w:r w:rsidR="000D573F">
        <w:t>LLLC Pilot</w:t>
      </w:r>
      <w:r w:rsidR="009D7E59">
        <w:t xml:space="preserve"> played a direct role in encouraging LLLC adoption and pursuit of available incentives. As the market continues to develop and mature</w:t>
      </w:r>
      <w:r w:rsidR="004F51F5">
        <w:t>,</w:t>
      </w:r>
      <w:r w:rsidR="009D7E59">
        <w:t xml:space="preserve"> AIC staff may consider whether </w:t>
      </w:r>
      <w:r w:rsidR="00D20339">
        <w:t xml:space="preserve">both </w:t>
      </w:r>
      <w:r w:rsidR="009D7E59">
        <w:t xml:space="preserve">RA and MT efforts remain necessary for </w:t>
      </w:r>
      <w:r w:rsidR="004F51F5">
        <w:t>stimulating ongoing market transformation.</w:t>
      </w:r>
    </w:p>
    <w:p w14:paraId="42E201A9" w14:textId="5DFB9699" w:rsidR="002A204E" w:rsidRPr="00B55D4B" w:rsidRDefault="00A728BD" w:rsidP="0076102F">
      <w:pPr>
        <w:pStyle w:val="NoSpacing"/>
      </w:pPr>
      <w:r w:rsidRPr="00B55D4B">
        <w:t xml:space="preserve">Based on the evaluation activities conducted in 2024, we </w:t>
      </w:r>
      <w:r w:rsidR="00F52B2F">
        <w:t>present</w:t>
      </w:r>
      <w:r w:rsidR="00F52B2F" w:rsidRPr="00B55D4B">
        <w:t xml:space="preserve"> </w:t>
      </w:r>
      <w:r w:rsidR="002A204E" w:rsidRPr="00B55D4B">
        <w:t xml:space="preserve">the following </w:t>
      </w:r>
      <w:r w:rsidR="00BE2BE3" w:rsidRPr="00B55D4B">
        <w:t>key findings</w:t>
      </w:r>
      <w:r w:rsidR="002A204E" w:rsidRPr="00B55D4B">
        <w:t>:</w:t>
      </w:r>
    </w:p>
    <w:p w14:paraId="62F3090C" w14:textId="171D828A" w:rsidR="002A204E" w:rsidRPr="00B55D4B" w:rsidRDefault="002A204E" w:rsidP="002A204E">
      <w:pPr>
        <w:pStyle w:val="ListBullet"/>
      </w:pPr>
      <w:r w:rsidRPr="00B55D4B">
        <w:rPr>
          <w:b/>
          <w:bCs/>
        </w:rPr>
        <w:t>Key Finding #1:</w:t>
      </w:r>
      <w:r w:rsidRPr="00B55D4B">
        <w:t xml:space="preserve"> T</w:t>
      </w:r>
      <w:r w:rsidR="00A728BD" w:rsidRPr="00B55D4B">
        <w:t xml:space="preserve">he </w:t>
      </w:r>
      <w:r w:rsidR="000D573F">
        <w:t>LLLC Pilot</w:t>
      </w:r>
      <w:r w:rsidR="00A728BD" w:rsidRPr="00B55D4B">
        <w:t xml:space="preserve"> is still in the early stages of </w:t>
      </w:r>
      <w:r w:rsidR="007221DB">
        <w:t xml:space="preserve">promoting </w:t>
      </w:r>
      <w:r w:rsidR="00A728BD" w:rsidRPr="00B55D4B">
        <w:t xml:space="preserve">long-term market transformation, with 2024 marking the first year of anticipated increases in recommendations and installations based on the 2023 </w:t>
      </w:r>
      <w:r w:rsidR="00676E55" w:rsidRPr="00B55D4B">
        <w:t xml:space="preserve">AIC LLLC </w:t>
      </w:r>
      <w:r w:rsidR="00A728BD" w:rsidRPr="00B55D4B">
        <w:t xml:space="preserve">MTI </w:t>
      </w:r>
      <w:r w:rsidR="00676E55" w:rsidRPr="00B55D4B">
        <w:t>B</w:t>
      </w:r>
      <w:r w:rsidR="00A728BD" w:rsidRPr="00B55D4B">
        <w:t xml:space="preserve">usiness </w:t>
      </w:r>
      <w:r w:rsidR="00676E55" w:rsidRPr="00B55D4B">
        <w:t>P</w:t>
      </w:r>
      <w:r w:rsidR="00A728BD" w:rsidRPr="00B55D4B">
        <w:t>lan.</w:t>
      </w:r>
      <w:r w:rsidR="00075DAF" w:rsidRPr="00B55D4B">
        <w:t xml:space="preserve"> LLLC</w:t>
      </w:r>
      <w:r w:rsidR="001C223C" w:rsidRPr="00B55D4B">
        <w:t xml:space="preserve">s </w:t>
      </w:r>
      <w:r w:rsidR="00365F48" w:rsidRPr="00B55D4B">
        <w:t>remain</w:t>
      </w:r>
      <w:r w:rsidR="001C223C" w:rsidRPr="00B55D4B">
        <w:t xml:space="preserve"> a </w:t>
      </w:r>
      <w:r w:rsidR="00365F48" w:rsidRPr="00B55D4B">
        <w:t xml:space="preserve">relatively </w:t>
      </w:r>
      <w:r w:rsidR="001C223C" w:rsidRPr="00B55D4B">
        <w:t>novel technology</w:t>
      </w:r>
      <w:r w:rsidR="00365F48" w:rsidRPr="00B55D4B">
        <w:t>, accounting for less than 1% of the lighting market nationally and in Illinois as recently as 2023.</w:t>
      </w:r>
    </w:p>
    <w:p w14:paraId="37E8F60F" w14:textId="536C0660" w:rsidR="00392143" w:rsidRPr="00B55D4B" w:rsidRDefault="002A204E" w:rsidP="002A204E">
      <w:pPr>
        <w:pStyle w:val="ListBullet"/>
      </w:pPr>
      <w:r w:rsidRPr="00B55D4B">
        <w:rPr>
          <w:b/>
          <w:bCs/>
        </w:rPr>
        <w:t>Key Finding #2:</w:t>
      </w:r>
      <w:r w:rsidRPr="00B55D4B">
        <w:t xml:space="preserve"> W</w:t>
      </w:r>
      <w:r w:rsidR="00A728BD" w:rsidRPr="00B55D4B">
        <w:t>orkshop and online training participants express high satisfaction and indicate substantial increases in LLLC knowledge and confidence following training participation.</w:t>
      </w:r>
      <w:r w:rsidR="00C50537" w:rsidRPr="00B55D4B">
        <w:t xml:space="preserve"> </w:t>
      </w:r>
      <w:r w:rsidR="00F03E9F" w:rsidRPr="00B55D4B">
        <w:t xml:space="preserve">After participating in </w:t>
      </w:r>
      <w:r w:rsidR="00C55FF2">
        <w:t xml:space="preserve">the </w:t>
      </w:r>
      <w:r w:rsidR="00F03E9F" w:rsidRPr="00B55D4B">
        <w:t xml:space="preserve">in-person workshops and online </w:t>
      </w:r>
      <w:r w:rsidR="00F12BBB">
        <w:t xml:space="preserve">training, trade allies reported an average increase of more than 40% in their knowledge of LLLCs and their confidence </w:t>
      </w:r>
      <w:r w:rsidR="00F03E9F" w:rsidRPr="00B55D4B">
        <w:t>selling LLLCs to clients.</w:t>
      </w:r>
      <w:r w:rsidR="00303403">
        <w:t xml:space="preserve"> </w:t>
      </w:r>
      <w:r w:rsidR="009C4E0A">
        <w:t>Notably, these results reflect feedback from</w:t>
      </w:r>
      <w:r w:rsidR="00D20339">
        <w:t xml:space="preserve"> a small sample of</w:t>
      </w:r>
      <w:r w:rsidR="009C4E0A">
        <w:t xml:space="preserve"> eight respondents </w:t>
      </w:r>
      <w:r w:rsidR="007221DB">
        <w:t xml:space="preserve">to the </w:t>
      </w:r>
      <w:r w:rsidR="009C4E0A">
        <w:t>post-training assessment survey</w:t>
      </w:r>
      <w:r w:rsidR="00303403">
        <w:t xml:space="preserve">. </w:t>
      </w:r>
    </w:p>
    <w:p w14:paraId="1BF55F46" w14:textId="552BA1B1" w:rsidR="002A6F67" w:rsidRPr="00B55D4B" w:rsidRDefault="002A204E" w:rsidP="00676E55">
      <w:pPr>
        <w:pStyle w:val="ListBullet"/>
      </w:pPr>
      <w:r w:rsidRPr="00B55D4B">
        <w:rPr>
          <w:b/>
          <w:bCs/>
        </w:rPr>
        <w:t>Key Finding #3:</w:t>
      </w:r>
      <w:r w:rsidRPr="00B55D4B">
        <w:t xml:space="preserve"> </w:t>
      </w:r>
      <w:r w:rsidR="00A728BD" w:rsidRPr="00B55D4B">
        <w:t xml:space="preserve">Customer and trade ally awareness and familiarity with LLLCs are tracking toward </w:t>
      </w:r>
      <w:r w:rsidR="000D573F">
        <w:t>LLLC Pilot</w:t>
      </w:r>
      <w:r w:rsidR="00A728BD" w:rsidRPr="00B55D4B">
        <w:t xml:space="preserve"> goals</w:t>
      </w:r>
      <w:r w:rsidR="00F03E9F" w:rsidRPr="00B55D4B">
        <w:t xml:space="preserve">, represented by MPI </w:t>
      </w:r>
      <w:r w:rsidR="0030413D" w:rsidRPr="00B55D4B">
        <w:t>targets set for 2027, some of which have already been mostly or fully realized</w:t>
      </w:r>
      <w:r w:rsidR="00880C83" w:rsidRPr="00B55D4B">
        <w:t>.</w:t>
      </w:r>
    </w:p>
    <w:p w14:paraId="5E869367" w14:textId="391B2847" w:rsidR="002A6F67" w:rsidRPr="00B55D4B" w:rsidRDefault="00A728BD" w:rsidP="002A6F67">
      <w:pPr>
        <w:pStyle w:val="ListBullet2"/>
      </w:pPr>
      <w:r w:rsidRPr="00B55D4B">
        <w:t xml:space="preserve">Customer awareness of LLLCs increased from 21% in 2023 to 36% in 2024, making progress toward the </w:t>
      </w:r>
      <w:r w:rsidR="0030413D" w:rsidRPr="00B55D4B">
        <w:t xml:space="preserve">MPI </w:t>
      </w:r>
      <w:r w:rsidRPr="00B55D4B">
        <w:t xml:space="preserve">target of 50% </w:t>
      </w:r>
      <w:r w:rsidR="0030413D" w:rsidRPr="00B55D4B">
        <w:t xml:space="preserve">customer awareness of LLLCs </w:t>
      </w:r>
      <w:r w:rsidRPr="00B55D4B">
        <w:t xml:space="preserve">by 2027. </w:t>
      </w:r>
    </w:p>
    <w:p w14:paraId="348870A1" w14:textId="78D30262" w:rsidR="002A6F67" w:rsidRPr="00B55D4B" w:rsidRDefault="00A728BD" w:rsidP="002A6F67">
      <w:pPr>
        <w:pStyle w:val="ListBullet2"/>
      </w:pPr>
      <w:r w:rsidRPr="00B55D4B">
        <w:t xml:space="preserve">Trade ally awareness of LLLCs remains above 90% in 2024, </w:t>
      </w:r>
      <w:r w:rsidR="0030413D" w:rsidRPr="00B55D4B">
        <w:t xml:space="preserve">very </w:t>
      </w:r>
      <w:r w:rsidRPr="00B55D4B">
        <w:t xml:space="preserve">close to the </w:t>
      </w:r>
      <w:r w:rsidR="0030413D" w:rsidRPr="00B55D4B">
        <w:t xml:space="preserve">MPI </w:t>
      </w:r>
      <w:r w:rsidRPr="00B55D4B">
        <w:t xml:space="preserve">target of 95% </w:t>
      </w:r>
      <w:r w:rsidR="0030413D" w:rsidRPr="00B55D4B">
        <w:t xml:space="preserve">trade ally </w:t>
      </w:r>
      <w:r w:rsidRPr="00B55D4B">
        <w:t xml:space="preserve">awareness </w:t>
      </w:r>
      <w:r w:rsidR="0030413D" w:rsidRPr="00B55D4B">
        <w:t xml:space="preserve">of LLLCs </w:t>
      </w:r>
      <w:r w:rsidRPr="00B55D4B">
        <w:t xml:space="preserve">by 2027. </w:t>
      </w:r>
    </w:p>
    <w:p w14:paraId="48D9F433" w14:textId="42EF4CEE" w:rsidR="00A728BD" w:rsidRPr="00B55D4B" w:rsidRDefault="0030413D" w:rsidP="00867D20">
      <w:pPr>
        <w:pStyle w:val="ListBullet2"/>
      </w:pPr>
      <w:r w:rsidRPr="00B55D4B">
        <w:t>T</w:t>
      </w:r>
      <w:r w:rsidR="00A728BD" w:rsidRPr="00B55D4B">
        <w:t xml:space="preserve">rade ally familiarity with LLLCs increased from 63% in 2023 to 70% in 2024, </w:t>
      </w:r>
      <w:r w:rsidR="002A204E" w:rsidRPr="00B55D4B">
        <w:t>in line with</w:t>
      </w:r>
      <w:r w:rsidR="00A728BD" w:rsidRPr="00B55D4B">
        <w:t xml:space="preserve"> the </w:t>
      </w:r>
      <w:r w:rsidRPr="00B55D4B">
        <w:t xml:space="preserve">MPI </w:t>
      </w:r>
      <w:r w:rsidR="00A728BD" w:rsidRPr="00B55D4B">
        <w:t xml:space="preserve">target of 70% </w:t>
      </w:r>
      <w:r w:rsidRPr="00B55D4B">
        <w:t xml:space="preserve">trade ally LLLC familiarity </w:t>
      </w:r>
      <w:r w:rsidR="00A728BD" w:rsidRPr="00B55D4B">
        <w:t xml:space="preserve">by 2027. </w:t>
      </w:r>
    </w:p>
    <w:p w14:paraId="27CF6E77" w14:textId="54C75129" w:rsidR="00E06FD6" w:rsidRPr="00B55D4B" w:rsidRDefault="002A204E" w:rsidP="00763818">
      <w:pPr>
        <w:pStyle w:val="ListBullet"/>
        <w:keepNext/>
        <w:keepLines/>
        <w:ind w:hanging="288"/>
      </w:pPr>
      <w:r w:rsidRPr="00B55D4B">
        <w:rPr>
          <w:b/>
          <w:bCs/>
        </w:rPr>
        <w:lastRenderedPageBreak/>
        <w:t>Key Finding #4:</w:t>
      </w:r>
      <w:r w:rsidRPr="00B55D4B">
        <w:t xml:space="preserve"> </w:t>
      </w:r>
      <w:r w:rsidR="002A6F67" w:rsidRPr="00B55D4B">
        <w:t>T</w:t>
      </w:r>
      <w:r w:rsidR="001E5D47" w:rsidRPr="00B55D4B">
        <w:t xml:space="preserve">rade ally recommendations and installations of LLLCs are </w:t>
      </w:r>
      <w:r w:rsidR="00047028" w:rsidRPr="00B55D4B">
        <w:t xml:space="preserve">tracking </w:t>
      </w:r>
      <w:r w:rsidR="001E5D47" w:rsidRPr="00B55D4B">
        <w:t xml:space="preserve">toward </w:t>
      </w:r>
      <w:r w:rsidR="000D573F">
        <w:t>LLLC Pilot</w:t>
      </w:r>
      <w:r w:rsidR="001E5D47" w:rsidRPr="00B55D4B">
        <w:t xml:space="preserve"> goals</w:t>
      </w:r>
      <w:r w:rsidR="00047028">
        <w:t xml:space="preserve"> and demonstrate clear market progress</w:t>
      </w:r>
      <w:r w:rsidR="001E5D47" w:rsidRPr="00B55D4B">
        <w:t>.</w:t>
      </w:r>
    </w:p>
    <w:p w14:paraId="62E9C96D" w14:textId="41CDFB76" w:rsidR="00E06FD6" w:rsidRPr="00B55D4B" w:rsidRDefault="001E5D47" w:rsidP="00763818">
      <w:pPr>
        <w:pStyle w:val="ListBullet2"/>
        <w:keepNext/>
        <w:keepLines/>
        <w:ind w:hanging="288"/>
      </w:pPr>
      <w:r w:rsidRPr="00B55D4B">
        <w:t xml:space="preserve">Half of all trade allies surveyed have made LLLC recommendations, </w:t>
      </w:r>
      <w:r w:rsidR="00D936A4">
        <w:t>marking</w:t>
      </w:r>
      <w:r w:rsidR="002A6F67" w:rsidRPr="00B55D4B">
        <w:t xml:space="preserve"> </w:t>
      </w:r>
      <w:r w:rsidRPr="00B55D4B">
        <w:t>progress toward the</w:t>
      </w:r>
      <w:r w:rsidR="00D936A4">
        <w:t xml:space="preserve"> MPI</w:t>
      </w:r>
      <w:r w:rsidRPr="00B55D4B">
        <w:t xml:space="preserve"> target of 65% of trade allies recommending LLLCs by 2027. </w:t>
      </w:r>
    </w:p>
    <w:p w14:paraId="503CF6BE" w14:textId="787CEB12" w:rsidR="002A204E" w:rsidRPr="00B55D4B" w:rsidRDefault="002A6F67" w:rsidP="00D0329D">
      <w:pPr>
        <w:pStyle w:val="ListBullet2"/>
        <w:ind w:left="734" w:hanging="288"/>
      </w:pPr>
      <w:r w:rsidRPr="00B55D4B">
        <w:t xml:space="preserve">The portion of trade allies with experience installing LLLCs </w:t>
      </w:r>
      <w:r w:rsidR="001E5D47" w:rsidRPr="00B55D4B">
        <w:t>increased from</w:t>
      </w:r>
      <w:r w:rsidRPr="00B55D4B">
        <w:t xml:space="preserve"> just over one-third</w:t>
      </w:r>
      <w:r w:rsidR="001E5D47" w:rsidRPr="00B55D4B">
        <w:t xml:space="preserve"> </w:t>
      </w:r>
      <w:r w:rsidRPr="00B55D4B">
        <w:t>(</w:t>
      </w:r>
      <w:r w:rsidR="001E5D47" w:rsidRPr="00B55D4B">
        <w:t>36%</w:t>
      </w:r>
      <w:r w:rsidRPr="00B55D4B">
        <w:t>)</w:t>
      </w:r>
      <w:r w:rsidR="001E5D47" w:rsidRPr="00B55D4B">
        <w:t xml:space="preserve"> in 2023 to</w:t>
      </w:r>
      <w:r w:rsidRPr="00B55D4B">
        <w:t xml:space="preserve"> nearly </w:t>
      </w:r>
      <w:r w:rsidR="00BC0CB4">
        <w:t>two-thirds</w:t>
      </w:r>
      <w:r w:rsidRPr="00B55D4B">
        <w:t xml:space="preserve"> (</w:t>
      </w:r>
      <w:r w:rsidR="001E5D47" w:rsidRPr="00B55D4B">
        <w:t>63%</w:t>
      </w:r>
      <w:r w:rsidRPr="00B55D4B">
        <w:t>)</w:t>
      </w:r>
      <w:r w:rsidR="001E5D47" w:rsidRPr="00B55D4B">
        <w:t xml:space="preserve"> in 2024.</w:t>
      </w:r>
    </w:p>
    <w:p w14:paraId="68CE07EC" w14:textId="2024118C" w:rsidR="00613C82" w:rsidRPr="00B55D4B" w:rsidRDefault="002A204E" w:rsidP="002A204E">
      <w:pPr>
        <w:pStyle w:val="ListBullet"/>
      </w:pPr>
      <w:r w:rsidRPr="00B55D4B">
        <w:rPr>
          <w:b/>
          <w:bCs/>
        </w:rPr>
        <w:t>Key Finding #5:</w:t>
      </w:r>
      <w:r w:rsidR="00867D20" w:rsidRPr="00B55D4B">
        <w:t xml:space="preserve"> </w:t>
      </w:r>
      <w:r w:rsidR="00D20339">
        <w:t>As of</w:t>
      </w:r>
      <w:r w:rsidR="002A6F67" w:rsidRPr="00B55D4B">
        <w:t xml:space="preserve"> 2024, 1.5% of AIC business customers surveyed have LLLCs installed in their facilities</w:t>
      </w:r>
      <w:r w:rsidR="0030413D" w:rsidRPr="00B55D4B">
        <w:t xml:space="preserve">, </w:t>
      </w:r>
      <w:r w:rsidR="00D20339">
        <w:t>exceeding the 0.7%</w:t>
      </w:r>
      <w:r w:rsidR="00BC0CB4" w:rsidRPr="00B55D4B">
        <w:t xml:space="preserve"> </w:t>
      </w:r>
      <w:r w:rsidR="00BC0CB4">
        <w:t xml:space="preserve">LLLC adoption </w:t>
      </w:r>
      <w:r w:rsidR="0030413D" w:rsidRPr="00B55D4B">
        <w:t xml:space="preserve">forecasted by the 2023 AIC </w:t>
      </w:r>
      <w:r w:rsidR="00463CEE">
        <w:t xml:space="preserve">LLLC </w:t>
      </w:r>
      <w:r w:rsidR="0030413D" w:rsidRPr="00B55D4B">
        <w:t xml:space="preserve">MTI Business Plan. </w:t>
      </w:r>
      <w:r w:rsidR="00BC0CB4" w:rsidRPr="00B55D4B">
        <w:t>However,</w:t>
      </w:r>
      <w:r w:rsidR="00613C82" w:rsidRPr="00B55D4B">
        <w:t xml:space="preserve"> </w:t>
      </w:r>
      <w:r w:rsidR="0030413D" w:rsidRPr="00B55D4B">
        <w:t xml:space="preserve">AIC’s 2024 incentive-based RA offerings effectively account for 100% of the market lift above and beyond the NMB-forecasted market share. Although </w:t>
      </w:r>
      <w:r w:rsidR="000D573F">
        <w:t>LLLC Pilot</w:t>
      </w:r>
      <w:r w:rsidR="00613C82" w:rsidRPr="00B55D4B">
        <w:t xml:space="preserve"> </w:t>
      </w:r>
      <w:r w:rsidR="00BC0CB4" w:rsidRPr="00B55D4B">
        <w:t xml:space="preserve">training </w:t>
      </w:r>
      <w:r w:rsidR="009C4E0A">
        <w:t>efforts</w:t>
      </w:r>
      <w:r w:rsidR="00613C82" w:rsidRPr="00B55D4B">
        <w:t xml:space="preserve"> </w:t>
      </w:r>
      <w:r w:rsidR="00E06FD6" w:rsidRPr="00B55D4B">
        <w:t xml:space="preserve">likely </w:t>
      </w:r>
      <w:r w:rsidR="00BC0CB4" w:rsidRPr="00B55D4B">
        <w:t>contributed</w:t>
      </w:r>
      <w:r w:rsidR="00613C82" w:rsidRPr="00B55D4B">
        <w:t xml:space="preserve"> directly to increasing LLLC adoption </w:t>
      </w:r>
      <w:r w:rsidR="0030413D" w:rsidRPr="00B55D4B">
        <w:t>via incentive-based program participation, the associated savings are already fully accounted for by the RA offerings</w:t>
      </w:r>
      <w:r w:rsidR="00BC0CB4">
        <w:t xml:space="preserve"> and, therefore,</w:t>
      </w:r>
      <w:r w:rsidR="0030413D" w:rsidRPr="00B55D4B">
        <w:t xml:space="preserve"> are not eligible </w:t>
      </w:r>
      <w:r w:rsidR="00E06FD6" w:rsidRPr="00B55D4B">
        <w:t xml:space="preserve">to be claimed </w:t>
      </w:r>
      <w:r w:rsidR="0030413D" w:rsidRPr="00B55D4B">
        <w:t xml:space="preserve">by the </w:t>
      </w:r>
      <w:r w:rsidR="000D573F">
        <w:t>LLLC Pilot</w:t>
      </w:r>
      <w:r w:rsidR="0030413D" w:rsidRPr="00B55D4B">
        <w:t>.</w:t>
      </w:r>
      <w:r w:rsidR="00613C82" w:rsidRPr="00B55D4B">
        <w:t xml:space="preserve"> </w:t>
      </w:r>
    </w:p>
    <w:p w14:paraId="6F8A6683" w14:textId="61FADFFA" w:rsidR="00075DAF" w:rsidRPr="00B55D4B" w:rsidRDefault="009C4E0A" w:rsidP="00FD3876">
      <w:pPr>
        <w:keepNext/>
        <w:keepLines/>
      </w:pPr>
      <w:r>
        <w:fldChar w:fldCharType="begin"/>
      </w:r>
      <w:r>
        <w:instrText xml:space="preserve"> REF _Ref189746201 \h </w:instrText>
      </w:r>
      <w:r>
        <w:fldChar w:fldCharType="separate"/>
      </w:r>
      <w:r w:rsidR="00D0329D" w:rsidRPr="00B55D4B">
        <w:t xml:space="preserve">Table </w:t>
      </w:r>
      <w:r w:rsidR="00D0329D">
        <w:rPr>
          <w:noProof/>
        </w:rPr>
        <w:t>1</w:t>
      </w:r>
      <w:r>
        <w:fldChar w:fldCharType="end"/>
      </w:r>
      <w:r>
        <w:t xml:space="preserve"> provides</w:t>
      </w:r>
      <w:r w:rsidR="00BC0CB4">
        <w:t xml:space="preserve"> a summary of the progress towards </w:t>
      </w:r>
      <w:r w:rsidR="000D573F">
        <w:t>LLLC Pilot</w:t>
      </w:r>
      <w:r w:rsidR="00BC0CB4">
        <w:t xml:space="preserve"> MPIs as of 2024 relative to </w:t>
      </w:r>
      <w:r w:rsidR="00E06FD6" w:rsidRPr="00B55D4B">
        <w:t>targets set for 2027. These findings are discussed in more detail</w:t>
      </w:r>
      <w:r w:rsidR="00365F48" w:rsidRPr="00B55D4B">
        <w:t xml:space="preserve"> and presented with historical context in Section </w:t>
      </w:r>
      <w:r w:rsidR="00365F48" w:rsidRPr="00B55D4B">
        <w:fldChar w:fldCharType="begin"/>
      </w:r>
      <w:r w:rsidR="00365F48" w:rsidRPr="00B55D4B">
        <w:instrText xml:space="preserve"> REF _Ref190104167 \r \h </w:instrText>
      </w:r>
      <w:r w:rsidR="00435180" w:rsidRPr="0092522D">
        <w:instrText xml:space="preserve"> \* MERGEFORMAT </w:instrText>
      </w:r>
      <w:r w:rsidR="00365F48" w:rsidRPr="00B55D4B">
        <w:fldChar w:fldCharType="separate"/>
      </w:r>
      <w:r w:rsidR="00D0329D">
        <w:t>4</w:t>
      </w:r>
      <w:r w:rsidR="00365F48" w:rsidRPr="00B55D4B">
        <w:fldChar w:fldCharType="end"/>
      </w:r>
      <w:r w:rsidR="00365F48" w:rsidRPr="00B55D4B">
        <w:t>.</w:t>
      </w:r>
    </w:p>
    <w:p w14:paraId="2DC98C68" w14:textId="62F3D8E4" w:rsidR="00075DAF" w:rsidRPr="00B55D4B" w:rsidRDefault="00075DAF" w:rsidP="00287BC8">
      <w:pPr>
        <w:pStyle w:val="Caption"/>
      </w:pPr>
      <w:bookmarkStart w:id="4" w:name="_Ref189746201"/>
      <w:bookmarkStart w:id="5" w:name="_Toc192238278"/>
      <w:r w:rsidRPr="00B55D4B">
        <w:t xml:space="preserve">Table </w:t>
      </w:r>
      <w:r w:rsidRPr="00B55D4B">
        <w:fldChar w:fldCharType="begin"/>
      </w:r>
      <w:r w:rsidRPr="00B55D4B">
        <w:instrText xml:space="preserve"> SEQ Table \* ARABIC </w:instrText>
      </w:r>
      <w:r w:rsidRPr="00B55D4B">
        <w:fldChar w:fldCharType="separate"/>
      </w:r>
      <w:r w:rsidR="00D0329D">
        <w:rPr>
          <w:noProof/>
        </w:rPr>
        <w:t>1</w:t>
      </w:r>
      <w:r w:rsidRPr="00B55D4B">
        <w:fldChar w:fldCharType="end"/>
      </w:r>
      <w:bookmarkEnd w:id="4"/>
      <w:r w:rsidRPr="00B55D4B">
        <w:t>. 2024 LLLC Pilot MPI Goal Achievement</w:t>
      </w:r>
      <w:bookmarkEnd w:id="5"/>
    </w:p>
    <w:tbl>
      <w:tblPr>
        <w:tblStyle w:val="ODCBasic-1"/>
        <w:tblW w:w="0" w:type="auto"/>
        <w:tblCellMar>
          <w:top w:w="0" w:type="dxa"/>
          <w:bottom w:w="14" w:type="dxa"/>
        </w:tblCellMar>
        <w:tblLook w:val="04A0" w:firstRow="1" w:lastRow="0" w:firstColumn="1" w:lastColumn="0" w:noHBand="0" w:noVBand="1"/>
      </w:tblPr>
      <w:tblGrid>
        <w:gridCol w:w="3212"/>
        <w:gridCol w:w="4356"/>
        <w:gridCol w:w="3528"/>
      </w:tblGrid>
      <w:tr w:rsidR="00FD3876" w14:paraId="3C431A37" w14:textId="77777777" w:rsidTr="00FD3876">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15409C58" w14:textId="14E7DD47" w:rsidR="00FD3876" w:rsidRDefault="00FD3876" w:rsidP="00FD3876">
            <w:pPr>
              <w:pStyle w:val="TableHeadingLeft"/>
              <w:keepNext/>
              <w:keepLines/>
            </w:pPr>
            <w:r w:rsidRPr="00B55D4B">
              <w:t>MPI Description</w:t>
            </w:r>
          </w:p>
        </w:tc>
        <w:tc>
          <w:tcPr>
            <w:tcW w:w="0" w:type="auto"/>
            <w:tcBorders>
              <w:bottom w:val="single" w:sz="4" w:space="0" w:color="4A4D56" w:themeColor="text1"/>
              <w:right w:val="single" w:sz="4" w:space="0" w:color="4A4D56" w:themeColor="text1"/>
            </w:tcBorders>
          </w:tcPr>
          <w:p w14:paraId="6CD2C651" w14:textId="1A1E7DE8" w:rsidR="00FD3876" w:rsidRPr="00625570" w:rsidRDefault="00FD3876" w:rsidP="00FD3876">
            <w:pPr>
              <w:pStyle w:val="TableHeadingLeft"/>
              <w:keepNext/>
              <w:keepLines/>
              <w:jc w:val="center"/>
              <w:cnfStyle w:val="100000000000" w:firstRow="1" w:lastRow="0" w:firstColumn="0" w:lastColumn="0" w:oddVBand="0" w:evenVBand="0" w:oddHBand="0" w:evenHBand="0" w:firstRowFirstColumn="0" w:firstRowLastColumn="0" w:lastRowFirstColumn="0" w:lastRowLastColumn="0"/>
            </w:pPr>
            <w:r w:rsidRPr="00B55D4B">
              <w:t>2024 MPI Results</w:t>
            </w:r>
          </w:p>
        </w:tc>
        <w:tc>
          <w:tcPr>
            <w:tcW w:w="0" w:type="auto"/>
            <w:tcBorders>
              <w:left w:val="single" w:sz="4" w:space="0" w:color="4A4D56" w:themeColor="text1"/>
              <w:bottom w:val="single" w:sz="4" w:space="0" w:color="4A4D56" w:themeColor="text1"/>
              <w:right w:val="single" w:sz="4" w:space="0" w:color="4A4D56" w:themeColor="text1"/>
            </w:tcBorders>
          </w:tcPr>
          <w:p w14:paraId="6D0F1513" w14:textId="4EC6DE96" w:rsidR="00FD3876" w:rsidRPr="00625570" w:rsidRDefault="00FD3876" w:rsidP="00FD3876">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B55D4B">
              <w:t>2027 MPI Target</w:t>
            </w:r>
          </w:p>
        </w:tc>
      </w:tr>
      <w:tr w:rsidR="00FD3876" w14:paraId="3857BDAA" w14:textId="77777777" w:rsidTr="00FD3876">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1448A121" w14:textId="329C12C3" w:rsidR="00FD3876" w:rsidRDefault="00FD3876" w:rsidP="00FD3876">
            <w:pPr>
              <w:pStyle w:val="TableLeftText"/>
              <w:keepNext/>
              <w:keepLines/>
            </w:pPr>
            <w:r w:rsidRPr="00B55D4B">
              <w:rPr>
                <w:b/>
                <w:bCs/>
              </w:rPr>
              <w:t>MPI I:</w:t>
            </w:r>
            <w:r w:rsidRPr="00FD3876">
              <w:t xml:space="preserve"> Increased </w:t>
            </w:r>
            <w:r w:rsidRPr="00B55D4B">
              <w:t>awareness of LLLCs among the target market</w:t>
            </w:r>
          </w:p>
        </w:tc>
        <w:tc>
          <w:tcPr>
            <w:tcW w:w="0" w:type="auto"/>
            <w:tcBorders>
              <w:top w:val="single" w:sz="4" w:space="0" w:color="4A4D56" w:themeColor="text1"/>
            </w:tcBorders>
          </w:tcPr>
          <w:p w14:paraId="0590A81D" w14:textId="77777777" w:rsidR="00FD3876" w:rsidRPr="00B55D4B" w:rsidRDefault="00FD3876" w:rsidP="00FD3876">
            <w:pPr>
              <w:pStyle w:val="TableBullet"/>
              <w:keepNext/>
              <w:keepLines/>
              <w:cnfStyle w:val="000000100000" w:firstRow="0" w:lastRow="0" w:firstColumn="0" w:lastColumn="0" w:oddVBand="0" w:evenVBand="0" w:oddHBand="1" w:evenHBand="0" w:firstRowFirstColumn="0" w:firstRowLastColumn="0" w:lastRowFirstColumn="0" w:lastRowLastColumn="0"/>
            </w:pPr>
            <w:r w:rsidRPr="00B55D4B">
              <w:t>36% customer awareness</w:t>
            </w:r>
          </w:p>
          <w:p w14:paraId="755182A0" w14:textId="198E07F3" w:rsidR="00FD3876" w:rsidRPr="00625570" w:rsidRDefault="00FD3876" w:rsidP="00FD3876">
            <w:pPr>
              <w:pStyle w:val="TableBullet"/>
              <w:keepNext/>
              <w:keepLines/>
              <w:cnfStyle w:val="000000100000" w:firstRow="0" w:lastRow="0" w:firstColumn="0" w:lastColumn="0" w:oddVBand="0" w:evenVBand="0" w:oddHBand="1" w:evenHBand="0" w:firstRowFirstColumn="0" w:firstRowLastColumn="0" w:lastRowFirstColumn="0" w:lastRowLastColumn="0"/>
            </w:pPr>
            <w:r w:rsidRPr="00B55D4B">
              <w:t>92% installer awareness</w:t>
            </w:r>
          </w:p>
        </w:tc>
        <w:tc>
          <w:tcPr>
            <w:tcW w:w="0" w:type="auto"/>
            <w:tcBorders>
              <w:top w:val="single" w:sz="4" w:space="0" w:color="4A4D56" w:themeColor="text1"/>
            </w:tcBorders>
          </w:tcPr>
          <w:p w14:paraId="78D3BD94" w14:textId="77777777" w:rsidR="00FD3876" w:rsidRPr="00B55D4B" w:rsidRDefault="00FD3876" w:rsidP="00FD3876">
            <w:pPr>
              <w:pStyle w:val="TableBullet"/>
              <w:keepNext/>
              <w:keepLines/>
              <w:cnfStyle w:val="000000100000" w:firstRow="0" w:lastRow="0" w:firstColumn="0" w:lastColumn="0" w:oddVBand="0" w:evenVBand="0" w:oddHBand="1" w:evenHBand="0" w:firstRowFirstColumn="0" w:firstRowLastColumn="0" w:lastRowFirstColumn="0" w:lastRowLastColumn="0"/>
            </w:pPr>
            <w:r w:rsidRPr="00B55D4B">
              <w:t xml:space="preserve">50% customer awareness </w:t>
            </w:r>
          </w:p>
          <w:p w14:paraId="530D1B60" w14:textId="6E1CE1D4" w:rsidR="00FD3876" w:rsidRPr="000B7901" w:rsidRDefault="00FD3876" w:rsidP="00FD3876">
            <w:pPr>
              <w:pStyle w:val="TableBullet"/>
              <w:keepNext/>
              <w:keepLines/>
              <w:cnfStyle w:val="000000100000" w:firstRow="0" w:lastRow="0" w:firstColumn="0" w:lastColumn="0" w:oddVBand="0" w:evenVBand="0" w:oddHBand="1" w:evenHBand="0" w:firstRowFirstColumn="0" w:firstRowLastColumn="0" w:lastRowFirstColumn="0" w:lastRowLastColumn="0"/>
            </w:pPr>
            <w:r w:rsidRPr="00B55D4B">
              <w:t>95% installer awareness</w:t>
            </w:r>
          </w:p>
        </w:tc>
      </w:tr>
      <w:tr w:rsidR="00FD3876" w14:paraId="7E42374A" w14:textId="77777777" w:rsidTr="00FD3876">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3B618FF6" w14:textId="09B0B2DC" w:rsidR="00FD3876" w:rsidRDefault="00FD3876" w:rsidP="00FD3876">
            <w:pPr>
              <w:pStyle w:val="TableLeftText"/>
              <w:keepNext/>
              <w:keepLines/>
            </w:pPr>
            <w:r w:rsidRPr="00B55D4B">
              <w:rPr>
                <w:b/>
                <w:bCs/>
              </w:rPr>
              <w:t xml:space="preserve">MPI II: </w:t>
            </w:r>
            <w:r w:rsidRPr="00B55D4B">
              <w:t>Increased familiarity with LLLCs among the target market</w:t>
            </w:r>
          </w:p>
        </w:tc>
        <w:tc>
          <w:tcPr>
            <w:tcW w:w="0" w:type="auto"/>
          </w:tcPr>
          <w:p w14:paraId="461867D0" w14:textId="77777777" w:rsidR="00FD3876" w:rsidRPr="00B55D4B" w:rsidRDefault="00FD3876" w:rsidP="00FD3876">
            <w:pPr>
              <w:pStyle w:val="TableBullet"/>
              <w:keepNext/>
              <w:keepLines/>
              <w:cnfStyle w:val="000000010000" w:firstRow="0" w:lastRow="0" w:firstColumn="0" w:lastColumn="0" w:oddVBand="0" w:evenVBand="0" w:oddHBand="0" w:evenHBand="1" w:firstRowFirstColumn="0" w:firstRowLastColumn="0" w:lastRowFirstColumn="0" w:lastRowLastColumn="0"/>
            </w:pPr>
            <w:r w:rsidRPr="00B55D4B">
              <w:t>37% customer familiarity</w:t>
            </w:r>
          </w:p>
          <w:p w14:paraId="1913F6D4" w14:textId="31537BB8" w:rsidR="00FD3876" w:rsidRPr="00625570" w:rsidRDefault="00FD3876" w:rsidP="00FD3876">
            <w:pPr>
              <w:pStyle w:val="TableBullet"/>
              <w:keepNext/>
              <w:keepLines/>
              <w:cnfStyle w:val="000000010000" w:firstRow="0" w:lastRow="0" w:firstColumn="0" w:lastColumn="0" w:oddVBand="0" w:evenVBand="0" w:oddHBand="0" w:evenHBand="1" w:firstRowFirstColumn="0" w:firstRowLastColumn="0" w:lastRowFirstColumn="0" w:lastRowLastColumn="0"/>
            </w:pPr>
            <w:r w:rsidRPr="00B55D4B">
              <w:t>70% trade ally familiarity</w:t>
            </w:r>
          </w:p>
        </w:tc>
        <w:tc>
          <w:tcPr>
            <w:tcW w:w="0" w:type="auto"/>
          </w:tcPr>
          <w:p w14:paraId="2DF0F537" w14:textId="3148CD0C" w:rsidR="00FD3876" w:rsidRPr="000B7901" w:rsidRDefault="00FD3876" w:rsidP="00FD3876">
            <w:pPr>
              <w:pStyle w:val="TableBullet"/>
              <w:keepNext/>
              <w:keepLines/>
              <w:cnfStyle w:val="000000010000" w:firstRow="0" w:lastRow="0" w:firstColumn="0" w:lastColumn="0" w:oddVBand="0" w:evenVBand="0" w:oddHBand="0" w:evenHBand="1" w:firstRowFirstColumn="0" w:firstRowLastColumn="0" w:lastRowFirstColumn="0" w:lastRowLastColumn="0"/>
            </w:pPr>
            <w:r w:rsidRPr="00B55D4B">
              <w:t>3.5/5 (70%) familiarity across target market</w:t>
            </w:r>
            <w:r w:rsidR="00532A15">
              <w:t>s</w:t>
            </w:r>
          </w:p>
        </w:tc>
      </w:tr>
      <w:tr w:rsidR="00FD3876" w14:paraId="7D98FF5C" w14:textId="77777777" w:rsidTr="00FD3876">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33FEEA7D" w14:textId="73392EB7" w:rsidR="00FD3876" w:rsidRDefault="00FD3876" w:rsidP="00FD3876">
            <w:pPr>
              <w:pStyle w:val="TableLeftText"/>
              <w:keepNext/>
              <w:keepLines/>
            </w:pPr>
            <w:r w:rsidRPr="00B55D4B">
              <w:rPr>
                <w:b/>
                <w:bCs/>
              </w:rPr>
              <w:t xml:space="preserve">MPI III: </w:t>
            </w:r>
            <w:r w:rsidRPr="00B55D4B">
              <w:t>Increased recommendation of LLLCs among the target market</w:t>
            </w:r>
          </w:p>
        </w:tc>
        <w:tc>
          <w:tcPr>
            <w:tcW w:w="0" w:type="auto"/>
          </w:tcPr>
          <w:p w14:paraId="4D5019E1" w14:textId="1F60AD66" w:rsidR="00FD3876" w:rsidRPr="00625570" w:rsidRDefault="00FD3876" w:rsidP="00FD3876">
            <w:pPr>
              <w:pStyle w:val="TableBullet"/>
              <w:keepNext/>
              <w:keepLines/>
              <w:cnfStyle w:val="000000100000" w:firstRow="0" w:lastRow="0" w:firstColumn="0" w:lastColumn="0" w:oddVBand="0" w:evenVBand="0" w:oddHBand="1" w:evenHBand="0" w:firstRowFirstColumn="0" w:firstRowLastColumn="0" w:lastRowFirstColumn="0" w:lastRowLastColumn="0"/>
            </w:pPr>
            <w:r w:rsidRPr="00B55D4B">
              <w:t xml:space="preserve">50% of </w:t>
            </w:r>
            <w:r w:rsidR="00D20339">
              <w:t xml:space="preserve">the </w:t>
            </w:r>
            <w:r w:rsidRPr="00B55D4B">
              <w:t>target market surveyed recommends LLLCs</w:t>
            </w:r>
          </w:p>
        </w:tc>
        <w:tc>
          <w:tcPr>
            <w:tcW w:w="0" w:type="auto"/>
          </w:tcPr>
          <w:p w14:paraId="14FD9A4B" w14:textId="171BC516" w:rsidR="00FD3876" w:rsidRPr="000B7901" w:rsidRDefault="00FD3876" w:rsidP="00FD3876">
            <w:pPr>
              <w:pStyle w:val="TableBullet"/>
              <w:keepNext/>
              <w:keepLines/>
              <w:cnfStyle w:val="000000100000" w:firstRow="0" w:lastRow="0" w:firstColumn="0" w:lastColumn="0" w:oddVBand="0" w:evenVBand="0" w:oddHBand="1" w:evenHBand="0" w:firstRowFirstColumn="0" w:firstRowLastColumn="0" w:lastRowFirstColumn="0" w:lastRowLastColumn="0"/>
            </w:pPr>
            <w:r w:rsidRPr="00B55D4B">
              <w:t xml:space="preserve">65% of </w:t>
            </w:r>
            <w:r w:rsidR="00D20339">
              <w:t xml:space="preserve">the </w:t>
            </w:r>
            <w:r w:rsidRPr="00B55D4B">
              <w:t xml:space="preserve">applicable target market recommends LLLCs </w:t>
            </w:r>
          </w:p>
        </w:tc>
      </w:tr>
      <w:tr w:rsidR="00FD3876" w14:paraId="6DF34C0B" w14:textId="77777777" w:rsidTr="00FD3876">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3F537DEB" w14:textId="1928D531" w:rsidR="00FD3876" w:rsidRDefault="00FD3876" w:rsidP="00FD3876">
            <w:pPr>
              <w:pStyle w:val="TableLeftText"/>
              <w:keepNext/>
              <w:keepLines/>
            </w:pPr>
            <w:r w:rsidRPr="00B55D4B">
              <w:rPr>
                <w:b/>
                <w:bCs/>
              </w:rPr>
              <w:t xml:space="preserve">MPI IV: </w:t>
            </w:r>
            <w:r w:rsidRPr="00B55D4B">
              <w:t>Increased installation of LLLC</w:t>
            </w:r>
            <w:r w:rsidR="00C3102B">
              <w:t>s</w:t>
            </w:r>
            <w:r w:rsidRPr="00B55D4B">
              <w:t xml:space="preserve"> among end-use customers</w:t>
            </w:r>
          </w:p>
        </w:tc>
        <w:tc>
          <w:tcPr>
            <w:tcW w:w="0" w:type="auto"/>
          </w:tcPr>
          <w:p w14:paraId="5B0D09A0" w14:textId="77777777" w:rsidR="00FD3876" w:rsidRPr="00B55D4B" w:rsidRDefault="00FD3876" w:rsidP="00FD3876">
            <w:pPr>
              <w:pStyle w:val="TableBullet"/>
              <w:keepNext/>
              <w:keepLines/>
              <w:cnfStyle w:val="000000010000" w:firstRow="0" w:lastRow="0" w:firstColumn="0" w:lastColumn="0" w:oddVBand="0" w:evenVBand="0" w:oddHBand="0" w:evenHBand="1" w:firstRowFirstColumn="0" w:firstRowLastColumn="0" w:lastRowFirstColumn="0" w:lastRowLastColumn="0"/>
            </w:pPr>
            <w:r w:rsidRPr="00B55D4B">
              <w:t>1.5% of customers surveyed have LLLCs installed</w:t>
            </w:r>
          </w:p>
          <w:p w14:paraId="7189735D" w14:textId="1E372E3F" w:rsidR="00FD3876" w:rsidRPr="00625570" w:rsidRDefault="00FD3876" w:rsidP="00FD3876">
            <w:pPr>
              <w:pStyle w:val="TableBullet"/>
              <w:keepNext/>
              <w:keepLines/>
              <w:cnfStyle w:val="000000010000" w:firstRow="0" w:lastRow="0" w:firstColumn="0" w:lastColumn="0" w:oddVBand="0" w:evenVBand="0" w:oddHBand="0" w:evenHBand="1" w:firstRowFirstColumn="0" w:firstRowLastColumn="0" w:lastRowFirstColumn="0" w:lastRowLastColumn="0"/>
            </w:pPr>
            <w:r w:rsidRPr="00B55D4B">
              <w:t>Five of seven customers (71%) followed through on LLLC recommendations</w:t>
            </w:r>
          </w:p>
        </w:tc>
        <w:tc>
          <w:tcPr>
            <w:tcW w:w="0" w:type="auto"/>
          </w:tcPr>
          <w:p w14:paraId="411BBC3C" w14:textId="45F5E8AC" w:rsidR="00FD3876" w:rsidRPr="000B7901" w:rsidRDefault="00FD3876" w:rsidP="00FD3876">
            <w:pPr>
              <w:pStyle w:val="TableBullet"/>
              <w:keepNext/>
              <w:keepLines/>
              <w:cnfStyle w:val="000000010000" w:firstRow="0" w:lastRow="0" w:firstColumn="0" w:lastColumn="0" w:oddVBand="0" w:evenVBand="0" w:oddHBand="0" w:evenHBand="1" w:firstRowFirstColumn="0" w:firstRowLastColumn="0" w:lastRowFirstColumn="0" w:lastRowLastColumn="0"/>
            </w:pPr>
            <w:r w:rsidRPr="00B55D4B">
              <w:t>65% of customers install LLLCs when recommended by contractors or installers</w:t>
            </w:r>
          </w:p>
        </w:tc>
      </w:tr>
      <w:tr w:rsidR="00FD3876" w14:paraId="19261E37" w14:textId="77777777" w:rsidTr="00FD3876">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3A7D3718" w14:textId="44759F57" w:rsidR="00FD3876" w:rsidRDefault="00FD3876" w:rsidP="00FD3876">
            <w:pPr>
              <w:pStyle w:val="TableLeftText"/>
            </w:pPr>
            <w:r w:rsidRPr="00B55D4B">
              <w:rPr>
                <w:b/>
                <w:bCs/>
              </w:rPr>
              <w:t xml:space="preserve">MPI V: </w:t>
            </w:r>
            <w:r w:rsidRPr="00B55D4B">
              <w:t>Increased number of trained contractors and installers</w:t>
            </w:r>
          </w:p>
        </w:tc>
        <w:tc>
          <w:tcPr>
            <w:tcW w:w="0" w:type="auto"/>
          </w:tcPr>
          <w:p w14:paraId="29B944AC" w14:textId="20D46725" w:rsidR="00FD3876" w:rsidRPr="00625570" w:rsidRDefault="00FD3876" w:rsidP="00FD3876">
            <w:pPr>
              <w:pStyle w:val="TableBullet"/>
              <w:cnfStyle w:val="000000100000" w:firstRow="0" w:lastRow="0" w:firstColumn="0" w:lastColumn="0" w:oddVBand="0" w:evenVBand="0" w:oddHBand="1" w:evenHBand="0" w:firstRowFirstColumn="0" w:firstRowLastColumn="0" w:lastRowFirstColumn="0" w:lastRowLastColumn="0"/>
            </w:pPr>
            <w:r w:rsidRPr="00B55D4B">
              <w:t>Training participants report a 42% increase in LLLC knowledge</w:t>
            </w:r>
            <w:r w:rsidR="00D20339">
              <w:t>,</w:t>
            </w:r>
            <w:r w:rsidRPr="00B55D4B">
              <w:t xml:space="preserve"> and 51% are confident selling LLLCs</w:t>
            </w:r>
          </w:p>
        </w:tc>
        <w:tc>
          <w:tcPr>
            <w:tcW w:w="0" w:type="auto"/>
          </w:tcPr>
          <w:p w14:paraId="438C4BEE" w14:textId="1329FE26" w:rsidR="00FD3876" w:rsidRPr="000B7901" w:rsidRDefault="00FD3876" w:rsidP="00FD3876">
            <w:pPr>
              <w:pStyle w:val="TableBullet"/>
              <w:cnfStyle w:val="000000100000" w:firstRow="0" w:lastRow="0" w:firstColumn="0" w:lastColumn="0" w:oddVBand="0" w:evenVBand="0" w:oddHBand="1" w:evenHBand="0" w:firstRowFirstColumn="0" w:firstRowLastColumn="0" w:lastRowFirstColumn="0" w:lastRowLastColumn="0"/>
            </w:pPr>
            <w:r w:rsidRPr="00B55D4B">
              <w:t>25% of program allies can explain, describe, and sell LLLCs</w:t>
            </w:r>
          </w:p>
        </w:tc>
      </w:tr>
    </w:tbl>
    <w:p w14:paraId="0303BEF2" w14:textId="77777777" w:rsidR="00685354" w:rsidRPr="00685354" w:rsidRDefault="00685354" w:rsidP="00685354"/>
    <w:p w14:paraId="53C5126A" w14:textId="02E61BA6" w:rsidR="00F333A5" w:rsidRDefault="00F333A5" w:rsidP="000E40E5">
      <w:pPr>
        <w:pStyle w:val="Heading1"/>
      </w:pPr>
      <w:bookmarkStart w:id="6" w:name="_Toc192240883"/>
      <w:r>
        <w:lastRenderedPageBreak/>
        <w:t>Introduction</w:t>
      </w:r>
      <w:r w:rsidR="00FD24D9">
        <w:t xml:space="preserve"> and</w:t>
      </w:r>
      <w:r>
        <w:t xml:space="preserve"> </w:t>
      </w:r>
      <w:r w:rsidRPr="00685354">
        <w:t>Background</w:t>
      </w:r>
      <w:bookmarkEnd w:id="6"/>
    </w:p>
    <w:p w14:paraId="2842DA4F" w14:textId="2CFBFB52" w:rsidR="00D40B32" w:rsidRDefault="00205DFD" w:rsidP="007D5C4B">
      <w:r>
        <w:t>LLLCs</w:t>
      </w:r>
      <w:r w:rsidR="00C36D95">
        <w:t>, a subset of NLCs</w:t>
      </w:r>
      <w:r>
        <w:t xml:space="preserve">, </w:t>
      </w:r>
      <w:r w:rsidR="00C36D95">
        <w:t xml:space="preserve">have been available for about a decade, but </w:t>
      </w:r>
      <w:r w:rsidR="00463CEE">
        <w:t>are still in the early stages of market adoption</w:t>
      </w:r>
      <w:r w:rsidR="00C36D95">
        <w:t>. AIC and Illinois stakeholders recognized significant untapped energy savings potential from LLLCs</w:t>
      </w:r>
      <w:r w:rsidR="00AF1F48">
        <w:t>, and i</w:t>
      </w:r>
      <w:r w:rsidR="00CD2D3A">
        <w:t>n</w:t>
      </w:r>
      <w:r w:rsidR="00D40B32">
        <w:t xml:space="preserve"> late 2021, AIC launched the </w:t>
      </w:r>
      <w:r w:rsidR="000D573F">
        <w:t>LLLC Pilot</w:t>
      </w:r>
      <w:r w:rsidR="00D40B32">
        <w:t xml:space="preserve"> as an </w:t>
      </w:r>
      <w:r w:rsidR="00E97F62">
        <w:t>MTI</w:t>
      </w:r>
      <w:r w:rsidR="00D40B32">
        <w:t xml:space="preserve"> to accelerate </w:t>
      </w:r>
      <w:r w:rsidR="00330FB7">
        <w:t xml:space="preserve">the </w:t>
      </w:r>
      <w:r w:rsidR="00D40B32">
        <w:t>adoption of LLLCs within its service territory</w:t>
      </w:r>
      <w:r w:rsidR="00C36D95">
        <w:t>.</w:t>
      </w:r>
      <w:r w:rsidR="00D40B32">
        <w:t xml:space="preserve"> </w:t>
      </w:r>
      <w:r w:rsidR="00C36D95">
        <w:t xml:space="preserve">2024 </w:t>
      </w:r>
      <w:r w:rsidR="00801860">
        <w:t>marked</w:t>
      </w:r>
      <w:r w:rsidR="00C36D95">
        <w:t xml:space="preserve"> the third full year of </w:t>
      </w:r>
      <w:r w:rsidR="000D573F">
        <w:t>LLLC Pilot</w:t>
      </w:r>
      <w:r w:rsidR="00047028">
        <w:t xml:space="preserve"> </w:t>
      </w:r>
      <w:r w:rsidR="00C36D95">
        <w:t xml:space="preserve">implementation </w:t>
      </w:r>
      <w:r w:rsidR="00801860">
        <w:t>and the first in which several measurable market outcomes were anticipated to begin taking effect</w:t>
      </w:r>
      <w:r w:rsidR="00C36D95">
        <w:t>.</w:t>
      </w:r>
      <w:r w:rsidR="00C63B52">
        <w:t xml:space="preserve"> </w:t>
      </w:r>
    </w:p>
    <w:p w14:paraId="62E83B6E" w14:textId="35E92C27" w:rsidR="00EC7633" w:rsidRDefault="007D5C4B" w:rsidP="0076102F">
      <w:pPr>
        <w:pStyle w:val="NoSpacing"/>
      </w:pPr>
      <w:r>
        <w:t xml:space="preserve">AIC’s </w:t>
      </w:r>
      <w:r w:rsidR="005F2044">
        <w:t xml:space="preserve">energy efficiency </w:t>
      </w:r>
      <w:r>
        <w:t xml:space="preserve">portfolio has </w:t>
      </w:r>
      <w:r w:rsidR="00DD2419">
        <w:t>historically</w:t>
      </w:r>
      <w:r>
        <w:t xml:space="preserve"> focused</w:t>
      </w:r>
      <w:r w:rsidR="00DD2419">
        <w:t xml:space="preserve"> </w:t>
      </w:r>
      <w:r>
        <w:t xml:space="preserve">on </w:t>
      </w:r>
      <w:r w:rsidR="00205DFD">
        <w:t>RA</w:t>
      </w:r>
      <w:r>
        <w:t xml:space="preserve"> programs. In RA programs, the program implementer </w:t>
      </w:r>
      <w:r w:rsidR="00EC7633">
        <w:t xml:space="preserve">aims to </w:t>
      </w:r>
      <w:r w:rsidR="00F03E9F">
        <w:t xml:space="preserve">directly </w:t>
      </w:r>
      <w:r w:rsidR="00EC7633">
        <w:t xml:space="preserve">influence </w:t>
      </w:r>
      <w:r>
        <w:t xml:space="preserve">the decision-making and behaviors of individual actors (i.e., program participants), </w:t>
      </w:r>
      <w:r w:rsidR="00AF1F48">
        <w:t xml:space="preserve">encouraging </w:t>
      </w:r>
      <w:r w:rsidR="00AF1F48" w:rsidRPr="000C1BB0">
        <w:t xml:space="preserve">them to take </w:t>
      </w:r>
      <w:r w:rsidR="00AF1F48">
        <w:t xml:space="preserve">energy-saving actions they would not have </w:t>
      </w:r>
      <w:r w:rsidR="00AF1F48" w:rsidRPr="000C1BB0">
        <w:t xml:space="preserve">taken </w:t>
      </w:r>
      <w:r w:rsidR="00AF1F48">
        <w:t>in the absence of program interventions</w:t>
      </w:r>
      <w:r>
        <w:t>.</w:t>
      </w:r>
      <w:r w:rsidR="00AF1F48">
        <w:t xml:space="preserve"> </w:t>
      </w:r>
      <w:r w:rsidR="00E97F62">
        <w:t xml:space="preserve">The LLLC Pilot, however, is an MT program. </w:t>
      </w:r>
      <w:r w:rsidR="00E97F62" w:rsidRPr="000C1BB0">
        <w:t xml:space="preserve"> </w:t>
      </w:r>
      <w:r w:rsidR="000C1BB0" w:rsidRPr="000C1BB0">
        <w:t xml:space="preserve">Theoretically, MT programs involve </w:t>
      </w:r>
      <w:r w:rsidR="000C1BB0">
        <w:t xml:space="preserve">a shift in focus </w:t>
      </w:r>
      <w:r w:rsidR="000C1BB0" w:rsidRPr="000C1BB0">
        <w:t xml:space="preserve">away from </w:t>
      </w:r>
      <w:r w:rsidR="00205DFD">
        <w:t>influencing</w:t>
      </w:r>
      <w:r w:rsidR="00205DFD" w:rsidRPr="000C1BB0">
        <w:t xml:space="preserve"> </w:t>
      </w:r>
      <w:r w:rsidR="000C1BB0" w:rsidRPr="000C1BB0">
        <w:t xml:space="preserve">individuals’ actions and </w:t>
      </w:r>
      <w:r w:rsidR="000C1BB0">
        <w:t xml:space="preserve">instead toward </w:t>
      </w:r>
      <w:r w:rsidR="000C1BB0" w:rsidRPr="000C1BB0">
        <w:t xml:space="preserve">changing the structure and function of an entire market. By doing so, MT programs have the potential to provide substantial benefits to society because </w:t>
      </w:r>
      <w:r w:rsidR="000C1BB0" w:rsidRPr="00B55D4B">
        <w:t xml:space="preserve">the offering directly influences </w:t>
      </w:r>
      <w:r w:rsidR="00C3102B">
        <w:t xml:space="preserve">various </w:t>
      </w:r>
      <w:r w:rsidR="000C1BB0" w:rsidRPr="00B55D4B">
        <w:t xml:space="preserve">market dynamics </w:t>
      </w:r>
      <w:r w:rsidR="000C1BB0">
        <w:t xml:space="preserve">and </w:t>
      </w:r>
      <w:r w:rsidR="000C1BB0" w:rsidRPr="00B55D4B">
        <w:t>the actions of a broader pool of market actors</w:t>
      </w:r>
      <w:r w:rsidR="000C1BB0" w:rsidRPr="000C1BB0">
        <w:t>.</w:t>
      </w:r>
      <w:r w:rsidR="000C1BB0">
        <w:t xml:space="preserve"> </w:t>
      </w:r>
      <w:r>
        <w:t>MT programs are generally more complex</w:t>
      </w:r>
      <w:r w:rsidR="0060003F" w:rsidRPr="0060003F">
        <w:t xml:space="preserve"> </w:t>
      </w:r>
      <w:r w:rsidR="0060003F">
        <w:t>to design and implement</w:t>
      </w:r>
      <w:r w:rsidR="00390DA7">
        <w:t xml:space="preserve"> than RA programs</w:t>
      </w:r>
      <w:r>
        <w:t xml:space="preserve"> </w:t>
      </w:r>
      <w:r w:rsidR="00390DA7">
        <w:t xml:space="preserve">for </w:t>
      </w:r>
      <w:r w:rsidR="0060003F">
        <w:t>several</w:t>
      </w:r>
      <w:r w:rsidR="00390DA7">
        <w:t xml:space="preserve"> reasons:</w:t>
      </w:r>
    </w:p>
    <w:p w14:paraId="6367465F" w14:textId="2869C92A" w:rsidR="00EC7633" w:rsidRDefault="00EC7633" w:rsidP="00EC7633">
      <w:pPr>
        <w:pStyle w:val="ListBullet"/>
      </w:pPr>
      <w:r>
        <w:t>T</w:t>
      </w:r>
      <w:r w:rsidR="007D5C4B">
        <w:t xml:space="preserve">hey are aimed at affecting dynamic markets </w:t>
      </w:r>
      <w:r w:rsidR="0060003F">
        <w:t xml:space="preserve">involving </w:t>
      </w:r>
      <w:r w:rsidR="007D5C4B">
        <w:t>an array of actors</w:t>
      </w:r>
      <w:r w:rsidR="00390DA7">
        <w:t>.</w:t>
      </w:r>
      <w:r w:rsidR="007D5C4B">
        <w:t xml:space="preserve"> </w:t>
      </w:r>
    </w:p>
    <w:p w14:paraId="58DE0642" w14:textId="3D2CFD47" w:rsidR="00EC7633" w:rsidRDefault="00EC7633" w:rsidP="00EC7633">
      <w:pPr>
        <w:pStyle w:val="ListBullet"/>
      </w:pPr>
      <w:r>
        <w:t>T</w:t>
      </w:r>
      <w:r w:rsidR="007D5C4B">
        <w:t xml:space="preserve">he timeframe </w:t>
      </w:r>
      <w:r w:rsidR="0060003F">
        <w:t xml:space="preserve">on which </w:t>
      </w:r>
      <w:r w:rsidR="007D5C4B">
        <w:t xml:space="preserve">MT programs operate is generally </w:t>
      </w:r>
      <w:r>
        <w:t>longer (</w:t>
      </w:r>
      <w:r w:rsidR="0060003F">
        <w:t xml:space="preserve">often </w:t>
      </w:r>
      <w:r w:rsidR="005F2044">
        <w:t>10</w:t>
      </w:r>
      <w:r w:rsidR="0060003F">
        <w:t>+ years</w:t>
      </w:r>
      <w:r>
        <w:t>)</w:t>
      </w:r>
      <w:r w:rsidR="00390DA7">
        <w:t>.</w:t>
      </w:r>
      <w:r w:rsidR="005F2044">
        <w:rPr>
          <w:rStyle w:val="FootnoteReference"/>
        </w:rPr>
        <w:footnoteReference w:id="2"/>
      </w:r>
      <w:r w:rsidR="007D5C4B">
        <w:t xml:space="preserve"> </w:t>
      </w:r>
    </w:p>
    <w:p w14:paraId="561E4FE9" w14:textId="457FDFC7" w:rsidR="00EC7633" w:rsidRDefault="00EC7633" w:rsidP="00EC7633">
      <w:pPr>
        <w:pStyle w:val="ListBullet"/>
      </w:pPr>
      <w:r>
        <w:t>T</w:t>
      </w:r>
      <w:r w:rsidR="007D5C4B">
        <w:t xml:space="preserve">he savings/impacts </w:t>
      </w:r>
      <w:r w:rsidR="0060003F">
        <w:t>are typically</w:t>
      </w:r>
      <w:r w:rsidR="007D5C4B">
        <w:t xml:space="preserve"> harder to measure</w:t>
      </w:r>
      <w:r w:rsidR="0060003F">
        <w:t xml:space="preserve"> in the absence of traditional tracking data.</w:t>
      </w:r>
    </w:p>
    <w:p w14:paraId="5A8F7CEA" w14:textId="1C2C93B7" w:rsidR="007D5C4B" w:rsidRDefault="00EC7633" w:rsidP="0092522D">
      <w:pPr>
        <w:pStyle w:val="ListBullet"/>
      </w:pPr>
      <w:r>
        <w:t>A</w:t>
      </w:r>
      <w:r w:rsidR="007D5C4B">
        <w:t>ttribution claims will be more complicated and uncertain.</w:t>
      </w:r>
    </w:p>
    <w:p w14:paraId="705F7060" w14:textId="329F99B3" w:rsidR="00763818" w:rsidRDefault="00A669A6" w:rsidP="00F333A5">
      <w:r>
        <w:t xml:space="preserve">As a result, substantial efforts are required to launch and measure the progress of MT programs. </w:t>
      </w:r>
      <w:r w:rsidR="00C36D95">
        <w:t xml:space="preserve">Over the first two years of the </w:t>
      </w:r>
      <w:r w:rsidR="000D573F">
        <w:t>LLLC Pilot</w:t>
      </w:r>
      <w:r w:rsidR="00C36D95">
        <w:t>, Opinion Dynamics worked with AIC and its consultant</w:t>
      </w:r>
      <w:r w:rsidR="0092522D">
        <w:t>,</w:t>
      </w:r>
      <w:r w:rsidR="00C36D95">
        <w:t xml:space="preserve"> Resource Innovations</w:t>
      </w:r>
      <w:r w:rsidR="0092522D">
        <w:t>,</w:t>
      </w:r>
      <w:r w:rsidR="00C36D95">
        <w:t xml:space="preserve"> to review and finalize foundational materials, including </w:t>
      </w:r>
      <w:r>
        <w:t>a logic</w:t>
      </w:r>
      <w:r w:rsidR="00C36D95">
        <w:t xml:space="preserve"> model</w:t>
      </w:r>
      <w:r w:rsidR="00D936A4">
        <w:t xml:space="preserve">, </w:t>
      </w:r>
      <w:r>
        <w:t>MPIs</w:t>
      </w:r>
      <w:r w:rsidR="00D936A4">
        <w:t xml:space="preserve"> and associated targets</w:t>
      </w:r>
      <w:r>
        <w:t>, NMB</w:t>
      </w:r>
      <w:r w:rsidR="00D936A4">
        <w:t xml:space="preserve"> forecasting</w:t>
      </w:r>
      <w:r>
        <w:t xml:space="preserve">, and a multi-year evaluation plan for the </w:t>
      </w:r>
      <w:r w:rsidR="000D573F">
        <w:t>LLLC Pilot</w:t>
      </w:r>
      <w:r>
        <w:t xml:space="preserve">. These materials were memorialized and approved by the Illinois Stakeholder Advisory Group (SAG) in the </w:t>
      </w:r>
      <w:r w:rsidR="009C28B9" w:rsidRPr="00795B35">
        <w:t>2023 AIC LLLC MTI Business Plan</w:t>
      </w:r>
      <w:r>
        <w:t>.</w:t>
      </w:r>
      <w:r>
        <w:rPr>
          <w:rStyle w:val="FootnoteReference"/>
        </w:rPr>
        <w:footnoteReference w:id="3"/>
      </w:r>
    </w:p>
    <w:p w14:paraId="1216BAE8" w14:textId="3AAC6EE1" w:rsidR="0092522D" w:rsidRDefault="00795B35" w:rsidP="00287BC8">
      <w:pPr>
        <w:keepNext/>
        <w:keepLines/>
      </w:pPr>
      <w:r>
        <w:lastRenderedPageBreak/>
        <w:fldChar w:fldCharType="begin"/>
      </w:r>
      <w:r>
        <w:instrText xml:space="preserve"> REF _Ref190871562 \h </w:instrText>
      </w:r>
      <w:r>
        <w:fldChar w:fldCharType="separate"/>
      </w:r>
      <w:r w:rsidR="00D0329D">
        <w:t xml:space="preserve">Figure </w:t>
      </w:r>
      <w:r w:rsidR="00D0329D">
        <w:rPr>
          <w:noProof/>
        </w:rPr>
        <w:t>1</w:t>
      </w:r>
      <w:r>
        <w:fldChar w:fldCharType="end"/>
      </w:r>
      <w:r>
        <w:t xml:space="preserve"> illustrates the logic model established in the </w:t>
      </w:r>
      <w:r w:rsidRPr="00795B35">
        <w:t>2023 AIC LLLC MTI Business Plan</w:t>
      </w:r>
      <w:r>
        <w:t>.</w:t>
      </w:r>
    </w:p>
    <w:p w14:paraId="7AB9D53C" w14:textId="7A03F5C0" w:rsidR="0092522D" w:rsidRDefault="0092522D" w:rsidP="00287BC8">
      <w:pPr>
        <w:pStyle w:val="Caption"/>
      </w:pPr>
      <w:bookmarkStart w:id="8" w:name="_Ref190871562"/>
      <w:bookmarkStart w:id="9" w:name="_Toc192173114"/>
      <w:r>
        <w:t xml:space="preserve">Figure </w:t>
      </w:r>
      <w:r>
        <w:fldChar w:fldCharType="begin"/>
      </w:r>
      <w:r>
        <w:instrText xml:space="preserve"> SEQ Figure \* ARABIC </w:instrText>
      </w:r>
      <w:r>
        <w:fldChar w:fldCharType="separate"/>
      </w:r>
      <w:r w:rsidR="00D0329D">
        <w:rPr>
          <w:noProof/>
        </w:rPr>
        <w:t>1</w:t>
      </w:r>
      <w:r>
        <w:fldChar w:fldCharType="end"/>
      </w:r>
      <w:bookmarkEnd w:id="8"/>
      <w:r>
        <w:t xml:space="preserve">. LLLC Pilot </w:t>
      </w:r>
      <w:r w:rsidR="00795B35">
        <w:t>Logic Model</w:t>
      </w:r>
      <w:bookmarkEnd w:id="9"/>
    </w:p>
    <w:p w14:paraId="7AA9EDA2" w14:textId="23075B88" w:rsidR="00795B35" w:rsidRPr="00795B35" w:rsidRDefault="00342C79" w:rsidP="00342C79">
      <w:pPr>
        <w:jc w:val="center"/>
      </w:pPr>
      <w:r>
        <w:rPr>
          <w:noProof/>
        </w:rPr>
        <w:drawing>
          <wp:inline distT="0" distB="0" distL="0" distR="0" wp14:anchorId="6C4F3AE2" wp14:editId="5E2E9E7E">
            <wp:extent cx="6248400" cy="4131945"/>
            <wp:effectExtent l="0" t="0" r="0" b="1905"/>
            <wp:docPr id="1337592821" name="Picture 6" descr="A diagram of a company's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592821" name="Picture 6" descr="A diagram of a company's company&#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6266936" cy="4144202"/>
                    </a:xfrm>
                    <a:prstGeom prst="rect">
                      <a:avLst/>
                    </a:prstGeom>
                  </pic:spPr>
                </pic:pic>
              </a:graphicData>
            </a:graphic>
          </wp:inline>
        </w:drawing>
      </w:r>
    </w:p>
    <w:p w14:paraId="5E97236F" w14:textId="4D753EC8" w:rsidR="00F333A5" w:rsidRDefault="00484562" w:rsidP="00F333A5">
      <w:r>
        <w:fldChar w:fldCharType="begin"/>
      </w:r>
      <w:r>
        <w:instrText xml:space="preserve"> REF _Ref190256875 \h </w:instrText>
      </w:r>
      <w:r>
        <w:fldChar w:fldCharType="separate"/>
      </w:r>
      <w:r w:rsidR="00D0329D">
        <w:t xml:space="preserve">Table </w:t>
      </w:r>
      <w:r w:rsidR="00D0329D">
        <w:rPr>
          <w:noProof/>
        </w:rPr>
        <w:t>2</w:t>
      </w:r>
      <w:r>
        <w:fldChar w:fldCharType="end"/>
      </w:r>
      <w:r w:rsidR="009C28B9">
        <w:t xml:space="preserve"> summarizes</w:t>
      </w:r>
      <w:r w:rsidR="009C28B9" w:rsidRPr="009C28B9">
        <w:t xml:space="preserve"> </w:t>
      </w:r>
      <w:r w:rsidR="009C28B9">
        <w:t xml:space="preserve">MPIs established by the </w:t>
      </w:r>
      <w:r w:rsidR="009C28B9" w:rsidRPr="00795B35">
        <w:t>2023 AIC LLLC MTI Business Plan</w:t>
      </w:r>
      <w:r w:rsidR="009C28B9" w:rsidRPr="009C28B9">
        <w:t xml:space="preserve"> meant to track anticipated market outcomes associated with </w:t>
      </w:r>
      <w:r w:rsidR="000D573F">
        <w:t>LLLC Pilot</w:t>
      </w:r>
      <w:r w:rsidR="009C28B9" w:rsidRPr="009C28B9">
        <w:t xml:space="preserve"> efforts</w:t>
      </w:r>
      <w:r w:rsidR="009C28B9">
        <w:t>, along with their</w:t>
      </w:r>
      <w:r w:rsidR="00390DA7">
        <w:t xml:space="preserve"> 2027</w:t>
      </w:r>
      <w:r w:rsidR="009C28B9">
        <w:t xml:space="preserve"> targets.</w:t>
      </w:r>
    </w:p>
    <w:p w14:paraId="0C353B91" w14:textId="2F947061" w:rsidR="00484562" w:rsidRDefault="00484562" w:rsidP="00287BC8">
      <w:pPr>
        <w:pStyle w:val="Caption"/>
      </w:pPr>
      <w:bookmarkStart w:id="10" w:name="_Ref190256875"/>
      <w:bookmarkStart w:id="11" w:name="_Toc192238279"/>
      <w:r>
        <w:t xml:space="preserve">Table </w:t>
      </w:r>
      <w:r>
        <w:fldChar w:fldCharType="begin"/>
      </w:r>
      <w:r>
        <w:instrText xml:space="preserve"> SEQ Table \* ARABIC </w:instrText>
      </w:r>
      <w:r>
        <w:fldChar w:fldCharType="separate"/>
      </w:r>
      <w:r w:rsidR="00D0329D">
        <w:rPr>
          <w:noProof/>
        </w:rPr>
        <w:t>2</w:t>
      </w:r>
      <w:r>
        <w:fldChar w:fldCharType="end"/>
      </w:r>
      <w:bookmarkEnd w:id="10"/>
      <w:r>
        <w:t>. LLLC Pilot MPI</w:t>
      </w:r>
      <w:r w:rsidR="00D0329D">
        <w:t xml:space="preserve"> Summary</w:t>
      </w:r>
      <w:bookmarkEnd w:id="11"/>
    </w:p>
    <w:tbl>
      <w:tblPr>
        <w:tblStyle w:val="ODCBasic-1"/>
        <w:tblW w:w="0" w:type="auto"/>
        <w:tblCellMar>
          <w:top w:w="0" w:type="dxa"/>
          <w:bottom w:w="14" w:type="dxa"/>
        </w:tblCellMar>
        <w:tblLook w:val="04A0" w:firstRow="1" w:lastRow="0" w:firstColumn="1" w:lastColumn="0" w:noHBand="0" w:noVBand="1"/>
      </w:tblPr>
      <w:tblGrid>
        <w:gridCol w:w="835"/>
        <w:gridCol w:w="5354"/>
        <w:gridCol w:w="4907"/>
      </w:tblGrid>
      <w:tr w:rsidR="00F52B2F" w14:paraId="748A1F9C" w14:textId="77777777" w:rsidTr="00795B35">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835" w:type="dxa"/>
            <w:tcBorders>
              <w:bottom w:val="single" w:sz="4" w:space="0" w:color="4A4D56" w:themeColor="text1"/>
              <w:right w:val="single" w:sz="4" w:space="0" w:color="4A4D56" w:themeColor="text1"/>
            </w:tcBorders>
          </w:tcPr>
          <w:p w14:paraId="486C6461" w14:textId="3C070AAB" w:rsidR="00F52B2F" w:rsidRPr="00625570" w:rsidRDefault="00F52B2F" w:rsidP="00F52B2F">
            <w:pPr>
              <w:pStyle w:val="TableHeadingLeft"/>
            </w:pPr>
            <w:r>
              <w:t>MPI Number</w:t>
            </w:r>
          </w:p>
        </w:tc>
        <w:tc>
          <w:tcPr>
            <w:tcW w:w="5354" w:type="dxa"/>
            <w:tcBorders>
              <w:left w:val="single" w:sz="4" w:space="0" w:color="4A4D56" w:themeColor="text1"/>
              <w:bottom w:val="single" w:sz="4" w:space="0" w:color="4A4D56" w:themeColor="text1"/>
              <w:right w:val="single" w:sz="4" w:space="0" w:color="4A4D56" w:themeColor="text1"/>
            </w:tcBorders>
          </w:tcPr>
          <w:p w14:paraId="0153C445" w14:textId="78A5B70D" w:rsidR="00F52B2F" w:rsidRPr="00625570" w:rsidRDefault="00F52B2F" w:rsidP="00F52B2F">
            <w:pPr>
              <w:pStyle w:val="TableHeadingCentered"/>
              <w:cnfStyle w:val="100000000000" w:firstRow="1" w:lastRow="0" w:firstColumn="0" w:lastColumn="0" w:oddVBand="0" w:evenVBand="0" w:oddHBand="0" w:evenHBand="0" w:firstRowFirstColumn="0" w:firstRowLastColumn="0" w:lastRowFirstColumn="0" w:lastRowLastColumn="0"/>
            </w:pPr>
            <w:r>
              <w:t>MPI Description</w:t>
            </w:r>
          </w:p>
        </w:tc>
        <w:tc>
          <w:tcPr>
            <w:tcW w:w="0" w:type="auto"/>
            <w:tcBorders>
              <w:left w:val="single" w:sz="4" w:space="0" w:color="4A4D56" w:themeColor="text1"/>
              <w:bottom w:val="single" w:sz="4" w:space="0" w:color="4A4D56" w:themeColor="text1"/>
              <w:right w:val="single" w:sz="4" w:space="0" w:color="4A4D56" w:themeColor="text1"/>
            </w:tcBorders>
          </w:tcPr>
          <w:p w14:paraId="059D352E" w14:textId="43D5E26E" w:rsidR="00F52B2F" w:rsidRPr="00625570" w:rsidRDefault="00F52B2F" w:rsidP="00F52B2F">
            <w:pPr>
              <w:pStyle w:val="TableHeadingCentered"/>
              <w:cnfStyle w:val="100000000000" w:firstRow="1" w:lastRow="0" w:firstColumn="0" w:lastColumn="0" w:oddVBand="0" w:evenVBand="0" w:oddHBand="0" w:evenHBand="0" w:firstRowFirstColumn="0" w:firstRowLastColumn="0" w:lastRowFirstColumn="0" w:lastRowLastColumn="0"/>
            </w:pPr>
            <w:r>
              <w:t>2027 MPI Target</w:t>
            </w:r>
          </w:p>
        </w:tc>
      </w:tr>
      <w:tr w:rsidR="00F52B2F" w14:paraId="5D645A44" w14:textId="77777777" w:rsidTr="00795B3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4A4D56" w:themeColor="text1"/>
            </w:tcBorders>
          </w:tcPr>
          <w:p w14:paraId="71EB9795" w14:textId="17680697" w:rsidR="00F52B2F" w:rsidRPr="00625570" w:rsidRDefault="00F52B2F" w:rsidP="00F52B2F">
            <w:pPr>
              <w:pStyle w:val="TableLeftText"/>
            </w:pPr>
            <w:r>
              <w:rPr>
                <w:b/>
                <w:bCs/>
              </w:rPr>
              <w:t>MPI I</w:t>
            </w:r>
          </w:p>
        </w:tc>
        <w:tc>
          <w:tcPr>
            <w:tcW w:w="5354" w:type="dxa"/>
            <w:tcBorders>
              <w:top w:val="single" w:sz="4" w:space="0" w:color="4A4D56" w:themeColor="text1"/>
            </w:tcBorders>
          </w:tcPr>
          <w:p w14:paraId="76232F54" w14:textId="0CD17BE4" w:rsidR="00F52B2F" w:rsidRPr="000B7901" w:rsidRDefault="00F52B2F" w:rsidP="00F52B2F">
            <w:pPr>
              <w:pStyle w:val="TableLeftText"/>
              <w:cnfStyle w:val="000000100000" w:firstRow="0" w:lastRow="0" w:firstColumn="0" w:lastColumn="0" w:oddVBand="0" w:evenVBand="0" w:oddHBand="1" w:evenHBand="0" w:firstRowFirstColumn="0" w:firstRowLastColumn="0" w:lastRowFirstColumn="0" w:lastRowLastColumn="0"/>
            </w:pPr>
            <w:r>
              <w:t>Increased awareness of LLLCs among the target market</w:t>
            </w:r>
          </w:p>
        </w:tc>
        <w:tc>
          <w:tcPr>
            <w:tcW w:w="0" w:type="auto"/>
            <w:tcBorders>
              <w:top w:val="single" w:sz="4" w:space="0" w:color="4A4D56" w:themeColor="text1"/>
            </w:tcBorders>
          </w:tcPr>
          <w:p w14:paraId="5B8A93AC" w14:textId="77777777" w:rsidR="00F52B2F" w:rsidRDefault="00F52B2F" w:rsidP="00F52B2F">
            <w:pPr>
              <w:pStyle w:val="TableBullet"/>
              <w:cnfStyle w:val="000000100000" w:firstRow="0" w:lastRow="0" w:firstColumn="0" w:lastColumn="0" w:oddVBand="0" w:evenVBand="0" w:oddHBand="1" w:evenHBand="0" w:firstRowFirstColumn="0" w:firstRowLastColumn="0" w:lastRowFirstColumn="0" w:lastRowLastColumn="0"/>
            </w:pPr>
            <w:r w:rsidRPr="00075DAF">
              <w:t xml:space="preserve">50% customer awareness </w:t>
            </w:r>
          </w:p>
          <w:p w14:paraId="3EDBA1A0" w14:textId="6E501003" w:rsidR="00F52B2F" w:rsidRPr="000B7901" w:rsidRDefault="00F52B2F" w:rsidP="00F52B2F">
            <w:pPr>
              <w:pStyle w:val="TableBullet"/>
              <w:cnfStyle w:val="000000100000" w:firstRow="0" w:lastRow="0" w:firstColumn="0" w:lastColumn="0" w:oddVBand="0" w:evenVBand="0" w:oddHBand="1" w:evenHBand="0" w:firstRowFirstColumn="0" w:firstRowLastColumn="0" w:lastRowFirstColumn="0" w:lastRowLastColumn="0"/>
            </w:pPr>
            <w:r w:rsidRPr="00A5790B">
              <w:t>95% installer awareness</w:t>
            </w:r>
          </w:p>
        </w:tc>
      </w:tr>
      <w:tr w:rsidR="00F52B2F" w14:paraId="72B5F684" w14:textId="77777777" w:rsidTr="00795B3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835" w:type="dxa"/>
          </w:tcPr>
          <w:p w14:paraId="6DE7D1D2" w14:textId="15E78F83" w:rsidR="00F52B2F" w:rsidRPr="00625570" w:rsidRDefault="00F52B2F" w:rsidP="00F52B2F">
            <w:pPr>
              <w:pStyle w:val="TableLeftText"/>
            </w:pPr>
            <w:r>
              <w:rPr>
                <w:b/>
                <w:bCs/>
              </w:rPr>
              <w:t>MPI II</w:t>
            </w:r>
          </w:p>
        </w:tc>
        <w:tc>
          <w:tcPr>
            <w:tcW w:w="5354" w:type="dxa"/>
          </w:tcPr>
          <w:p w14:paraId="71694D70" w14:textId="6F794F7B" w:rsidR="00F52B2F" w:rsidRPr="000B7901" w:rsidRDefault="00F52B2F" w:rsidP="00F52B2F">
            <w:pPr>
              <w:pStyle w:val="TableLeftText"/>
              <w:cnfStyle w:val="000000010000" w:firstRow="0" w:lastRow="0" w:firstColumn="0" w:lastColumn="0" w:oddVBand="0" w:evenVBand="0" w:oddHBand="0" w:evenHBand="1" w:firstRowFirstColumn="0" w:firstRowLastColumn="0" w:lastRowFirstColumn="0" w:lastRowLastColumn="0"/>
            </w:pPr>
            <w:r>
              <w:t>Increased familiarity with LLLCs among the target market</w:t>
            </w:r>
          </w:p>
        </w:tc>
        <w:tc>
          <w:tcPr>
            <w:tcW w:w="0" w:type="auto"/>
          </w:tcPr>
          <w:p w14:paraId="6FCCAE1B" w14:textId="3BE03495" w:rsidR="00F52B2F" w:rsidRPr="000B7901" w:rsidRDefault="00F52B2F" w:rsidP="00F52B2F">
            <w:pPr>
              <w:pStyle w:val="TableBullet"/>
              <w:cnfStyle w:val="000000010000" w:firstRow="0" w:lastRow="0" w:firstColumn="0" w:lastColumn="0" w:oddVBand="0" w:evenVBand="0" w:oddHBand="0" w:evenHBand="1" w:firstRowFirstColumn="0" w:firstRowLastColumn="0" w:lastRowFirstColumn="0" w:lastRowLastColumn="0"/>
            </w:pPr>
            <w:r w:rsidRPr="00075DAF">
              <w:t>3.5/5 (70%) familiarity across target market</w:t>
            </w:r>
            <w:r w:rsidR="00532A15">
              <w:t>s</w:t>
            </w:r>
          </w:p>
        </w:tc>
      </w:tr>
      <w:tr w:rsidR="00F52B2F" w14:paraId="587A4E36" w14:textId="77777777" w:rsidTr="00795B3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835" w:type="dxa"/>
          </w:tcPr>
          <w:p w14:paraId="49BF0D5B" w14:textId="70F658AE" w:rsidR="00F52B2F" w:rsidRPr="00625570" w:rsidRDefault="00F52B2F" w:rsidP="00F52B2F">
            <w:pPr>
              <w:pStyle w:val="TableLeftText"/>
            </w:pPr>
            <w:r>
              <w:rPr>
                <w:b/>
                <w:bCs/>
              </w:rPr>
              <w:t>MPI III</w:t>
            </w:r>
          </w:p>
        </w:tc>
        <w:tc>
          <w:tcPr>
            <w:tcW w:w="5354" w:type="dxa"/>
          </w:tcPr>
          <w:p w14:paraId="41704017" w14:textId="35B50891" w:rsidR="00F52B2F" w:rsidRPr="000B7901" w:rsidRDefault="00F52B2F" w:rsidP="00F52B2F">
            <w:pPr>
              <w:pStyle w:val="TableLeftText"/>
              <w:cnfStyle w:val="000000100000" w:firstRow="0" w:lastRow="0" w:firstColumn="0" w:lastColumn="0" w:oddVBand="0" w:evenVBand="0" w:oddHBand="1" w:evenHBand="0" w:firstRowFirstColumn="0" w:firstRowLastColumn="0" w:lastRowFirstColumn="0" w:lastRowLastColumn="0"/>
            </w:pPr>
            <w:r>
              <w:t>Increased recommendation of LLLCs among the target market</w:t>
            </w:r>
          </w:p>
        </w:tc>
        <w:tc>
          <w:tcPr>
            <w:tcW w:w="0" w:type="auto"/>
          </w:tcPr>
          <w:p w14:paraId="0A5778A4" w14:textId="1AE7FE69" w:rsidR="00F52B2F" w:rsidRPr="000B7901" w:rsidRDefault="00F52B2F" w:rsidP="00F52B2F">
            <w:pPr>
              <w:pStyle w:val="TableBullet"/>
              <w:cnfStyle w:val="000000100000" w:firstRow="0" w:lastRow="0" w:firstColumn="0" w:lastColumn="0" w:oddVBand="0" w:evenVBand="0" w:oddHBand="1" w:evenHBand="0" w:firstRowFirstColumn="0" w:firstRowLastColumn="0" w:lastRowFirstColumn="0" w:lastRowLastColumn="0"/>
            </w:pPr>
            <w:r w:rsidRPr="00075DAF">
              <w:t xml:space="preserve">65% of </w:t>
            </w:r>
            <w:r w:rsidR="00E84B49">
              <w:t xml:space="preserve">the </w:t>
            </w:r>
            <w:r w:rsidRPr="00075DAF">
              <w:t xml:space="preserve">applicable target market recommends LLLCs </w:t>
            </w:r>
          </w:p>
        </w:tc>
      </w:tr>
      <w:tr w:rsidR="00F52B2F" w14:paraId="72400183" w14:textId="77777777" w:rsidTr="00795B3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835" w:type="dxa"/>
          </w:tcPr>
          <w:p w14:paraId="671740DC" w14:textId="24F1C6DC" w:rsidR="00F52B2F" w:rsidRPr="00625570" w:rsidRDefault="00F52B2F" w:rsidP="00F52B2F">
            <w:pPr>
              <w:pStyle w:val="TableLeftText"/>
            </w:pPr>
            <w:r>
              <w:rPr>
                <w:b/>
                <w:bCs/>
              </w:rPr>
              <w:t>MPI IV</w:t>
            </w:r>
          </w:p>
        </w:tc>
        <w:tc>
          <w:tcPr>
            <w:tcW w:w="5354" w:type="dxa"/>
          </w:tcPr>
          <w:p w14:paraId="0220308F" w14:textId="6A669E6A" w:rsidR="00F52B2F" w:rsidRPr="000B7901" w:rsidRDefault="00F52B2F" w:rsidP="00F52B2F">
            <w:pPr>
              <w:pStyle w:val="TableLeftText"/>
              <w:cnfStyle w:val="000000010000" w:firstRow="0" w:lastRow="0" w:firstColumn="0" w:lastColumn="0" w:oddVBand="0" w:evenVBand="0" w:oddHBand="0" w:evenHBand="1" w:firstRowFirstColumn="0" w:firstRowLastColumn="0" w:lastRowFirstColumn="0" w:lastRowLastColumn="0"/>
            </w:pPr>
            <w:r>
              <w:t>Increased installation of LLLCs among end-use customers</w:t>
            </w:r>
          </w:p>
        </w:tc>
        <w:tc>
          <w:tcPr>
            <w:tcW w:w="0" w:type="auto"/>
          </w:tcPr>
          <w:p w14:paraId="27F3A25C" w14:textId="7DD8470F" w:rsidR="00F52B2F" w:rsidRPr="000B7901" w:rsidRDefault="00F52B2F" w:rsidP="00F52B2F">
            <w:pPr>
              <w:pStyle w:val="TableBullet"/>
              <w:cnfStyle w:val="000000010000" w:firstRow="0" w:lastRow="0" w:firstColumn="0" w:lastColumn="0" w:oddVBand="0" w:evenVBand="0" w:oddHBand="0" w:evenHBand="1" w:firstRowFirstColumn="0" w:firstRowLastColumn="0" w:lastRowFirstColumn="0" w:lastRowLastColumn="0"/>
            </w:pPr>
            <w:r w:rsidRPr="00075DAF">
              <w:t>65% of customers install LLLCs when recommended by contractors or installers</w:t>
            </w:r>
          </w:p>
        </w:tc>
      </w:tr>
      <w:tr w:rsidR="00F52B2F" w14:paraId="3B21DD43" w14:textId="77777777" w:rsidTr="00795B3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835" w:type="dxa"/>
          </w:tcPr>
          <w:p w14:paraId="1C86F906" w14:textId="2610E82E" w:rsidR="00F52B2F" w:rsidRPr="00625570" w:rsidRDefault="00F52B2F" w:rsidP="00F52B2F">
            <w:pPr>
              <w:pStyle w:val="TableLeftText"/>
            </w:pPr>
            <w:r>
              <w:rPr>
                <w:b/>
                <w:bCs/>
              </w:rPr>
              <w:t>MPI V</w:t>
            </w:r>
          </w:p>
        </w:tc>
        <w:tc>
          <w:tcPr>
            <w:tcW w:w="5354" w:type="dxa"/>
          </w:tcPr>
          <w:p w14:paraId="010C2D88" w14:textId="71A7F2C4" w:rsidR="00F52B2F" w:rsidRPr="000B7901" w:rsidRDefault="00F52B2F" w:rsidP="00F52B2F">
            <w:pPr>
              <w:pStyle w:val="TableLeftText"/>
              <w:cnfStyle w:val="000000100000" w:firstRow="0" w:lastRow="0" w:firstColumn="0" w:lastColumn="0" w:oddVBand="0" w:evenVBand="0" w:oddHBand="1" w:evenHBand="0" w:firstRowFirstColumn="0" w:firstRowLastColumn="0" w:lastRowFirstColumn="0" w:lastRowLastColumn="0"/>
            </w:pPr>
            <w:r>
              <w:t>Increased number of trained contractors and installers</w:t>
            </w:r>
          </w:p>
        </w:tc>
        <w:tc>
          <w:tcPr>
            <w:tcW w:w="0" w:type="auto"/>
          </w:tcPr>
          <w:p w14:paraId="4B3B5F6C" w14:textId="53194309" w:rsidR="00F52B2F" w:rsidRPr="000B7901" w:rsidRDefault="00F52B2F" w:rsidP="00F52B2F">
            <w:pPr>
              <w:pStyle w:val="TableBullet"/>
              <w:cnfStyle w:val="000000100000" w:firstRow="0" w:lastRow="0" w:firstColumn="0" w:lastColumn="0" w:oddVBand="0" w:evenVBand="0" w:oddHBand="1" w:evenHBand="0" w:firstRowFirstColumn="0" w:firstRowLastColumn="0" w:lastRowFirstColumn="0" w:lastRowLastColumn="0"/>
            </w:pPr>
            <w:r w:rsidRPr="00075DAF">
              <w:t>25% of program allies can explain, describe, and sell LLLCs</w:t>
            </w:r>
          </w:p>
        </w:tc>
      </w:tr>
      <w:tr w:rsidR="00F52B2F" w14:paraId="6FD20198" w14:textId="77777777" w:rsidTr="00795B3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835" w:type="dxa"/>
          </w:tcPr>
          <w:p w14:paraId="1D322550" w14:textId="6F1D8E90" w:rsidR="00F52B2F" w:rsidRPr="00625570" w:rsidRDefault="00F52B2F" w:rsidP="00F52B2F">
            <w:pPr>
              <w:pStyle w:val="TableLeftText"/>
            </w:pPr>
            <w:r>
              <w:rPr>
                <w:b/>
                <w:bCs/>
              </w:rPr>
              <w:t>MPI VI</w:t>
            </w:r>
          </w:p>
        </w:tc>
        <w:tc>
          <w:tcPr>
            <w:tcW w:w="5354" w:type="dxa"/>
          </w:tcPr>
          <w:p w14:paraId="27CE3CF7" w14:textId="5BF31D2D" w:rsidR="00F52B2F" w:rsidRPr="000B7901" w:rsidRDefault="00F52B2F" w:rsidP="00F52B2F">
            <w:pPr>
              <w:pStyle w:val="TableLeftText"/>
              <w:cnfStyle w:val="000000010000" w:firstRow="0" w:lastRow="0" w:firstColumn="0" w:lastColumn="0" w:oddVBand="0" w:evenVBand="0" w:oddHBand="0" w:evenHBand="1" w:firstRowFirstColumn="0" w:firstRowLastColumn="0" w:lastRowFirstColumn="0" w:lastRowLastColumn="0"/>
            </w:pPr>
            <w:r>
              <w:t>Increased stocking of LLLC equipment among distributors</w:t>
            </w:r>
          </w:p>
        </w:tc>
        <w:tc>
          <w:tcPr>
            <w:tcW w:w="0" w:type="auto"/>
          </w:tcPr>
          <w:p w14:paraId="2E058D79" w14:textId="5870AF13" w:rsidR="00F52B2F" w:rsidRPr="000B7901" w:rsidRDefault="00F52B2F" w:rsidP="00F52B2F">
            <w:pPr>
              <w:pStyle w:val="TableBullet"/>
              <w:cnfStyle w:val="000000010000" w:firstRow="0" w:lastRow="0" w:firstColumn="0" w:lastColumn="0" w:oddVBand="0" w:evenVBand="0" w:oddHBand="0" w:evenHBand="1" w:firstRowFirstColumn="0" w:firstRowLastColumn="0" w:lastRowFirstColumn="0" w:lastRowLastColumn="0"/>
            </w:pPr>
            <w:r>
              <w:t>A minimum of three key distributors stock LLLCs as a business practice</w:t>
            </w:r>
          </w:p>
        </w:tc>
      </w:tr>
      <w:tr w:rsidR="00F52B2F" w14:paraId="1D707D0D" w14:textId="77777777" w:rsidTr="00795B3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835" w:type="dxa"/>
          </w:tcPr>
          <w:p w14:paraId="5D8CF2D9" w14:textId="2DADA1D9" w:rsidR="00F52B2F" w:rsidRDefault="00F52B2F" w:rsidP="00F52B2F">
            <w:pPr>
              <w:pStyle w:val="TableLeftText"/>
            </w:pPr>
            <w:r>
              <w:rPr>
                <w:b/>
                <w:bCs/>
              </w:rPr>
              <w:t>MPI VII</w:t>
            </w:r>
          </w:p>
        </w:tc>
        <w:tc>
          <w:tcPr>
            <w:tcW w:w="5354" w:type="dxa"/>
          </w:tcPr>
          <w:p w14:paraId="034D6A2B" w14:textId="7FA5193D" w:rsidR="00F52B2F" w:rsidRPr="000B7901" w:rsidRDefault="00F52B2F" w:rsidP="00F52B2F">
            <w:pPr>
              <w:pStyle w:val="TableLeftText"/>
              <w:cnfStyle w:val="000000100000" w:firstRow="0" w:lastRow="0" w:firstColumn="0" w:lastColumn="0" w:oddVBand="0" w:evenVBand="0" w:oddHBand="1" w:evenHBand="0" w:firstRowFirstColumn="0" w:firstRowLastColumn="0" w:lastRowFirstColumn="0" w:lastRowLastColumn="0"/>
            </w:pPr>
            <w:r>
              <w:t xml:space="preserve">Increased LLLC listing in </w:t>
            </w:r>
            <w:r w:rsidR="0076102F">
              <w:t xml:space="preserve">the </w:t>
            </w:r>
            <w:proofErr w:type="spellStart"/>
            <w:r>
              <w:t>DesignLights</w:t>
            </w:r>
            <w:proofErr w:type="spellEnd"/>
            <w:r>
              <w:t xml:space="preserve"> Consortium (DLC) Qualified Products List (QPL)</w:t>
            </w:r>
          </w:p>
        </w:tc>
        <w:tc>
          <w:tcPr>
            <w:tcW w:w="0" w:type="auto"/>
          </w:tcPr>
          <w:p w14:paraId="4BEEA659" w14:textId="4C82F1FA" w:rsidR="00F52B2F" w:rsidRPr="000B7901" w:rsidRDefault="00F52B2F" w:rsidP="00F52B2F">
            <w:pPr>
              <w:pStyle w:val="TableBullet"/>
              <w:cnfStyle w:val="000000100000" w:firstRow="0" w:lastRow="0" w:firstColumn="0" w:lastColumn="0" w:oddVBand="0" w:evenVBand="0" w:oddHBand="1" w:evenHBand="0" w:firstRowFirstColumn="0" w:firstRowLastColumn="0" w:lastRowFirstColumn="0" w:lastRowLastColumn="0"/>
            </w:pPr>
            <w:r>
              <w:t xml:space="preserve">Five additional manufacturers list their </w:t>
            </w:r>
            <w:r w:rsidR="00E84B49">
              <w:t xml:space="preserve">products </w:t>
            </w:r>
            <w:r>
              <w:t>on the DLC QPL</w:t>
            </w:r>
          </w:p>
        </w:tc>
      </w:tr>
    </w:tbl>
    <w:p w14:paraId="15914368" w14:textId="07B63CC5" w:rsidR="00A669A6" w:rsidRDefault="00A669A6" w:rsidP="00FA4669">
      <w:pPr>
        <w:keepNext/>
        <w:keepLines/>
        <w:spacing w:before="100" w:beforeAutospacing="1"/>
      </w:pPr>
      <w:bookmarkStart w:id="12" w:name="_Toc190256841"/>
      <w:bookmarkStart w:id="13" w:name="_Toc190258088"/>
      <w:bookmarkEnd w:id="12"/>
      <w:bookmarkEnd w:id="13"/>
      <w:r>
        <w:lastRenderedPageBreak/>
        <w:t xml:space="preserve">Given the complexity associated with the </w:t>
      </w:r>
      <w:r w:rsidR="000D573F">
        <w:t>LLLC Pilot</w:t>
      </w:r>
      <w:r>
        <w:t>, Opinion Dynamics worked with AIC and Resource Innovations to design research activities over a three-year time horizon (2024</w:t>
      </w:r>
      <w:r w:rsidR="00E84B49">
        <w:t>–</w:t>
      </w:r>
      <w:r>
        <w:t>2026</w:t>
      </w:r>
      <w:r w:rsidR="009C28B9">
        <w:t xml:space="preserve">) </w:t>
      </w:r>
      <w:r>
        <w:t xml:space="preserve">to help </w:t>
      </w:r>
      <w:r w:rsidR="0092522D">
        <w:t>provide clarity</w:t>
      </w:r>
      <w:r>
        <w:t xml:space="preserve"> to AIC, I</w:t>
      </w:r>
      <w:r w:rsidR="00A37A81">
        <w:t>llinois Commerce Commission (ICC)</w:t>
      </w:r>
      <w:r>
        <w:t xml:space="preserve"> Staff, and the </w:t>
      </w:r>
      <w:r w:rsidR="0092522D">
        <w:t xml:space="preserve">Illinois </w:t>
      </w:r>
      <w:r>
        <w:t xml:space="preserve">SAG </w:t>
      </w:r>
      <w:r w:rsidR="0092522D">
        <w:t xml:space="preserve">regarding </w:t>
      </w:r>
      <w:r>
        <w:t xml:space="preserve">how the LLLC MTI would be evaluated on a long-term basis. These research activities, outlined in the </w:t>
      </w:r>
      <w:r w:rsidR="00795B35" w:rsidRPr="00795B35">
        <w:t>2023 AIC LLLC MTI Business Plan</w:t>
      </w:r>
      <w:r>
        <w:t>, are designed to repeat on a three-year cycle as program activities continue.</w:t>
      </w:r>
    </w:p>
    <w:p w14:paraId="01E4A25D" w14:textId="40AF042D" w:rsidR="009C28B9" w:rsidRDefault="009C28B9" w:rsidP="009C28B9">
      <w:pPr>
        <w:pStyle w:val="Heading2"/>
      </w:pPr>
      <w:bookmarkStart w:id="14" w:name="_Toc192240884"/>
      <w:r>
        <w:t>Pilot Implementation</w:t>
      </w:r>
      <w:bookmarkEnd w:id="14"/>
    </w:p>
    <w:p w14:paraId="57C38AF4" w14:textId="0C38964B" w:rsidR="0061481A" w:rsidRDefault="009C28B9" w:rsidP="00A669A6">
      <w:pPr>
        <w:spacing w:before="100" w:beforeAutospacing="1"/>
      </w:pPr>
      <w:r>
        <w:t xml:space="preserve">Leidos implements the </w:t>
      </w:r>
      <w:r w:rsidR="000D573F">
        <w:t>LLLC Pilot</w:t>
      </w:r>
      <w:r>
        <w:t xml:space="preserve"> on behalf of AIC with </w:t>
      </w:r>
      <w:r w:rsidR="00715636">
        <w:t xml:space="preserve">design and planning </w:t>
      </w:r>
      <w:r>
        <w:t xml:space="preserve">support </w:t>
      </w:r>
      <w:r w:rsidR="00715636">
        <w:t>provided by</w:t>
      </w:r>
      <w:r>
        <w:t xml:space="preserve"> Resource Innovations. </w:t>
      </w:r>
      <w:r w:rsidR="00715636">
        <w:t>In</w:t>
      </w:r>
      <w:r>
        <w:t xml:space="preserve"> 2024, </w:t>
      </w:r>
      <w:r w:rsidR="00715636">
        <w:t>the</w:t>
      </w:r>
      <w:r w:rsidR="00047028">
        <w:t xml:space="preserve"> </w:t>
      </w:r>
      <w:r w:rsidR="000D573F">
        <w:t>LLLC Pilot</w:t>
      </w:r>
      <w:r w:rsidR="00715636">
        <w:t xml:space="preserve"> </w:t>
      </w:r>
      <w:r w:rsidR="0061481A">
        <w:t xml:space="preserve">offered </w:t>
      </w:r>
      <w:r w:rsidR="007515D6">
        <w:t>four</w:t>
      </w:r>
      <w:r w:rsidR="0061481A">
        <w:t xml:space="preserve"> in-person workshops</w:t>
      </w:r>
      <w:r w:rsidR="0096021C">
        <w:t xml:space="preserve">, </w:t>
      </w:r>
      <w:r w:rsidR="00C3102B">
        <w:t>each in a different part of AIC’s service territory</w:t>
      </w:r>
      <w:r w:rsidR="0096021C">
        <w:t xml:space="preserve"> with the intent of reaching a variety of different</w:t>
      </w:r>
      <w:r w:rsidR="00715636">
        <w:t xml:space="preserve"> trade allies involved in selling or installing lighting to AIC customers</w:t>
      </w:r>
      <w:r w:rsidR="0061481A">
        <w:t xml:space="preserve">. These in-person workshops </w:t>
      </w:r>
      <w:r w:rsidR="007515D6">
        <w:t xml:space="preserve">and events </w:t>
      </w:r>
      <w:r w:rsidR="00715636">
        <w:t>provided</w:t>
      </w:r>
      <w:r w:rsidR="0061481A">
        <w:t xml:space="preserve"> opportunities for </w:t>
      </w:r>
      <w:r w:rsidR="00715636">
        <w:t xml:space="preserve">implementation </w:t>
      </w:r>
      <w:r w:rsidR="0061481A">
        <w:t xml:space="preserve">staff to educate </w:t>
      </w:r>
      <w:r w:rsidR="00715636">
        <w:t xml:space="preserve">wide-ranging </w:t>
      </w:r>
      <w:r w:rsidR="0061481A">
        <w:t>market actors on LLLC functionality, benefits, and</w:t>
      </w:r>
      <w:r w:rsidR="00715636">
        <w:t xml:space="preserve"> associated AIC</w:t>
      </w:r>
      <w:r w:rsidR="0061481A">
        <w:t xml:space="preserve"> RA offerings. The </w:t>
      </w:r>
      <w:r w:rsidR="000D573F">
        <w:t>LLLC Pilot</w:t>
      </w:r>
      <w:r w:rsidR="0061481A">
        <w:t xml:space="preserve"> also offered a</w:t>
      </w:r>
      <w:r w:rsidR="004535DC">
        <w:t>n</w:t>
      </w:r>
      <w:r w:rsidR="0061481A">
        <w:t xml:space="preserve"> online training course</w:t>
      </w:r>
      <w:r w:rsidR="004535DC">
        <w:t>, which was made available to trade allies and</w:t>
      </w:r>
      <w:r w:rsidR="00715636">
        <w:t xml:space="preserve"> </w:t>
      </w:r>
      <w:r w:rsidR="0061481A">
        <w:t xml:space="preserve">promoted </w:t>
      </w:r>
      <w:r w:rsidR="00715636">
        <w:t>via the</w:t>
      </w:r>
      <w:r w:rsidR="0061481A">
        <w:t xml:space="preserve"> in-person workshops. Th</w:t>
      </w:r>
      <w:r w:rsidR="004535DC">
        <w:t>e</w:t>
      </w:r>
      <w:r w:rsidR="0061481A">
        <w:t xml:space="preserve"> online course consisted of asynchronous modules that gave trainees in-depth education on LLLCs. Those who completed </w:t>
      </w:r>
      <w:r w:rsidR="004535DC">
        <w:t xml:space="preserve">the online course in </w:t>
      </w:r>
      <w:proofErr w:type="gramStart"/>
      <w:r w:rsidR="004535DC">
        <w:t>its</w:t>
      </w:r>
      <w:proofErr w:type="gramEnd"/>
      <w:r w:rsidR="004535DC">
        <w:t xml:space="preserve"> entirety</w:t>
      </w:r>
      <w:r w:rsidR="0061481A">
        <w:t xml:space="preserve"> earned a certification of completion from AIC. </w:t>
      </w:r>
      <w:r w:rsidR="00E44404">
        <w:t xml:space="preserve">In addition to the </w:t>
      </w:r>
      <w:r w:rsidR="00E44404" w:rsidRPr="00E44404">
        <w:t>in-person workshops</w:t>
      </w:r>
      <w:r w:rsidR="00E44404">
        <w:t xml:space="preserve"> and </w:t>
      </w:r>
      <w:r w:rsidR="00E44404" w:rsidRPr="00E44404">
        <w:t xml:space="preserve">online </w:t>
      </w:r>
      <w:proofErr w:type="gramStart"/>
      <w:r w:rsidR="00E44404" w:rsidRPr="00E44404">
        <w:t>course</w:t>
      </w:r>
      <w:proofErr w:type="gramEnd"/>
      <w:r w:rsidR="00E44404" w:rsidRPr="00E44404">
        <w:t xml:space="preserve">, </w:t>
      </w:r>
      <w:r w:rsidR="00E44404">
        <w:t>implementation staff provided</w:t>
      </w:r>
      <w:r w:rsidR="00E44404" w:rsidRPr="00E44404">
        <w:t xml:space="preserve"> marketing support </w:t>
      </w:r>
      <w:r w:rsidR="00E44404">
        <w:t>and other in-person events to engage trade allies, including a symposium and ad hoc demo</w:t>
      </w:r>
      <w:r w:rsidR="00E84B49">
        <w:t>nstration</w:t>
      </w:r>
      <w:r w:rsidR="00E44404">
        <w:t xml:space="preserve">s of LLLC technology. These training and engagement efforts collectively </w:t>
      </w:r>
      <w:proofErr w:type="gramStart"/>
      <w:r w:rsidR="00E44404">
        <w:t>aimed</w:t>
      </w:r>
      <w:proofErr w:type="gramEnd"/>
      <w:r w:rsidR="00E44404">
        <w:t xml:space="preserve"> </w:t>
      </w:r>
      <w:r w:rsidR="0061481A">
        <w:t xml:space="preserve">to </w:t>
      </w:r>
      <w:r w:rsidR="004535DC">
        <w:t xml:space="preserve">educate trade allies about LLLC </w:t>
      </w:r>
      <w:r w:rsidR="004535DC" w:rsidRPr="00715636">
        <w:t>functionality, benefits, and associated AIC RA offerings</w:t>
      </w:r>
      <w:r w:rsidR="004535DC">
        <w:t xml:space="preserve">, thus encouraging </w:t>
      </w:r>
      <w:r w:rsidR="0061481A">
        <w:t xml:space="preserve">trade allies </w:t>
      </w:r>
      <w:r w:rsidR="004535DC">
        <w:t xml:space="preserve">to </w:t>
      </w:r>
      <w:r w:rsidR="0061481A">
        <w:t>promote</w:t>
      </w:r>
      <w:r w:rsidR="004535DC">
        <w:t xml:space="preserve"> adoption </w:t>
      </w:r>
      <w:r w:rsidR="0061481A">
        <w:t xml:space="preserve">of </w:t>
      </w:r>
      <w:r w:rsidR="004535DC">
        <w:t>the technology among their clients</w:t>
      </w:r>
      <w:r w:rsidR="00E44404">
        <w:t xml:space="preserve"> (i.e.</w:t>
      </w:r>
      <w:r w:rsidR="00E84B49">
        <w:t>,</w:t>
      </w:r>
      <w:r w:rsidR="00E44404">
        <w:t xml:space="preserve"> AIC business customers)</w:t>
      </w:r>
      <w:r w:rsidR="0061481A">
        <w:t>.</w:t>
      </w:r>
    </w:p>
    <w:p w14:paraId="6E2B67D7" w14:textId="77777777" w:rsidR="00F333A5" w:rsidRDefault="00F333A5" w:rsidP="00F333A5">
      <w:pPr>
        <w:pStyle w:val="Heading2"/>
      </w:pPr>
      <w:bookmarkStart w:id="15" w:name="_Toc192240885"/>
      <w:r>
        <w:t>Research Objectives</w:t>
      </w:r>
      <w:bookmarkEnd w:id="15"/>
    </w:p>
    <w:p w14:paraId="4DC76CDF" w14:textId="7162164D" w:rsidR="0089000B" w:rsidRDefault="00F333A5" w:rsidP="0076102F">
      <w:pPr>
        <w:pStyle w:val="NoSpacing"/>
      </w:pPr>
      <w:r>
        <w:t xml:space="preserve">The 2024 </w:t>
      </w:r>
      <w:r w:rsidR="000D573F">
        <w:t>LLLC Pilot</w:t>
      </w:r>
      <w:r>
        <w:t xml:space="preserve"> </w:t>
      </w:r>
      <w:r w:rsidR="00795B35">
        <w:t xml:space="preserve">market progress evaluation </w:t>
      </w:r>
      <w:r w:rsidR="0089000B">
        <w:t>addressed the following key objectives:</w:t>
      </w:r>
    </w:p>
    <w:p w14:paraId="7A0FF7AB" w14:textId="6EC9D9FA" w:rsidR="00047028" w:rsidRPr="00B55D4B" w:rsidRDefault="00047028" w:rsidP="00047028">
      <w:pPr>
        <w:pStyle w:val="ListBullet"/>
      </w:pPr>
      <w:r w:rsidRPr="00B55D4B">
        <w:t xml:space="preserve">Review and characterize </w:t>
      </w:r>
      <w:r w:rsidR="000D573F">
        <w:t>LLLC Pilot</w:t>
      </w:r>
      <w:r w:rsidRPr="00B55D4B">
        <w:t xml:space="preserve"> implementation</w:t>
      </w:r>
    </w:p>
    <w:p w14:paraId="519D539B" w14:textId="5ECC613E" w:rsidR="00047028" w:rsidRPr="00B55D4B" w:rsidRDefault="00047028" w:rsidP="00047028">
      <w:pPr>
        <w:pStyle w:val="ListBullet"/>
      </w:pPr>
      <w:r w:rsidRPr="00B55D4B">
        <w:t xml:space="preserve">Explore opportunities for </w:t>
      </w:r>
      <w:r w:rsidR="000D573F">
        <w:t>LLLC Pilot</w:t>
      </w:r>
      <w:r w:rsidRPr="00B55D4B">
        <w:t xml:space="preserve"> improvement, including increased overall effectiveness or ease of implementation</w:t>
      </w:r>
    </w:p>
    <w:p w14:paraId="1B9D3E26" w14:textId="77777777" w:rsidR="00047028" w:rsidRPr="00B55D4B" w:rsidRDefault="00047028" w:rsidP="00047028">
      <w:pPr>
        <w:pStyle w:val="ListBullet"/>
      </w:pPr>
      <w:r w:rsidRPr="00B55D4B">
        <w:t>Assess LLLC training effectiveness and knowledge transfer</w:t>
      </w:r>
    </w:p>
    <w:p w14:paraId="7A65ED4D" w14:textId="77777777" w:rsidR="00047028" w:rsidRPr="00B55D4B" w:rsidRDefault="00047028" w:rsidP="00047028">
      <w:pPr>
        <w:pStyle w:val="ListBullet"/>
      </w:pPr>
      <w:r w:rsidRPr="00B55D4B">
        <w:t>Assess 2024 levels of awareness and understanding of LLLCs among market actors</w:t>
      </w:r>
    </w:p>
    <w:p w14:paraId="334D9756" w14:textId="77777777" w:rsidR="00047028" w:rsidRPr="00B55D4B" w:rsidRDefault="00047028" w:rsidP="00047028">
      <w:pPr>
        <w:pStyle w:val="ListBullet"/>
      </w:pPr>
      <w:r w:rsidRPr="00B55D4B">
        <w:t>Measure changes in LLLC market share</w:t>
      </w:r>
    </w:p>
    <w:p w14:paraId="42B39B87" w14:textId="101885E0" w:rsidR="00047028" w:rsidRPr="00B55D4B" w:rsidRDefault="00047028" w:rsidP="00047028">
      <w:pPr>
        <w:pStyle w:val="ListBullet"/>
      </w:pPr>
      <w:r w:rsidRPr="00B55D4B">
        <w:t xml:space="preserve">Estimate net energy savings associated with the </w:t>
      </w:r>
      <w:r w:rsidR="000D573F">
        <w:t>LLLC Pilot</w:t>
      </w:r>
    </w:p>
    <w:p w14:paraId="554EBD4F" w14:textId="1016524C" w:rsidR="00A5790B" w:rsidRDefault="00A5790B" w:rsidP="00D0329D">
      <w:pPr>
        <w:keepNext/>
        <w:keepLines/>
      </w:pPr>
      <w:r>
        <w:lastRenderedPageBreak/>
        <w:t xml:space="preserve">Through these objectives, the 2024 evaluation sought to assess five of the seven MPIs established </w:t>
      </w:r>
      <w:r w:rsidR="00A669A6">
        <w:t xml:space="preserve">in the </w:t>
      </w:r>
      <w:r w:rsidR="00E84B49">
        <w:t xml:space="preserve">2023 AIC </w:t>
      </w:r>
      <w:r w:rsidR="00463CEE">
        <w:t xml:space="preserve">LLLC </w:t>
      </w:r>
      <w:r w:rsidR="00E84B49">
        <w:t xml:space="preserve">MTI </w:t>
      </w:r>
      <w:r w:rsidR="00A669A6">
        <w:t>Business Plan</w:t>
      </w:r>
      <w:r>
        <w:t xml:space="preserve">. In 2024, </w:t>
      </w:r>
      <w:r w:rsidR="00A669A6">
        <w:t>we</w:t>
      </w:r>
      <w:r>
        <w:t xml:space="preserve"> focused on assessing the short- and mid-term MPIs (</w:t>
      </w:r>
      <w:r w:rsidR="00795B35">
        <w:t>for</w:t>
      </w:r>
      <w:r>
        <w:t xml:space="preserve"> which progress was expected to begin by 2024). </w:t>
      </w:r>
      <w:r w:rsidR="005A64B8">
        <w:t xml:space="preserve">Measurable progress on </w:t>
      </w:r>
      <w:r>
        <w:t>MPI</w:t>
      </w:r>
      <w:r w:rsidR="005A64B8">
        <w:t>s</w:t>
      </w:r>
      <w:r>
        <w:t xml:space="preserve"> VI and VII </w:t>
      </w:r>
      <w:r w:rsidR="005A64B8">
        <w:t xml:space="preserve">is </w:t>
      </w:r>
      <w:r>
        <w:t xml:space="preserve">not expected to </w:t>
      </w:r>
      <w:r w:rsidR="005A64B8">
        <w:t>occur</w:t>
      </w:r>
      <w:r>
        <w:t xml:space="preserve"> until closer to 2027</w:t>
      </w:r>
      <w:r w:rsidR="00E84B49">
        <w:t>, and therefore,</w:t>
      </w:r>
      <w:r w:rsidR="00A669A6">
        <w:t xml:space="preserve"> </w:t>
      </w:r>
      <w:r w:rsidR="00275A0B">
        <w:t>we did not include assessments of them in this report</w:t>
      </w:r>
      <w:r>
        <w:t xml:space="preserve">. All seven MPIs and their inclusion in the 2024 evaluation are detailed in </w:t>
      </w:r>
      <w:r w:rsidR="00795B35">
        <w:fldChar w:fldCharType="begin"/>
      </w:r>
      <w:r w:rsidR="00795B35">
        <w:instrText xml:space="preserve"> REF _Ref190427212 \h </w:instrText>
      </w:r>
      <w:r w:rsidR="00795B35">
        <w:fldChar w:fldCharType="separate"/>
      </w:r>
      <w:r w:rsidR="00D0329D">
        <w:t xml:space="preserve">Table </w:t>
      </w:r>
      <w:r w:rsidR="00D0329D">
        <w:rPr>
          <w:noProof/>
        </w:rPr>
        <w:t>3</w:t>
      </w:r>
      <w:r w:rsidR="00795B35">
        <w:fldChar w:fldCharType="end"/>
      </w:r>
      <w:r>
        <w:t>.</w:t>
      </w:r>
    </w:p>
    <w:p w14:paraId="764376C1" w14:textId="42C1E2EE" w:rsidR="00F52B2F" w:rsidRDefault="00A5790B" w:rsidP="00287BC8">
      <w:pPr>
        <w:pStyle w:val="Caption"/>
      </w:pPr>
      <w:bookmarkStart w:id="16" w:name="_Ref190427212"/>
      <w:bookmarkStart w:id="17" w:name="_Toc192238280"/>
      <w:r>
        <w:t xml:space="preserve">Table </w:t>
      </w:r>
      <w:r>
        <w:fldChar w:fldCharType="begin"/>
      </w:r>
      <w:r>
        <w:instrText xml:space="preserve"> SEQ Table \* ARABIC </w:instrText>
      </w:r>
      <w:r>
        <w:fldChar w:fldCharType="separate"/>
      </w:r>
      <w:r w:rsidR="00D0329D">
        <w:rPr>
          <w:noProof/>
        </w:rPr>
        <w:t>3</w:t>
      </w:r>
      <w:r>
        <w:fldChar w:fldCharType="end"/>
      </w:r>
      <w:bookmarkEnd w:id="16"/>
      <w:r>
        <w:t>. LLLC Pilot MPIs Assessed in 2024 Evaluation</w:t>
      </w:r>
      <w:bookmarkEnd w:id="17"/>
    </w:p>
    <w:tbl>
      <w:tblPr>
        <w:tblStyle w:val="ODCBasic-1"/>
        <w:tblW w:w="3574" w:type="pct"/>
        <w:tblCellMar>
          <w:top w:w="0" w:type="dxa"/>
          <w:bottom w:w="14" w:type="dxa"/>
        </w:tblCellMar>
        <w:tblLook w:val="04A0" w:firstRow="1" w:lastRow="0" w:firstColumn="1" w:lastColumn="0" w:noHBand="0" w:noVBand="1"/>
      </w:tblPr>
      <w:tblGrid>
        <w:gridCol w:w="6137"/>
        <w:gridCol w:w="1794"/>
      </w:tblGrid>
      <w:tr w:rsidR="00F52B2F" w14:paraId="0B70C0B8" w14:textId="77777777" w:rsidTr="0076102F">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3869" w:type="pct"/>
            <w:tcBorders>
              <w:bottom w:val="single" w:sz="4" w:space="0" w:color="4A4D56" w:themeColor="text1"/>
              <w:right w:val="single" w:sz="4" w:space="0" w:color="4A4D56" w:themeColor="text1"/>
            </w:tcBorders>
          </w:tcPr>
          <w:p w14:paraId="152FBC88" w14:textId="245C91A7" w:rsidR="00F52B2F" w:rsidRPr="00625570" w:rsidRDefault="00F52B2F" w:rsidP="00FC0E32">
            <w:pPr>
              <w:pStyle w:val="TableHeadingLeft"/>
              <w:keepNext/>
              <w:keepLines/>
            </w:pPr>
            <w:r>
              <w:t>MPI Description</w:t>
            </w:r>
          </w:p>
        </w:tc>
        <w:tc>
          <w:tcPr>
            <w:tcW w:w="1131" w:type="pct"/>
            <w:tcBorders>
              <w:left w:val="single" w:sz="4" w:space="0" w:color="4A4D56" w:themeColor="text1"/>
              <w:bottom w:val="single" w:sz="4" w:space="0" w:color="4A4D56" w:themeColor="text1"/>
              <w:right w:val="single" w:sz="4" w:space="0" w:color="4A4D56" w:themeColor="text1"/>
            </w:tcBorders>
          </w:tcPr>
          <w:p w14:paraId="676A7931" w14:textId="77777777" w:rsidR="00795B35" w:rsidRDefault="00F52B2F" w:rsidP="00FC0E32">
            <w:pPr>
              <w:pStyle w:val="TableHeadingCentered"/>
              <w:keepNext/>
              <w:keepLines/>
              <w:cnfStyle w:val="100000000000" w:firstRow="1" w:lastRow="0" w:firstColumn="0" w:lastColumn="0" w:oddVBand="0" w:evenVBand="0" w:oddHBand="0" w:evenHBand="0" w:firstRowFirstColumn="0" w:firstRowLastColumn="0" w:lastRowFirstColumn="0" w:lastRowLastColumn="0"/>
              <w:rPr>
                <w:iCs w:val="0"/>
              </w:rPr>
            </w:pPr>
            <w:r>
              <w:t xml:space="preserve">Assessed in </w:t>
            </w:r>
          </w:p>
          <w:p w14:paraId="63606EF7" w14:textId="2EED79E8" w:rsidR="00F52B2F" w:rsidRPr="00625570" w:rsidRDefault="00F52B2F" w:rsidP="00FC0E32">
            <w:pPr>
              <w:pStyle w:val="TableHeadingCentered"/>
              <w:keepNext/>
              <w:keepLines/>
              <w:cnfStyle w:val="100000000000" w:firstRow="1" w:lastRow="0" w:firstColumn="0" w:lastColumn="0" w:oddVBand="0" w:evenVBand="0" w:oddHBand="0" w:evenHBand="0" w:firstRowFirstColumn="0" w:firstRowLastColumn="0" w:lastRowFirstColumn="0" w:lastRowLastColumn="0"/>
            </w:pPr>
            <w:r>
              <w:t>2024 Evaluation?</w:t>
            </w:r>
          </w:p>
        </w:tc>
      </w:tr>
      <w:tr w:rsidR="00F52B2F" w14:paraId="5588D8EB" w14:textId="77777777" w:rsidTr="0076102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69" w:type="pct"/>
            <w:tcBorders>
              <w:top w:val="single" w:sz="4" w:space="0" w:color="4A4D56" w:themeColor="text1"/>
            </w:tcBorders>
          </w:tcPr>
          <w:p w14:paraId="7F9E1B39" w14:textId="07A10B73" w:rsidR="00F52B2F" w:rsidRPr="00625570" w:rsidRDefault="00F52B2F" w:rsidP="00FC0E32">
            <w:pPr>
              <w:pStyle w:val="TableLeftText"/>
              <w:keepNext/>
              <w:keepLines/>
            </w:pPr>
            <w:r>
              <w:rPr>
                <w:b/>
                <w:bCs/>
              </w:rPr>
              <w:t xml:space="preserve">MPI I: </w:t>
            </w:r>
            <w:r>
              <w:t>Increased awareness of LLLCs among the target market</w:t>
            </w:r>
          </w:p>
        </w:tc>
        <w:tc>
          <w:tcPr>
            <w:tcW w:w="1131" w:type="pct"/>
            <w:tcBorders>
              <w:top w:val="single" w:sz="4" w:space="0" w:color="4A4D56" w:themeColor="text1"/>
            </w:tcBorders>
          </w:tcPr>
          <w:p w14:paraId="6F874560" w14:textId="2BFE477D" w:rsidR="00F52B2F" w:rsidRPr="000B7901" w:rsidRDefault="00F52B2F" w:rsidP="00FC0E32">
            <w:pPr>
              <w:pStyle w:val="TableCenterText"/>
              <w:keepNext/>
              <w:keepLines/>
              <w:cnfStyle w:val="000000100000" w:firstRow="0" w:lastRow="0" w:firstColumn="0" w:lastColumn="0" w:oddVBand="0" w:evenVBand="0" w:oddHBand="1" w:evenHBand="0" w:firstRowFirstColumn="0" w:firstRowLastColumn="0" w:lastRowFirstColumn="0" w:lastRowLastColumn="0"/>
            </w:pPr>
            <w:r>
              <w:rPr>
                <w:rFonts w:ascii="Wingdings 2" w:hAnsi="Wingdings 2"/>
              </w:rPr>
              <w:t>P</w:t>
            </w:r>
          </w:p>
        </w:tc>
      </w:tr>
      <w:tr w:rsidR="00F52B2F" w14:paraId="504E9683" w14:textId="77777777" w:rsidTr="0076102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69" w:type="pct"/>
          </w:tcPr>
          <w:p w14:paraId="7DF68FF3" w14:textId="5FD8D5CC" w:rsidR="00F52B2F" w:rsidRPr="00625570" w:rsidRDefault="00F52B2F" w:rsidP="00FC0E32">
            <w:pPr>
              <w:pStyle w:val="TableLeftText"/>
              <w:keepNext/>
              <w:keepLines/>
            </w:pPr>
            <w:r>
              <w:rPr>
                <w:b/>
                <w:bCs/>
              </w:rPr>
              <w:t xml:space="preserve">MPI II: </w:t>
            </w:r>
            <w:r>
              <w:t>Increased familiarity with LLLCs among the target market</w:t>
            </w:r>
          </w:p>
        </w:tc>
        <w:tc>
          <w:tcPr>
            <w:tcW w:w="1131" w:type="pct"/>
          </w:tcPr>
          <w:p w14:paraId="76FD62A6" w14:textId="1C8ED711" w:rsidR="00F52B2F" w:rsidRPr="000B7901" w:rsidRDefault="00F52B2F" w:rsidP="00FC0E32">
            <w:pPr>
              <w:pStyle w:val="TableCenterText"/>
              <w:keepNext/>
              <w:keepLines/>
              <w:cnfStyle w:val="000000010000" w:firstRow="0" w:lastRow="0" w:firstColumn="0" w:lastColumn="0" w:oddVBand="0" w:evenVBand="0" w:oddHBand="0" w:evenHBand="1" w:firstRowFirstColumn="0" w:firstRowLastColumn="0" w:lastRowFirstColumn="0" w:lastRowLastColumn="0"/>
            </w:pPr>
            <w:r>
              <w:rPr>
                <w:rFonts w:ascii="Wingdings 2" w:hAnsi="Wingdings 2"/>
              </w:rPr>
              <w:t>P</w:t>
            </w:r>
          </w:p>
        </w:tc>
      </w:tr>
      <w:tr w:rsidR="00F52B2F" w14:paraId="3A548095" w14:textId="77777777" w:rsidTr="0076102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69" w:type="pct"/>
          </w:tcPr>
          <w:p w14:paraId="71F10B7C" w14:textId="7EB1B5E7" w:rsidR="00F52B2F" w:rsidRPr="00625570" w:rsidRDefault="00F52B2F" w:rsidP="00FC0E32">
            <w:pPr>
              <w:pStyle w:val="TableLeftText"/>
              <w:keepNext/>
              <w:keepLines/>
            </w:pPr>
            <w:r>
              <w:rPr>
                <w:b/>
                <w:bCs/>
              </w:rPr>
              <w:t xml:space="preserve">MPI III: </w:t>
            </w:r>
            <w:r>
              <w:t>Increased recommendation of LLLCs among the target market</w:t>
            </w:r>
          </w:p>
        </w:tc>
        <w:tc>
          <w:tcPr>
            <w:tcW w:w="1131" w:type="pct"/>
          </w:tcPr>
          <w:p w14:paraId="47528377" w14:textId="029C5FB9" w:rsidR="00F52B2F" w:rsidRPr="000B7901" w:rsidRDefault="00F52B2F" w:rsidP="00FC0E32">
            <w:pPr>
              <w:pStyle w:val="TableCenterText"/>
              <w:keepNext/>
              <w:keepLines/>
              <w:cnfStyle w:val="000000100000" w:firstRow="0" w:lastRow="0" w:firstColumn="0" w:lastColumn="0" w:oddVBand="0" w:evenVBand="0" w:oddHBand="1" w:evenHBand="0" w:firstRowFirstColumn="0" w:firstRowLastColumn="0" w:lastRowFirstColumn="0" w:lastRowLastColumn="0"/>
            </w:pPr>
            <w:r>
              <w:rPr>
                <w:rFonts w:ascii="Wingdings 2" w:hAnsi="Wingdings 2"/>
              </w:rPr>
              <w:t>P</w:t>
            </w:r>
          </w:p>
        </w:tc>
      </w:tr>
      <w:tr w:rsidR="00F52B2F" w14:paraId="1DE36E9B" w14:textId="77777777" w:rsidTr="0076102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69" w:type="pct"/>
          </w:tcPr>
          <w:p w14:paraId="56D5A2E1" w14:textId="5A2C4E36" w:rsidR="00F52B2F" w:rsidRPr="00625570" w:rsidRDefault="00F52B2F" w:rsidP="00FC0E32">
            <w:pPr>
              <w:pStyle w:val="TableLeftText"/>
              <w:keepNext/>
              <w:keepLines/>
            </w:pPr>
            <w:r>
              <w:rPr>
                <w:b/>
                <w:bCs/>
              </w:rPr>
              <w:t xml:space="preserve">MPI IV: </w:t>
            </w:r>
            <w:r>
              <w:t>Increased installation of LLLCs among end-use customers</w:t>
            </w:r>
          </w:p>
        </w:tc>
        <w:tc>
          <w:tcPr>
            <w:tcW w:w="1131" w:type="pct"/>
          </w:tcPr>
          <w:p w14:paraId="5CD667E8" w14:textId="70C151B8" w:rsidR="00F52B2F" w:rsidRPr="000B7901" w:rsidRDefault="00F52B2F" w:rsidP="00FC0E32">
            <w:pPr>
              <w:pStyle w:val="TableCenterText"/>
              <w:keepNext/>
              <w:keepLines/>
              <w:cnfStyle w:val="000000010000" w:firstRow="0" w:lastRow="0" w:firstColumn="0" w:lastColumn="0" w:oddVBand="0" w:evenVBand="0" w:oddHBand="0" w:evenHBand="1" w:firstRowFirstColumn="0" w:firstRowLastColumn="0" w:lastRowFirstColumn="0" w:lastRowLastColumn="0"/>
            </w:pPr>
            <w:r>
              <w:rPr>
                <w:rFonts w:ascii="Wingdings 2" w:hAnsi="Wingdings 2"/>
              </w:rPr>
              <w:t>P</w:t>
            </w:r>
          </w:p>
        </w:tc>
      </w:tr>
      <w:tr w:rsidR="00F52B2F" w14:paraId="1363956F" w14:textId="77777777" w:rsidTr="0076102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69" w:type="pct"/>
          </w:tcPr>
          <w:p w14:paraId="39170222" w14:textId="2C50B3D6" w:rsidR="00F52B2F" w:rsidRPr="00625570" w:rsidRDefault="00F52B2F" w:rsidP="00FC0E32">
            <w:pPr>
              <w:pStyle w:val="TableLeftText"/>
              <w:keepNext/>
              <w:keepLines/>
            </w:pPr>
            <w:r>
              <w:rPr>
                <w:b/>
                <w:bCs/>
              </w:rPr>
              <w:t xml:space="preserve">MPI V: </w:t>
            </w:r>
            <w:r>
              <w:t>Increased number of trained contractors and installers</w:t>
            </w:r>
          </w:p>
        </w:tc>
        <w:tc>
          <w:tcPr>
            <w:tcW w:w="1131" w:type="pct"/>
          </w:tcPr>
          <w:p w14:paraId="42B99351" w14:textId="2F0FD489" w:rsidR="00F52B2F" w:rsidRPr="000B7901" w:rsidRDefault="00F52B2F" w:rsidP="00FC0E32">
            <w:pPr>
              <w:pStyle w:val="TableCenterText"/>
              <w:keepNext/>
              <w:keepLines/>
              <w:cnfStyle w:val="000000100000" w:firstRow="0" w:lastRow="0" w:firstColumn="0" w:lastColumn="0" w:oddVBand="0" w:evenVBand="0" w:oddHBand="1" w:evenHBand="0" w:firstRowFirstColumn="0" w:firstRowLastColumn="0" w:lastRowFirstColumn="0" w:lastRowLastColumn="0"/>
            </w:pPr>
            <w:r>
              <w:rPr>
                <w:rFonts w:ascii="Wingdings 2" w:hAnsi="Wingdings 2"/>
              </w:rPr>
              <w:t>P</w:t>
            </w:r>
          </w:p>
        </w:tc>
      </w:tr>
      <w:tr w:rsidR="00F52B2F" w14:paraId="3159BF06" w14:textId="77777777" w:rsidTr="0076102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69" w:type="pct"/>
          </w:tcPr>
          <w:p w14:paraId="6E6875E6" w14:textId="395126B5" w:rsidR="00F52B2F" w:rsidRPr="00625570" w:rsidRDefault="00F52B2F" w:rsidP="00FC0E32">
            <w:pPr>
              <w:pStyle w:val="TableLeftText"/>
              <w:keepNext/>
              <w:keepLines/>
            </w:pPr>
            <w:r>
              <w:rPr>
                <w:b/>
                <w:bCs/>
              </w:rPr>
              <w:t xml:space="preserve">MPI VI: </w:t>
            </w:r>
            <w:r>
              <w:t>Increased stocking of LLLC equipment among distributors</w:t>
            </w:r>
          </w:p>
        </w:tc>
        <w:tc>
          <w:tcPr>
            <w:tcW w:w="1131" w:type="pct"/>
          </w:tcPr>
          <w:p w14:paraId="387FE9B2" w14:textId="77777777" w:rsidR="00F52B2F" w:rsidRPr="000B7901" w:rsidRDefault="00F52B2F" w:rsidP="00FC0E32">
            <w:pPr>
              <w:pStyle w:val="TableCenterText"/>
              <w:keepNext/>
              <w:keepLines/>
              <w:cnfStyle w:val="000000010000" w:firstRow="0" w:lastRow="0" w:firstColumn="0" w:lastColumn="0" w:oddVBand="0" w:evenVBand="0" w:oddHBand="0" w:evenHBand="1" w:firstRowFirstColumn="0" w:firstRowLastColumn="0" w:lastRowFirstColumn="0" w:lastRowLastColumn="0"/>
            </w:pPr>
          </w:p>
        </w:tc>
      </w:tr>
      <w:tr w:rsidR="00F52B2F" w14:paraId="74F55F2C" w14:textId="77777777" w:rsidTr="0076102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69" w:type="pct"/>
          </w:tcPr>
          <w:p w14:paraId="5B421638" w14:textId="4414C979" w:rsidR="00F52B2F" w:rsidRDefault="00F52B2F" w:rsidP="00FC0E32">
            <w:pPr>
              <w:pStyle w:val="TableLeftText"/>
              <w:keepNext/>
              <w:keepLines/>
            </w:pPr>
            <w:r>
              <w:rPr>
                <w:b/>
                <w:bCs/>
              </w:rPr>
              <w:t xml:space="preserve">MPI VII: </w:t>
            </w:r>
            <w:r>
              <w:t xml:space="preserve">Increased LLLC listing in </w:t>
            </w:r>
            <w:r w:rsidR="0076102F">
              <w:t>the DLC QPL</w:t>
            </w:r>
          </w:p>
        </w:tc>
        <w:tc>
          <w:tcPr>
            <w:tcW w:w="1131" w:type="pct"/>
          </w:tcPr>
          <w:p w14:paraId="115B41BB" w14:textId="77777777" w:rsidR="00F52B2F" w:rsidRPr="000B7901" w:rsidRDefault="00F52B2F" w:rsidP="00FC0E32">
            <w:pPr>
              <w:pStyle w:val="TableCenterText"/>
              <w:keepNext/>
              <w:keepLines/>
              <w:cnfStyle w:val="000000100000" w:firstRow="0" w:lastRow="0" w:firstColumn="0" w:lastColumn="0" w:oddVBand="0" w:evenVBand="0" w:oddHBand="1" w:evenHBand="0" w:firstRowFirstColumn="0" w:firstRowLastColumn="0" w:lastRowFirstColumn="0" w:lastRowLastColumn="0"/>
            </w:pPr>
          </w:p>
        </w:tc>
      </w:tr>
    </w:tbl>
    <w:p w14:paraId="1427897D" w14:textId="77777777" w:rsidR="00F333A5" w:rsidRDefault="00F333A5" w:rsidP="00F333A5">
      <w:pPr>
        <w:pStyle w:val="Heading1"/>
      </w:pPr>
      <w:bookmarkStart w:id="18" w:name="_Toc190258090"/>
      <w:bookmarkStart w:id="19" w:name="_Toc192240886"/>
      <w:bookmarkEnd w:id="18"/>
      <w:r>
        <w:lastRenderedPageBreak/>
        <w:t>Methods</w:t>
      </w:r>
      <w:bookmarkEnd w:id="19"/>
    </w:p>
    <w:p w14:paraId="1A837A34" w14:textId="77777777" w:rsidR="00484562" w:rsidRDefault="0010756A" w:rsidP="0076102F">
      <w:pPr>
        <w:pStyle w:val="NoSpacing"/>
      </w:pPr>
      <w:r>
        <w:t>The evaluation team conducted four research activities in 2024</w:t>
      </w:r>
      <w:r w:rsidR="00484562">
        <w:t>, including:</w:t>
      </w:r>
    </w:p>
    <w:p w14:paraId="4F596599" w14:textId="4A87DCEC" w:rsidR="00484562" w:rsidRDefault="00484562" w:rsidP="00795B35">
      <w:pPr>
        <w:pStyle w:val="ListBullet"/>
      </w:pPr>
      <w:r>
        <w:t>T</w:t>
      </w:r>
      <w:r w:rsidR="0089000B">
        <w:t>raining assessment</w:t>
      </w:r>
      <w:r w:rsidR="0010756A">
        <w:t xml:space="preserve"> surveys administered to trade allies before and after completing AIC’s </w:t>
      </w:r>
      <w:r w:rsidR="0089000B">
        <w:t xml:space="preserve">in-person and </w:t>
      </w:r>
      <w:r w:rsidR="0010756A">
        <w:t xml:space="preserve">online LLLC </w:t>
      </w:r>
      <w:r w:rsidR="00435180">
        <w:t>training</w:t>
      </w:r>
      <w:r w:rsidR="0010756A">
        <w:t xml:space="preserve">, </w:t>
      </w:r>
    </w:p>
    <w:p w14:paraId="52845320" w14:textId="59332B84" w:rsidR="00484562" w:rsidRDefault="00484562" w:rsidP="00795B35">
      <w:pPr>
        <w:pStyle w:val="ListBullet"/>
      </w:pPr>
      <w:r>
        <w:t>M</w:t>
      </w:r>
      <w:r w:rsidR="0010756A">
        <w:t xml:space="preserve">arket actor surveys of both AIC customers and trade allies, </w:t>
      </w:r>
    </w:p>
    <w:p w14:paraId="13598851" w14:textId="3313DAB4" w:rsidR="00484562" w:rsidRDefault="00484562" w:rsidP="00795B35">
      <w:pPr>
        <w:pStyle w:val="ListBullet"/>
      </w:pPr>
      <w:r>
        <w:t>M</w:t>
      </w:r>
      <w:r w:rsidR="0089000B">
        <w:t xml:space="preserve">arket analysis involving </w:t>
      </w:r>
      <w:r w:rsidR="00435180">
        <w:t xml:space="preserve">a </w:t>
      </w:r>
      <w:r w:rsidR="0010756A">
        <w:t xml:space="preserve">review of secondary data sources </w:t>
      </w:r>
      <w:r w:rsidR="0089000B">
        <w:t xml:space="preserve">and </w:t>
      </w:r>
      <w:r w:rsidR="0010756A">
        <w:t xml:space="preserve">third-party </w:t>
      </w:r>
      <w:r w:rsidR="0089000B">
        <w:t xml:space="preserve">sales </w:t>
      </w:r>
      <w:r w:rsidR="0010756A">
        <w:t xml:space="preserve">data, </w:t>
      </w:r>
      <w:r>
        <w:t>and</w:t>
      </w:r>
    </w:p>
    <w:p w14:paraId="6EEE12C4" w14:textId="69F92944" w:rsidR="00484562" w:rsidRDefault="001828E6" w:rsidP="00795B35">
      <w:pPr>
        <w:pStyle w:val="ListBullet"/>
      </w:pPr>
      <w:r>
        <w:t>MT</w:t>
      </w:r>
      <w:r w:rsidR="0089000B">
        <w:t xml:space="preserve"> savings analysis to estimate</w:t>
      </w:r>
      <w:r w:rsidR="0010756A">
        <w:t xml:space="preserve"> net energy savings</w:t>
      </w:r>
      <w:r w:rsidR="0089000B">
        <w:t xml:space="preserve"> attributable to the </w:t>
      </w:r>
      <w:r w:rsidR="000D573F">
        <w:t>LLLC Pilot</w:t>
      </w:r>
      <w:r w:rsidR="0010756A">
        <w:t xml:space="preserve">. </w:t>
      </w:r>
    </w:p>
    <w:p w14:paraId="4B52A14A" w14:textId="48D23FB9" w:rsidR="0089000B" w:rsidRDefault="0010756A" w:rsidP="0089000B">
      <w:r>
        <w:t xml:space="preserve">The following sections </w:t>
      </w:r>
      <w:r w:rsidR="00EB054F">
        <w:t xml:space="preserve">describe </w:t>
      </w:r>
      <w:r>
        <w:t>these four activities in more detail</w:t>
      </w:r>
      <w:r w:rsidR="0089000B">
        <w:t xml:space="preserve">, and the research </w:t>
      </w:r>
      <w:r w:rsidR="007C49E0">
        <w:t xml:space="preserve">questions </w:t>
      </w:r>
      <w:r w:rsidR="0089000B">
        <w:t xml:space="preserve">associated with each activity </w:t>
      </w:r>
      <w:r w:rsidR="00435180">
        <w:t>are</w:t>
      </w:r>
      <w:r w:rsidR="0089000B">
        <w:t xml:space="preserve"> presented in </w:t>
      </w:r>
      <w:r w:rsidR="00E72DCB">
        <w:fldChar w:fldCharType="begin"/>
      </w:r>
      <w:r w:rsidR="00E72DCB">
        <w:instrText xml:space="preserve"> REF _Ref188966061 \h </w:instrText>
      </w:r>
      <w:r w:rsidR="00E72DCB">
        <w:fldChar w:fldCharType="separate"/>
      </w:r>
      <w:r w:rsidR="00D0329D">
        <w:t xml:space="preserve">Table </w:t>
      </w:r>
      <w:r w:rsidR="00D0329D">
        <w:rPr>
          <w:noProof/>
        </w:rPr>
        <w:t>4</w:t>
      </w:r>
      <w:r w:rsidR="00E72DCB">
        <w:fldChar w:fldCharType="end"/>
      </w:r>
      <w:r w:rsidR="0089000B">
        <w:t xml:space="preserve"> below.</w:t>
      </w:r>
    </w:p>
    <w:p w14:paraId="3C026854" w14:textId="60BFE574" w:rsidR="0089000B" w:rsidRDefault="0089000B" w:rsidP="00287BC8">
      <w:pPr>
        <w:pStyle w:val="Caption"/>
      </w:pPr>
      <w:bookmarkStart w:id="20" w:name="_Ref188966061"/>
      <w:bookmarkStart w:id="21" w:name="_Toc192238281"/>
      <w:r>
        <w:t xml:space="preserve">Table </w:t>
      </w:r>
      <w:r>
        <w:fldChar w:fldCharType="begin"/>
      </w:r>
      <w:r>
        <w:instrText xml:space="preserve"> SEQ Table \* ARABIC </w:instrText>
      </w:r>
      <w:r>
        <w:fldChar w:fldCharType="separate"/>
      </w:r>
      <w:r w:rsidR="00D0329D">
        <w:rPr>
          <w:noProof/>
        </w:rPr>
        <w:t>4</w:t>
      </w:r>
      <w:r>
        <w:fldChar w:fldCharType="end"/>
      </w:r>
      <w:bookmarkEnd w:id="20"/>
      <w:r>
        <w:t xml:space="preserve">. Research </w:t>
      </w:r>
      <w:r w:rsidR="00532A15">
        <w:t>Questions</w:t>
      </w:r>
      <w:r>
        <w:t xml:space="preserve"> and Subsequent Research Activities</w:t>
      </w:r>
      <w:bookmarkEnd w:id="21"/>
    </w:p>
    <w:tbl>
      <w:tblPr>
        <w:tblStyle w:val="TableGrid"/>
        <w:tblW w:w="5000" w:type="pct"/>
        <w:tblLook w:val="04A0" w:firstRow="1" w:lastRow="0" w:firstColumn="1" w:lastColumn="0" w:noHBand="0" w:noVBand="1"/>
      </w:tblPr>
      <w:tblGrid>
        <w:gridCol w:w="3595"/>
        <w:gridCol w:w="7501"/>
      </w:tblGrid>
      <w:tr w:rsidR="0089000B" w14:paraId="15F6599E" w14:textId="77777777" w:rsidTr="001127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pct"/>
          </w:tcPr>
          <w:p w14:paraId="43692D31" w14:textId="77777777" w:rsidR="0089000B" w:rsidRDefault="0089000B" w:rsidP="00133FCF">
            <w:pPr>
              <w:pStyle w:val="TableHeadingLeft"/>
            </w:pPr>
            <w:r>
              <w:t>Research Activities</w:t>
            </w:r>
          </w:p>
        </w:tc>
        <w:tc>
          <w:tcPr>
            <w:tcW w:w="3380" w:type="pct"/>
          </w:tcPr>
          <w:p w14:paraId="34F78000" w14:textId="4B78484C" w:rsidR="0089000B" w:rsidRDefault="00E06FD6" w:rsidP="00133FCF">
            <w:pPr>
              <w:pStyle w:val="TableHeadingCentered"/>
              <w:cnfStyle w:val="100000000000" w:firstRow="1" w:lastRow="0" w:firstColumn="0" w:lastColumn="0" w:oddVBand="0" w:evenVBand="0" w:oddHBand="0" w:evenHBand="0" w:firstRowFirstColumn="0" w:firstRowLastColumn="0" w:lastRowFirstColumn="0" w:lastRowLastColumn="0"/>
            </w:pPr>
            <w:r>
              <w:t xml:space="preserve">Associated </w:t>
            </w:r>
            <w:r w:rsidR="0089000B">
              <w:t xml:space="preserve">Research </w:t>
            </w:r>
            <w:r w:rsidR="00532A15">
              <w:t>Questions</w:t>
            </w:r>
          </w:p>
        </w:tc>
      </w:tr>
      <w:tr w:rsidR="0089000B" w14:paraId="6A563C53" w14:textId="77777777" w:rsidTr="001127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pct"/>
          </w:tcPr>
          <w:p w14:paraId="26D8BF2B" w14:textId="132F28B7" w:rsidR="0089000B" w:rsidRDefault="0089000B" w:rsidP="00E06FD6">
            <w:r>
              <w:t>Pre- and Post-Training Assessment Surveys</w:t>
            </w:r>
          </w:p>
        </w:tc>
        <w:tc>
          <w:tcPr>
            <w:tcW w:w="3380" w:type="pct"/>
          </w:tcPr>
          <w:p w14:paraId="642A9402" w14:textId="2B7F694B" w:rsidR="0089000B" w:rsidRDefault="00532A15" w:rsidP="00133FCF">
            <w:pPr>
              <w:pStyle w:val="TableBullet"/>
              <w:cnfStyle w:val="000000100000" w:firstRow="0" w:lastRow="0" w:firstColumn="0" w:lastColumn="0" w:oddVBand="0" w:evenVBand="0" w:oddHBand="1" w:evenHBand="0" w:firstRowFirstColumn="0" w:firstRowLastColumn="0" w:lastRowFirstColumn="0" w:lastRowLastColumn="0"/>
            </w:pPr>
            <w:r>
              <w:t>Are training participants familiar with and knowledgeable about NLCs and LLLCs?</w:t>
            </w:r>
          </w:p>
          <w:p w14:paraId="3468B055" w14:textId="36C7F282" w:rsidR="00532A15" w:rsidRDefault="00532A15" w:rsidP="00532A15">
            <w:pPr>
              <w:pStyle w:val="TableBullet"/>
              <w:cnfStyle w:val="000000100000" w:firstRow="0" w:lastRow="0" w:firstColumn="0" w:lastColumn="0" w:oddVBand="0" w:evenVBand="0" w:oddHBand="1" w:evenHBand="0" w:firstRowFirstColumn="0" w:firstRowLastColumn="0" w:lastRowFirstColumn="0" w:lastRowLastColumn="0"/>
            </w:pPr>
            <w:r>
              <w:t>Who is participating in the online</w:t>
            </w:r>
            <w:r w:rsidR="00E84B49">
              <w:t xml:space="preserve"> training</w:t>
            </w:r>
            <w:r>
              <w:t xml:space="preserve">, and how did they hear about the course? </w:t>
            </w:r>
          </w:p>
          <w:p w14:paraId="6716A21E" w14:textId="2A7B2A69" w:rsidR="0089000B" w:rsidRDefault="00532A15" w:rsidP="00532A15">
            <w:pPr>
              <w:pStyle w:val="TableBullet"/>
              <w:cnfStyle w:val="000000100000" w:firstRow="0" w:lastRow="0" w:firstColumn="0" w:lastColumn="0" w:oddVBand="0" w:evenVBand="0" w:oddHBand="1" w:evenHBand="0" w:firstRowFirstColumn="0" w:firstRowLastColumn="0" w:lastRowFirstColumn="0" w:lastRowLastColumn="0"/>
            </w:pPr>
            <w:proofErr w:type="spellStart"/>
            <w:r>
              <w:t>Were</w:t>
            </w:r>
            <w:proofErr w:type="spellEnd"/>
            <w:r>
              <w:t xml:space="preserve"> training participants satisfied with the course content, and did they </w:t>
            </w:r>
            <w:r w:rsidR="00E84B49">
              <w:t xml:space="preserve">report </w:t>
            </w:r>
            <w:r>
              <w:t>improved knowledge of LLLCs?</w:t>
            </w:r>
          </w:p>
        </w:tc>
      </w:tr>
      <w:tr w:rsidR="0089000B" w14:paraId="5DA9753B" w14:textId="77777777" w:rsidTr="001127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pct"/>
          </w:tcPr>
          <w:p w14:paraId="09553DC8" w14:textId="77777777" w:rsidR="0089000B" w:rsidRDefault="0089000B" w:rsidP="00133FCF">
            <w:r>
              <w:t>Market Actor Surveys with Customers and Trade Allies</w:t>
            </w:r>
          </w:p>
        </w:tc>
        <w:tc>
          <w:tcPr>
            <w:tcW w:w="3380" w:type="pct"/>
          </w:tcPr>
          <w:p w14:paraId="156754B0" w14:textId="77777777" w:rsidR="00E84B49" w:rsidRDefault="00E27E99" w:rsidP="00133FCF">
            <w:pPr>
              <w:pStyle w:val="TableBullet"/>
              <w:cnfStyle w:val="000000010000" w:firstRow="0" w:lastRow="0" w:firstColumn="0" w:lastColumn="0" w:oddVBand="0" w:evenVBand="0" w:oddHBand="0" w:evenHBand="1" w:firstRowFirstColumn="0" w:firstRowLastColumn="0" w:lastRowFirstColumn="0" w:lastRowLastColumn="0"/>
            </w:pPr>
            <w:r>
              <w:t xml:space="preserve">How familiar are market actors with LLLC equipment? </w:t>
            </w:r>
          </w:p>
          <w:p w14:paraId="262FDE46" w14:textId="5BB6F87A" w:rsidR="0089000B" w:rsidRDefault="00E27E99" w:rsidP="00133FCF">
            <w:pPr>
              <w:pStyle w:val="TableBullet"/>
              <w:cnfStyle w:val="000000010000" w:firstRow="0" w:lastRow="0" w:firstColumn="0" w:lastColumn="0" w:oddVBand="0" w:evenVBand="0" w:oddHBand="0" w:evenHBand="1" w:firstRowFirstColumn="0" w:firstRowLastColumn="0" w:lastRowFirstColumn="0" w:lastRowLastColumn="0"/>
            </w:pPr>
            <w:r>
              <w:t>How knowledgeable are market actors about LLLC equipment?</w:t>
            </w:r>
          </w:p>
          <w:p w14:paraId="156EFB40" w14:textId="0215E3D9" w:rsidR="0089000B" w:rsidRDefault="00E27E99" w:rsidP="00133FCF">
            <w:pPr>
              <w:pStyle w:val="TableBullet"/>
              <w:cnfStyle w:val="000000010000" w:firstRow="0" w:lastRow="0" w:firstColumn="0" w:lastColumn="0" w:oddVBand="0" w:evenVBand="0" w:oddHBand="0" w:evenHBand="1" w:firstRowFirstColumn="0" w:firstRowLastColumn="0" w:lastRowFirstColumn="0" w:lastRowLastColumn="0"/>
            </w:pPr>
            <w:r>
              <w:t xml:space="preserve">Do market actors have experience purchasing, recommending, or installing LLLC equipment? </w:t>
            </w:r>
          </w:p>
        </w:tc>
      </w:tr>
      <w:tr w:rsidR="0089000B" w14:paraId="58012011" w14:textId="77777777" w:rsidTr="001127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pct"/>
          </w:tcPr>
          <w:p w14:paraId="49032E00" w14:textId="77777777" w:rsidR="0089000B" w:rsidRDefault="0089000B" w:rsidP="00133FCF">
            <w:r>
              <w:t>Market Analysis</w:t>
            </w:r>
          </w:p>
        </w:tc>
        <w:tc>
          <w:tcPr>
            <w:tcW w:w="3380" w:type="pct"/>
          </w:tcPr>
          <w:p w14:paraId="1A08A07A" w14:textId="35FE8B7F" w:rsidR="0089000B" w:rsidRDefault="00E27E99" w:rsidP="00133FCF">
            <w:pPr>
              <w:pStyle w:val="TableBullet"/>
              <w:cnfStyle w:val="000000100000" w:firstRow="0" w:lastRow="0" w:firstColumn="0" w:lastColumn="0" w:oddVBand="0" w:evenVBand="0" w:oddHBand="1" w:evenHBand="0" w:firstRowFirstColumn="0" w:firstRowLastColumn="0" w:lastRowFirstColumn="0" w:lastRowLastColumn="0"/>
            </w:pPr>
            <w:r>
              <w:t xml:space="preserve">What are the most </w:t>
            </w:r>
            <w:r w:rsidR="005A64B8">
              <w:t xml:space="preserve">impactful and noteworthy </w:t>
            </w:r>
            <w:r>
              <w:t xml:space="preserve">trends in the broader lighting control </w:t>
            </w:r>
            <w:r w:rsidR="00E84B49">
              <w:t>and LLLC markets</w:t>
            </w:r>
            <w:r>
              <w:t>?</w:t>
            </w:r>
          </w:p>
        </w:tc>
      </w:tr>
      <w:tr w:rsidR="0089000B" w14:paraId="210C0225" w14:textId="77777777" w:rsidTr="001127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pct"/>
          </w:tcPr>
          <w:p w14:paraId="3E380B69" w14:textId="4CDA1F67" w:rsidR="0089000B" w:rsidRDefault="00B722F3" w:rsidP="00133FCF">
            <w:r>
              <w:t>MT</w:t>
            </w:r>
            <w:r w:rsidR="0089000B">
              <w:t xml:space="preserve"> Savings Analysis</w:t>
            </w:r>
          </w:p>
        </w:tc>
        <w:tc>
          <w:tcPr>
            <w:tcW w:w="3380" w:type="pct"/>
          </w:tcPr>
          <w:p w14:paraId="071A8FD1" w14:textId="222F26A1" w:rsidR="0089000B" w:rsidRDefault="00E27E99" w:rsidP="00133FCF">
            <w:pPr>
              <w:pStyle w:val="TableBullet"/>
              <w:cnfStyle w:val="000000010000" w:firstRow="0" w:lastRow="0" w:firstColumn="0" w:lastColumn="0" w:oddVBand="0" w:evenVBand="0" w:oddHBand="0" w:evenHBand="1" w:firstRowFirstColumn="0" w:firstRowLastColumn="0" w:lastRowFirstColumn="0" w:lastRowLastColumn="0"/>
            </w:pPr>
            <w:r>
              <w:t xml:space="preserve">What are the net energy savings from </w:t>
            </w:r>
            <w:r w:rsidR="000D573F">
              <w:t>LLLC Pilot</w:t>
            </w:r>
            <w:r w:rsidR="00047028">
              <w:t xml:space="preserve"> </w:t>
            </w:r>
            <w:r>
              <w:t>activities?</w:t>
            </w:r>
          </w:p>
        </w:tc>
      </w:tr>
    </w:tbl>
    <w:p w14:paraId="2C55FE3A" w14:textId="77777777" w:rsidR="009105DB" w:rsidRDefault="009105DB" w:rsidP="009105DB">
      <w:pPr>
        <w:pStyle w:val="Heading2"/>
      </w:pPr>
      <w:bookmarkStart w:id="22" w:name="_Toc190258092"/>
      <w:bookmarkStart w:id="23" w:name="_Toc190258093"/>
      <w:bookmarkStart w:id="24" w:name="_Toc190258094"/>
      <w:bookmarkStart w:id="25" w:name="_Toc190256844"/>
      <w:bookmarkStart w:id="26" w:name="_Toc190258119"/>
      <w:bookmarkStart w:id="27" w:name="_Toc192240887"/>
      <w:bookmarkEnd w:id="22"/>
      <w:bookmarkEnd w:id="23"/>
      <w:bookmarkEnd w:id="24"/>
      <w:bookmarkEnd w:id="25"/>
      <w:bookmarkEnd w:id="26"/>
      <w:r>
        <w:t>Training Assessment Surveys</w:t>
      </w:r>
      <w:bookmarkEnd w:id="27"/>
    </w:p>
    <w:p w14:paraId="7E804336" w14:textId="77777777" w:rsidR="00B25CB2" w:rsidRDefault="00BC00A4" w:rsidP="009105DB">
      <w:r>
        <w:t xml:space="preserve">The evaluation team conducted online surveys with </w:t>
      </w:r>
      <w:r w:rsidR="00F23FDE">
        <w:t>trade</w:t>
      </w:r>
      <w:r>
        <w:t xml:space="preserve"> allies who enrolled in the </w:t>
      </w:r>
      <w:r w:rsidR="000D573F">
        <w:t>LLLC Pilot</w:t>
      </w:r>
      <w:r>
        <w:t xml:space="preserve"> </w:t>
      </w:r>
      <w:proofErr w:type="gramStart"/>
      <w:r>
        <w:t>training</w:t>
      </w:r>
      <w:r w:rsidR="005A64B8">
        <w:t>s</w:t>
      </w:r>
      <w:proofErr w:type="gramEnd"/>
      <w:r>
        <w:t xml:space="preserve">. We conducted two rounds of </w:t>
      </w:r>
      <w:bookmarkStart w:id="28" w:name="_Hlk142308267"/>
      <w:r>
        <w:t xml:space="preserve">assessments </w:t>
      </w:r>
      <w:bookmarkEnd w:id="28"/>
      <w:r>
        <w:t>with training participants</w:t>
      </w:r>
      <w:r w:rsidR="00435180">
        <w:t xml:space="preserve">: a pre-training assessment before any training participation and a post-training survey directly following </w:t>
      </w:r>
      <w:r w:rsidR="004C3D4A">
        <w:t>completion of the</w:t>
      </w:r>
      <w:r w:rsidR="00AF3B25">
        <w:t xml:space="preserve"> online</w:t>
      </w:r>
      <w:r w:rsidR="004C3D4A">
        <w:t xml:space="preserve"> training course. </w:t>
      </w:r>
      <w:r w:rsidR="00F23FDE">
        <w:t>Trade</w:t>
      </w:r>
      <w:r w:rsidR="004C3D4A">
        <w:t xml:space="preserve"> allies could take part in </w:t>
      </w:r>
      <w:r w:rsidR="00E84B49">
        <w:t xml:space="preserve">the </w:t>
      </w:r>
      <w:r w:rsidR="004C3D4A">
        <w:t>in-person workshops or online training</w:t>
      </w:r>
      <w:r w:rsidR="00AF3B25">
        <w:t xml:space="preserve"> independently</w:t>
      </w:r>
      <w:r w:rsidR="00A5790B">
        <w:t xml:space="preserve">; however, </w:t>
      </w:r>
      <w:r w:rsidR="00435180">
        <w:t>participants</w:t>
      </w:r>
      <w:r w:rsidR="004C3D4A">
        <w:t xml:space="preserve"> typically </w:t>
      </w:r>
      <w:r w:rsidR="00A5790B">
        <w:t xml:space="preserve">begin </w:t>
      </w:r>
      <w:r w:rsidR="004C3D4A">
        <w:t xml:space="preserve">by participating in the in-person workshop and </w:t>
      </w:r>
      <w:r w:rsidR="00A5790B">
        <w:t xml:space="preserve">then are </w:t>
      </w:r>
      <w:r w:rsidR="004C3D4A">
        <w:t xml:space="preserve">directed to the online training </w:t>
      </w:r>
      <w:r w:rsidR="00415EA7">
        <w:t>course.</w:t>
      </w:r>
      <w:r w:rsidR="004C3D4A">
        <w:t xml:space="preserve"> </w:t>
      </w:r>
    </w:p>
    <w:p w14:paraId="4872303F" w14:textId="1D8F3BA4" w:rsidR="00BC00A4" w:rsidRDefault="00B25CB2" w:rsidP="009105DB">
      <w:r>
        <w:t>Trade allies were required to at least begin the pre-training assessment as part of training attendance, either via QR code presented during the in-person training or via a link embedded at the start of the online training. Because the survey was offered in both places, respondents were given the option to opt out if they had already provided their responses.</w:t>
      </w:r>
      <w:r w:rsidRPr="00B25CB2">
        <w:t xml:space="preserve"> </w:t>
      </w:r>
      <w:r>
        <w:t xml:space="preserve">The post-training was embedded at the end of the online training course as a pre-requisite to completing the final certification. </w:t>
      </w:r>
      <w:r w:rsidRPr="00964951">
        <w:t xml:space="preserve">Survey fielding began </w:t>
      </w:r>
      <w:r>
        <w:t>in concert with</w:t>
      </w:r>
      <w:r w:rsidRPr="00964951">
        <w:t xml:space="preserve"> the first </w:t>
      </w:r>
      <w:r>
        <w:t>2024</w:t>
      </w:r>
      <w:r w:rsidRPr="00964951">
        <w:t xml:space="preserve"> in-person workshop </w:t>
      </w:r>
      <w:r>
        <w:t xml:space="preserve">and launch of the online training platform in early November 2024 </w:t>
      </w:r>
      <w:r w:rsidRPr="00964951">
        <w:t xml:space="preserve">and continued </w:t>
      </w:r>
      <w:r>
        <w:t xml:space="preserve">fielding </w:t>
      </w:r>
      <w:r w:rsidRPr="00964951">
        <w:t>through the end of December.</w:t>
      </w:r>
      <w:r>
        <w:rPr>
          <w:rStyle w:val="FootnoteReference"/>
        </w:rPr>
        <w:footnoteReference w:id="4"/>
      </w:r>
    </w:p>
    <w:p w14:paraId="4D5C9FD7" w14:textId="686FD22F" w:rsidR="000E5B05" w:rsidRDefault="00E44404" w:rsidP="00A875A1">
      <w:pPr>
        <w:keepNext/>
        <w:keepLines/>
      </w:pPr>
      <w:r>
        <w:lastRenderedPageBreak/>
        <w:t>Fifty</w:t>
      </w:r>
      <w:r w:rsidR="004B0E20" w:rsidRPr="00964951">
        <w:t xml:space="preserve"> </w:t>
      </w:r>
      <w:r w:rsidR="000E5B05" w:rsidRPr="00964951">
        <w:t>trade allies</w:t>
      </w:r>
      <w:r>
        <w:t xml:space="preserve"> completed the pre-training assessment survey </w:t>
      </w:r>
      <w:r w:rsidR="00435180">
        <w:t>before</w:t>
      </w:r>
      <w:r w:rsidR="00964951" w:rsidRPr="00964951">
        <w:t xml:space="preserve"> beginning</w:t>
      </w:r>
      <w:r>
        <w:t xml:space="preserve"> the in-person workshop or</w:t>
      </w:r>
      <w:r w:rsidR="00964951" w:rsidRPr="00964951">
        <w:t xml:space="preserve"> online</w:t>
      </w:r>
      <w:r>
        <w:t xml:space="preserve"> course</w:t>
      </w:r>
      <w:r w:rsidR="00B25CB2">
        <w:t>, and s</w:t>
      </w:r>
      <w:r w:rsidR="0096021C">
        <w:t>urvey responses suggest that all fifty completed the survey during the in-person workshop.</w:t>
      </w:r>
      <w:r w:rsidR="0049742A">
        <w:t xml:space="preserve"> </w:t>
      </w:r>
      <w:r w:rsidR="00435180">
        <w:t>Eight</w:t>
      </w:r>
      <w:r w:rsidR="00A53E29">
        <w:t xml:space="preserve"> trade allies completed the subsequent online post-training </w:t>
      </w:r>
      <w:r w:rsidR="00B25CB2">
        <w:t xml:space="preserve">assessment survey. </w:t>
      </w:r>
      <w:r w:rsidR="00E8215E">
        <w:fldChar w:fldCharType="begin"/>
      </w:r>
      <w:r w:rsidR="00E8215E">
        <w:instrText xml:space="preserve"> REF _Ref191296260 \h </w:instrText>
      </w:r>
      <w:r w:rsidR="00E8215E">
        <w:fldChar w:fldCharType="separate"/>
      </w:r>
      <w:r w:rsidR="00D0329D">
        <w:t xml:space="preserve">Table </w:t>
      </w:r>
      <w:r w:rsidR="00D0329D">
        <w:rPr>
          <w:noProof/>
        </w:rPr>
        <w:t>5</w:t>
      </w:r>
      <w:r w:rsidR="00E8215E">
        <w:fldChar w:fldCharType="end"/>
      </w:r>
      <w:r w:rsidR="00E8215E">
        <w:t xml:space="preserve"> summarizes the pre- and post-training assessment survey </w:t>
      </w:r>
      <w:r w:rsidR="00F61BB4">
        <w:t>fielding efforts</w:t>
      </w:r>
      <w:r w:rsidR="00E8215E">
        <w:t xml:space="preserve">. </w:t>
      </w:r>
    </w:p>
    <w:p w14:paraId="13CBB8F4" w14:textId="6443CBE1" w:rsidR="007C49E0" w:rsidRDefault="007C49E0" w:rsidP="00287BC8">
      <w:pPr>
        <w:pStyle w:val="Caption"/>
      </w:pPr>
      <w:bookmarkStart w:id="29" w:name="_Ref191296260"/>
      <w:bookmarkStart w:id="30" w:name="_Toc192238282"/>
      <w:r>
        <w:t xml:space="preserve">Table </w:t>
      </w:r>
      <w:r>
        <w:fldChar w:fldCharType="begin"/>
      </w:r>
      <w:r>
        <w:instrText xml:space="preserve"> SEQ Table \* ARABIC </w:instrText>
      </w:r>
      <w:r>
        <w:fldChar w:fldCharType="separate"/>
      </w:r>
      <w:r w:rsidR="00D0329D">
        <w:rPr>
          <w:noProof/>
        </w:rPr>
        <w:t>5</w:t>
      </w:r>
      <w:r>
        <w:fldChar w:fldCharType="end"/>
      </w:r>
      <w:bookmarkEnd w:id="29"/>
      <w:r>
        <w:t>. Training Assessment Survey Fielding Summary</w:t>
      </w:r>
      <w:bookmarkEnd w:id="30"/>
    </w:p>
    <w:tbl>
      <w:tblPr>
        <w:tblStyle w:val="ODCBasic-1"/>
        <w:tblW w:w="2431" w:type="pct"/>
        <w:tblCellMar>
          <w:top w:w="0" w:type="dxa"/>
          <w:bottom w:w="14" w:type="dxa"/>
        </w:tblCellMar>
        <w:tblLook w:val="04A0" w:firstRow="1" w:lastRow="0" w:firstColumn="1" w:lastColumn="0" w:noHBand="0" w:noVBand="1"/>
      </w:tblPr>
      <w:tblGrid>
        <w:gridCol w:w="3325"/>
        <w:gridCol w:w="2070"/>
      </w:tblGrid>
      <w:tr w:rsidR="007C49E0" w14:paraId="04B10F32" w14:textId="77777777" w:rsidTr="00A15AF0">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3082" w:type="pct"/>
            <w:tcBorders>
              <w:bottom w:val="single" w:sz="4" w:space="0" w:color="4A4D56" w:themeColor="text1"/>
              <w:right w:val="single" w:sz="4" w:space="0" w:color="4A4D56" w:themeColor="text1"/>
            </w:tcBorders>
          </w:tcPr>
          <w:p w14:paraId="0989E4DA" w14:textId="77777777" w:rsidR="007C49E0" w:rsidRPr="00625570" w:rsidRDefault="007C49E0" w:rsidP="00393D2A">
            <w:pPr>
              <w:pStyle w:val="TableHeadingLeft"/>
            </w:pPr>
            <w:r>
              <w:t>Survey Instrument</w:t>
            </w:r>
          </w:p>
        </w:tc>
        <w:tc>
          <w:tcPr>
            <w:tcW w:w="1918" w:type="pct"/>
            <w:tcBorders>
              <w:left w:val="single" w:sz="4" w:space="0" w:color="4A4D56" w:themeColor="text1"/>
              <w:bottom w:val="single" w:sz="4" w:space="0" w:color="4A4D56" w:themeColor="text1"/>
              <w:right w:val="single" w:sz="4" w:space="0" w:color="4A4D56" w:themeColor="text1"/>
            </w:tcBorders>
          </w:tcPr>
          <w:p w14:paraId="0A1D233D" w14:textId="111D6534" w:rsidR="007C49E0" w:rsidRPr="00625570" w:rsidRDefault="007C49E0" w:rsidP="00393D2A">
            <w:pPr>
              <w:pStyle w:val="TableHeadingCentered"/>
              <w:cnfStyle w:val="100000000000" w:firstRow="1" w:lastRow="0" w:firstColumn="0" w:lastColumn="0" w:oddVBand="0" w:evenVBand="0" w:oddHBand="0" w:evenHBand="0" w:firstRowFirstColumn="0" w:firstRowLastColumn="0" w:lastRowFirstColumn="0" w:lastRowLastColumn="0"/>
            </w:pPr>
            <w:r>
              <w:t>Completes</w:t>
            </w:r>
          </w:p>
        </w:tc>
      </w:tr>
      <w:tr w:rsidR="007C49E0" w14:paraId="4433D83E" w14:textId="77777777" w:rsidTr="00A15AF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082" w:type="pct"/>
            <w:tcBorders>
              <w:top w:val="single" w:sz="4" w:space="0" w:color="4A4D56" w:themeColor="text1"/>
              <w:bottom w:val="single" w:sz="4" w:space="0" w:color="4A4D56" w:themeColor="text1"/>
            </w:tcBorders>
          </w:tcPr>
          <w:p w14:paraId="17A0931C" w14:textId="13BB67FC" w:rsidR="007C49E0" w:rsidRPr="00625570" w:rsidRDefault="007C49E0" w:rsidP="00393D2A">
            <w:pPr>
              <w:pStyle w:val="TableLeftText"/>
            </w:pPr>
            <w:r>
              <w:t xml:space="preserve">Pre-training </w:t>
            </w:r>
            <w:r w:rsidR="00FC0E32">
              <w:t>Assessment</w:t>
            </w:r>
          </w:p>
        </w:tc>
        <w:tc>
          <w:tcPr>
            <w:tcW w:w="1918" w:type="pct"/>
            <w:tcBorders>
              <w:top w:val="single" w:sz="4" w:space="0" w:color="4A4D56" w:themeColor="text1"/>
              <w:bottom w:val="single" w:sz="4" w:space="0" w:color="4A4D56" w:themeColor="text1"/>
            </w:tcBorders>
          </w:tcPr>
          <w:p w14:paraId="06385784" w14:textId="5B4E096B" w:rsidR="007C49E0" w:rsidRPr="000B7901" w:rsidRDefault="007C49E0" w:rsidP="00393D2A">
            <w:pPr>
              <w:pStyle w:val="TableCenterText"/>
              <w:cnfStyle w:val="000000100000" w:firstRow="0" w:lastRow="0" w:firstColumn="0" w:lastColumn="0" w:oddVBand="0" w:evenVBand="0" w:oddHBand="1" w:evenHBand="0" w:firstRowFirstColumn="0" w:firstRowLastColumn="0" w:lastRowFirstColumn="0" w:lastRowLastColumn="0"/>
            </w:pPr>
            <w:r>
              <w:t xml:space="preserve">50 </w:t>
            </w:r>
          </w:p>
        </w:tc>
      </w:tr>
      <w:tr w:rsidR="007C49E0" w14:paraId="69EEF8D0" w14:textId="77777777" w:rsidTr="00A15AF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082" w:type="pct"/>
            <w:tcBorders>
              <w:top w:val="single" w:sz="4" w:space="0" w:color="4A4D56" w:themeColor="text1"/>
            </w:tcBorders>
          </w:tcPr>
          <w:p w14:paraId="6F41C86C" w14:textId="1F3B1D1C" w:rsidR="007C49E0" w:rsidRDefault="007C49E0" w:rsidP="00393D2A">
            <w:pPr>
              <w:pStyle w:val="TableLeftText"/>
            </w:pPr>
            <w:r>
              <w:t xml:space="preserve">Post-training </w:t>
            </w:r>
            <w:r w:rsidR="00FC0E32">
              <w:t>Assessment</w:t>
            </w:r>
          </w:p>
        </w:tc>
        <w:tc>
          <w:tcPr>
            <w:tcW w:w="1918" w:type="pct"/>
            <w:tcBorders>
              <w:top w:val="single" w:sz="4" w:space="0" w:color="4A4D56" w:themeColor="text1"/>
            </w:tcBorders>
          </w:tcPr>
          <w:p w14:paraId="49B2C2FB" w14:textId="205FC6E9" w:rsidR="007C49E0" w:rsidRDefault="007C49E0" w:rsidP="00393D2A">
            <w:pPr>
              <w:pStyle w:val="TableCenterText"/>
              <w:cnfStyle w:val="000000010000" w:firstRow="0" w:lastRow="0" w:firstColumn="0" w:lastColumn="0" w:oddVBand="0" w:evenVBand="0" w:oddHBand="0" w:evenHBand="1" w:firstRowFirstColumn="0" w:firstRowLastColumn="0" w:lastRowFirstColumn="0" w:lastRowLastColumn="0"/>
            </w:pPr>
            <w:r>
              <w:t>8</w:t>
            </w:r>
          </w:p>
        </w:tc>
      </w:tr>
    </w:tbl>
    <w:p w14:paraId="646BF0EE" w14:textId="6AD4823B" w:rsidR="009105DB" w:rsidRDefault="009105DB" w:rsidP="009105DB">
      <w:pPr>
        <w:pStyle w:val="Heading2"/>
      </w:pPr>
      <w:bookmarkStart w:id="31" w:name="_Toc192240888"/>
      <w:r>
        <w:t>Market Actor Surveys</w:t>
      </w:r>
      <w:bookmarkEnd w:id="31"/>
    </w:p>
    <w:p w14:paraId="11BDB823" w14:textId="0A49D034" w:rsidR="00E85AB5" w:rsidRPr="004D7F49" w:rsidRDefault="00E85AB5" w:rsidP="00E85AB5">
      <w:r>
        <w:t xml:space="preserve">The evaluation team conducted two surveys with </w:t>
      </w:r>
      <w:r w:rsidR="00C01F5C">
        <w:t xml:space="preserve">market actors, one with </w:t>
      </w:r>
      <w:r w:rsidR="00435180">
        <w:t>end-user</w:t>
      </w:r>
      <w:r w:rsidR="00C01F5C">
        <w:t xml:space="preserve"> customers </w:t>
      </w:r>
      <w:r>
        <w:t>and</w:t>
      </w:r>
      <w:r w:rsidR="00C01F5C">
        <w:t xml:space="preserve"> one with</w:t>
      </w:r>
      <w:r>
        <w:t xml:space="preserve"> trade allies. Through these surveys, our team developed current estimates of awareness and familiarity with LLLC technology among key populations (MPI I and MPI II), </w:t>
      </w:r>
      <w:r w:rsidR="00D959E6">
        <w:t>current and anticipated LLLC</w:t>
      </w:r>
      <w:r>
        <w:t xml:space="preserve"> demand, and non-energy benefits </w:t>
      </w:r>
      <w:r w:rsidR="00D959E6">
        <w:t>associated with LLLC installation</w:t>
      </w:r>
      <w:r>
        <w:t xml:space="preserve">. Our team </w:t>
      </w:r>
      <w:r w:rsidR="00D959E6">
        <w:t xml:space="preserve">also relied on </w:t>
      </w:r>
      <w:r>
        <w:t>survey</w:t>
      </w:r>
      <w:r w:rsidR="00D959E6">
        <w:t xml:space="preserve"> response</w:t>
      </w:r>
      <w:r>
        <w:t xml:space="preserve">s to develop estimates of </w:t>
      </w:r>
      <w:r w:rsidR="00D959E6">
        <w:t xml:space="preserve">trade ally </w:t>
      </w:r>
      <w:r>
        <w:t>recommendation/installation prevalence (MP</w:t>
      </w:r>
      <w:r w:rsidR="00275A0B">
        <w:t>I</w:t>
      </w:r>
      <w:r>
        <w:t xml:space="preserve"> III and MPI IV). </w:t>
      </w:r>
      <w:r w:rsidR="00D959E6">
        <w:t xml:space="preserve">Where possible, we </w:t>
      </w:r>
      <w:r>
        <w:t xml:space="preserve">compared </w:t>
      </w:r>
      <w:r w:rsidR="00D959E6">
        <w:t xml:space="preserve">survey </w:t>
      </w:r>
      <w:r>
        <w:t xml:space="preserve">results </w:t>
      </w:r>
      <w:r w:rsidR="00D959E6">
        <w:t xml:space="preserve">against equivalent responses to </w:t>
      </w:r>
      <w:r>
        <w:t xml:space="preserve">the </w:t>
      </w:r>
      <w:r w:rsidR="00D959E6">
        <w:t xml:space="preserve">prior year’s </w:t>
      </w:r>
      <w:r>
        <w:t xml:space="preserve">evaluation survey </w:t>
      </w:r>
      <w:r w:rsidR="00D959E6">
        <w:t xml:space="preserve">efforts </w:t>
      </w:r>
      <w:r>
        <w:t xml:space="preserve">to </w:t>
      </w:r>
      <w:r w:rsidR="00D959E6">
        <w:t xml:space="preserve">capture market developments and progress in alignment with the </w:t>
      </w:r>
      <w:r w:rsidR="000D573F">
        <w:t>LLLC Pilot</w:t>
      </w:r>
      <w:r w:rsidR="00D959E6">
        <w:t>’s MT framework</w:t>
      </w:r>
      <w:r w:rsidR="00047028">
        <w:t xml:space="preserve"> established by the 2023</w:t>
      </w:r>
      <w:r w:rsidR="00463CEE">
        <w:t xml:space="preserve"> AIC</w:t>
      </w:r>
      <w:r w:rsidR="00047028">
        <w:t xml:space="preserve"> LLLC MTI Business Plan</w:t>
      </w:r>
      <w:r>
        <w:t xml:space="preserve">. </w:t>
      </w:r>
      <w:r w:rsidR="004D7F49">
        <w:t xml:space="preserve">When noted in the detailed findings, the evaluation team tested for </w:t>
      </w:r>
      <w:r w:rsidR="00047028">
        <w:t>statistically</w:t>
      </w:r>
      <w:r w:rsidR="004D7F49">
        <w:t xml:space="preserve"> significant differences</w:t>
      </w:r>
      <w:r w:rsidR="00F61BB4" w:rsidRPr="00F61BB4">
        <w:t xml:space="preserve"> </w:t>
      </w:r>
      <w:r w:rsidR="006573A2">
        <w:t>(</w:t>
      </w:r>
      <w:r w:rsidR="006573A2" w:rsidRPr="00F61BB4">
        <w:rPr>
          <w:i/>
          <w:iCs/>
        </w:rPr>
        <w:t>p</w:t>
      </w:r>
      <w:r w:rsidR="006573A2" w:rsidRPr="00F61BB4">
        <w:t>&lt;0.1</w:t>
      </w:r>
      <w:r w:rsidR="006573A2">
        <w:t xml:space="preserve">0) </w:t>
      </w:r>
      <w:r w:rsidR="00F61BB4">
        <w:t>from equivalent 2023 survey efforts</w:t>
      </w:r>
      <w:r w:rsidR="004D7F49">
        <w:t>.</w:t>
      </w:r>
    </w:p>
    <w:p w14:paraId="414D547D" w14:textId="5689427B" w:rsidR="000E5B05" w:rsidRPr="000E5B05" w:rsidRDefault="000E5B05" w:rsidP="000E5B05">
      <w:pPr>
        <w:pStyle w:val="Heading4"/>
      </w:pPr>
      <w:r w:rsidRPr="000E5B05">
        <w:t>Customer Survey</w:t>
      </w:r>
    </w:p>
    <w:p w14:paraId="4FBDEF9D" w14:textId="0B12343C" w:rsidR="00564CE7" w:rsidRDefault="000E5B05" w:rsidP="00280FA1">
      <w:r w:rsidRPr="00562147">
        <w:t xml:space="preserve">The evaluation team conducted a web survey with </w:t>
      </w:r>
      <w:r w:rsidR="00435180">
        <w:t xml:space="preserve">353 </w:t>
      </w:r>
      <w:r w:rsidR="00E33FA5">
        <w:t xml:space="preserve">general-population commercial customers, reflecting a </w:t>
      </w:r>
      <w:r w:rsidR="001B5F04">
        <w:t>yield</w:t>
      </w:r>
      <w:r w:rsidR="00275A0B">
        <w:t xml:space="preserve"> </w:t>
      </w:r>
      <w:r w:rsidR="00E33FA5">
        <w:t>of 1.</w:t>
      </w:r>
      <w:r w:rsidR="00C0436E">
        <w:t>6</w:t>
      </w:r>
      <w:r w:rsidR="00E33FA5">
        <w:t>%. Survey fielding occurred</w:t>
      </w:r>
      <w:r w:rsidR="00435180">
        <w:t xml:space="preserve"> in October and November </w:t>
      </w:r>
      <w:r w:rsidRPr="00562147">
        <w:t>2024. Each sampled customer received an email invitation and up to two reminder emails.</w:t>
      </w:r>
      <w:r w:rsidR="00BF155E" w:rsidRPr="00BF155E">
        <w:t xml:space="preserve"> </w:t>
      </w:r>
      <w:r w:rsidRPr="00562147">
        <w:t xml:space="preserve">The </w:t>
      </w:r>
      <w:r w:rsidR="00435180">
        <w:t xml:space="preserve">sample frame included </w:t>
      </w:r>
      <w:r w:rsidR="00C542AD">
        <w:t>25,959</w:t>
      </w:r>
      <w:r w:rsidR="00435180">
        <w:t xml:space="preserve"> commercial customers in AIC territory for whom available data </w:t>
      </w:r>
      <w:r w:rsidR="00E8215E">
        <w:t xml:space="preserve">from AIC </w:t>
      </w:r>
      <w:r w:rsidR="00435180">
        <w:t>included a valid email address. We administered the survey in waves</w:t>
      </w:r>
      <w:r w:rsidR="00595906">
        <w:t>, prioritizing customers not included in the 2023 evaluation survey to avoid repeat respondents</w:t>
      </w:r>
      <w:r w:rsidR="00C0436E">
        <w:t>,</w:t>
      </w:r>
      <w:r w:rsidR="00C30C29">
        <w:t xml:space="preserve"> </w:t>
      </w:r>
      <w:r w:rsidR="00435180">
        <w:t>until we met</w:t>
      </w:r>
      <w:r w:rsidR="00562147">
        <w:t xml:space="preserve"> our completion goal of 350 responses</w:t>
      </w:r>
      <w:r w:rsidR="00C542AD">
        <w:t>, ultimately contacting 22,382 customers</w:t>
      </w:r>
      <w:r w:rsidR="00562147">
        <w:t>.</w:t>
      </w:r>
      <w:r w:rsidR="00BF314B">
        <w:t xml:space="preserve"> </w:t>
      </w:r>
      <w:r w:rsidR="00092E51">
        <w:fldChar w:fldCharType="begin"/>
      </w:r>
      <w:r w:rsidR="00092E51">
        <w:instrText xml:space="preserve"> REF _Ref191383373 \h </w:instrText>
      </w:r>
      <w:r w:rsidR="00092E51">
        <w:fldChar w:fldCharType="separate"/>
      </w:r>
      <w:r w:rsidR="00D0329D">
        <w:t xml:space="preserve">Table </w:t>
      </w:r>
      <w:r w:rsidR="00D0329D">
        <w:rPr>
          <w:noProof/>
        </w:rPr>
        <w:t>6</w:t>
      </w:r>
      <w:r w:rsidR="00092E51">
        <w:fldChar w:fldCharType="end"/>
      </w:r>
      <w:r w:rsidR="00E8215E">
        <w:t xml:space="preserve"> summarizes the</w:t>
      </w:r>
      <w:r w:rsidR="00BF314B">
        <w:t xml:space="preserve"> </w:t>
      </w:r>
      <w:r w:rsidR="00E8215E">
        <w:t xml:space="preserve">customer survey fielding effort. </w:t>
      </w:r>
    </w:p>
    <w:p w14:paraId="01462C51" w14:textId="5465C195" w:rsidR="00BF314B" w:rsidRDefault="00BF314B" w:rsidP="00287BC8">
      <w:pPr>
        <w:pStyle w:val="Caption"/>
      </w:pPr>
      <w:bookmarkStart w:id="32" w:name="_Ref191383373"/>
      <w:bookmarkStart w:id="33" w:name="_Toc192238283"/>
      <w:r>
        <w:t xml:space="preserve">Table </w:t>
      </w:r>
      <w:r>
        <w:fldChar w:fldCharType="begin"/>
      </w:r>
      <w:r>
        <w:instrText xml:space="preserve"> SEQ Table \* ARABIC </w:instrText>
      </w:r>
      <w:r>
        <w:fldChar w:fldCharType="separate"/>
      </w:r>
      <w:r w:rsidR="00D0329D">
        <w:rPr>
          <w:noProof/>
        </w:rPr>
        <w:t>6</w:t>
      </w:r>
      <w:r>
        <w:fldChar w:fldCharType="end"/>
      </w:r>
      <w:bookmarkEnd w:id="32"/>
      <w:r>
        <w:t xml:space="preserve">. Customer Survey </w:t>
      </w:r>
      <w:r w:rsidR="007C49E0">
        <w:t>Fielding</w:t>
      </w:r>
      <w:r>
        <w:t xml:space="preserve"> Summary</w:t>
      </w:r>
      <w:bookmarkEnd w:id="33"/>
    </w:p>
    <w:tbl>
      <w:tblPr>
        <w:tblStyle w:val="ODCBasic-1"/>
        <w:tblW w:w="4125" w:type="pct"/>
        <w:tblCellMar>
          <w:top w:w="0" w:type="dxa"/>
          <w:bottom w:w="14" w:type="dxa"/>
        </w:tblCellMar>
        <w:tblLook w:val="04A0" w:firstRow="1" w:lastRow="0" w:firstColumn="1" w:lastColumn="0" w:noHBand="0" w:noVBand="1"/>
      </w:tblPr>
      <w:tblGrid>
        <w:gridCol w:w="2288"/>
        <w:gridCol w:w="2288"/>
        <w:gridCol w:w="2289"/>
        <w:gridCol w:w="2289"/>
      </w:tblGrid>
      <w:tr w:rsidR="00C542AD" w14:paraId="43224C4D" w14:textId="3072ECF8" w:rsidTr="00A15AF0">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250" w:type="pct"/>
            <w:tcBorders>
              <w:left w:val="single" w:sz="4" w:space="0" w:color="4A4D56" w:themeColor="text1"/>
              <w:bottom w:val="single" w:sz="4" w:space="0" w:color="4A4D56" w:themeColor="text1"/>
              <w:right w:val="single" w:sz="4" w:space="0" w:color="4A4D56" w:themeColor="text1"/>
            </w:tcBorders>
          </w:tcPr>
          <w:p w14:paraId="3C081419" w14:textId="7CA07241" w:rsidR="00C542AD" w:rsidRDefault="00C542AD" w:rsidP="00C542AD">
            <w:pPr>
              <w:pStyle w:val="TableHeadingCentered"/>
            </w:pPr>
            <w:r w:rsidRPr="00D273BB">
              <w:t>Sample Frame</w:t>
            </w:r>
          </w:p>
        </w:tc>
        <w:tc>
          <w:tcPr>
            <w:tcW w:w="1250" w:type="pct"/>
            <w:tcBorders>
              <w:left w:val="single" w:sz="4" w:space="0" w:color="4A4D56" w:themeColor="text1"/>
              <w:bottom w:val="single" w:sz="4" w:space="0" w:color="4A4D56" w:themeColor="text1"/>
              <w:right w:val="single" w:sz="4" w:space="0" w:color="4A4D56" w:themeColor="text1"/>
            </w:tcBorders>
          </w:tcPr>
          <w:p w14:paraId="54D882C4" w14:textId="27C141DA" w:rsidR="00C542AD" w:rsidRDefault="00C542AD" w:rsidP="00C542AD">
            <w:pPr>
              <w:pStyle w:val="TableHeadingCentered"/>
              <w:cnfStyle w:val="100000000000" w:firstRow="1" w:lastRow="0" w:firstColumn="0" w:lastColumn="0" w:oddVBand="0" w:evenVBand="0" w:oddHBand="0" w:evenHBand="0" w:firstRowFirstColumn="0" w:firstRowLastColumn="0" w:lastRowFirstColumn="0" w:lastRowLastColumn="0"/>
            </w:pPr>
            <w:r>
              <w:t>Sample Size</w:t>
            </w:r>
          </w:p>
        </w:tc>
        <w:tc>
          <w:tcPr>
            <w:tcW w:w="1250" w:type="pct"/>
            <w:tcBorders>
              <w:left w:val="single" w:sz="4" w:space="0" w:color="4A4D56" w:themeColor="text1"/>
              <w:bottom w:val="single" w:sz="4" w:space="0" w:color="4A4D56" w:themeColor="text1"/>
              <w:right w:val="single" w:sz="4" w:space="0" w:color="4A4D56" w:themeColor="text1"/>
            </w:tcBorders>
          </w:tcPr>
          <w:p w14:paraId="74AF2CDE" w14:textId="0913BA23" w:rsidR="00C542AD" w:rsidRPr="00625570" w:rsidRDefault="00C542AD" w:rsidP="00C542AD">
            <w:pPr>
              <w:pStyle w:val="TableHeadingCentered"/>
              <w:cnfStyle w:val="100000000000" w:firstRow="1" w:lastRow="0" w:firstColumn="0" w:lastColumn="0" w:oddVBand="0" w:evenVBand="0" w:oddHBand="0" w:evenHBand="0" w:firstRowFirstColumn="0" w:firstRowLastColumn="0" w:lastRowFirstColumn="0" w:lastRowLastColumn="0"/>
            </w:pPr>
            <w:r>
              <w:t>Completes</w:t>
            </w:r>
          </w:p>
        </w:tc>
        <w:tc>
          <w:tcPr>
            <w:tcW w:w="1250" w:type="pct"/>
            <w:tcBorders>
              <w:left w:val="single" w:sz="4" w:space="0" w:color="4A4D56" w:themeColor="text1"/>
              <w:bottom w:val="single" w:sz="4" w:space="0" w:color="4A4D56" w:themeColor="text1"/>
              <w:right w:val="single" w:sz="4" w:space="0" w:color="4A4D56" w:themeColor="text1"/>
            </w:tcBorders>
          </w:tcPr>
          <w:p w14:paraId="43F9BAFD" w14:textId="1C95BE7C" w:rsidR="00C542AD" w:rsidRDefault="00C542AD" w:rsidP="00C542AD">
            <w:pPr>
              <w:pStyle w:val="TableHeadingCentered"/>
              <w:cnfStyle w:val="100000000000" w:firstRow="1" w:lastRow="0" w:firstColumn="0" w:lastColumn="0" w:oddVBand="0" w:evenVBand="0" w:oddHBand="0" w:evenHBand="0" w:firstRowFirstColumn="0" w:firstRowLastColumn="0" w:lastRowFirstColumn="0" w:lastRowLastColumn="0"/>
            </w:pPr>
            <w:r>
              <w:t>Yield</w:t>
            </w:r>
          </w:p>
        </w:tc>
      </w:tr>
      <w:tr w:rsidR="00C542AD" w14:paraId="729392B1" w14:textId="5E874E08" w:rsidTr="00A15AF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250" w:type="pct"/>
            <w:tcBorders>
              <w:top w:val="single" w:sz="4" w:space="0" w:color="4A4D56" w:themeColor="text1"/>
            </w:tcBorders>
          </w:tcPr>
          <w:p w14:paraId="6BE5FB46" w14:textId="2C70BD29" w:rsidR="00C542AD" w:rsidRDefault="00C542AD" w:rsidP="00C542AD">
            <w:pPr>
              <w:pStyle w:val="TableCenterText"/>
            </w:pPr>
            <w:r>
              <w:t>25,959</w:t>
            </w:r>
          </w:p>
        </w:tc>
        <w:tc>
          <w:tcPr>
            <w:tcW w:w="1250" w:type="pct"/>
            <w:tcBorders>
              <w:top w:val="single" w:sz="4" w:space="0" w:color="4A4D56" w:themeColor="text1"/>
            </w:tcBorders>
          </w:tcPr>
          <w:p w14:paraId="33C1A86D" w14:textId="1CF7DD00" w:rsidR="00C542AD" w:rsidRDefault="00C542AD" w:rsidP="00C542AD">
            <w:pPr>
              <w:pStyle w:val="TableCenterText"/>
              <w:cnfStyle w:val="000000100000" w:firstRow="0" w:lastRow="0" w:firstColumn="0" w:lastColumn="0" w:oddVBand="0" w:evenVBand="0" w:oddHBand="1" w:evenHBand="0" w:firstRowFirstColumn="0" w:firstRowLastColumn="0" w:lastRowFirstColumn="0" w:lastRowLastColumn="0"/>
            </w:pPr>
            <w:r>
              <w:t>22,382</w:t>
            </w:r>
          </w:p>
        </w:tc>
        <w:tc>
          <w:tcPr>
            <w:tcW w:w="1250" w:type="pct"/>
            <w:tcBorders>
              <w:top w:val="single" w:sz="4" w:space="0" w:color="4A4D56" w:themeColor="text1"/>
            </w:tcBorders>
          </w:tcPr>
          <w:p w14:paraId="1BDB8079" w14:textId="111D7FEF" w:rsidR="00C542AD" w:rsidRPr="000B7901" w:rsidRDefault="00C542AD" w:rsidP="00C542AD">
            <w:pPr>
              <w:pStyle w:val="TableCenterText"/>
              <w:cnfStyle w:val="000000100000" w:firstRow="0" w:lastRow="0" w:firstColumn="0" w:lastColumn="0" w:oddVBand="0" w:evenVBand="0" w:oddHBand="1" w:evenHBand="0" w:firstRowFirstColumn="0" w:firstRowLastColumn="0" w:lastRowFirstColumn="0" w:lastRowLastColumn="0"/>
            </w:pPr>
            <w:r>
              <w:t>353</w:t>
            </w:r>
          </w:p>
        </w:tc>
        <w:tc>
          <w:tcPr>
            <w:tcW w:w="1250" w:type="pct"/>
            <w:tcBorders>
              <w:top w:val="single" w:sz="4" w:space="0" w:color="4A4D56" w:themeColor="text1"/>
            </w:tcBorders>
          </w:tcPr>
          <w:p w14:paraId="07C965BF" w14:textId="7F39EB30" w:rsidR="00C542AD" w:rsidRPr="000B7901" w:rsidRDefault="00C542AD" w:rsidP="00C542AD">
            <w:pPr>
              <w:pStyle w:val="TableCenterText"/>
              <w:cnfStyle w:val="000000100000" w:firstRow="0" w:lastRow="0" w:firstColumn="0" w:lastColumn="0" w:oddVBand="0" w:evenVBand="0" w:oddHBand="1" w:evenHBand="0" w:firstRowFirstColumn="0" w:firstRowLastColumn="0" w:lastRowFirstColumn="0" w:lastRowLastColumn="0"/>
            </w:pPr>
            <w:r>
              <w:t>1.6%</w:t>
            </w:r>
          </w:p>
        </w:tc>
      </w:tr>
    </w:tbl>
    <w:p w14:paraId="1E7F0DEF" w14:textId="0EDAC4CF" w:rsidR="000E5B05" w:rsidRDefault="000E5B05" w:rsidP="00FA4669">
      <w:pPr>
        <w:pStyle w:val="Heading4"/>
        <w:keepNext/>
        <w:keepLines/>
      </w:pPr>
      <w:r w:rsidRPr="000E5B05">
        <w:lastRenderedPageBreak/>
        <w:t xml:space="preserve">Trade </w:t>
      </w:r>
      <w:r w:rsidR="00415EA7">
        <w:t>A</w:t>
      </w:r>
      <w:r w:rsidR="00415EA7" w:rsidRPr="000E5B05">
        <w:t xml:space="preserve">lly </w:t>
      </w:r>
      <w:r w:rsidRPr="000E5B05">
        <w:t>Survey</w:t>
      </w:r>
    </w:p>
    <w:p w14:paraId="707693B8" w14:textId="00B6A4F9" w:rsidR="00BF314B" w:rsidRDefault="00A2056D" w:rsidP="00FA4669">
      <w:pPr>
        <w:keepNext/>
        <w:keepLines/>
      </w:pPr>
      <w:r w:rsidRPr="00562147">
        <w:t xml:space="preserve">The evaluation team conducted a web survey with </w:t>
      </w:r>
      <w:r>
        <w:t xml:space="preserve">37 trade allies in </w:t>
      </w:r>
      <w:r w:rsidR="00435180">
        <w:t xml:space="preserve">the </w:t>
      </w:r>
      <w:r>
        <w:t xml:space="preserve">AIC service territory, </w:t>
      </w:r>
      <w:r w:rsidRPr="00562147">
        <w:t xml:space="preserve">reflecting a yield of </w:t>
      </w:r>
      <w:r w:rsidR="00C542AD">
        <w:t>2.7</w:t>
      </w:r>
      <w:r w:rsidRPr="00562147">
        <w:t xml:space="preserve">%. Survey fielding took place in October and November 2024. Each </w:t>
      </w:r>
      <w:r>
        <w:t xml:space="preserve">trade ally </w:t>
      </w:r>
      <w:r w:rsidRPr="00562147">
        <w:t>received an email invitation and up to two reminder emails.</w:t>
      </w:r>
      <w:r w:rsidR="00D9690C" w:rsidRPr="00D9690C">
        <w:t xml:space="preserve"> </w:t>
      </w:r>
      <w:r w:rsidR="00A875A1" w:rsidRPr="00562147">
        <w:t xml:space="preserve">The evaluation team </w:t>
      </w:r>
      <w:r w:rsidR="00A875A1">
        <w:t xml:space="preserve">attempted a census of all 1,355 </w:t>
      </w:r>
      <w:r>
        <w:t xml:space="preserve">lighting distributors and installers </w:t>
      </w:r>
      <w:r w:rsidRPr="00562147">
        <w:t xml:space="preserve">in AIC territory for whom </w:t>
      </w:r>
      <w:r w:rsidR="00E8215E">
        <w:t>available</w:t>
      </w:r>
      <w:r w:rsidRPr="00562147">
        <w:t xml:space="preserve"> data </w:t>
      </w:r>
      <w:r w:rsidR="00E8215E">
        <w:t xml:space="preserve">from AIC </w:t>
      </w:r>
      <w:r w:rsidRPr="00562147">
        <w:t>included a valid email address</w:t>
      </w:r>
      <w:r w:rsidR="00A875A1">
        <w:t xml:space="preserve">. We also disqualified respondents </w:t>
      </w:r>
      <w:r w:rsidR="005A43F4">
        <w:t>who previously participated in AIC’s LLLC training or incentive-based offerings</w:t>
      </w:r>
      <w:r w:rsidR="005A43F4" w:rsidRPr="00BF155E">
        <w:t xml:space="preserve"> </w:t>
      </w:r>
      <w:r w:rsidR="005A43F4">
        <w:t xml:space="preserve">to avoid overlap with training assessment surveys. </w:t>
      </w:r>
      <w:r w:rsidR="00092E51">
        <w:fldChar w:fldCharType="begin"/>
      </w:r>
      <w:r w:rsidR="00092E51">
        <w:instrText xml:space="preserve"> REF _Ref191383442 \h </w:instrText>
      </w:r>
      <w:r w:rsidR="00092E51">
        <w:fldChar w:fldCharType="separate"/>
      </w:r>
      <w:r w:rsidR="00D0329D">
        <w:t xml:space="preserve">Table </w:t>
      </w:r>
      <w:r w:rsidR="00D0329D">
        <w:rPr>
          <w:noProof/>
        </w:rPr>
        <w:t>7</w:t>
      </w:r>
      <w:r w:rsidR="00092E51">
        <w:fldChar w:fldCharType="end"/>
      </w:r>
      <w:r w:rsidR="00E8215E" w:rsidRPr="00E8215E">
        <w:t xml:space="preserve"> </w:t>
      </w:r>
      <w:r w:rsidR="00E8215E">
        <w:t>summarizes the trade ally survey fielding effort</w:t>
      </w:r>
      <w:r w:rsidR="00BF314B">
        <w:t>.</w:t>
      </w:r>
    </w:p>
    <w:p w14:paraId="4654F615" w14:textId="6391ABCA" w:rsidR="00BF314B" w:rsidRDefault="00BF314B" w:rsidP="00287BC8">
      <w:pPr>
        <w:pStyle w:val="Caption"/>
      </w:pPr>
      <w:bookmarkStart w:id="34" w:name="_Ref191383442"/>
      <w:bookmarkStart w:id="35" w:name="_Toc192238284"/>
      <w:r>
        <w:t xml:space="preserve">Table </w:t>
      </w:r>
      <w:r>
        <w:fldChar w:fldCharType="begin"/>
      </w:r>
      <w:r>
        <w:instrText xml:space="preserve"> SEQ Table \* ARABIC </w:instrText>
      </w:r>
      <w:r>
        <w:fldChar w:fldCharType="separate"/>
      </w:r>
      <w:r w:rsidR="00D0329D">
        <w:rPr>
          <w:noProof/>
        </w:rPr>
        <w:t>7</w:t>
      </w:r>
      <w:r>
        <w:fldChar w:fldCharType="end"/>
      </w:r>
      <w:bookmarkEnd w:id="34"/>
      <w:r>
        <w:t xml:space="preserve">. Trade Ally Survey </w:t>
      </w:r>
      <w:r w:rsidR="007C49E0">
        <w:t>Fielding</w:t>
      </w:r>
      <w:r>
        <w:t xml:space="preserve"> Summary</w:t>
      </w:r>
      <w:bookmarkEnd w:id="35"/>
    </w:p>
    <w:tbl>
      <w:tblPr>
        <w:tblStyle w:val="ODCBasic-1"/>
        <w:tblW w:w="3116" w:type="pct"/>
        <w:tblCellMar>
          <w:top w:w="0" w:type="dxa"/>
          <w:bottom w:w="14" w:type="dxa"/>
        </w:tblCellMar>
        <w:tblLook w:val="04A0" w:firstRow="1" w:lastRow="0" w:firstColumn="1" w:lastColumn="0" w:noHBand="0" w:noVBand="1"/>
      </w:tblPr>
      <w:tblGrid>
        <w:gridCol w:w="2306"/>
        <w:gridCol w:w="2305"/>
        <w:gridCol w:w="2304"/>
      </w:tblGrid>
      <w:tr w:rsidR="00C542AD" w14:paraId="036B789D" w14:textId="77777777" w:rsidTr="00A15AF0">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667" w:type="pct"/>
            <w:tcBorders>
              <w:left w:val="single" w:sz="4" w:space="0" w:color="4A4D56" w:themeColor="text1"/>
              <w:bottom w:val="single" w:sz="4" w:space="0" w:color="4A4D56" w:themeColor="text1"/>
              <w:right w:val="single" w:sz="4" w:space="0" w:color="4A4D56" w:themeColor="text1"/>
            </w:tcBorders>
          </w:tcPr>
          <w:p w14:paraId="027AF8E8" w14:textId="77777777" w:rsidR="00C542AD" w:rsidRPr="00625570" w:rsidRDefault="00C542AD" w:rsidP="00D316C1">
            <w:pPr>
              <w:pStyle w:val="TableHeadingCentered"/>
            </w:pPr>
            <w:r>
              <w:t>Sample Size</w:t>
            </w:r>
          </w:p>
        </w:tc>
        <w:tc>
          <w:tcPr>
            <w:tcW w:w="1667" w:type="pct"/>
            <w:tcBorders>
              <w:left w:val="single" w:sz="4" w:space="0" w:color="4A4D56" w:themeColor="text1"/>
              <w:bottom w:val="single" w:sz="4" w:space="0" w:color="4A4D56" w:themeColor="text1"/>
              <w:right w:val="single" w:sz="4" w:space="0" w:color="4A4D56" w:themeColor="text1"/>
            </w:tcBorders>
          </w:tcPr>
          <w:p w14:paraId="42AB7B9A" w14:textId="169EA2A1" w:rsidR="00C542AD" w:rsidRPr="00625570" w:rsidRDefault="00C542AD" w:rsidP="00D316C1">
            <w:pPr>
              <w:pStyle w:val="TableHeadingCentered"/>
              <w:cnfStyle w:val="100000000000" w:firstRow="1" w:lastRow="0" w:firstColumn="0" w:lastColumn="0" w:oddVBand="0" w:evenVBand="0" w:oddHBand="0" w:evenHBand="0" w:firstRowFirstColumn="0" w:firstRowLastColumn="0" w:lastRowFirstColumn="0" w:lastRowLastColumn="0"/>
            </w:pPr>
            <w:r>
              <w:t>Completes</w:t>
            </w:r>
          </w:p>
        </w:tc>
        <w:tc>
          <w:tcPr>
            <w:tcW w:w="1667" w:type="pct"/>
            <w:tcBorders>
              <w:left w:val="single" w:sz="4" w:space="0" w:color="4A4D56" w:themeColor="text1"/>
              <w:bottom w:val="single" w:sz="4" w:space="0" w:color="4A4D56" w:themeColor="text1"/>
              <w:right w:val="single" w:sz="4" w:space="0" w:color="4A4D56" w:themeColor="text1"/>
            </w:tcBorders>
          </w:tcPr>
          <w:p w14:paraId="47B199F0" w14:textId="3F9265F9" w:rsidR="00C542AD" w:rsidRDefault="00C542AD" w:rsidP="00D316C1">
            <w:pPr>
              <w:pStyle w:val="TableHeadingCentered"/>
              <w:cnfStyle w:val="100000000000" w:firstRow="1" w:lastRow="0" w:firstColumn="0" w:lastColumn="0" w:oddVBand="0" w:evenVBand="0" w:oddHBand="0" w:evenHBand="0" w:firstRowFirstColumn="0" w:firstRowLastColumn="0" w:lastRowFirstColumn="0" w:lastRowLastColumn="0"/>
            </w:pPr>
            <w:r>
              <w:t>Yield</w:t>
            </w:r>
          </w:p>
        </w:tc>
      </w:tr>
      <w:tr w:rsidR="00C542AD" w14:paraId="29895E5C" w14:textId="77777777" w:rsidTr="00A15AF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667" w:type="pct"/>
            <w:tcBorders>
              <w:top w:val="single" w:sz="4" w:space="0" w:color="4A4D56" w:themeColor="text1"/>
            </w:tcBorders>
          </w:tcPr>
          <w:p w14:paraId="65EA6841" w14:textId="2A578208" w:rsidR="00C542AD" w:rsidRPr="000B7901" w:rsidRDefault="00C542AD" w:rsidP="00D316C1">
            <w:pPr>
              <w:pStyle w:val="TableCenterText"/>
            </w:pPr>
            <w:r>
              <w:t xml:space="preserve">1,355 </w:t>
            </w:r>
          </w:p>
        </w:tc>
        <w:tc>
          <w:tcPr>
            <w:tcW w:w="1667" w:type="pct"/>
            <w:tcBorders>
              <w:top w:val="single" w:sz="4" w:space="0" w:color="4A4D56" w:themeColor="text1"/>
            </w:tcBorders>
          </w:tcPr>
          <w:p w14:paraId="6CAE6405" w14:textId="0363B540" w:rsidR="00C542AD" w:rsidRPr="000B7901" w:rsidRDefault="00C542AD" w:rsidP="00D316C1">
            <w:pPr>
              <w:pStyle w:val="TableCenterText"/>
              <w:cnfStyle w:val="000000100000" w:firstRow="0" w:lastRow="0" w:firstColumn="0" w:lastColumn="0" w:oddVBand="0" w:evenVBand="0" w:oddHBand="1" w:evenHBand="0" w:firstRowFirstColumn="0" w:firstRowLastColumn="0" w:lastRowFirstColumn="0" w:lastRowLastColumn="0"/>
            </w:pPr>
            <w:r>
              <w:t>37</w:t>
            </w:r>
          </w:p>
        </w:tc>
        <w:tc>
          <w:tcPr>
            <w:tcW w:w="1667" w:type="pct"/>
            <w:tcBorders>
              <w:top w:val="single" w:sz="4" w:space="0" w:color="4A4D56" w:themeColor="text1"/>
            </w:tcBorders>
          </w:tcPr>
          <w:p w14:paraId="79400EEC" w14:textId="79EA8609" w:rsidR="00C542AD" w:rsidRPr="000B7901" w:rsidRDefault="00C542AD" w:rsidP="00D316C1">
            <w:pPr>
              <w:pStyle w:val="TableCenterText"/>
              <w:cnfStyle w:val="000000100000" w:firstRow="0" w:lastRow="0" w:firstColumn="0" w:lastColumn="0" w:oddVBand="0" w:evenVBand="0" w:oddHBand="1" w:evenHBand="0" w:firstRowFirstColumn="0" w:firstRowLastColumn="0" w:lastRowFirstColumn="0" w:lastRowLastColumn="0"/>
            </w:pPr>
            <w:r>
              <w:t>2.7%</w:t>
            </w:r>
          </w:p>
        </w:tc>
      </w:tr>
    </w:tbl>
    <w:p w14:paraId="4A81647E" w14:textId="612157F6" w:rsidR="009105DB" w:rsidRDefault="00C350B1" w:rsidP="009105DB">
      <w:pPr>
        <w:pStyle w:val="Heading2"/>
      </w:pPr>
      <w:bookmarkStart w:id="36" w:name="_Toc192240889"/>
      <w:r>
        <w:t>Market Analysis</w:t>
      </w:r>
      <w:bookmarkEnd w:id="36"/>
      <w:r>
        <w:t xml:space="preserve"> </w:t>
      </w:r>
    </w:p>
    <w:p w14:paraId="623426AD" w14:textId="20B14DFA" w:rsidR="00C350B1" w:rsidRDefault="008072F6" w:rsidP="00C350B1">
      <w:r>
        <w:t>The evaluation team conducted secondary research to track LLLC market activity</w:t>
      </w:r>
      <w:r w:rsidR="00D9690C">
        <w:t xml:space="preserve"> regionally </w:t>
      </w:r>
      <w:r>
        <w:t xml:space="preserve">and nationally. </w:t>
      </w:r>
      <w:r w:rsidR="00DD4B0B">
        <w:t>The</w:t>
      </w:r>
      <w:r>
        <w:t xml:space="preserve"> literature</w:t>
      </w:r>
      <w:r w:rsidR="00092E51">
        <w:t xml:space="preserve"> review</w:t>
      </w:r>
      <w:r>
        <w:t xml:space="preserve"> </w:t>
      </w:r>
      <w:r w:rsidR="00AB26F9">
        <w:t xml:space="preserve">focused </w:t>
      </w:r>
      <w:r>
        <w:t xml:space="preserve">on LLLC technological advancements, </w:t>
      </w:r>
      <w:r w:rsidR="00435180">
        <w:t>including</w:t>
      </w:r>
      <w:r>
        <w:t xml:space="preserve"> LLLCs in codes and standards</w:t>
      </w:r>
      <w:r w:rsidR="0076102F">
        <w:t xml:space="preserve"> and </w:t>
      </w:r>
      <w:r>
        <w:t>saturation</w:t>
      </w:r>
      <w:r w:rsidR="00D9690C">
        <w:t xml:space="preserve"> levels as a benchmark for</w:t>
      </w:r>
      <w:r w:rsidR="0076102F">
        <w:t xml:space="preserve"> LLLC saturation</w:t>
      </w:r>
      <w:r w:rsidR="00D9690C">
        <w:t xml:space="preserve"> identified through primary, AIC-specific research</w:t>
      </w:r>
      <w:r>
        <w:t xml:space="preserve">. </w:t>
      </w:r>
      <w:r w:rsidR="00D9690C">
        <w:t>We began by assembling available literature and secondary research on LLLC and lighting control market developments and key market drivers.</w:t>
      </w:r>
      <w:r>
        <w:t xml:space="preserve"> </w:t>
      </w:r>
      <w:r w:rsidR="00D9690C">
        <w:t>T</w:t>
      </w:r>
      <w:r>
        <w:t xml:space="preserve">he sources include studies from third-party organizations like the Northwest Energy Efficiency Alliance (NEEA) and the New Buildings Institute (NBI). We also reviewed national data from the US Department of Energy </w:t>
      </w:r>
      <w:r w:rsidR="00092E51">
        <w:t xml:space="preserve">(DOE) </w:t>
      </w:r>
      <w:r>
        <w:t xml:space="preserve">on overall lighting market trends in the commercial sector. Finally, we compared our </w:t>
      </w:r>
      <w:r w:rsidR="003914C6">
        <w:t>relevant results from primary research, including LLLC market shares and primary barriers and benefits,</w:t>
      </w:r>
      <w:r>
        <w:t xml:space="preserve"> to </w:t>
      </w:r>
      <w:r w:rsidR="003914C6">
        <w:t>comparable</w:t>
      </w:r>
      <w:r>
        <w:t xml:space="preserve"> </w:t>
      </w:r>
      <w:r w:rsidR="003914C6">
        <w:t>research</w:t>
      </w:r>
      <w:r>
        <w:t xml:space="preserve"> </w:t>
      </w:r>
      <w:r w:rsidR="003914C6">
        <w:t xml:space="preserve">conducted </w:t>
      </w:r>
      <w:r>
        <w:t xml:space="preserve">by firms like Cadeo and DNV. </w:t>
      </w:r>
    </w:p>
    <w:p w14:paraId="645C8FC9" w14:textId="26C19A06" w:rsidR="00564CE7" w:rsidRDefault="00275A0B" w:rsidP="009105DB">
      <w:r>
        <w:t>In addition</w:t>
      </w:r>
      <w:r w:rsidR="008072F6">
        <w:t xml:space="preserve">, the evaluation team also </w:t>
      </w:r>
      <w:r w:rsidR="00D9690C">
        <w:t xml:space="preserve">purchased </w:t>
      </w:r>
      <w:r w:rsidR="008072F6">
        <w:t xml:space="preserve">and analyzed </w:t>
      </w:r>
      <w:r w:rsidR="00D9690C">
        <w:t xml:space="preserve">third-party </w:t>
      </w:r>
      <w:r w:rsidR="00CF6718">
        <w:t>sales</w:t>
      </w:r>
      <w:r w:rsidR="008072F6">
        <w:t xml:space="preserve"> data from Advanced Market Analytics (AMA). AMA is a third-party market research firm that </w:t>
      </w:r>
      <w:r w:rsidR="00D9690C">
        <w:t xml:space="preserve">compiles </w:t>
      </w:r>
      <w:r w:rsidR="008072F6">
        <w:t xml:space="preserve">market data </w:t>
      </w:r>
      <w:r w:rsidR="00D9690C">
        <w:t>from various sources, including government agencies</w:t>
      </w:r>
      <w:r w:rsidR="00BE70EA">
        <w:t xml:space="preserve"> and </w:t>
      </w:r>
      <w:r w:rsidR="00D9690C">
        <w:t>trade associations,</w:t>
      </w:r>
      <w:r w:rsidR="00BE70EA">
        <w:t xml:space="preserve"> supplemented by </w:t>
      </w:r>
      <w:r w:rsidR="00D9690C">
        <w:t xml:space="preserve">interviews </w:t>
      </w:r>
      <w:r w:rsidR="00BE70EA">
        <w:t>with</w:t>
      </w:r>
      <w:r w:rsidR="00D9690C">
        <w:t xml:space="preserve"> product manufacturers and distributors</w:t>
      </w:r>
      <w:r w:rsidR="00BE70EA">
        <w:t xml:space="preserve"> and qualitative research with other industry experts</w:t>
      </w:r>
      <w:r w:rsidR="008072F6">
        <w:t xml:space="preserve">. </w:t>
      </w:r>
      <w:r w:rsidR="00BE70EA">
        <w:t>AMA sales data includes lighting market sales volumes and revenue totals at the state and national levels</w:t>
      </w:r>
      <w:r w:rsidR="00435180">
        <w:t>. It distinguishes between various lighting technologies,</w:t>
      </w:r>
      <w:r w:rsidR="00BE70EA">
        <w:t xml:space="preserve"> including lighting controls, but does not include reliable LLLC-specific sales figures. As such, the evaluation team treated AMA research as supplementary to primary research conducted with AIC-specific market actors that focused explicitly on LLLC equipment</w:t>
      </w:r>
      <w:r w:rsidR="00CF6718">
        <w:t>.</w:t>
      </w:r>
    </w:p>
    <w:p w14:paraId="60F91634" w14:textId="5738720D" w:rsidR="009105DB" w:rsidRDefault="00C350B1" w:rsidP="00FA4669">
      <w:pPr>
        <w:pStyle w:val="Heading2"/>
      </w:pPr>
      <w:bookmarkStart w:id="37" w:name="_Ref190381820"/>
      <w:bookmarkStart w:id="38" w:name="_Toc192240890"/>
      <w:r>
        <w:lastRenderedPageBreak/>
        <w:t>Market Transformation Savings</w:t>
      </w:r>
      <w:bookmarkEnd w:id="37"/>
      <w:bookmarkEnd w:id="38"/>
    </w:p>
    <w:p w14:paraId="01A8BEE6" w14:textId="1C3C9F29" w:rsidR="00C350B1" w:rsidRDefault="00946F8C" w:rsidP="00FA4669">
      <w:pPr>
        <w:keepNext/>
        <w:keepLines/>
      </w:pPr>
      <w:r>
        <w:t xml:space="preserve">According to the Illinois TRM, </w:t>
      </w:r>
      <w:r w:rsidR="000727B5">
        <w:t>a</w:t>
      </w:r>
      <w:r w:rsidR="00DD4B0B">
        <w:t>n</w:t>
      </w:r>
      <w:r w:rsidR="000D573F">
        <w:t xml:space="preserve"> NMB </w:t>
      </w:r>
      <w:r w:rsidR="000727B5">
        <w:t>represent</w:t>
      </w:r>
      <w:r w:rsidR="001523C8">
        <w:t>s</w:t>
      </w:r>
      <w:r>
        <w:t xml:space="preserve"> a “forecast in which no utility-funded energy-efficiency programmatic interventions exist</w:t>
      </w:r>
      <w:r w:rsidR="000727B5">
        <w:t>.</w:t>
      </w:r>
      <w:r>
        <w:t>”</w:t>
      </w:r>
      <w:r>
        <w:rPr>
          <w:rStyle w:val="FootnoteReference"/>
        </w:rPr>
        <w:footnoteReference w:id="5"/>
      </w:r>
      <w:r w:rsidR="000727B5">
        <w:t xml:space="preserve"> In the context of the </w:t>
      </w:r>
      <w:r w:rsidR="000D573F">
        <w:t>LLLC Pilot</w:t>
      </w:r>
      <w:r w:rsidR="000727B5">
        <w:t xml:space="preserve">, the NMB reflects an annual </w:t>
      </w:r>
      <w:r>
        <w:t xml:space="preserve">estimate </w:t>
      </w:r>
      <w:r w:rsidR="000727B5">
        <w:t xml:space="preserve">of </w:t>
      </w:r>
      <w:r w:rsidR="00275A0B">
        <w:t xml:space="preserve">what </w:t>
      </w:r>
      <w:r w:rsidR="000727B5">
        <w:t xml:space="preserve">LLLC </w:t>
      </w:r>
      <w:r>
        <w:t>saturation</w:t>
      </w:r>
      <w:r w:rsidR="000727B5">
        <w:t xml:space="preserve"> among AIC business customers</w:t>
      </w:r>
      <w:r w:rsidR="00275A0B">
        <w:t xml:space="preserve"> would be</w:t>
      </w:r>
      <w:r w:rsidR="000727B5">
        <w:t xml:space="preserve"> </w:t>
      </w:r>
      <w:r w:rsidR="00435180">
        <w:t>without</w:t>
      </w:r>
      <w:r w:rsidR="000727B5">
        <w:t xml:space="preserve"> any utility program interventions</w:t>
      </w:r>
      <w:r>
        <w:t xml:space="preserve">. </w:t>
      </w:r>
      <w:r w:rsidR="00817213">
        <w:t xml:space="preserve">The </w:t>
      </w:r>
      <w:r w:rsidR="000727B5">
        <w:t xml:space="preserve">2023 AIC LLLC MTI Business Plan included an in-depth analysis and modeling process to establish </w:t>
      </w:r>
      <w:r w:rsidR="00435180">
        <w:t xml:space="preserve">the </w:t>
      </w:r>
      <w:r w:rsidR="00817213">
        <w:t xml:space="preserve">NMB </w:t>
      </w:r>
      <w:r w:rsidR="000727B5">
        <w:t>forecast</w:t>
      </w:r>
      <w:r w:rsidR="00817213">
        <w:t xml:space="preserve">. </w:t>
      </w:r>
      <w:r w:rsidR="00E72DCB">
        <w:fldChar w:fldCharType="begin"/>
      </w:r>
      <w:r w:rsidR="00E72DCB">
        <w:instrText xml:space="preserve"> REF _Ref189037193 \h </w:instrText>
      </w:r>
      <w:r w:rsidR="00E72DCB">
        <w:fldChar w:fldCharType="separate"/>
      </w:r>
      <w:r w:rsidR="00D0329D">
        <w:t xml:space="preserve">Table </w:t>
      </w:r>
      <w:r w:rsidR="00D0329D">
        <w:rPr>
          <w:noProof/>
        </w:rPr>
        <w:t>8</w:t>
      </w:r>
      <w:r w:rsidR="00E72DCB">
        <w:fldChar w:fldCharType="end"/>
      </w:r>
      <w:r w:rsidR="00226A8F">
        <w:t xml:space="preserve"> lists the </w:t>
      </w:r>
      <w:r w:rsidR="00AB26F9">
        <w:t xml:space="preserve">annual </w:t>
      </w:r>
      <w:r w:rsidR="00226A8F">
        <w:t>NMB</w:t>
      </w:r>
      <w:r w:rsidR="000727B5">
        <w:t>-forecasted LLLC market share from 2023 to 2027</w:t>
      </w:r>
      <w:r w:rsidR="00226A8F">
        <w:t xml:space="preserve">. </w:t>
      </w:r>
    </w:p>
    <w:p w14:paraId="166C63FF" w14:textId="41195B72" w:rsidR="00275A0B" w:rsidRDefault="00226A8F" w:rsidP="00287BC8">
      <w:pPr>
        <w:pStyle w:val="Caption"/>
      </w:pPr>
      <w:bookmarkStart w:id="39" w:name="_Ref189037193"/>
      <w:bookmarkStart w:id="40" w:name="_Toc192238285"/>
      <w:r>
        <w:t xml:space="preserve">Table </w:t>
      </w:r>
      <w:r>
        <w:fldChar w:fldCharType="begin"/>
      </w:r>
      <w:r>
        <w:instrText xml:space="preserve"> SEQ Table \* ARABIC </w:instrText>
      </w:r>
      <w:r>
        <w:fldChar w:fldCharType="separate"/>
      </w:r>
      <w:r w:rsidR="00D0329D">
        <w:rPr>
          <w:noProof/>
        </w:rPr>
        <w:t>8</w:t>
      </w:r>
      <w:r>
        <w:fldChar w:fldCharType="end"/>
      </w:r>
      <w:bookmarkEnd w:id="39"/>
      <w:r>
        <w:t xml:space="preserve">. </w:t>
      </w:r>
      <w:r w:rsidR="00B76C6E">
        <w:t xml:space="preserve">LLLC Market Shares Forecasted by </w:t>
      </w:r>
      <w:r>
        <w:t>Natural Market Baseline</w:t>
      </w:r>
      <w:bookmarkEnd w:id="40"/>
      <w:r>
        <w:t xml:space="preserve"> </w:t>
      </w:r>
    </w:p>
    <w:tbl>
      <w:tblPr>
        <w:tblStyle w:val="ODCBasic-1"/>
        <w:tblW w:w="0" w:type="auto"/>
        <w:tblLayout w:type="fixed"/>
        <w:tblCellMar>
          <w:top w:w="0" w:type="dxa"/>
          <w:bottom w:w="14" w:type="dxa"/>
        </w:tblCellMar>
        <w:tblLook w:val="04A0" w:firstRow="1" w:lastRow="0" w:firstColumn="1" w:lastColumn="0" w:noHBand="0" w:noVBand="1"/>
      </w:tblPr>
      <w:tblGrid>
        <w:gridCol w:w="2345"/>
        <w:gridCol w:w="1975"/>
      </w:tblGrid>
      <w:tr w:rsidR="00275A0B" w14:paraId="65F97EDC" w14:textId="77777777" w:rsidTr="004972E7">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345" w:type="dxa"/>
            <w:tcBorders>
              <w:bottom w:val="single" w:sz="4" w:space="0" w:color="4A4D56" w:themeColor="text1"/>
              <w:right w:val="single" w:sz="4" w:space="0" w:color="4A4D56" w:themeColor="text1"/>
            </w:tcBorders>
          </w:tcPr>
          <w:p w14:paraId="5744F5DE" w14:textId="4D5F4D1D" w:rsidR="00275A0B" w:rsidRPr="00625570" w:rsidRDefault="00275A0B" w:rsidP="00275A0B">
            <w:pPr>
              <w:pStyle w:val="TableHeadingLeft"/>
            </w:pPr>
            <w:r>
              <w:t>Year</w:t>
            </w:r>
          </w:p>
        </w:tc>
        <w:tc>
          <w:tcPr>
            <w:tcW w:w="1975" w:type="dxa"/>
            <w:tcBorders>
              <w:left w:val="single" w:sz="4" w:space="0" w:color="4A4D56" w:themeColor="text1"/>
              <w:bottom w:val="single" w:sz="4" w:space="0" w:color="4A4D56" w:themeColor="text1"/>
              <w:right w:val="single" w:sz="4" w:space="0" w:color="4A4D56" w:themeColor="text1"/>
            </w:tcBorders>
          </w:tcPr>
          <w:p w14:paraId="0FEDEB76" w14:textId="77777777" w:rsidR="00275A0B" w:rsidRDefault="00275A0B" w:rsidP="00275A0B">
            <w:pPr>
              <w:pStyle w:val="TableHeadingCentered"/>
              <w:cnfStyle w:val="100000000000" w:firstRow="1" w:lastRow="0" w:firstColumn="0" w:lastColumn="0" w:oddVBand="0" w:evenVBand="0" w:oddHBand="0" w:evenHBand="0" w:firstRowFirstColumn="0" w:firstRowLastColumn="0" w:lastRowFirstColumn="0" w:lastRowLastColumn="0"/>
            </w:pPr>
            <w:r>
              <w:t xml:space="preserve">NMB-Forecasted </w:t>
            </w:r>
          </w:p>
          <w:p w14:paraId="0B992363" w14:textId="356EB55B" w:rsidR="00275A0B" w:rsidRPr="00625570" w:rsidRDefault="00275A0B" w:rsidP="00275A0B">
            <w:pPr>
              <w:pStyle w:val="TableHeadingCentered"/>
              <w:cnfStyle w:val="100000000000" w:firstRow="1" w:lastRow="0" w:firstColumn="0" w:lastColumn="0" w:oddVBand="0" w:evenVBand="0" w:oddHBand="0" w:evenHBand="0" w:firstRowFirstColumn="0" w:firstRowLastColumn="0" w:lastRowFirstColumn="0" w:lastRowLastColumn="0"/>
            </w:pPr>
            <w:r>
              <w:t>Market Share</w:t>
            </w:r>
          </w:p>
        </w:tc>
      </w:tr>
      <w:tr w:rsidR="00275A0B" w14:paraId="218A83C0" w14:textId="77777777" w:rsidTr="004972E7">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345" w:type="dxa"/>
            <w:tcBorders>
              <w:top w:val="single" w:sz="4" w:space="0" w:color="4A4D56" w:themeColor="text1"/>
            </w:tcBorders>
          </w:tcPr>
          <w:p w14:paraId="2F84B3A3" w14:textId="1B2E2477" w:rsidR="00275A0B" w:rsidRPr="00625570" w:rsidRDefault="00275A0B" w:rsidP="00275A0B">
            <w:pPr>
              <w:pStyle w:val="TableLeftText"/>
            </w:pPr>
            <w:r>
              <w:t>2023</w:t>
            </w:r>
          </w:p>
        </w:tc>
        <w:tc>
          <w:tcPr>
            <w:tcW w:w="1975" w:type="dxa"/>
            <w:tcBorders>
              <w:top w:val="single" w:sz="4" w:space="0" w:color="4A4D56" w:themeColor="text1"/>
            </w:tcBorders>
          </w:tcPr>
          <w:p w14:paraId="10EC3568" w14:textId="5439A1F3" w:rsidR="00275A0B" w:rsidRPr="000B7901" w:rsidRDefault="00275A0B" w:rsidP="00275A0B">
            <w:pPr>
              <w:pStyle w:val="TableCenterText"/>
              <w:cnfStyle w:val="000000100000" w:firstRow="0" w:lastRow="0" w:firstColumn="0" w:lastColumn="0" w:oddVBand="0" w:evenVBand="0" w:oddHBand="1" w:evenHBand="0" w:firstRowFirstColumn="0" w:firstRowLastColumn="0" w:lastRowFirstColumn="0" w:lastRowLastColumn="0"/>
            </w:pPr>
            <w:r>
              <w:t>0.49%</w:t>
            </w:r>
          </w:p>
        </w:tc>
      </w:tr>
      <w:tr w:rsidR="00275A0B" w14:paraId="001B91A2" w14:textId="77777777" w:rsidTr="004972E7">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345" w:type="dxa"/>
          </w:tcPr>
          <w:p w14:paraId="59ED14CC" w14:textId="1B0E2C56" w:rsidR="00275A0B" w:rsidRPr="00625570" w:rsidRDefault="00275A0B" w:rsidP="00275A0B">
            <w:pPr>
              <w:pStyle w:val="TableLeftText"/>
            </w:pPr>
            <w:r>
              <w:t>2024</w:t>
            </w:r>
          </w:p>
        </w:tc>
        <w:tc>
          <w:tcPr>
            <w:tcW w:w="1975" w:type="dxa"/>
          </w:tcPr>
          <w:p w14:paraId="7743AADA" w14:textId="09C7A155" w:rsidR="00275A0B" w:rsidRPr="000B7901" w:rsidRDefault="00275A0B" w:rsidP="00275A0B">
            <w:pPr>
              <w:pStyle w:val="TableCenterText"/>
              <w:cnfStyle w:val="000000010000" w:firstRow="0" w:lastRow="0" w:firstColumn="0" w:lastColumn="0" w:oddVBand="0" w:evenVBand="0" w:oddHBand="0" w:evenHBand="1" w:firstRowFirstColumn="0" w:firstRowLastColumn="0" w:lastRowFirstColumn="0" w:lastRowLastColumn="0"/>
            </w:pPr>
            <w:r>
              <w:t>0.66%</w:t>
            </w:r>
          </w:p>
        </w:tc>
      </w:tr>
      <w:tr w:rsidR="00275A0B" w14:paraId="6637CDCF" w14:textId="77777777" w:rsidTr="004972E7">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345" w:type="dxa"/>
          </w:tcPr>
          <w:p w14:paraId="3CAE9B6A" w14:textId="69C34005" w:rsidR="00275A0B" w:rsidRPr="00625570" w:rsidRDefault="00275A0B" w:rsidP="00275A0B">
            <w:pPr>
              <w:pStyle w:val="TableLeftText"/>
            </w:pPr>
            <w:r>
              <w:t>2025</w:t>
            </w:r>
          </w:p>
        </w:tc>
        <w:tc>
          <w:tcPr>
            <w:tcW w:w="1975" w:type="dxa"/>
          </w:tcPr>
          <w:p w14:paraId="118D07C1" w14:textId="027BF0BD" w:rsidR="00275A0B" w:rsidRPr="000B7901" w:rsidRDefault="00275A0B" w:rsidP="00275A0B">
            <w:pPr>
              <w:pStyle w:val="TableCenterText"/>
              <w:cnfStyle w:val="000000100000" w:firstRow="0" w:lastRow="0" w:firstColumn="0" w:lastColumn="0" w:oddVBand="0" w:evenVBand="0" w:oddHBand="1" w:evenHBand="0" w:firstRowFirstColumn="0" w:firstRowLastColumn="0" w:lastRowFirstColumn="0" w:lastRowLastColumn="0"/>
            </w:pPr>
            <w:r>
              <w:t>0.90%</w:t>
            </w:r>
          </w:p>
        </w:tc>
      </w:tr>
      <w:tr w:rsidR="00275A0B" w14:paraId="07D7B203" w14:textId="77777777" w:rsidTr="004972E7">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345" w:type="dxa"/>
          </w:tcPr>
          <w:p w14:paraId="05DF7A6F" w14:textId="11D2E01C" w:rsidR="00275A0B" w:rsidRPr="00625570" w:rsidRDefault="00275A0B" w:rsidP="00275A0B">
            <w:pPr>
              <w:pStyle w:val="TableLeftText"/>
            </w:pPr>
            <w:r>
              <w:t>2026</w:t>
            </w:r>
          </w:p>
        </w:tc>
        <w:tc>
          <w:tcPr>
            <w:tcW w:w="1975" w:type="dxa"/>
          </w:tcPr>
          <w:p w14:paraId="6968ADF1" w14:textId="61EC5156" w:rsidR="00275A0B" w:rsidRPr="000B7901" w:rsidRDefault="00275A0B" w:rsidP="00275A0B">
            <w:pPr>
              <w:pStyle w:val="TableCenterText"/>
              <w:cnfStyle w:val="000000010000" w:firstRow="0" w:lastRow="0" w:firstColumn="0" w:lastColumn="0" w:oddVBand="0" w:evenVBand="0" w:oddHBand="0" w:evenHBand="1" w:firstRowFirstColumn="0" w:firstRowLastColumn="0" w:lastRowFirstColumn="0" w:lastRowLastColumn="0"/>
            </w:pPr>
            <w:r>
              <w:t>1.23%</w:t>
            </w:r>
          </w:p>
        </w:tc>
      </w:tr>
      <w:tr w:rsidR="00275A0B" w14:paraId="6CF0D7E4" w14:textId="77777777" w:rsidTr="004972E7">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345" w:type="dxa"/>
          </w:tcPr>
          <w:p w14:paraId="78D4D822" w14:textId="0F855128" w:rsidR="00275A0B" w:rsidRPr="00625570" w:rsidRDefault="00275A0B" w:rsidP="00275A0B">
            <w:pPr>
              <w:pStyle w:val="TableLeftText"/>
            </w:pPr>
            <w:r>
              <w:t>2027</w:t>
            </w:r>
          </w:p>
        </w:tc>
        <w:tc>
          <w:tcPr>
            <w:tcW w:w="1975" w:type="dxa"/>
          </w:tcPr>
          <w:p w14:paraId="18748648" w14:textId="0887277A" w:rsidR="00275A0B" w:rsidRPr="000B7901" w:rsidRDefault="00275A0B" w:rsidP="00275A0B">
            <w:pPr>
              <w:pStyle w:val="TableCenterText"/>
              <w:cnfStyle w:val="000000100000" w:firstRow="0" w:lastRow="0" w:firstColumn="0" w:lastColumn="0" w:oddVBand="0" w:evenVBand="0" w:oddHBand="1" w:evenHBand="0" w:firstRowFirstColumn="0" w:firstRowLastColumn="0" w:lastRowFirstColumn="0" w:lastRowLastColumn="0"/>
            </w:pPr>
            <w:r>
              <w:t>1.66%</w:t>
            </w:r>
          </w:p>
        </w:tc>
      </w:tr>
    </w:tbl>
    <w:p w14:paraId="2A4246E6" w14:textId="74C8AA71" w:rsidR="00817213" w:rsidRDefault="008C47B1" w:rsidP="000E40E5">
      <w:pPr>
        <w:spacing w:before="240"/>
      </w:pPr>
      <w:r>
        <w:t xml:space="preserve">To calculate the net energy savings </w:t>
      </w:r>
      <w:r w:rsidR="00275A0B">
        <w:t xml:space="preserve">attributable to </w:t>
      </w:r>
      <w:r w:rsidR="000D573F">
        <w:t>LLLC Pilot</w:t>
      </w:r>
      <w:r w:rsidR="003914C6">
        <w:t xml:space="preserve"> activities</w:t>
      </w:r>
      <w:r>
        <w:t xml:space="preserve">, the evaluation team </w:t>
      </w:r>
      <w:r w:rsidR="00275A0B">
        <w:t xml:space="preserve">took the total energy savings associated with all LLLC units installed in AIC territory and subtracted </w:t>
      </w:r>
      <w:r w:rsidR="00F03E9F">
        <w:t>NMB-forecasted savings</w:t>
      </w:r>
      <w:r>
        <w:t xml:space="preserve"> and LLLC savings from </w:t>
      </w:r>
      <w:r w:rsidR="001828E6">
        <w:t>RA</w:t>
      </w:r>
      <w:r>
        <w:t xml:space="preserve"> programs </w:t>
      </w:r>
      <w:r w:rsidR="00444781">
        <w:t>implemented</w:t>
      </w:r>
      <w:r>
        <w:t xml:space="preserve"> by AIC. </w:t>
      </w:r>
      <w:r w:rsidR="00444781">
        <w:t xml:space="preserve">To estimate current levels of LLLC adoption in AIC service territory, we relied on market actor survey findings from AIC business customers. </w:t>
      </w:r>
      <w:r w:rsidR="0020341A">
        <w:t xml:space="preserve">We </w:t>
      </w:r>
      <w:r w:rsidR="00444781">
        <w:t>then multiplied</w:t>
      </w:r>
      <w:r w:rsidR="0020341A">
        <w:t xml:space="preserve"> the total LLLC units among AIC customers in 2024 by </w:t>
      </w:r>
      <w:r w:rsidR="00435180">
        <w:t>Unit</w:t>
      </w:r>
      <w:r w:rsidR="0020341A">
        <w:t xml:space="preserve"> Energy Savings (UES)</w:t>
      </w:r>
      <w:r w:rsidR="00444781">
        <w:t xml:space="preserve"> established by the 2023 </w:t>
      </w:r>
      <w:r w:rsidR="00B722F3">
        <w:t xml:space="preserve">AIC LLLC </w:t>
      </w:r>
      <w:r w:rsidR="00444781">
        <w:t xml:space="preserve">MTI Business Plan using savings assumptions </w:t>
      </w:r>
      <w:r w:rsidR="00F03E9F">
        <w:t>recommended</w:t>
      </w:r>
      <w:r w:rsidR="00444781">
        <w:t xml:space="preserve"> by the Illinois TRM. We </w:t>
      </w:r>
      <w:r w:rsidR="0020341A">
        <w:t xml:space="preserve">then subtracted the </w:t>
      </w:r>
      <w:r w:rsidR="00444781">
        <w:t xml:space="preserve">portion of those savings forecasted by the </w:t>
      </w:r>
      <w:r w:rsidR="00444781" w:rsidRPr="00444781">
        <w:t>NMB estimate</w:t>
      </w:r>
      <w:r w:rsidR="00435180">
        <w:t xml:space="preserve"> and</w:t>
      </w:r>
      <w:r w:rsidR="00444781" w:rsidRPr="00444781">
        <w:t xml:space="preserve"> the portion of savings associated with incented LLLCs already claimed by AIC RA offerings</w:t>
      </w:r>
      <w:r w:rsidR="0020341A">
        <w:t xml:space="preserve">. </w:t>
      </w:r>
      <w:r w:rsidR="009A083D">
        <w:fldChar w:fldCharType="begin"/>
      </w:r>
      <w:r w:rsidR="009A083D">
        <w:instrText xml:space="preserve"> REF _Ref189039329 \h </w:instrText>
      </w:r>
      <w:r w:rsidR="009A083D">
        <w:fldChar w:fldCharType="separate"/>
      </w:r>
      <w:r w:rsidR="00D0329D">
        <w:t xml:space="preserve">Equation </w:t>
      </w:r>
      <w:r w:rsidR="00D0329D">
        <w:rPr>
          <w:noProof/>
        </w:rPr>
        <w:t>1</w:t>
      </w:r>
      <w:r w:rsidR="009A083D">
        <w:fldChar w:fldCharType="end"/>
      </w:r>
      <w:r w:rsidR="00444781" w:rsidRPr="00444781">
        <w:t xml:space="preserve"> summarizes the estimation of </w:t>
      </w:r>
      <w:r w:rsidR="000D573F">
        <w:t>MT</w:t>
      </w:r>
      <w:r w:rsidR="00444781" w:rsidRPr="00444781">
        <w:t xml:space="preserve"> savings attributable to the </w:t>
      </w:r>
      <w:r w:rsidR="000D573F">
        <w:t>LLLC Pilot</w:t>
      </w:r>
      <w:r w:rsidR="009A083D">
        <w:t>.</w:t>
      </w:r>
    </w:p>
    <w:p w14:paraId="3F9C0795" w14:textId="4236D590" w:rsidR="00A83289" w:rsidRDefault="00A83289" w:rsidP="00287BC8">
      <w:pPr>
        <w:pStyle w:val="Caption"/>
      </w:pPr>
      <w:bookmarkStart w:id="41" w:name="_Ref189039329"/>
      <w:r>
        <w:t xml:space="preserve">Equation </w:t>
      </w:r>
      <w:r>
        <w:fldChar w:fldCharType="begin"/>
      </w:r>
      <w:r>
        <w:instrText xml:space="preserve"> SEQ Equation \* ARABIC </w:instrText>
      </w:r>
      <w:r>
        <w:fldChar w:fldCharType="separate"/>
      </w:r>
      <w:r w:rsidR="00D0329D">
        <w:rPr>
          <w:noProof/>
        </w:rPr>
        <w:t>1</w:t>
      </w:r>
      <w:r>
        <w:fldChar w:fldCharType="end"/>
      </w:r>
      <w:bookmarkEnd w:id="41"/>
      <w:r>
        <w:t xml:space="preserve">. MT </w:t>
      </w:r>
      <w:r w:rsidR="007D2B7F">
        <w:t>Savings Estimation Framework</w:t>
      </w:r>
    </w:p>
    <w:p w14:paraId="23964EE5" w14:textId="4A13AE7F" w:rsidR="00226A8F" w:rsidRPr="00A83289" w:rsidRDefault="00A83289" w:rsidP="009105DB">
      <m:oMathPara>
        <m:oMath>
          <m:r>
            <w:rPr>
              <w:rFonts w:ascii="Cambria Math" w:hAnsi="Cambria Math"/>
            </w:rPr>
            <m:t>MT Savings=</m:t>
          </m:r>
          <m:d>
            <m:dPr>
              <m:ctrlPr>
                <w:rPr>
                  <w:rFonts w:ascii="Cambria Math" w:hAnsi="Cambria Math"/>
                  <w:i/>
                </w:rPr>
              </m:ctrlPr>
            </m:dPr>
            <m:e>
              <m:r>
                <w:rPr>
                  <w:rFonts w:ascii="Cambria Math" w:hAnsi="Cambria Math"/>
                </w:rPr>
                <m:t>LLLC Units × UES</m:t>
              </m:r>
            </m:e>
          </m:d>
          <m:r>
            <w:rPr>
              <w:rFonts w:ascii="Cambria Math" w:hAnsi="Cambria Math"/>
            </w:rPr>
            <m:t>-NMB Savings-RA Savings</m:t>
          </m:r>
        </m:oMath>
      </m:oMathPara>
    </w:p>
    <w:p w14:paraId="38308E51" w14:textId="16A6F61A" w:rsidR="00A83289" w:rsidRDefault="00A83289" w:rsidP="009105DB">
      <w:r>
        <w:tab/>
        <w:t>Where:</w:t>
      </w:r>
    </w:p>
    <w:p w14:paraId="5A7E6C2D" w14:textId="2FDCC2B3" w:rsidR="00AA7360" w:rsidRDefault="00AA7360" w:rsidP="00AA7360">
      <w:pPr>
        <w:ind w:left="720" w:firstLine="720"/>
      </w:pPr>
      <m:oMath>
        <m:r>
          <w:rPr>
            <w:rFonts w:ascii="Cambria Math" w:hAnsi="Cambria Math"/>
          </w:rPr>
          <m:t>MT Savings</m:t>
        </m:r>
      </m:oMath>
      <w:r>
        <w:t xml:space="preserve"> = Total </w:t>
      </w:r>
      <w:r w:rsidR="00E74EB3">
        <w:t>MT</w:t>
      </w:r>
      <w:r>
        <w:t xml:space="preserve"> Savings Claimable by the LLLC Initiative</w:t>
      </w:r>
    </w:p>
    <w:p w14:paraId="570DFDFB" w14:textId="348C35E9" w:rsidR="00444781" w:rsidRDefault="00444781" w:rsidP="000C1BB0">
      <w:pPr>
        <w:ind w:left="720" w:firstLine="720"/>
      </w:pPr>
      <m:oMath>
        <m:r>
          <w:rPr>
            <w:rFonts w:ascii="Cambria Math" w:hAnsi="Cambria Math"/>
          </w:rPr>
          <m:t>LLLC Units</m:t>
        </m:r>
      </m:oMath>
      <w:r>
        <w:t xml:space="preserve"> = Total Units of LLLCs in AIC Territory</w:t>
      </w:r>
    </w:p>
    <w:p w14:paraId="7FE0D1DB" w14:textId="0009E173" w:rsidR="00A83289" w:rsidRDefault="00A83289" w:rsidP="00AA7360">
      <w:pPr>
        <w:ind w:left="720" w:firstLine="720"/>
      </w:pPr>
      <m:oMath>
        <m:r>
          <w:rPr>
            <w:rFonts w:ascii="Cambria Math" w:hAnsi="Cambria Math"/>
          </w:rPr>
          <m:t>UES</m:t>
        </m:r>
      </m:oMath>
      <w:r>
        <w:t xml:space="preserve"> = </w:t>
      </w:r>
      <w:r w:rsidR="00AA7360" w:rsidRPr="00AA7360">
        <w:t>Unit Energy Savings (Baseline Unit Energy Consumption Minus EE Unit Energy Consumption)</w:t>
      </w:r>
    </w:p>
    <w:p w14:paraId="5919935F" w14:textId="136F306D" w:rsidR="00AA7360" w:rsidRDefault="00AA7360" w:rsidP="00AA7360">
      <w:pPr>
        <w:ind w:left="720" w:firstLine="720"/>
      </w:pPr>
      <m:oMath>
        <m:r>
          <w:rPr>
            <w:rFonts w:ascii="Cambria Math" w:hAnsi="Cambria Math"/>
          </w:rPr>
          <m:t>NMB Savings</m:t>
        </m:r>
      </m:oMath>
      <w:r w:rsidR="009A083D">
        <w:t xml:space="preserve"> = </w:t>
      </w:r>
      <w:r>
        <w:t>LLLC Savings Forecasted by NMB</w:t>
      </w:r>
    </w:p>
    <w:p w14:paraId="124638E0" w14:textId="7F8CA68A" w:rsidR="009A083D" w:rsidRDefault="00AA7360" w:rsidP="003914C6">
      <w:pPr>
        <w:ind w:left="720" w:firstLine="720"/>
      </w:pPr>
      <m:oMath>
        <m:r>
          <w:rPr>
            <w:rFonts w:ascii="Cambria Math" w:hAnsi="Cambria Math"/>
          </w:rPr>
          <m:t>RA Savings</m:t>
        </m:r>
      </m:oMath>
      <w:r>
        <w:t xml:space="preserve"> = </w:t>
      </w:r>
      <w:r w:rsidRPr="00AA7360">
        <w:t>LLLC Savings Associated with RA Offerings</w:t>
      </w:r>
    </w:p>
    <w:p w14:paraId="1D984930" w14:textId="6BD89971" w:rsidR="00B20501" w:rsidRDefault="00B20501" w:rsidP="00FA4669">
      <w:pPr>
        <w:pStyle w:val="Heading2"/>
      </w:pPr>
      <w:bookmarkStart w:id="42" w:name="_Ref192157477"/>
      <w:bookmarkStart w:id="43" w:name="_Toc192240891"/>
      <w:r>
        <w:lastRenderedPageBreak/>
        <w:t>Sources and Mitigation of Error</w:t>
      </w:r>
      <w:bookmarkEnd w:id="42"/>
      <w:bookmarkEnd w:id="43"/>
    </w:p>
    <w:p w14:paraId="763C7CC1" w14:textId="04985482" w:rsidR="00B20501" w:rsidRDefault="00B20501" w:rsidP="00FA4669">
      <w:pPr>
        <w:pStyle w:val="NoSpacing"/>
        <w:keepNext/>
        <w:keepLines/>
      </w:pPr>
      <w:r>
        <w:t xml:space="preserve">The evaluation team took steps to mitigate potential sources of error throughout the planning and implementation of this evaluation. </w:t>
      </w:r>
      <w:proofErr w:type="gramStart"/>
      <w:r>
        <w:t>In particular, we</w:t>
      </w:r>
      <w:proofErr w:type="gramEnd"/>
      <w:r>
        <w:t xml:space="preserve"> considered the </w:t>
      </w:r>
      <w:r w:rsidR="00B268A8">
        <w:t xml:space="preserve">following </w:t>
      </w:r>
      <w:r>
        <w:t xml:space="preserve">types of error: </w:t>
      </w:r>
    </w:p>
    <w:p w14:paraId="33387F24" w14:textId="13682EF6" w:rsidR="00B20501" w:rsidRDefault="00B20501" w:rsidP="00B20501">
      <w:pPr>
        <w:pStyle w:val="ListBullet"/>
      </w:pPr>
      <w:r w:rsidRPr="00B20501">
        <w:rPr>
          <w:b/>
          <w:bCs/>
        </w:rPr>
        <w:t>Analysis Error</w:t>
      </w:r>
      <w:r>
        <w:rPr>
          <w:b/>
          <w:bCs/>
        </w:rPr>
        <w:t>:</w:t>
      </w:r>
      <w:r>
        <w:t xml:space="preserve"> To minimize </w:t>
      </w:r>
      <w:r w:rsidR="00AA2101">
        <w:t xml:space="preserve">unintended inconsistencies in analysis of survey or secondary data </w:t>
      </w:r>
      <w:r>
        <w:t>error, a separate team member reviewed all calculations to verify their accuracy.</w:t>
      </w:r>
    </w:p>
    <w:p w14:paraId="0A3C297E" w14:textId="36A5374E" w:rsidR="00AA2101" w:rsidRPr="009B01B9" w:rsidRDefault="00AA2101" w:rsidP="00D55E96">
      <w:pPr>
        <w:pStyle w:val="ListBullet"/>
      </w:pPr>
      <w:r>
        <w:rPr>
          <w:b/>
          <w:bCs/>
        </w:rPr>
        <w:t xml:space="preserve">Survey Sampling Error: </w:t>
      </w:r>
      <w:r w:rsidR="004E22E3" w:rsidRPr="009B01B9">
        <w:t xml:space="preserve">The evaluation team surveyed 353 business customers </w:t>
      </w:r>
      <w:r w:rsidR="00550BC7">
        <w:t>from a sample of all AIC business customers</w:t>
      </w:r>
      <w:r w:rsidR="004E22E3" w:rsidRPr="009B01B9">
        <w:t>.</w:t>
      </w:r>
      <w:r w:rsidR="00C63B52">
        <w:t xml:space="preserve"> Even with over 350 respondents, the error bounds associated with an estimate </w:t>
      </w:r>
      <w:r w:rsidR="00B268A8">
        <w:t xml:space="preserve">intended </w:t>
      </w:r>
      <w:r w:rsidR="00C63B52">
        <w:t>to be representative of the much larger total population can limit the precision of a given estimate, particularly for very low-incidence estimates.</w:t>
      </w:r>
      <w:r w:rsidR="00550BC7">
        <w:t xml:space="preserve"> </w:t>
      </w:r>
      <w:r w:rsidR="007C0631">
        <w:t>Only the customer survey involved sampling; all other data collection activities conducted as part of this evaluation were census attempts</w:t>
      </w:r>
      <w:r w:rsidR="00557294">
        <w:t>, and t</w:t>
      </w:r>
      <w:r w:rsidR="00550BC7">
        <w:t>he concept of survey sampling error does not apply to census attempts.</w:t>
      </w:r>
    </w:p>
    <w:p w14:paraId="714F4180" w14:textId="27B306FA" w:rsidR="00B20501" w:rsidRDefault="00B20501" w:rsidP="00D55E96">
      <w:pPr>
        <w:pStyle w:val="ListBullet"/>
      </w:pPr>
      <w:r w:rsidRPr="00B20501">
        <w:rPr>
          <w:b/>
          <w:bCs/>
        </w:rPr>
        <w:t>Survey Measurement Error:</w:t>
      </w:r>
      <w:r>
        <w:t xml:space="preserve"> The validity and reliability of survey data were addressed through multiple strategies. First, we relied on our experience to create questions </w:t>
      </w:r>
      <w:r w:rsidR="00B268A8">
        <w:t xml:space="preserve">aligned </w:t>
      </w:r>
      <w:r>
        <w:t xml:space="preserve">with the idea or construct </w:t>
      </w:r>
      <w:r w:rsidR="00B268A8">
        <w:t>they</w:t>
      </w:r>
      <w:r>
        <w:t xml:space="preserve"> </w:t>
      </w:r>
      <w:r w:rsidR="00DD4B0B">
        <w:t xml:space="preserve">were </w:t>
      </w:r>
      <w:r>
        <w:t xml:space="preserve">intended to measure (i.e., face value validity). We reviewed the questions to ensure that we did not ask double-barreled questions (i.e., questions that ask about two subjects but allow only one response) or loaded questions (i.e., questions that are slanted one way or the other). We also </w:t>
      </w:r>
      <w:r w:rsidR="00AA2101">
        <w:t xml:space="preserve">thoroughly </w:t>
      </w:r>
      <w:r>
        <w:t xml:space="preserve">checked the overall logical flow of the questions to avoid confusing respondents, which would decrease reliability. All survey instruments were reviewed by key </w:t>
      </w:r>
      <w:r w:rsidR="00DD4B0B">
        <w:t xml:space="preserve">members of the </w:t>
      </w:r>
      <w:r w:rsidR="00B268A8">
        <w:t>evaluation team and</w:t>
      </w:r>
      <w:r>
        <w:t xml:space="preserve"> provided to AIC and ICC Staff for review.</w:t>
      </w:r>
    </w:p>
    <w:p w14:paraId="0890B454" w14:textId="3C8B6243" w:rsidR="00B20501" w:rsidRDefault="00B20501" w:rsidP="00B20501">
      <w:pPr>
        <w:pStyle w:val="ListBullet"/>
      </w:pPr>
      <w:r w:rsidRPr="00B20501">
        <w:rPr>
          <w:b/>
          <w:bCs/>
        </w:rPr>
        <w:t>Non</w:t>
      </w:r>
      <w:r w:rsidR="00813763">
        <w:rPr>
          <w:b/>
          <w:bCs/>
        </w:rPr>
        <w:t>r</w:t>
      </w:r>
      <w:r w:rsidRPr="00B20501">
        <w:rPr>
          <w:b/>
          <w:bCs/>
        </w:rPr>
        <w:t xml:space="preserve">esponse </w:t>
      </w:r>
      <w:r w:rsidR="00AA2101">
        <w:rPr>
          <w:b/>
          <w:bCs/>
        </w:rPr>
        <w:t xml:space="preserve">and Self-Selection </w:t>
      </w:r>
      <w:r w:rsidRPr="00B20501">
        <w:rPr>
          <w:b/>
          <w:bCs/>
        </w:rPr>
        <w:t>Bias:</w:t>
      </w:r>
      <w:r>
        <w:t xml:space="preserve"> </w:t>
      </w:r>
      <w:r w:rsidR="00AA2101">
        <w:t xml:space="preserve">Survey efforts have </w:t>
      </w:r>
      <w:r w:rsidR="00B268A8">
        <w:t>the potential for non-response bias due to</w:t>
      </w:r>
      <w:r w:rsidR="00AA2101">
        <w:t xml:space="preserve"> possible differences between those who self-select to respond to surveys and those who do not</w:t>
      </w:r>
      <w:r>
        <w:t xml:space="preserve">. We attempted to mitigate </w:t>
      </w:r>
      <w:r w:rsidR="00AA2101">
        <w:t xml:space="preserve">this </w:t>
      </w:r>
      <w:r>
        <w:t>possible bias by sending multiple reminder emails at different times of the day and week</w:t>
      </w:r>
      <w:r w:rsidR="00AA2101">
        <w:t xml:space="preserve"> and by making training assessment surveys required for training completion</w:t>
      </w:r>
      <w:r>
        <w:t>.</w:t>
      </w:r>
    </w:p>
    <w:p w14:paraId="42832434" w14:textId="77777777" w:rsidR="00685354" w:rsidRDefault="00685354" w:rsidP="00685354">
      <w:pPr>
        <w:pStyle w:val="Heading1"/>
      </w:pPr>
      <w:bookmarkStart w:id="44" w:name="_Ref190104167"/>
      <w:bookmarkStart w:id="45" w:name="_Toc192240892"/>
      <w:r>
        <w:lastRenderedPageBreak/>
        <w:t>Detailed Findings</w:t>
      </w:r>
      <w:bookmarkEnd w:id="44"/>
      <w:bookmarkEnd w:id="45"/>
    </w:p>
    <w:p w14:paraId="14DC25E8" w14:textId="4983BF8A" w:rsidR="00FD24D9" w:rsidRDefault="00FD24D9" w:rsidP="00FD24D9">
      <w:r>
        <w:t>The following sections provide detailed findings from 2024 evaluation efforts.</w:t>
      </w:r>
    </w:p>
    <w:p w14:paraId="38718387" w14:textId="22595044" w:rsidR="00FD24D9" w:rsidRDefault="00FD24D9" w:rsidP="00FD24D9">
      <w:pPr>
        <w:pStyle w:val="Heading2"/>
      </w:pPr>
      <w:bookmarkStart w:id="46" w:name="_Toc192240893"/>
      <w:r>
        <w:t>Training Assessments</w:t>
      </w:r>
      <w:bookmarkEnd w:id="46"/>
    </w:p>
    <w:p w14:paraId="4653EAED" w14:textId="4F465F33" w:rsidR="004D5525" w:rsidRPr="004D5525" w:rsidRDefault="004D5525" w:rsidP="004D5525">
      <w:r>
        <w:t>The pre- and post-training assessment</w:t>
      </w:r>
      <w:r w:rsidR="001523C8">
        <w:t xml:space="preserve">s </w:t>
      </w:r>
      <w:r w:rsidR="000C1BB0">
        <w:t>captured input from</w:t>
      </w:r>
      <w:r w:rsidR="001523C8">
        <w:t xml:space="preserve"> individuals who participated in the </w:t>
      </w:r>
      <w:r w:rsidR="000D573F">
        <w:t>LLLC Pilot</w:t>
      </w:r>
      <w:r w:rsidR="001523C8">
        <w:t>’s 2024 in-person workshops and online training</w:t>
      </w:r>
      <w:r>
        <w:t xml:space="preserve">. </w:t>
      </w:r>
      <w:r w:rsidR="00A752A2">
        <w:t>A</w:t>
      </w:r>
      <w:r w:rsidR="007515D6">
        <w:t xml:space="preserve">ccording to attendee lists made available by implementation staff, </w:t>
      </w:r>
      <w:r w:rsidR="00D17A0C">
        <w:t xml:space="preserve">a total of </w:t>
      </w:r>
      <w:r w:rsidR="007515D6">
        <w:t>87</w:t>
      </w:r>
      <w:r w:rsidR="00A752A2">
        <w:t xml:space="preserve"> </w:t>
      </w:r>
      <w:r w:rsidR="00D17A0C">
        <w:t xml:space="preserve">individual </w:t>
      </w:r>
      <w:r w:rsidR="00A752A2">
        <w:t>participants attended at least one</w:t>
      </w:r>
      <w:r w:rsidR="000C1BB0">
        <w:t xml:space="preserve"> of the four</w:t>
      </w:r>
      <w:r w:rsidR="00A752A2">
        <w:t xml:space="preserve"> in-person workshop</w:t>
      </w:r>
      <w:r w:rsidR="000C1BB0">
        <w:t>s</w:t>
      </w:r>
      <w:r w:rsidR="00EC54D2">
        <w:t xml:space="preserve">, of whom 50 </w:t>
      </w:r>
      <w:r w:rsidR="00F52096">
        <w:t>completed the pre-training assessment</w:t>
      </w:r>
      <w:r w:rsidR="00A752A2">
        <w:t xml:space="preserve">. </w:t>
      </w:r>
      <w:r>
        <w:t>The</w:t>
      </w:r>
      <w:r w:rsidR="001523C8">
        <w:t xml:space="preserve">se participants </w:t>
      </w:r>
      <w:r>
        <w:t>included distributors (</w:t>
      </w:r>
      <w:r w:rsidR="002C3E2B">
        <w:t>20</w:t>
      </w:r>
      <w:r>
        <w:t>%</w:t>
      </w:r>
      <w:r w:rsidR="002C3E2B">
        <w:t>, n=10</w:t>
      </w:r>
      <w:r>
        <w:t>), facility managers (</w:t>
      </w:r>
      <w:r w:rsidR="002C3E2B">
        <w:t>20</w:t>
      </w:r>
      <w:r>
        <w:t>%</w:t>
      </w:r>
      <w:r w:rsidR="002C3E2B">
        <w:t>, n=10</w:t>
      </w:r>
      <w:r>
        <w:t>), contractors (</w:t>
      </w:r>
      <w:r w:rsidR="002C3E2B">
        <w:t>16</w:t>
      </w:r>
      <w:r>
        <w:t>%</w:t>
      </w:r>
      <w:r w:rsidR="002C3E2B">
        <w:t>, n=8</w:t>
      </w:r>
      <w:r>
        <w:t>), manufacturers (</w:t>
      </w:r>
      <w:r w:rsidR="002C3E2B">
        <w:t>14</w:t>
      </w:r>
      <w:r>
        <w:t>%</w:t>
      </w:r>
      <w:r w:rsidR="002C3E2B">
        <w:t>, n=7</w:t>
      </w:r>
      <w:r>
        <w:t>)</w:t>
      </w:r>
      <w:r w:rsidR="002C3E2B">
        <w:t>, and consultants (12%, n=6).</w:t>
      </w:r>
      <w:r>
        <w:t xml:space="preserve"> </w:t>
      </w:r>
      <w:r w:rsidR="00482A2F">
        <w:t xml:space="preserve">Pre-training survey respondents </w:t>
      </w:r>
      <w:r w:rsidR="00D17A0C">
        <w:t xml:space="preserve">also </w:t>
      </w:r>
      <w:r w:rsidR="00BC1FC0">
        <w:t>represented</w:t>
      </w:r>
      <w:r w:rsidR="00482A2F">
        <w:t xml:space="preserve"> companies of </w:t>
      </w:r>
      <w:r w:rsidR="00BC1FC0">
        <w:t xml:space="preserve">varying sizes with </w:t>
      </w:r>
      <w:r w:rsidR="00D17A0C">
        <w:t>50% (n=25)</w:t>
      </w:r>
      <w:r w:rsidR="00BC1FC0">
        <w:t xml:space="preserve"> coming</w:t>
      </w:r>
      <w:r w:rsidR="00D17A0C">
        <w:t xml:space="preserve"> from companies with fewer than ten employees and</w:t>
      </w:r>
      <w:r w:rsidR="00482A2F">
        <w:t xml:space="preserve"> 28% (n</w:t>
      </w:r>
      <w:r w:rsidR="00D17A0C">
        <w:t>=</w:t>
      </w:r>
      <w:r w:rsidR="00482A2F">
        <w:t xml:space="preserve">14) </w:t>
      </w:r>
      <w:r w:rsidR="00D17A0C">
        <w:t>from</w:t>
      </w:r>
      <w:r w:rsidR="00482A2F">
        <w:t xml:space="preserve"> companies with 500 </w:t>
      </w:r>
      <w:r w:rsidR="00D17A0C">
        <w:t xml:space="preserve">or more </w:t>
      </w:r>
      <w:r w:rsidR="00482A2F">
        <w:t>employees.</w:t>
      </w:r>
    </w:p>
    <w:p w14:paraId="2CF963FB" w14:textId="308B751E" w:rsidR="00FD24D9" w:rsidRDefault="00FD24D9" w:rsidP="00FD24D9">
      <w:pPr>
        <w:pStyle w:val="Heading4"/>
      </w:pPr>
      <w:r>
        <w:t>Knowledge and Familiarity</w:t>
      </w:r>
    </w:p>
    <w:p w14:paraId="78D580CA" w14:textId="5194CAB2" w:rsidR="00FD24D9" w:rsidRDefault="00C21C11" w:rsidP="00BC303F">
      <w:r>
        <w:t xml:space="preserve">As part of the training assessments, we asked respondents about their familiarity with </w:t>
      </w:r>
      <w:r w:rsidR="000C1BB0">
        <w:t>NLCs</w:t>
      </w:r>
      <w:r>
        <w:t xml:space="preserve"> and LLLCs. NLCs are lighting systems that rely on sensors and network interfaces to control luminaires, retrofit kits, or lamps. LLLCs are a subset of NLCs where controls and sensors are embedded within individual luminaires, providing particularly granular and customizable lighting control capabilities. </w:t>
      </w:r>
      <w:r w:rsidR="0044621D">
        <w:t xml:space="preserve">Prior to participating in </w:t>
      </w:r>
      <w:r w:rsidR="000D573F">
        <w:t>LLLC Pilot</w:t>
      </w:r>
      <w:r w:rsidR="0044621D">
        <w:t xml:space="preserve"> training, trade allies</w:t>
      </w:r>
      <w:r w:rsidR="004D5525">
        <w:t xml:space="preserve"> reported </w:t>
      </w:r>
      <w:r w:rsidR="0044621D">
        <w:t xml:space="preserve">limited </w:t>
      </w:r>
      <w:r w:rsidR="004D5525">
        <w:t xml:space="preserve">knowledge of NLCs and LLLCs. Nearly half (48%) of respondents said they had </w:t>
      </w:r>
      <w:r w:rsidR="0044621D">
        <w:t>little to no</w:t>
      </w:r>
      <w:r w:rsidR="004D5525">
        <w:t xml:space="preserve"> knowledge of NLCs</w:t>
      </w:r>
      <w:r w:rsidR="0044621D">
        <w:t xml:space="preserve">, and few considered themselves </w:t>
      </w:r>
      <w:r w:rsidR="004D5525">
        <w:t>knowledgeable about LLLCs or NLCs (10% and 12%</w:t>
      </w:r>
      <w:r w:rsidR="0044621D">
        <w:t>,</w:t>
      </w:r>
      <w:r w:rsidR="004D5525">
        <w:t xml:space="preserve"> respectively).</w:t>
      </w:r>
      <w:r w:rsidR="00E1409D">
        <w:t xml:space="preserve"> Despite this </w:t>
      </w:r>
      <w:r w:rsidR="00346B40">
        <w:t xml:space="preserve">somewhat limited level of </w:t>
      </w:r>
      <w:r w:rsidR="00E1409D">
        <w:t>self-reported</w:t>
      </w:r>
      <w:r w:rsidR="00346B40">
        <w:t xml:space="preserve"> </w:t>
      </w:r>
      <w:r w:rsidR="00E1409D">
        <w:t xml:space="preserve">knowledge of </w:t>
      </w:r>
      <w:r w:rsidR="00346B40">
        <w:t>LLLCs</w:t>
      </w:r>
      <w:r w:rsidR="00E1409D">
        <w:t>, a</w:t>
      </w:r>
      <w:r w:rsidR="00E1409D" w:rsidRPr="00E1409D">
        <w:t xml:space="preserve">bout three-quarters of participants </w:t>
      </w:r>
      <w:r w:rsidR="00346B40">
        <w:t xml:space="preserve">were able to accurately identify </w:t>
      </w:r>
      <w:r w:rsidR="00550BC7">
        <w:t xml:space="preserve">whether </w:t>
      </w:r>
      <w:r w:rsidR="00E1409D" w:rsidRPr="00E1409D">
        <w:t xml:space="preserve">configuring LLLCs </w:t>
      </w:r>
      <w:r w:rsidR="00550BC7">
        <w:t>requires</w:t>
      </w:r>
      <w:r w:rsidR="00E1409D" w:rsidRPr="00E1409D">
        <w:t xml:space="preserve"> access to </w:t>
      </w:r>
      <w:r w:rsidR="00550BC7">
        <w:t>every</w:t>
      </w:r>
      <w:r w:rsidR="00E1409D" w:rsidRPr="00E1409D">
        <w:t xml:space="preserve"> fixture (74%)</w:t>
      </w:r>
      <w:r w:rsidR="00346B40">
        <w:t xml:space="preserve"> as well as qualification requirements for AIC LLLC incentives</w:t>
      </w:r>
      <w:r w:rsidR="00E1409D" w:rsidRPr="00E1409D">
        <w:t xml:space="preserve"> (76</w:t>
      </w:r>
      <w:r w:rsidR="00346B40">
        <w:t>%)</w:t>
      </w:r>
      <w:r w:rsidR="00E1409D" w:rsidRPr="00E1409D">
        <w:t xml:space="preserve">. </w:t>
      </w:r>
      <w:r w:rsidR="00A752A2">
        <w:fldChar w:fldCharType="begin"/>
      </w:r>
      <w:r w:rsidR="00A752A2">
        <w:instrText xml:space="preserve"> REF _Ref188437892 \h </w:instrText>
      </w:r>
      <w:r w:rsidR="00A752A2">
        <w:fldChar w:fldCharType="separate"/>
      </w:r>
      <w:r w:rsidR="00D0329D">
        <w:t xml:space="preserve">Figure </w:t>
      </w:r>
      <w:r w:rsidR="00D0329D">
        <w:rPr>
          <w:noProof/>
        </w:rPr>
        <w:t>2</w:t>
      </w:r>
      <w:r w:rsidR="00A752A2">
        <w:fldChar w:fldCharType="end"/>
      </w:r>
      <w:r w:rsidR="004D5525">
        <w:t xml:space="preserve"> </w:t>
      </w:r>
      <w:r w:rsidR="00676E55">
        <w:t xml:space="preserve">summarizes pre-training survey </w:t>
      </w:r>
      <w:r w:rsidR="00435180">
        <w:t xml:space="preserve">respondents’ </w:t>
      </w:r>
      <w:r w:rsidR="00676E55">
        <w:t>self-reported rating of knowledge level regarding each technology on a six-point scale</w:t>
      </w:r>
      <w:r w:rsidR="004D5525">
        <w:t xml:space="preserve">. </w:t>
      </w:r>
    </w:p>
    <w:p w14:paraId="2997FD3A" w14:textId="29D6F0E7" w:rsidR="004D5525" w:rsidRDefault="004D5525" w:rsidP="00287BC8">
      <w:pPr>
        <w:pStyle w:val="Caption"/>
      </w:pPr>
      <w:bookmarkStart w:id="47" w:name="_Ref188437892"/>
      <w:bookmarkStart w:id="48" w:name="_Toc192173115"/>
      <w:r>
        <w:t xml:space="preserve">Figure </w:t>
      </w:r>
      <w:r w:rsidR="00866313">
        <w:fldChar w:fldCharType="begin"/>
      </w:r>
      <w:r w:rsidR="00866313">
        <w:instrText xml:space="preserve"> SEQ Figure \* ARABIC </w:instrText>
      </w:r>
      <w:r w:rsidR="00866313">
        <w:fldChar w:fldCharType="separate"/>
      </w:r>
      <w:r w:rsidR="00D0329D">
        <w:rPr>
          <w:noProof/>
        </w:rPr>
        <w:t>2</w:t>
      </w:r>
      <w:r w:rsidR="00866313">
        <w:fldChar w:fldCharType="end"/>
      </w:r>
      <w:bookmarkEnd w:id="47"/>
      <w:r>
        <w:t xml:space="preserve">. Pre-Training Self-Reported </w:t>
      </w:r>
      <w:r w:rsidR="00D649A2">
        <w:t>LLLC</w:t>
      </w:r>
      <w:r w:rsidR="00BA3C25">
        <w:t xml:space="preserve"> </w:t>
      </w:r>
      <w:r w:rsidR="000C1BB0">
        <w:t xml:space="preserve">and NLC </w:t>
      </w:r>
      <w:r>
        <w:t>Knowledge (n=50)</w:t>
      </w:r>
      <w:bookmarkEnd w:id="48"/>
    </w:p>
    <w:p w14:paraId="622117B9" w14:textId="19256A7E" w:rsidR="00A752A2" w:rsidRPr="00287BC8" w:rsidRDefault="00A752A2" w:rsidP="00287BC8">
      <w:pPr>
        <w:jc w:val="center"/>
      </w:pPr>
      <w:r w:rsidRPr="00287BC8">
        <w:rPr>
          <w:noProof/>
        </w:rPr>
        <w:drawing>
          <wp:inline distT="0" distB="0" distL="0" distR="0" wp14:anchorId="4E82FCFB" wp14:editId="2333E6AE">
            <wp:extent cx="5365115" cy="1365885"/>
            <wp:effectExtent l="0" t="0" r="6985" b="5715"/>
            <wp:docPr id="14692270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65115" cy="1365885"/>
                    </a:xfrm>
                    <a:prstGeom prst="rect">
                      <a:avLst/>
                    </a:prstGeom>
                    <a:noFill/>
                  </pic:spPr>
                </pic:pic>
              </a:graphicData>
            </a:graphic>
          </wp:inline>
        </w:drawing>
      </w:r>
    </w:p>
    <w:p w14:paraId="3A6D8C29" w14:textId="63AF79BF" w:rsidR="004D5525" w:rsidRDefault="0044621D" w:rsidP="00763818">
      <w:pPr>
        <w:keepNext/>
        <w:keepLines/>
      </w:pPr>
      <w:r>
        <w:lastRenderedPageBreak/>
        <w:t>Following completion of the in-person workshop and online training, respondents reported a statistically significant</w:t>
      </w:r>
      <w:r w:rsidR="004D5525">
        <w:t xml:space="preserve"> increase </w:t>
      </w:r>
      <w:r w:rsidR="006573A2" w:rsidRPr="0037704A">
        <w:t>(</w:t>
      </w:r>
      <w:r w:rsidR="006573A2" w:rsidRPr="0037704A">
        <w:rPr>
          <w:i/>
          <w:iCs/>
        </w:rPr>
        <w:t>p</w:t>
      </w:r>
      <w:r w:rsidR="006573A2" w:rsidRPr="0037704A">
        <w:t xml:space="preserve">&lt;0.10) </w:t>
      </w:r>
      <w:r w:rsidR="004D5525">
        <w:t xml:space="preserve">in knowledge of both technologies. </w:t>
      </w:r>
      <w:r w:rsidR="00435180">
        <w:t xml:space="preserve">The </w:t>
      </w:r>
      <w:r w:rsidR="00F95626">
        <w:t xml:space="preserve">post-training </w:t>
      </w:r>
      <w:r w:rsidR="00435180">
        <w:t>survey</w:t>
      </w:r>
      <w:r w:rsidR="00E1409D">
        <w:t xml:space="preserve"> respondents reported a 4</w:t>
      </w:r>
      <w:r w:rsidR="0049742A">
        <w:t>1</w:t>
      </w:r>
      <w:r w:rsidR="00E1409D">
        <w:t xml:space="preserve">% increase in LLLC knowledge and </w:t>
      </w:r>
      <w:r w:rsidR="00435180">
        <w:t>a 5</w:t>
      </w:r>
      <w:r w:rsidR="0049742A">
        <w:t>2</w:t>
      </w:r>
      <w:r w:rsidR="00D649A2">
        <w:t xml:space="preserve">% </w:t>
      </w:r>
      <w:r w:rsidR="00435180">
        <w:t xml:space="preserve">increase in NLC knowledge </w:t>
      </w:r>
      <w:r w:rsidR="00E1409D">
        <w:t xml:space="preserve">based on their mean knowledge ratings. </w:t>
      </w:r>
      <w:r w:rsidR="0037704A">
        <w:t>Following the training, r</w:t>
      </w:r>
      <w:r w:rsidR="00E1409D">
        <w:t xml:space="preserve">espondents also reported a 50% increase in confidence selling LLLCs. </w:t>
      </w:r>
      <w:r w:rsidR="00B76F85">
        <w:t xml:space="preserve">Post-training respondents also </w:t>
      </w:r>
      <w:r w:rsidR="001523C8">
        <w:t>demonstrated</w:t>
      </w:r>
      <w:r w:rsidR="00B76F85">
        <w:t xml:space="preserve"> a general understanding of LLLC benefits</w:t>
      </w:r>
      <w:r w:rsidR="001523C8">
        <w:t>, with s</w:t>
      </w:r>
      <w:r w:rsidR="00B76F85">
        <w:t>even of the eight mention</w:t>
      </w:r>
      <w:r w:rsidR="001523C8">
        <w:t>ing</w:t>
      </w:r>
      <w:r w:rsidR="00B76F85">
        <w:t xml:space="preserve"> energy savings and three</w:t>
      </w:r>
      <w:r w:rsidR="001523C8">
        <w:t xml:space="preserve"> acknowledging</w:t>
      </w:r>
      <w:r w:rsidR="00B76F85">
        <w:t xml:space="preserve"> improved lighting quality </w:t>
      </w:r>
      <w:r w:rsidR="001523C8">
        <w:t>for</w:t>
      </w:r>
      <w:r w:rsidR="00B76F85">
        <w:t xml:space="preserve"> the controlled area. </w:t>
      </w:r>
      <w:r w:rsidR="00D649A2">
        <w:t>N</w:t>
      </w:r>
      <w:r w:rsidR="0049742A">
        <w:t xml:space="preserve">ote that these findings </w:t>
      </w:r>
      <w:r w:rsidR="00D649A2">
        <w:t>reflect feedback from</w:t>
      </w:r>
      <w:r w:rsidR="0049742A">
        <w:t xml:space="preserve"> a sample of </w:t>
      </w:r>
      <w:r w:rsidR="0037704A">
        <w:t xml:space="preserve">only </w:t>
      </w:r>
      <w:r w:rsidR="0049742A">
        <w:t xml:space="preserve">eight </w:t>
      </w:r>
      <w:r w:rsidR="0037704A">
        <w:t xml:space="preserve">post-training </w:t>
      </w:r>
      <w:r w:rsidR="0049742A">
        <w:t>survey respondents</w:t>
      </w:r>
      <w:r w:rsidR="00D649A2">
        <w:t xml:space="preserve"> and</w:t>
      </w:r>
      <w:r w:rsidR="00B268A8">
        <w:t>, therefore,</w:t>
      </w:r>
      <w:r w:rsidR="00D649A2">
        <w:t xml:space="preserve"> may not reliably represent the perspectives of all training participants</w:t>
      </w:r>
      <w:r w:rsidR="0049742A">
        <w:t xml:space="preserve">. </w:t>
      </w:r>
      <w:r w:rsidR="00A752A2">
        <w:fldChar w:fldCharType="begin"/>
      </w:r>
      <w:r w:rsidR="00A752A2">
        <w:instrText xml:space="preserve"> REF _Ref188444634 \h </w:instrText>
      </w:r>
      <w:r w:rsidR="00A752A2">
        <w:fldChar w:fldCharType="separate"/>
      </w:r>
      <w:r w:rsidR="00D0329D">
        <w:t xml:space="preserve">Figure </w:t>
      </w:r>
      <w:r w:rsidR="00D0329D">
        <w:rPr>
          <w:noProof/>
        </w:rPr>
        <w:t>3</w:t>
      </w:r>
      <w:r w:rsidR="00A752A2">
        <w:fldChar w:fldCharType="end"/>
      </w:r>
      <w:r w:rsidR="00B76F85">
        <w:t xml:space="preserve"> </w:t>
      </w:r>
      <w:r w:rsidR="00435180">
        <w:t xml:space="preserve">illustrates the </w:t>
      </w:r>
      <w:r w:rsidR="001523C8">
        <w:t>training participants’ self-reported level</w:t>
      </w:r>
      <w:r w:rsidR="00B76F85">
        <w:t xml:space="preserve"> </w:t>
      </w:r>
      <w:r w:rsidR="001523C8">
        <w:t xml:space="preserve">of </w:t>
      </w:r>
      <w:r w:rsidR="00B76F85">
        <w:t xml:space="preserve">knowledge </w:t>
      </w:r>
      <w:r w:rsidR="001523C8">
        <w:t>regarding</w:t>
      </w:r>
      <w:r w:rsidR="00B76F85">
        <w:t xml:space="preserve"> each technology</w:t>
      </w:r>
      <w:r w:rsidR="00F95626">
        <w:t xml:space="preserve"> following AIC training</w:t>
      </w:r>
      <w:r w:rsidR="00B76F85">
        <w:t>.</w:t>
      </w:r>
    </w:p>
    <w:p w14:paraId="49892D6E" w14:textId="29891A4E" w:rsidR="00DA5779" w:rsidRDefault="00DA5779" w:rsidP="00287BC8">
      <w:pPr>
        <w:pStyle w:val="Caption"/>
      </w:pPr>
      <w:bookmarkStart w:id="49" w:name="_Ref188444634"/>
      <w:bookmarkStart w:id="50" w:name="_Toc192173116"/>
      <w:r>
        <w:t xml:space="preserve">Figure </w:t>
      </w:r>
      <w:r w:rsidR="00866313">
        <w:fldChar w:fldCharType="begin"/>
      </w:r>
      <w:r w:rsidR="00866313">
        <w:instrText xml:space="preserve"> SEQ Figure \* ARABIC </w:instrText>
      </w:r>
      <w:r w:rsidR="00866313">
        <w:fldChar w:fldCharType="separate"/>
      </w:r>
      <w:r w:rsidR="00D0329D">
        <w:rPr>
          <w:noProof/>
        </w:rPr>
        <w:t>3</w:t>
      </w:r>
      <w:r w:rsidR="00866313">
        <w:fldChar w:fldCharType="end"/>
      </w:r>
      <w:bookmarkEnd w:id="49"/>
      <w:r>
        <w:t xml:space="preserve">. Post-Training Self-Reported </w:t>
      </w:r>
      <w:r w:rsidR="00D649A2">
        <w:t>LLLC</w:t>
      </w:r>
      <w:r w:rsidR="00BA3C25">
        <w:t xml:space="preserve"> </w:t>
      </w:r>
      <w:r w:rsidR="000C1BB0">
        <w:t xml:space="preserve">and NLC </w:t>
      </w:r>
      <w:r>
        <w:t>Knowledge (n=8)</w:t>
      </w:r>
      <w:bookmarkEnd w:id="50"/>
    </w:p>
    <w:p w14:paraId="534CB07E" w14:textId="41B0F123" w:rsidR="00A752A2" w:rsidRPr="00287BC8" w:rsidRDefault="00A752A2" w:rsidP="00287BC8">
      <w:pPr>
        <w:jc w:val="center"/>
      </w:pPr>
      <w:r w:rsidRPr="00287BC8">
        <w:rPr>
          <w:noProof/>
        </w:rPr>
        <w:drawing>
          <wp:inline distT="0" distB="0" distL="0" distR="0" wp14:anchorId="2B0E5F3C" wp14:editId="66BB7CD5">
            <wp:extent cx="5487035" cy="1365885"/>
            <wp:effectExtent l="0" t="0" r="0" b="5715"/>
            <wp:docPr id="3005503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7035" cy="1365885"/>
                    </a:xfrm>
                    <a:prstGeom prst="rect">
                      <a:avLst/>
                    </a:prstGeom>
                    <a:noFill/>
                  </pic:spPr>
                </pic:pic>
              </a:graphicData>
            </a:graphic>
          </wp:inline>
        </w:drawing>
      </w:r>
    </w:p>
    <w:p w14:paraId="7F01209D" w14:textId="395D0140" w:rsidR="00FD24D9" w:rsidRDefault="00FD24D9" w:rsidP="00FD24D9">
      <w:pPr>
        <w:pStyle w:val="Heading4"/>
      </w:pPr>
      <w:r>
        <w:t>Training Feedback</w:t>
      </w:r>
    </w:p>
    <w:p w14:paraId="1F198053" w14:textId="2986F0F7" w:rsidR="004B4F67" w:rsidRDefault="00435180" w:rsidP="00BC303F">
      <w:r>
        <w:t>Seven of the eight post-training survey respondents</w:t>
      </w:r>
      <w:r w:rsidR="00DB24C1">
        <w:t xml:space="preserve"> </w:t>
      </w:r>
      <w:r w:rsidR="001523C8">
        <w:t>indicated</w:t>
      </w:r>
      <w:r w:rsidR="00DB24C1">
        <w:t xml:space="preserve"> </w:t>
      </w:r>
      <w:r w:rsidR="004B4F67">
        <w:t>they</w:t>
      </w:r>
      <w:r w:rsidR="00DB24C1">
        <w:t xml:space="preserve"> were satisfied with the online training course. Three respondents said they appreciated the thoroughness of the course content and the level of detail in the modules. The only respondent dissatisfied with the online course suggested additional case studies for LLLC applications. </w:t>
      </w:r>
      <w:r w:rsidR="004B4F67">
        <w:t xml:space="preserve">Seven respondents also </w:t>
      </w:r>
      <w:r w:rsidR="001523C8">
        <w:t>acknowledged</w:t>
      </w:r>
      <w:r w:rsidR="004B4F67">
        <w:t xml:space="preserve"> that the online training </w:t>
      </w:r>
      <w:r w:rsidR="00070075">
        <w:t xml:space="preserve">course </w:t>
      </w:r>
      <w:r w:rsidR="004B4F67">
        <w:t xml:space="preserve">improved their ability to </w:t>
      </w:r>
      <w:r w:rsidR="00070075">
        <w:t xml:space="preserve">sell, install, and set up LLLC systems. </w:t>
      </w:r>
    </w:p>
    <w:p w14:paraId="63DF0CF6" w14:textId="218546D3" w:rsidR="00FD24D9" w:rsidRDefault="00DB24C1" w:rsidP="00BC303F">
      <w:r>
        <w:t xml:space="preserve">Similarly, seven of the eight respondents </w:t>
      </w:r>
      <w:r w:rsidR="001523C8">
        <w:t>also reported satisfaction</w:t>
      </w:r>
      <w:r>
        <w:t xml:space="preserve"> with the in-person workshop. One respondent said seeing the system interface and having capabilities explained in real-time was particularly beneficial. Another acknowledge</w:t>
      </w:r>
      <w:r w:rsidR="00F23FDE">
        <w:t>d</w:t>
      </w:r>
      <w:r>
        <w:t xml:space="preserve"> that it </w:t>
      </w:r>
      <w:r w:rsidR="00B268A8">
        <w:t>provided a great opportunity</w:t>
      </w:r>
      <w:r>
        <w:t xml:space="preserve"> to connect with other industry professionals. </w:t>
      </w:r>
      <w:r w:rsidR="00070075">
        <w:t>However, respondents were split on which training they found most improved their ability to sell, install, and set up LLLC systems. Four said the in-person workshop was more beneficial</w:t>
      </w:r>
      <w:r w:rsidR="00435180">
        <w:t>. In contrast,</w:t>
      </w:r>
      <w:r w:rsidR="00070075">
        <w:t xml:space="preserve"> three said the online training was more beneficial</w:t>
      </w:r>
      <w:r w:rsidR="00DE053A">
        <w:t>, highlighting</w:t>
      </w:r>
      <w:r w:rsidR="00F23FDE">
        <w:t xml:space="preserve"> the value of </w:t>
      </w:r>
      <w:r w:rsidR="00DE053A">
        <w:t>making</w:t>
      </w:r>
      <w:r w:rsidR="00F23FDE">
        <w:t xml:space="preserve"> both </w:t>
      </w:r>
      <w:r w:rsidR="00435180">
        <w:t xml:space="preserve">options available to the range of </w:t>
      </w:r>
      <w:r w:rsidR="00F23FDE">
        <w:t>trade allies involved in recommending, selling, and installing lighting equipment.</w:t>
      </w:r>
    </w:p>
    <w:p w14:paraId="7F56A61A" w14:textId="224D4D09" w:rsidR="00FD24D9" w:rsidRDefault="00FD24D9" w:rsidP="00763818">
      <w:pPr>
        <w:pStyle w:val="Heading2"/>
      </w:pPr>
      <w:bookmarkStart w:id="51" w:name="_Toc192240894"/>
      <w:r>
        <w:lastRenderedPageBreak/>
        <w:t>Market Actor Research</w:t>
      </w:r>
      <w:bookmarkEnd w:id="51"/>
    </w:p>
    <w:p w14:paraId="51CFE3B4" w14:textId="77777777" w:rsidR="00763818" w:rsidRDefault="0044621D" w:rsidP="00763818">
      <w:pPr>
        <w:keepNext/>
        <w:keepLines/>
      </w:pPr>
      <w:r>
        <w:t>Customer survey respondents</w:t>
      </w:r>
      <w:r w:rsidR="0037704A">
        <w:t xml:space="preserve"> (n=353)</w:t>
      </w:r>
      <w:r>
        <w:t xml:space="preserve"> represent a variety of sectors and </w:t>
      </w:r>
      <w:r w:rsidR="00D649A2">
        <w:t>own/operate facilities</w:t>
      </w:r>
      <w:r w:rsidR="00B268A8">
        <w:t>,</w:t>
      </w:r>
      <w:r w:rsidR="00D649A2">
        <w:t xml:space="preserve"> </w:t>
      </w:r>
      <w:r>
        <w:t xml:space="preserve">including </w:t>
      </w:r>
      <w:r w:rsidR="00DC6266">
        <w:t>multifamily housing (14%</w:t>
      </w:r>
      <w:r w:rsidR="004C2184">
        <w:t>, n=50</w:t>
      </w:r>
      <w:r w:rsidR="00DC6266">
        <w:t>), professional services (12%</w:t>
      </w:r>
      <w:r w:rsidR="00C4109F">
        <w:t>, n=41</w:t>
      </w:r>
      <w:r w:rsidR="00DC6266">
        <w:t>), trade services (12%</w:t>
      </w:r>
      <w:r w:rsidR="00C4109F">
        <w:t>, n=43</w:t>
      </w:r>
      <w:r w:rsidR="00DC6266">
        <w:t>), and agriculture (11%</w:t>
      </w:r>
      <w:r w:rsidR="00C4109F">
        <w:t>, n-40</w:t>
      </w:r>
      <w:r w:rsidR="00DC6266">
        <w:t>). About half (56%</w:t>
      </w:r>
      <w:r w:rsidR="00C4109F">
        <w:t>, n=199</w:t>
      </w:r>
      <w:r w:rsidR="00DC6266">
        <w:t>) have one business location</w:t>
      </w:r>
      <w:r w:rsidR="00435180">
        <w:t>,</w:t>
      </w:r>
      <w:r w:rsidR="00DC6266">
        <w:t xml:space="preserve"> and most (80%</w:t>
      </w:r>
      <w:r w:rsidR="00C4109F">
        <w:t>, n=284</w:t>
      </w:r>
      <w:r w:rsidR="00DC6266">
        <w:t xml:space="preserve">) pay their facility’s </w:t>
      </w:r>
      <w:r w:rsidR="00C4109F">
        <w:t xml:space="preserve">full </w:t>
      </w:r>
      <w:r w:rsidR="00DC6266">
        <w:t xml:space="preserve">electric bill. </w:t>
      </w:r>
    </w:p>
    <w:p w14:paraId="1F5BF0B1" w14:textId="21018173" w:rsidR="00DC6266" w:rsidRPr="00DC6266" w:rsidRDefault="0044621D" w:rsidP="00763818">
      <w:pPr>
        <w:keepNext/>
        <w:keepLines/>
      </w:pPr>
      <w:r>
        <w:t xml:space="preserve">Trade ally survey respondents </w:t>
      </w:r>
      <w:r w:rsidR="00D649A2">
        <w:t>similarly represent a variety of professions and roles</w:t>
      </w:r>
      <w:r w:rsidR="00B268A8">
        <w:t>,</w:t>
      </w:r>
      <w:r>
        <w:t xml:space="preserve"> including </w:t>
      </w:r>
      <w:r w:rsidR="00EA1627">
        <w:t>sales representatives (35%</w:t>
      </w:r>
      <w:r w:rsidR="00C4109F">
        <w:t>, n=13</w:t>
      </w:r>
      <w:r w:rsidR="00EA1627">
        <w:t>), lighting contractors (30%</w:t>
      </w:r>
      <w:r w:rsidR="00C4109F">
        <w:t>, n=11</w:t>
      </w:r>
      <w:r w:rsidR="00EA1627">
        <w:t>), and distributors (30%</w:t>
      </w:r>
      <w:r w:rsidR="00C4109F">
        <w:t>, n=11</w:t>
      </w:r>
      <w:r w:rsidR="00EA1627">
        <w:t xml:space="preserve">). </w:t>
      </w:r>
      <w:r>
        <w:t>To qualify for the survey, trade allies needed to install, sell, or recommend lighting products, and most also</w:t>
      </w:r>
      <w:r w:rsidR="00EA1627">
        <w:t xml:space="preserve"> reported working with lighting controls (92%</w:t>
      </w:r>
      <w:r w:rsidR="00C4109F">
        <w:t>, n=34</w:t>
      </w:r>
      <w:r w:rsidR="00EA1627">
        <w:t>).</w:t>
      </w:r>
    </w:p>
    <w:p w14:paraId="51588F35" w14:textId="1A02B76D" w:rsidR="00BC303F" w:rsidRDefault="00BC303F" w:rsidP="0037704A">
      <w:pPr>
        <w:pStyle w:val="Heading4"/>
        <w:keepNext/>
        <w:keepLines/>
      </w:pPr>
      <w:r>
        <w:t>Awareness and Familiarity</w:t>
      </w:r>
    </w:p>
    <w:p w14:paraId="6C7866DA" w14:textId="1A78753F" w:rsidR="00912E7C" w:rsidRDefault="00BE7873" w:rsidP="00BC303F">
      <w:r>
        <w:rPr>
          <w:noProof/>
        </w:rPr>
        <mc:AlternateContent>
          <mc:Choice Requires="wps">
            <w:drawing>
              <wp:anchor distT="0" distB="0" distL="114300" distR="114300" simplePos="0" relativeHeight="251656190" behindDoc="0" locked="0" layoutInCell="1" allowOverlap="1" wp14:anchorId="16B3E390" wp14:editId="52C400B9">
                <wp:simplePos x="0" y="0"/>
                <wp:positionH relativeFrom="margin">
                  <wp:posOffset>4231005</wp:posOffset>
                </wp:positionH>
                <wp:positionV relativeFrom="paragraph">
                  <wp:posOffset>7620</wp:posOffset>
                </wp:positionV>
                <wp:extent cx="2708910" cy="1028700"/>
                <wp:effectExtent l="0" t="0" r="0" b="0"/>
                <wp:wrapThrough wrapText="bothSides">
                  <wp:wrapPolygon edited="0">
                    <wp:start x="0" y="0"/>
                    <wp:lineTo x="0" y="21200"/>
                    <wp:lineTo x="21418" y="21200"/>
                    <wp:lineTo x="21418" y="0"/>
                    <wp:lineTo x="0" y="0"/>
                  </wp:wrapPolygon>
                </wp:wrapThrough>
                <wp:docPr id="200" name="Text Box 200"/>
                <wp:cNvGraphicFramePr/>
                <a:graphic xmlns:a="http://schemas.openxmlformats.org/drawingml/2006/main">
                  <a:graphicData uri="http://schemas.microsoft.com/office/word/2010/wordprocessingShape">
                    <wps:wsp>
                      <wps:cNvSpPr txBox="1"/>
                      <wps:spPr>
                        <a:xfrm>
                          <a:off x="0" y="0"/>
                          <a:ext cx="2708910" cy="1028700"/>
                        </a:xfrm>
                        <a:prstGeom prst="rect">
                          <a:avLst/>
                        </a:prstGeom>
                        <a:solidFill>
                          <a:srgbClr val="DDE8F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295187" w14:textId="77F90261" w:rsidR="004972E7" w:rsidRPr="00D0329D" w:rsidRDefault="004972E7" w:rsidP="00BE7873">
                            <w:pPr>
                              <w:pBdr>
                                <w:top w:val="single" w:sz="12" w:space="4" w:color="809EDC" w:themeColor="accent1" w:themeTint="66"/>
                              </w:pBdr>
                              <w:spacing w:after="0"/>
                              <w:rPr>
                                <w:rFonts w:ascii="Franklin Gothic Medium" w:hAnsi="Franklin Gothic Medium"/>
                                <w:i/>
                                <w:iCs/>
                                <w:color w:val="6B9BDE" w:themeColor="accent2" w:themeTint="99"/>
                              </w:rPr>
                            </w:pPr>
                            <w:r w:rsidRPr="00D0329D">
                              <w:rPr>
                                <w:rStyle w:val="SubtleEmphasis"/>
                                <w:color w:val="5661AC" w:themeColor="accent5"/>
                              </w:rPr>
                              <w:t>MPI I 2027 Target</w:t>
                            </w:r>
                            <w:r w:rsidRPr="00D0329D">
                              <w:rPr>
                                <w:rFonts w:ascii="Franklin Gothic Medium" w:hAnsi="Franklin Gothic Medium"/>
                                <w:i/>
                                <w:iCs/>
                                <w:color w:val="6B9BDE" w:themeColor="accent2" w:themeTint="99"/>
                              </w:rPr>
                              <w:t>: 50% customer awareness and 95% trade ally awareness</w:t>
                            </w:r>
                          </w:p>
                          <w:p w14:paraId="1A19A175" w14:textId="77777777" w:rsidR="00BE7873" w:rsidRPr="00D0329D" w:rsidRDefault="00BE7873" w:rsidP="00BE7873">
                            <w:pPr>
                              <w:pBdr>
                                <w:top w:val="single" w:sz="12" w:space="4" w:color="809EDC" w:themeColor="accent1" w:themeTint="66"/>
                              </w:pBdr>
                              <w:spacing w:after="0"/>
                              <w:rPr>
                                <w:rFonts w:ascii="Franklin Gothic Medium" w:hAnsi="Franklin Gothic Medium"/>
                                <w:i/>
                                <w:iCs/>
                                <w:color w:val="6B9BDE" w:themeColor="accent2" w:themeTint="99"/>
                                <w:sz w:val="10"/>
                                <w:szCs w:val="10"/>
                              </w:rPr>
                            </w:pPr>
                          </w:p>
                          <w:p w14:paraId="01F13A47" w14:textId="26DD3308" w:rsidR="004972E7" w:rsidRPr="00D0329D" w:rsidRDefault="004972E7" w:rsidP="00BE7873">
                            <w:pPr>
                              <w:pBdr>
                                <w:top w:val="single" w:sz="12" w:space="4" w:color="809EDC" w:themeColor="accent1" w:themeTint="66"/>
                              </w:pBdr>
                              <w:spacing w:after="0"/>
                              <w:rPr>
                                <w:rFonts w:ascii="Franklin Gothic Medium" w:hAnsi="Franklin Gothic Medium"/>
                                <w:i/>
                                <w:iCs/>
                                <w:caps/>
                                <w:color w:val="6B9BDE" w:themeColor="accent2" w:themeTint="99"/>
                              </w:rPr>
                            </w:pPr>
                            <w:r w:rsidRPr="00D0329D">
                              <w:rPr>
                                <w:rStyle w:val="SubtleEmphasis"/>
                                <w:color w:val="5661AC" w:themeColor="accent5"/>
                              </w:rPr>
                              <w:t>MPI II 2027 Target</w:t>
                            </w:r>
                            <w:r w:rsidRPr="00D0329D">
                              <w:rPr>
                                <w:rFonts w:ascii="Franklin Gothic Medium" w:hAnsi="Franklin Gothic Medium"/>
                                <w:i/>
                                <w:iCs/>
                                <w:color w:val="5661AC" w:themeColor="accent5"/>
                              </w:rPr>
                              <w:t xml:space="preserve">: </w:t>
                            </w:r>
                            <w:r w:rsidRPr="00D0329D">
                              <w:rPr>
                                <w:rFonts w:ascii="Franklin Gothic Medium" w:hAnsi="Franklin Gothic Medium"/>
                                <w:i/>
                                <w:iCs/>
                                <w:color w:val="6B9BDE" w:themeColor="accent2" w:themeTint="99"/>
                              </w:rPr>
                              <w:t>70% mean familiarity rating for trade allies and customers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3E390" id="Text Box 200" o:spid="_x0000_s1027" type="#_x0000_t202" style="position:absolute;margin-left:333.15pt;margin-top:.6pt;width:213.3pt;height:81pt;z-index:2516561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" fillcolor="#dde8f7" stroked="f" strokeweight=".5pt">
                <v:textbox inset=",7.2pt,,0">
                  <w:txbxContent>
                    <w:p w14:paraId="10295187" w14:textId="77F90261" w:rsidR="004972E7" w:rsidRPr="00D0329D" w:rsidRDefault="004972E7" w:rsidP="00BE7873">
                      <w:pPr>
                        <w:pBdr>
                          <w:top w:val="single" w:sz="12" w:space="4" w:color="809EDC" w:themeColor="accent1" w:themeTint="66"/>
                        </w:pBdr>
                        <w:spacing w:after="0"/>
                        <w:rPr>
                          <w:rFonts w:ascii="Franklin Gothic Medium" w:hAnsi="Franklin Gothic Medium"/>
                          <w:i/>
                          <w:iCs/>
                          <w:color w:val="6B9BDE" w:themeColor="accent2" w:themeTint="99"/>
                        </w:rPr>
                      </w:pPr>
                      <w:r w:rsidRPr="00D0329D">
                        <w:rPr>
                          <w:rStyle w:val="SubtleEmphasis"/>
                          <w:color w:val="5661AC" w:themeColor="accent5"/>
                        </w:rPr>
                        <w:t>MPI I 2027 Target</w:t>
                      </w:r>
                      <w:r w:rsidRPr="00D0329D">
                        <w:rPr>
                          <w:rFonts w:ascii="Franklin Gothic Medium" w:hAnsi="Franklin Gothic Medium"/>
                          <w:i/>
                          <w:iCs/>
                          <w:color w:val="6B9BDE" w:themeColor="accent2" w:themeTint="99"/>
                        </w:rPr>
                        <w:t>: 50% customer awareness and 95% trade ally awareness</w:t>
                      </w:r>
                    </w:p>
                    <w:p w14:paraId="1A19A175" w14:textId="77777777" w:rsidR="00BE7873" w:rsidRPr="00D0329D" w:rsidRDefault="00BE7873" w:rsidP="00BE7873">
                      <w:pPr>
                        <w:pBdr>
                          <w:top w:val="single" w:sz="12" w:space="4" w:color="809EDC" w:themeColor="accent1" w:themeTint="66"/>
                        </w:pBdr>
                        <w:spacing w:after="0"/>
                        <w:rPr>
                          <w:rFonts w:ascii="Franklin Gothic Medium" w:hAnsi="Franklin Gothic Medium"/>
                          <w:i/>
                          <w:iCs/>
                          <w:color w:val="6B9BDE" w:themeColor="accent2" w:themeTint="99"/>
                          <w:sz w:val="10"/>
                          <w:szCs w:val="10"/>
                        </w:rPr>
                      </w:pPr>
                    </w:p>
                    <w:p w14:paraId="01F13A47" w14:textId="26DD3308" w:rsidR="004972E7" w:rsidRPr="00D0329D" w:rsidRDefault="004972E7" w:rsidP="00BE7873">
                      <w:pPr>
                        <w:pBdr>
                          <w:top w:val="single" w:sz="12" w:space="4" w:color="809EDC" w:themeColor="accent1" w:themeTint="66"/>
                        </w:pBdr>
                        <w:spacing w:after="0"/>
                        <w:rPr>
                          <w:rFonts w:ascii="Franklin Gothic Medium" w:hAnsi="Franklin Gothic Medium"/>
                          <w:i/>
                          <w:iCs/>
                          <w:caps/>
                          <w:color w:val="6B9BDE" w:themeColor="accent2" w:themeTint="99"/>
                        </w:rPr>
                      </w:pPr>
                      <w:r w:rsidRPr="00D0329D">
                        <w:rPr>
                          <w:rStyle w:val="SubtleEmphasis"/>
                          <w:color w:val="5661AC" w:themeColor="accent5"/>
                        </w:rPr>
                        <w:t>MPI II 2027 Target</w:t>
                      </w:r>
                      <w:r w:rsidRPr="00D0329D">
                        <w:rPr>
                          <w:rFonts w:ascii="Franklin Gothic Medium" w:hAnsi="Franklin Gothic Medium"/>
                          <w:i/>
                          <w:iCs/>
                          <w:color w:val="5661AC" w:themeColor="accent5"/>
                        </w:rPr>
                        <w:t xml:space="preserve">: </w:t>
                      </w:r>
                      <w:r w:rsidRPr="00D0329D">
                        <w:rPr>
                          <w:rFonts w:ascii="Franklin Gothic Medium" w:hAnsi="Franklin Gothic Medium"/>
                          <w:i/>
                          <w:iCs/>
                          <w:color w:val="6B9BDE" w:themeColor="accent2" w:themeTint="99"/>
                        </w:rPr>
                        <w:t>70% mean familiarity rating for trade allies and customers</w:t>
                      </w:r>
                    </w:p>
                  </w:txbxContent>
                </v:textbox>
                <w10:wrap type="through" anchorx="margin"/>
              </v:shape>
            </w:pict>
          </mc:Fallback>
        </mc:AlternateContent>
      </w:r>
      <w:r w:rsidR="00E10811" w:rsidRPr="00E10811">
        <w:t xml:space="preserve">At least one-third of customers surveyed </w:t>
      </w:r>
      <w:r w:rsidR="00190CB1">
        <w:t>indicated they were</w:t>
      </w:r>
      <w:r w:rsidR="00E10811" w:rsidRPr="00E10811">
        <w:t xml:space="preserve"> aware of LLLCs (36%) and NLCs (47%). Customers reported </w:t>
      </w:r>
      <w:r w:rsidR="00190CB1">
        <w:t>an average LLLC familiarity level of</w:t>
      </w:r>
      <w:r w:rsidR="00E10811" w:rsidRPr="00E10811">
        <w:t xml:space="preserve"> 37% (1.6</w:t>
      </w:r>
      <w:r w:rsidR="00190CB1">
        <w:t xml:space="preserve"> on a 4-point scale</w:t>
      </w:r>
      <w:r w:rsidR="00E10811" w:rsidRPr="00E10811">
        <w:t xml:space="preserve">). </w:t>
      </w:r>
      <w:r w:rsidR="008E69DE">
        <w:t xml:space="preserve">This level of LLLC awareness </w:t>
      </w:r>
      <w:r w:rsidR="00190CB1">
        <w:t xml:space="preserve">represents a statistically significant increase </w:t>
      </w:r>
      <w:r w:rsidR="006573A2">
        <w:t>(</w:t>
      </w:r>
      <w:r w:rsidR="006573A2" w:rsidRPr="0037704A">
        <w:rPr>
          <w:i/>
          <w:iCs/>
        </w:rPr>
        <w:t>p</w:t>
      </w:r>
      <w:r w:rsidR="006573A2">
        <w:t xml:space="preserve">&lt;0.10) </w:t>
      </w:r>
      <w:r w:rsidR="00190CB1">
        <w:t xml:space="preserve">from 21% the year prior, indicating progress toward </w:t>
      </w:r>
      <w:r w:rsidR="008E69DE">
        <w:t xml:space="preserve">the </w:t>
      </w:r>
      <w:r w:rsidR="00190CB1">
        <w:t>MPI target</w:t>
      </w:r>
      <w:r w:rsidR="008E69DE">
        <w:t xml:space="preserve"> of 50% customer awareness</w:t>
      </w:r>
      <w:r w:rsidR="003D4879">
        <w:t xml:space="preserve"> </w:t>
      </w:r>
      <w:r w:rsidR="008E69DE">
        <w:t xml:space="preserve">by 2027. </w:t>
      </w:r>
      <w:r w:rsidR="00190CB1">
        <w:t xml:space="preserve">Meanwhile, </w:t>
      </w:r>
      <w:proofErr w:type="gramStart"/>
      <w:r w:rsidR="00190CB1">
        <w:t>the vast majority</w:t>
      </w:r>
      <w:r w:rsidR="00912E7C">
        <w:t xml:space="preserve"> </w:t>
      </w:r>
      <w:r w:rsidR="00C318B1">
        <w:t>of</w:t>
      </w:r>
      <w:proofErr w:type="gramEnd"/>
      <w:r w:rsidR="00C318B1">
        <w:t xml:space="preserve"> </w:t>
      </w:r>
      <w:r w:rsidR="00912E7C">
        <w:t xml:space="preserve">trade allies surveyed </w:t>
      </w:r>
      <w:r w:rsidR="00190CB1">
        <w:t>indicated</w:t>
      </w:r>
      <w:r w:rsidR="00912E7C">
        <w:t xml:space="preserve"> they are aware of LLLCs (92%) and NLCs (89%)</w:t>
      </w:r>
      <w:r w:rsidR="00190CB1">
        <w:t xml:space="preserve">. </w:t>
      </w:r>
      <w:r w:rsidR="005619BE">
        <w:t xml:space="preserve">Trade ally LLLC awareness is consistent with equivalent results from the prior evaluation year and </w:t>
      </w:r>
      <w:r w:rsidR="00435180">
        <w:t xml:space="preserve">is </w:t>
      </w:r>
      <w:r w:rsidR="005619BE">
        <w:t xml:space="preserve">already very nearly in line with the MPI target of 95% trade ally awareness by 2027. </w:t>
      </w:r>
      <w:r w:rsidR="00912E7C">
        <w:t xml:space="preserve">Trade allies </w:t>
      </w:r>
      <w:r w:rsidR="00190CB1">
        <w:t xml:space="preserve">also </w:t>
      </w:r>
      <w:r w:rsidR="00912E7C">
        <w:t xml:space="preserve">reported </w:t>
      </w:r>
      <w:r w:rsidR="00190CB1">
        <w:t>an average LLLC familiarity level of</w:t>
      </w:r>
      <w:r w:rsidR="00912E7C">
        <w:t xml:space="preserve"> 70% (2.8 </w:t>
      </w:r>
      <w:r w:rsidR="00190CB1">
        <w:t>on a 4-point scale</w:t>
      </w:r>
      <w:r w:rsidR="00912E7C">
        <w:t>)</w:t>
      </w:r>
      <w:r w:rsidR="00190CB1">
        <w:t xml:space="preserve">, in line with </w:t>
      </w:r>
      <w:r w:rsidR="008E69DE">
        <w:t xml:space="preserve">the </w:t>
      </w:r>
      <w:r w:rsidR="00190CB1">
        <w:t xml:space="preserve">associated </w:t>
      </w:r>
      <w:r w:rsidR="008E69DE">
        <w:t xml:space="preserve">MPI </w:t>
      </w:r>
      <w:r w:rsidR="00B76C6E">
        <w:t xml:space="preserve">target for </w:t>
      </w:r>
      <w:r w:rsidR="008E69DE">
        <w:t xml:space="preserve">2027. </w:t>
      </w:r>
      <w:r w:rsidR="009143C2">
        <w:fldChar w:fldCharType="begin"/>
      </w:r>
      <w:r w:rsidR="009143C2">
        <w:instrText xml:space="preserve"> REF _Ref189749933 \h </w:instrText>
      </w:r>
      <w:r w:rsidR="009143C2">
        <w:fldChar w:fldCharType="separate"/>
      </w:r>
      <w:r w:rsidR="00D0329D">
        <w:t xml:space="preserve">Figure </w:t>
      </w:r>
      <w:r w:rsidR="00D0329D">
        <w:rPr>
          <w:noProof/>
        </w:rPr>
        <w:t>4</w:t>
      </w:r>
      <w:r w:rsidR="009143C2">
        <w:fldChar w:fldCharType="end"/>
      </w:r>
      <w:r w:rsidR="005619BE">
        <w:t xml:space="preserve"> summarizes trade ally and customer familiarity with LLLC and NLC technologies</w:t>
      </w:r>
      <w:r w:rsidR="00E10811">
        <w:t>.</w:t>
      </w:r>
    </w:p>
    <w:p w14:paraId="77028D17" w14:textId="13EE43C0" w:rsidR="00FB28F3" w:rsidRDefault="00365607" w:rsidP="00287BC8">
      <w:pPr>
        <w:pStyle w:val="Caption"/>
      </w:pPr>
      <w:bookmarkStart w:id="52" w:name="_Ref189749933"/>
      <w:bookmarkStart w:id="53" w:name="_Toc192173117"/>
      <w:r>
        <w:t xml:space="preserve">Figure </w:t>
      </w:r>
      <w:r>
        <w:fldChar w:fldCharType="begin"/>
      </w:r>
      <w:r>
        <w:instrText xml:space="preserve"> SEQ Figure \* ARABIC </w:instrText>
      </w:r>
      <w:r>
        <w:fldChar w:fldCharType="separate"/>
      </w:r>
      <w:r w:rsidR="00D0329D">
        <w:rPr>
          <w:noProof/>
        </w:rPr>
        <w:t>4</w:t>
      </w:r>
      <w:r>
        <w:fldChar w:fldCharType="end"/>
      </w:r>
      <w:bookmarkEnd w:id="52"/>
      <w:r>
        <w:t>. Customer</w:t>
      </w:r>
      <w:r w:rsidR="00912E7C">
        <w:t xml:space="preserve"> and Trade Ally </w:t>
      </w:r>
      <w:r>
        <w:t xml:space="preserve">Familiarity with </w:t>
      </w:r>
      <w:r w:rsidR="00D338AD">
        <w:t>NLCs and LLLC</w:t>
      </w:r>
      <w:r>
        <w:t>s</w:t>
      </w:r>
      <w:bookmarkEnd w:id="53"/>
      <w:r>
        <w:t xml:space="preserve"> </w:t>
      </w:r>
    </w:p>
    <w:p w14:paraId="2511E657" w14:textId="0DA11A44" w:rsidR="00365607" w:rsidRPr="00287BC8" w:rsidRDefault="009143C2" w:rsidP="00287BC8">
      <w:pPr>
        <w:jc w:val="center"/>
      </w:pPr>
      <w:r w:rsidRPr="00287BC8">
        <w:rPr>
          <w:noProof/>
        </w:rPr>
        <w:drawing>
          <wp:inline distT="0" distB="0" distL="0" distR="0" wp14:anchorId="5E389B7B" wp14:editId="67058731">
            <wp:extent cx="6297930" cy="2139950"/>
            <wp:effectExtent l="0" t="0" r="0" b="0"/>
            <wp:docPr id="712167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97930" cy="2139950"/>
                    </a:xfrm>
                    <a:prstGeom prst="rect">
                      <a:avLst/>
                    </a:prstGeom>
                    <a:noFill/>
                  </pic:spPr>
                </pic:pic>
              </a:graphicData>
            </a:graphic>
          </wp:inline>
        </w:drawing>
      </w:r>
    </w:p>
    <w:p w14:paraId="160381FE" w14:textId="001D42F4" w:rsidR="00E10811" w:rsidRDefault="005619BE" w:rsidP="00287BC8">
      <w:pPr>
        <w:keepNext/>
        <w:keepLines/>
      </w:pPr>
      <w:bookmarkStart w:id="54" w:name="_Ref188448062"/>
      <w:r>
        <w:lastRenderedPageBreak/>
        <w:t>We also asked customers and trade allies about their familiarity with individual lighting controls. C</w:t>
      </w:r>
      <w:r w:rsidR="00E10811" w:rsidRPr="00E10811">
        <w:t xml:space="preserve">ustomers </w:t>
      </w:r>
      <w:r>
        <w:t xml:space="preserve">reported the highest level of familiarity </w:t>
      </w:r>
      <w:r w:rsidR="00E10811" w:rsidRPr="00E10811">
        <w:t xml:space="preserve">with </w:t>
      </w:r>
      <w:r w:rsidR="00435180">
        <w:t>dimmer</w:t>
      </w:r>
      <w:r w:rsidR="00435180" w:rsidRPr="00E10811">
        <w:t xml:space="preserve"> </w:t>
      </w:r>
      <w:r w:rsidR="00E10811" w:rsidRPr="00E10811">
        <w:t>switches (80%) and motion sensors (76%)</w:t>
      </w:r>
      <w:r w:rsidR="00435180">
        <w:t>. In comparison,</w:t>
      </w:r>
      <w:r>
        <w:t xml:space="preserve"> trade allies reported the highest level of familiarity with occupancy sensors</w:t>
      </w:r>
      <w:r w:rsidR="00E10811">
        <w:t xml:space="preserve"> (92%)</w:t>
      </w:r>
      <w:r>
        <w:t>, followed by</w:t>
      </w:r>
      <w:r w:rsidR="00E10811">
        <w:t xml:space="preserve"> motion sensors (89%)</w:t>
      </w:r>
      <w:r>
        <w:t xml:space="preserve"> and dimmer switches (84%)</w:t>
      </w:r>
      <w:r w:rsidR="00E10811">
        <w:t xml:space="preserve">. </w:t>
      </w:r>
      <w:r w:rsidR="00E75395">
        <w:fldChar w:fldCharType="begin"/>
      </w:r>
      <w:r w:rsidR="00E75395">
        <w:instrText xml:space="preserve"> REF _Ref190112936 \h </w:instrText>
      </w:r>
      <w:r w:rsidR="00E75395">
        <w:fldChar w:fldCharType="separate"/>
      </w:r>
      <w:r w:rsidR="00D0329D">
        <w:t xml:space="preserve">Figure </w:t>
      </w:r>
      <w:r w:rsidR="00D0329D">
        <w:rPr>
          <w:noProof/>
        </w:rPr>
        <w:t>5</w:t>
      </w:r>
      <w:r w:rsidR="00E75395">
        <w:fldChar w:fldCharType="end"/>
      </w:r>
      <w:r w:rsidR="00E527D7">
        <w:t xml:space="preserve"> </w:t>
      </w:r>
      <w:r>
        <w:t>summarizes customer-reported familiarity with individual lighting control technologies and</w:t>
      </w:r>
      <w:r w:rsidRPr="00E10811">
        <w:t xml:space="preserve"> </w:t>
      </w:r>
      <w:r w:rsidR="00E75395">
        <w:fldChar w:fldCharType="begin"/>
      </w:r>
      <w:r w:rsidR="00E75395">
        <w:instrText xml:space="preserve"> REF _Ref189750079 \h </w:instrText>
      </w:r>
      <w:r w:rsidR="00E75395">
        <w:fldChar w:fldCharType="separate"/>
      </w:r>
      <w:r w:rsidR="00D0329D">
        <w:t xml:space="preserve">Figure </w:t>
      </w:r>
      <w:r w:rsidR="00D0329D">
        <w:rPr>
          <w:noProof/>
        </w:rPr>
        <w:t>6</w:t>
      </w:r>
      <w:r w:rsidR="00E75395">
        <w:fldChar w:fldCharType="end"/>
      </w:r>
      <w:r w:rsidR="00E527D7">
        <w:t xml:space="preserve"> </w:t>
      </w:r>
      <w:r>
        <w:t>shows trade ally-reported familiarity levels</w:t>
      </w:r>
      <w:r w:rsidR="00E10811">
        <w:t>.</w:t>
      </w:r>
    </w:p>
    <w:p w14:paraId="4D7A0CF2" w14:textId="7A79CA36" w:rsidR="00435180" w:rsidRDefault="00EA1627" w:rsidP="00287BC8">
      <w:pPr>
        <w:pStyle w:val="Caption"/>
      </w:pPr>
      <w:bookmarkStart w:id="55" w:name="_Ref190112936"/>
      <w:bookmarkStart w:id="56" w:name="_Toc192173118"/>
      <w:r>
        <w:t xml:space="preserve">Figure </w:t>
      </w:r>
      <w:r w:rsidR="00866313">
        <w:fldChar w:fldCharType="begin"/>
      </w:r>
      <w:r w:rsidR="00866313">
        <w:instrText xml:space="preserve"> SEQ Figure \* ARABIC </w:instrText>
      </w:r>
      <w:r w:rsidR="00866313">
        <w:fldChar w:fldCharType="separate"/>
      </w:r>
      <w:r w:rsidR="00D0329D">
        <w:rPr>
          <w:noProof/>
        </w:rPr>
        <w:t>5</w:t>
      </w:r>
      <w:r w:rsidR="00866313">
        <w:fldChar w:fldCharType="end"/>
      </w:r>
      <w:bookmarkEnd w:id="54"/>
      <w:bookmarkEnd w:id="55"/>
      <w:r>
        <w:t>. Customer Familiarity with Lighting Control Technologies (n=353)</w:t>
      </w:r>
      <w:bookmarkEnd w:id="56"/>
    </w:p>
    <w:p w14:paraId="76AEDE09" w14:textId="0D11A71F" w:rsidR="009143C2" w:rsidRPr="00287BC8" w:rsidRDefault="009143C2" w:rsidP="00287BC8">
      <w:pPr>
        <w:jc w:val="center"/>
      </w:pPr>
      <w:r w:rsidRPr="00287BC8">
        <w:rPr>
          <w:noProof/>
        </w:rPr>
        <w:drawing>
          <wp:inline distT="0" distB="0" distL="0" distR="0" wp14:anchorId="15E1DFF1" wp14:editId="2491EBD9">
            <wp:extent cx="6407150" cy="2237740"/>
            <wp:effectExtent l="0" t="0" r="0" b="0"/>
            <wp:docPr id="13339346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7150" cy="2237740"/>
                    </a:xfrm>
                    <a:prstGeom prst="rect">
                      <a:avLst/>
                    </a:prstGeom>
                    <a:noFill/>
                  </pic:spPr>
                </pic:pic>
              </a:graphicData>
            </a:graphic>
          </wp:inline>
        </w:drawing>
      </w:r>
    </w:p>
    <w:p w14:paraId="33349DF4" w14:textId="68EA0D51" w:rsidR="00E10811" w:rsidRDefault="00E10811" w:rsidP="00287BC8">
      <w:pPr>
        <w:pStyle w:val="Caption"/>
      </w:pPr>
      <w:bookmarkStart w:id="57" w:name="_Ref189750079"/>
      <w:bookmarkStart w:id="58" w:name="_Toc192173119"/>
      <w:r>
        <w:t xml:space="preserve">Figure </w:t>
      </w:r>
      <w:r>
        <w:fldChar w:fldCharType="begin"/>
      </w:r>
      <w:r>
        <w:instrText xml:space="preserve"> SEQ Figure \* ARABIC </w:instrText>
      </w:r>
      <w:r>
        <w:fldChar w:fldCharType="separate"/>
      </w:r>
      <w:r w:rsidR="00D0329D">
        <w:rPr>
          <w:noProof/>
        </w:rPr>
        <w:t>6</w:t>
      </w:r>
      <w:r>
        <w:fldChar w:fldCharType="end"/>
      </w:r>
      <w:bookmarkEnd w:id="57"/>
      <w:r>
        <w:t>. T</w:t>
      </w:r>
      <w:r w:rsidRPr="00221F40">
        <w:t xml:space="preserve">rade Ally Familiarity with </w:t>
      </w:r>
      <w:r w:rsidR="00D338AD">
        <w:t xml:space="preserve">Individual </w:t>
      </w:r>
      <w:r w:rsidRPr="00221F40">
        <w:t>Lighting Control</w:t>
      </w:r>
      <w:r w:rsidR="005D34EA">
        <w:t xml:space="preserve"> Technologie</w:t>
      </w:r>
      <w:r w:rsidRPr="00221F40">
        <w:t>s (n=37)</w:t>
      </w:r>
      <w:bookmarkEnd w:id="58"/>
    </w:p>
    <w:p w14:paraId="2E8DE80C" w14:textId="77777777" w:rsidR="00E10811" w:rsidRDefault="00E10811" w:rsidP="00287BC8">
      <w:pPr>
        <w:pStyle w:val="Caption"/>
      </w:pPr>
      <w:r>
        <w:rPr>
          <w:noProof/>
        </w:rPr>
        <w:drawing>
          <wp:inline distT="0" distB="0" distL="0" distR="0" wp14:anchorId="5DACCED1" wp14:editId="2C2C3D1E">
            <wp:extent cx="6346190" cy="2316480"/>
            <wp:effectExtent l="0" t="0" r="0" b="7620"/>
            <wp:docPr id="5048469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46190" cy="2316480"/>
                    </a:xfrm>
                    <a:prstGeom prst="rect">
                      <a:avLst/>
                    </a:prstGeom>
                    <a:noFill/>
                  </pic:spPr>
                </pic:pic>
              </a:graphicData>
            </a:graphic>
          </wp:inline>
        </w:drawing>
      </w:r>
    </w:p>
    <w:p w14:paraId="504C8DFA" w14:textId="59141295" w:rsidR="002C64EA" w:rsidRDefault="00531799" w:rsidP="00E527D7">
      <w:pPr>
        <w:pStyle w:val="TableFootnote"/>
        <w:ind w:left="1080" w:right="936"/>
      </w:pPr>
      <w:r>
        <w:t xml:space="preserve">Note: </w:t>
      </w:r>
      <w:r w:rsidR="00E527D7">
        <w:t>Dimmer switches control the current flowing into a light fixture to increase or decrease brightness, h</w:t>
      </w:r>
      <w:r>
        <w:t>igh-</w:t>
      </w:r>
      <w:r w:rsidR="00E527D7">
        <w:t>e</w:t>
      </w:r>
      <w:r>
        <w:t xml:space="preserve">nd </w:t>
      </w:r>
      <w:r w:rsidR="00E527D7">
        <w:t>t</w:t>
      </w:r>
      <w:r>
        <w:t xml:space="preserve">rim </w:t>
      </w:r>
      <w:r w:rsidR="002C64EA">
        <w:t>involves “task tuning” or reducing the brightness of light according to the size of the space</w:t>
      </w:r>
      <w:r w:rsidR="00E527D7">
        <w:t>, and photosensors automatically control lighting based on the presence of natural light.</w:t>
      </w:r>
    </w:p>
    <w:p w14:paraId="1519E1C9" w14:textId="77777777" w:rsidR="00BC303F" w:rsidRDefault="00BC303F" w:rsidP="00763818">
      <w:pPr>
        <w:pStyle w:val="Heading4"/>
        <w:keepNext/>
        <w:keepLines/>
      </w:pPr>
      <w:r>
        <w:lastRenderedPageBreak/>
        <w:t>Customer Experience with Lighting Controls</w:t>
      </w:r>
    </w:p>
    <w:p w14:paraId="3E054392" w14:textId="0E255839" w:rsidR="00BC303F" w:rsidRDefault="00BA3C25" w:rsidP="00763818">
      <w:pPr>
        <w:keepNext/>
        <w:keepLines/>
      </w:pPr>
      <w:r>
        <w:t xml:space="preserve">According to the customer survey, </w:t>
      </w:r>
      <w:r w:rsidR="008C2A2F">
        <w:t>1.5%</w:t>
      </w:r>
      <w:r w:rsidR="006573A2">
        <w:t xml:space="preserve"> (n=5)</w:t>
      </w:r>
      <w:r w:rsidR="008C2A2F">
        <w:t xml:space="preserve"> of commercial customers </w:t>
      </w:r>
      <w:r>
        <w:t>across AIC</w:t>
      </w:r>
      <w:r w:rsidR="00D338AD">
        <w:t>’s</w:t>
      </w:r>
      <w:r>
        <w:t xml:space="preserve"> service territory </w:t>
      </w:r>
      <w:r w:rsidR="008C2A2F">
        <w:t>have LLLCs</w:t>
      </w:r>
      <w:r w:rsidR="00D338AD">
        <w:t xml:space="preserve"> installed in their facilities</w:t>
      </w:r>
      <w:r w:rsidR="0037704A">
        <w:t xml:space="preserve">, and </w:t>
      </w:r>
      <w:proofErr w:type="gramStart"/>
      <w:r w:rsidR="0037704A">
        <w:t>a majority of</w:t>
      </w:r>
      <w:proofErr w:type="gramEnd"/>
      <w:r w:rsidR="0037704A">
        <w:t xml:space="preserve"> respondents </w:t>
      </w:r>
      <w:r w:rsidR="006573A2">
        <w:t>(62%) do not have any lighting controls installed</w:t>
      </w:r>
      <w:r w:rsidR="008C2A2F">
        <w:t xml:space="preserve">. Among </w:t>
      </w:r>
      <w:r w:rsidR="00D338AD">
        <w:t>the five</w:t>
      </w:r>
      <w:r w:rsidR="008C2A2F">
        <w:t xml:space="preserve"> respondents who reported having LLLCs installed, nearly all said they were satisfied with the installation process</w:t>
      </w:r>
      <w:r w:rsidR="005D34EA">
        <w:t xml:space="preserve"> (</w:t>
      </w:r>
      <w:r w:rsidR="003A630A">
        <w:t>100</w:t>
      </w:r>
      <w:r w:rsidR="005D34EA">
        <w:t>%)</w:t>
      </w:r>
      <w:r w:rsidR="008C2A2F">
        <w:t>, cost</w:t>
      </w:r>
      <w:r w:rsidR="005D34EA">
        <w:t xml:space="preserve"> (</w:t>
      </w:r>
      <w:r w:rsidR="003A630A">
        <w:t>100</w:t>
      </w:r>
      <w:r w:rsidR="005D34EA">
        <w:t>%)</w:t>
      </w:r>
      <w:r w:rsidR="008C2A2F">
        <w:t>, and performance of their LLLC equipment</w:t>
      </w:r>
      <w:r w:rsidR="005D34EA">
        <w:t xml:space="preserve"> (</w:t>
      </w:r>
      <w:r w:rsidR="003A630A">
        <w:t>80</w:t>
      </w:r>
      <w:r w:rsidR="005D34EA">
        <w:t>%)</w:t>
      </w:r>
      <w:r w:rsidR="008C2A2F">
        <w:t xml:space="preserve">. </w:t>
      </w:r>
      <w:r w:rsidR="00D338AD">
        <w:t>For individual</w:t>
      </w:r>
      <w:r w:rsidR="00063CE3">
        <w:t xml:space="preserve"> lighting control</w:t>
      </w:r>
      <w:r w:rsidR="00D338AD">
        <w:t xml:space="preserve"> technologies,</w:t>
      </w:r>
      <w:r w:rsidR="00063CE3">
        <w:t xml:space="preserve"> the incidence of </w:t>
      </w:r>
      <w:r w:rsidR="00F510EF">
        <w:t xml:space="preserve">each technology </w:t>
      </w:r>
      <w:r w:rsidR="00063CE3">
        <w:t xml:space="preserve">mirrors </w:t>
      </w:r>
      <w:r w:rsidR="00F510EF">
        <w:t xml:space="preserve">customers’ self-reported familiarity levels: the </w:t>
      </w:r>
      <w:proofErr w:type="gramStart"/>
      <w:r w:rsidR="00F510EF">
        <w:t>most commonly installed</w:t>
      </w:r>
      <w:proofErr w:type="gramEnd"/>
      <w:r w:rsidR="00F510EF">
        <w:t xml:space="preserve"> controls are</w:t>
      </w:r>
      <w:r w:rsidR="00063CE3">
        <w:t xml:space="preserve"> motion sensors (</w:t>
      </w:r>
      <w:r w:rsidR="006573A2">
        <w:t>20</w:t>
      </w:r>
      <w:r w:rsidR="00063CE3">
        <w:t xml:space="preserve">%), </w:t>
      </w:r>
      <w:r w:rsidR="00F510EF">
        <w:t xml:space="preserve">followed by </w:t>
      </w:r>
      <w:r w:rsidR="00063CE3">
        <w:t>dimmer switches (</w:t>
      </w:r>
      <w:r w:rsidR="006573A2">
        <w:t>14</w:t>
      </w:r>
      <w:r w:rsidR="00063CE3">
        <w:t>%) and occupancy sensors (</w:t>
      </w:r>
      <w:r w:rsidR="006573A2">
        <w:t>10</w:t>
      </w:r>
      <w:r w:rsidR="00063CE3">
        <w:t xml:space="preserve">%). </w:t>
      </w:r>
      <w:r w:rsidR="00E75395">
        <w:fldChar w:fldCharType="begin"/>
      </w:r>
      <w:r w:rsidR="00E75395">
        <w:instrText xml:space="preserve"> REF _Ref188451243 \h </w:instrText>
      </w:r>
      <w:r w:rsidR="00E75395">
        <w:fldChar w:fldCharType="separate"/>
      </w:r>
      <w:r w:rsidR="00D0329D">
        <w:t xml:space="preserve">Figure </w:t>
      </w:r>
      <w:r w:rsidR="00D0329D">
        <w:rPr>
          <w:noProof/>
        </w:rPr>
        <w:t>7</w:t>
      </w:r>
      <w:r w:rsidR="00E75395">
        <w:fldChar w:fldCharType="end"/>
      </w:r>
      <w:r w:rsidR="00F07104">
        <w:t xml:space="preserve"> below </w:t>
      </w:r>
      <w:r w:rsidR="00F510EF">
        <w:t>illustrates</w:t>
      </w:r>
      <w:r w:rsidR="00435180">
        <w:t xml:space="preserve"> the incidence of </w:t>
      </w:r>
      <w:r w:rsidR="00C318B1">
        <w:t xml:space="preserve">installed </w:t>
      </w:r>
      <w:r w:rsidR="00435180">
        <w:t>lighting control types among respondents</w:t>
      </w:r>
      <w:r w:rsidR="00F07104">
        <w:t xml:space="preserve">. </w:t>
      </w:r>
    </w:p>
    <w:p w14:paraId="3679E7D6" w14:textId="6D4B47BB" w:rsidR="00F07104" w:rsidRDefault="00F07104" w:rsidP="00287BC8">
      <w:pPr>
        <w:pStyle w:val="Caption"/>
      </w:pPr>
      <w:bookmarkStart w:id="59" w:name="_Ref188451243"/>
      <w:bookmarkStart w:id="60" w:name="_Toc192173120"/>
      <w:r>
        <w:t xml:space="preserve">Figure </w:t>
      </w:r>
      <w:r w:rsidR="00866313">
        <w:fldChar w:fldCharType="begin"/>
      </w:r>
      <w:r w:rsidR="00866313">
        <w:instrText xml:space="preserve"> SEQ Figure \* ARABIC </w:instrText>
      </w:r>
      <w:r w:rsidR="00866313">
        <w:fldChar w:fldCharType="separate"/>
      </w:r>
      <w:r w:rsidR="00D0329D">
        <w:rPr>
          <w:noProof/>
        </w:rPr>
        <w:t>7</w:t>
      </w:r>
      <w:r w:rsidR="00866313">
        <w:fldChar w:fldCharType="end"/>
      </w:r>
      <w:bookmarkEnd w:id="59"/>
      <w:r>
        <w:t>. Incidence of Lighting Controls Installed in Facilities (n=</w:t>
      </w:r>
      <w:r w:rsidR="00B43917">
        <w:t>3</w:t>
      </w:r>
      <w:r w:rsidR="0037704A">
        <w:t>27</w:t>
      </w:r>
      <w:r>
        <w:t>)</w:t>
      </w:r>
      <w:bookmarkEnd w:id="60"/>
    </w:p>
    <w:p w14:paraId="0D1DD1C5" w14:textId="47C2B362" w:rsidR="001561A1" w:rsidRPr="001561A1" w:rsidRDefault="0037704A" w:rsidP="00287BC8">
      <w:pPr>
        <w:jc w:val="center"/>
      </w:pPr>
      <w:r w:rsidRPr="00287BC8">
        <w:rPr>
          <w:noProof/>
        </w:rPr>
        <w:drawing>
          <wp:inline distT="0" distB="0" distL="0" distR="0" wp14:anchorId="2960B0E1" wp14:editId="4AF5A259">
            <wp:extent cx="6401435" cy="2517775"/>
            <wp:effectExtent l="0" t="0" r="0" b="0"/>
            <wp:docPr id="185514419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1435" cy="2517775"/>
                    </a:xfrm>
                    <a:prstGeom prst="rect">
                      <a:avLst/>
                    </a:prstGeom>
                    <a:noFill/>
                  </pic:spPr>
                </pic:pic>
              </a:graphicData>
            </a:graphic>
          </wp:inline>
        </w:drawing>
      </w:r>
    </w:p>
    <w:p w14:paraId="47E682B7" w14:textId="56499FBF" w:rsidR="00251D86" w:rsidRPr="00BC303F" w:rsidRDefault="00370E87" w:rsidP="00287BC8">
      <w:r>
        <w:t xml:space="preserve">Customers </w:t>
      </w:r>
      <w:r w:rsidR="00251D86">
        <w:t xml:space="preserve">who were aware of LLLCs </w:t>
      </w:r>
      <w:r>
        <w:t xml:space="preserve">reported AIC as the most common source of awareness for LLLCs (27%), followed by lighting contractors (19%) and </w:t>
      </w:r>
      <w:r w:rsidR="00251D86">
        <w:t xml:space="preserve">other facility owners (15%). This </w:t>
      </w:r>
      <w:r w:rsidR="00F510EF">
        <w:t xml:space="preserve">represents </w:t>
      </w:r>
      <w:r w:rsidR="00251D86">
        <w:t>a</w:t>
      </w:r>
      <w:r w:rsidR="005D34EA">
        <w:t xml:space="preserve"> statistical</w:t>
      </w:r>
      <w:r w:rsidR="00F510EF">
        <w:t>ly significant</w:t>
      </w:r>
      <w:r w:rsidR="00251D86">
        <w:t xml:space="preserve"> increase </w:t>
      </w:r>
      <w:r w:rsidR="006573A2">
        <w:t>(</w:t>
      </w:r>
      <w:r w:rsidR="006573A2" w:rsidRPr="006573A2">
        <w:rPr>
          <w:i/>
          <w:iCs/>
        </w:rPr>
        <w:t>p</w:t>
      </w:r>
      <w:r w:rsidR="006573A2">
        <w:t xml:space="preserve">&lt;0.10) </w:t>
      </w:r>
      <w:r w:rsidR="00251D86" w:rsidRPr="006573A2">
        <w:t>from</w:t>
      </w:r>
      <w:r w:rsidR="00251D86">
        <w:t xml:space="preserve"> the 2023 evaluation of the </w:t>
      </w:r>
      <w:r w:rsidR="000D573F">
        <w:t>LLLC Pilot</w:t>
      </w:r>
      <w:r w:rsidR="00435180">
        <w:t>,</w:t>
      </w:r>
      <w:r w:rsidR="00251D86">
        <w:t xml:space="preserve"> in which 13% of customers reported learning about LLLCs from AIC. Despite the prevalence of lighting contractors as a source of LLLC awareness, </w:t>
      </w:r>
      <w:r w:rsidR="00251D86" w:rsidRPr="001561A1">
        <w:t>only</w:t>
      </w:r>
      <w:r w:rsidR="00251D86">
        <w:t xml:space="preserve"> seven respondents received a recommendation </w:t>
      </w:r>
      <w:r w:rsidR="006573A2">
        <w:t xml:space="preserve">from a contractor </w:t>
      </w:r>
      <w:r w:rsidR="00251D86">
        <w:t xml:space="preserve">to install LLLCs. </w:t>
      </w:r>
      <w:r w:rsidR="006573A2">
        <w:t>Although, it is noteworthy that</w:t>
      </w:r>
      <w:r w:rsidR="00251D86">
        <w:t xml:space="preserve"> five of these seven respondents followed the recommendation to install LLLCs.</w:t>
      </w:r>
      <w:r w:rsidR="00C92000">
        <w:t xml:space="preserve"> </w:t>
      </w:r>
    </w:p>
    <w:p w14:paraId="1CF7A228" w14:textId="2E357CAF" w:rsidR="00BC303F" w:rsidRDefault="00BC303F" w:rsidP="00FA4669">
      <w:pPr>
        <w:pStyle w:val="Heading4"/>
        <w:keepNext/>
        <w:keepLines/>
      </w:pPr>
      <w:r>
        <w:lastRenderedPageBreak/>
        <w:t>Trade Ally Experience with Lighting Controls</w:t>
      </w:r>
    </w:p>
    <w:p w14:paraId="52D963C7" w14:textId="4F5D3B23" w:rsidR="00BC303F" w:rsidRDefault="00D0329D" w:rsidP="00FA4669">
      <w:pPr>
        <w:keepNext/>
        <w:keepLines/>
      </w:pPr>
      <w:r>
        <w:rPr>
          <w:noProof/>
        </w:rPr>
        <mc:AlternateContent>
          <mc:Choice Requires="wps">
            <w:drawing>
              <wp:anchor distT="0" distB="0" distL="114300" distR="114300" simplePos="0" relativeHeight="251669504" behindDoc="0" locked="0" layoutInCell="1" allowOverlap="1" wp14:anchorId="7B55C93A" wp14:editId="64284557">
                <wp:simplePos x="0" y="0"/>
                <wp:positionH relativeFrom="margin">
                  <wp:posOffset>4164330</wp:posOffset>
                </wp:positionH>
                <wp:positionV relativeFrom="paragraph">
                  <wp:posOffset>15875</wp:posOffset>
                </wp:positionV>
                <wp:extent cx="2680335" cy="1028700"/>
                <wp:effectExtent l="0" t="0" r="5715" b="0"/>
                <wp:wrapThrough wrapText="bothSides">
                  <wp:wrapPolygon edited="0">
                    <wp:start x="0" y="0"/>
                    <wp:lineTo x="0" y="21200"/>
                    <wp:lineTo x="21493" y="21200"/>
                    <wp:lineTo x="21493" y="0"/>
                    <wp:lineTo x="0" y="0"/>
                  </wp:wrapPolygon>
                </wp:wrapThrough>
                <wp:docPr id="1559262792" name="Text Box 1559262792"/>
                <wp:cNvGraphicFramePr/>
                <a:graphic xmlns:a="http://schemas.openxmlformats.org/drawingml/2006/main">
                  <a:graphicData uri="http://schemas.microsoft.com/office/word/2010/wordprocessingShape">
                    <wps:wsp>
                      <wps:cNvSpPr txBox="1"/>
                      <wps:spPr>
                        <a:xfrm>
                          <a:off x="0" y="0"/>
                          <a:ext cx="2680335" cy="1028700"/>
                        </a:xfrm>
                        <a:prstGeom prst="rect">
                          <a:avLst/>
                        </a:prstGeom>
                        <a:solidFill>
                          <a:srgbClr val="DDE8F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FF3743" w14:textId="4EAE36D0" w:rsidR="00D0329D" w:rsidRPr="00D0329D" w:rsidRDefault="00D0329D" w:rsidP="00D0329D">
                            <w:pPr>
                              <w:pBdr>
                                <w:top w:val="single" w:sz="12" w:space="4" w:color="809EDC" w:themeColor="accent1" w:themeTint="66"/>
                              </w:pBdr>
                              <w:spacing w:after="0"/>
                              <w:rPr>
                                <w:rFonts w:ascii="Franklin Gothic Medium" w:hAnsi="Franklin Gothic Medium"/>
                                <w:i/>
                                <w:iCs/>
                                <w:color w:val="6B9BDE" w:themeColor="accent2" w:themeTint="99"/>
                              </w:rPr>
                            </w:pPr>
                            <w:r w:rsidRPr="00D0329D">
                              <w:rPr>
                                <w:rStyle w:val="SubtleEmphasis"/>
                                <w:color w:val="5661AC" w:themeColor="accent5"/>
                              </w:rPr>
                              <w:t>MPI I</w:t>
                            </w:r>
                            <w:r>
                              <w:rPr>
                                <w:rStyle w:val="SubtleEmphasis"/>
                                <w:color w:val="5661AC" w:themeColor="accent5"/>
                              </w:rPr>
                              <w:t>II</w:t>
                            </w:r>
                            <w:r w:rsidRPr="00D0329D">
                              <w:rPr>
                                <w:rStyle w:val="SubtleEmphasis"/>
                                <w:color w:val="5661AC" w:themeColor="accent5"/>
                              </w:rPr>
                              <w:t xml:space="preserve"> 2027 Target</w:t>
                            </w:r>
                            <w:r w:rsidRPr="00D0329D">
                              <w:rPr>
                                <w:rFonts w:ascii="Franklin Gothic Medium" w:hAnsi="Franklin Gothic Medium"/>
                                <w:i/>
                                <w:iCs/>
                                <w:color w:val="6B9BDE" w:themeColor="accent2" w:themeTint="99"/>
                              </w:rPr>
                              <w:t>: 65%</w:t>
                            </w:r>
                            <w:r>
                              <w:rPr>
                                <w:rFonts w:ascii="Franklin Gothic Medium" w:hAnsi="Franklin Gothic Medium"/>
                                <w:i/>
                                <w:iCs/>
                                <w:color w:val="6B9BDE" w:themeColor="accent2" w:themeTint="99"/>
                              </w:rPr>
                              <w:t xml:space="preserve"> of trade allies</w:t>
                            </w:r>
                            <w:r w:rsidRPr="00D0329D">
                              <w:rPr>
                                <w:rFonts w:ascii="Franklin Gothic Medium" w:hAnsi="Franklin Gothic Medium"/>
                                <w:i/>
                                <w:iCs/>
                                <w:color w:val="6B9BDE" w:themeColor="accent2" w:themeTint="99"/>
                              </w:rPr>
                              <w:t xml:space="preserve"> recommending LLLCs</w:t>
                            </w:r>
                          </w:p>
                          <w:p w14:paraId="7BF7AAA7" w14:textId="77777777" w:rsidR="00D0329D" w:rsidRPr="00D0329D" w:rsidRDefault="00D0329D" w:rsidP="00D0329D">
                            <w:pPr>
                              <w:pBdr>
                                <w:top w:val="single" w:sz="12" w:space="4" w:color="809EDC" w:themeColor="accent1" w:themeTint="66"/>
                              </w:pBdr>
                              <w:spacing w:after="0"/>
                              <w:rPr>
                                <w:rFonts w:ascii="Franklin Gothic Medium" w:hAnsi="Franklin Gothic Medium"/>
                                <w:i/>
                                <w:iCs/>
                                <w:color w:val="6B9BDE" w:themeColor="accent2" w:themeTint="99"/>
                                <w:sz w:val="10"/>
                                <w:szCs w:val="10"/>
                              </w:rPr>
                            </w:pPr>
                          </w:p>
                          <w:p w14:paraId="675AB40A" w14:textId="151D2120" w:rsidR="00D0329D" w:rsidRPr="00D0329D" w:rsidRDefault="00D0329D" w:rsidP="00D0329D">
                            <w:pPr>
                              <w:pBdr>
                                <w:top w:val="single" w:sz="12" w:space="4" w:color="809EDC" w:themeColor="accent1" w:themeTint="66"/>
                              </w:pBdr>
                              <w:spacing w:after="0"/>
                              <w:rPr>
                                <w:rFonts w:ascii="Franklin Gothic Medium" w:hAnsi="Franklin Gothic Medium"/>
                                <w:i/>
                                <w:iCs/>
                                <w:caps/>
                                <w:color w:val="6B9BDE" w:themeColor="accent2" w:themeTint="99"/>
                              </w:rPr>
                            </w:pPr>
                            <w:r w:rsidRPr="00D0329D">
                              <w:rPr>
                                <w:rStyle w:val="SubtleEmphasis"/>
                                <w:color w:val="5661AC" w:themeColor="accent5"/>
                              </w:rPr>
                              <w:t>MPI I</w:t>
                            </w:r>
                            <w:r>
                              <w:rPr>
                                <w:rStyle w:val="SubtleEmphasis"/>
                                <w:color w:val="5661AC" w:themeColor="accent5"/>
                              </w:rPr>
                              <w:t>V</w:t>
                            </w:r>
                            <w:r w:rsidRPr="00D0329D">
                              <w:rPr>
                                <w:rStyle w:val="SubtleEmphasis"/>
                                <w:color w:val="5661AC" w:themeColor="accent5"/>
                              </w:rPr>
                              <w:t xml:space="preserve"> 2027 Target</w:t>
                            </w:r>
                            <w:r w:rsidRPr="00D0329D">
                              <w:rPr>
                                <w:rFonts w:ascii="Franklin Gothic Medium" w:hAnsi="Franklin Gothic Medium"/>
                                <w:i/>
                                <w:iCs/>
                                <w:color w:val="5661AC" w:themeColor="accent5"/>
                              </w:rPr>
                              <w:t xml:space="preserve">: </w:t>
                            </w:r>
                            <w:r>
                              <w:rPr>
                                <w:rFonts w:ascii="Franklin Gothic Medium" w:hAnsi="Franklin Gothic Medium"/>
                                <w:i/>
                                <w:iCs/>
                                <w:color w:val="6B9BDE" w:themeColor="accent2" w:themeTint="99"/>
                              </w:rPr>
                              <w:t>65</w:t>
                            </w:r>
                            <w:r w:rsidRPr="00D0329D">
                              <w:rPr>
                                <w:rFonts w:ascii="Franklin Gothic Medium" w:hAnsi="Franklin Gothic Medium"/>
                                <w:i/>
                                <w:iCs/>
                                <w:color w:val="6B9BDE" w:themeColor="accent2" w:themeTint="99"/>
                              </w:rPr>
                              <w:t xml:space="preserve">% </w:t>
                            </w:r>
                            <w:r>
                              <w:rPr>
                                <w:rFonts w:ascii="Franklin Gothic Medium" w:hAnsi="Franklin Gothic Medium"/>
                                <w:i/>
                                <w:iCs/>
                                <w:color w:val="6B9BDE" w:themeColor="accent2" w:themeTint="99"/>
                              </w:rPr>
                              <w:t>of customers follow through on LLLC recommendations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5C93A" id="Text Box 1559262792" o:spid="_x0000_s1028" type="#_x0000_t202" style="position:absolute;margin-left:327.9pt;margin-top:1.25pt;width:211.05pt;height:81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" fillcolor="#dde8f7" stroked="f" strokeweight=".5pt">
                <v:textbox inset=",7.2pt,,0">
                  <w:txbxContent>
                    <w:p w14:paraId="0AFF3743" w14:textId="4EAE36D0" w:rsidR="00D0329D" w:rsidRPr="00D0329D" w:rsidRDefault="00D0329D" w:rsidP="00D0329D">
                      <w:pPr>
                        <w:pBdr>
                          <w:top w:val="single" w:sz="12" w:space="4" w:color="809EDC" w:themeColor="accent1" w:themeTint="66"/>
                        </w:pBdr>
                        <w:spacing w:after="0"/>
                        <w:rPr>
                          <w:rFonts w:ascii="Franklin Gothic Medium" w:hAnsi="Franklin Gothic Medium"/>
                          <w:i/>
                          <w:iCs/>
                          <w:color w:val="6B9BDE" w:themeColor="accent2" w:themeTint="99"/>
                        </w:rPr>
                      </w:pPr>
                      <w:r w:rsidRPr="00D0329D">
                        <w:rPr>
                          <w:rStyle w:val="SubtleEmphasis"/>
                          <w:color w:val="5661AC" w:themeColor="accent5"/>
                        </w:rPr>
                        <w:t>MPI I</w:t>
                      </w:r>
                      <w:r>
                        <w:rPr>
                          <w:rStyle w:val="SubtleEmphasis"/>
                          <w:color w:val="5661AC" w:themeColor="accent5"/>
                        </w:rPr>
                        <w:t>II</w:t>
                      </w:r>
                      <w:r w:rsidRPr="00D0329D">
                        <w:rPr>
                          <w:rStyle w:val="SubtleEmphasis"/>
                          <w:color w:val="5661AC" w:themeColor="accent5"/>
                        </w:rPr>
                        <w:t xml:space="preserve"> 2027 Target</w:t>
                      </w:r>
                      <w:r w:rsidRPr="00D0329D">
                        <w:rPr>
                          <w:rFonts w:ascii="Franklin Gothic Medium" w:hAnsi="Franklin Gothic Medium"/>
                          <w:i/>
                          <w:iCs/>
                          <w:color w:val="6B9BDE" w:themeColor="accent2" w:themeTint="99"/>
                        </w:rPr>
                        <w:t>: 65%</w:t>
                      </w:r>
                      <w:r>
                        <w:rPr>
                          <w:rFonts w:ascii="Franklin Gothic Medium" w:hAnsi="Franklin Gothic Medium"/>
                          <w:i/>
                          <w:iCs/>
                          <w:color w:val="6B9BDE" w:themeColor="accent2" w:themeTint="99"/>
                        </w:rPr>
                        <w:t xml:space="preserve"> of trade allies</w:t>
                      </w:r>
                      <w:r w:rsidRPr="00D0329D">
                        <w:rPr>
                          <w:rFonts w:ascii="Franklin Gothic Medium" w:hAnsi="Franklin Gothic Medium"/>
                          <w:i/>
                          <w:iCs/>
                          <w:color w:val="6B9BDE" w:themeColor="accent2" w:themeTint="99"/>
                        </w:rPr>
                        <w:t xml:space="preserve"> recommending LLLCs</w:t>
                      </w:r>
                    </w:p>
                    <w:p w14:paraId="7BF7AAA7" w14:textId="77777777" w:rsidR="00D0329D" w:rsidRPr="00D0329D" w:rsidRDefault="00D0329D" w:rsidP="00D0329D">
                      <w:pPr>
                        <w:pBdr>
                          <w:top w:val="single" w:sz="12" w:space="4" w:color="809EDC" w:themeColor="accent1" w:themeTint="66"/>
                        </w:pBdr>
                        <w:spacing w:after="0"/>
                        <w:rPr>
                          <w:rFonts w:ascii="Franklin Gothic Medium" w:hAnsi="Franklin Gothic Medium"/>
                          <w:i/>
                          <w:iCs/>
                          <w:color w:val="6B9BDE" w:themeColor="accent2" w:themeTint="99"/>
                          <w:sz w:val="10"/>
                          <w:szCs w:val="10"/>
                        </w:rPr>
                      </w:pPr>
                    </w:p>
                    <w:p w14:paraId="675AB40A" w14:textId="151D2120" w:rsidR="00D0329D" w:rsidRPr="00D0329D" w:rsidRDefault="00D0329D" w:rsidP="00D0329D">
                      <w:pPr>
                        <w:pBdr>
                          <w:top w:val="single" w:sz="12" w:space="4" w:color="809EDC" w:themeColor="accent1" w:themeTint="66"/>
                        </w:pBdr>
                        <w:spacing w:after="0"/>
                        <w:rPr>
                          <w:rFonts w:ascii="Franklin Gothic Medium" w:hAnsi="Franklin Gothic Medium"/>
                          <w:i/>
                          <w:iCs/>
                          <w:caps/>
                          <w:color w:val="6B9BDE" w:themeColor="accent2" w:themeTint="99"/>
                        </w:rPr>
                      </w:pPr>
                      <w:r w:rsidRPr="00D0329D">
                        <w:rPr>
                          <w:rStyle w:val="SubtleEmphasis"/>
                          <w:color w:val="5661AC" w:themeColor="accent5"/>
                        </w:rPr>
                        <w:t>MPI I</w:t>
                      </w:r>
                      <w:r>
                        <w:rPr>
                          <w:rStyle w:val="SubtleEmphasis"/>
                          <w:color w:val="5661AC" w:themeColor="accent5"/>
                        </w:rPr>
                        <w:t>V</w:t>
                      </w:r>
                      <w:r w:rsidRPr="00D0329D">
                        <w:rPr>
                          <w:rStyle w:val="SubtleEmphasis"/>
                          <w:color w:val="5661AC" w:themeColor="accent5"/>
                        </w:rPr>
                        <w:t xml:space="preserve"> 2027 Target</w:t>
                      </w:r>
                      <w:r w:rsidRPr="00D0329D">
                        <w:rPr>
                          <w:rFonts w:ascii="Franklin Gothic Medium" w:hAnsi="Franklin Gothic Medium"/>
                          <w:i/>
                          <w:iCs/>
                          <w:color w:val="5661AC" w:themeColor="accent5"/>
                        </w:rPr>
                        <w:t xml:space="preserve">: </w:t>
                      </w:r>
                      <w:r>
                        <w:rPr>
                          <w:rFonts w:ascii="Franklin Gothic Medium" w:hAnsi="Franklin Gothic Medium"/>
                          <w:i/>
                          <w:iCs/>
                          <w:color w:val="6B9BDE" w:themeColor="accent2" w:themeTint="99"/>
                        </w:rPr>
                        <w:t>65</w:t>
                      </w:r>
                      <w:r w:rsidRPr="00D0329D">
                        <w:rPr>
                          <w:rFonts w:ascii="Franklin Gothic Medium" w:hAnsi="Franklin Gothic Medium"/>
                          <w:i/>
                          <w:iCs/>
                          <w:color w:val="6B9BDE" w:themeColor="accent2" w:themeTint="99"/>
                        </w:rPr>
                        <w:t xml:space="preserve">% </w:t>
                      </w:r>
                      <w:r>
                        <w:rPr>
                          <w:rFonts w:ascii="Franklin Gothic Medium" w:hAnsi="Franklin Gothic Medium"/>
                          <w:i/>
                          <w:iCs/>
                          <w:color w:val="6B9BDE" w:themeColor="accent2" w:themeTint="99"/>
                        </w:rPr>
                        <w:t>of customers follow through on LLLC recommendations</w:t>
                      </w:r>
                    </w:p>
                  </w:txbxContent>
                </v:textbox>
                <w10:wrap type="through" anchorx="margin"/>
              </v:shape>
            </w:pict>
          </mc:Fallback>
        </mc:AlternateContent>
      </w:r>
      <w:r w:rsidR="00490697" w:rsidRPr="00490697">
        <w:t xml:space="preserve">Among </w:t>
      </w:r>
      <w:r w:rsidR="008A4B78">
        <w:t xml:space="preserve">50 </w:t>
      </w:r>
      <w:r w:rsidR="00490697">
        <w:t xml:space="preserve">trade ally survey </w:t>
      </w:r>
      <w:r w:rsidR="00490697" w:rsidRPr="00490697">
        <w:t>respondents, 73%</w:t>
      </w:r>
      <w:r w:rsidR="006573A2">
        <w:t xml:space="preserve"> currently</w:t>
      </w:r>
      <w:r w:rsidR="00490697" w:rsidRPr="00490697">
        <w:t xml:space="preserve"> make sales recommendations</w:t>
      </w:r>
      <w:r w:rsidR="008A4B78">
        <w:t>,</w:t>
      </w:r>
      <w:r w:rsidR="00490697" w:rsidRPr="00490697">
        <w:t xml:space="preserve"> and 43% </w:t>
      </w:r>
      <w:r w:rsidR="006573A2">
        <w:t xml:space="preserve">currently </w:t>
      </w:r>
      <w:r w:rsidR="00490697" w:rsidRPr="00490697">
        <w:t>handle lighting installations</w:t>
      </w:r>
      <w:r w:rsidR="00490697">
        <w:t xml:space="preserve">. </w:t>
      </w:r>
      <w:r w:rsidR="00490697" w:rsidRPr="00490697">
        <w:t xml:space="preserve">At least half of those who sell or recommend lighting </w:t>
      </w:r>
      <w:r w:rsidR="008A4B78">
        <w:t xml:space="preserve">(n=36) </w:t>
      </w:r>
      <w:r w:rsidR="00490697" w:rsidRPr="00490697">
        <w:t xml:space="preserve">have recommended </w:t>
      </w:r>
      <w:r w:rsidR="00490697">
        <w:t>L</w:t>
      </w:r>
      <w:r w:rsidR="00490697" w:rsidRPr="00490697">
        <w:t>LLCs (50%) or NLCs (64%)</w:t>
      </w:r>
      <w:r w:rsidR="00490697">
        <w:t xml:space="preserve">. </w:t>
      </w:r>
      <w:r w:rsidR="004B1D13">
        <w:t xml:space="preserve">This is tracking toward the MPI III goal of 65% of trade allies recommending LLLCs to clients by 2027. </w:t>
      </w:r>
      <w:r w:rsidR="008A4B78">
        <w:t xml:space="preserve">Among installers (n=16), about </w:t>
      </w:r>
      <w:r w:rsidR="00490697" w:rsidRPr="00490697">
        <w:t>two-thirds have installed LLLCs (63%) or NLCs (69%)</w:t>
      </w:r>
      <w:r w:rsidR="00490697">
        <w:t xml:space="preserve">. </w:t>
      </w:r>
      <w:r w:rsidR="004B1D13">
        <w:t xml:space="preserve">This is also tracking toward the MPI IV goal of 65% of trade allies installing LLLCs when they recommend them to </w:t>
      </w:r>
      <w:r w:rsidR="00C318B1">
        <w:t>clients</w:t>
      </w:r>
      <w:r w:rsidR="004B1D13">
        <w:t xml:space="preserve">. </w:t>
      </w:r>
      <w:r w:rsidR="00490697">
        <w:t xml:space="preserve">This represents an increase from 36% of trade allies surveyed with LLLC installation experience in the 2023 survey. </w:t>
      </w:r>
      <w:r w:rsidR="00E75395">
        <w:fldChar w:fldCharType="begin"/>
      </w:r>
      <w:r w:rsidR="00E75395">
        <w:instrText xml:space="preserve"> REF _Ref188614932 \h </w:instrText>
      </w:r>
      <w:r w:rsidR="00E75395">
        <w:fldChar w:fldCharType="separate"/>
      </w:r>
      <w:r>
        <w:t xml:space="preserve">Figure </w:t>
      </w:r>
      <w:r>
        <w:rPr>
          <w:noProof/>
        </w:rPr>
        <w:t>8</w:t>
      </w:r>
      <w:r w:rsidR="00E75395">
        <w:fldChar w:fldCharType="end"/>
      </w:r>
      <w:r w:rsidR="00BF77F4">
        <w:t xml:space="preserve"> displays the distribution of </w:t>
      </w:r>
      <w:r w:rsidR="005D34EA">
        <w:t xml:space="preserve">trade allies </w:t>
      </w:r>
      <w:r w:rsidR="00F510EF">
        <w:t xml:space="preserve">with experience recommending and installing </w:t>
      </w:r>
      <w:r w:rsidR="00BF77F4">
        <w:t>LLLCs and NLCs.</w:t>
      </w:r>
    </w:p>
    <w:p w14:paraId="7E689320" w14:textId="46FD1F09" w:rsidR="00490697" w:rsidRDefault="00490697" w:rsidP="00287BC8">
      <w:pPr>
        <w:pStyle w:val="Caption"/>
      </w:pPr>
      <w:bookmarkStart w:id="61" w:name="_Ref188614932"/>
      <w:bookmarkStart w:id="62" w:name="_Toc192173121"/>
      <w:r>
        <w:t xml:space="preserve">Figure </w:t>
      </w:r>
      <w:r>
        <w:fldChar w:fldCharType="begin"/>
      </w:r>
      <w:r>
        <w:instrText xml:space="preserve"> SEQ Figure \* ARABIC </w:instrText>
      </w:r>
      <w:r>
        <w:fldChar w:fldCharType="separate"/>
      </w:r>
      <w:r w:rsidR="00D0329D">
        <w:rPr>
          <w:noProof/>
        </w:rPr>
        <w:t>8</w:t>
      </w:r>
      <w:r>
        <w:fldChar w:fldCharType="end"/>
      </w:r>
      <w:bookmarkEnd w:id="61"/>
      <w:r>
        <w:t>. Trade Ally Recommendations and Installations of LLLCs and NLCs</w:t>
      </w:r>
      <w:bookmarkEnd w:id="62"/>
    </w:p>
    <w:p w14:paraId="78EC3DA5" w14:textId="48300B2D" w:rsidR="00490697" w:rsidRDefault="00365607" w:rsidP="00490697">
      <w:pPr>
        <w:jc w:val="center"/>
      </w:pPr>
      <w:r>
        <w:rPr>
          <w:noProof/>
        </w:rPr>
        <w:drawing>
          <wp:inline distT="0" distB="0" distL="0" distR="0" wp14:anchorId="663B6ED1" wp14:editId="4D120AAA">
            <wp:extent cx="5487035" cy="1402080"/>
            <wp:effectExtent l="0" t="0" r="0" b="7620"/>
            <wp:docPr id="98319449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7035" cy="1402080"/>
                    </a:xfrm>
                    <a:prstGeom prst="rect">
                      <a:avLst/>
                    </a:prstGeom>
                    <a:noFill/>
                  </pic:spPr>
                </pic:pic>
              </a:graphicData>
            </a:graphic>
          </wp:inline>
        </w:drawing>
      </w:r>
    </w:p>
    <w:p w14:paraId="51244B76" w14:textId="18393B84" w:rsidR="00005A2C" w:rsidRPr="00BC303F" w:rsidRDefault="00005A2C" w:rsidP="00005A2C">
      <w:r>
        <w:t xml:space="preserve">Out of the 16 respondents who </w:t>
      </w:r>
      <w:r w:rsidR="00435180">
        <w:t xml:space="preserve">installed </w:t>
      </w:r>
      <w:r>
        <w:t>lighting controls, less than half conducted ten or more lighting control installations in the past year (44%</w:t>
      </w:r>
      <w:r w:rsidR="00847C7F">
        <w:t>)</w:t>
      </w:r>
      <w:r>
        <w:t xml:space="preserve">. </w:t>
      </w:r>
      <w:r w:rsidR="003040C2">
        <w:t>Seven of</w:t>
      </w:r>
      <w:r w:rsidR="00F510EF">
        <w:t xml:space="preserve"> the ten trade allies with experience installing LLLCs </w:t>
      </w:r>
      <w:r>
        <w:t xml:space="preserve">had installed LLLCs in the past year. </w:t>
      </w:r>
      <w:r w:rsidR="00643A7C">
        <w:t>Trade ally survey</w:t>
      </w:r>
      <w:r w:rsidR="008A5DEF">
        <w:t xml:space="preserve"> respondents suggested </w:t>
      </w:r>
      <w:r w:rsidR="003040C2">
        <w:t>LLLC</w:t>
      </w:r>
      <w:r w:rsidR="00F510EF">
        <w:t xml:space="preserve">s </w:t>
      </w:r>
      <w:r w:rsidR="008A5DEF">
        <w:t xml:space="preserve">are </w:t>
      </w:r>
      <w:proofErr w:type="gramStart"/>
      <w:r w:rsidR="003040C2">
        <w:t>most common</w:t>
      </w:r>
      <w:r w:rsidR="008A5DEF">
        <w:t xml:space="preserve">ly </w:t>
      </w:r>
      <w:r w:rsidR="00643A7C">
        <w:t>i</w:t>
      </w:r>
      <w:r w:rsidR="00F510EF">
        <w:t>nstalled</w:t>
      </w:r>
      <w:proofErr w:type="gramEnd"/>
      <w:r w:rsidR="00F510EF">
        <w:t xml:space="preserve"> i</w:t>
      </w:r>
      <w:r w:rsidR="00643A7C">
        <w:t>n</w:t>
      </w:r>
      <w:r w:rsidR="003040C2">
        <w:t xml:space="preserve"> warehousing, distribution, or wholesale facilities (54%) and education or childcare facilities (33%). Further, half of the</w:t>
      </w:r>
      <w:r w:rsidR="00F510EF">
        <w:t xml:space="preserve"> ten</w:t>
      </w:r>
      <w:r w:rsidR="003040C2">
        <w:t xml:space="preserve"> trade allies</w:t>
      </w:r>
      <w:r w:rsidR="00F510EF">
        <w:t xml:space="preserve"> with LLLC installation experience</w:t>
      </w:r>
      <w:r w:rsidR="00AD5E03">
        <w:t xml:space="preserve"> (n=5) </w:t>
      </w:r>
      <w:r w:rsidR="00643A7C">
        <w:t>suggested</w:t>
      </w:r>
      <w:r w:rsidR="003040C2">
        <w:t xml:space="preserve"> that LLLCs are no harder or easier to install than other types of lighting controls</w:t>
      </w:r>
      <w:r w:rsidR="0014755C">
        <w:t>. T</w:t>
      </w:r>
      <w:r w:rsidR="00FD5696">
        <w:t xml:space="preserve">wo trade allies </w:t>
      </w:r>
      <w:r w:rsidR="0014755C">
        <w:t xml:space="preserve">also </w:t>
      </w:r>
      <w:r w:rsidR="008A5DEF">
        <w:t xml:space="preserve">found LLLCs </w:t>
      </w:r>
      <w:r w:rsidR="00FD5696">
        <w:t xml:space="preserve">slightly more </w:t>
      </w:r>
      <w:r w:rsidR="008A5DEF">
        <w:t>difficult to install than other types of controls</w:t>
      </w:r>
      <w:r w:rsidR="003040C2">
        <w:t>.</w:t>
      </w:r>
    </w:p>
    <w:p w14:paraId="70CC8834" w14:textId="501CA639" w:rsidR="00BC303F" w:rsidRDefault="00643A7C" w:rsidP="00763818">
      <w:pPr>
        <w:pStyle w:val="Heading4"/>
        <w:keepNext/>
        <w:keepLines/>
      </w:pPr>
      <w:r>
        <w:lastRenderedPageBreak/>
        <w:t xml:space="preserve">Lighting Installation </w:t>
      </w:r>
      <w:r w:rsidR="00BC303F">
        <w:t>Motivations and Future Demand</w:t>
      </w:r>
    </w:p>
    <w:p w14:paraId="5184DAD9" w14:textId="27E4F3C7" w:rsidR="00BC303F" w:rsidRDefault="008658F6" w:rsidP="00763818">
      <w:pPr>
        <w:keepNext/>
        <w:keepLines/>
      </w:pPr>
      <w:r>
        <w:t>When considering lighting options for their facility, most surveyed customers prioritize energy cost savings (84%) and energy savings (82%)</w:t>
      </w:r>
      <w:r w:rsidR="00F82AA2">
        <w:t xml:space="preserve">. </w:t>
      </w:r>
      <w:r>
        <w:t xml:space="preserve">More advanced capabilities like demand response, asset tracking, and enhancements to safety systems were less important. </w:t>
      </w:r>
      <w:r w:rsidR="002E0F75">
        <w:t>T</w:t>
      </w:r>
      <w:r>
        <w:t xml:space="preserve">rade ally respondents also accurately assumed their clients prioritize energy cost savings (97%) and energy savings (93%). </w:t>
      </w:r>
      <w:r w:rsidR="00E75395">
        <w:fldChar w:fldCharType="begin"/>
      </w:r>
      <w:r w:rsidR="00E75395">
        <w:instrText xml:space="preserve"> REF _Ref188622099 \h </w:instrText>
      </w:r>
      <w:r w:rsidR="00E75395">
        <w:fldChar w:fldCharType="separate"/>
      </w:r>
      <w:r w:rsidR="00D0329D">
        <w:t xml:space="preserve">Figure </w:t>
      </w:r>
      <w:r w:rsidR="00D0329D">
        <w:rPr>
          <w:noProof/>
        </w:rPr>
        <w:t>9</w:t>
      </w:r>
      <w:r w:rsidR="00E75395">
        <w:fldChar w:fldCharType="end"/>
      </w:r>
      <w:r>
        <w:t xml:space="preserve"> lists all customer lighting priorities from most important to least important. </w:t>
      </w:r>
    </w:p>
    <w:p w14:paraId="3D2F6A4A" w14:textId="1A3371C8" w:rsidR="008658F6" w:rsidRDefault="008658F6" w:rsidP="00287BC8">
      <w:pPr>
        <w:pStyle w:val="Caption"/>
      </w:pPr>
      <w:bookmarkStart w:id="63" w:name="_Ref188622099"/>
      <w:bookmarkStart w:id="64" w:name="_Toc192173122"/>
      <w:r>
        <w:t xml:space="preserve">Figure </w:t>
      </w:r>
      <w:r>
        <w:fldChar w:fldCharType="begin"/>
      </w:r>
      <w:r>
        <w:instrText xml:space="preserve"> SEQ Figure \* ARABIC </w:instrText>
      </w:r>
      <w:r>
        <w:fldChar w:fldCharType="separate"/>
      </w:r>
      <w:r w:rsidR="00D0329D">
        <w:rPr>
          <w:noProof/>
        </w:rPr>
        <w:t>9</w:t>
      </w:r>
      <w:r>
        <w:fldChar w:fldCharType="end"/>
      </w:r>
      <w:bookmarkEnd w:id="63"/>
      <w:r>
        <w:t>. Customer Priorities for Lighting Equipment (n=353)</w:t>
      </w:r>
      <w:bookmarkEnd w:id="64"/>
    </w:p>
    <w:p w14:paraId="21522CFB" w14:textId="63483348" w:rsidR="00F82AA2" w:rsidRDefault="00365607" w:rsidP="00F82AA2">
      <w:pPr>
        <w:jc w:val="center"/>
      </w:pPr>
      <w:r>
        <w:rPr>
          <w:noProof/>
        </w:rPr>
        <w:drawing>
          <wp:inline distT="0" distB="0" distL="0" distR="0" wp14:anchorId="003CF25C" wp14:editId="32618C18">
            <wp:extent cx="5487035" cy="3456940"/>
            <wp:effectExtent l="0" t="0" r="0" b="0"/>
            <wp:docPr id="5207928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7035" cy="3456940"/>
                    </a:xfrm>
                    <a:prstGeom prst="rect">
                      <a:avLst/>
                    </a:prstGeom>
                    <a:noFill/>
                  </pic:spPr>
                </pic:pic>
              </a:graphicData>
            </a:graphic>
          </wp:inline>
        </w:drawing>
      </w:r>
    </w:p>
    <w:p w14:paraId="35D8AFBB" w14:textId="6B536580" w:rsidR="008658F6" w:rsidRPr="00BC303F" w:rsidRDefault="001E2E64" w:rsidP="008658F6">
      <w:r>
        <w:t xml:space="preserve">The </w:t>
      </w:r>
      <w:r w:rsidR="002E0F75">
        <w:t xml:space="preserve">1.5% of </w:t>
      </w:r>
      <w:r>
        <w:t xml:space="preserve">customer survey respondents </w:t>
      </w:r>
      <w:r w:rsidR="002E0F75">
        <w:t xml:space="preserve">(n=5) </w:t>
      </w:r>
      <w:r>
        <w:t>who said they had LLLCs installed reported</w:t>
      </w:r>
      <w:r w:rsidR="002E0F75">
        <w:t xml:space="preserve"> several</w:t>
      </w:r>
      <w:r>
        <w:t xml:space="preserve"> benefits </w:t>
      </w:r>
      <w:r w:rsidR="002E0F75">
        <w:t>associated with LLLC systems</w:t>
      </w:r>
      <w:r>
        <w:t xml:space="preserve">. The </w:t>
      </w:r>
      <w:r w:rsidR="008A4B78">
        <w:t>most reported</w:t>
      </w:r>
      <w:r>
        <w:t xml:space="preserve"> benefits of LLLCs from these five respondents were energy cost savings (n=3), easy installation and use (n=3), energy savings (n=2), and better occupant comfort (n=2)</w:t>
      </w:r>
      <w:r w:rsidR="00AF379B">
        <w:t>. Despite the</w:t>
      </w:r>
      <w:r w:rsidR="002E0F75">
        <w:t xml:space="preserve"> low current level of </w:t>
      </w:r>
      <w:r w:rsidR="00AF379B">
        <w:t xml:space="preserve">LLLC saturation, </w:t>
      </w:r>
      <w:r w:rsidR="008A4B78">
        <w:t xml:space="preserve">customer survey </w:t>
      </w:r>
      <w:r w:rsidR="00AF379B">
        <w:t xml:space="preserve">respondents indicated </w:t>
      </w:r>
      <w:r w:rsidR="00C318B1">
        <w:t xml:space="preserve">the </w:t>
      </w:r>
      <w:r w:rsidR="002E0F75">
        <w:t xml:space="preserve">potential </w:t>
      </w:r>
      <w:r w:rsidR="00AF379B">
        <w:t xml:space="preserve">for LLLC adoption in </w:t>
      </w:r>
      <w:proofErr w:type="gramStart"/>
      <w:r w:rsidR="00AF379B">
        <w:t>the</w:t>
      </w:r>
      <w:r w:rsidR="002E0F75">
        <w:t xml:space="preserve"> relatively</w:t>
      </w:r>
      <w:proofErr w:type="gramEnd"/>
      <w:r w:rsidR="002E0F75">
        <w:t xml:space="preserve"> near</w:t>
      </w:r>
      <w:r w:rsidR="00AF379B">
        <w:t xml:space="preserve"> future</w:t>
      </w:r>
      <w:r w:rsidR="008A4B78">
        <w:t>. By</w:t>
      </w:r>
      <w:r w:rsidR="00AF379B">
        <w:t xml:space="preserve"> the end of 2026, 22% of respondents said they plan to install new lighting at their facility, 16% plan to install new lighting controls, and 3% plan to install new LLLC equipment. </w:t>
      </w:r>
    </w:p>
    <w:p w14:paraId="3449E7FE" w14:textId="01A1B29C" w:rsidR="00BC303F" w:rsidRDefault="00BC303F" w:rsidP="00FA4669">
      <w:pPr>
        <w:pStyle w:val="Heading4"/>
        <w:keepNext/>
        <w:keepLines/>
      </w:pPr>
      <w:r>
        <w:lastRenderedPageBreak/>
        <w:t>Barriers to LLLC Adoption</w:t>
      </w:r>
    </w:p>
    <w:p w14:paraId="1D857B57" w14:textId="7D7FA0C7" w:rsidR="008A5DEF" w:rsidRDefault="00AF379B" w:rsidP="00FA4669">
      <w:pPr>
        <w:keepNext/>
        <w:keepLines/>
      </w:pPr>
      <w:r>
        <w:t xml:space="preserve">Trade allies with at least some awareness of LLLCs </w:t>
      </w:r>
      <w:r w:rsidR="008A4B78">
        <w:t>(n=</w:t>
      </w:r>
      <w:r w:rsidR="00FD5696">
        <w:t>24</w:t>
      </w:r>
      <w:r w:rsidR="008A4B78">
        <w:t xml:space="preserve">) </w:t>
      </w:r>
      <w:r w:rsidR="008A5DEF">
        <w:t xml:space="preserve">frequently </w:t>
      </w:r>
      <w:r>
        <w:t>reported two</w:t>
      </w:r>
      <w:r w:rsidR="008A4B78">
        <w:t xml:space="preserve"> key</w:t>
      </w:r>
      <w:r>
        <w:t xml:space="preserve"> barriers to customer LLLC adoption</w:t>
      </w:r>
      <w:r w:rsidR="008A5DEF">
        <w:t xml:space="preserve">: </w:t>
      </w:r>
      <w:r w:rsidR="00C318B1">
        <w:t>(</w:t>
      </w:r>
      <w:r w:rsidR="008A5DEF">
        <w:t>1)</w:t>
      </w:r>
      <w:r>
        <w:t xml:space="preserve"> the </w:t>
      </w:r>
      <w:r w:rsidR="008A5DEF">
        <w:t xml:space="preserve">high </w:t>
      </w:r>
      <w:r>
        <w:t>cost of the equipment and installation</w:t>
      </w:r>
      <w:r w:rsidR="008A5DEF">
        <w:t xml:space="preserve"> and</w:t>
      </w:r>
      <w:r w:rsidR="00C318B1">
        <w:t xml:space="preserve"> (</w:t>
      </w:r>
      <w:r w:rsidR="008A5DEF">
        <w:t xml:space="preserve">2) </w:t>
      </w:r>
      <w:r w:rsidR="00196B74">
        <w:t xml:space="preserve">the </w:t>
      </w:r>
      <w:r w:rsidR="008A4B78">
        <w:t xml:space="preserve">lack of </w:t>
      </w:r>
      <w:r w:rsidR="00847C7F">
        <w:t xml:space="preserve">awareness of LLLC benefits and operations among </w:t>
      </w:r>
      <w:r w:rsidR="008A5DEF">
        <w:t>customers</w:t>
      </w:r>
      <w:r>
        <w:t xml:space="preserve">. </w:t>
      </w:r>
      <w:r w:rsidR="008A4B78">
        <w:t xml:space="preserve">Half </w:t>
      </w:r>
      <w:r w:rsidR="00DB5F7B">
        <w:t xml:space="preserve">(50%) </w:t>
      </w:r>
      <w:r w:rsidR="008A4B78">
        <w:t xml:space="preserve">of trade allies </w:t>
      </w:r>
      <w:r w:rsidR="008A5DEF">
        <w:t xml:space="preserve">pointed to cost as a primary barrier, and 29% identified </w:t>
      </w:r>
      <w:r w:rsidR="00196B74">
        <w:t>the</w:t>
      </w:r>
      <w:r w:rsidR="008A4B78">
        <w:t xml:space="preserve"> lack of knowledge </w:t>
      </w:r>
      <w:r w:rsidR="00DB5F7B">
        <w:t>regarding</w:t>
      </w:r>
      <w:r w:rsidR="008A4B78">
        <w:t xml:space="preserve"> LLLCs</w:t>
      </w:r>
      <w:r w:rsidR="00DB5F7B">
        <w:t xml:space="preserve"> as an impediment to </w:t>
      </w:r>
      <w:r w:rsidR="00196B74">
        <w:t xml:space="preserve">customers’ </w:t>
      </w:r>
      <w:r w:rsidR="008A5DEF">
        <w:t>decision</w:t>
      </w:r>
      <w:r w:rsidR="00DB5F7B">
        <w:t>s</w:t>
      </w:r>
      <w:r w:rsidR="008A5DEF">
        <w:t xml:space="preserve"> to adopt LLLCs.</w:t>
      </w:r>
      <w:r w:rsidR="00196B74">
        <w:t xml:space="preserve"> Regarding these barriers, the trade ally survey respondents provided further details:</w:t>
      </w:r>
    </w:p>
    <w:p w14:paraId="0C80625B" w14:textId="3CA29A82" w:rsidR="00BC303F" w:rsidRDefault="00643A7C" w:rsidP="00FA4669">
      <w:pPr>
        <w:pStyle w:val="ListBullet"/>
        <w:keepNext/>
        <w:keepLines/>
      </w:pPr>
      <w:r w:rsidRPr="00643A7C">
        <w:rPr>
          <w:b/>
          <w:bCs/>
        </w:rPr>
        <w:t>Upfront cost feedback:</w:t>
      </w:r>
      <w:r>
        <w:t xml:space="preserve"> </w:t>
      </w:r>
      <w:r w:rsidR="00AF379B">
        <w:t xml:space="preserve">One </w:t>
      </w:r>
      <w:r>
        <w:t>trade ally</w:t>
      </w:r>
      <w:r w:rsidR="00AF379B">
        <w:t xml:space="preserve"> noted that “the cost</w:t>
      </w:r>
      <w:r w:rsidR="00DB5F7B">
        <w:t xml:space="preserve"> [of LLLCs]</w:t>
      </w:r>
      <w:r w:rsidR="00AF379B">
        <w:t xml:space="preserve"> without the incentives to justify them</w:t>
      </w:r>
      <w:r>
        <w:t xml:space="preserve"> [is too high],</w:t>
      </w:r>
      <w:r w:rsidR="00AF379B">
        <w:t xml:space="preserve">” </w:t>
      </w:r>
      <w:r>
        <w:t>leading</w:t>
      </w:r>
      <w:r w:rsidR="00AF379B">
        <w:t xml:space="preserve"> customers </w:t>
      </w:r>
      <w:r>
        <w:t xml:space="preserve">to </w:t>
      </w:r>
      <w:r w:rsidR="00AF379B">
        <w:t xml:space="preserve">opt for other lighting control options or to not install lighting controls. Another </w:t>
      </w:r>
      <w:r>
        <w:t xml:space="preserve">respondent said </w:t>
      </w:r>
      <w:r w:rsidR="00AF379B">
        <w:t>LLLCs are commonly “more expensive upfront</w:t>
      </w:r>
      <w:r>
        <w:t xml:space="preserve"> than [the cost] a client wants to incur.</w:t>
      </w:r>
      <w:r w:rsidR="00AF379B">
        <w:t xml:space="preserve">” </w:t>
      </w:r>
    </w:p>
    <w:p w14:paraId="0209B3BE" w14:textId="27B72C72" w:rsidR="00FD24D9" w:rsidRPr="00FD24D9" w:rsidRDefault="00643A7C" w:rsidP="00FA4669">
      <w:pPr>
        <w:pStyle w:val="ListBullet"/>
        <w:keepNext/>
        <w:keepLines/>
      </w:pPr>
      <w:r w:rsidRPr="00643A7C">
        <w:rPr>
          <w:b/>
          <w:bCs/>
        </w:rPr>
        <w:t>Awareness and familiarity feedback:</w:t>
      </w:r>
      <w:r>
        <w:t xml:space="preserve"> </w:t>
      </w:r>
      <w:r w:rsidR="008A5DEF">
        <w:t>One</w:t>
      </w:r>
      <w:r w:rsidR="00AF379B">
        <w:t xml:space="preserve"> respondent claimed</w:t>
      </w:r>
      <w:r w:rsidR="00435180">
        <w:t xml:space="preserve"> that </w:t>
      </w:r>
      <w:r w:rsidR="00AF379B">
        <w:t>“end</w:t>
      </w:r>
      <w:r w:rsidR="00597440">
        <w:t xml:space="preserve"> </w:t>
      </w:r>
      <w:r w:rsidR="00AF379B">
        <w:t xml:space="preserve">user familiarity and </w:t>
      </w:r>
      <w:r w:rsidRPr="00643A7C">
        <w:t>long-term comfort with using the control system to manage their facilities</w:t>
      </w:r>
      <w:r w:rsidR="00AF379B">
        <w:t xml:space="preserve">” has not been </w:t>
      </w:r>
      <w:r>
        <w:t>where it would need to be with some clients for them to justify</w:t>
      </w:r>
      <w:r w:rsidR="001B040B">
        <w:t xml:space="preserve"> installation of the technology</w:t>
      </w:r>
      <w:r w:rsidR="00AF379B">
        <w:t>.</w:t>
      </w:r>
      <w:r w:rsidR="001B040B">
        <w:t xml:space="preserve"> Another</w:t>
      </w:r>
      <w:r w:rsidR="00B03EB2">
        <w:t xml:space="preserve"> trade ally said their staff needs “additional training and knowledge on [LLLCs]</w:t>
      </w:r>
      <w:r w:rsidR="001B040B">
        <w:t>” to effectively educate clients on the technology</w:t>
      </w:r>
      <w:r w:rsidR="00B03EB2">
        <w:t>.</w:t>
      </w:r>
    </w:p>
    <w:p w14:paraId="431AC027" w14:textId="4F8C3662" w:rsidR="00365607" w:rsidRDefault="00365607" w:rsidP="00365607">
      <w:pPr>
        <w:pStyle w:val="Heading2"/>
      </w:pPr>
      <w:bookmarkStart w:id="65" w:name="_Toc192240895"/>
      <w:r>
        <w:t>Market Analysis</w:t>
      </w:r>
      <w:bookmarkEnd w:id="65"/>
    </w:p>
    <w:p w14:paraId="744A6F02" w14:textId="5992FF8F" w:rsidR="00365607" w:rsidRPr="00E05649" w:rsidRDefault="00365607" w:rsidP="00365607">
      <w:r>
        <w:t xml:space="preserve">This section presents detailed findings from </w:t>
      </w:r>
      <w:r w:rsidR="00435180">
        <w:t xml:space="preserve">a </w:t>
      </w:r>
      <w:r>
        <w:t>review of existing research and secondary sources regarding LLLC market trends, barriers and pathways to LLLC adoption, and market actor experiences selling, installing, and purchasing LLLCs.</w:t>
      </w:r>
    </w:p>
    <w:p w14:paraId="66918D92" w14:textId="6C9AAB87" w:rsidR="00365607" w:rsidRDefault="00DE053A" w:rsidP="00365607">
      <w:pPr>
        <w:pStyle w:val="Heading3"/>
      </w:pPr>
      <w:r>
        <w:t xml:space="preserve">Overarching </w:t>
      </w:r>
      <w:r w:rsidR="00365607">
        <w:t>Lighting Market Trends</w:t>
      </w:r>
    </w:p>
    <w:p w14:paraId="78F0FEF7" w14:textId="69EB80D2" w:rsidR="00365607" w:rsidRDefault="00365607" w:rsidP="00365607">
      <w:r>
        <w:t xml:space="preserve">Given their size, concentration of lighting, and typical use cases, commercial facilities are considered </w:t>
      </w:r>
      <w:r w:rsidR="00DE053A">
        <w:t>the primary</w:t>
      </w:r>
      <w:r>
        <w:t xml:space="preserve"> candidates for LLLC adoption. Schools, offices, and warehouses account for the highest total square footage of lighting among buildings in the US. Further, despite</w:t>
      </w:r>
      <w:r w:rsidR="006573A2" w:rsidRPr="006573A2">
        <w:t xml:space="preserve"> </w:t>
      </w:r>
      <w:r w:rsidR="006573A2">
        <w:t xml:space="preserve">the </w:t>
      </w:r>
      <w:r w:rsidR="006573A2" w:rsidRPr="006573A2">
        <w:t xml:space="preserve">commercial </w:t>
      </w:r>
      <w:r w:rsidR="006573A2">
        <w:t>sector accounting for significantly fewer total fixtures than the residential sector</w:t>
      </w:r>
      <w:r>
        <w:t xml:space="preserve">, commercial facilities </w:t>
      </w:r>
      <w:r w:rsidR="006573A2">
        <w:t>make up</w:t>
      </w:r>
      <w:r>
        <w:t xml:space="preserve"> more than half of </w:t>
      </w:r>
      <w:r w:rsidR="006573A2">
        <w:t xml:space="preserve">total </w:t>
      </w:r>
      <w:r>
        <w:t>lighting energy consumption.</w:t>
      </w:r>
      <w:r>
        <w:rPr>
          <w:rStyle w:val="FootnoteReference"/>
        </w:rPr>
        <w:footnoteReference w:id="6"/>
      </w:r>
      <w:r>
        <w:t xml:space="preserve"> The </w:t>
      </w:r>
      <w:r w:rsidR="00C318B1">
        <w:t>DOE</w:t>
      </w:r>
      <w:r>
        <w:t xml:space="preserve"> estimated an increased adoption of lighting controls of nearly 30</w:t>
      </w:r>
      <w:r w:rsidRPr="00CE2F49">
        <w:t>%</w:t>
      </w:r>
      <w:r>
        <w:t xml:space="preserve"> between 2017 and 203</w:t>
      </w:r>
      <w:r w:rsidRPr="00E50FB3">
        <w:t>5</w:t>
      </w:r>
      <w:r>
        <w:t>, and commercial buildings already have some of the highest use cases for lighting controls.</w:t>
      </w:r>
      <w:r>
        <w:rPr>
          <w:rStyle w:val="FootnoteReference"/>
        </w:rPr>
        <w:footnoteReference w:id="7"/>
      </w:r>
    </w:p>
    <w:p w14:paraId="50723D45" w14:textId="702B1AA4" w:rsidR="00365607" w:rsidRPr="003F178C" w:rsidRDefault="00365607" w:rsidP="00A15AF0">
      <w:r w:rsidRPr="00DA492D">
        <w:t xml:space="preserve">Although commercial lighting controls continue to increase in popularity, LLLC adoption is still in </w:t>
      </w:r>
      <w:r w:rsidR="0014755C">
        <w:t>its</w:t>
      </w:r>
      <w:r w:rsidR="00C318B1">
        <w:t xml:space="preserve"> </w:t>
      </w:r>
      <w:r w:rsidRPr="00DA492D">
        <w:t>very early stages, accounting for just 1% of the broader lighting market</w:t>
      </w:r>
      <w:r w:rsidR="00435180">
        <w:t>, according to</w:t>
      </w:r>
      <w:r w:rsidRPr="00DA492D">
        <w:t xml:space="preserve"> </w:t>
      </w:r>
      <w:r w:rsidR="004979D1" w:rsidRPr="00DA492D">
        <w:t>recent</w:t>
      </w:r>
      <w:r w:rsidRPr="00DA492D">
        <w:t xml:space="preserve"> available research. </w:t>
      </w:r>
      <w:r>
        <w:t>One study of Massachusetts commercial lighting customers found that NLCs and LLLCs have less than a 1</w:t>
      </w:r>
      <w:r w:rsidRPr="003F178C">
        <w:t>%</w:t>
      </w:r>
      <w:r>
        <w:t xml:space="preserve"> share of the state’s lighting market. Additionally, 85% of commercial lighting fixtures in the state are controlled by manual switches.</w:t>
      </w:r>
      <w:r>
        <w:rPr>
          <w:rStyle w:val="FootnoteReference"/>
        </w:rPr>
        <w:footnoteReference w:id="8"/>
      </w:r>
      <w:r>
        <w:t xml:space="preserve"> Another study surveyed lighting contractors in Minnesota and found that 1</w:t>
      </w:r>
      <w:r w:rsidRPr="003F178C">
        <w:t>%</w:t>
      </w:r>
      <w:r>
        <w:t xml:space="preserve"> of all projects they completed involved LLLCs.</w:t>
      </w:r>
      <w:r>
        <w:rPr>
          <w:rStyle w:val="FootnoteReference"/>
        </w:rPr>
        <w:footnoteReference w:id="9"/>
      </w:r>
      <w:r>
        <w:t xml:space="preserve"> Despite </w:t>
      </w:r>
      <w:r w:rsidR="00101055">
        <w:t>limited</w:t>
      </w:r>
      <w:r>
        <w:t xml:space="preserve"> </w:t>
      </w:r>
      <w:r w:rsidR="004979D1">
        <w:t>nationwide adoption, industry experts suggest</w:t>
      </w:r>
      <w:r w:rsidR="00FA4669">
        <w:t xml:space="preserve"> that</w:t>
      </w:r>
      <w:r w:rsidR="004979D1">
        <w:t xml:space="preserve"> building design is steadily moving toward </w:t>
      </w:r>
      <w:r w:rsidR="00FA4669">
        <w:t xml:space="preserve">increasing </w:t>
      </w:r>
      <w:r w:rsidR="004979D1">
        <w:t>interconnectivity between systems like lighting and HVAC, which aligns</w:t>
      </w:r>
      <w:r w:rsidR="00101055">
        <w:t xml:space="preserve"> </w:t>
      </w:r>
      <w:r w:rsidR="00FA4669">
        <w:t xml:space="preserve">well </w:t>
      </w:r>
      <w:r w:rsidR="00101055">
        <w:t>with the intended outcome of LLLC installations</w:t>
      </w:r>
      <w:r>
        <w:t>.</w:t>
      </w:r>
      <w:r>
        <w:rPr>
          <w:rStyle w:val="FootnoteReference"/>
        </w:rPr>
        <w:footnoteReference w:id="10"/>
      </w:r>
    </w:p>
    <w:p w14:paraId="49A55D80" w14:textId="77777777" w:rsidR="00365607" w:rsidRDefault="00365607" w:rsidP="00365607">
      <w:pPr>
        <w:pStyle w:val="Heading3"/>
      </w:pPr>
      <w:r>
        <w:lastRenderedPageBreak/>
        <w:t>LLLC Adoption</w:t>
      </w:r>
    </w:p>
    <w:p w14:paraId="6800E4BE" w14:textId="77777777" w:rsidR="00365607" w:rsidRPr="004B25D8" w:rsidRDefault="00365607" w:rsidP="00365607">
      <w:r>
        <w:t xml:space="preserve">This section explores current barriers to LLLC installation and pathways to increased adoption. </w:t>
      </w:r>
    </w:p>
    <w:p w14:paraId="055446C9" w14:textId="77777777" w:rsidR="00365607" w:rsidRDefault="00365607" w:rsidP="00365607">
      <w:pPr>
        <w:pStyle w:val="Heading4"/>
      </w:pPr>
      <w:r>
        <w:t>Barriers</w:t>
      </w:r>
    </w:p>
    <w:p w14:paraId="0D2C46DE" w14:textId="62675E1D" w:rsidR="00365607" w:rsidRDefault="004979D1" w:rsidP="00365607">
      <w:r>
        <w:t>As already mentioned, h</w:t>
      </w:r>
      <w:r w:rsidR="00365607">
        <w:t xml:space="preserve">igh incremental costs are common barriers to LLLC installation. </w:t>
      </w:r>
      <w:r>
        <w:t xml:space="preserve">A </w:t>
      </w:r>
      <w:r w:rsidR="00365607" w:rsidRPr="004979D1">
        <w:t xml:space="preserve">2020 </w:t>
      </w:r>
      <w:r w:rsidRPr="004979D1">
        <w:t>US Lighting Market Characterization</w:t>
      </w:r>
      <w:r>
        <w:t xml:space="preserve"> s</w:t>
      </w:r>
      <w:r w:rsidR="00365607">
        <w:t xml:space="preserve">tudy </w:t>
      </w:r>
      <w:r>
        <w:t xml:space="preserve">from </w:t>
      </w:r>
      <w:r w:rsidR="0030657A">
        <w:t xml:space="preserve">the </w:t>
      </w:r>
      <w:r>
        <w:t xml:space="preserve">DOE </w:t>
      </w:r>
      <w:r w:rsidR="00365607">
        <w:t xml:space="preserve">calculated the average </w:t>
      </w:r>
      <w:r w:rsidR="00AC1539">
        <w:t xml:space="preserve">per-fixture </w:t>
      </w:r>
      <w:r w:rsidR="00365607">
        <w:t>cost of three LLLC system</w:t>
      </w:r>
      <w:r w:rsidR="0030657A">
        <w:t xml:space="preserve"> type</w:t>
      </w:r>
      <w:r w:rsidR="00365607">
        <w:t>s: Clever, Hybrid, and Smart.</w:t>
      </w:r>
      <w:r w:rsidR="008227FD">
        <w:t xml:space="preserve"> Clever systems </w:t>
      </w:r>
      <w:r w:rsidR="0086246E">
        <w:t xml:space="preserve">only </w:t>
      </w:r>
      <w:r w:rsidR="008227FD">
        <w:t xml:space="preserve">meet the </w:t>
      </w:r>
      <w:proofErr w:type="spellStart"/>
      <w:r w:rsidR="0030657A">
        <w:t>DesignLights</w:t>
      </w:r>
      <w:proofErr w:type="spellEnd"/>
      <w:r w:rsidR="0030657A">
        <w:t xml:space="preserve"> Consortium’s </w:t>
      </w:r>
      <w:r w:rsidR="0086246E">
        <w:t xml:space="preserve">basic </w:t>
      </w:r>
      <w:r w:rsidR="008227FD">
        <w:t>requirements to be classified as LLLCs</w:t>
      </w:r>
      <w:r w:rsidR="0086246E">
        <w:t xml:space="preserve"> and can include </w:t>
      </w:r>
      <w:r w:rsidR="008227FD">
        <w:t xml:space="preserve">high-end trim, dimming, occupancy sensors, and photocells. Hybrid systems have </w:t>
      </w:r>
      <w:r w:rsidR="0086246E">
        <w:t>similar</w:t>
      </w:r>
      <w:r w:rsidR="008227FD">
        <w:t xml:space="preserve"> capabilities </w:t>
      </w:r>
      <w:r w:rsidR="0086246E">
        <w:t xml:space="preserve">as well as </w:t>
      </w:r>
      <w:r w:rsidR="008227FD">
        <w:t>a standalone gateway that allows for improved energy monitoring.</w:t>
      </w:r>
      <w:r w:rsidR="0086246E">
        <w:t xml:space="preserve"> S</w:t>
      </w:r>
      <w:r w:rsidR="008227FD">
        <w:t xml:space="preserve">mart systems have all the capabilities </w:t>
      </w:r>
      <w:r w:rsidR="0086246E">
        <w:t xml:space="preserve">of </w:t>
      </w:r>
      <w:r w:rsidR="0014755C">
        <w:t>hybrid</w:t>
      </w:r>
      <w:r w:rsidR="0086246E">
        <w:t xml:space="preserve"> </w:t>
      </w:r>
      <w:r w:rsidR="008227FD">
        <w:t xml:space="preserve">systems </w:t>
      </w:r>
      <w:proofErr w:type="gramStart"/>
      <w:r w:rsidR="0086246E">
        <w:t>and also</w:t>
      </w:r>
      <w:proofErr w:type="gramEnd"/>
      <w:r w:rsidR="0086246E">
        <w:t xml:space="preserve"> collect and use</w:t>
      </w:r>
      <w:r w:rsidR="008227FD">
        <w:t xml:space="preserve"> energy and non-energy data to help optimize space conditions for lighting and other applications.</w:t>
      </w:r>
      <w:r w:rsidR="00365607">
        <w:t xml:space="preserve"> </w:t>
      </w:r>
      <w:r w:rsidR="008227FD">
        <w:t>The</w:t>
      </w:r>
      <w:r w:rsidR="00365607">
        <w:t xml:space="preserve"> average cost of these systems </w:t>
      </w:r>
      <w:r w:rsidR="0086246E">
        <w:t>is typically under</w:t>
      </w:r>
      <w:r w:rsidR="00365607">
        <w:t xml:space="preserve"> $100 </w:t>
      </w:r>
      <w:r w:rsidR="0030657A">
        <w:t>per fixture; however</w:t>
      </w:r>
      <w:r w:rsidR="008227FD">
        <w:t>,</w:t>
      </w:r>
      <w:r w:rsidR="0086246E">
        <w:t xml:space="preserve"> </w:t>
      </w:r>
      <w:r w:rsidR="0030657A">
        <w:t>as</w:t>
      </w:r>
      <w:r w:rsidR="008227FD">
        <w:t xml:space="preserve"> commercial lighting projects can consist of thousands of lighting fixtures, total LLLC system cost</w:t>
      </w:r>
      <w:r w:rsidR="0086246E">
        <w:t>s can amount to</w:t>
      </w:r>
      <w:r w:rsidR="008227FD">
        <w:t xml:space="preserve"> hundreds of thousands of dollars. </w:t>
      </w:r>
      <w:r w:rsidR="00E72DCB">
        <w:fldChar w:fldCharType="begin"/>
      </w:r>
      <w:r w:rsidR="00E72DCB">
        <w:instrText xml:space="preserve"> REF _Ref189728304 \h </w:instrText>
      </w:r>
      <w:r w:rsidR="00E72DCB">
        <w:fldChar w:fldCharType="separate"/>
      </w:r>
      <w:r w:rsidR="00D0329D">
        <w:t xml:space="preserve">Table </w:t>
      </w:r>
      <w:r w:rsidR="00D0329D">
        <w:rPr>
          <w:noProof/>
        </w:rPr>
        <w:t>9</w:t>
      </w:r>
      <w:r w:rsidR="00E72DCB">
        <w:fldChar w:fldCharType="end"/>
      </w:r>
      <w:r w:rsidR="000671C2">
        <w:t xml:space="preserve"> </w:t>
      </w:r>
      <w:r w:rsidR="00365607">
        <w:t>lists the per-fixture costs for each of the three types of LLLC systems.</w:t>
      </w:r>
      <w:r w:rsidR="00365607">
        <w:rPr>
          <w:rStyle w:val="FootnoteReference"/>
        </w:rPr>
        <w:footnoteReference w:id="11"/>
      </w:r>
    </w:p>
    <w:p w14:paraId="76A76ED0" w14:textId="03AC38A7" w:rsidR="00365607" w:rsidRDefault="00365607" w:rsidP="00287BC8">
      <w:pPr>
        <w:pStyle w:val="Caption"/>
      </w:pPr>
      <w:bookmarkStart w:id="67" w:name="_Ref189728304"/>
      <w:bookmarkStart w:id="68" w:name="_Toc192238286"/>
      <w:r>
        <w:t xml:space="preserve">Table </w:t>
      </w:r>
      <w:r>
        <w:fldChar w:fldCharType="begin"/>
      </w:r>
      <w:r>
        <w:instrText xml:space="preserve"> SEQ Table \* ARABIC </w:instrText>
      </w:r>
      <w:r>
        <w:fldChar w:fldCharType="separate"/>
      </w:r>
      <w:r w:rsidR="00D0329D">
        <w:rPr>
          <w:noProof/>
        </w:rPr>
        <w:t>9</w:t>
      </w:r>
      <w:r>
        <w:fldChar w:fldCharType="end"/>
      </w:r>
      <w:bookmarkEnd w:id="67"/>
      <w:r>
        <w:t xml:space="preserve">. Per-Fixture Costs of </w:t>
      </w:r>
      <w:r w:rsidR="0086246E">
        <w:t xml:space="preserve">Typical </w:t>
      </w:r>
      <w:r>
        <w:t>LLLC Systems</w:t>
      </w:r>
      <w:bookmarkEnd w:id="68"/>
      <w:r w:rsidR="0086246E">
        <w:t xml:space="preserve"> </w:t>
      </w:r>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tblGrid>
      <w:tr w:rsidR="00AC1539" w14:paraId="689940F6" w14:textId="77777777" w:rsidTr="000C79E4">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53E7D8DD" w14:textId="2814D833" w:rsidR="00AC1539" w:rsidRPr="00625570" w:rsidRDefault="00AC1539" w:rsidP="00257676">
            <w:pPr>
              <w:pStyle w:val="TableHeadingLeft"/>
              <w:keepNext/>
              <w:keepLines/>
            </w:pPr>
            <w:r>
              <w:t>LLLC Type</w:t>
            </w:r>
          </w:p>
        </w:tc>
        <w:tc>
          <w:tcPr>
            <w:tcW w:w="1644" w:type="dxa"/>
            <w:tcBorders>
              <w:left w:val="single" w:sz="4" w:space="0" w:color="4A4D56" w:themeColor="text1"/>
              <w:bottom w:val="single" w:sz="4" w:space="0" w:color="4A4D56" w:themeColor="text1"/>
              <w:right w:val="single" w:sz="4" w:space="0" w:color="4A4D56" w:themeColor="text1"/>
            </w:tcBorders>
          </w:tcPr>
          <w:p w14:paraId="7B2E1E55" w14:textId="77777777" w:rsidR="00AC1539" w:rsidRDefault="00AC1539" w:rsidP="00257676">
            <w:pPr>
              <w:pStyle w:val="TableHeadingLeft"/>
              <w:keepNext/>
              <w:keepLines/>
              <w:jc w:val="center"/>
              <w:cnfStyle w:val="100000000000" w:firstRow="1" w:lastRow="0" w:firstColumn="0" w:lastColumn="0" w:oddVBand="0" w:evenVBand="0" w:oddHBand="0" w:evenHBand="0" w:firstRowFirstColumn="0" w:firstRowLastColumn="0" w:lastRowFirstColumn="0" w:lastRowLastColumn="0"/>
            </w:pPr>
            <w:r>
              <w:t>Per-Fixture</w:t>
            </w:r>
          </w:p>
          <w:p w14:paraId="0077852F" w14:textId="334EA076" w:rsidR="00AC1539" w:rsidRPr="00625570" w:rsidRDefault="00AC1539" w:rsidP="00257676">
            <w:pPr>
              <w:pStyle w:val="TableHeadingCentered"/>
              <w:keepNext/>
              <w:keepLines/>
              <w:cnfStyle w:val="100000000000" w:firstRow="1" w:lastRow="0" w:firstColumn="0" w:lastColumn="0" w:oddVBand="0" w:evenVBand="0" w:oddHBand="0" w:evenHBand="0" w:firstRowFirstColumn="0" w:firstRowLastColumn="0" w:lastRowFirstColumn="0" w:lastRowLastColumn="0"/>
            </w:pPr>
            <w:r>
              <w:t>Cost</w:t>
            </w:r>
          </w:p>
        </w:tc>
      </w:tr>
      <w:tr w:rsidR="00AC1539" w14:paraId="6F77D926" w14:textId="77777777" w:rsidTr="00E77F8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5A5E0524" w14:textId="244773EE" w:rsidR="00AC1539" w:rsidRPr="00625570" w:rsidRDefault="00AC1539" w:rsidP="00257676">
            <w:pPr>
              <w:pStyle w:val="TableLeftText"/>
              <w:keepNext/>
              <w:keepLines/>
            </w:pPr>
            <w:r>
              <w:t>Clever</w:t>
            </w:r>
          </w:p>
        </w:tc>
        <w:tc>
          <w:tcPr>
            <w:tcW w:w="1644" w:type="dxa"/>
            <w:tcBorders>
              <w:top w:val="single" w:sz="4" w:space="0" w:color="4A4D56" w:themeColor="text1"/>
            </w:tcBorders>
          </w:tcPr>
          <w:p w14:paraId="63F825DF" w14:textId="643735B8" w:rsidR="00AC1539" w:rsidRPr="000B7901" w:rsidRDefault="00AC1539" w:rsidP="00257676">
            <w:pPr>
              <w:pStyle w:val="TableCenterText"/>
              <w:keepNext/>
              <w:keepLines/>
              <w:cnfStyle w:val="000000100000" w:firstRow="0" w:lastRow="0" w:firstColumn="0" w:lastColumn="0" w:oddVBand="0" w:evenVBand="0" w:oddHBand="1" w:evenHBand="0" w:firstRowFirstColumn="0" w:firstRowLastColumn="0" w:lastRowFirstColumn="0" w:lastRowLastColumn="0"/>
            </w:pPr>
            <w:r>
              <w:t>$49</w:t>
            </w:r>
          </w:p>
        </w:tc>
      </w:tr>
      <w:tr w:rsidR="00AC1539" w14:paraId="3808DED5" w14:textId="77777777" w:rsidTr="00DE1366">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63D27373" w14:textId="74B2A1B4" w:rsidR="00AC1539" w:rsidRPr="00625570" w:rsidRDefault="00AC1539" w:rsidP="00257676">
            <w:pPr>
              <w:pStyle w:val="TableLeftText"/>
              <w:keepNext/>
              <w:keepLines/>
            </w:pPr>
            <w:r>
              <w:t>Hybrid</w:t>
            </w:r>
          </w:p>
        </w:tc>
        <w:tc>
          <w:tcPr>
            <w:tcW w:w="1644" w:type="dxa"/>
          </w:tcPr>
          <w:p w14:paraId="1BA3EB4E" w14:textId="03F2794B" w:rsidR="00AC1539" w:rsidRPr="000B7901" w:rsidRDefault="00AC1539" w:rsidP="00257676">
            <w:pPr>
              <w:pStyle w:val="TableCenterText"/>
              <w:keepNext/>
              <w:keepLines/>
              <w:cnfStyle w:val="000000010000" w:firstRow="0" w:lastRow="0" w:firstColumn="0" w:lastColumn="0" w:oddVBand="0" w:evenVBand="0" w:oddHBand="0" w:evenHBand="1" w:firstRowFirstColumn="0" w:firstRowLastColumn="0" w:lastRowFirstColumn="0" w:lastRowLastColumn="0"/>
            </w:pPr>
            <w:r>
              <w:t>$63</w:t>
            </w:r>
          </w:p>
        </w:tc>
      </w:tr>
      <w:tr w:rsidR="00AC1539" w14:paraId="71F52E19" w14:textId="77777777" w:rsidTr="00DE1366">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47596227" w14:textId="1AD9FDC3" w:rsidR="00AC1539" w:rsidRPr="00625570" w:rsidRDefault="00AC1539" w:rsidP="00557294">
            <w:pPr>
              <w:pStyle w:val="TableLeftText"/>
            </w:pPr>
            <w:r>
              <w:t>Smart</w:t>
            </w:r>
          </w:p>
        </w:tc>
        <w:tc>
          <w:tcPr>
            <w:tcW w:w="1644" w:type="dxa"/>
          </w:tcPr>
          <w:p w14:paraId="4B1744AA" w14:textId="37E8E247" w:rsidR="00AC1539" w:rsidRPr="000B7901" w:rsidRDefault="00AC1539" w:rsidP="00557294">
            <w:pPr>
              <w:pStyle w:val="TableCenterText"/>
              <w:cnfStyle w:val="000000100000" w:firstRow="0" w:lastRow="0" w:firstColumn="0" w:lastColumn="0" w:oddVBand="0" w:evenVBand="0" w:oddHBand="1" w:evenHBand="0" w:firstRowFirstColumn="0" w:firstRowLastColumn="0" w:lastRowFirstColumn="0" w:lastRowLastColumn="0"/>
            </w:pPr>
            <w:r>
              <w:t>$90</w:t>
            </w:r>
          </w:p>
        </w:tc>
      </w:tr>
    </w:tbl>
    <w:p w14:paraId="479C5BAF" w14:textId="6554F06E" w:rsidR="00091564" w:rsidRDefault="00365607" w:rsidP="00A15AF0">
      <w:pPr>
        <w:spacing w:before="100" w:beforeAutospacing="1"/>
      </w:pPr>
      <w:r>
        <w:t>Another</w:t>
      </w:r>
      <w:r w:rsidR="00783039">
        <w:t xml:space="preserve"> </w:t>
      </w:r>
      <w:r>
        <w:t xml:space="preserve">barrier to LLLC adoption is a lack of awareness of the technology among customers and contractors and a lack of experienced LLLC installers. </w:t>
      </w:r>
      <w:r w:rsidR="00783039">
        <w:t>According to several studies reviewed by the evaluation team, m</w:t>
      </w:r>
      <w:r>
        <w:t xml:space="preserve">arket actors note that their customers are generally unaware of LLLCs and the associated benefits. </w:t>
      </w:r>
      <w:r w:rsidR="000A107D">
        <w:t>This aligns with findings from this evaluation’s customer survey, which found that 64% of customers were unaware of LLLCs</w:t>
      </w:r>
      <w:r w:rsidR="0086246E">
        <w:t xml:space="preserve"> in 2024</w:t>
      </w:r>
      <w:r w:rsidR="000A107D">
        <w:t xml:space="preserve">. </w:t>
      </w:r>
      <w:r w:rsidR="00B26965">
        <w:t xml:space="preserve">A 2021 LLLC Market Characterization study from NEEA </w:t>
      </w:r>
      <w:r w:rsidR="0086246E">
        <w:t xml:space="preserve">also </w:t>
      </w:r>
      <w:r w:rsidR="00B26965">
        <w:t xml:space="preserve">found that </w:t>
      </w:r>
      <w:r w:rsidR="0086246E">
        <w:t>m</w:t>
      </w:r>
      <w:r w:rsidR="00783039">
        <w:t>arket actors</w:t>
      </w:r>
      <w:r>
        <w:t xml:space="preserve"> </w:t>
      </w:r>
      <w:r w:rsidR="0086246E">
        <w:t>sometimes pointed to</w:t>
      </w:r>
      <w:r>
        <w:t xml:space="preserve"> their technicians</w:t>
      </w:r>
      <w:r w:rsidR="0086246E">
        <w:t>’</w:t>
      </w:r>
      <w:r>
        <w:t xml:space="preserve"> lack </w:t>
      </w:r>
      <w:r w:rsidR="0030657A">
        <w:t xml:space="preserve">of </w:t>
      </w:r>
      <w:r>
        <w:t>technical skills to install LLLCs and other</w:t>
      </w:r>
      <w:r w:rsidR="0086246E">
        <w:t xml:space="preserve"> NLCs</w:t>
      </w:r>
      <w:r>
        <w:t>.</w:t>
      </w:r>
      <w:r>
        <w:rPr>
          <w:rStyle w:val="FootnoteReference"/>
        </w:rPr>
        <w:footnoteReference w:id="12"/>
      </w:r>
      <w:r>
        <w:t xml:space="preserve"> </w:t>
      </w:r>
      <w:r w:rsidR="0086246E">
        <w:t xml:space="preserve">Another 2023 study by Cadeo found </w:t>
      </w:r>
      <w:r w:rsidR="00134A5A">
        <w:t xml:space="preserve">that </w:t>
      </w:r>
      <w:r>
        <w:t xml:space="preserve">contractors were </w:t>
      </w:r>
      <w:r w:rsidR="0086246E">
        <w:t xml:space="preserve">often </w:t>
      </w:r>
      <w:r>
        <w:t>unaware of LLLCs</w:t>
      </w:r>
      <w:r w:rsidR="00621AAD">
        <w:t xml:space="preserve">, highlighting the value of LLLC </w:t>
      </w:r>
      <w:r w:rsidR="0030657A">
        <w:t xml:space="preserve">training </w:t>
      </w:r>
      <w:r w:rsidR="00621AAD">
        <w:t xml:space="preserve">like the ones offered by the </w:t>
      </w:r>
      <w:r w:rsidR="000D573F">
        <w:t>LLLC Pilot</w:t>
      </w:r>
      <w:r>
        <w:t>.</w:t>
      </w:r>
      <w:r>
        <w:rPr>
          <w:rStyle w:val="FootnoteReference"/>
        </w:rPr>
        <w:footnoteReference w:id="13"/>
      </w:r>
      <w:r>
        <w:t xml:space="preserve"> </w:t>
      </w:r>
    </w:p>
    <w:p w14:paraId="6E7A69BD" w14:textId="3281607E" w:rsidR="00365607" w:rsidRDefault="00365607" w:rsidP="00365607">
      <w:r>
        <w:t xml:space="preserve">Despite </w:t>
      </w:r>
      <w:r w:rsidR="00091564">
        <w:t xml:space="preserve">the </w:t>
      </w:r>
      <w:r>
        <w:t>perceived complexity of LLLC installations, one lighting designer reported</w:t>
      </w:r>
      <w:r w:rsidR="000A107D">
        <w:t xml:space="preserve"> in an interview with BetterBricks</w:t>
      </w:r>
      <w:r>
        <w:t xml:space="preserve"> that wiring for LLLCs is not necessarily more difficult or time-consuming than standard lighting and that LLLCs are more straightforward to work with at the fixture level than standard controls.</w:t>
      </w:r>
      <w:r>
        <w:rPr>
          <w:rStyle w:val="FootnoteReference"/>
        </w:rPr>
        <w:footnoteReference w:id="14"/>
      </w:r>
      <w:r w:rsidR="000A107D">
        <w:t xml:space="preserve"> Most respondents to the trade ally survey who install LLLCs </w:t>
      </w:r>
      <w:r w:rsidR="00A47554">
        <w:t xml:space="preserve">(n=8), also indicated </w:t>
      </w:r>
      <w:r w:rsidR="000A107D">
        <w:t>that LLLCs were no more difficult to install than other lighting fixtures.</w:t>
      </w:r>
      <w:r>
        <w:t xml:space="preserve"> </w:t>
      </w:r>
    </w:p>
    <w:p w14:paraId="6937608F" w14:textId="6DB089B0" w:rsidR="00365607" w:rsidRDefault="00365607" w:rsidP="00FA4669">
      <w:pPr>
        <w:keepNext/>
        <w:keepLines/>
      </w:pPr>
      <w:r>
        <w:lastRenderedPageBreak/>
        <w:t xml:space="preserve">Lastly, </w:t>
      </w:r>
      <w:r w:rsidR="00091564">
        <w:t>the literature indicates</w:t>
      </w:r>
      <w:r>
        <w:t xml:space="preserve"> </w:t>
      </w:r>
      <w:r w:rsidR="00435180">
        <w:t xml:space="preserve">inconsistency with LLLC naming conventions and standards. Contractors interviewed in a 2020 </w:t>
      </w:r>
      <w:r w:rsidR="00C70A42">
        <w:t xml:space="preserve">LLLC Market </w:t>
      </w:r>
      <w:r w:rsidR="0086246E">
        <w:t>Characterization</w:t>
      </w:r>
      <w:r w:rsidR="00C70A42">
        <w:t xml:space="preserve"> study </w:t>
      </w:r>
      <w:r w:rsidR="00435180">
        <w:t>had sometimes heard LLLCs referred to as “embedded controls” or “individual controls</w:t>
      </w:r>
      <w:r w:rsidR="0030657A">
        <w:t>.” They expressed</w:t>
      </w:r>
      <w:r>
        <w:t xml:space="preserve"> confusion as to whether this terminology applied to broader lighting control systems or individual fixtures.</w:t>
      </w:r>
      <w:r>
        <w:rPr>
          <w:rStyle w:val="FootnoteReference"/>
        </w:rPr>
        <w:footnoteReference w:id="15"/>
      </w:r>
      <w:r>
        <w:t xml:space="preserve"> Given the terminology inconsistency, contractors may struggle to understand the specific use cases and benefits of LLLCs. Further,</w:t>
      </w:r>
      <w:r w:rsidR="00C70A42">
        <w:t xml:space="preserve"> NEEA’s 2016 LLLC Market Characterization found that</w:t>
      </w:r>
      <w:r>
        <w:t xml:space="preserve"> some LLLC products do not fit the </w:t>
      </w:r>
      <w:proofErr w:type="spellStart"/>
      <w:r>
        <w:t>DesignLights</w:t>
      </w:r>
      <w:proofErr w:type="spellEnd"/>
      <w:r>
        <w:t xml:space="preserve"> Consortium’s standards for LLLCs, which require n</w:t>
      </w:r>
      <w:r w:rsidRPr="00F64B50">
        <w:t>etworking of luminaires and devices, high-end trim, and software reconfigurable zoning</w:t>
      </w:r>
      <w:r>
        <w:t>.</w:t>
      </w:r>
      <w:r>
        <w:rPr>
          <w:rStyle w:val="FootnoteReference"/>
        </w:rPr>
        <w:footnoteReference w:id="16"/>
      </w:r>
    </w:p>
    <w:p w14:paraId="0C80332E" w14:textId="77777777" w:rsidR="00365607" w:rsidRDefault="00365607" w:rsidP="00557294">
      <w:pPr>
        <w:pStyle w:val="Heading4"/>
        <w:keepNext/>
        <w:keepLines/>
      </w:pPr>
      <w:r>
        <w:t>Pathways</w:t>
      </w:r>
    </w:p>
    <w:p w14:paraId="5CE59E50" w14:textId="3C9DFBD1" w:rsidR="00DE040B" w:rsidRDefault="00365607" w:rsidP="00A15AF0">
      <w:r>
        <w:t xml:space="preserve">Several market interventions </w:t>
      </w:r>
      <w:r w:rsidR="00101055">
        <w:t xml:space="preserve">have </w:t>
      </w:r>
      <w:r w:rsidR="00435180">
        <w:t xml:space="preserve">the </w:t>
      </w:r>
      <w:r w:rsidR="00101055">
        <w:t>potential to</w:t>
      </w:r>
      <w:r>
        <w:t xml:space="preserve"> help increase LLLC adoption, including improved energy codes, promotion through lighting designers, and incentive programs for distributors, contractors, and end users. </w:t>
      </w:r>
      <w:r w:rsidR="00DE040B">
        <w:t xml:space="preserve">According to the US Office of Energy Efficiency and Renewable Energy, the </w:t>
      </w:r>
      <w:r w:rsidR="00CD012C">
        <w:t>DOE</w:t>
      </w:r>
      <w:r w:rsidR="00DE040B">
        <w:t xml:space="preserve"> deemed two different code models for determining residential and commercial energy savings.</w:t>
      </w:r>
      <w:r w:rsidR="00DE040B">
        <w:rPr>
          <w:rStyle w:val="FootnoteReference"/>
        </w:rPr>
        <w:footnoteReference w:id="17"/>
      </w:r>
      <w:r w:rsidR="00DE040B">
        <w:t xml:space="preserve"> The commercial model code is the American Society of Heating, Refrigerating, and Air-Conditioning Engineers (ASHRAE) Standard 90.1-2019.</w:t>
      </w:r>
      <w:r w:rsidR="00DE040B">
        <w:rPr>
          <w:rStyle w:val="FootnoteReference"/>
        </w:rPr>
        <w:footnoteReference w:id="18"/>
      </w:r>
      <w:r w:rsidR="00DE040B">
        <w:t xml:space="preserve"> Each model code is updated every three years. These model codes </w:t>
      </w:r>
      <w:r w:rsidR="00C11DE2">
        <w:t>reflect</w:t>
      </w:r>
      <w:r w:rsidR="00DE040B">
        <w:t xml:space="preserve"> recommendations from the DOE and are not adopted as standard practice by every state. Currently, fifteen states, including Illinois, enforce the 2019 version of the ASHRAE (90.1-2019) as their state commercial energy code.</w:t>
      </w:r>
      <w:r w:rsidR="00DE040B">
        <w:rPr>
          <w:rStyle w:val="FootnoteReference"/>
        </w:rPr>
        <w:footnoteReference w:id="19"/>
      </w:r>
      <w:r w:rsidR="00A47554">
        <w:t xml:space="preserve"> However, the</w:t>
      </w:r>
      <w:r w:rsidR="00DE040B">
        <w:t xml:space="preserve"> ASHRAE's most recent version (2019 with 2022 addenda) does not include LLLCs.</w:t>
      </w:r>
      <w:r w:rsidR="00DE040B">
        <w:rPr>
          <w:rStyle w:val="FootnoteReference"/>
        </w:rPr>
        <w:footnoteReference w:id="20"/>
      </w:r>
      <w:r w:rsidR="00DE040B">
        <w:t xml:space="preserve"> </w:t>
      </w:r>
    </w:p>
    <w:p w14:paraId="5F58CBDB" w14:textId="5D6A0DA3" w:rsidR="00365607" w:rsidRDefault="00365607" w:rsidP="00FA4669">
      <w:r>
        <w:t xml:space="preserve">Utilities and other organizations can also offer monetary incentives for increased manufacturing, </w:t>
      </w:r>
      <w:r w:rsidR="00435180">
        <w:t>sales</w:t>
      </w:r>
      <w:r>
        <w:t xml:space="preserve">, and installation of LLLCs. These incentives </w:t>
      </w:r>
      <w:r w:rsidR="00CB65DF">
        <w:t>are</w:t>
      </w:r>
      <w:r>
        <w:t xml:space="preserve"> applied to the cost of the LLLC system at different levels of the supply chain to motivate different market actors. </w:t>
      </w:r>
      <w:r w:rsidR="00257676">
        <w:t xml:space="preserve">For example, </w:t>
      </w:r>
      <w:r>
        <w:t xml:space="preserve">AIC currently offers </w:t>
      </w:r>
      <w:r w:rsidR="00CD012C">
        <w:t>incentives to business customers to install</w:t>
      </w:r>
      <w:r w:rsidR="00257676">
        <w:t xml:space="preserve"> </w:t>
      </w:r>
      <w:r>
        <w:t>LLLC</w:t>
      </w:r>
      <w:r w:rsidR="00257676">
        <w:t xml:space="preserve">s </w:t>
      </w:r>
      <w:r>
        <w:t xml:space="preserve">through </w:t>
      </w:r>
      <w:r w:rsidR="00CA4A8E">
        <w:t xml:space="preserve">the </w:t>
      </w:r>
      <w:r>
        <w:t>Standard</w:t>
      </w:r>
      <w:r w:rsidR="00CA4A8E">
        <w:t xml:space="preserve"> Initiative</w:t>
      </w:r>
      <w:r>
        <w:t xml:space="preserve"> and Small Business Initiative. </w:t>
      </w:r>
      <w:r w:rsidR="00CA4A8E">
        <w:t>R</w:t>
      </w:r>
      <w:r>
        <w:t xml:space="preserve">esearch </w:t>
      </w:r>
      <w:r w:rsidR="00CA4A8E">
        <w:t xml:space="preserve">elsewhere </w:t>
      </w:r>
      <w:r>
        <w:t xml:space="preserve">suggests </w:t>
      </w:r>
      <w:r w:rsidR="00435180">
        <w:t xml:space="preserve">that </w:t>
      </w:r>
      <w:r>
        <w:t xml:space="preserve">upstream incentives for manufacturers and distributors </w:t>
      </w:r>
      <w:r w:rsidR="00CA4A8E">
        <w:t>can lower</w:t>
      </w:r>
      <w:r>
        <w:t xml:space="preserve"> </w:t>
      </w:r>
      <w:r w:rsidR="00435180">
        <w:t>customer production costs and upfront costs</w:t>
      </w:r>
      <w:r>
        <w:t xml:space="preserve">. </w:t>
      </w:r>
      <w:r w:rsidR="00C70A42">
        <w:t xml:space="preserve">According to lighting market actors interviewed across the country by the publication BetterBricks, </w:t>
      </w:r>
      <w:r w:rsidR="007E11C6">
        <w:t xml:space="preserve">some </w:t>
      </w:r>
      <w:r w:rsidR="00C11DE2">
        <w:t>companies</w:t>
      </w:r>
      <w:r w:rsidR="00C70A42">
        <w:t xml:space="preserve"> elsewhere in the country</w:t>
      </w:r>
      <w:r w:rsidR="007E11C6">
        <w:t xml:space="preserve"> have experimented with offering </w:t>
      </w:r>
      <w:r>
        <w:t>“Lighting as a Service</w:t>
      </w:r>
      <w:r w:rsidR="007E11C6">
        <w:t>,</w:t>
      </w:r>
      <w:r>
        <w:t>”</w:t>
      </w:r>
      <w:r w:rsidR="007E11C6">
        <w:t xml:space="preserve"> opting to lease equipment rather than </w:t>
      </w:r>
      <w:r w:rsidR="00C11DE2">
        <w:t>purchasing</w:t>
      </w:r>
      <w:r w:rsidR="007E11C6">
        <w:t>,</w:t>
      </w:r>
      <w:r w:rsidR="00C11DE2">
        <w:t xml:space="preserve"> with the intent of allowing</w:t>
      </w:r>
      <w:r w:rsidR="007E11C6">
        <w:t xml:space="preserve"> </w:t>
      </w:r>
      <w:r>
        <w:t>end</w:t>
      </w:r>
      <w:r w:rsidR="00597440">
        <w:t xml:space="preserve"> </w:t>
      </w:r>
      <w:r>
        <w:t>users t</w:t>
      </w:r>
      <w:r w:rsidR="007E11C6">
        <w:t xml:space="preserve">o continually </w:t>
      </w:r>
      <w:r>
        <w:t>upgrade the</w:t>
      </w:r>
      <w:r w:rsidR="007E11C6">
        <w:t>ir</w:t>
      </w:r>
      <w:r>
        <w:t xml:space="preserve"> system as</w:t>
      </w:r>
      <w:r w:rsidR="00C11DE2">
        <w:t xml:space="preserve"> new</w:t>
      </w:r>
      <w:r>
        <w:t xml:space="preserve"> technology </w:t>
      </w:r>
      <w:r w:rsidR="00C11DE2">
        <w:t>is developed or becomes available</w:t>
      </w:r>
      <w:r>
        <w:t>.</w:t>
      </w:r>
      <w:r w:rsidR="00C70A42">
        <w:rPr>
          <w:rStyle w:val="FootnoteReference"/>
        </w:rPr>
        <w:footnoteReference w:id="21"/>
      </w:r>
      <w:r w:rsidR="00C70A42">
        <w:t xml:space="preserve"> </w:t>
      </w:r>
      <w:r w:rsidR="007E11C6">
        <w:t>M</w:t>
      </w:r>
      <w:r>
        <w:t xml:space="preserve">arket actors </w:t>
      </w:r>
      <w:r w:rsidR="007E11C6">
        <w:t xml:space="preserve">familiar with “Lighting as a Service” offerings </w:t>
      </w:r>
      <w:r w:rsidR="00435180">
        <w:t>suggested</w:t>
      </w:r>
      <w:r w:rsidR="007E11C6">
        <w:t xml:space="preserve"> </w:t>
      </w:r>
      <w:r w:rsidR="00CD012C">
        <w:t>that these programs can be used</w:t>
      </w:r>
      <w:r>
        <w:t xml:space="preserve"> in both new construction and retrofit scenarios. </w:t>
      </w:r>
    </w:p>
    <w:p w14:paraId="6C91715D" w14:textId="3BBB69C1" w:rsidR="00365607" w:rsidRDefault="007E11C6" w:rsidP="001561A1">
      <w:pPr>
        <w:keepNext/>
        <w:keepLines/>
      </w:pPr>
      <w:r>
        <w:lastRenderedPageBreak/>
        <w:t xml:space="preserve">Educational programs and </w:t>
      </w:r>
      <w:r w:rsidR="00435180">
        <w:t>training</w:t>
      </w:r>
      <w:r>
        <w:t xml:space="preserve">—like those currently offered by the </w:t>
      </w:r>
      <w:r w:rsidR="000D573F">
        <w:t>LLLC Pilot</w:t>
      </w:r>
      <w:r w:rsidR="00CB65DF">
        <w:t>—represent another pathway to increasing LLLC installation</w:t>
      </w:r>
      <w:r w:rsidR="00A47554">
        <w:t>.</w:t>
      </w:r>
      <w:r w:rsidR="00CB65DF">
        <w:t xml:space="preserve"> </w:t>
      </w:r>
      <w:r w:rsidR="00A47554">
        <w:t>A</w:t>
      </w:r>
      <w:r w:rsidR="00C70A42">
        <w:t xml:space="preserve"> study by Cadeo in 2023</w:t>
      </w:r>
      <w:r w:rsidR="00CB65DF">
        <w:t xml:space="preserve"> </w:t>
      </w:r>
      <w:r w:rsidR="00C11DE2">
        <w:t>emphasize</w:t>
      </w:r>
      <w:r w:rsidR="00A47554">
        <w:t>d</w:t>
      </w:r>
      <w:r w:rsidR="00CB65DF">
        <w:t xml:space="preserve"> the popularity of these training opportunities</w:t>
      </w:r>
      <w:r>
        <w:t xml:space="preserve"> among contractors</w:t>
      </w:r>
      <w:r w:rsidR="00365607">
        <w:t>.</w:t>
      </w:r>
      <w:r w:rsidR="00365607">
        <w:rPr>
          <w:rStyle w:val="FootnoteReference"/>
        </w:rPr>
        <w:footnoteReference w:id="22"/>
      </w:r>
      <w:r w:rsidR="00365607">
        <w:t xml:space="preserve"> </w:t>
      </w:r>
      <w:r w:rsidR="00C11DE2">
        <w:t>Meanwhile, a</w:t>
      </w:r>
      <w:r w:rsidR="00C70A42">
        <w:t xml:space="preserve"> 2016 Market </w:t>
      </w:r>
      <w:r w:rsidR="00C11DE2">
        <w:t>Characterization</w:t>
      </w:r>
      <w:r w:rsidR="00C70A42">
        <w:t xml:space="preserve"> </w:t>
      </w:r>
      <w:r w:rsidR="00C11DE2">
        <w:t xml:space="preserve">Study </w:t>
      </w:r>
      <w:r w:rsidR="00C70A42">
        <w:t>from NEEA</w:t>
      </w:r>
      <w:r w:rsidR="00C11DE2">
        <w:t xml:space="preserve"> </w:t>
      </w:r>
      <w:r w:rsidR="00365607">
        <w:t xml:space="preserve">found that </w:t>
      </w:r>
      <w:r w:rsidR="007667F7">
        <w:t>many</w:t>
      </w:r>
      <w:r w:rsidR="00365607">
        <w:t xml:space="preserve"> LLLC manufacturers </w:t>
      </w:r>
      <w:r w:rsidR="007667F7">
        <w:t xml:space="preserve">also </w:t>
      </w:r>
      <w:r w:rsidR="00365607">
        <w:t xml:space="preserve">offer their training </w:t>
      </w:r>
      <w:r w:rsidR="007667F7">
        <w:t>for</w:t>
      </w:r>
      <w:r w:rsidR="00365607">
        <w:t xml:space="preserve"> installers </w:t>
      </w:r>
      <w:r w:rsidR="007667F7">
        <w:t>to learn about</w:t>
      </w:r>
      <w:r w:rsidR="00365607">
        <w:t xml:space="preserve"> their </w:t>
      </w:r>
      <w:r w:rsidR="007667F7">
        <w:t>specific</w:t>
      </w:r>
      <w:r w:rsidR="00365607">
        <w:t xml:space="preserve"> products</w:t>
      </w:r>
      <w:r w:rsidR="00C11DE2">
        <w:t xml:space="preserve"> but do not necessarily provide broader education around new technologies</w:t>
      </w:r>
      <w:r w:rsidR="00365607">
        <w:t>.</w:t>
      </w:r>
      <w:r w:rsidR="00365607">
        <w:rPr>
          <w:rStyle w:val="FootnoteReference"/>
        </w:rPr>
        <w:footnoteReference w:id="23"/>
      </w:r>
      <w:r w:rsidR="00365607">
        <w:t xml:space="preserve"> </w:t>
      </w:r>
      <w:r w:rsidR="007667F7">
        <w:t xml:space="preserve">The same </w:t>
      </w:r>
      <w:r w:rsidR="00435180">
        <w:t>study also</w:t>
      </w:r>
      <w:r w:rsidR="00365607">
        <w:t xml:space="preserve"> </w:t>
      </w:r>
      <w:r w:rsidR="007667F7">
        <w:t>concluded</w:t>
      </w:r>
      <w:r w:rsidR="00365607">
        <w:t xml:space="preserve"> that existing training programs through utilities and third-party providers are essential to </w:t>
      </w:r>
      <w:r w:rsidR="00C11DE2">
        <w:t>promoting LLLC awareness among installers</w:t>
      </w:r>
      <w:r w:rsidR="00F15C10">
        <w:t>, highlighting the</w:t>
      </w:r>
      <w:r w:rsidR="007667F7">
        <w:t xml:space="preserve"> value of </w:t>
      </w:r>
      <w:r w:rsidR="00F15C10">
        <w:t xml:space="preserve">continued LLLC </w:t>
      </w:r>
      <w:r w:rsidR="00365607">
        <w:t xml:space="preserve">training </w:t>
      </w:r>
      <w:r w:rsidR="007667F7">
        <w:t>for</w:t>
      </w:r>
      <w:r w:rsidR="00F15C10">
        <w:t xml:space="preserve"> keeping installers updated on new developments and encouraging </w:t>
      </w:r>
      <w:r w:rsidR="00365607">
        <w:t xml:space="preserve">adoption </w:t>
      </w:r>
      <w:r w:rsidR="00F15C10">
        <w:t>of the technology</w:t>
      </w:r>
      <w:r w:rsidR="00365607">
        <w:t>.</w:t>
      </w:r>
      <w:r w:rsidR="00365607">
        <w:rPr>
          <w:rStyle w:val="FootnoteReference"/>
        </w:rPr>
        <w:footnoteReference w:id="24"/>
      </w:r>
    </w:p>
    <w:p w14:paraId="22B6F0B4" w14:textId="77777777" w:rsidR="00365607" w:rsidRDefault="00365607" w:rsidP="00F15C10">
      <w:pPr>
        <w:pStyle w:val="Heading4"/>
        <w:keepNext/>
        <w:keepLines/>
      </w:pPr>
      <w:r>
        <w:t>Use Cases for LLLCs</w:t>
      </w:r>
    </w:p>
    <w:p w14:paraId="5F3CDCDD" w14:textId="03A32BB9" w:rsidR="00365607" w:rsidRPr="002F34AB" w:rsidRDefault="00F15C10" w:rsidP="00763818">
      <w:pPr>
        <w:rPr>
          <w:rStyle w:val="SubtleReference"/>
          <w:smallCaps w:val="0"/>
          <w:color w:val="4A4D56" w:themeColor="text1"/>
        </w:rPr>
      </w:pPr>
      <w:r>
        <w:t>New construction of large facilities and large-scale lighting retrofits represent</w:t>
      </w:r>
      <w:r w:rsidR="00365607">
        <w:t xml:space="preserve"> prime candidates for LLLC</w:t>
      </w:r>
      <w:r>
        <w:t xml:space="preserve"> systems</w:t>
      </w:r>
      <w:r w:rsidR="00365607">
        <w:t xml:space="preserve">. </w:t>
      </w:r>
      <w:r>
        <w:t>One</w:t>
      </w:r>
      <w:r w:rsidR="00C70A42">
        <w:t xml:space="preserve"> 2021 study of Massachusetts market actors </w:t>
      </w:r>
      <w:r w:rsidR="00365607">
        <w:t xml:space="preserve">suggests that most conversion </w:t>
      </w:r>
      <w:r w:rsidR="00CD012C">
        <w:t xml:space="preserve">of </w:t>
      </w:r>
      <w:r w:rsidR="00D95266">
        <w:t xml:space="preserve">controls </w:t>
      </w:r>
      <w:r w:rsidR="00365607">
        <w:t>happens</w:t>
      </w:r>
      <w:r w:rsidR="00D95266">
        <w:t xml:space="preserve"> during</w:t>
      </w:r>
      <w:r w:rsidR="00365607">
        <w:t xml:space="preserve"> large</w:t>
      </w:r>
      <w:r>
        <w:t xml:space="preserve">-scale lighting </w:t>
      </w:r>
      <w:r w:rsidR="00365607">
        <w:t>replacement</w:t>
      </w:r>
      <w:r w:rsidR="00D95266">
        <w:t xml:space="preserve"> project</w:t>
      </w:r>
      <w:r w:rsidR="00365607">
        <w:t>s.</w:t>
      </w:r>
      <w:r w:rsidR="00365607">
        <w:rPr>
          <w:rStyle w:val="FootnoteReference"/>
        </w:rPr>
        <w:footnoteReference w:id="25"/>
      </w:r>
      <w:r w:rsidR="00365607">
        <w:t xml:space="preserve"> Other market actors </w:t>
      </w:r>
      <w:r>
        <w:t xml:space="preserve">often indicated that </w:t>
      </w:r>
      <w:r w:rsidR="00365607">
        <w:t xml:space="preserve">schools, office buildings, and hospitals are ideal </w:t>
      </w:r>
      <w:r>
        <w:t>facility</w:t>
      </w:r>
      <w:r w:rsidR="00365607">
        <w:t xml:space="preserve"> type</w:t>
      </w:r>
      <w:r>
        <w:t>s</w:t>
      </w:r>
      <w:r w:rsidR="00365607">
        <w:t xml:space="preserve"> for LLLCs and NLCs</w:t>
      </w:r>
      <w:r w:rsidR="00435180">
        <w:t>, given their need for large-area</w:t>
      </w:r>
      <w:r w:rsidR="00365607">
        <w:t xml:space="preserve"> lighting.</w:t>
      </w:r>
      <w:r w:rsidR="00365607">
        <w:rPr>
          <w:rStyle w:val="FootnoteReference"/>
        </w:rPr>
        <w:footnoteReference w:id="26"/>
      </w:r>
      <w:r w:rsidR="00365607">
        <w:t xml:space="preserve"> </w:t>
      </w:r>
      <w:r w:rsidR="00B26965">
        <w:t xml:space="preserve"> Opinion Dynamics’ </w:t>
      </w:r>
      <w:r w:rsidR="00C70A42">
        <w:t xml:space="preserve">2022 </w:t>
      </w:r>
      <w:r w:rsidR="00B26965">
        <w:t xml:space="preserve">Nonresidential NEIs Case Study found </w:t>
      </w:r>
      <w:r>
        <w:t xml:space="preserve">that </w:t>
      </w:r>
      <w:r w:rsidR="00B26965">
        <w:t xml:space="preserve">LLLCs could be advantageous in </w:t>
      </w:r>
      <w:r w:rsidR="00CD012C">
        <w:t>healthcare</w:t>
      </w:r>
      <w:r w:rsidR="00B26965">
        <w:t xml:space="preserve"> settings or facilities with high-bay lighting to help reduce operations and maintenance costs by monitoring </w:t>
      </w:r>
      <w:r w:rsidR="00931033">
        <w:t>fixture</w:t>
      </w:r>
      <w:r w:rsidR="00B26965">
        <w:t xml:space="preserve"> lifecycles</w:t>
      </w:r>
      <w:r w:rsidR="00C70A42">
        <w:t xml:space="preserve"> and ensuring fixtures do not burn out while the facility is operating</w:t>
      </w:r>
      <w:r w:rsidR="00B26965">
        <w:t>.</w:t>
      </w:r>
      <w:r w:rsidR="00B26965">
        <w:rPr>
          <w:rStyle w:val="FootnoteReference"/>
        </w:rPr>
        <w:footnoteReference w:id="27"/>
      </w:r>
      <w:r w:rsidR="00C70A42">
        <w:t xml:space="preserve"> </w:t>
      </w:r>
      <w:r w:rsidR="00365607">
        <w:t xml:space="preserve">Further, as current lighting fixtures age, buildings constructed more than five years ago will soon be good candidates for upgrades to advanced lighting controls. </w:t>
      </w:r>
    </w:p>
    <w:p w14:paraId="3CF20252" w14:textId="77777777" w:rsidR="00365607" w:rsidRDefault="00365607" w:rsidP="00763818">
      <w:pPr>
        <w:pStyle w:val="Heading3"/>
      </w:pPr>
      <w:r>
        <w:t>Market Actors</w:t>
      </w:r>
    </w:p>
    <w:p w14:paraId="2B4FDD2E" w14:textId="12E118E1" w:rsidR="00365607" w:rsidRPr="004E3FFE" w:rsidRDefault="00435180" w:rsidP="001561A1">
      <w:r>
        <w:t xml:space="preserve">The market for LLLC equipment includes </w:t>
      </w:r>
      <w:r w:rsidR="00FA4669">
        <w:t xml:space="preserve">a variety of </w:t>
      </w:r>
      <w:r>
        <w:t>market actors</w:t>
      </w:r>
      <w:r w:rsidR="00431DE2">
        <w:t>,</w:t>
      </w:r>
      <w:r>
        <w:t xml:space="preserve"> </w:t>
      </w:r>
      <w:r w:rsidR="00FA4669">
        <w:t xml:space="preserve">including </w:t>
      </w:r>
      <w:r>
        <w:t>manufacturers, lighting designers,</w:t>
      </w:r>
      <w:r w:rsidR="00FA4669">
        <w:t xml:space="preserve"> contractors,</w:t>
      </w:r>
      <w:r>
        <w:t xml:space="preserve"> and end users</w:t>
      </w:r>
      <w:r w:rsidR="00365607">
        <w:t xml:space="preserve">. This section reviews the intricacies of the LLLC supply chain and available research on market actors’ experiences with LLLCs. </w:t>
      </w:r>
    </w:p>
    <w:p w14:paraId="31E4FBF0" w14:textId="77777777" w:rsidR="00365607" w:rsidRDefault="00365607" w:rsidP="001561A1">
      <w:pPr>
        <w:pStyle w:val="Heading4"/>
        <w:keepNext/>
        <w:keepLines/>
      </w:pPr>
      <w:r>
        <w:t>Supply Chain</w:t>
      </w:r>
    </w:p>
    <w:p w14:paraId="0C1F6C1E" w14:textId="19F51556" w:rsidR="001561A1" w:rsidRDefault="00365607" w:rsidP="001561A1">
      <w:pPr>
        <w:widowControl w:val="0"/>
      </w:pPr>
      <w:r>
        <w:t xml:space="preserve">The supply chain for LLLCs and other </w:t>
      </w:r>
      <w:r w:rsidR="001828E6">
        <w:t>NLC</w:t>
      </w:r>
      <w:r>
        <w:t xml:space="preserve"> systems follows a similar path to typical lighting fixtures</w:t>
      </w:r>
      <w:r w:rsidR="00435180">
        <w:t xml:space="preserve"> but</w:t>
      </w:r>
      <w:r>
        <w:t xml:space="preserve"> with some </w:t>
      </w:r>
      <w:r w:rsidR="007667F7">
        <w:t>notable differences</w:t>
      </w:r>
      <w:r>
        <w:t xml:space="preserve">. </w:t>
      </w:r>
      <w:r w:rsidR="00CE3BD2">
        <w:t xml:space="preserve">DNV’s 2021 Market Study found </w:t>
      </w:r>
      <w:r w:rsidR="00134A5A">
        <w:t xml:space="preserve">that </w:t>
      </w:r>
      <w:r w:rsidR="00CE3BD2">
        <w:t>w</w:t>
      </w:r>
      <w:r>
        <w:t>hile most standard or standalone lighting controls</w:t>
      </w:r>
      <w:r w:rsidR="007667F7">
        <w:t xml:space="preserve"> are typically provided by</w:t>
      </w:r>
      <w:r>
        <w:t xml:space="preserve"> manufacturers directly to distributors or contractors/installers, connected lighting controls frequently pass through at least one other market actor before reaching distributors.</w:t>
      </w:r>
      <w:r>
        <w:rPr>
          <w:rStyle w:val="FootnoteReference"/>
        </w:rPr>
        <w:footnoteReference w:id="28"/>
      </w:r>
      <w:r>
        <w:t xml:space="preserve"> Some LLLC manufacturers do not install the </w:t>
      </w:r>
      <w:r w:rsidR="00435180">
        <w:t xml:space="preserve">control packages themselves, </w:t>
      </w:r>
      <w:r w:rsidR="00431DE2">
        <w:t xml:space="preserve">instead sending equipment to a technical specifier for setting up and installing control </w:t>
      </w:r>
      <w:r>
        <w:t>package</w:t>
      </w:r>
      <w:r w:rsidR="00A47554">
        <w:t>s</w:t>
      </w:r>
      <w:r w:rsidR="001561A1">
        <w:t>, and may also coordinate</w:t>
      </w:r>
      <w:r w:rsidR="00431DE2">
        <w:t xml:space="preserve"> with contractors or end users to</w:t>
      </w:r>
      <w:r>
        <w:t xml:space="preserve"> plan out the best equipment for their</w:t>
      </w:r>
      <w:r w:rsidR="001561A1">
        <w:t xml:space="preserve"> use case</w:t>
      </w:r>
      <w:r>
        <w:t xml:space="preserve">. </w:t>
      </w:r>
      <w:r w:rsidR="00CE3BD2">
        <w:t>NEEA’s 2016 Market Study</w:t>
      </w:r>
      <w:r w:rsidR="00F15C10">
        <w:t xml:space="preserve"> also</w:t>
      </w:r>
      <w:r w:rsidR="00CE3BD2">
        <w:t xml:space="preserve"> </w:t>
      </w:r>
      <w:r w:rsidR="00F15C10">
        <w:t>reported</w:t>
      </w:r>
      <w:r w:rsidR="00CE3BD2">
        <w:t xml:space="preserve"> that e</w:t>
      </w:r>
      <w:r>
        <w:t xml:space="preserve">quipment is </w:t>
      </w:r>
      <w:r w:rsidR="00F15C10">
        <w:t>often</w:t>
      </w:r>
      <w:r>
        <w:t xml:space="preserve"> passed </w:t>
      </w:r>
      <w:r w:rsidR="00F15C10">
        <w:t xml:space="preserve">on </w:t>
      </w:r>
      <w:r>
        <w:t>to lighting distributors and larger lighting contractors</w:t>
      </w:r>
      <w:r w:rsidR="00F15C10">
        <w:t>, and s</w:t>
      </w:r>
      <w:r>
        <w:t xml:space="preserve">maller contractors tend to purchase their equipment from </w:t>
      </w:r>
      <w:r w:rsidR="00F15C10">
        <w:t xml:space="preserve">those </w:t>
      </w:r>
      <w:r>
        <w:t>distributors.</w:t>
      </w:r>
      <w:r>
        <w:rPr>
          <w:rStyle w:val="FootnoteReference"/>
        </w:rPr>
        <w:footnoteReference w:id="29"/>
      </w:r>
      <w:r>
        <w:t xml:space="preserve"> </w:t>
      </w:r>
    </w:p>
    <w:p w14:paraId="38A1F1F1" w14:textId="055FD750" w:rsidR="00365607" w:rsidRDefault="00A3283C" w:rsidP="001561A1">
      <w:pPr>
        <w:widowControl w:val="0"/>
      </w:pPr>
      <w:r>
        <w:lastRenderedPageBreak/>
        <w:fldChar w:fldCharType="begin"/>
      </w:r>
      <w:r>
        <w:instrText xml:space="preserve"> REF _Ref189728315 \h </w:instrText>
      </w:r>
      <w:r>
        <w:fldChar w:fldCharType="separate"/>
      </w:r>
      <w:r w:rsidR="00D0329D">
        <w:t xml:space="preserve">Figure </w:t>
      </w:r>
      <w:r w:rsidR="00D0329D">
        <w:rPr>
          <w:noProof/>
        </w:rPr>
        <w:t>10</w:t>
      </w:r>
      <w:r>
        <w:fldChar w:fldCharType="end"/>
      </w:r>
      <w:r w:rsidR="000671C2">
        <w:t xml:space="preserve"> </w:t>
      </w:r>
      <w:r w:rsidR="00365607">
        <w:t>below displays the flow of materials and LLLC equipment to different actors in the supply chain.</w:t>
      </w:r>
      <w:r w:rsidR="00365607">
        <w:rPr>
          <w:rStyle w:val="FootnoteReference"/>
        </w:rPr>
        <w:footnoteReference w:id="30"/>
      </w:r>
    </w:p>
    <w:p w14:paraId="37CB7687" w14:textId="503AA343" w:rsidR="00365607" w:rsidRDefault="00365607" w:rsidP="00287BC8">
      <w:pPr>
        <w:pStyle w:val="Caption"/>
      </w:pPr>
      <w:bookmarkStart w:id="69" w:name="_Ref189728315"/>
      <w:bookmarkStart w:id="70" w:name="_Toc192173123"/>
      <w:r>
        <w:t xml:space="preserve">Figure </w:t>
      </w:r>
      <w:r>
        <w:fldChar w:fldCharType="begin"/>
      </w:r>
      <w:r>
        <w:instrText xml:space="preserve"> SEQ Figure \* ARABIC </w:instrText>
      </w:r>
      <w:r>
        <w:fldChar w:fldCharType="separate"/>
      </w:r>
      <w:r w:rsidR="00D0329D">
        <w:rPr>
          <w:noProof/>
        </w:rPr>
        <w:t>10</w:t>
      </w:r>
      <w:r>
        <w:fldChar w:fldCharType="end"/>
      </w:r>
      <w:bookmarkEnd w:id="69"/>
      <w:r>
        <w:t>. LLLC Supply Chain</w:t>
      </w:r>
      <w:r w:rsidR="00D0329D">
        <w:t xml:space="preserve"> Overview</w:t>
      </w:r>
      <w:bookmarkEnd w:id="70"/>
    </w:p>
    <w:p w14:paraId="00E9AC85" w14:textId="41AE46DA" w:rsidR="00A3283C" w:rsidRDefault="00DD4B0B" w:rsidP="00287BC8">
      <w:pPr>
        <w:pStyle w:val="Caption"/>
      </w:pPr>
      <w:r>
        <w:rPr>
          <w:noProof/>
        </w:rPr>
        <w:drawing>
          <wp:inline distT="0" distB="0" distL="0" distR="0" wp14:anchorId="03C2A90C" wp14:editId="1B71F128">
            <wp:extent cx="6097905" cy="2962910"/>
            <wp:effectExtent l="0" t="0" r="0" b="8890"/>
            <wp:docPr id="11490493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a:extLst>
                        <a:ext uri="{28A0092B-C50C-407E-A947-70E740481C1C}">
                          <a14:useLocalDpi xmlns:a14="http://schemas.microsoft.com/office/drawing/2010/main" val="0"/>
                        </a:ext>
                      </a:extLst>
                    </a:blip>
                    <a:srcRect l="-22128" r="-1"/>
                    <a:stretch/>
                  </pic:blipFill>
                  <pic:spPr bwMode="auto">
                    <a:xfrm>
                      <a:off x="0" y="0"/>
                      <a:ext cx="6097905" cy="2962910"/>
                    </a:xfrm>
                    <a:prstGeom prst="rect">
                      <a:avLst/>
                    </a:prstGeom>
                    <a:noFill/>
                    <a:ln>
                      <a:noFill/>
                    </a:ln>
                    <a:extLst>
                      <a:ext uri="{53640926-AAD7-44D8-BBD7-CCE9431645EC}">
                        <a14:shadowObscured xmlns:a14="http://schemas.microsoft.com/office/drawing/2010/main"/>
                      </a:ext>
                    </a:extLst>
                  </pic:spPr>
                </pic:pic>
              </a:graphicData>
            </a:graphic>
          </wp:inline>
        </w:drawing>
      </w:r>
    </w:p>
    <w:p w14:paraId="6F16CD9D" w14:textId="77777777" w:rsidR="00365607" w:rsidRDefault="00365607" w:rsidP="00763818">
      <w:pPr>
        <w:pStyle w:val="Heading4"/>
        <w:keepNext/>
        <w:keepLines/>
      </w:pPr>
      <w:r>
        <w:t>Market Actor Experiences</w:t>
      </w:r>
    </w:p>
    <w:p w14:paraId="58DAFC0A" w14:textId="6022D299" w:rsidR="00365607" w:rsidRPr="0070291B" w:rsidRDefault="00365607" w:rsidP="001561A1">
      <w:r>
        <w:t xml:space="preserve">Market actors report </w:t>
      </w:r>
      <w:r w:rsidR="007667F7">
        <w:t>wide-ranging</w:t>
      </w:r>
      <w:r>
        <w:t xml:space="preserve"> experiences with LLLC manufacturing, sales, and installation, including</w:t>
      </w:r>
      <w:r w:rsidR="007667F7">
        <w:t xml:space="preserve"> key</w:t>
      </w:r>
      <w:r>
        <w:t xml:space="preserve"> challenges and successes. This section breaks down their experiences </w:t>
      </w:r>
      <w:r w:rsidR="007667F7">
        <w:t>and feedback based on available secondary research</w:t>
      </w:r>
      <w:r>
        <w:t>.</w:t>
      </w:r>
    </w:p>
    <w:p w14:paraId="6403FD26" w14:textId="77777777" w:rsidR="00365607" w:rsidRDefault="00365607" w:rsidP="00365607">
      <w:pPr>
        <w:pStyle w:val="Heading5"/>
      </w:pPr>
      <w:r>
        <w:t>Manufacturers and Distributors</w:t>
      </w:r>
    </w:p>
    <w:p w14:paraId="6E7FC353" w14:textId="61251217" w:rsidR="00365607" w:rsidRDefault="00250940" w:rsidP="00365607">
      <w:r>
        <w:t xml:space="preserve">Given the novelty of the technology, LLLC manufacturers include smaller companies and, therefore, </w:t>
      </w:r>
      <w:r w:rsidR="004308BB">
        <w:t xml:space="preserve">often </w:t>
      </w:r>
      <w:r>
        <w:t>follow a different supply chain than other standard lighting controls. Sometimes, LLLC manufacturers partner</w:t>
      </w:r>
      <w:r w:rsidR="00435180">
        <w:t xml:space="preserve"> with larger lighting manufacturers to incorporate control packages into</w:t>
      </w:r>
      <w:r w:rsidR="00F34CF0">
        <w:t xml:space="preserve"> existing fixture designs</w:t>
      </w:r>
      <w:r w:rsidR="00365607">
        <w:t xml:space="preserve">. </w:t>
      </w:r>
      <w:r w:rsidR="00F34CF0">
        <w:t xml:space="preserve">In other cases, </w:t>
      </w:r>
      <w:r w:rsidR="00365607">
        <w:t xml:space="preserve">larger lighting manufacturers </w:t>
      </w:r>
      <w:r w:rsidR="00F34CF0">
        <w:t xml:space="preserve">may design and </w:t>
      </w:r>
      <w:r w:rsidR="00365607">
        <w:t xml:space="preserve">produce both the </w:t>
      </w:r>
      <w:r w:rsidR="00435180">
        <w:t xml:space="preserve">control </w:t>
      </w:r>
      <w:r w:rsidR="00365607">
        <w:t>package and the lighting fixtures in-house.</w:t>
      </w:r>
      <w:r w:rsidR="00F34CF0">
        <w:t xml:space="preserve"> In some cases,</w:t>
      </w:r>
      <w:r w:rsidR="00365607">
        <w:t xml:space="preserve"> manufacturers </w:t>
      </w:r>
      <w:r w:rsidR="00F34CF0">
        <w:t xml:space="preserve">can also </w:t>
      </w:r>
      <w:r w:rsidR="00A47554">
        <w:t>customize</w:t>
      </w:r>
      <w:r w:rsidR="00365607">
        <w:t xml:space="preserve"> their </w:t>
      </w:r>
      <w:r w:rsidR="00435180">
        <w:t xml:space="preserve">products </w:t>
      </w:r>
      <w:r w:rsidR="00365607">
        <w:t>to the needs of specific end users and use cases.</w:t>
      </w:r>
      <w:r w:rsidR="00365607">
        <w:rPr>
          <w:rStyle w:val="FootnoteReference"/>
        </w:rPr>
        <w:footnoteReference w:id="31"/>
      </w:r>
      <w:r w:rsidR="00365607">
        <w:t xml:space="preserve"> In </w:t>
      </w:r>
      <w:r w:rsidR="00E10977">
        <w:t xml:space="preserve">a </w:t>
      </w:r>
      <w:r w:rsidR="00DE040B">
        <w:t>2021 Market Study,</w:t>
      </w:r>
      <w:r w:rsidR="00365607">
        <w:t xml:space="preserve"> </w:t>
      </w:r>
      <w:r w:rsidR="00F34CF0">
        <w:t xml:space="preserve">some </w:t>
      </w:r>
      <w:r w:rsidR="00365607">
        <w:t xml:space="preserve">manufacturers </w:t>
      </w:r>
      <w:r w:rsidR="00F34CF0">
        <w:t>suggested</w:t>
      </w:r>
      <w:r w:rsidR="00365607">
        <w:t xml:space="preserve"> </w:t>
      </w:r>
      <w:r w:rsidR="00435180">
        <w:t xml:space="preserve">that </w:t>
      </w:r>
      <w:r w:rsidR="00365607">
        <w:t xml:space="preserve">advanced lighting controls like LLLCs can be </w:t>
      </w:r>
      <w:r w:rsidR="00F34CF0">
        <w:t xml:space="preserve">prohibitively expensive for general lighting manufacturers to produce, lending some market security </w:t>
      </w:r>
      <w:r w:rsidR="00A47554">
        <w:t xml:space="preserve">(i.e., reduced competition) </w:t>
      </w:r>
      <w:r w:rsidR="00F34CF0">
        <w:t>to those companies with existing LLLC control package designs</w:t>
      </w:r>
      <w:r w:rsidR="00365607">
        <w:t xml:space="preserve">. </w:t>
      </w:r>
      <w:r w:rsidR="00DE040B">
        <w:rPr>
          <w:rStyle w:val="FootnoteReference"/>
        </w:rPr>
        <w:footnoteReference w:id="32"/>
      </w:r>
    </w:p>
    <w:p w14:paraId="36753F0A" w14:textId="61B8BE21" w:rsidR="00365607" w:rsidRDefault="00365607" w:rsidP="001561A1">
      <w:r>
        <w:t xml:space="preserve">Manufacturer experience with sales and promotion of LLLC products also varies. A survey of lighting manufacturers in Massachusetts found that </w:t>
      </w:r>
      <w:r w:rsidR="00435180">
        <w:t>they promoted LLLCs more frequently than they stocked them (57% and 43% of the time, respectively), which in some cases resulted from</w:t>
      </w:r>
      <w:r w:rsidR="00F34CF0">
        <w:t xml:space="preserve"> the need to commission individual designs to fit client needs.</w:t>
      </w:r>
      <w:r w:rsidR="00F34CF0">
        <w:rPr>
          <w:rStyle w:val="FootnoteReference"/>
        </w:rPr>
        <w:footnoteReference w:id="33"/>
      </w:r>
      <w:r>
        <w:t xml:space="preserve"> Designers </w:t>
      </w:r>
      <w:r w:rsidR="00F34CF0">
        <w:t xml:space="preserve">can </w:t>
      </w:r>
      <w:r>
        <w:t>also play an important role in helping manufacturers establish unique elements of each LLLC system they produce</w:t>
      </w:r>
      <w:r w:rsidR="00F34CF0">
        <w:t xml:space="preserve">. Some </w:t>
      </w:r>
      <w:r>
        <w:t>manufacturers</w:t>
      </w:r>
      <w:r w:rsidR="00F34CF0">
        <w:t xml:space="preserve"> also</w:t>
      </w:r>
      <w:r>
        <w:t xml:space="preserve"> reported difficulties quantifying LLLC sales </w:t>
      </w:r>
      <w:r w:rsidR="00F34CF0">
        <w:t xml:space="preserve">due to the variation in the </w:t>
      </w:r>
      <w:r w:rsidR="00F34CF0">
        <w:lastRenderedPageBreak/>
        <w:t>approaches to packaging and selling the equipment</w:t>
      </w:r>
      <w:r w:rsidR="00435180">
        <w:t xml:space="preserve">, where distinguishing between the number of fixtures and the </w:t>
      </w:r>
      <w:r w:rsidR="00F34CF0">
        <w:t>number of control packages is not always straightforward</w:t>
      </w:r>
      <w:r>
        <w:t>.</w:t>
      </w:r>
      <w:r>
        <w:rPr>
          <w:rStyle w:val="FootnoteReference"/>
        </w:rPr>
        <w:footnoteReference w:id="34"/>
      </w:r>
    </w:p>
    <w:p w14:paraId="4B002E16" w14:textId="77777777" w:rsidR="00365607" w:rsidRDefault="00365607" w:rsidP="00365607">
      <w:pPr>
        <w:pStyle w:val="Heading5"/>
      </w:pPr>
      <w:r>
        <w:t>Contractors</w:t>
      </w:r>
    </w:p>
    <w:p w14:paraId="7D00AF97" w14:textId="495E9B6C" w:rsidR="00597440" w:rsidRDefault="00365607" w:rsidP="00365607">
      <w:r>
        <w:t xml:space="preserve">As the last </w:t>
      </w:r>
      <w:r w:rsidR="00597440">
        <w:t>contributors to the</w:t>
      </w:r>
      <w:r>
        <w:t xml:space="preserve"> LLLC supply chain, contractors are crucial in </w:t>
      </w:r>
      <w:r w:rsidR="00597440">
        <w:t>driving</w:t>
      </w:r>
      <w:r>
        <w:t xml:space="preserve"> LLLC adoption</w:t>
      </w:r>
      <w:r w:rsidR="007D2B7F">
        <w:t xml:space="preserve"> and engaging directly with customers</w:t>
      </w:r>
      <w:r>
        <w:t xml:space="preserve">. </w:t>
      </w:r>
      <w:r w:rsidR="00597440">
        <w:t>In a 202</w:t>
      </w:r>
      <w:r w:rsidR="000661CF">
        <w:t>1</w:t>
      </w:r>
      <w:r w:rsidR="00597440">
        <w:t xml:space="preserve"> Massachusetts study, many contractors </w:t>
      </w:r>
      <w:r>
        <w:t xml:space="preserve">who do not install LLLCs said they </w:t>
      </w:r>
      <w:r w:rsidR="00597440">
        <w:t>we</w:t>
      </w:r>
      <w:r>
        <w:t>re</w:t>
      </w:r>
      <w:r w:rsidR="00597440">
        <w:t xml:space="preserve"> at least somewhat</w:t>
      </w:r>
      <w:r>
        <w:t xml:space="preserve"> familiar with advanced lighting control technology</w:t>
      </w:r>
      <w:r w:rsidR="00435180">
        <w:t xml:space="preserve"> but not well-versed enough to install LLLC systems confidently</w:t>
      </w:r>
      <w:r>
        <w:t>.</w:t>
      </w:r>
      <w:r w:rsidR="00597440">
        <w:rPr>
          <w:rStyle w:val="FootnoteReference"/>
        </w:rPr>
        <w:footnoteReference w:id="35"/>
      </w:r>
      <w:r>
        <w:t xml:space="preserve"> </w:t>
      </w:r>
      <w:r w:rsidR="00597440">
        <w:t>Contractors interviewed for</w:t>
      </w:r>
      <w:r w:rsidR="007D2B7F">
        <w:t xml:space="preserve"> a</w:t>
      </w:r>
      <w:r w:rsidR="000A107D">
        <w:t xml:space="preserve"> 2016 NEEA </w:t>
      </w:r>
      <w:r>
        <w:t xml:space="preserve">study </w:t>
      </w:r>
      <w:r w:rsidR="00597440">
        <w:t xml:space="preserve">actively advocated for additional </w:t>
      </w:r>
      <w:r>
        <w:t xml:space="preserve">training and education on LLLC systems, </w:t>
      </w:r>
      <w:r w:rsidR="00597440">
        <w:t xml:space="preserve">including those </w:t>
      </w:r>
      <w:r w:rsidR="00134A5A">
        <w:t>with</w:t>
      </w:r>
      <w:r w:rsidR="00597440">
        <w:t xml:space="preserve"> direct experience installing LLLCs</w:t>
      </w:r>
      <w:r w:rsidR="00435180">
        <w:t xml:space="preserve">. They emphasized that with </w:t>
      </w:r>
      <w:r>
        <w:t>the continuous innovation in advanced lighting controls, contractors will need ongoing support and training to keep up with technological changes.</w:t>
      </w:r>
      <w:r>
        <w:rPr>
          <w:rStyle w:val="FootnoteReference"/>
        </w:rPr>
        <w:footnoteReference w:id="36"/>
      </w:r>
      <w:r>
        <w:t xml:space="preserve"> Further, some market actors </w:t>
      </w:r>
      <w:r w:rsidR="00597440">
        <w:t xml:space="preserve">suggested </w:t>
      </w:r>
      <w:r w:rsidR="00435180">
        <w:t xml:space="preserve">that </w:t>
      </w:r>
      <w:r w:rsidR="00597440">
        <w:t>contractors with experience working</w:t>
      </w:r>
      <w:r>
        <w:t xml:space="preserve"> in larger commercial facilities where LLLCs are </w:t>
      </w:r>
      <w:r w:rsidR="00597440">
        <w:t xml:space="preserve">most </w:t>
      </w:r>
      <w:r>
        <w:t>viable</w:t>
      </w:r>
      <w:r w:rsidR="00597440">
        <w:t xml:space="preserve"> may be best positioned to pursue their installation</w:t>
      </w:r>
      <w:r w:rsidR="00435180">
        <w:t>. In contrast, smaller</w:t>
      </w:r>
      <w:r>
        <w:t xml:space="preserve"> lighting contractors may be at </w:t>
      </w:r>
      <w:r w:rsidR="00597440">
        <w:t xml:space="preserve">somewhat of a </w:t>
      </w:r>
      <w:r>
        <w:t>disadvantage.</w:t>
      </w:r>
      <w:r>
        <w:rPr>
          <w:rStyle w:val="FootnoteReference"/>
        </w:rPr>
        <w:footnoteReference w:id="37"/>
      </w:r>
      <w:r w:rsidR="00597440">
        <w:t xml:space="preserve"> </w:t>
      </w:r>
    </w:p>
    <w:p w14:paraId="06EBCB09" w14:textId="42E0FA31" w:rsidR="00365607" w:rsidRDefault="00365607" w:rsidP="001561A1">
      <w:pPr>
        <w:pStyle w:val="Heading5"/>
        <w:keepNext/>
        <w:keepLines/>
      </w:pPr>
      <w:r>
        <w:t>End</w:t>
      </w:r>
      <w:r w:rsidR="00597440">
        <w:t xml:space="preserve"> U</w:t>
      </w:r>
      <w:r>
        <w:t>sers</w:t>
      </w:r>
    </w:p>
    <w:p w14:paraId="1ED8D5A3" w14:textId="25B933E2" w:rsidR="00365607" w:rsidRDefault="00435180" w:rsidP="00365607">
      <w:r>
        <w:t>End-user</w:t>
      </w:r>
      <w:r w:rsidR="00365607">
        <w:t xml:space="preserve"> adoption of LLLCs hinges on system affordability and customer education. </w:t>
      </w:r>
      <w:r w:rsidR="007D2B7F">
        <w:t>Although</w:t>
      </w:r>
      <w:r w:rsidR="00365607">
        <w:t xml:space="preserve"> commercial building owners and operators are becoming more aware of </w:t>
      </w:r>
      <w:r w:rsidR="007D2B7F">
        <w:t>NLCs and LLLCs</w:t>
      </w:r>
      <w:r w:rsidR="00365607">
        <w:t xml:space="preserve">, they </w:t>
      </w:r>
      <w:r w:rsidR="007D2B7F">
        <w:t xml:space="preserve">may not </w:t>
      </w:r>
      <w:r w:rsidR="00365607">
        <w:t>fully understand their benefits.</w:t>
      </w:r>
      <w:r w:rsidR="00365607">
        <w:rPr>
          <w:rStyle w:val="FootnoteReference"/>
        </w:rPr>
        <w:footnoteReference w:id="38"/>
      </w:r>
      <w:r w:rsidR="00365607">
        <w:t xml:space="preserve"> </w:t>
      </w:r>
      <w:r>
        <w:t xml:space="preserve">Installers </w:t>
      </w:r>
      <w:r w:rsidR="00134A5A">
        <w:t xml:space="preserve">who are more familiar with LLLCs are more likely to recommend the equipment and </w:t>
      </w:r>
      <w:r w:rsidR="007D2B7F">
        <w:t xml:space="preserve">effectively help their clients understand their </w:t>
      </w:r>
      <w:r w:rsidR="00365607">
        <w:t>value proposition.</w:t>
      </w:r>
      <w:r w:rsidR="00365607">
        <w:rPr>
          <w:rStyle w:val="FootnoteReference"/>
        </w:rPr>
        <w:footnoteReference w:id="39"/>
      </w:r>
      <w:r w:rsidR="00365607">
        <w:t xml:space="preserve"> Further, </w:t>
      </w:r>
      <w:r w:rsidR="00134A5A">
        <w:t xml:space="preserve">a 2020 study found that </w:t>
      </w:r>
      <w:r w:rsidR="00365607">
        <w:t>building owners or operators</w:t>
      </w:r>
      <w:r w:rsidR="007D2B7F">
        <w:t xml:space="preserve"> </w:t>
      </w:r>
      <w:r w:rsidR="00365607">
        <w:t xml:space="preserve">who recently installed </w:t>
      </w:r>
      <w:r w:rsidR="00597440">
        <w:t xml:space="preserve">lighting </w:t>
      </w:r>
      <w:r w:rsidR="00597440" w:rsidRPr="007D2B7F">
        <w:rPr>
          <w:i/>
          <w:iCs/>
        </w:rPr>
        <w:t>without</w:t>
      </w:r>
      <w:r w:rsidR="00597440">
        <w:t xml:space="preserve"> </w:t>
      </w:r>
      <w:r w:rsidR="007D2B7F">
        <w:t xml:space="preserve">any </w:t>
      </w:r>
      <w:r w:rsidR="001828E6">
        <w:t>NLCs</w:t>
      </w:r>
      <w:r w:rsidR="00365607">
        <w:t xml:space="preserve"> cited a lack of awareness as the primary reason they did not install them.</w:t>
      </w:r>
      <w:r w:rsidR="00365607">
        <w:rPr>
          <w:rStyle w:val="FootnoteReference"/>
        </w:rPr>
        <w:footnoteReference w:id="40"/>
      </w:r>
      <w:r w:rsidR="00365607">
        <w:t xml:space="preserve"> </w:t>
      </w:r>
    </w:p>
    <w:p w14:paraId="5F83C25E" w14:textId="77777777" w:rsidR="00365607" w:rsidRDefault="00365607" w:rsidP="001561A1">
      <w:pPr>
        <w:pStyle w:val="Heading2"/>
      </w:pPr>
      <w:bookmarkStart w:id="71" w:name="_Toc192240896"/>
      <w:r>
        <w:lastRenderedPageBreak/>
        <w:t>Market Transformation Savings</w:t>
      </w:r>
      <w:bookmarkEnd w:id="71"/>
    </w:p>
    <w:p w14:paraId="4B6B78FE" w14:textId="798FE367" w:rsidR="00E14271" w:rsidRDefault="005C7089" w:rsidP="001561A1">
      <w:pPr>
        <w:keepNext/>
        <w:keepLines/>
        <w:spacing w:before="240"/>
      </w:pPr>
      <w:r>
        <w:t xml:space="preserve">Following the methodology outlined in Section </w:t>
      </w:r>
      <w:r>
        <w:fldChar w:fldCharType="begin"/>
      </w:r>
      <w:r>
        <w:instrText xml:space="preserve"> REF _Ref190381820 \r \h </w:instrText>
      </w:r>
      <w:r>
        <w:fldChar w:fldCharType="separate"/>
      </w:r>
      <w:r w:rsidR="00D0329D">
        <w:t>3.4</w:t>
      </w:r>
      <w:r>
        <w:fldChar w:fldCharType="end"/>
      </w:r>
      <w:r>
        <w:t>, we used customer survey</w:t>
      </w:r>
      <w:r w:rsidR="00A47554">
        <w:t xml:space="preserve"> responses</w:t>
      </w:r>
      <w:r>
        <w:t>, NMB</w:t>
      </w:r>
      <w:r w:rsidR="00A47554">
        <w:t xml:space="preserve"> forecasts</w:t>
      </w:r>
      <w:r>
        <w:t>, and 2024 AIC RA program tracking data to estimate energy savings attributable to the</w:t>
      </w:r>
      <w:r w:rsidR="00365607">
        <w:t xml:space="preserve"> </w:t>
      </w:r>
      <w:r w:rsidR="000D573F">
        <w:t>LLLC Pilot</w:t>
      </w:r>
      <w:r w:rsidR="00365607">
        <w:t>’s MT activities</w:t>
      </w:r>
      <w:r>
        <w:t xml:space="preserve"> during 2024. </w:t>
      </w:r>
      <w:r w:rsidR="00E14271">
        <w:t xml:space="preserve">The evaluation team relied on a formula consisting of total LLLCs in AIC territory and associated savings, NMB-forecasted savings, and LLLC savings from RA programs implemented by AIC to estimate MT savings for 2024. </w:t>
      </w:r>
      <w:r w:rsidR="000A107D">
        <w:fldChar w:fldCharType="begin"/>
      </w:r>
      <w:r w:rsidR="000A107D">
        <w:instrText xml:space="preserve"> REF _Ref190952025 \h </w:instrText>
      </w:r>
      <w:r w:rsidR="000A107D">
        <w:fldChar w:fldCharType="separate"/>
      </w:r>
      <w:r w:rsidR="00D0329D">
        <w:t xml:space="preserve">Equation </w:t>
      </w:r>
      <w:r w:rsidR="00D0329D">
        <w:rPr>
          <w:noProof/>
        </w:rPr>
        <w:t>2</w:t>
      </w:r>
      <w:r w:rsidR="000A107D">
        <w:fldChar w:fldCharType="end"/>
      </w:r>
      <w:r w:rsidR="000A107D">
        <w:t xml:space="preserve"> </w:t>
      </w:r>
      <w:r w:rsidR="00A47554">
        <w:t xml:space="preserve">provides the MT savings </w:t>
      </w:r>
      <w:r w:rsidR="000A107D">
        <w:t xml:space="preserve">formula. </w:t>
      </w:r>
    </w:p>
    <w:p w14:paraId="30640FF6" w14:textId="52A83266" w:rsidR="000A107D" w:rsidRDefault="000A107D" w:rsidP="00287BC8">
      <w:pPr>
        <w:pStyle w:val="Caption"/>
      </w:pPr>
      <w:bookmarkStart w:id="72" w:name="_Ref190952025"/>
      <w:r>
        <w:t xml:space="preserve">Equation </w:t>
      </w:r>
      <w:r>
        <w:fldChar w:fldCharType="begin"/>
      </w:r>
      <w:r>
        <w:instrText xml:space="preserve"> SEQ Equation \* ARABIC </w:instrText>
      </w:r>
      <w:r>
        <w:fldChar w:fldCharType="separate"/>
      </w:r>
      <w:r w:rsidR="00D0329D">
        <w:rPr>
          <w:noProof/>
        </w:rPr>
        <w:t>2</w:t>
      </w:r>
      <w:r>
        <w:fldChar w:fldCharType="end"/>
      </w:r>
      <w:bookmarkEnd w:id="72"/>
      <w:r>
        <w:t>. MT Savings</w:t>
      </w:r>
      <w:r w:rsidR="007D2B7F">
        <w:t xml:space="preserve"> Estimation</w:t>
      </w:r>
    </w:p>
    <w:p w14:paraId="415F119F" w14:textId="14AAD0B3" w:rsidR="00E14271" w:rsidRDefault="000A107D" w:rsidP="001561A1">
      <w:pPr>
        <w:keepNext/>
        <w:keepLines/>
        <w:spacing w:before="240"/>
      </w:pPr>
      <m:oMathPara>
        <m:oMath>
          <m:r>
            <w:rPr>
              <w:rFonts w:ascii="Cambria Math" w:hAnsi="Cambria Math"/>
            </w:rPr>
            <m:t>MT Savings=</m:t>
          </m:r>
          <m:d>
            <m:dPr>
              <m:ctrlPr>
                <w:rPr>
                  <w:rFonts w:ascii="Cambria Math" w:hAnsi="Cambria Math"/>
                  <w:i/>
                </w:rPr>
              </m:ctrlPr>
            </m:dPr>
            <m:e>
              <m:r>
                <w:rPr>
                  <w:rFonts w:ascii="Cambria Math" w:hAnsi="Cambria Math"/>
                </w:rPr>
                <m:t>LLLC Units X UES</m:t>
              </m:r>
            </m:e>
          </m:d>
          <m:r>
            <w:rPr>
              <w:rFonts w:ascii="Cambria Math" w:hAnsi="Cambria Math"/>
            </w:rPr>
            <m:t>-NMB Savings-RA Savings</m:t>
          </m:r>
        </m:oMath>
      </m:oMathPara>
    </w:p>
    <w:p w14:paraId="354A4419" w14:textId="5C9339A6" w:rsidR="00056EC6" w:rsidRDefault="00134A5A" w:rsidP="001561A1">
      <w:pPr>
        <w:keepNext/>
        <w:keepLines/>
        <w:spacing w:before="240"/>
      </w:pPr>
      <w:r>
        <w:t xml:space="preserve">The results </w:t>
      </w:r>
      <w:r w:rsidR="005C7089">
        <w:t>of our analysis are</w:t>
      </w:r>
      <w:r w:rsidR="00365607">
        <w:t xml:space="preserve"> </w:t>
      </w:r>
      <w:r w:rsidR="000B582B">
        <w:t>outlined</w:t>
      </w:r>
      <w:r w:rsidR="00365607">
        <w:t xml:space="preserve"> in </w:t>
      </w:r>
      <w:r w:rsidR="00E72DCB">
        <w:fldChar w:fldCharType="begin"/>
      </w:r>
      <w:r w:rsidR="00E72DCB">
        <w:instrText xml:space="preserve"> REF _Ref190086079 \h </w:instrText>
      </w:r>
      <w:r w:rsidR="00E72DCB">
        <w:fldChar w:fldCharType="separate"/>
      </w:r>
      <w:r w:rsidR="00D0329D">
        <w:t xml:space="preserve">Table </w:t>
      </w:r>
      <w:r w:rsidR="00D0329D">
        <w:rPr>
          <w:noProof/>
        </w:rPr>
        <w:t>10</w:t>
      </w:r>
      <w:r w:rsidR="00E72DCB">
        <w:fldChar w:fldCharType="end"/>
      </w:r>
      <w:r w:rsidR="00365607">
        <w:t xml:space="preserve">. </w:t>
      </w:r>
      <w:r w:rsidR="000B582B">
        <w:t xml:space="preserve">Based on responses to the customer survey, </w:t>
      </w:r>
      <w:r w:rsidR="005C7089">
        <w:t xml:space="preserve">we estimate </w:t>
      </w:r>
      <w:r w:rsidR="000B582B">
        <w:t xml:space="preserve">the 2024 LLLC market share among AIC business customers </w:t>
      </w:r>
      <w:r>
        <w:t xml:space="preserve">to be </w:t>
      </w:r>
      <w:r w:rsidR="000B582B">
        <w:t>1.53%</w:t>
      </w:r>
      <w:r w:rsidR="005C7089">
        <w:t xml:space="preserve"> or 11,190 total LLLC units</w:t>
      </w:r>
      <w:r>
        <w:t>. This</w:t>
      </w:r>
      <w:r w:rsidR="005C7089">
        <w:t xml:space="preserve"> is more </w:t>
      </w:r>
      <w:r w:rsidR="000B582B">
        <w:t xml:space="preserve">than </w:t>
      </w:r>
      <w:r w:rsidR="005C7089">
        <w:t xml:space="preserve">twice </w:t>
      </w:r>
      <w:r w:rsidR="00365607">
        <w:t>the</w:t>
      </w:r>
      <w:r w:rsidR="005C7089">
        <w:t xml:space="preserve"> NMB-</w:t>
      </w:r>
      <w:r w:rsidR="00365607">
        <w:t xml:space="preserve">forecasted </w:t>
      </w:r>
      <w:r w:rsidR="005C7089">
        <w:t xml:space="preserve">2024 </w:t>
      </w:r>
      <w:r w:rsidR="000B582B">
        <w:t>market share</w:t>
      </w:r>
      <w:r w:rsidR="00365607">
        <w:t xml:space="preserve"> of 0.66%</w:t>
      </w:r>
      <w:r w:rsidR="005C7089">
        <w:t xml:space="preserve"> or 4,827 total LLLC units.</w:t>
      </w:r>
      <w:r w:rsidR="005C7089">
        <w:rPr>
          <w:rStyle w:val="FootnoteReference"/>
        </w:rPr>
        <w:footnoteReference w:id="41"/>
      </w:r>
      <w:r w:rsidR="000B582B">
        <w:t xml:space="preserve"> However,</w:t>
      </w:r>
      <w:r w:rsidR="00056EC6">
        <w:t xml:space="preserve"> we also find that more than </w:t>
      </w:r>
      <w:r w:rsidR="00783FBF">
        <w:t>23</w:t>
      </w:r>
      <w:r w:rsidR="00056EC6">
        <w:t>,000 LLLC units were installed through</w:t>
      </w:r>
      <w:r w:rsidR="000B582B">
        <w:t xml:space="preserve"> </w:t>
      </w:r>
      <w:r w:rsidR="00365607">
        <w:t xml:space="preserve">AIC’s RA </w:t>
      </w:r>
      <w:r w:rsidR="00DE3383">
        <w:t xml:space="preserve">programs </w:t>
      </w:r>
      <w:r w:rsidR="00056EC6">
        <w:t>in 2024</w:t>
      </w:r>
      <w:r>
        <w:t>. Therefore,</w:t>
      </w:r>
      <w:r w:rsidR="00056EC6">
        <w:t xml:space="preserve"> the RA </w:t>
      </w:r>
      <w:r w:rsidR="00DE3383">
        <w:t>programs</w:t>
      </w:r>
      <w:r w:rsidR="00DE3383" w:rsidDel="00DE3383">
        <w:t xml:space="preserve"> </w:t>
      </w:r>
      <w:r w:rsidR="00056EC6">
        <w:t xml:space="preserve">alone account for </w:t>
      </w:r>
      <w:r w:rsidR="00783FBF">
        <w:t xml:space="preserve">substantially </w:t>
      </w:r>
      <w:r w:rsidR="00056EC6">
        <w:t xml:space="preserve">more total LLLC units than our estimated market share. As a result, we do not attribute any MT energy savings to the </w:t>
      </w:r>
      <w:r w:rsidR="000D573F">
        <w:t>LLLC Pilot</w:t>
      </w:r>
      <w:r w:rsidR="00056EC6">
        <w:t xml:space="preserve"> </w:t>
      </w:r>
      <w:r>
        <w:t xml:space="preserve">for </w:t>
      </w:r>
      <w:r w:rsidR="00056EC6">
        <w:t>2024.</w:t>
      </w:r>
    </w:p>
    <w:p w14:paraId="79CED64A" w14:textId="03E83DDD" w:rsidR="00365607" w:rsidRDefault="00365607" w:rsidP="00287BC8">
      <w:pPr>
        <w:pStyle w:val="Caption"/>
      </w:pPr>
      <w:bookmarkStart w:id="73" w:name="_Ref190086079"/>
      <w:bookmarkStart w:id="74" w:name="_Toc192238287"/>
      <w:r>
        <w:t xml:space="preserve">Table </w:t>
      </w:r>
      <w:r>
        <w:fldChar w:fldCharType="begin"/>
      </w:r>
      <w:r>
        <w:instrText xml:space="preserve"> SEQ Table \* ARABIC </w:instrText>
      </w:r>
      <w:r>
        <w:fldChar w:fldCharType="separate"/>
      </w:r>
      <w:r w:rsidR="00D0329D">
        <w:rPr>
          <w:noProof/>
        </w:rPr>
        <w:t>10</w:t>
      </w:r>
      <w:r>
        <w:fldChar w:fldCharType="end"/>
      </w:r>
      <w:bookmarkEnd w:id="73"/>
      <w:r>
        <w:t xml:space="preserve">. 2024 LLLC Pilot </w:t>
      </w:r>
      <w:r w:rsidR="00B722F3">
        <w:t>MT</w:t>
      </w:r>
      <w:r>
        <w:t xml:space="preserve"> Savings Roll-Up</w:t>
      </w:r>
      <w:bookmarkEnd w:id="74"/>
    </w:p>
    <w:tbl>
      <w:tblPr>
        <w:tblStyle w:val="ODCBasic-1"/>
        <w:tblW w:w="0" w:type="auto"/>
        <w:tblLayout w:type="fixed"/>
        <w:tblCellMar>
          <w:top w:w="0" w:type="dxa"/>
          <w:bottom w:w="14" w:type="dxa"/>
        </w:tblCellMar>
        <w:tblLook w:val="04A0" w:firstRow="1" w:lastRow="0" w:firstColumn="1" w:lastColumn="0" w:noHBand="0" w:noVBand="1"/>
      </w:tblPr>
      <w:tblGrid>
        <w:gridCol w:w="3955"/>
        <w:gridCol w:w="1350"/>
        <w:gridCol w:w="1305"/>
        <w:gridCol w:w="1305"/>
      </w:tblGrid>
      <w:tr w:rsidR="005C7089" w14:paraId="3CFF32DD" w14:textId="77777777" w:rsidTr="00B27093">
        <w:trPr>
          <w:cnfStyle w:val="100000000000" w:firstRow="1" w:lastRow="0" w:firstColumn="0" w:lastColumn="0" w:oddVBand="0" w:evenVBand="0" w:oddHBand="0" w:evenHBand="0" w:firstRowFirstColumn="0" w:firstRowLastColumn="0" w:lastRowFirstColumn="0" w:lastRowLastColumn="0"/>
          <w:trHeight w:val="395"/>
          <w:tblHeader/>
        </w:trPr>
        <w:tc>
          <w:tcPr>
            <w:cnfStyle w:val="001000000000" w:firstRow="0" w:lastRow="0" w:firstColumn="1" w:lastColumn="0" w:oddVBand="0" w:evenVBand="0" w:oddHBand="0" w:evenHBand="0" w:firstRowFirstColumn="0" w:firstRowLastColumn="0" w:lastRowFirstColumn="0" w:lastRowLastColumn="0"/>
            <w:tcW w:w="3955" w:type="dxa"/>
            <w:tcBorders>
              <w:bottom w:val="single" w:sz="4" w:space="0" w:color="4A4D56" w:themeColor="text1"/>
              <w:right w:val="single" w:sz="4" w:space="0" w:color="4A4D56" w:themeColor="text1"/>
            </w:tcBorders>
          </w:tcPr>
          <w:p w14:paraId="57ED2FC5" w14:textId="4F200E77" w:rsidR="005C7089" w:rsidRPr="00625570" w:rsidRDefault="005C7089" w:rsidP="005C7089">
            <w:pPr>
              <w:pStyle w:val="TableHeadingLeft"/>
            </w:pPr>
            <w:r>
              <w:t>Metric</w:t>
            </w:r>
          </w:p>
        </w:tc>
        <w:tc>
          <w:tcPr>
            <w:tcW w:w="1350" w:type="dxa"/>
            <w:tcBorders>
              <w:left w:val="single" w:sz="4" w:space="0" w:color="4A4D56" w:themeColor="text1"/>
              <w:bottom w:val="single" w:sz="4" w:space="0" w:color="4A4D56" w:themeColor="text1"/>
              <w:right w:val="single" w:sz="4" w:space="0" w:color="4A4D56" w:themeColor="text1"/>
            </w:tcBorders>
          </w:tcPr>
          <w:p w14:paraId="414E782D" w14:textId="3F2BDB29" w:rsidR="005C7089" w:rsidRPr="00625570" w:rsidRDefault="005C7089" w:rsidP="005C7089">
            <w:pPr>
              <w:pStyle w:val="TableHeadingCentered"/>
              <w:cnfStyle w:val="100000000000" w:firstRow="1" w:lastRow="0" w:firstColumn="0" w:lastColumn="0" w:oddVBand="0" w:evenVBand="0" w:oddHBand="0" w:evenHBand="0" w:firstRowFirstColumn="0" w:firstRowLastColumn="0" w:lastRowFirstColumn="0" w:lastRowLastColumn="0"/>
            </w:pPr>
            <w:r>
              <w:t>%</w:t>
            </w:r>
          </w:p>
        </w:tc>
        <w:tc>
          <w:tcPr>
            <w:tcW w:w="1305" w:type="dxa"/>
            <w:tcBorders>
              <w:left w:val="single" w:sz="4" w:space="0" w:color="4A4D56" w:themeColor="text1"/>
              <w:bottom w:val="single" w:sz="4" w:space="0" w:color="4A4D56" w:themeColor="text1"/>
              <w:right w:val="single" w:sz="4" w:space="0" w:color="4A4D56" w:themeColor="text1"/>
            </w:tcBorders>
          </w:tcPr>
          <w:p w14:paraId="7A65277E" w14:textId="2179BBA0" w:rsidR="005C7089" w:rsidRPr="00625570" w:rsidRDefault="005C7089" w:rsidP="005C7089">
            <w:pPr>
              <w:pStyle w:val="TableHeadingCentered"/>
              <w:cnfStyle w:val="100000000000" w:firstRow="1" w:lastRow="0" w:firstColumn="0" w:lastColumn="0" w:oddVBand="0" w:evenVBand="0" w:oddHBand="0" w:evenHBand="0" w:firstRowFirstColumn="0" w:firstRowLastColumn="0" w:lastRowFirstColumn="0" w:lastRowLastColumn="0"/>
            </w:pPr>
            <w:r>
              <w:t>Units</w:t>
            </w:r>
          </w:p>
        </w:tc>
        <w:tc>
          <w:tcPr>
            <w:tcW w:w="1305" w:type="dxa"/>
            <w:tcBorders>
              <w:left w:val="single" w:sz="4" w:space="0" w:color="4A4D56" w:themeColor="text1"/>
              <w:bottom w:val="single" w:sz="4" w:space="0" w:color="4A4D56" w:themeColor="text1"/>
              <w:right w:val="single" w:sz="4" w:space="0" w:color="4A4D56" w:themeColor="text1"/>
            </w:tcBorders>
          </w:tcPr>
          <w:p w14:paraId="7BF0FDE0" w14:textId="77777777" w:rsidR="00B27093" w:rsidRDefault="005C7089" w:rsidP="005C7089">
            <w:pPr>
              <w:pStyle w:val="TableHeadingCentered"/>
              <w:cnfStyle w:val="100000000000" w:firstRow="1" w:lastRow="0" w:firstColumn="0" w:lastColumn="0" w:oddVBand="0" w:evenVBand="0" w:oddHBand="0" w:evenHBand="0" w:firstRowFirstColumn="0" w:firstRowLastColumn="0" w:lastRowFirstColumn="0" w:lastRowLastColumn="0"/>
              <w:rPr>
                <w:iCs w:val="0"/>
              </w:rPr>
            </w:pPr>
            <w:r>
              <w:t xml:space="preserve">kWh </w:t>
            </w:r>
          </w:p>
          <w:p w14:paraId="15A9021D" w14:textId="235B2D99" w:rsidR="005C7089" w:rsidRPr="00625570" w:rsidRDefault="005C7089" w:rsidP="005C7089">
            <w:pPr>
              <w:pStyle w:val="TableHeadingCentered"/>
              <w:cnfStyle w:val="100000000000" w:firstRow="1" w:lastRow="0" w:firstColumn="0" w:lastColumn="0" w:oddVBand="0" w:evenVBand="0" w:oddHBand="0" w:evenHBand="0" w:firstRowFirstColumn="0" w:firstRowLastColumn="0" w:lastRowFirstColumn="0" w:lastRowLastColumn="0"/>
            </w:pPr>
            <w:r>
              <w:t>Savings</w:t>
            </w:r>
          </w:p>
        </w:tc>
      </w:tr>
      <w:tr w:rsidR="005C7089" w14:paraId="22A38454" w14:textId="77777777" w:rsidTr="00557294">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55" w:type="dxa"/>
            <w:tcBorders>
              <w:top w:val="single" w:sz="4" w:space="0" w:color="4A4D56" w:themeColor="text1"/>
            </w:tcBorders>
          </w:tcPr>
          <w:p w14:paraId="254F20B4" w14:textId="1FDDA180" w:rsidR="005C7089" w:rsidRPr="00625570" w:rsidRDefault="005C7089" w:rsidP="005C7089">
            <w:pPr>
              <w:pStyle w:val="TableLeftText"/>
            </w:pPr>
            <w:r>
              <w:t>2024 Overall Market Share</w:t>
            </w:r>
            <w:r>
              <w:rPr>
                <w:vertAlign w:val="superscript"/>
              </w:rPr>
              <w:t>a</w:t>
            </w:r>
          </w:p>
        </w:tc>
        <w:tc>
          <w:tcPr>
            <w:tcW w:w="1350" w:type="dxa"/>
            <w:tcBorders>
              <w:top w:val="single" w:sz="4" w:space="0" w:color="4A4D56" w:themeColor="text1"/>
            </w:tcBorders>
          </w:tcPr>
          <w:p w14:paraId="67A659C0" w14:textId="4F959A0B" w:rsidR="005C7089" w:rsidRPr="000B7901" w:rsidRDefault="005C7089" w:rsidP="00557294">
            <w:pPr>
              <w:pStyle w:val="TableCenterText"/>
              <w:jc w:val="right"/>
              <w:cnfStyle w:val="000000100000" w:firstRow="0" w:lastRow="0" w:firstColumn="0" w:lastColumn="0" w:oddVBand="0" w:evenVBand="0" w:oddHBand="1" w:evenHBand="0" w:firstRowFirstColumn="0" w:firstRowLastColumn="0" w:lastRowFirstColumn="0" w:lastRowLastColumn="0"/>
            </w:pPr>
            <w:r>
              <w:t>1.53%</w:t>
            </w:r>
          </w:p>
        </w:tc>
        <w:tc>
          <w:tcPr>
            <w:tcW w:w="1305" w:type="dxa"/>
            <w:tcBorders>
              <w:top w:val="single" w:sz="4" w:space="0" w:color="4A4D56" w:themeColor="text1"/>
            </w:tcBorders>
          </w:tcPr>
          <w:p w14:paraId="73CE1C13" w14:textId="39438099" w:rsidR="005C7089" w:rsidRPr="000B7901" w:rsidRDefault="005C7089" w:rsidP="00557294">
            <w:pPr>
              <w:pStyle w:val="TableCenterText"/>
              <w:jc w:val="right"/>
              <w:cnfStyle w:val="000000100000" w:firstRow="0" w:lastRow="0" w:firstColumn="0" w:lastColumn="0" w:oddVBand="0" w:evenVBand="0" w:oddHBand="1" w:evenHBand="0" w:firstRowFirstColumn="0" w:firstRowLastColumn="0" w:lastRowFirstColumn="0" w:lastRowLastColumn="0"/>
            </w:pPr>
            <w:r>
              <w:t>11,190</w:t>
            </w:r>
          </w:p>
        </w:tc>
        <w:tc>
          <w:tcPr>
            <w:tcW w:w="1305" w:type="dxa"/>
            <w:tcBorders>
              <w:top w:val="single" w:sz="4" w:space="0" w:color="4A4D56" w:themeColor="text1"/>
            </w:tcBorders>
          </w:tcPr>
          <w:p w14:paraId="4517F25F" w14:textId="6DA936EF" w:rsidR="005C7089" w:rsidRPr="000B7901" w:rsidRDefault="005C7089" w:rsidP="00557294">
            <w:pPr>
              <w:pStyle w:val="TableCenterText"/>
              <w:jc w:val="right"/>
              <w:cnfStyle w:val="000000100000" w:firstRow="0" w:lastRow="0" w:firstColumn="0" w:lastColumn="0" w:oddVBand="0" w:evenVBand="0" w:oddHBand="1" w:evenHBand="0" w:firstRowFirstColumn="0" w:firstRowLastColumn="0" w:lastRowFirstColumn="0" w:lastRowLastColumn="0"/>
            </w:pPr>
            <w:r>
              <w:t>2,325,315</w:t>
            </w:r>
          </w:p>
        </w:tc>
      </w:tr>
      <w:tr w:rsidR="005C7089" w14:paraId="396B6166" w14:textId="77777777" w:rsidTr="00557294">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55" w:type="dxa"/>
          </w:tcPr>
          <w:p w14:paraId="761854C4" w14:textId="0A895CE1" w:rsidR="005C7089" w:rsidRPr="00625570" w:rsidRDefault="005C7089" w:rsidP="005C7089">
            <w:pPr>
              <w:pStyle w:val="TableLeftText"/>
            </w:pPr>
            <w:r>
              <w:t>NMB Forecasted Market Share</w:t>
            </w:r>
          </w:p>
        </w:tc>
        <w:tc>
          <w:tcPr>
            <w:tcW w:w="1350" w:type="dxa"/>
          </w:tcPr>
          <w:p w14:paraId="1E78E3A2" w14:textId="52BCD3D7" w:rsidR="005C7089" w:rsidRPr="000B7901" w:rsidRDefault="005C7089" w:rsidP="00557294">
            <w:pPr>
              <w:pStyle w:val="TableCenterText"/>
              <w:jc w:val="right"/>
              <w:cnfStyle w:val="000000010000" w:firstRow="0" w:lastRow="0" w:firstColumn="0" w:lastColumn="0" w:oddVBand="0" w:evenVBand="0" w:oddHBand="0" w:evenHBand="1" w:firstRowFirstColumn="0" w:firstRowLastColumn="0" w:lastRowFirstColumn="0" w:lastRowLastColumn="0"/>
            </w:pPr>
            <w:r>
              <w:t>0.66%</w:t>
            </w:r>
          </w:p>
        </w:tc>
        <w:tc>
          <w:tcPr>
            <w:tcW w:w="1305" w:type="dxa"/>
          </w:tcPr>
          <w:p w14:paraId="1EC17E38" w14:textId="3117D079" w:rsidR="005C7089" w:rsidRPr="000B7901" w:rsidRDefault="005C7089" w:rsidP="00557294">
            <w:pPr>
              <w:pStyle w:val="TableCenterText"/>
              <w:jc w:val="right"/>
              <w:cnfStyle w:val="000000010000" w:firstRow="0" w:lastRow="0" w:firstColumn="0" w:lastColumn="0" w:oddVBand="0" w:evenVBand="0" w:oddHBand="0" w:evenHBand="1" w:firstRowFirstColumn="0" w:firstRowLastColumn="0" w:lastRowFirstColumn="0" w:lastRowLastColumn="0"/>
            </w:pPr>
            <w:r>
              <w:t>4,827</w:t>
            </w:r>
          </w:p>
        </w:tc>
        <w:tc>
          <w:tcPr>
            <w:tcW w:w="1305" w:type="dxa"/>
          </w:tcPr>
          <w:p w14:paraId="0013DEF3" w14:textId="79A584F9" w:rsidR="005C7089" w:rsidRPr="000B7901" w:rsidRDefault="005C7089" w:rsidP="00557294">
            <w:pPr>
              <w:pStyle w:val="TableCenterText"/>
              <w:jc w:val="right"/>
              <w:cnfStyle w:val="000000010000" w:firstRow="0" w:lastRow="0" w:firstColumn="0" w:lastColumn="0" w:oddVBand="0" w:evenVBand="0" w:oddHBand="0" w:evenHBand="1" w:firstRowFirstColumn="0" w:firstRowLastColumn="0" w:lastRowFirstColumn="0" w:lastRowLastColumn="0"/>
            </w:pPr>
            <w:r>
              <w:t>1,003,077</w:t>
            </w:r>
          </w:p>
        </w:tc>
      </w:tr>
      <w:tr w:rsidR="005D2568" w14:paraId="102D7E43" w14:textId="77777777" w:rsidTr="00557294">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55" w:type="dxa"/>
          </w:tcPr>
          <w:p w14:paraId="67846416" w14:textId="3B6F6B18" w:rsidR="005D2568" w:rsidRPr="00625570" w:rsidRDefault="005D2568" w:rsidP="005D2568">
            <w:pPr>
              <w:pStyle w:val="TableLeftText"/>
            </w:pPr>
            <w:r>
              <w:t>Standard Initiative</w:t>
            </w:r>
          </w:p>
        </w:tc>
        <w:tc>
          <w:tcPr>
            <w:tcW w:w="1350" w:type="dxa"/>
          </w:tcPr>
          <w:p w14:paraId="5D009E9F" w14:textId="28A6B401" w:rsidR="005D2568" w:rsidRPr="000B7901" w:rsidRDefault="005D2568" w:rsidP="00557294">
            <w:pPr>
              <w:pStyle w:val="TableCenterText"/>
              <w:jc w:val="right"/>
              <w:cnfStyle w:val="000000100000" w:firstRow="0" w:lastRow="0" w:firstColumn="0" w:lastColumn="0" w:oddVBand="0" w:evenVBand="0" w:oddHBand="1" w:evenHBand="0" w:firstRowFirstColumn="0" w:firstRowLastColumn="0" w:lastRowFirstColumn="0" w:lastRowLastColumn="0"/>
            </w:pPr>
            <w:r>
              <w:t>N/A</w:t>
            </w:r>
          </w:p>
        </w:tc>
        <w:tc>
          <w:tcPr>
            <w:tcW w:w="1305" w:type="dxa"/>
          </w:tcPr>
          <w:p w14:paraId="7BD2128C" w14:textId="21E9A960" w:rsidR="005D2568" w:rsidRPr="000B7901" w:rsidRDefault="005D2568" w:rsidP="00557294">
            <w:pPr>
              <w:pStyle w:val="TableCenterText"/>
              <w:jc w:val="right"/>
              <w:cnfStyle w:val="000000100000" w:firstRow="0" w:lastRow="0" w:firstColumn="0" w:lastColumn="0" w:oddVBand="0" w:evenVBand="0" w:oddHBand="1" w:evenHBand="0" w:firstRowFirstColumn="0" w:firstRowLastColumn="0" w:lastRowFirstColumn="0" w:lastRowLastColumn="0"/>
            </w:pPr>
            <w:r w:rsidRPr="005D2568">
              <w:t>9,967</w:t>
            </w:r>
          </w:p>
        </w:tc>
        <w:tc>
          <w:tcPr>
            <w:tcW w:w="1305" w:type="dxa"/>
          </w:tcPr>
          <w:p w14:paraId="451E8E6D" w14:textId="0EED1A75" w:rsidR="005D2568" w:rsidRPr="000B7901" w:rsidRDefault="005D2568" w:rsidP="00557294">
            <w:pPr>
              <w:pStyle w:val="TableCenterText"/>
              <w:jc w:val="right"/>
              <w:cnfStyle w:val="000000100000" w:firstRow="0" w:lastRow="0" w:firstColumn="0" w:lastColumn="0" w:oddVBand="0" w:evenVBand="0" w:oddHBand="1" w:evenHBand="0" w:firstRowFirstColumn="0" w:firstRowLastColumn="0" w:lastRowFirstColumn="0" w:lastRowLastColumn="0"/>
            </w:pPr>
            <w:r w:rsidRPr="00FB49A5">
              <w:t xml:space="preserve"> 2,663,332 </w:t>
            </w:r>
          </w:p>
        </w:tc>
      </w:tr>
      <w:tr w:rsidR="005D2568" w14:paraId="4408842B" w14:textId="77777777" w:rsidTr="00557294">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55" w:type="dxa"/>
          </w:tcPr>
          <w:p w14:paraId="3C5189E3" w14:textId="33EA4E44" w:rsidR="005D2568" w:rsidRPr="00625570" w:rsidRDefault="005D2568" w:rsidP="005D2568">
            <w:pPr>
              <w:pStyle w:val="TableLeftText"/>
            </w:pPr>
            <w:r>
              <w:t>Small Business Initiative – SBDI Channel</w:t>
            </w:r>
          </w:p>
        </w:tc>
        <w:tc>
          <w:tcPr>
            <w:tcW w:w="1350" w:type="dxa"/>
          </w:tcPr>
          <w:p w14:paraId="1F239020" w14:textId="3D16E046" w:rsidR="005D2568" w:rsidRPr="000B7901" w:rsidRDefault="005D2568" w:rsidP="00557294">
            <w:pPr>
              <w:pStyle w:val="TableCenterText"/>
              <w:jc w:val="right"/>
              <w:cnfStyle w:val="000000010000" w:firstRow="0" w:lastRow="0" w:firstColumn="0" w:lastColumn="0" w:oddVBand="0" w:evenVBand="0" w:oddHBand="0" w:evenHBand="1" w:firstRowFirstColumn="0" w:firstRowLastColumn="0" w:lastRowFirstColumn="0" w:lastRowLastColumn="0"/>
            </w:pPr>
            <w:r>
              <w:t>N/A</w:t>
            </w:r>
          </w:p>
        </w:tc>
        <w:tc>
          <w:tcPr>
            <w:tcW w:w="1305" w:type="dxa"/>
          </w:tcPr>
          <w:p w14:paraId="325CDA1E" w14:textId="1888FC5C" w:rsidR="005D2568" w:rsidRPr="000B7901" w:rsidRDefault="005D2568" w:rsidP="00557294">
            <w:pPr>
              <w:pStyle w:val="TableCenterText"/>
              <w:jc w:val="right"/>
              <w:cnfStyle w:val="000000010000" w:firstRow="0" w:lastRow="0" w:firstColumn="0" w:lastColumn="0" w:oddVBand="0" w:evenVBand="0" w:oddHBand="0" w:evenHBand="1" w:firstRowFirstColumn="0" w:firstRowLastColumn="0" w:lastRowFirstColumn="0" w:lastRowLastColumn="0"/>
            </w:pPr>
            <w:r w:rsidRPr="005D2568">
              <w:t>13,677</w:t>
            </w:r>
          </w:p>
        </w:tc>
        <w:tc>
          <w:tcPr>
            <w:tcW w:w="1305" w:type="dxa"/>
          </w:tcPr>
          <w:p w14:paraId="2F28771C" w14:textId="1A73DD11" w:rsidR="005D2568" w:rsidRPr="000B7901" w:rsidRDefault="005D2568" w:rsidP="00557294">
            <w:pPr>
              <w:pStyle w:val="TableCenterText"/>
              <w:jc w:val="right"/>
              <w:cnfStyle w:val="000000010000" w:firstRow="0" w:lastRow="0" w:firstColumn="0" w:lastColumn="0" w:oddVBand="0" w:evenVBand="0" w:oddHBand="0" w:evenHBand="1" w:firstRowFirstColumn="0" w:firstRowLastColumn="0" w:lastRowFirstColumn="0" w:lastRowLastColumn="0"/>
            </w:pPr>
            <w:r w:rsidRPr="00FB49A5">
              <w:t xml:space="preserve"> 2,619,688 </w:t>
            </w:r>
          </w:p>
        </w:tc>
      </w:tr>
      <w:tr w:rsidR="00056EC6" w14:paraId="0ACCC130" w14:textId="77777777" w:rsidTr="00557294">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55" w:type="dxa"/>
            <w:tcBorders>
              <w:right w:val="nil"/>
            </w:tcBorders>
          </w:tcPr>
          <w:p w14:paraId="5AFE97FB" w14:textId="60767176" w:rsidR="00056EC6" w:rsidRPr="00C17D60" w:rsidDel="005C7089" w:rsidRDefault="00056EC6" w:rsidP="005C7089">
            <w:pPr>
              <w:pStyle w:val="TableLeftText"/>
              <w:rPr>
                <w:rFonts w:ascii="Franklin Gothic Medium" w:hAnsi="Franklin Gothic Medium"/>
              </w:rPr>
            </w:pPr>
            <w:r>
              <w:rPr>
                <w:rFonts w:ascii="Franklin Gothic Medium" w:hAnsi="Franklin Gothic Medium"/>
              </w:rPr>
              <w:t>2024 MT Savings</w:t>
            </w:r>
          </w:p>
        </w:tc>
        <w:tc>
          <w:tcPr>
            <w:tcW w:w="1350" w:type="dxa"/>
            <w:tcBorders>
              <w:left w:val="nil"/>
            </w:tcBorders>
          </w:tcPr>
          <w:p w14:paraId="74196221" w14:textId="77777777" w:rsidR="00056EC6" w:rsidRPr="00C17D60" w:rsidRDefault="00056EC6" w:rsidP="00557294">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305" w:type="dxa"/>
          </w:tcPr>
          <w:p w14:paraId="0CD6860D" w14:textId="0484B122" w:rsidR="00056EC6" w:rsidRPr="00C17D60" w:rsidRDefault="00056EC6" w:rsidP="00557294">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0</w:t>
            </w:r>
          </w:p>
        </w:tc>
        <w:tc>
          <w:tcPr>
            <w:tcW w:w="1305" w:type="dxa"/>
          </w:tcPr>
          <w:p w14:paraId="1CE15028" w14:textId="4733E8F2" w:rsidR="00056EC6" w:rsidRPr="00C17D60" w:rsidRDefault="00056EC6" w:rsidP="00557294">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0</w:t>
            </w:r>
          </w:p>
        </w:tc>
      </w:tr>
    </w:tbl>
    <w:p w14:paraId="61A2572A" w14:textId="3BC9CCB5" w:rsidR="005C7089" w:rsidRDefault="005C7089" w:rsidP="00287BC8">
      <w:pPr>
        <w:pStyle w:val="FootnoteText"/>
        <w:ind w:left="1710" w:right="1656"/>
      </w:pPr>
      <w:proofErr w:type="spellStart"/>
      <w:proofErr w:type="gramStart"/>
      <w:r>
        <w:rPr>
          <w:vertAlign w:val="superscript"/>
        </w:rPr>
        <w:t>a</w:t>
      </w:r>
      <w:proofErr w:type="spellEnd"/>
      <w:proofErr w:type="gramEnd"/>
      <w:r>
        <w:rPr>
          <w:vertAlign w:val="superscript"/>
        </w:rPr>
        <w:t xml:space="preserve"> </w:t>
      </w:r>
      <w:r>
        <w:t xml:space="preserve">Overall </w:t>
      </w:r>
      <w:r w:rsidRPr="00287BC8">
        <w:t>market</w:t>
      </w:r>
      <w:r>
        <w:t xml:space="preserve"> share among AIC commercial customers </w:t>
      </w:r>
      <w:r w:rsidR="00763818">
        <w:t xml:space="preserve">is </w:t>
      </w:r>
      <w:r>
        <w:t xml:space="preserve">based on </w:t>
      </w:r>
      <w:r w:rsidR="00667783">
        <w:t xml:space="preserve">the </w:t>
      </w:r>
      <w:r>
        <w:t>2024 market actor customer survey.</w:t>
      </w:r>
    </w:p>
    <w:p w14:paraId="3214FEFB" w14:textId="58F82B3B" w:rsidR="009619B0" w:rsidRPr="00056EC6" w:rsidRDefault="00783FBF" w:rsidP="00B27093">
      <w:pPr>
        <w:spacing w:before="240"/>
      </w:pPr>
      <w:r>
        <w:t>The</w:t>
      </w:r>
      <w:r w:rsidR="00056EC6">
        <w:t xml:space="preserve"> finding that more LLLC units were installed through AIC’s RA </w:t>
      </w:r>
      <w:r w:rsidR="00DE3383">
        <w:t xml:space="preserve">programs </w:t>
      </w:r>
      <w:r w:rsidR="00056EC6">
        <w:t xml:space="preserve">in 2024 </w:t>
      </w:r>
      <w:proofErr w:type="gramStart"/>
      <w:r w:rsidR="00056EC6">
        <w:t>than</w:t>
      </w:r>
      <w:proofErr w:type="gramEnd"/>
      <w:r w:rsidR="00056EC6">
        <w:t xml:space="preserve"> </w:t>
      </w:r>
      <w:r w:rsidR="00A47554">
        <w:t xml:space="preserve">were </w:t>
      </w:r>
      <w:r w:rsidR="00763818">
        <w:t>estimated from the customer survey in total</w:t>
      </w:r>
      <w:r>
        <w:t xml:space="preserve"> across AIC’s service territory </w:t>
      </w:r>
      <w:r w:rsidR="00C17D60">
        <w:t xml:space="preserve">demonstrates </w:t>
      </w:r>
      <w:r w:rsidR="000D412B">
        <w:t>the presence of error in our overall market share estimate.</w:t>
      </w:r>
      <w:r w:rsidR="00922D07">
        <w:rPr>
          <w:rStyle w:val="FootnoteReference"/>
        </w:rPr>
        <w:footnoteReference w:id="42"/>
      </w:r>
      <w:r w:rsidR="000D412B">
        <w:t xml:space="preserve"> The minimum actual number of units in the market cannot be less than the </w:t>
      </w:r>
      <w:r w:rsidR="005D2568">
        <w:t>23,644</w:t>
      </w:r>
      <w:r w:rsidR="000D412B">
        <w:t xml:space="preserve"> units installed through AIC initiatives in 2024</w:t>
      </w:r>
      <w:r w:rsidR="00667783">
        <w:t xml:space="preserve"> and is </w:t>
      </w:r>
      <w:r w:rsidR="00C731CD">
        <w:t>likely</w:t>
      </w:r>
      <w:r w:rsidR="00667783">
        <w:t xml:space="preserve"> higher</w:t>
      </w:r>
      <w:r w:rsidR="000D412B">
        <w:t xml:space="preserve">. However, this finding is </w:t>
      </w:r>
      <w:r w:rsidR="00056EC6">
        <w:t xml:space="preserve">not </w:t>
      </w:r>
      <w:r w:rsidR="00945115">
        <w:t xml:space="preserve">particularly </w:t>
      </w:r>
      <w:r w:rsidR="00056EC6">
        <w:t>methodologically concernin</w:t>
      </w:r>
      <w:r w:rsidR="000D412B">
        <w:t>g</w:t>
      </w:r>
      <w:r w:rsidR="00C17D60">
        <w:t xml:space="preserve"> in that</w:t>
      </w:r>
      <w:r w:rsidR="000D412B">
        <w:t xml:space="preserve"> it simply </w:t>
      </w:r>
      <w:r w:rsidR="00056EC6">
        <w:t>highlights a limitation of survey-based</w:t>
      </w:r>
      <w:r w:rsidR="000D412B">
        <w:t xml:space="preserve"> numerical</w:t>
      </w:r>
      <w:r w:rsidR="00056EC6">
        <w:t xml:space="preserve"> estimates for low-incidence occurrences</w:t>
      </w:r>
      <w:r w:rsidR="00C17D60">
        <w:t>. T</w:t>
      </w:r>
      <w:r w:rsidR="00056EC6">
        <w:t>he</w:t>
      </w:r>
      <w:r w:rsidR="00D25D1F">
        <w:t xml:space="preserve"> </w:t>
      </w:r>
      <w:r w:rsidR="00056EC6">
        <w:t xml:space="preserve">error </w:t>
      </w:r>
      <w:r w:rsidR="00D25D1F">
        <w:t xml:space="preserve">bounds </w:t>
      </w:r>
      <w:r w:rsidR="000D412B">
        <w:t xml:space="preserve">associated </w:t>
      </w:r>
      <w:r w:rsidR="00EA4C4C">
        <w:t>with</w:t>
      </w:r>
      <w:r w:rsidR="00D25D1F">
        <w:t xml:space="preserve"> </w:t>
      </w:r>
      <w:r w:rsidR="00056EC6">
        <w:t xml:space="preserve">such estimates </w:t>
      </w:r>
      <w:r w:rsidR="00763818">
        <w:t>are</w:t>
      </w:r>
      <w:r w:rsidR="00C17D60">
        <w:t xml:space="preserve"> </w:t>
      </w:r>
      <w:r w:rsidR="000D412B">
        <w:t xml:space="preserve">often </w:t>
      </w:r>
      <w:r w:rsidR="00C17D60">
        <w:t xml:space="preserve">relatively </w:t>
      </w:r>
      <w:r w:rsidR="00056EC6">
        <w:t xml:space="preserve">large </w:t>
      </w:r>
      <w:r w:rsidR="00763818">
        <w:t>relative</w:t>
      </w:r>
      <w:r w:rsidR="000D412B">
        <w:t xml:space="preserve"> </w:t>
      </w:r>
      <w:r w:rsidR="00056EC6">
        <w:t>to the estimate itself</w:t>
      </w:r>
      <w:r w:rsidR="000D412B">
        <w:t>.</w:t>
      </w:r>
      <w:r w:rsidR="00C17D60">
        <w:t xml:space="preserve"> </w:t>
      </w:r>
      <w:r w:rsidR="000D412B">
        <w:t xml:space="preserve">In this case, the </w:t>
      </w:r>
      <w:r w:rsidR="00D25D1F">
        <w:t xml:space="preserve">estimated sampling </w:t>
      </w:r>
      <w:r w:rsidR="000D412B">
        <w:t xml:space="preserve">error associated with </w:t>
      </w:r>
      <w:r w:rsidR="00D25D1F">
        <w:t>the</w:t>
      </w:r>
      <w:r w:rsidR="000D412B">
        <w:t xml:space="preserve"> survey-based estimate of LLLC market share is large enough that the total estimate falls below the total number of units installed through AIC</w:t>
      </w:r>
      <w:r w:rsidR="00D25D1F">
        <w:t xml:space="preserve"> RA programs</w:t>
      </w:r>
      <w:r w:rsidR="000D412B">
        <w:t xml:space="preserve">. </w:t>
      </w:r>
      <w:r w:rsidR="00056EC6">
        <w:t xml:space="preserve">As LLLC adoption increases, the </w:t>
      </w:r>
      <w:r w:rsidR="00D25D1F">
        <w:t xml:space="preserve">sampling </w:t>
      </w:r>
      <w:r w:rsidR="00945115">
        <w:t xml:space="preserve">error </w:t>
      </w:r>
      <w:r w:rsidR="00D25D1F">
        <w:t>around</w:t>
      </w:r>
      <w:r w:rsidR="00945115">
        <w:t xml:space="preserve"> survey-based estimates of LLLC </w:t>
      </w:r>
      <w:r w:rsidR="00D25D1F">
        <w:t xml:space="preserve">market </w:t>
      </w:r>
      <w:proofErr w:type="gramStart"/>
      <w:r w:rsidR="00D25D1F">
        <w:t>shares</w:t>
      </w:r>
      <w:proofErr w:type="gramEnd"/>
      <w:r w:rsidR="00056EC6">
        <w:t xml:space="preserve"> </w:t>
      </w:r>
      <w:r w:rsidR="00763818">
        <w:t>is expected to</w:t>
      </w:r>
      <w:r w:rsidR="00056EC6">
        <w:t xml:space="preserve"> decrease.</w:t>
      </w:r>
    </w:p>
    <w:p w14:paraId="799FC762" w14:textId="4A9B6ACE" w:rsidR="00B71E6A" w:rsidRDefault="001555A0" w:rsidP="00E37377">
      <w:pPr>
        <w:pStyle w:val="Alpha"/>
      </w:pPr>
      <w:bookmarkStart w:id="75" w:name="_Toc192240897"/>
      <w:r>
        <w:lastRenderedPageBreak/>
        <w:t>Data Collection Instruments</w:t>
      </w:r>
      <w:bookmarkEnd w:id="75"/>
    </w:p>
    <w:p w14:paraId="7FD1A3AE" w14:textId="08460DCA" w:rsidR="00B27093" w:rsidRDefault="00B27093" w:rsidP="00F52096">
      <w:r>
        <w:t>This appendix contains the data collection instruments used for the training assessment and market actor surveys.</w:t>
      </w:r>
    </w:p>
    <w:p w14:paraId="4549E7B1" w14:textId="45317B26" w:rsidR="00231944" w:rsidRPr="00B27093" w:rsidRDefault="00B27093" w:rsidP="00F52096">
      <w:pPr>
        <w:rPr>
          <w:i/>
          <w:iCs/>
        </w:rPr>
      </w:pPr>
      <w:r w:rsidRPr="00B27093">
        <w:rPr>
          <w:i/>
          <w:iCs/>
        </w:rPr>
        <w:t>Pre-Training Assessment Survey Instrument</w:t>
      </w:r>
      <w:r w:rsidRPr="00D34D3E">
        <w:t>:</w:t>
      </w:r>
    </w:p>
    <w:bookmarkStart w:id="76" w:name="_MON_1801558649"/>
    <w:bookmarkEnd w:id="76"/>
    <w:p w14:paraId="09A1082A" w14:textId="2A7380B8" w:rsidR="001555A0" w:rsidRDefault="00B27093" w:rsidP="00F52096">
      <w:r>
        <w:object w:dxaOrig="1537" w:dyaOrig="994" w14:anchorId="05B008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28" o:title=""/>
          </v:shape>
          <o:OLEObject Type="Embed" ProgID="Word.Document.12" ShapeID="_x0000_i1025" DrawAspect="Icon" ObjectID="_1803375933" r:id="rId29">
            <o:FieldCodes>\s</o:FieldCodes>
          </o:OLEObject>
        </w:object>
      </w:r>
    </w:p>
    <w:p w14:paraId="343D1A97" w14:textId="77777777" w:rsidR="00B27093" w:rsidRPr="00F52096" w:rsidRDefault="00B27093" w:rsidP="00F52096"/>
    <w:p w14:paraId="79CDA2B6" w14:textId="3AF1099D" w:rsidR="001555A0" w:rsidRPr="00D34D3E" w:rsidRDefault="001555A0" w:rsidP="00B27093">
      <w:r w:rsidRPr="00B27093">
        <w:rPr>
          <w:i/>
          <w:iCs/>
        </w:rPr>
        <w:t>Post-Training Assessment Survey Instrument</w:t>
      </w:r>
      <w:r w:rsidR="00667783" w:rsidRPr="00D34D3E">
        <w:t>:</w:t>
      </w:r>
    </w:p>
    <w:bookmarkStart w:id="77" w:name="_MON_1801562790"/>
    <w:bookmarkEnd w:id="77"/>
    <w:p w14:paraId="35A7D26E" w14:textId="233DA06B" w:rsidR="001555A0" w:rsidRDefault="00B27093" w:rsidP="00F52096">
      <w:r>
        <w:object w:dxaOrig="1537" w:dyaOrig="994" w14:anchorId="249D82FF">
          <v:shape id="_x0000_i1026" type="#_x0000_t75" style="width:75.75pt;height:48.75pt" o:ole="">
            <v:imagedata r:id="rId30" o:title=""/>
          </v:shape>
          <o:OLEObject Type="Embed" ProgID="Word.Document.12" ShapeID="_x0000_i1026" DrawAspect="Icon" ObjectID="_1803375934" r:id="rId31">
            <o:FieldCodes>\s</o:FieldCodes>
          </o:OLEObject>
        </w:object>
      </w:r>
    </w:p>
    <w:p w14:paraId="3E137FB6" w14:textId="77777777" w:rsidR="00B27093" w:rsidRPr="00F52096" w:rsidRDefault="00B27093" w:rsidP="00F52096"/>
    <w:p w14:paraId="3BB212CA" w14:textId="5F9F533B" w:rsidR="00032EC9" w:rsidRPr="00B27093" w:rsidRDefault="00032EC9" w:rsidP="00B27093">
      <w:pPr>
        <w:rPr>
          <w:i/>
          <w:iCs/>
        </w:rPr>
      </w:pPr>
      <w:r w:rsidRPr="00B27093">
        <w:rPr>
          <w:i/>
          <w:iCs/>
        </w:rPr>
        <w:t>Customer Survey Instrument</w:t>
      </w:r>
      <w:r w:rsidR="00667783">
        <w:t>:</w:t>
      </w:r>
    </w:p>
    <w:bookmarkStart w:id="78" w:name="_MON_1801563205"/>
    <w:bookmarkEnd w:id="78"/>
    <w:p w14:paraId="5E1307DD" w14:textId="61D3FAD5" w:rsidR="00032EC9" w:rsidRDefault="00B27093" w:rsidP="00F52096">
      <w:r>
        <w:object w:dxaOrig="1537" w:dyaOrig="994" w14:anchorId="4A0DC41E">
          <v:shape id="_x0000_i1027" type="#_x0000_t75" style="width:75.75pt;height:48.75pt" o:ole="">
            <v:imagedata r:id="rId32" o:title=""/>
          </v:shape>
          <o:OLEObject Type="Embed" ProgID="Word.Document.12" ShapeID="_x0000_i1027" DrawAspect="Icon" ObjectID="_1803375935" r:id="rId33">
            <o:FieldCodes>\s</o:FieldCodes>
          </o:OLEObject>
        </w:object>
      </w:r>
    </w:p>
    <w:p w14:paraId="17614F3C" w14:textId="77777777" w:rsidR="00B27093" w:rsidRPr="00F52096" w:rsidRDefault="00B27093" w:rsidP="00F52096"/>
    <w:p w14:paraId="792DCD7D" w14:textId="4AD7A496" w:rsidR="001555A0" w:rsidRPr="00B27093" w:rsidRDefault="00231944" w:rsidP="00B27093">
      <w:pPr>
        <w:rPr>
          <w:i/>
          <w:iCs/>
        </w:rPr>
      </w:pPr>
      <w:r w:rsidRPr="00B27093">
        <w:rPr>
          <w:i/>
          <w:iCs/>
        </w:rPr>
        <w:t>Trade Ally Survey Instrument</w:t>
      </w:r>
      <w:r w:rsidR="00B27093" w:rsidRPr="00D34D3E">
        <w:t>:</w:t>
      </w:r>
    </w:p>
    <w:bookmarkStart w:id="79" w:name="_MON_1801563689"/>
    <w:bookmarkEnd w:id="79"/>
    <w:p w14:paraId="295F7FD3" w14:textId="02FC76EE" w:rsidR="00231944" w:rsidRDefault="00B27093" w:rsidP="00F52096">
      <w:r>
        <w:object w:dxaOrig="1537" w:dyaOrig="994" w14:anchorId="5542B041">
          <v:shape id="_x0000_i1028" type="#_x0000_t75" style="width:75.75pt;height:48.75pt" o:ole="">
            <v:imagedata r:id="rId34" o:title=""/>
          </v:shape>
          <o:OLEObject Type="Embed" ProgID="Word.Document.12" ShapeID="_x0000_i1028" DrawAspect="Icon" ObjectID="_1803375936" r:id="rId35">
            <o:FieldCodes>\s</o:FieldCodes>
          </o:OLEObject>
        </w:object>
      </w:r>
    </w:p>
    <w:p w14:paraId="49174923" w14:textId="505CE894" w:rsidR="00B27093" w:rsidRDefault="00B27093">
      <w:r>
        <w:br w:type="page"/>
      </w:r>
    </w:p>
    <w:p w14:paraId="6DD7FF91" w14:textId="0D1AF513" w:rsidR="00B27093" w:rsidRDefault="00B27093" w:rsidP="00B27093">
      <w:pPr>
        <w:pStyle w:val="Alpha"/>
      </w:pPr>
      <w:bookmarkStart w:id="80" w:name="_Toc192240898"/>
      <w:r w:rsidRPr="00B27093">
        <w:lastRenderedPageBreak/>
        <w:t>Glossary of Lighting Control Terminology</w:t>
      </w:r>
      <w:bookmarkEnd w:id="80"/>
    </w:p>
    <w:p w14:paraId="0E708929" w14:textId="075250C7" w:rsidR="00D0329D" w:rsidRPr="00D0329D" w:rsidRDefault="00D0329D" w:rsidP="00D0329D">
      <w:r>
        <w:t>This appendix provides definitions for commonly used lighting control terminology.</w:t>
      </w:r>
      <w:r>
        <w:rPr>
          <w:rStyle w:val="FootnoteReference"/>
        </w:rPr>
        <w:footnoteReference w:id="43"/>
      </w:r>
    </w:p>
    <w:p w14:paraId="177E47C1" w14:textId="005C7DD9" w:rsidR="00304235" w:rsidRDefault="00304235" w:rsidP="00304235">
      <w:pPr>
        <w:pStyle w:val="ListBullet"/>
      </w:pPr>
      <w:r>
        <w:rPr>
          <w:b/>
          <w:bCs/>
        </w:rPr>
        <w:t xml:space="preserve">Lighting Controls: </w:t>
      </w:r>
      <w:r>
        <w:t>Any system that enables users to either manually or automatically turn lights on and off. Some lighting controls enable users to adjust light output to control the brightness of specific fixtures.</w:t>
      </w:r>
    </w:p>
    <w:p w14:paraId="736AA308" w14:textId="5EB859B9" w:rsidR="00304235" w:rsidRDefault="00304235" w:rsidP="00304235">
      <w:pPr>
        <w:pStyle w:val="ListBullet"/>
      </w:pPr>
      <w:r>
        <w:rPr>
          <w:b/>
          <w:bCs/>
        </w:rPr>
        <w:t xml:space="preserve">Networked Lighting Controls (NLCs): </w:t>
      </w:r>
      <w:r>
        <w:t xml:space="preserve">A type of lighting system that uses sensors and network interfaces to control luminaires, retrofit kits, or lamps. </w:t>
      </w:r>
    </w:p>
    <w:p w14:paraId="60D9C5F5" w14:textId="1651CE86" w:rsidR="00304235" w:rsidRDefault="00304235" w:rsidP="00304235">
      <w:pPr>
        <w:pStyle w:val="ListBullet"/>
      </w:pPr>
      <w:r>
        <w:rPr>
          <w:b/>
          <w:bCs/>
        </w:rPr>
        <w:t xml:space="preserve">Luminaire Level Lighting Controls (LLLCs): </w:t>
      </w:r>
      <w:r>
        <w:t>A subset of NLCs where individual luminaires have embedded lighting control logic or sensors.</w:t>
      </w:r>
    </w:p>
    <w:p w14:paraId="729183F7" w14:textId="01B7E82A" w:rsidR="00304235" w:rsidRDefault="00304235" w:rsidP="00304235">
      <w:pPr>
        <w:pStyle w:val="ListBullet"/>
      </w:pPr>
      <w:r>
        <w:rPr>
          <w:b/>
          <w:bCs/>
        </w:rPr>
        <w:t xml:space="preserve">High-End Trim: </w:t>
      </w:r>
      <w:r w:rsidRPr="00304235">
        <w:t>High-End Trim is a lighting control technology that involves “task tuning”, or reducing the brightness of light according to the size of the space the lighting occupies, either based on user preference or recommendations.</w:t>
      </w:r>
    </w:p>
    <w:p w14:paraId="0418D24A" w14:textId="1E9C1B39" w:rsidR="00B27093" w:rsidRDefault="00B27093" w:rsidP="00304235">
      <w:pPr>
        <w:pStyle w:val="ListBullet"/>
      </w:pPr>
      <w:r w:rsidRPr="00B27093">
        <w:rPr>
          <w:b/>
          <w:bCs/>
        </w:rPr>
        <w:t xml:space="preserve">Photosensors: </w:t>
      </w:r>
      <w:r>
        <w:t>P</w:t>
      </w:r>
      <w:r w:rsidRPr="00B27093">
        <w:t>hotosensors automatically control lighting based on the presence of natural light</w:t>
      </w:r>
    </w:p>
    <w:p w14:paraId="068A3A43" w14:textId="77548D26" w:rsidR="00304235" w:rsidRPr="009E5DB3" w:rsidRDefault="00304235" w:rsidP="00304235">
      <w:pPr>
        <w:pStyle w:val="ListBullet"/>
      </w:pPr>
      <w:r>
        <w:rPr>
          <w:b/>
          <w:bCs/>
        </w:rPr>
        <w:t xml:space="preserve">Dimmer Switches: </w:t>
      </w:r>
      <w:r>
        <w:t>Dimmer switches are common lighting control outputs that control the current flowing into a light fixture while it is on, which can increase or decrease the brightness emitted by the fixture.</w:t>
      </w:r>
    </w:p>
    <w:p w14:paraId="7AC102F7" w14:textId="77777777" w:rsidR="007A33CA" w:rsidRDefault="007A33CA" w:rsidP="007A33CA"/>
    <w:p w14:paraId="468A85CF" w14:textId="77777777" w:rsidR="00344C23" w:rsidRPr="00344C23" w:rsidRDefault="00344C23" w:rsidP="00344C23">
      <w:r>
        <w:rPr>
          <w:noProof/>
        </w:rPr>
        <w:lastRenderedPageBreak/>
        <w:drawing>
          <wp:anchor distT="0" distB="0" distL="114300" distR="114300" simplePos="0" relativeHeight="251660288" behindDoc="1" locked="0" layoutInCell="1" allowOverlap="1" wp14:anchorId="29BFB0BE" wp14:editId="7AFE5398">
            <wp:simplePos x="0" y="0"/>
            <wp:positionH relativeFrom="page">
              <wp:posOffset>0</wp:posOffset>
            </wp:positionH>
            <wp:positionV relativeFrom="page">
              <wp:posOffset>-11290</wp:posOffset>
            </wp:positionV>
            <wp:extent cx="7762240" cy="10044430"/>
            <wp:effectExtent l="0" t="0" r="0" b="0"/>
            <wp:wrapTight wrapText="bothSides">
              <wp:wrapPolygon edited="0">
                <wp:start x="0" y="0"/>
                <wp:lineTo x="0" y="21548"/>
                <wp:lineTo x="21522" y="21548"/>
                <wp:lineTo x="21522" y="0"/>
                <wp:lineTo x="0" y="0"/>
              </wp:wrapPolygon>
            </wp:wrapTight>
            <wp:docPr id="1332878285" name="Picture 1" descr="A picture containing text, screenshot,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878285" name="Picture 1" descr="A picture containing text, screenshot, font, design&#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762240" cy="100444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1312" behindDoc="0" locked="0" layoutInCell="1" allowOverlap="1" wp14:anchorId="35444730" wp14:editId="362EA917">
                <wp:simplePos x="0" y="0"/>
                <wp:positionH relativeFrom="column">
                  <wp:posOffset>117475</wp:posOffset>
                </wp:positionH>
                <wp:positionV relativeFrom="paragraph">
                  <wp:posOffset>5547360</wp:posOffset>
                </wp:positionV>
                <wp:extent cx="6844030" cy="1466850"/>
                <wp:effectExtent l="0" t="0" r="0" b="0"/>
                <wp:wrapSquare wrapText="bothSides"/>
                <wp:docPr id="20592701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4030" cy="1466850"/>
                        </a:xfrm>
                        <a:prstGeom prst="rect">
                          <a:avLst/>
                        </a:prstGeom>
                        <a:noFill/>
                        <a:ln w="9525">
                          <a:noFill/>
                          <a:miter lim="800000"/>
                          <a:headEnd/>
                          <a:tailEnd/>
                        </a:ln>
                      </wps:spPr>
                      <wps:txbx>
                        <w:txbxContent>
                          <w:p w14:paraId="29D2FDE1" w14:textId="77777777" w:rsidR="00344C23" w:rsidRDefault="00344C23" w:rsidP="00344C23">
                            <w:pPr>
                              <w:pStyle w:val="Subtitle"/>
                              <w:ind w:left="0"/>
                            </w:pPr>
                            <w:r>
                              <w:t>Contact:</w:t>
                            </w:r>
                          </w:p>
                          <w:p w14:paraId="1E625963" w14:textId="7EE16F6D" w:rsidR="00344C23" w:rsidRPr="005C0286" w:rsidRDefault="002F36CE" w:rsidP="00344C23">
                            <w:pPr>
                              <w:pStyle w:val="BodyText"/>
                              <w:rPr>
                                <w:sz w:val="28"/>
                                <w:szCs w:val="28"/>
                              </w:rPr>
                            </w:pPr>
                            <w:r>
                              <w:rPr>
                                <w:sz w:val="28"/>
                                <w:szCs w:val="28"/>
                              </w:rPr>
                              <w:t xml:space="preserve">Evan Tincknell </w:t>
                            </w:r>
                            <w:r w:rsidR="00344C23">
                              <w:rPr>
                                <w:sz w:val="28"/>
                                <w:szCs w:val="28"/>
                              </w:rPr>
                              <w:br/>
                            </w:r>
                            <w:r>
                              <w:rPr>
                                <w:sz w:val="28"/>
                                <w:szCs w:val="28"/>
                              </w:rPr>
                              <w:t>Associate Director</w:t>
                            </w:r>
                            <w:r w:rsidR="00344C23">
                              <w:rPr>
                                <w:sz w:val="28"/>
                                <w:szCs w:val="28"/>
                              </w:rPr>
                              <w:br/>
                            </w:r>
                            <w:r>
                              <w:rPr>
                                <w:sz w:val="28"/>
                                <w:szCs w:val="28"/>
                              </w:rPr>
                              <w:t>etincknell</w:t>
                            </w:r>
                            <w:r w:rsidR="00344C23" w:rsidRPr="005C0286">
                              <w:rPr>
                                <w:sz w:val="28"/>
                                <w:szCs w:val="28"/>
                              </w:rPr>
                              <w:t>@opiniondynamics.com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444730" id="_x0000_s1029" type="#_x0000_t202" style="position:absolute;margin-left:9.25pt;margin-top:436.8pt;width:538.9pt;height:115.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" filled="f" stroked="f">
                <v:textbox>
                  <w:txbxContent>
                    <w:p w14:paraId="29D2FDE1" w14:textId="77777777" w:rsidR="00344C23" w:rsidRDefault="00344C23" w:rsidP="00344C23">
                      <w:pPr>
                        <w:pStyle w:val="Subtitle"/>
                        <w:ind w:left="0"/>
                      </w:pPr>
                      <w:r>
                        <w:t>Contact:</w:t>
                      </w:r>
                    </w:p>
                    <w:p w14:paraId="1E625963" w14:textId="7EE16F6D" w:rsidR="00344C23" w:rsidRPr="005C0286" w:rsidRDefault="002F36CE" w:rsidP="00344C23">
                      <w:pPr>
                        <w:pStyle w:val="BodyText"/>
                        <w:rPr>
                          <w:sz w:val="28"/>
                          <w:szCs w:val="28"/>
                        </w:rPr>
                      </w:pPr>
                      <w:r>
                        <w:rPr>
                          <w:sz w:val="28"/>
                          <w:szCs w:val="28"/>
                        </w:rPr>
                        <w:t xml:space="preserve">Evan Tincknell </w:t>
                      </w:r>
                      <w:r w:rsidR="00344C23">
                        <w:rPr>
                          <w:sz w:val="28"/>
                          <w:szCs w:val="28"/>
                        </w:rPr>
                        <w:br/>
                      </w:r>
                      <w:r>
                        <w:rPr>
                          <w:sz w:val="28"/>
                          <w:szCs w:val="28"/>
                        </w:rPr>
                        <w:t>Associate Director</w:t>
                      </w:r>
                      <w:r w:rsidR="00344C23">
                        <w:rPr>
                          <w:sz w:val="28"/>
                          <w:szCs w:val="28"/>
                        </w:rPr>
                        <w:br/>
                      </w:r>
                      <w:r>
                        <w:rPr>
                          <w:sz w:val="28"/>
                          <w:szCs w:val="28"/>
                        </w:rPr>
                        <w:t>etincknell</w:t>
                      </w:r>
                      <w:r w:rsidR="00344C23" w:rsidRPr="005C0286">
                        <w:rPr>
                          <w:sz w:val="28"/>
                          <w:szCs w:val="28"/>
                        </w:rPr>
                        <w:t>@opiniondynamics.com</w:t>
                      </w:r>
                    </w:p>
                  </w:txbxContent>
                </v:textbox>
                <w10:wrap type="square"/>
              </v:shape>
            </w:pict>
          </mc:Fallback>
        </mc:AlternateContent>
      </w:r>
    </w:p>
    <w:sectPr w:rsidR="00344C23" w:rsidRPr="00344C23" w:rsidSect="00B45EFD">
      <w:headerReference w:type="default" r:id="rId37"/>
      <w:pgSz w:w="12240" w:h="15840" w:code="1"/>
      <w:pgMar w:top="0" w:right="567" w:bottom="567" w:left="567" w:header="56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DD6B41" w14:textId="77777777" w:rsidR="00BE4DAA" w:rsidRDefault="00BE4DAA">
      <w:pPr>
        <w:spacing w:after="0" w:line="240" w:lineRule="auto"/>
      </w:pPr>
      <w:r>
        <w:separator/>
      </w:r>
    </w:p>
    <w:p w14:paraId="50686EE2" w14:textId="77777777" w:rsidR="00BE4DAA" w:rsidRDefault="00BE4DAA"/>
  </w:endnote>
  <w:endnote w:type="continuationSeparator" w:id="0">
    <w:p w14:paraId="3A116AFF" w14:textId="77777777" w:rsidR="00BE4DAA" w:rsidRDefault="00BE4DAA">
      <w:pPr>
        <w:spacing w:after="0" w:line="240" w:lineRule="auto"/>
      </w:pPr>
      <w:r>
        <w:continuationSeparator/>
      </w:r>
    </w:p>
    <w:p w14:paraId="49428763" w14:textId="77777777" w:rsidR="00BE4DAA" w:rsidRDefault="00BE4D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Rift Soft">
    <w:panose1 w:val="00000500000000000000"/>
    <w:charset w:val="00"/>
    <w:family w:val="modern"/>
    <w:notTrueType/>
    <w:pitch w:val="variable"/>
    <w:sig w:usb0="00000007" w:usb1="00000000" w:usb2="00000000" w:usb3="00000000" w:csb0="00000093" w:csb1="00000000"/>
  </w:font>
  <w:font w:name="Franklin Gothic Medium">
    <w:panose1 w:val="020B0603020102020204"/>
    <w:charset w:val="00"/>
    <w:family w:val="swiss"/>
    <w:pitch w:val="variable"/>
    <w:sig w:usb0="00000287" w:usb1="00000000" w:usb2="00000000" w:usb3="00000000" w:csb0="0000009F" w:csb1="00000000"/>
  </w:font>
  <w:font w:name="Rift Soft Medium">
    <w:panose1 w:val="00000600000000000000"/>
    <w:charset w:val="00"/>
    <w:family w:val="modern"/>
    <w:notTrueType/>
    <w:pitch w:val="variable"/>
    <w:sig w:usb0="00000007" w:usb1="00000000" w:usb2="00000000" w:usb3="00000000" w:csb0="00000093"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Rift Soft Light">
    <w:panose1 w:val="00000400000000000000"/>
    <w:charset w:val="00"/>
    <w:family w:val="modern"/>
    <w:notTrueType/>
    <w:pitch w:val="variable"/>
    <w:sig w:usb0="00000007" w:usb1="00000000" w:usb2="00000000" w:usb3="00000000" w:csb0="00000093"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ODExcelPlaceholder"/>
      <w:tblW w:w="0" w:type="auto"/>
      <w:tblLayout w:type="fixed"/>
      <w:tblLook w:val="04A0" w:firstRow="1" w:lastRow="0" w:firstColumn="1" w:lastColumn="0" w:noHBand="0" w:noVBand="1"/>
    </w:tblPr>
    <w:tblGrid>
      <w:gridCol w:w="5548"/>
      <w:gridCol w:w="5548"/>
    </w:tblGrid>
    <w:tr w:rsidR="00D46533" w:rsidRPr="00EF048B" w14:paraId="6D1F9960" w14:textId="77777777" w:rsidTr="000E40E5">
      <w:trPr>
        <w:cnfStyle w:val="100000000000" w:firstRow="1" w:lastRow="0" w:firstColumn="0" w:lastColumn="0" w:oddVBand="0" w:evenVBand="0" w:oddHBand="0" w:evenHBand="0" w:firstRowFirstColumn="0" w:firstRowLastColumn="0" w:lastRowFirstColumn="0" w:lastRowLastColumn="0"/>
      </w:trPr>
      <w:tc>
        <w:tcPr>
          <w:tcW w:w="5548" w:type="dxa"/>
        </w:tcPr>
        <w:p w14:paraId="5A8C5EBC" w14:textId="73FEC29D" w:rsidR="00D46533" w:rsidRPr="00EF048B" w:rsidRDefault="00D46533" w:rsidP="001F322C">
          <w:pPr>
            <w:pStyle w:val="Footer"/>
            <w:jc w:val="left"/>
          </w:pPr>
          <w:r w:rsidRPr="00CB54CF">
            <w:t>Opinion Dynamics</w:t>
          </w:r>
        </w:p>
      </w:tc>
      <w:tc>
        <w:tcPr>
          <w:tcW w:w="5548" w:type="dxa"/>
        </w:tcPr>
        <w:p w14:paraId="561B3726" w14:textId="77777777" w:rsidR="00D46533" w:rsidRPr="00EF048B" w:rsidRDefault="00D46533" w:rsidP="001F322C">
          <w:pPr>
            <w:pStyle w:val="Footer"/>
          </w:pPr>
          <w:r w:rsidRPr="00CB54CF">
            <w:t xml:space="preserve">| </w:t>
          </w:r>
          <w:r w:rsidRPr="00CB54CF">
            <w:fldChar w:fldCharType="begin"/>
          </w:r>
          <w:r w:rsidRPr="00CB54CF">
            <w:instrText xml:space="preserve"> PAGE   \* MERGEFORMAT </w:instrText>
          </w:r>
          <w:r w:rsidRPr="00CB54CF">
            <w:fldChar w:fldCharType="separate"/>
          </w:r>
          <w:r w:rsidRPr="00CB54CF">
            <w:t>1</w:t>
          </w:r>
          <w:r w:rsidRPr="00CB54CF">
            <w:fldChar w:fldCharType="end"/>
          </w:r>
        </w:p>
      </w:tc>
    </w:tr>
  </w:tbl>
  <w:p w14:paraId="704BD947" w14:textId="77777777" w:rsidR="00D46533" w:rsidRDefault="00D46533" w:rsidP="001F322C">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3FAEBC" w14:textId="77777777" w:rsidR="00BE4DAA" w:rsidRDefault="00BE4DAA">
      <w:pPr>
        <w:spacing w:after="0" w:line="240" w:lineRule="auto"/>
      </w:pPr>
      <w:r>
        <w:separator/>
      </w:r>
    </w:p>
  </w:footnote>
  <w:footnote w:type="continuationSeparator" w:id="0">
    <w:p w14:paraId="7AB87CEB" w14:textId="77777777" w:rsidR="00BE4DAA" w:rsidRDefault="00BE4DAA">
      <w:pPr>
        <w:spacing w:after="0" w:line="240" w:lineRule="auto"/>
      </w:pPr>
      <w:r>
        <w:continuationSeparator/>
      </w:r>
    </w:p>
  </w:footnote>
  <w:footnote w:id="1">
    <w:p w14:paraId="6C9724AB" w14:textId="3DB2FC75" w:rsidR="000E5295" w:rsidRDefault="000E5295" w:rsidP="000E5295">
      <w:pPr>
        <w:pStyle w:val="FootnoteText"/>
      </w:pPr>
      <w:r>
        <w:rPr>
          <w:rStyle w:val="FootnoteReference"/>
        </w:rPr>
        <w:footnoteRef/>
      </w:r>
      <w:r>
        <w:t xml:space="preserve"> </w:t>
      </w:r>
      <w:r w:rsidRPr="00C36D95">
        <w:t>Ameren Illinois Luminaire Level Lighting Controls (LLLC) Market Transformation Initiative Business Plan</w:t>
      </w:r>
      <w:r>
        <w:t>. October 25, 2023.</w:t>
      </w:r>
    </w:p>
  </w:footnote>
  <w:footnote w:id="2">
    <w:p w14:paraId="7F4EBBE8" w14:textId="5DF066A2" w:rsidR="005F2044" w:rsidRDefault="005F2044" w:rsidP="005F2044">
      <w:pPr>
        <w:pStyle w:val="FootnoteText"/>
      </w:pPr>
      <w:r>
        <w:rPr>
          <w:rStyle w:val="FootnoteReference"/>
        </w:rPr>
        <w:footnoteRef/>
      </w:r>
      <w:r>
        <w:t xml:space="preserve"> </w:t>
      </w:r>
      <w:r w:rsidR="00D40B32" w:rsidRPr="00D40B32">
        <w:t>2024 Illinois Statewide Technical Reference Manual for Energy Efficiency Version 12.0 Volume 4: Cross-Cutting Measures and Attachments, Attachment C.</w:t>
      </w:r>
    </w:p>
  </w:footnote>
  <w:footnote w:id="3">
    <w:p w14:paraId="558106E7" w14:textId="77777777" w:rsidR="00A669A6" w:rsidRDefault="00A669A6" w:rsidP="00A669A6">
      <w:pPr>
        <w:pStyle w:val="FootnoteText"/>
      </w:pPr>
      <w:r>
        <w:rPr>
          <w:rStyle w:val="FootnoteReference"/>
        </w:rPr>
        <w:footnoteRef/>
      </w:r>
      <w:r>
        <w:t xml:space="preserve"> </w:t>
      </w:r>
      <w:bookmarkStart w:id="7" w:name="_Hlk191470589"/>
      <w:r w:rsidRPr="00C36D95">
        <w:t>Ameren Illinois Luminaire Level Lighting Controls (LLLC) Market Transformation Initiative Business Plan</w:t>
      </w:r>
      <w:r>
        <w:t>. October 25, 2023.</w:t>
      </w:r>
      <w:bookmarkEnd w:id="7"/>
    </w:p>
  </w:footnote>
  <w:footnote w:id="4">
    <w:p w14:paraId="7B85474B" w14:textId="77777777" w:rsidR="00B25CB2" w:rsidRDefault="00B25CB2" w:rsidP="00B25CB2">
      <w:pPr>
        <w:pStyle w:val="FootnoteText"/>
      </w:pPr>
      <w:r>
        <w:rPr>
          <w:rStyle w:val="FootnoteReference"/>
        </w:rPr>
        <w:footnoteRef/>
      </w:r>
      <w:r>
        <w:t xml:space="preserve"> </w:t>
      </w:r>
      <w:r w:rsidRPr="00E8215E">
        <w:t>The evaluation team plans to continue fielding these surveys on a rolling basis in 2025 as new trainees engage with the online training platform and take part in future in-person workshops.</w:t>
      </w:r>
    </w:p>
  </w:footnote>
  <w:footnote w:id="5">
    <w:p w14:paraId="6834958E" w14:textId="052A1A90" w:rsidR="00946F8C" w:rsidRDefault="00946F8C">
      <w:pPr>
        <w:pStyle w:val="FootnoteText"/>
      </w:pPr>
      <w:r>
        <w:rPr>
          <w:rStyle w:val="FootnoteReference"/>
        </w:rPr>
        <w:footnoteRef/>
      </w:r>
      <w:r>
        <w:t xml:space="preserve"> </w:t>
      </w:r>
      <w:r w:rsidRPr="00946F8C">
        <w:t>2024 Illinois Statewide Technical Reference Manual for Energy Efficiency Version 12.0 Volume 4: Cross-Cutting Measures and Attachments, Attachment C</w:t>
      </w:r>
      <w:r>
        <w:t>.</w:t>
      </w:r>
    </w:p>
  </w:footnote>
  <w:footnote w:id="6">
    <w:p w14:paraId="369B93F5" w14:textId="2BDB3949" w:rsidR="00365607" w:rsidRPr="00621AAD" w:rsidRDefault="00365607" w:rsidP="00365607">
      <w:pPr>
        <w:pStyle w:val="FootnoteText"/>
        <w:rPr>
          <w:color w:val="4087C7"/>
          <w:szCs w:val="18"/>
          <w:u w:val="single"/>
        </w:rPr>
      </w:pPr>
      <w:r w:rsidRPr="00894D33">
        <w:rPr>
          <w:rStyle w:val="FootnoteReference"/>
          <w:szCs w:val="18"/>
        </w:rPr>
        <w:footnoteRef/>
      </w:r>
      <w:r w:rsidRPr="00894D33">
        <w:rPr>
          <w:szCs w:val="18"/>
        </w:rPr>
        <w:t xml:space="preserve"> </w:t>
      </w:r>
      <w:r w:rsidR="00C32834" w:rsidRPr="006F3612">
        <w:rPr>
          <w:rStyle w:val="SourceChar"/>
        </w:rPr>
        <w:t xml:space="preserve">US Office of Energy Efficiency &amp; Renewable Energy. </w:t>
      </w:r>
      <w:r w:rsidR="00C32834" w:rsidRPr="006F3612">
        <w:rPr>
          <w:rStyle w:val="SourceChar"/>
          <w:i/>
          <w:iCs/>
        </w:rPr>
        <w:t>2020 U.S. Lighting Market Characterization</w:t>
      </w:r>
      <w:r w:rsidR="00C32834" w:rsidRPr="006F3612">
        <w:rPr>
          <w:rStyle w:val="SourceChar"/>
        </w:rPr>
        <w:t>. US Department of Energy, 2024</w:t>
      </w:r>
      <w:r w:rsidR="00C32834">
        <w:rPr>
          <w:rStyle w:val="SourceChar"/>
        </w:rPr>
        <w:t xml:space="preserve">, </w:t>
      </w:r>
      <w:hyperlink r:id="rId1" w:history="1">
        <w:r w:rsidR="00C32834" w:rsidRPr="00203E85">
          <w:rPr>
            <w:rStyle w:val="Hyperlink"/>
            <w:rFonts w:ascii="Franklin Gothic Book" w:hAnsi="Franklin Gothic Book"/>
            <w:bCs/>
            <w:noProof w:val="0"/>
            <w:sz w:val="18"/>
          </w:rPr>
          <w:t>2020 US Lighting Market Characterization</w:t>
        </w:r>
      </w:hyperlink>
      <w:r w:rsidR="00C32834">
        <w:rPr>
          <w:bCs/>
        </w:rPr>
        <w:t>.</w:t>
      </w:r>
    </w:p>
  </w:footnote>
  <w:footnote w:id="7">
    <w:p w14:paraId="0987E4E4" w14:textId="7CD180CA" w:rsidR="00365607" w:rsidRPr="00894D33" w:rsidRDefault="00365607" w:rsidP="00365607">
      <w:pPr>
        <w:pStyle w:val="FootnoteText"/>
        <w:rPr>
          <w:rStyle w:val="FootnoteReference"/>
          <w:szCs w:val="18"/>
        </w:rPr>
      </w:pPr>
      <w:r w:rsidRPr="00894D33">
        <w:rPr>
          <w:rStyle w:val="FootnoteReference"/>
          <w:szCs w:val="18"/>
        </w:rPr>
        <w:footnoteRef/>
      </w:r>
      <w:r w:rsidRPr="00894D33">
        <w:rPr>
          <w:szCs w:val="18"/>
        </w:rPr>
        <w:t xml:space="preserve"> </w:t>
      </w:r>
      <w:r w:rsidR="00C32834">
        <w:t xml:space="preserve">Ibid; Clay Elliott. </w:t>
      </w:r>
      <w:r w:rsidR="00C32834">
        <w:rPr>
          <w:i/>
          <w:iCs/>
        </w:rPr>
        <w:t>Lighting Market Trends</w:t>
      </w:r>
      <w:r w:rsidR="00C32834">
        <w:t xml:space="preserve">. Navigant (on behalf of the US Department of Energy), 2020, </w:t>
      </w:r>
      <w:hyperlink r:id="rId2" w:history="1">
        <w:r w:rsidR="00C32834" w:rsidRPr="00203E85">
          <w:rPr>
            <w:rStyle w:val="Hyperlink"/>
            <w:rFonts w:ascii="Franklin Gothic Book" w:hAnsi="Franklin Gothic Book"/>
            <w:noProof w:val="0"/>
            <w:sz w:val="18"/>
          </w:rPr>
          <w:t>Lighting Market Trends</w:t>
        </w:r>
      </w:hyperlink>
      <w:r w:rsidR="00C32834">
        <w:t>.</w:t>
      </w:r>
    </w:p>
  </w:footnote>
  <w:footnote w:id="8">
    <w:p w14:paraId="3D64ABDC" w14:textId="43B682CF" w:rsidR="00365607" w:rsidRPr="00621AAD" w:rsidRDefault="00365607" w:rsidP="00287BC8">
      <w:pPr>
        <w:pStyle w:val="Source"/>
        <w:rPr>
          <w:color w:val="4087C7"/>
          <w:szCs w:val="18"/>
          <w:u w:val="single"/>
        </w:rPr>
      </w:pPr>
      <w:r w:rsidRPr="00894D33">
        <w:rPr>
          <w:rStyle w:val="FootnoteReference"/>
          <w:szCs w:val="18"/>
        </w:rPr>
        <w:footnoteRef/>
      </w:r>
      <w:r w:rsidRPr="00894D33">
        <w:rPr>
          <w:szCs w:val="18"/>
        </w:rPr>
        <w:t xml:space="preserve"> </w:t>
      </w:r>
      <w:r w:rsidR="008B7A3D">
        <w:t xml:space="preserve">DNV. </w:t>
      </w:r>
      <w:r w:rsidR="008B7A3D">
        <w:rPr>
          <w:i/>
          <w:iCs/>
        </w:rPr>
        <w:t>2020 C&amp;I Lighting Controls Market Study</w:t>
      </w:r>
      <w:r w:rsidR="008B7A3D">
        <w:t xml:space="preserve">. DNV, 2021, </w:t>
      </w:r>
      <w:hyperlink r:id="rId3" w:history="1">
        <w:r w:rsidR="008B7A3D" w:rsidRPr="00203E85">
          <w:rPr>
            <w:rStyle w:val="Hyperlink"/>
            <w:rFonts w:ascii="Franklin Gothic Book" w:hAnsi="Franklin Gothic Book"/>
            <w:noProof w:val="0"/>
            <w:sz w:val="18"/>
          </w:rPr>
          <w:t>MA20C11-E-LCR_Lighting-Controls-Final-Report_20210630.pdf</w:t>
        </w:r>
      </w:hyperlink>
      <w:r w:rsidR="008B7A3D">
        <w:t>.</w:t>
      </w:r>
    </w:p>
  </w:footnote>
  <w:footnote w:id="9">
    <w:p w14:paraId="5A21F721" w14:textId="57EBAE1C" w:rsidR="00365607" w:rsidRPr="00894D33" w:rsidRDefault="00365607" w:rsidP="00365607">
      <w:pPr>
        <w:pStyle w:val="FootnoteText"/>
        <w:rPr>
          <w:szCs w:val="18"/>
        </w:rPr>
      </w:pPr>
      <w:r w:rsidRPr="00894D33">
        <w:rPr>
          <w:rStyle w:val="FootnoteReference"/>
          <w:szCs w:val="18"/>
        </w:rPr>
        <w:footnoteRef/>
      </w:r>
      <w:r w:rsidRPr="00894D33">
        <w:rPr>
          <w:szCs w:val="18"/>
        </w:rPr>
        <w:t xml:space="preserve"> </w:t>
      </w:r>
      <w:bookmarkStart w:id="66" w:name="_Hlk190165895"/>
      <w:r w:rsidR="008B7A3D">
        <w:t xml:space="preserve">Cadeo. </w:t>
      </w:r>
      <w:r w:rsidR="008B7A3D">
        <w:rPr>
          <w:i/>
          <w:iCs/>
        </w:rPr>
        <w:t>Luminaire Level Lighting Control (LLLC) Market Characterization</w:t>
      </w:r>
      <w:r w:rsidR="008B7A3D">
        <w:t>. Cadeo Group, 2023</w:t>
      </w:r>
      <w:bookmarkEnd w:id="66"/>
      <w:r w:rsidR="008B7A3D">
        <w:t xml:space="preserve">, </w:t>
      </w:r>
      <w:hyperlink r:id="rId4" w:history="1">
        <w:r w:rsidR="008B7A3D" w:rsidRPr="00203E85">
          <w:rPr>
            <w:rStyle w:val="Hyperlink"/>
            <w:rFonts w:ascii="Franklin Gothic Book" w:hAnsi="Franklin Gothic Book"/>
            <w:noProof w:val="0"/>
            <w:sz w:val="18"/>
          </w:rPr>
          <w:t>CEE LLLC Market Char Report 13OCT23.pdf</w:t>
        </w:r>
      </w:hyperlink>
      <w:r w:rsidR="00CD012C">
        <w:t>.</w:t>
      </w:r>
    </w:p>
  </w:footnote>
  <w:footnote w:id="10">
    <w:p w14:paraId="64128F84" w14:textId="12C53E3E" w:rsidR="00365607" w:rsidRPr="00621AAD" w:rsidRDefault="00365607" w:rsidP="00287BC8">
      <w:pPr>
        <w:pStyle w:val="Source"/>
        <w:rPr>
          <w:color w:val="4087C7"/>
          <w:szCs w:val="18"/>
          <w:u w:val="single"/>
        </w:rPr>
      </w:pPr>
      <w:r w:rsidRPr="00894D33">
        <w:rPr>
          <w:rStyle w:val="FootnoteReference"/>
          <w:szCs w:val="18"/>
        </w:rPr>
        <w:footnoteRef/>
      </w:r>
      <w:r w:rsidR="0030657A">
        <w:t xml:space="preserve"> </w:t>
      </w:r>
      <w:r w:rsidR="0039794E">
        <w:t xml:space="preserve">Craig </w:t>
      </w:r>
      <w:r w:rsidR="0039794E">
        <w:t xml:space="preserve">DiLouie. </w:t>
      </w:r>
      <w:r w:rsidR="0039794E">
        <w:rPr>
          <w:i/>
          <w:iCs/>
        </w:rPr>
        <w:t>Leviton’s David Buerer Talks Lighting Control Trends</w:t>
      </w:r>
      <w:r w:rsidR="0039794E">
        <w:t xml:space="preserve">. The Lighting Controls Association, 2024, </w:t>
      </w:r>
      <w:hyperlink r:id="rId5" w:history="1">
        <w:r w:rsidR="0039794E" w:rsidRPr="00203E85">
          <w:rPr>
            <w:rStyle w:val="Hyperlink"/>
            <w:rFonts w:ascii="Franklin Gothic Book" w:hAnsi="Franklin Gothic Book"/>
            <w:noProof w:val="0"/>
            <w:sz w:val="18"/>
          </w:rPr>
          <w:t>Leviton’s David Buerer Talks Lighting Control Trends</w:t>
        </w:r>
      </w:hyperlink>
      <w:r w:rsidR="0039794E">
        <w:t>.</w:t>
      </w:r>
    </w:p>
  </w:footnote>
  <w:footnote w:id="11">
    <w:p w14:paraId="3718B5B0" w14:textId="613EC991" w:rsidR="00365607" w:rsidRPr="00EC6D5D" w:rsidRDefault="00365607" w:rsidP="00365607">
      <w:pPr>
        <w:pStyle w:val="FootnoteText"/>
      </w:pPr>
      <w:r w:rsidRPr="00894D33">
        <w:rPr>
          <w:rStyle w:val="FootnoteReference"/>
          <w:szCs w:val="18"/>
        </w:rPr>
        <w:footnoteRef/>
      </w:r>
      <w:r w:rsidRPr="00894D33">
        <w:rPr>
          <w:szCs w:val="18"/>
        </w:rPr>
        <w:t xml:space="preserve"> </w:t>
      </w:r>
      <w:r w:rsidR="0039794E">
        <w:t xml:space="preserve">Teddy Kisch and Kate DoVale. </w:t>
      </w:r>
      <w:r w:rsidR="0039794E">
        <w:rPr>
          <w:i/>
          <w:iCs/>
        </w:rPr>
        <w:t>2020 Luminaire Level Lighting Controls Incremental Cost Study</w:t>
      </w:r>
      <w:r w:rsidR="0039794E">
        <w:t xml:space="preserve">. Energy Solutions (on behalf of Northwest Energy Efficiency Alliance), 2021, </w:t>
      </w:r>
      <w:hyperlink r:id="rId6" w:history="1">
        <w:r w:rsidR="0039794E" w:rsidRPr="00B13645">
          <w:rPr>
            <w:rStyle w:val="Hyperlink"/>
            <w:rFonts w:ascii="Franklin Gothic Book" w:hAnsi="Franklin Gothic Book"/>
            <w:noProof w:val="0"/>
            <w:sz w:val="18"/>
          </w:rPr>
          <w:t>2020 LLLC Incremental Cost Study</w:t>
        </w:r>
      </w:hyperlink>
      <w:r w:rsidR="0039794E">
        <w:rPr>
          <w:rStyle w:val="Hyperlink"/>
          <w:rFonts w:ascii="Franklin Gothic Book" w:hAnsi="Franklin Gothic Book"/>
          <w:noProof w:val="0"/>
          <w:sz w:val="18"/>
        </w:rPr>
        <w:t>.</w:t>
      </w:r>
    </w:p>
  </w:footnote>
  <w:footnote w:id="12">
    <w:p w14:paraId="49FEE8A5" w14:textId="6B30F15B" w:rsidR="00365607" w:rsidRPr="00257676" w:rsidRDefault="00365607" w:rsidP="00365607">
      <w:pPr>
        <w:pStyle w:val="FootnoteText"/>
        <w:rPr>
          <w:szCs w:val="18"/>
        </w:rPr>
      </w:pPr>
      <w:r w:rsidRPr="00257676">
        <w:rPr>
          <w:rStyle w:val="FootnoteReference"/>
          <w:szCs w:val="18"/>
        </w:rPr>
        <w:footnoteRef/>
      </w:r>
      <w:r w:rsidRPr="00257676">
        <w:rPr>
          <w:szCs w:val="18"/>
        </w:rPr>
        <w:t xml:space="preserve"> </w:t>
      </w:r>
      <w:r w:rsidR="0039794E" w:rsidRPr="00857125">
        <w:t xml:space="preserve">DNV. </w:t>
      </w:r>
      <w:r w:rsidR="0039794E" w:rsidRPr="00857125">
        <w:rPr>
          <w:i/>
          <w:iCs/>
        </w:rPr>
        <w:t>2020 C&amp;I Lighting Controls Market Study</w:t>
      </w:r>
      <w:r w:rsidR="0039794E" w:rsidRPr="00857125">
        <w:t xml:space="preserve">. DNV, 2021.; Cadeo. </w:t>
      </w:r>
      <w:r w:rsidR="0039794E" w:rsidRPr="00857125">
        <w:rPr>
          <w:i/>
          <w:iCs/>
        </w:rPr>
        <w:t>Luminaire Level Lighting Control (LLLC) Market Characterization</w:t>
      </w:r>
      <w:r w:rsidR="0039794E" w:rsidRPr="00857125">
        <w:t xml:space="preserve">. Cadeo Group, 2023.; Research </w:t>
      </w:r>
      <w:r w:rsidR="0039794E" w:rsidRPr="00857125">
        <w:t xml:space="preserve">Into Action, Inc. and Energy 350. </w:t>
      </w:r>
      <w:r w:rsidR="0039794E" w:rsidRPr="00857125">
        <w:rPr>
          <w:i/>
          <w:iCs/>
        </w:rPr>
        <w:t>Luminaire Level Lighting Controls (LLLC) Market Characterization and Baseline Report</w:t>
      </w:r>
      <w:r w:rsidR="0039794E" w:rsidRPr="00857125">
        <w:t>. Northwest Energy Efficiency Alliance, 2016.; Teddy Kisch and Kate DoVale</w:t>
      </w:r>
      <w:r w:rsidR="0039794E" w:rsidRPr="00857125">
        <w:rPr>
          <w:i/>
          <w:iCs/>
        </w:rPr>
        <w:t>. 2020 Luminaire Level Lighting Controls Incremental Cost Study</w:t>
      </w:r>
      <w:r w:rsidR="0039794E" w:rsidRPr="00857125">
        <w:t>. Energy Solutions (on behalf of Northwest Energy Efficiency Alliance), 2021.</w:t>
      </w:r>
    </w:p>
  </w:footnote>
  <w:footnote w:id="13">
    <w:p w14:paraId="532FD543" w14:textId="6D673B7C" w:rsidR="00365607" w:rsidRPr="00257676" w:rsidRDefault="00365607" w:rsidP="00365607">
      <w:pPr>
        <w:pStyle w:val="FootnoteText"/>
        <w:rPr>
          <w:szCs w:val="18"/>
        </w:rPr>
      </w:pPr>
      <w:r w:rsidRPr="00257676">
        <w:rPr>
          <w:rStyle w:val="FootnoteReference"/>
          <w:szCs w:val="18"/>
        </w:rPr>
        <w:footnoteRef/>
      </w:r>
      <w:r w:rsidRPr="00257676">
        <w:rPr>
          <w:szCs w:val="18"/>
        </w:rPr>
        <w:t xml:space="preserve"> </w:t>
      </w:r>
      <w:r w:rsidR="0039794E" w:rsidRPr="00ED0C8A">
        <w:t>Cadeo. Luminaire Level Lighting Control (LLLC) Market Characterization. Cadeo Group, 2023</w:t>
      </w:r>
      <w:r w:rsidR="0039794E">
        <w:t xml:space="preserve">, </w:t>
      </w:r>
      <w:hyperlink r:id="rId7" w:history="1">
        <w:r w:rsidR="0039794E" w:rsidRPr="00203E85">
          <w:rPr>
            <w:rStyle w:val="Hyperlink"/>
            <w:rFonts w:ascii="Franklin Gothic Book" w:hAnsi="Franklin Gothic Book"/>
            <w:noProof w:val="0"/>
            <w:sz w:val="18"/>
          </w:rPr>
          <w:t>CEE LLLC Market Char Report 13OCT23.pdf</w:t>
        </w:r>
      </w:hyperlink>
      <w:r w:rsidR="0039794E" w:rsidRPr="00ED0C8A">
        <w:t>.</w:t>
      </w:r>
    </w:p>
  </w:footnote>
  <w:footnote w:id="14">
    <w:p w14:paraId="6D154494" w14:textId="2C6205AD" w:rsidR="00365607" w:rsidRPr="00257676" w:rsidRDefault="00365607" w:rsidP="00365607">
      <w:pPr>
        <w:pStyle w:val="FootnoteText"/>
        <w:rPr>
          <w:szCs w:val="18"/>
        </w:rPr>
      </w:pPr>
      <w:r w:rsidRPr="00257676">
        <w:rPr>
          <w:rStyle w:val="FootnoteReference"/>
          <w:szCs w:val="18"/>
        </w:rPr>
        <w:footnoteRef/>
      </w:r>
      <w:r w:rsidRPr="00257676">
        <w:rPr>
          <w:szCs w:val="18"/>
        </w:rPr>
        <w:t xml:space="preserve"> </w:t>
      </w:r>
      <w:r w:rsidR="0039794E">
        <w:t xml:space="preserve">BetterBricks. </w:t>
      </w:r>
      <w:r w:rsidR="0039794E">
        <w:rPr>
          <w:i/>
          <w:iCs/>
        </w:rPr>
        <w:t>Luminaire Level Lighting Controls: The Future of Intelligent Lighting - Ask the Experts</w:t>
      </w:r>
      <w:r w:rsidR="0039794E">
        <w:t xml:space="preserve">. Northwest Energy Efficiency Alliance, </w:t>
      </w:r>
      <w:hyperlink r:id="rId8" w:history="1">
        <w:r w:rsidR="0039794E" w:rsidRPr="00B13645">
          <w:rPr>
            <w:rStyle w:val="Hyperlink"/>
            <w:rFonts w:ascii="Franklin Gothic Book" w:hAnsi="Franklin Gothic Book"/>
            <w:noProof w:val="0"/>
            <w:sz w:val="18"/>
          </w:rPr>
          <w:t>LLLC-AskTheExpert-QA_Series.pdf</w:t>
        </w:r>
      </w:hyperlink>
      <w:r w:rsidR="0039794E">
        <w:t>.</w:t>
      </w:r>
    </w:p>
  </w:footnote>
  <w:footnote w:id="15">
    <w:p w14:paraId="63F4C86A" w14:textId="47807A9D" w:rsidR="00365607" w:rsidRPr="00257676" w:rsidRDefault="00365607" w:rsidP="00365607">
      <w:pPr>
        <w:pStyle w:val="FootnoteText"/>
        <w:rPr>
          <w:szCs w:val="18"/>
        </w:rPr>
      </w:pPr>
      <w:r w:rsidRPr="00257676">
        <w:rPr>
          <w:rStyle w:val="FootnoteReference"/>
          <w:szCs w:val="18"/>
        </w:rPr>
        <w:footnoteRef/>
      </w:r>
      <w:r w:rsidRPr="00257676">
        <w:rPr>
          <w:szCs w:val="18"/>
        </w:rPr>
        <w:t xml:space="preserve"> </w:t>
      </w:r>
      <w:r w:rsidR="0039794E" w:rsidRPr="00ED0C8A">
        <w:t>Cadeo. Luminaire Level Lighting Control (LLLC) Market Characterization. Cadeo Group, 2023</w:t>
      </w:r>
      <w:r w:rsidR="0039794E">
        <w:t xml:space="preserve">, </w:t>
      </w:r>
      <w:hyperlink r:id="rId9" w:history="1">
        <w:r w:rsidR="0039794E" w:rsidRPr="00203E85">
          <w:rPr>
            <w:rStyle w:val="Hyperlink"/>
            <w:rFonts w:ascii="Franklin Gothic Book" w:hAnsi="Franklin Gothic Book"/>
            <w:noProof w:val="0"/>
            <w:sz w:val="18"/>
          </w:rPr>
          <w:t>CEE LLLC Market Char Report 13OCT23.pdf</w:t>
        </w:r>
      </w:hyperlink>
    </w:p>
  </w:footnote>
  <w:footnote w:id="16">
    <w:p w14:paraId="40B98504" w14:textId="5085AB6B" w:rsidR="00365607" w:rsidRDefault="00365607" w:rsidP="00365607">
      <w:pPr>
        <w:pStyle w:val="FootnoteText"/>
      </w:pPr>
      <w:r w:rsidRPr="00257676">
        <w:rPr>
          <w:rStyle w:val="FootnoteReference"/>
          <w:szCs w:val="18"/>
        </w:rPr>
        <w:footnoteRef/>
      </w:r>
      <w:r w:rsidRPr="00257676">
        <w:rPr>
          <w:szCs w:val="18"/>
        </w:rPr>
        <w:t xml:space="preserve"> </w:t>
      </w:r>
      <w:r w:rsidR="0039794E" w:rsidRPr="00857125">
        <w:rPr>
          <w:rStyle w:val="SourceChar"/>
        </w:rPr>
        <w:t xml:space="preserve">Research Into Action, Inc. and Energy 350. </w:t>
      </w:r>
      <w:r w:rsidR="0039794E" w:rsidRPr="00857125">
        <w:rPr>
          <w:rStyle w:val="SourceChar"/>
          <w:i/>
          <w:iCs/>
        </w:rPr>
        <w:t>Luminaire Level Lighting Controls (LLLC) Market Characterization and Baseline Report</w:t>
      </w:r>
      <w:r w:rsidR="0039794E" w:rsidRPr="00857125">
        <w:rPr>
          <w:rStyle w:val="SourceChar"/>
        </w:rPr>
        <w:t>. Northwest Energy Efficiency Alliance, 2016</w:t>
      </w:r>
      <w:r w:rsidR="0039794E">
        <w:rPr>
          <w:rStyle w:val="SourceChar"/>
        </w:rPr>
        <w:t xml:space="preserve">, </w:t>
      </w:r>
      <w:hyperlink r:id="rId10" w:history="1">
        <w:r w:rsidR="0039794E">
          <w:rPr>
            <w:rStyle w:val="Hyperlink"/>
            <w:rFonts w:ascii="Franklin Gothic Book" w:hAnsi="Franklin Gothic Book"/>
            <w:bCs/>
            <w:noProof w:val="0"/>
            <w:sz w:val="18"/>
          </w:rPr>
          <w:t>Market Characterization and Baseline Report</w:t>
        </w:r>
      </w:hyperlink>
      <w:r w:rsidR="0039794E">
        <w:t xml:space="preserve">. </w:t>
      </w:r>
    </w:p>
  </w:footnote>
  <w:footnote w:id="17">
    <w:p w14:paraId="75053AA8" w14:textId="2326864A" w:rsidR="00DE040B" w:rsidRPr="005C7089" w:rsidRDefault="00DE040B" w:rsidP="00DE040B">
      <w:pPr>
        <w:pStyle w:val="FootnoteText"/>
        <w:rPr>
          <w:szCs w:val="18"/>
        </w:rPr>
      </w:pPr>
      <w:r w:rsidRPr="005C7089">
        <w:rPr>
          <w:rStyle w:val="FootnoteReference"/>
          <w:szCs w:val="18"/>
        </w:rPr>
        <w:footnoteRef/>
      </w:r>
      <w:r w:rsidRPr="005C7089">
        <w:rPr>
          <w:szCs w:val="18"/>
        </w:rPr>
        <w:t xml:space="preserve"> </w:t>
      </w:r>
      <w:r w:rsidR="0039794E">
        <w:t xml:space="preserve">US Office of Energy Efficiency &amp; Renewable Energy. </w:t>
      </w:r>
      <w:r w:rsidR="0039794E">
        <w:rPr>
          <w:i/>
          <w:iCs/>
        </w:rPr>
        <w:t>Building Energy Codes Program: Codes 101</w:t>
      </w:r>
      <w:r w:rsidR="0039794E">
        <w:t xml:space="preserve">. U.S. Department of Energy, </w:t>
      </w:r>
      <w:hyperlink r:id="rId11" w:anchor=":~:text=Energy%20codes%20are%20holistic%20minimum%20energy%20efficiency%20requirements,multifamily%2C%20commercial%2C%20institutional%2C%20industrial%29%20and%20particular%20building%20renovations." w:history="1">
        <w:r w:rsidR="0039794E" w:rsidRPr="000452C2">
          <w:rPr>
            <w:rStyle w:val="Hyperlink"/>
            <w:rFonts w:ascii="Franklin Gothic Book" w:hAnsi="Franklin Gothic Book"/>
            <w:noProof w:val="0"/>
            <w:sz w:val="18"/>
          </w:rPr>
          <w:t>Codes 101 | Building Energy Codes Program</w:t>
        </w:r>
      </w:hyperlink>
      <w:r w:rsidR="0039794E">
        <w:t>.</w:t>
      </w:r>
    </w:p>
  </w:footnote>
  <w:footnote w:id="18">
    <w:p w14:paraId="1D5869FA" w14:textId="59134727" w:rsidR="00CD012C" w:rsidRPr="005C7089" w:rsidRDefault="00DE040B" w:rsidP="00DE040B">
      <w:pPr>
        <w:pStyle w:val="FootnoteText"/>
        <w:rPr>
          <w:szCs w:val="18"/>
        </w:rPr>
      </w:pPr>
      <w:r w:rsidRPr="005C7089">
        <w:rPr>
          <w:rStyle w:val="FootnoteReference"/>
          <w:szCs w:val="18"/>
        </w:rPr>
        <w:footnoteRef/>
      </w:r>
      <w:r w:rsidRPr="005C7089">
        <w:rPr>
          <w:szCs w:val="18"/>
        </w:rPr>
        <w:t xml:space="preserve"> Ibid.</w:t>
      </w:r>
    </w:p>
  </w:footnote>
  <w:footnote w:id="19">
    <w:p w14:paraId="21DFDCF7" w14:textId="56EC3AAA" w:rsidR="00DE040B" w:rsidRPr="005C7089" w:rsidRDefault="00DE040B" w:rsidP="00DE040B">
      <w:pPr>
        <w:pStyle w:val="FootnoteText"/>
        <w:rPr>
          <w:szCs w:val="18"/>
        </w:rPr>
      </w:pPr>
      <w:r w:rsidRPr="005C7089">
        <w:rPr>
          <w:rStyle w:val="FootnoteReference"/>
          <w:szCs w:val="18"/>
        </w:rPr>
        <w:footnoteRef/>
      </w:r>
      <w:r w:rsidRPr="005C7089">
        <w:rPr>
          <w:szCs w:val="18"/>
        </w:rPr>
        <w:t xml:space="preserve"> </w:t>
      </w:r>
      <w:r w:rsidR="0039794E">
        <w:t xml:space="preserve">US Office of Energy Efficiency &amp; Renewable Energy. </w:t>
      </w:r>
      <w:r w:rsidR="0039794E">
        <w:rPr>
          <w:i/>
          <w:iCs/>
        </w:rPr>
        <w:t>Building Energy Codes Program: Municipal Commercial Energy Code Efficiency Infographic</w:t>
      </w:r>
      <w:r w:rsidR="0039794E">
        <w:t>. D</w:t>
      </w:r>
      <w:r w:rsidR="00CD012C">
        <w:t>OE</w:t>
      </w:r>
      <w:r w:rsidR="0039794E">
        <w:t xml:space="preserve">, 2024, </w:t>
      </w:r>
      <w:hyperlink r:id="rId12" w:history="1">
        <w:r w:rsidR="0039794E" w:rsidRPr="000452C2">
          <w:rPr>
            <w:rStyle w:val="Hyperlink"/>
            <w:rFonts w:ascii="Franklin Gothic Book" w:hAnsi="Franklin Gothic Book"/>
            <w:noProof w:val="0"/>
            <w:sz w:val="18"/>
          </w:rPr>
          <w:t>Infographics | Building Energy Codes Program</w:t>
        </w:r>
      </w:hyperlink>
      <w:r w:rsidR="0039794E">
        <w:t>.</w:t>
      </w:r>
    </w:p>
  </w:footnote>
  <w:footnote w:id="20">
    <w:p w14:paraId="242CB2B8" w14:textId="3FCDCC94" w:rsidR="00DE040B" w:rsidRDefault="00DE040B" w:rsidP="00DE040B">
      <w:pPr>
        <w:pStyle w:val="FootnoteText"/>
      </w:pPr>
      <w:r w:rsidRPr="005C7089">
        <w:rPr>
          <w:rStyle w:val="FootnoteReference"/>
          <w:szCs w:val="18"/>
        </w:rPr>
        <w:footnoteRef/>
      </w:r>
      <w:r w:rsidRPr="005C7089">
        <w:rPr>
          <w:szCs w:val="18"/>
        </w:rPr>
        <w:t xml:space="preserve"> </w:t>
      </w:r>
      <w:r w:rsidR="0039794E">
        <w:t xml:space="preserve">ASHRAE. </w:t>
      </w:r>
      <w:r w:rsidR="0039794E">
        <w:rPr>
          <w:i/>
          <w:iCs/>
        </w:rPr>
        <w:t>2019 Update Focuses on Energy-Saving Measures, Addresses Fan Efficiency, Pump Requirements</w:t>
      </w:r>
      <w:r w:rsidR="0039794E">
        <w:t xml:space="preserve">. HVAC&amp;R Industry Newsletter, 2019, </w:t>
      </w:r>
      <w:hyperlink r:id="rId13" w:history="1">
        <w:r w:rsidR="0039794E" w:rsidRPr="000452C2">
          <w:rPr>
            <w:rStyle w:val="Hyperlink"/>
            <w:rFonts w:ascii="Franklin Gothic Book" w:hAnsi="Franklin Gothic Book"/>
            <w:noProof w:val="0"/>
            <w:sz w:val="18"/>
          </w:rPr>
          <w:t>2019 Update of Standard 90.1 | ashrae.org</w:t>
        </w:r>
      </w:hyperlink>
      <w:r w:rsidR="0039794E">
        <w:t>.</w:t>
      </w:r>
    </w:p>
  </w:footnote>
  <w:footnote w:id="21">
    <w:p w14:paraId="0DE304BB" w14:textId="62043720" w:rsidR="00C70A42" w:rsidRDefault="00C70A42">
      <w:pPr>
        <w:pStyle w:val="FootnoteText"/>
      </w:pPr>
      <w:r>
        <w:rPr>
          <w:rStyle w:val="FootnoteReference"/>
        </w:rPr>
        <w:footnoteRef/>
      </w:r>
      <w:r>
        <w:t xml:space="preserve"> </w:t>
      </w:r>
      <w:r w:rsidR="0039794E">
        <w:t xml:space="preserve">BetterBricks. </w:t>
      </w:r>
      <w:r w:rsidR="0039794E">
        <w:rPr>
          <w:i/>
          <w:iCs/>
        </w:rPr>
        <w:t>Luminaire Level Lighting Controls: The Future of Intelligent Lighting - Ask the Experts</w:t>
      </w:r>
      <w:r w:rsidR="0039794E">
        <w:t xml:space="preserve">. Northwest Energy Efficiency Alliance, </w:t>
      </w:r>
      <w:hyperlink r:id="rId14" w:history="1">
        <w:r w:rsidR="0039794E" w:rsidRPr="00B13645">
          <w:rPr>
            <w:rStyle w:val="Hyperlink"/>
            <w:rFonts w:ascii="Franklin Gothic Book" w:hAnsi="Franklin Gothic Book"/>
            <w:noProof w:val="0"/>
            <w:sz w:val="18"/>
          </w:rPr>
          <w:t>LLLC-AskTheExpert-QA_Series.pdf</w:t>
        </w:r>
      </w:hyperlink>
      <w:r w:rsidR="0039794E">
        <w:t>.</w:t>
      </w:r>
    </w:p>
  </w:footnote>
  <w:footnote w:id="22">
    <w:p w14:paraId="71CD6414" w14:textId="085569A5" w:rsidR="00365607" w:rsidRPr="00257676" w:rsidRDefault="00365607" w:rsidP="00365607">
      <w:pPr>
        <w:pStyle w:val="FootnoteText"/>
        <w:rPr>
          <w:szCs w:val="18"/>
        </w:rPr>
      </w:pPr>
      <w:r w:rsidRPr="00257676">
        <w:rPr>
          <w:rStyle w:val="FootnoteReference"/>
          <w:szCs w:val="18"/>
        </w:rPr>
        <w:footnoteRef/>
      </w:r>
      <w:r w:rsidRPr="00257676">
        <w:rPr>
          <w:szCs w:val="18"/>
        </w:rPr>
        <w:t xml:space="preserve"> </w:t>
      </w:r>
      <w:r w:rsidR="0039794E">
        <w:t xml:space="preserve">Cadeo. </w:t>
      </w:r>
      <w:r w:rsidR="0039794E">
        <w:rPr>
          <w:i/>
          <w:iCs/>
        </w:rPr>
        <w:t>Luminaire Level Lighting Control (LLLC) Market Characterization</w:t>
      </w:r>
      <w:r w:rsidR="0039794E">
        <w:t xml:space="preserve">. Cadeo Group, 2023, </w:t>
      </w:r>
      <w:hyperlink r:id="rId15" w:history="1">
        <w:r w:rsidR="0039794E" w:rsidRPr="00203E85">
          <w:rPr>
            <w:rStyle w:val="Hyperlink"/>
            <w:rFonts w:ascii="Franklin Gothic Book" w:hAnsi="Franklin Gothic Book"/>
            <w:noProof w:val="0"/>
            <w:sz w:val="18"/>
          </w:rPr>
          <w:t>CEE LLLC Market Char Report 13OCT23.pdf</w:t>
        </w:r>
      </w:hyperlink>
      <w:r w:rsidR="0039794E">
        <w:t>.</w:t>
      </w:r>
    </w:p>
  </w:footnote>
  <w:footnote w:id="23">
    <w:p w14:paraId="6F8551BE" w14:textId="081BE3F1" w:rsidR="00365607" w:rsidRPr="00257676" w:rsidRDefault="00365607" w:rsidP="00365607">
      <w:pPr>
        <w:pStyle w:val="FootnoteText"/>
        <w:rPr>
          <w:szCs w:val="18"/>
        </w:rPr>
      </w:pPr>
      <w:r w:rsidRPr="00257676">
        <w:rPr>
          <w:rStyle w:val="FootnoteReference"/>
          <w:szCs w:val="18"/>
        </w:rPr>
        <w:footnoteRef/>
      </w:r>
      <w:r w:rsidRPr="00257676">
        <w:rPr>
          <w:szCs w:val="18"/>
        </w:rPr>
        <w:t xml:space="preserve"> </w:t>
      </w:r>
      <w:r w:rsidR="0039794E">
        <w:t xml:space="preserve">Research Into Action, Inc. and Energy 350. </w:t>
      </w:r>
      <w:r w:rsidR="0039794E">
        <w:rPr>
          <w:i/>
          <w:iCs/>
        </w:rPr>
        <w:t xml:space="preserve">Luminaire Level Lighting Controls (LLLC) Market Characterization and Baseline </w:t>
      </w:r>
      <w:r w:rsidR="0039794E" w:rsidRPr="00857125">
        <w:t>Report</w:t>
      </w:r>
      <w:r w:rsidR="0039794E">
        <w:t xml:space="preserve">. Northwest Energy Efficiency Alliance, 2016, </w:t>
      </w:r>
      <w:hyperlink r:id="rId16" w:history="1">
        <w:r w:rsidR="0039794E">
          <w:rPr>
            <w:rStyle w:val="Hyperlink"/>
            <w:rFonts w:ascii="Franklin Gothic Book" w:hAnsi="Franklin Gothic Book"/>
            <w:bCs/>
            <w:noProof w:val="0"/>
            <w:sz w:val="18"/>
          </w:rPr>
          <w:t>Market Characterization and Baseline Report</w:t>
        </w:r>
      </w:hyperlink>
      <w:r w:rsidR="0039794E">
        <w:t xml:space="preserve">. </w:t>
      </w:r>
    </w:p>
  </w:footnote>
  <w:footnote w:id="24">
    <w:p w14:paraId="689DD73D" w14:textId="330E08AE" w:rsidR="00365607" w:rsidRPr="00257676" w:rsidRDefault="00365607" w:rsidP="00287BC8">
      <w:pPr>
        <w:pStyle w:val="Source"/>
        <w:rPr>
          <w:szCs w:val="18"/>
        </w:rPr>
      </w:pPr>
      <w:r w:rsidRPr="00257676">
        <w:rPr>
          <w:rStyle w:val="FootnoteReference"/>
          <w:szCs w:val="18"/>
        </w:rPr>
        <w:footnoteRef/>
      </w:r>
      <w:r w:rsidRPr="00257676">
        <w:rPr>
          <w:szCs w:val="18"/>
        </w:rPr>
        <w:t xml:space="preserve"> </w:t>
      </w:r>
      <w:r w:rsidR="00931033">
        <w:t xml:space="preserve">Craig </w:t>
      </w:r>
      <w:r w:rsidR="00931033">
        <w:t xml:space="preserve">DiLouie. </w:t>
      </w:r>
      <w:r w:rsidR="00931033">
        <w:rPr>
          <w:i/>
          <w:iCs/>
        </w:rPr>
        <w:t>Leviton’s David Buerer Talks Lighting Control Trends</w:t>
      </w:r>
      <w:r w:rsidR="00931033">
        <w:t xml:space="preserve">. The Lighting Controls Association, 2024, </w:t>
      </w:r>
      <w:hyperlink r:id="rId17" w:history="1">
        <w:r w:rsidR="00931033" w:rsidRPr="00203E85">
          <w:rPr>
            <w:rStyle w:val="Hyperlink"/>
            <w:rFonts w:ascii="Franklin Gothic Book" w:hAnsi="Franklin Gothic Book"/>
            <w:noProof w:val="0"/>
            <w:sz w:val="18"/>
          </w:rPr>
          <w:t>Leviton’s David Buerer Talks Lighting Control Trends</w:t>
        </w:r>
      </w:hyperlink>
      <w:r w:rsidR="00931033">
        <w:t>.</w:t>
      </w:r>
    </w:p>
  </w:footnote>
  <w:footnote w:id="25">
    <w:p w14:paraId="0A572AB0" w14:textId="18D32271" w:rsidR="00365607" w:rsidRPr="00257676" w:rsidRDefault="00365607" w:rsidP="00365607">
      <w:pPr>
        <w:pStyle w:val="FootnoteText"/>
        <w:rPr>
          <w:szCs w:val="18"/>
        </w:rPr>
      </w:pPr>
      <w:r w:rsidRPr="00257676">
        <w:rPr>
          <w:rStyle w:val="FootnoteReference"/>
          <w:szCs w:val="18"/>
        </w:rPr>
        <w:footnoteRef/>
      </w:r>
      <w:r w:rsidRPr="00257676">
        <w:rPr>
          <w:szCs w:val="18"/>
        </w:rPr>
        <w:t xml:space="preserve"> </w:t>
      </w:r>
      <w:r w:rsidR="00931033" w:rsidRPr="00857125">
        <w:t xml:space="preserve">DNV. </w:t>
      </w:r>
      <w:r w:rsidR="00931033" w:rsidRPr="00857125">
        <w:rPr>
          <w:i/>
          <w:iCs/>
        </w:rPr>
        <w:t>2020 C&amp;I Lighting Controls Market Study</w:t>
      </w:r>
      <w:r w:rsidR="00931033" w:rsidRPr="00857125">
        <w:t>. DNV, 2021</w:t>
      </w:r>
      <w:r w:rsidR="00931033">
        <w:t xml:space="preserve">, </w:t>
      </w:r>
      <w:hyperlink r:id="rId18" w:history="1">
        <w:r w:rsidR="00931033" w:rsidRPr="00203E85">
          <w:rPr>
            <w:rStyle w:val="Hyperlink"/>
            <w:rFonts w:ascii="Franklin Gothic Book" w:hAnsi="Franklin Gothic Book"/>
            <w:noProof w:val="0"/>
            <w:sz w:val="18"/>
          </w:rPr>
          <w:t>MA20C11-E-LCR_Lighting-Controls-Final-Report_20210630.pdf</w:t>
        </w:r>
      </w:hyperlink>
      <w:r w:rsidR="00931033">
        <w:t xml:space="preserve">. </w:t>
      </w:r>
    </w:p>
  </w:footnote>
  <w:footnote w:id="26">
    <w:p w14:paraId="4D0D4827" w14:textId="76DD1AA5" w:rsidR="00365607" w:rsidRPr="00257676" w:rsidRDefault="00365607" w:rsidP="00365607">
      <w:pPr>
        <w:pStyle w:val="FootnoteText"/>
        <w:rPr>
          <w:szCs w:val="18"/>
        </w:rPr>
      </w:pPr>
      <w:r w:rsidRPr="00257676">
        <w:rPr>
          <w:rStyle w:val="FootnoteReference"/>
          <w:szCs w:val="18"/>
        </w:rPr>
        <w:footnoteRef/>
      </w:r>
      <w:r w:rsidRPr="00257676">
        <w:rPr>
          <w:szCs w:val="18"/>
        </w:rPr>
        <w:t xml:space="preserve"> </w:t>
      </w:r>
      <w:r w:rsidR="00931033">
        <w:t xml:space="preserve">BetterBricks. </w:t>
      </w:r>
      <w:r w:rsidR="00931033">
        <w:rPr>
          <w:i/>
          <w:iCs/>
        </w:rPr>
        <w:t>Luminaire Level Lighting Controls: The Future of Intelligent Lighting - Ask the Experts</w:t>
      </w:r>
      <w:r w:rsidR="00931033">
        <w:t xml:space="preserve">. Northwest Energy Efficiency Alliance, </w:t>
      </w:r>
      <w:hyperlink r:id="rId19" w:history="1">
        <w:r w:rsidR="00931033" w:rsidRPr="00B13645">
          <w:rPr>
            <w:rStyle w:val="Hyperlink"/>
            <w:rFonts w:ascii="Franklin Gothic Book" w:hAnsi="Franklin Gothic Book"/>
            <w:noProof w:val="0"/>
            <w:sz w:val="18"/>
          </w:rPr>
          <w:t>LLLC-AskTheExpert-QA_Series.pdf</w:t>
        </w:r>
      </w:hyperlink>
      <w:r w:rsidR="00931033">
        <w:t>.</w:t>
      </w:r>
    </w:p>
  </w:footnote>
  <w:footnote w:id="27">
    <w:p w14:paraId="16BB51E0" w14:textId="309B23BE" w:rsidR="00B26965" w:rsidRPr="00B26965" w:rsidRDefault="00B26965">
      <w:pPr>
        <w:pStyle w:val="FootnoteText"/>
      </w:pPr>
      <w:r>
        <w:rPr>
          <w:rStyle w:val="FootnoteReference"/>
        </w:rPr>
        <w:footnoteRef/>
      </w:r>
      <w:r>
        <w:t xml:space="preserve"> Opinion Dynamics. </w:t>
      </w:r>
      <w:r>
        <w:rPr>
          <w:i/>
          <w:iCs/>
        </w:rPr>
        <w:t>AIC Nonresidential NEIs Case Study Results</w:t>
      </w:r>
      <w:r>
        <w:t xml:space="preserve">. Opinion Dynamics Corporation, 2022, </w:t>
      </w:r>
      <w:hyperlink r:id="rId20" w:history="1">
        <w:r w:rsidR="00667783" w:rsidRPr="00B22470">
          <w:rPr>
            <w:rStyle w:val="Hyperlink"/>
            <w:rFonts w:ascii="Franklin Gothic Book" w:hAnsi="Franklin Gothic Book"/>
            <w:noProof w:val="0"/>
            <w:sz w:val="18"/>
          </w:rPr>
          <w:t>https://www.ilsag.info/wp-content/uploads/AIC-Nonresidential-NEIs-Marketing-Cut-Sheets_FINAL.pdf</w:t>
        </w:r>
      </w:hyperlink>
      <w:r>
        <w:t>.</w:t>
      </w:r>
      <w:r w:rsidR="00667783">
        <w:t xml:space="preserve"> </w:t>
      </w:r>
    </w:p>
  </w:footnote>
  <w:footnote w:id="28">
    <w:p w14:paraId="1195CC13" w14:textId="0611C5EC" w:rsidR="00365607" w:rsidRPr="00257676" w:rsidRDefault="00365607" w:rsidP="00365607">
      <w:pPr>
        <w:pStyle w:val="FootnoteText"/>
        <w:rPr>
          <w:szCs w:val="18"/>
        </w:rPr>
      </w:pPr>
      <w:r w:rsidRPr="00257676">
        <w:rPr>
          <w:rStyle w:val="FootnoteReference"/>
          <w:szCs w:val="18"/>
        </w:rPr>
        <w:footnoteRef/>
      </w:r>
      <w:r w:rsidRPr="00257676">
        <w:rPr>
          <w:szCs w:val="18"/>
        </w:rPr>
        <w:t xml:space="preserve"> </w:t>
      </w:r>
      <w:r w:rsidR="00931033" w:rsidRPr="00857125">
        <w:t xml:space="preserve">DNV. </w:t>
      </w:r>
      <w:r w:rsidR="00931033" w:rsidRPr="00857125">
        <w:rPr>
          <w:i/>
          <w:iCs/>
        </w:rPr>
        <w:t>2020 C&amp;I Lighting Controls Market Study</w:t>
      </w:r>
      <w:r w:rsidR="00931033" w:rsidRPr="00857125">
        <w:t>. DNV, 2021</w:t>
      </w:r>
      <w:r w:rsidR="00931033">
        <w:t xml:space="preserve">, </w:t>
      </w:r>
      <w:hyperlink r:id="rId21" w:history="1">
        <w:r w:rsidR="00931033" w:rsidRPr="00203E85">
          <w:rPr>
            <w:rStyle w:val="Hyperlink"/>
            <w:rFonts w:ascii="Franklin Gothic Book" w:hAnsi="Franklin Gothic Book"/>
            <w:noProof w:val="0"/>
            <w:sz w:val="18"/>
          </w:rPr>
          <w:t>MA20C11-E-LCR_Lighting-Controls-Final-Report_20210630.pdf</w:t>
        </w:r>
      </w:hyperlink>
      <w:r w:rsidR="00931033">
        <w:t xml:space="preserve">. </w:t>
      </w:r>
    </w:p>
  </w:footnote>
  <w:footnote w:id="29">
    <w:p w14:paraId="3AC2A874" w14:textId="72E293BF" w:rsidR="00365607" w:rsidRPr="004308BB" w:rsidRDefault="00365607" w:rsidP="00365607">
      <w:pPr>
        <w:pStyle w:val="FootnoteText"/>
        <w:rPr>
          <w:color w:val="4087C7"/>
          <w:szCs w:val="18"/>
          <w:u w:val="single"/>
        </w:rPr>
      </w:pPr>
      <w:r w:rsidRPr="00257676">
        <w:rPr>
          <w:rStyle w:val="FootnoteReference"/>
          <w:szCs w:val="18"/>
        </w:rPr>
        <w:footnoteRef/>
      </w:r>
      <w:r w:rsidRPr="00257676">
        <w:rPr>
          <w:szCs w:val="18"/>
        </w:rPr>
        <w:t xml:space="preserve"> </w:t>
      </w:r>
      <w:r w:rsidR="000661CF">
        <w:t xml:space="preserve">Research Into Action, Inc. and Energy 350. </w:t>
      </w:r>
      <w:r w:rsidR="000661CF">
        <w:rPr>
          <w:i/>
          <w:iCs/>
        </w:rPr>
        <w:t xml:space="preserve">Luminaire Level Lighting Controls (LLLC) Market Characterization and Baseline </w:t>
      </w:r>
      <w:r w:rsidR="000661CF" w:rsidRPr="00857125">
        <w:t>Report</w:t>
      </w:r>
      <w:r w:rsidR="000661CF">
        <w:t xml:space="preserve">. Northwest Energy Efficiency Alliance, 2016, </w:t>
      </w:r>
      <w:hyperlink r:id="rId22" w:history="1">
        <w:r w:rsidR="000661CF">
          <w:rPr>
            <w:rStyle w:val="Hyperlink"/>
            <w:rFonts w:ascii="Franklin Gothic Book" w:hAnsi="Franklin Gothic Book"/>
            <w:bCs/>
            <w:noProof w:val="0"/>
            <w:sz w:val="18"/>
          </w:rPr>
          <w:t>Market Characterization and Baseline Report</w:t>
        </w:r>
      </w:hyperlink>
      <w:r w:rsidR="000661CF">
        <w:t xml:space="preserve">. </w:t>
      </w:r>
    </w:p>
  </w:footnote>
  <w:footnote w:id="30">
    <w:p w14:paraId="46D87E46" w14:textId="24D7232E" w:rsidR="00D43037" w:rsidRDefault="00365607" w:rsidP="00365607">
      <w:pPr>
        <w:pStyle w:val="FootnoteText"/>
      </w:pPr>
      <w:r w:rsidRPr="00257676">
        <w:rPr>
          <w:rStyle w:val="FootnoteReference"/>
          <w:szCs w:val="18"/>
        </w:rPr>
        <w:footnoteRef/>
      </w:r>
      <w:r w:rsidRPr="00257676">
        <w:rPr>
          <w:szCs w:val="18"/>
        </w:rPr>
        <w:t xml:space="preserve"> </w:t>
      </w:r>
      <w:r w:rsidR="00931033" w:rsidRPr="00857125">
        <w:t xml:space="preserve">DNV. </w:t>
      </w:r>
      <w:r w:rsidR="00931033" w:rsidRPr="00857125">
        <w:rPr>
          <w:i/>
          <w:iCs/>
        </w:rPr>
        <w:t>2020 C&amp;I Lighting Controls Market Study</w:t>
      </w:r>
      <w:r w:rsidR="00931033" w:rsidRPr="00857125">
        <w:t>. DNV, 2021</w:t>
      </w:r>
      <w:r w:rsidR="00931033">
        <w:t xml:space="preserve">, </w:t>
      </w:r>
      <w:hyperlink r:id="rId23" w:history="1">
        <w:r w:rsidR="00931033" w:rsidRPr="00203E85">
          <w:rPr>
            <w:rStyle w:val="Hyperlink"/>
            <w:rFonts w:ascii="Franklin Gothic Book" w:hAnsi="Franklin Gothic Book"/>
            <w:noProof w:val="0"/>
            <w:sz w:val="18"/>
          </w:rPr>
          <w:t>MA20C11-E-LCR_Lighting-Controls-Final-Report_20210630.pdf</w:t>
        </w:r>
      </w:hyperlink>
      <w:r w:rsidR="00931033">
        <w:t xml:space="preserve">. </w:t>
      </w:r>
    </w:p>
  </w:footnote>
  <w:footnote w:id="31">
    <w:p w14:paraId="66C59DB2" w14:textId="4CBBF273" w:rsidR="00365607" w:rsidRPr="004308BB" w:rsidRDefault="00365607" w:rsidP="00365607">
      <w:pPr>
        <w:pStyle w:val="FootnoteText"/>
        <w:rPr>
          <w:color w:val="4087C7"/>
          <w:szCs w:val="18"/>
          <w:u w:val="single"/>
        </w:rPr>
      </w:pPr>
      <w:r w:rsidRPr="005C7089">
        <w:rPr>
          <w:rStyle w:val="FootnoteReference"/>
          <w:szCs w:val="18"/>
        </w:rPr>
        <w:footnoteRef/>
      </w:r>
      <w:r w:rsidRPr="005C7089">
        <w:rPr>
          <w:szCs w:val="18"/>
        </w:rPr>
        <w:t xml:space="preserve"> </w:t>
      </w:r>
      <w:r w:rsidR="000661CF">
        <w:t xml:space="preserve">Research Into Action, Inc. and Energy 350. </w:t>
      </w:r>
      <w:r w:rsidR="000661CF">
        <w:rPr>
          <w:i/>
          <w:iCs/>
        </w:rPr>
        <w:t xml:space="preserve">Luminaire Level Lighting Controls (LLLC) Market Characterization and Baseline </w:t>
      </w:r>
      <w:r w:rsidR="000661CF" w:rsidRPr="00857125">
        <w:t>Report</w:t>
      </w:r>
      <w:r w:rsidR="000661CF">
        <w:t xml:space="preserve">. Northwest Energy Efficiency Alliance, 2016, </w:t>
      </w:r>
      <w:hyperlink r:id="rId24" w:history="1">
        <w:r w:rsidR="000661CF">
          <w:rPr>
            <w:rStyle w:val="Hyperlink"/>
            <w:rFonts w:ascii="Franklin Gothic Book" w:hAnsi="Franklin Gothic Book"/>
            <w:bCs/>
            <w:noProof w:val="0"/>
            <w:sz w:val="18"/>
          </w:rPr>
          <w:t>Market Characterization and Baseline Report</w:t>
        </w:r>
      </w:hyperlink>
      <w:r w:rsidR="000661CF">
        <w:t xml:space="preserve">. </w:t>
      </w:r>
    </w:p>
  </w:footnote>
  <w:footnote w:id="32">
    <w:p w14:paraId="50E11E93" w14:textId="7C07C1F0" w:rsidR="00DE040B" w:rsidRDefault="00DE040B">
      <w:pPr>
        <w:pStyle w:val="FootnoteText"/>
      </w:pPr>
      <w:r>
        <w:rPr>
          <w:rStyle w:val="FootnoteReference"/>
        </w:rPr>
        <w:footnoteRef/>
      </w:r>
      <w:r>
        <w:t xml:space="preserve"> </w:t>
      </w:r>
      <w:r w:rsidRPr="00857125">
        <w:t>DNV. 2020 C&amp;I Lighting Controls Market Study. DNV, 2021</w:t>
      </w:r>
      <w:r>
        <w:t xml:space="preserve">, </w:t>
      </w:r>
      <w:hyperlink r:id="rId25" w:history="1">
        <w:r w:rsidRPr="00203E85">
          <w:rPr>
            <w:rStyle w:val="Hyperlink"/>
            <w:rFonts w:ascii="Franklin Gothic Book" w:hAnsi="Franklin Gothic Book"/>
            <w:noProof w:val="0"/>
            <w:sz w:val="18"/>
          </w:rPr>
          <w:t>MA20C11-E-LCR_Lighting-Controls-Final-Report_20210630.pdf</w:t>
        </w:r>
      </w:hyperlink>
      <w:r>
        <w:t>.</w:t>
      </w:r>
    </w:p>
  </w:footnote>
  <w:footnote w:id="33">
    <w:p w14:paraId="3622F413" w14:textId="68D335FD" w:rsidR="00F34CF0" w:rsidRPr="005C7089" w:rsidRDefault="00F34CF0" w:rsidP="00F34CF0">
      <w:pPr>
        <w:pStyle w:val="FootnoteText"/>
        <w:rPr>
          <w:szCs w:val="18"/>
        </w:rPr>
      </w:pPr>
      <w:r w:rsidRPr="005C7089">
        <w:rPr>
          <w:rStyle w:val="FootnoteReference"/>
          <w:szCs w:val="18"/>
        </w:rPr>
        <w:footnoteRef/>
      </w:r>
      <w:r w:rsidR="00E10977">
        <w:t xml:space="preserve"> Ibid</w:t>
      </w:r>
      <w:r w:rsidR="000661CF">
        <w:t>.</w:t>
      </w:r>
    </w:p>
  </w:footnote>
  <w:footnote w:id="34">
    <w:p w14:paraId="128D55B7" w14:textId="1517095C" w:rsidR="00365607" w:rsidRPr="005C7089" w:rsidRDefault="00365607" w:rsidP="00365607">
      <w:pPr>
        <w:pStyle w:val="FootnoteText"/>
        <w:rPr>
          <w:szCs w:val="18"/>
        </w:rPr>
      </w:pPr>
      <w:r w:rsidRPr="005C7089">
        <w:rPr>
          <w:rStyle w:val="FootnoteReference"/>
          <w:szCs w:val="18"/>
        </w:rPr>
        <w:footnoteRef/>
      </w:r>
      <w:r w:rsidRPr="005C7089">
        <w:rPr>
          <w:szCs w:val="18"/>
        </w:rPr>
        <w:t xml:space="preserve"> </w:t>
      </w:r>
      <w:hyperlink r:id="rId26" w:history="1">
        <w:r w:rsidR="000661CF">
          <w:t xml:space="preserve">Research Into Action, Inc. and Energy 350. </w:t>
        </w:r>
        <w:r w:rsidR="000661CF">
          <w:rPr>
            <w:i/>
            <w:iCs/>
          </w:rPr>
          <w:t xml:space="preserve">Luminaire Level Lighting Controls (LLLC) Market Characterization and Baseline </w:t>
        </w:r>
        <w:r w:rsidR="000661CF" w:rsidRPr="00857125">
          <w:t>Report</w:t>
        </w:r>
        <w:r w:rsidR="000661CF">
          <w:t xml:space="preserve">. Northwest Energy Efficiency Alliance, 2016, </w:t>
        </w:r>
        <w:hyperlink r:id="rId27" w:history="1">
          <w:r w:rsidR="000661CF">
            <w:rPr>
              <w:rStyle w:val="Hyperlink"/>
              <w:rFonts w:ascii="Franklin Gothic Book" w:hAnsi="Franklin Gothic Book"/>
              <w:bCs/>
              <w:noProof w:val="0"/>
              <w:sz w:val="18"/>
            </w:rPr>
            <w:t>Market Characterization and Baseline Report</w:t>
          </w:r>
        </w:hyperlink>
        <w:r w:rsidR="000661CF">
          <w:t xml:space="preserve">. </w:t>
        </w:r>
      </w:hyperlink>
    </w:p>
  </w:footnote>
  <w:footnote w:id="35">
    <w:p w14:paraId="0B962066" w14:textId="29F1663A" w:rsidR="00597440" w:rsidRPr="005C7089" w:rsidRDefault="00597440">
      <w:pPr>
        <w:pStyle w:val="FootnoteText"/>
        <w:rPr>
          <w:szCs w:val="18"/>
        </w:rPr>
      </w:pPr>
      <w:r w:rsidRPr="005C7089">
        <w:rPr>
          <w:rStyle w:val="FootnoteReference"/>
          <w:szCs w:val="18"/>
        </w:rPr>
        <w:footnoteRef/>
      </w:r>
      <w:r w:rsidRPr="005C7089">
        <w:rPr>
          <w:szCs w:val="18"/>
        </w:rPr>
        <w:t xml:space="preserve"> </w:t>
      </w:r>
      <w:r w:rsidR="000661CF" w:rsidRPr="00857125">
        <w:t>DNV. 2020 C&amp;I Lighting Controls Market Study. DNV, 2021</w:t>
      </w:r>
      <w:r w:rsidR="000661CF">
        <w:t xml:space="preserve">, </w:t>
      </w:r>
      <w:hyperlink r:id="rId28" w:history="1">
        <w:r w:rsidR="000661CF" w:rsidRPr="00203E85">
          <w:rPr>
            <w:rStyle w:val="Hyperlink"/>
            <w:rFonts w:ascii="Franklin Gothic Book" w:hAnsi="Franklin Gothic Book"/>
            <w:noProof w:val="0"/>
            <w:sz w:val="18"/>
          </w:rPr>
          <w:t>MA20C11-E-LCR_Lighting-Controls-Final-Report_20210630.pdf</w:t>
        </w:r>
      </w:hyperlink>
      <w:r w:rsidR="000661CF">
        <w:t>.</w:t>
      </w:r>
    </w:p>
  </w:footnote>
  <w:footnote w:id="36">
    <w:p w14:paraId="426D9949" w14:textId="2CEB9876" w:rsidR="00365607" w:rsidRPr="005C7089" w:rsidRDefault="00365607" w:rsidP="00365607">
      <w:pPr>
        <w:pStyle w:val="FootnoteText"/>
        <w:rPr>
          <w:szCs w:val="18"/>
        </w:rPr>
      </w:pPr>
      <w:r w:rsidRPr="005C7089">
        <w:rPr>
          <w:rStyle w:val="FootnoteReference"/>
          <w:szCs w:val="18"/>
        </w:rPr>
        <w:footnoteRef/>
      </w:r>
      <w:r w:rsidRPr="005C7089">
        <w:rPr>
          <w:szCs w:val="18"/>
        </w:rPr>
        <w:t xml:space="preserve"> </w:t>
      </w:r>
      <w:hyperlink r:id="rId29" w:history="1">
        <w:r w:rsidR="000661CF">
          <w:t xml:space="preserve">Research Into Action, Inc. and Energy 350. </w:t>
        </w:r>
        <w:r w:rsidR="000661CF">
          <w:rPr>
            <w:i/>
            <w:iCs/>
          </w:rPr>
          <w:t xml:space="preserve">Luminaire Level Lighting Controls (LLLC) Market Characterization and Baseline </w:t>
        </w:r>
        <w:r w:rsidR="000661CF" w:rsidRPr="00857125">
          <w:t>Report</w:t>
        </w:r>
        <w:r w:rsidR="000661CF">
          <w:t xml:space="preserve">. Northwest Energy Efficiency Alliance, 2016, </w:t>
        </w:r>
        <w:hyperlink r:id="rId30" w:history="1">
          <w:r w:rsidR="000661CF">
            <w:rPr>
              <w:rStyle w:val="Hyperlink"/>
              <w:rFonts w:ascii="Franklin Gothic Book" w:hAnsi="Franklin Gothic Book"/>
              <w:bCs/>
              <w:noProof w:val="0"/>
              <w:sz w:val="18"/>
            </w:rPr>
            <w:t>Market Characterization and Baseline Report</w:t>
          </w:r>
        </w:hyperlink>
        <w:r w:rsidR="000661CF">
          <w:t xml:space="preserve">. </w:t>
        </w:r>
      </w:hyperlink>
    </w:p>
  </w:footnote>
  <w:footnote w:id="37">
    <w:p w14:paraId="019E673B" w14:textId="6544B517" w:rsidR="00365607" w:rsidRPr="005C7089" w:rsidRDefault="00365607" w:rsidP="00365607">
      <w:pPr>
        <w:pStyle w:val="FootnoteText"/>
        <w:rPr>
          <w:szCs w:val="18"/>
        </w:rPr>
      </w:pPr>
      <w:r w:rsidRPr="005C7089">
        <w:rPr>
          <w:rStyle w:val="FootnoteReference"/>
          <w:szCs w:val="18"/>
        </w:rPr>
        <w:footnoteRef/>
      </w:r>
      <w:r w:rsidRPr="005C7089">
        <w:rPr>
          <w:szCs w:val="18"/>
        </w:rPr>
        <w:t xml:space="preserve"> </w:t>
      </w:r>
      <w:r w:rsidR="000661CF" w:rsidRPr="00857125">
        <w:t>DNV. 2020 C&amp;I Lighting Controls Market Study. DNV, 2021</w:t>
      </w:r>
      <w:r w:rsidR="000661CF">
        <w:t xml:space="preserve">, </w:t>
      </w:r>
      <w:hyperlink r:id="rId31" w:history="1">
        <w:r w:rsidR="000661CF" w:rsidRPr="00203E85">
          <w:rPr>
            <w:rStyle w:val="Hyperlink"/>
            <w:rFonts w:ascii="Franklin Gothic Book" w:hAnsi="Franklin Gothic Book"/>
            <w:noProof w:val="0"/>
            <w:sz w:val="18"/>
          </w:rPr>
          <w:t>MA20C11-E-LCR_Lighting-Controls-Final-Report_20210630.pdf</w:t>
        </w:r>
      </w:hyperlink>
      <w:r w:rsidR="000661CF">
        <w:t>.</w:t>
      </w:r>
    </w:p>
  </w:footnote>
  <w:footnote w:id="38">
    <w:p w14:paraId="5BE5E930" w14:textId="17E42579" w:rsidR="00365607" w:rsidRPr="005C7089" w:rsidRDefault="00365607" w:rsidP="00365607">
      <w:pPr>
        <w:pStyle w:val="FootnoteText"/>
        <w:rPr>
          <w:szCs w:val="18"/>
        </w:rPr>
      </w:pPr>
      <w:r w:rsidRPr="005C7089">
        <w:rPr>
          <w:rStyle w:val="FootnoteReference"/>
          <w:szCs w:val="18"/>
        </w:rPr>
        <w:footnoteRef/>
      </w:r>
      <w:r w:rsidRPr="005C7089">
        <w:rPr>
          <w:szCs w:val="18"/>
        </w:rPr>
        <w:t xml:space="preserve"> </w:t>
      </w:r>
      <w:r w:rsidR="000661CF">
        <w:t xml:space="preserve">Cadeo. </w:t>
      </w:r>
      <w:r w:rsidR="000661CF">
        <w:rPr>
          <w:i/>
          <w:iCs/>
        </w:rPr>
        <w:t>Luminaire Level Lighting Control (LLLC) Market Characterization</w:t>
      </w:r>
      <w:r w:rsidR="000661CF">
        <w:t xml:space="preserve">. Cadeo Group, 2023, </w:t>
      </w:r>
      <w:hyperlink r:id="rId32" w:history="1">
        <w:r w:rsidR="000661CF" w:rsidRPr="00203E85">
          <w:rPr>
            <w:rStyle w:val="Hyperlink"/>
            <w:rFonts w:ascii="Franklin Gothic Book" w:hAnsi="Franklin Gothic Book"/>
            <w:noProof w:val="0"/>
            <w:sz w:val="18"/>
          </w:rPr>
          <w:t>CEE LLLC Market Char Report 13OCT23.pdf</w:t>
        </w:r>
      </w:hyperlink>
      <w:r w:rsidR="000661CF">
        <w:t>.</w:t>
      </w:r>
    </w:p>
  </w:footnote>
  <w:footnote w:id="39">
    <w:p w14:paraId="1E2FBEB4" w14:textId="53AEE996" w:rsidR="00365607" w:rsidRPr="005C7089" w:rsidRDefault="00365607" w:rsidP="00365607">
      <w:pPr>
        <w:pStyle w:val="FootnoteText"/>
        <w:rPr>
          <w:szCs w:val="18"/>
        </w:rPr>
      </w:pPr>
      <w:r w:rsidRPr="005C7089">
        <w:rPr>
          <w:rStyle w:val="FootnoteReference"/>
          <w:szCs w:val="18"/>
        </w:rPr>
        <w:footnoteRef/>
      </w:r>
      <w:r w:rsidRPr="005C7089">
        <w:rPr>
          <w:szCs w:val="18"/>
        </w:rPr>
        <w:t xml:space="preserve"> </w:t>
      </w:r>
      <w:r w:rsidR="00F61D9E" w:rsidRPr="00C36D95">
        <w:t>Ameren Illinois Luminaire Level Lighting Controls (LLLC) Market Transformation Initiative Business Plan</w:t>
      </w:r>
      <w:r w:rsidR="00F61D9E">
        <w:t>. October 25, 2023.</w:t>
      </w:r>
    </w:p>
  </w:footnote>
  <w:footnote w:id="40">
    <w:p w14:paraId="12C26566" w14:textId="591C1A6F" w:rsidR="00D43037" w:rsidRPr="005C7089" w:rsidRDefault="00365607" w:rsidP="00365607">
      <w:pPr>
        <w:pStyle w:val="FootnoteText"/>
        <w:rPr>
          <w:szCs w:val="18"/>
        </w:rPr>
      </w:pPr>
      <w:r w:rsidRPr="005C7089">
        <w:rPr>
          <w:rStyle w:val="FootnoteReference"/>
          <w:szCs w:val="18"/>
        </w:rPr>
        <w:footnoteRef/>
      </w:r>
      <w:r w:rsidRPr="005C7089">
        <w:rPr>
          <w:szCs w:val="18"/>
        </w:rPr>
        <w:t xml:space="preserve"> </w:t>
      </w:r>
      <w:r w:rsidR="000661CF" w:rsidRPr="00857125">
        <w:t>DNV. 2020 C&amp;I Lighting Controls Market Study. DNV, 2021</w:t>
      </w:r>
      <w:r w:rsidR="000661CF">
        <w:t xml:space="preserve">, </w:t>
      </w:r>
      <w:hyperlink r:id="rId33" w:history="1">
        <w:r w:rsidR="000661CF" w:rsidRPr="00203E85">
          <w:rPr>
            <w:rStyle w:val="Hyperlink"/>
            <w:rFonts w:ascii="Franklin Gothic Book" w:hAnsi="Franklin Gothic Book"/>
            <w:noProof w:val="0"/>
            <w:sz w:val="18"/>
          </w:rPr>
          <w:t>MA20C11-E-LCR_Lighting-Controls-Final-Report_20210630.pdf</w:t>
        </w:r>
      </w:hyperlink>
      <w:r w:rsidR="000661CF">
        <w:t>.</w:t>
      </w:r>
    </w:p>
  </w:footnote>
  <w:footnote w:id="41">
    <w:p w14:paraId="02C7EB75" w14:textId="15C5AF2B" w:rsidR="005C7089" w:rsidRDefault="005C7089">
      <w:pPr>
        <w:pStyle w:val="FootnoteText"/>
      </w:pPr>
      <w:r>
        <w:rPr>
          <w:rStyle w:val="FootnoteReference"/>
        </w:rPr>
        <w:footnoteRef/>
      </w:r>
      <w:r>
        <w:t xml:space="preserve"> The 2024 NMB market share</w:t>
      </w:r>
      <w:r w:rsidRPr="005C7089">
        <w:t xml:space="preserve"> represents </w:t>
      </w:r>
      <w:r>
        <w:t>the</w:t>
      </w:r>
      <w:r w:rsidRPr="005C7089">
        <w:t xml:space="preserve"> </w:t>
      </w:r>
      <w:r w:rsidR="00D0329D">
        <w:t>forecasted</w:t>
      </w:r>
      <w:r w:rsidRPr="005C7089">
        <w:t xml:space="preserve"> level of LLLC adoption</w:t>
      </w:r>
      <w:r>
        <w:t xml:space="preserve"> </w:t>
      </w:r>
      <w:r w:rsidR="00763818">
        <w:t>in the absence of any AIC program interventions</w:t>
      </w:r>
      <w:r>
        <w:t>.</w:t>
      </w:r>
    </w:p>
  </w:footnote>
  <w:footnote w:id="42">
    <w:p w14:paraId="5DB26790" w14:textId="61330993" w:rsidR="00922D07" w:rsidRPr="00783FBF" w:rsidRDefault="00922D07">
      <w:pPr>
        <w:pStyle w:val="FootnoteText"/>
      </w:pPr>
      <w:r>
        <w:rPr>
          <w:rStyle w:val="FootnoteReference"/>
        </w:rPr>
        <w:footnoteRef/>
      </w:r>
      <w:r>
        <w:t xml:space="preserve"> </w:t>
      </w:r>
      <w:r w:rsidR="00C35B4D">
        <w:t>Potential sources of error include survey sampling error, measurement error, and non-response bias</w:t>
      </w:r>
      <w:r w:rsidR="005D2568">
        <w:t xml:space="preserve">, as detailed in Section </w:t>
      </w:r>
      <w:r w:rsidR="005D2568">
        <w:fldChar w:fldCharType="begin"/>
      </w:r>
      <w:r w:rsidR="005D2568">
        <w:instrText xml:space="preserve"> REF _Ref192157477 \r \h </w:instrText>
      </w:r>
      <w:r w:rsidR="005D2568">
        <w:fldChar w:fldCharType="separate"/>
      </w:r>
      <w:r w:rsidR="005D2568">
        <w:t>3.5</w:t>
      </w:r>
      <w:r w:rsidR="005D2568">
        <w:fldChar w:fldCharType="end"/>
      </w:r>
      <w:r w:rsidR="005D2568">
        <w:t>.</w:t>
      </w:r>
      <w:r w:rsidR="00783FBF">
        <w:t xml:space="preserve"> Survey sampling error is the only one of these that is readily quantifiable.</w:t>
      </w:r>
    </w:p>
  </w:footnote>
  <w:footnote w:id="43">
    <w:p w14:paraId="51408691" w14:textId="77777777" w:rsidR="00D0329D" w:rsidRDefault="00D0329D" w:rsidP="00D0329D">
      <w:pPr>
        <w:pStyle w:val="FootnoteText"/>
      </w:pPr>
      <w:r>
        <w:rPr>
          <w:rStyle w:val="FootnoteReference"/>
        </w:rPr>
        <w:footnoteRef/>
      </w:r>
      <w:r>
        <w:t xml:space="preserve"> </w:t>
      </w:r>
      <w:r w:rsidRPr="00304235">
        <w:t xml:space="preserve">Craig </w:t>
      </w:r>
      <w:r w:rsidRPr="00304235">
        <w:t xml:space="preserve">DiLouie. </w:t>
      </w:r>
      <w:r w:rsidRPr="00D34D3E">
        <w:rPr>
          <w:i/>
          <w:iCs/>
        </w:rPr>
        <w:t>Introduction to Lighting Controls</w:t>
      </w:r>
      <w:r w:rsidRPr="00304235">
        <w:t xml:space="preserve">. </w:t>
      </w:r>
      <w:r>
        <w:t xml:space="preserve">The </w:t>
      </w:r>
      <w:r w:rsidRPr="00304235">
        <w:t xml:space="preserve">Lighting Controls Association, 2017, </w:t>
      </w:r>
      <w:hyperlink r:id="rId34" w:history="1">
        <w:r w:rsidRPr="00B22470">
          <w:rPr>
            <w:rStyle w:val="Hyperlink"/>
            <w:rFonts w:ascii="Franklin Gothic Book" w:hAnsi="Franklin Gothic Book"/>
            <w:noProof w:val="0"/>
            <w:sz w:val="18"/>
          </w:rPr>
          <w:t>https://lightingcontrolsassociation.org/2017/07/21/introduction-to-lighting-controls/</w:t>
        </w:r>
      </w:hyperlink>
      <w:r w:rsidRPr="00304235">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1E277" w14:textId="77777777" w:rsidR="00D46533" w:rsidRDefault="00D46533" w:rsidP="00AE2204">
    <w:r>
      <w:rPr>
        <w:noProof/>
      </w:rPr>
      <w:drawing>
        <wp:anchor distT="0" distB="0" distL="114300" distR="114300" simplePos="0" relativeHeight="251682816" behindDoc="0" locked="1" layoutInCell="1" allowOverlap="1" wp14:anchorId="6184A375" wp14:editId="387F9838">
          <wp:simplePos x="0" y="0"/>
          <wp:positionH relativeFrom="page">
            <wp:posOffset>0</wp:posOffset>
          </wp:positionH>
          <wp:positionV relativeFrom="page">
            <wp:posOffset>0</wp:posOffset>
          </wp:positionV>
          <wp:extent cx="7896225" cy="266700"/>
          <wp:effectExtent l="0" t="0" r="9525" b="0"/>
          <wp:wrapThrough wrapText="bothSides">
            <wp:wrapPolygon edited="0">
              <wp:start x="0" y="0"/>
              <wp:lineTo x="0" y="20057"/>
              <wp:lineTo x="21574" y="20057"/>
              <wp:lineTo x="21574" y="0"/>
              <wp:lineTo x="0" y="0"/>
            </wp:wrapPolygon>
          </wp:wrapThrough>
          <wp:docPr id="894774363" name="Picture 894774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896225" cy="266700"/>
                  </a:xfrm>
                  <a:prstGeom prst="rect">
                    <a:avLst/>
                  </a:prstGeom>
                </pic:spPr>
              </pic:pic>
            </a:graphicData>
          </a:graphic>
          <wp14:sizeRelH relativeFrom="margin">
            <wp14:pctWidth>0</wp14:pctWidth>
          </wp14:sizeRelH>
          <wp14:sizeRelV relativeFrom="margin">
            <wp14:pctHeight>0</wp14:pctHeight>
          </wp14:sizeRelV>
        </wp:anchor>
      </w:drawing>
    </w:r>
  </w:p>
  <w:p w14:paraId="716DF867" w14:textId="77777777" w:rsidR="00945115" w:rsidRDefault="0094511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F41A8" w14:textId="23735372" w:rsidR="0075721C" w:rsidRDefault="0075721C">
    <w:pPr>
      <w:pStyle w:val="Header"/>
    </w:pPr>
    <w:r>
      <w:rPr>
        <w:noProof/>
      </w:rPr>
      <w:drawing>
        <wp:anchor distT="0" distB="0" distL="114300" distR="114300" simplePos="0" relativeHeight="251684864" behindDoc="0" locked="1" layoutInCell="1" allowOverlap="1" wp14:anchorId="631780AE" wp14:editId="359C8BCF">
          <wp:simplePos x="0" y="0"/>
          <wp:positionH relativeFrom="page">
            <wp:posOffset>-86360</wp:posOffset>
          </wp:positionH>
          <wp:positionV relativeFrom="page">
            <wp:posOffset>-27305</wp:posOffset>
          </wp:positionV>
          <wp:extent cx="7896225" cy="266700"/>
          <wp:effectExtent l="0" t="0" r="9525" b="0"/>
          <wp:wrapThrough wrapText="bothSides">
            <wp:wrapPolygon edited="0">
              <wp:start x="0" y="0"/>
              <wp:lineTo x="0" y="20057"/>
              <wp:lineTo x="21574" y="20057"/>
              <wp:lineTo x="21574" y="0"/>
              <wp:lineTo x="0" y="0"/>
            </wp:wrapPolygon>
          </wp:wrapThrough>
          <wp:docPr id="271867806" name="Picture 271867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896225" cy="266700"/>
                  </a:xfrm>
                  <a:prstGeom prst="rect">
                    <a:avLst/>
                  </a:prstGeom>
                </pic:spPr>
              </pic:pic>
            </a:graphicData>
          </a:graphic>
          <wp14:sizeRelH relativeFrom="margin">
            <wp14:pctWidth>0</wp14:pctWidth>
          </wp14:sizeRelH>
          <wp14:sizeRelV relativeFrom="margin">
            <wp14:pctHeight>0</wp14:pctHeight>
          </wp14:sizeRelV>
        </wp:anchor>
      </w:drawing>
    </w:r>
  </w:p>
  <w:p w14:paraId="32FC97E4" w14:textId="77777777" w:rsidR="0075721C" w:rsidRDefault="007572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D937E" w14:textId="4BA752A4" w:rsidR="00344C23" w:rsidRDefault="0075721C">
    <w:r>
      <w:rPr>
        <w:noProof/>
      </w:rPr>
      <w:drawing>
        <wp:anchor distT="0" distB="0" distL="114300" distR="114300" simplePos="0" relativeHeight="251686912" behindDoc="0" locked="1" layoutInCell="1" allowOverlap="1" wp14:anchorId="6D1A285B" wp14:editId="3461ADFA">
          <wp:simplePos x="0" y="0"/>
          <wp:positionH relativeFrom="page">
            <wp:posOffset>-34925</wp:posOffset>
          </wp:positionH>
          <wp:positionV relativeFrom="page">
            <wp:posOffset>20955</wp:posOffset>
          </wp:positionV>
          <wp:extent cx="7896225" cy="266700"/>
          <wp:effectExtent l="0" t="0" r="9525" b="0"/>
          <wp:wrapThrough wrapText="bothSides">
            <wp:wrapPolygon edited="0">
              <wp:start x="0" y="0"/>
              <wp:lineTo x="0" y="20057"/>
              <wp:lineTo x="21574" y="20057"/>
              <wp:lineTo x="21574" y="0"/>
              <wp:lineTo x="0" y="0"/>
            </wp:wrapPolygon>
          </wp:wrapThrough>
          <wp:docPr id="1402038020" name="Picture 1402038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896225" cy="2667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75F80716"/>
    <w:lvl w:ilvl="0">
      <w:start w:val="1"/>
      <w:numFmt w:val="bullet"/>
      <w:pStyle w:val="Bullet1"/>
      <w:lvlText w:val=""/>
      <w:lvlJc w:val="left"/>
      <w:pPr>
        <w:ind w:left="720" w:hanging="360"/>
      </w:pPr>
      <w:rPr>
        <w:rFonts w:ascii="Wingdings" w:hAnsi="Wingdings" w:hint="default"/>
        <w:color w:val="053572"/>
        <w:sz w:val="22"/>
      </w:rPr>
    </w:lvl>
    <w:lvl w:ilvl="1">
      <w:start w:val="1"/>
      <w:numFmt w:val="bullet"/>
      <w:lvlText w:val=""/>
      <w:lvlJc w:val="left"/>
      <w:pPr>
        <w:ind w:left="1080" w:hanging="360"/>
      </w:pPr>
      <w:rPr>
        <w:rFonts w:ascii="Wingdings" w:hAnsi="Wingdings" w:hint="default"/>
        <w:color w:val="1295D8"/>
        <w:sz w:val="22"/>
      </w:rPr>
    </w:lvl>
    <w:lvl w:ilvl="2">
      <w:start w:val="1"/>
      <w:numFmt w:val="bullet"/>
      <w:lvlRestart w:val="0"/>
      <w:lvlText w:val=""/>
      <w:lvlJc w:val="left"/>
      <w:pPr>
        <w:tabs>
          <w:tab w:val="num" w:pos="1080"/>
        </w:tabs>
        <w:ind w:left="1440" w:hanging="360"/>
      </w:pPr>
      <w:rPr>
        <w:rFonts w:ascii="Wingdings" w:hAnsi="Wingdings" w:hint="default"/>
        <w:color w:val="4D4D4F"/>
        <w:sz w:val="22"/>
      </w:rPr>
    </w:lvl>
    <w:lvl w:ilvl="3">
      <w:start w:val="1"/>
      <w:numFmt w:val="bullet"/>
      <w:lvlText w:val=""/>
      <w:lvlJc w:val="left"/>
      <w:pPr>
        <w:ind w:left="2160" w:hanging="432"/>
      </w:pPr>
      <w:rPr>
        <w:rFonts w:ascii="Wingdings" w:hAnsi="Wingdings" w:cs="Times New Roman" w:hint="default"/>
        <w:b w:val="0"/>
        <w:bCs w:val="0"/>
        <w:i w:val="0"/>
        <w:iCs w:val="0"/>
        <w:caps w:val="0"/>
        <w:smallCaps w:val="0"/>
        <w:strike w:val="0"/>
        <w:dstrike w:val="0"/>
        <w:noProof w:val="0"/>
        <w:vanish w:val="0"/>
        <w:color w:val="0069B6"/>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ind w:left="3600" w:hanging="360"/>
      </w:pPr>
      <w:rPr>
        <w:rFonts w:ascii="Wingdings" w:hAnsi="Wingdings" w:hint="default"/>
        <w:color w:val="64B3E8"/>
      </w:rPr>
    </w:lvl>
    <w:lvl w:ilvl="5">
      <w:start w:val="1"/>
      <w:numFmt w:val="bullet"/>
      <w:lvlText w:val=""/>
      <w:lvlJc w:val="left"/>
      <w:pPr>
        <w:ind w:left="4320" w:hanging="360"/>
      </w:pPr>
      <w:rPr>
        <w:rFonts w:ascii="Wingdings" w:hAnsi="Wingdings" w:hint="default"/>
        <w:color w:val="696969"/>
      </w:rPr>
    </w:lvl>
    <w:lvl w:ilvl="6">
      <w:start w:val="1"/>
      <w:numFmt w:val="bullet"/>
      <w:lvlText w:val=""/>
      <w:lvlJc w:val="left"/>
      <w:pPr>
        <w:ind w:left="5040" w:hanging="360"/>
      </w:pPr>
      <w:rPr>
        <w:rFonts w:ascii="Wingdings" w:hAnsi="Wingdings" w:hint="default"/>
        <w:color w:val="172B54" w:themeColor="accent1"/>
      </w:rPr>
    </w:lvl>
    <w:lvl w:ilvl="7">
      <w:start w:val="1"/>
      <w:numFmt w:val="bullet"/>
      <w:lvlText w:val=""/>
      <w:lvlJc w:val="left"/>
      <w:pPr>
        <w:ind w:left="5760" w:hanging="360"/>
      </w:pPr>
      <w:rPr>
        <w:rFonts w:ascii="Wingdings" w:hAnsi="Wingdings" w:hint="default"/>
        <w:color w:val="265EAC" w:themeColor="accent2"/>
      </w:rPr>
    </w:lvl>
    <w:lvl w:ilvl="8">
      <w:start w:val="1"/>
      <w:numFmt w:val="bullet"/>
      <w:lvlText w:val=""/>
      <w:lvlJc w:val="left"/>
      <w:pPr>
        <w:ind w:left="6480" w:hanging="360"/>
      </w:pPr>
      <w:rPr>
        <w:rFonts w:ascii="Wingdings" w:hAnsi="Wingdings" w:hint="default"/>
        <w:color w:val="1FA9E1" w:themeColor="accent3"/>
      </w:rPr>
    </w:lvl>
  </w:abstractNum>
  <w:abstractNum w:abstractNumId="1" w15:restartNumberingAfterBreak="0">
    <w:nsid w:val="00000002"/>
    <w:multiLevelType w:val="multilevel"/>
    <w:tmpl w:val="75F80716"/>
    <w:lvl w:ilvl="0">
      <w:start w:val="1"/>
      <w:numFmt w:val="bullet"/>
      <w:pStyle w:val="Bullet2"/>
      <w:lvlText w:val=""/>
      <w:lvlJc w:val="left"/>
      <w:pPr>
        <w:ind w:left="720" w:hanging="360"/>
      </w:pPr>
      <w:rPr>
        <w:rFonts w:ascii="Wingdings" w:hAnsi="Wingdings" w:hint="default"/>
        <w:color w:val="053572"/>
        <w:sz w:val="22"/>
      </w:rPr>
    </w:lvl>
    <w:lvl w:ilvl="1">
      <w:start w:val="1"/>
      <w:numFmt w:val="bullet"/>
      <w:pStyle w:val="Bullet2"/>
      <w:lvlText w:val=""/>
      <w:lvlJc w:val="left"/>
      <w:pPr>
        <w:ind w:left="1080" w:hanging="360"/>
      </w:pPr>
      <w:rPr>
        <w:rFonts w:ascii="Wingdings" w:hAnsi="Wingdings" w:hint="default"/>
        <w:color w:val="1295D8"/>
        <w:sz w:val="22"/>
      </w:rPr>
    </w:lvl>
    <w:lvl w:ilvl="2">
      <w:start w:val="1"/>
      <w:numFmt w:val="bullet"/>
      <w:lvlRestart w:val="0"/>
      <w:lvlText w:val=""/>
      <w:lvlJc w:val="left"/>
      <w:pPr>
        <w:tabs>
          <w:tab w:val="num" w:pos="1080"/>
        </w:tabs>
        <w:ind w:left="1440" w:hanging="360"/>
      </w:pPr>
      <w:rPr>
        <w:rFonts w:ascii="Wingdings" w:hAnsi="Wingdings" w:hint="default"/>
        <w:color w:val="4D4D4F"/>
        <w:sz w:val="22"/>
      </w:rPr>
    </w:lvl>
    <w:lvl w:ilvl="3">
      <w:start w:val="1"/>
      <w:numFmt w:val="bullet"/>
      <w:lvlText w:val=""/>
      <w:lvlJc w:val="left"/>
      <w:pPr>
        <w:ind w:left="2160" w:hanging="432"/>
      </w:pPr>
      <w:rPr>
        <w:rFonts w:ascii="Wingdings" w:hAnsi="Wingdings" w:cs="Times New Roman" w:hint="default"/>
        <w:b w:val="0"/>
        <w:bCs w:val="0"/>
        <w:i w:val="0"/>
        <w:iCs w:val="0"/>
        <w:caps w:val="0"/>
        <w:smallCaps w:val="0"/>
        <w:strike w:val="0"/>
        <w:dstrike w:val="0"/>
        <w:noProof w:val="0"/>
        <w:vanish w:val="0"/>
        <w:color w:val="0069B6"/>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ind w:left="3600" w:hanging="360"/>
      </w:pPr>
      <w:rPr>
        <w:rFonts w:ascii="Wingdings" w:hAnsi="Wingdings" w:hint="default"/>
        <w:color w:val="64B3E8"/>
      </w:rPr>
    </w:lvl>
    <w:lvl w:ilvl="5">
      <w:start w:val="1"/>
      <w:numFmt w:val="bullet"/>
      <w:lvlText w:val=""/>
      <w:lvlJc w:val="left"/>
      <w:pPr>
        <w:ind w:left="4320" w:hanging="360"/>
      </w:pPr>
      <w:rPr>
        <w:rFonts w:ascii="Wingdings" w:hAnsi="Wingdings" w:hint="default"/>
        <w:color w:val="696969"/>
      </w:rPr>
    </w:lvl>
    <w:lvl w:ilvl="6">
      <w:start w:val="1"/>
      <w:numFmt w:val="bullet"/>
      <w:lvlText w:val=""/>
      <w:lvlJc w:val="left"/>
      <w:pPr>
        <w:ind w:left="5040" w:hanging="360"/>
      </w:pPr>
      <w:rPr>
        <w:rFonts w:ascii="Wingdings" w:hAnsi="Wingdings" w:hint="default"/>
        <w:color w:val="172B54" w:themeColor="accent1"/>
      </w:rPr>
    </w:lvl>
    <w:lvl w:ilvl="7">
      <w:start w:val="1"/>
      <w:numFmt w:val="bullet"/>
      <w:lvlText w:val=""/>
      <w:lvlJc w:val="left"/>
      <w:pPr>
        <w:ind w:left="5760" w:hanging="360"/>
      </w:pPr>
      <w:rPr>
        <w:rFonts w:ascii="Wingdings" w:hAnsi="Wingdings" w:hint="default"/>
        <w:color w:val="265EAC" w:themeColor="accent2"/>
      </w:rPr>
    </w:lvl>
    <w:lvl w:ilvl="8">
      <w:start w:val="1"/>
      <w:numFmt w:val="bullet"/>
      <w:lvlText w:val=""/>
      <w:lvlJc w:val="left"/>
      <w:pPr>
        <w:ind w:left="6480" w:hanging="360"/>
      </w:pPr>
      <w:rPr>
        <w:rFonts w:ascii="Wingdings" w:hAnsi="Wingdings" w:hint="default"/>
        <w:color w:val="1FA9E1" w:themeColor="accent3"/>
      </w:rPr>
    </w:lvl>
  </w:abstractNum>
  <w:abstractNum w:abstractNumId="2" w15:restartNumberingAfterBreak="0">
    <w:nsid w:val="00000003"/>
    <w:multiLevelType w:val="multilevel"/>
    <w:tmpl w:val="75F80716"/>
    <w:lvl w:ilvl="0">
      <w:start w:val="1"/>
      <w:numFmt w:val="bullet"/>
      <w:lvlText w:val=""/>
      <w:lvlJc w:val="left"/>
      <w:pPr>
        <w:ind w:left="720" w:hanging="360"/>
      </w:pPr>
      <w:rPr>
        <w:rFonts w:ascii="Wingdings" w:hAnsi="Wingdings" w:hint="default"/>
        <w:color w:val="053572"/>
        <w:sz w:val="22"/>
      </w:rPr>
    </w:lvl>
    <w:lvl w:ilvl="1">
      <w:start w:val="1"/>
      <w:numFmt w:val="bullet"/>
      <w:pStyle w:val="Bullet3"/>
      <w:lvlText w:val=""/>
      <w:lvlJc w:val="left"/>
      <w:pPr>
        <w:ind w:left="1080" w:hanging="360"/>
      </w:pPr>
      <w:rPr>
        <w:rFonts w:ascii="Wingdings" w:hAnsi="Wingdings" w:hint="default"/>
        <w:color w:val="1295D8"/>
        <w:sz w:val="22"/>
      </w:rPr>
    </w:lvl>
    <w:lvl w:ilvl="2">
      <w:start w:val="1"/>
      <w:numFmt w:val="bullet"/>
      <w:lvlRestart w:val="0"/>
      <w:pStyle w:val="Bullet3"/>
      <w:lvlText w:val=""/>
      <w:lvlJc w:val="left"/>
      <w:pPr>
        <w:tabs>
          <w:tab w:val="num" w:pos="1080"/>
        </w:tabs>
        <w:ind w:left="1440" w:hanging="360"/>
      </w:pPr>
      <w:rPr>
        <w:rFonts w:ascii="Wingdings" w:hAnsi="Wingdings" w:hint="default"/>
        <w:color w:val="4D4D4F"/>
        <w:sz w:val="22"/>
      </w:rPr>
    </w:lvl>
    <w:lvl w:ilvl="3">
      <w:start w:val="1"/>
      <w:numFmt w:val="bullet"/>
      <w:lvlText w:val=""/>
      <w:lvlJc w:val="left"/>
      <w:pPr>
        <w:ind w:left="2160" w:hanging="432"/>
      </w:pPr>
      <w:rPr>
        <w:rFonts w:ascii="Wingdings" w:hAnsi="Wingdings" w:cs="Times New Roman" w:hint="default"/>
        <w:b w:val="0"/>
        <w:bCs w:val="0"/>
        <w:i w:val="0"/>
        <w:iCs w:val="0"/>
        <w:caps w:val="0"/>
        <w:smallCaps w:val="0"/>
        <w:strike w:val="0"/>
        <w:dstrike w:val="0"/>
        <w:noProof w:val="0"/>
        <w:vanish w:val="0"/>
        <w:color w:val="0069B6"/>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ind w:left="3600" w:hanging="360"/>
      </w:pPr>
      <w:rPr>
        <w:rFonts w:ascii="Wingdings" w:hAnsi="Wingdings" w:hint="default"/>
        <w:color w:val="64B3E8"/>
      </w:rPr>
    </w:lvl>
    <w:lvl w:ilvl="5">
      <w:start w:val="1"/>
      <w:numFmt w:val="bullet"/>
      <w:lvlText w:val=""/>
      <w:lvlJc w:val="left"/>
      <w:pPr>
        <w:ind w:left="4320" w:hanging="360"/>
      </w:pPr>
      <w:rPr>
        <w:rFonts w:ascii="Wingdings" w:hAnsi="Wingdings" w:hint="default"/>
        <w:color w:val="696969"/>
      </w:rPr>
    </w:lvl>
    <w:lvl w:ilvl="6">
      <w:start w:val="1"/>
      <w:numFmt w:val="bullet"/>
      <w:lvlText w:val=""/>
      <w:lvlJc w:val="left"/>
      <w:pPr>
        <w:ind w:left="5040" w:hanging="360"/>
      </w:pPr>
      <w:rPr>
        <w:rFonts w:ascii="Wingdings" w:hAnsi="Wingdings" w:hint="default"/>
        <w:color w:val="172B54" w:themeColor="accent1"/>
      </w:rPr>
    </w:lvl>
    <w:lvl w:ilvl="7">
      <w:start w:val="1"/>
      <w:numFmt w:val="bullet"/>
      <w:lvlText w:val=""/>
      <w:lvlJc w:val="left"/>
      <w:pPr>
        <w:ind w:left="5760" w:hanging="360"/>
      </w:pPr>
      <w:rPr>
        <w:rFonts w:ascii="Wingdings" w:hAnsi="Wingdings" w:hint="default"/>
        <w:color w:val="265EAC" w:themeColor="accent2"/>
      </w:rPr>
    </w:lvl>
    <w:lvl w:ilvl="8">
      <w:start w:val="1"/>
      <w:numFmt w:val="bullet"/>
      <w:lvlText w:val=""/>
      <w:lvlJc w:val="left"/>
      <w:pPr>
        <w:ind w:left="6480" w:hanging="360"/>
      </w:pPr>
      <w:rPr>
        <w:rFonts w:ascii="Wingdings" w:hAnsi="Wingdings" w:hint="default"/>
        <w:color w:val="1FA9E1" w:themeColor="accent3"/>
      </w:rPr>
    </w:lvl>
  </w:abstractNum>
  <w:abstractNum w:abstractNumId="3" w15:restartNumberingAfterBreak="0">
    <w:nsid w:val="00000004"/>
    <w:multiLevelType w:val="hybridMultilevel"/>
    <w:tmpl w:val="1B8E5A38"/>
    <w:lvl w:ilvl="0" w:tplc="7AF6CC48">
      <w:start w:val="1"/>
      <w:numFmt w:val="decimal"/>
      <w:pStyle w:val="CaptionFigure"/>
      <w:suff w:val="space"/>
      <w:lvlText w:val="Figure %1."/>
      <w:lvlJc w:val="left"/>
      <w:pPr>
        <w:ind w:left="0" w:firstLine="0"/>
      </w:pPr>
      <w:rPr>
        <w:rFonts w:hint="default"/>
      </w:rPr>
    </w:lvl>
    <w:lvl w:ilvl="1" w:tplc="7BF24E5E" w:tentative="1">
      <w:start w:val="1"/>
      <w:numFmt w:val="lowerLetter"/>
      <w:lvlText w:val="%2."/>
      <w:lvlJc w:val="left"/>
      <w:pPr>
        <w:ind w:left="1440" w:hanging="360"/>
      </w:pPr>
    </w:lvl>
    <w:lvl w:ilvl="2" w:tplc="F168DD18" w:tentative="1">
      <w:start w:val="1"/>
      <w:numFmt w:val="lowerRoman"/>
      <w:lvlText w:val="%3."/>
      <w:lvlJc w:val="right"/>
      <w:pPr>
        <w:ind w:left="2160" w:hanging="180"/>
      </w:pPr>
    </w:lvl>
    <w:lvl w:ilvl="3" w:tplc="A60EEB6E" w:tentative="1">
      <w:start w:val="1"/>
      <w:numFmt w:val="decimal"/>
      <w:lvlText w:val="%4."/>
      <w:lvlJc w:val="left"/>
      <w:pPr>
        <w:ind w:left="2880" w:hanging="360"/>
      </w:pPr>
    </w:lvl>
    <w:lvl w:ilvl="4" w:tplc="A17489F8" w:tentative="1">
      <w:start w:val="1"/>
      <w:numFmt w:val="lowerLetter"/>
      <w:lvlText w:val="%5."/>
      <w:lvlJc w:val="left"/>
      <w:pPr>
        <w:ind w:left="3600" w:hanging="360"/>
      </w:pPr>
    </w:lvl>
    <w:lvl w:ilvl="5" w:tplc="600C179E" w:tentative="1">
      <w:start w:val="1"/>
      <w:numFmt w:val="lowerRoman"/>
      <w:lvlText w:val="%6."/>
      <w:lvlJc w:val="right"/>
      <w:pPr>
        <w:ind w:left="4320" w:hanging="180"/>
      </w:pPr>
    </w:lvl>
    <w:lvl w:ilvl="6" w:tplc="6E02CEE4" w:tentative="1">
      <w:start w:val="1"/>
      <w:numFmt w:val="decimal"/>
      <w:lvlText w:val="%7."/>
      <w:lvlJc w:val="left"/>
      <w:pPr>
        <w:ind w:left="5040" w:hanging="360"/>
      </w:pPr>
    </w:lvl>
    <w:lvl w:ilvl="7" w:tplc="BF0A646A" w:tentative="1">
      <w:start w:val="1"/>
      <w:numFmt w:val="lowerLetter"/>
      <w:lvlText w:val="%8."/>
      <w:lvlJc w:val="left"/>
      <w:pPr>
        <w:ind w:left="5760" w:hanging="360"/>
      </w:pPr>
    </w:lvl>
    <w:lvl w:ilvl="8" w:tplc="CC1CF72C" w:tentative="1">
      <w:start w:val="1"/>
      <w:numFmt w:val="lowerRoman"/>
      <w:lvlText w:val="%9."/>
      <w:lvlJc w:val="right"/>
      <w:pPr>
        <w:ind w:left="6480" w:hanging="180"/>
      </w:pPr>
    </w:lvl>
  </w:abstractNum>
  <w:abstractNum w:abstractNumId="4" w15:restartNumberingAfterBreak="0">
    <w:nsid w:val="00000005"/>
    <w:multiLevelType w:val="hybridMultilevel"/>
    <w:tmpl w:val="F0A220D0"/>
    <w:lvl w:ilvl="0" w:tplc="5B1CC83A">
      <w:start w:val="1"/>
      <w:numFmt w:val="decimal"/>
      <w:pStyle w:val="CaptionTable"/>
      <w:suff w:val="space"/>
      <w:lvlText w:val="Table %1."/>
      <w:lvlJc w:val="left"/>
      <w:pPr>
        <w:ind w:left="0" w:firstLine="0"/>
      </w:pPr>
      <w:rPr>
        <w:rFonts w:hint="default"/>
      </w:rPr>
    </w:lvl>
    <w:lvl w:ilvl="1" w:tplc="093EE0BA" w:tentative="1">
      <w:start w:val="1"/>
      <w:numFmt w:val="lowerLetter"/>
      <w:lvlText w:val="%2."/>
      <w:lvlJc w:val="left"/>
      <w:pPr>
        <w:ind w:left="1440" w:hanging="360"/>
      </w:pPr>
    </w:lvl>
    <w:lvl w:ilvl="2" w:tplc="D1D43996" w:tentative="1">
      <w:start w:val="1"/>
      <w:numFmt w:val="lowerRoman"/>
      <w:lvlText w:val="%3."/>
      <w:lvlJc w:val="right"/>
      <w:pPr>
        <w:ind w:left="2160" w:hanging="180"/>
      </w:pPr>
    </w:lvl>
    <w:lvl w:ilvl="3" w:tplc="90EEA078" w:tentative="1">
      <w:start w:val="1"/>
      <w:numFmt w:val="decimal"/>
      <w:lvlText w:val="%4."/>
      <w:lvlJc w:val="left"/>
      <w:pPr>
        <w:ind w:left="2880" w:hanging="360"/>
      </w:pPr>
    </w:lvl>
    <w:lvl w:ilvl="4" w:tplc="A7F4AC76" w:tentative="1">
      <w:start w:val="1"/>
      <w:numFmt w:val="lowerLetter"/>
      <w:lvlText w:val="%5."/>
      <w:lvlJc w:val="left"/>
      <w:pPr>
        <w:ind w:left="3600" w:hanging="360"/>
      </w:pPr>
    </w:lvl>
    <w:lvl w:ilvl="5" w:tplc="D066842C" w:tentative="1">
      <w:start w:val="1"/>
      <w:numFmt w:val="lowerRoman"/>
      <w:lvlText w:val="%6."/>
      <w:lvlJc w:val="right"/>
      <w:pPr>
        <w:ind w:left="4320" w:hanging="180"/>
      </w:pPr>
    </w:lvl>
    <w:lvl w:ilvl="6" w:tplc="FA6A41E6" w:tentative="1">
      <w:start w:val="1"/>
      <w:numFmt w:val="decimal"/>
      <w:lvlText w:val="%7."/>
      <w:lvlJc w:val="left"/>
      <w:pPr>
        <w:ind w:left="5040" w:hanging="360"/>
      </w:pPr>
    </w:lvl>
    <w:lvl w:ilvl="7" w:tplc="78885896" w:tentative="1">
      <w:start w:val="1"/>
      <w:numFmt w:val="lowerLetter"/>
      <w:lvlText w:val="%8."/>
      <w:lvlJc w:val="left"/>
      <w:pPr>
        <w:ind w:left="5760" w:hanging="360"/>
      </w:pPr>
    </w:lvl>
    <w:lvl w:ilvl="8" w:tplc="DA024234" w:tentative="1">
      <w:start w:val="1"/>
      <w:numFmt w:val="lowerRoman"/>
      <w:lvlText w:val="%9."/>
      <w:lvlJc w:val="right"/>
      <w:pPr>
        <w:ind w:left="6480" w:hanging="180"/>
      </w:pPr>
    </w:lvl>
  </w:abstractNum>
  <w:abstractNum w:abstractNumId="5" w15:restartNumberingAfterBreak="0">
    <w:nsid w:val="00000006"/>
    <w:multiLevelType w:val="multilevel"/>
    <w:tmpl w:val="882C8734"/>
    <w:lvl w:ilvl="0">
      <w:start w:val="1"/>
      <w:numFmt w:val="decimal"/>
      <w:pStyle w:val="Heading1"/>
      <w:lvlText w:val="%1."/>
      <w:lvlJc w:val="left"/>
      <w:pPr>
        <w:tabs>
          <w:tab w:val="num" w:pos="1080"/>
        </w:tabs>
        <w:ind w:left="0" w:firstLine="0"/>
      </w:pPr>
      <w:rPr>
        <w:rFonts w:hint="default"/>
      </w:rPr>
    </w:lvl>
    <w:lvl w:ilvl="1">
      <w:start w:val="1"/>
      <w:numFmt w:val="decimal"/>
      <w:pStyle w:val="Heading2"/>
      <w:lvlText w:val="%1.%2"/>
      <w:lvlJc w:val="left"/>
      <w:pPr>
        <w:tabs>
          <w:tab w:val="num" w:pos="1080"/>
        </w:tabs>
        <w:ind w:left="0" w:firstLine="0"/>
      </w:pPr>
    </w:lvl>
    <w:lvl w:ilvl="2">
      <w:start w:val="1"/>
      <w:numFmt w:val="decimal"/>
      <w:pStyle w:val="Heading3"/>
      <w:lvlText w:val="%1.%2.%3"/>
      <w:lvlJc w:val="left"/>
      <w:pPr>
        <w:tabs>
          <w:tab w:val="num" w:pos="1080"/>
        </w:tabs>
        <w:ind w:left="0" w:firstLine="0"/>
      </w:pPr>
      <w:rPr>
        <w:rFonts w:cs="Times New Roman"/>
        <w:b w:val="0"/>
        <w:bCs w:val="0"/>
        <w:i w:val="0"/>
        <w:iCs w:val="0"/>
        <w:caps w:val="0"/>
        <w:smallCaps w:val="0"/>
        <w:strike w:val="0"/>
        <w:dstrike w:val="0"/>
        <w:outline w:val="0"/>
        <w:shadow w:val="0"/>
        <w:emboss w:val="0"/>
        <w:imprint w:val="0"/>
        <w:noProof w:val="0"/>
        <w:vanish w:val="0"/>
        <w:color w:val="1FA9E1" w:themeColor="accent3"/>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lvlText w:val="%1.%2.%3.%4"/>
      <w:lvlJc w:val="left"/>
      <w:pPr>
        <w:tabs>
          <w:tab w:val="num" w:pos="360"/>
        </w:tabs>
        <w:ind w:left="0" w:firstLine="0"/>
      </w:pPr>
      <w:rPr>
        <w:rFonts w:hint="default"/>
      </w:rPr>
    </w:lvl>
    <w:lvl w:ilvl="4">
      <w:start w:val="1"/>
      <w:numFmt w:val="decimal"/>
      <w:lvlText w:val="%1.%2.%3.%4.%5"/>
      <w:lvlJc w:val="left"/>
      <w:pPr>
        <w:tabs>
          <w:tab w:val="num" w:pos="360"/>
        </w:tabs>
        <w:ind w:left="0" w:firstLine="0"/>
      </w:pPr>
      <w:rPr>
        <w:rFonts w:hint="default"/>
      </w:rPr>
    </w:lvl>
    <w:lvl w:ilvl="5">
      <w:start w:val="1"/>
      <w:numFmt w:val="decimal"/>
      <w:lvlText w:val="%1.%2.%3.%4.%5.%6"/>
      <w:lvlJc w:val="left"/>
      <w:pPr>
        <w:tabs>
          <w:tab w:val="num" w:pos="360"/>
        </w:tabs>
        <w:ind w:left="0" w:firstLine="0"/>
      </w:pPr>
      <w:rPr>
        <w:rFonts w:hint="default"/>
      </w:rPr>
    </w:lvl>
    <w:lvl w:ilvl="6">
      <w:start w:val="1"/>
      <w:numFmt w:val="decimal"/>
      <w:lvlText w:val="%1.%2.%3.%4.%5.%6.%7"/>
      <w:lvlJc w:val="left"/>
      <w:pPr>
        <w:tabs>
          <w:tab w:val="num" w:pos="360"/>
        </w:tabs>
        <w:ind w:left="0" w:firstLine="0"/>
      </w:pPr>
      <w:rPr>
        <w:rFonts w:hint="default"/>
      </w:rPr>
    </w:lvl>
    <w:lvl w:ilvl="7">
      <w:start w:val="1"/>
      <w:numFmt w:val="decimal"/>
      <w:lvlText w:val="%1.%2.%3.%4.%5.%6.%7.%8"/>
      <w:lvlJc w:val="left"/>
      <w:pPr>
        <w:tabs>
          <w:tab w:val="num" w:pos="360"/>
        </w:tabs>
        <w:ind w:left="0" w:firstLine="0"/>
      </w:pPr>
      <w:rPr>
        <w:rFonts w:hint="default"/>
      </w:rPr>
    </w:lvl>
    <w:lvl w:ilvl="8">
      <w:start w:val="1"/>
      <w:numFmt w:val="decimal"/>
      <w:lvlText w:val="%1.%2.%3.%4.%5.%6.%7.%8.%9"/>
      <w:lvlJc w:val="left"/>
      <w:pPr>
        <w:tabs>
          <w:tab w:val="num" w:pos="360"/>
        </w:tabs>
        <w:ind w:left="0" w:firstLine="0"/>
      </w:pPr>
      <w:rPr>
        <w:rFonts w:hint="default"/>
      </w:rPr>
    </w:lvl>
  </w:abstractNum>
  <w:abstractNum w:abstractNumId="6" w15:restartNumberingAfterBreak="0">
    <w:nsid w:val="00000009"/>
    <w:multiLevelType w:val="singleLevel"/>
    <w:tmpl w:val="01A6B67E"/>
    <w:lvl w:ilvl="0">
      <w:start w:val="1"/>
      <w:numFmt w:val="decimal"/>
      <w:pStyle w:val="ListNumber"/>
      <w:lvlText w:val="%1."/>
      <w:lvlJc w:val="left"/>
      <w:pPr>
        <w:tabs>
          <w:tab w:val="num" w:pos="360"/>
        </w:tabs>
        <w:ind w:left="360" w:hanging="360"/>
      </w:pPr>
    </w:lvl>
  </w:abstractNum>
  <w:abstractNum w:abstractNumId="7" w15:restartNumberingAfterBreak="0">
    <w:nsid w:val="0000000A"/>
    <w:multiLevelType w:val="singleLevel"/>
    <w:tmpl w:val="AB1A98D2"/>
    <w:lvl w:ilvl="0">
      <w:start w:val="1"/>
      <w:numFmt w:val="decimal"/>
      <w:pStyle w:val="ListNumber2"/>
      <w:lvlText w:val="%1."/>
      <w:lvlJc w:val="left"/>
      <w:pPr>
        <w:tabs>
          <w:tab w:val="num" w:pos="720"/>
        </w:tabs>
        <w:ind w:left="720" w:hanging="360"/>
      </w:pPr>
    </w:lvl>
  </w:abstractNum>
  <w:abstractNum w:abstractNumId="8" w15:restartNumberingAfterBreak="0">
    <w:nsid w:val="0000000B"/>
    <w:multiLevelType w:val="singleLevel"/>
    <w:tmpl w:val="57B63BE6"/>
    <w:lvl w:ilvl="0">
      <w:start w:val="1"/>
      <w:numFmt w:val="decimal"/>
      <w:pStyle w:val="ListNumber3"/>
      <w:lvlText w:val="%1."/>
      <w:lvlJc w:val="left"/>
      <w:pPr>
        <w:tabs>
          <w:tab w:val="num" w:pos="1080"/>
        </w:tabs>
        <w:ind w:left="1080" w:hanging="360"/>
      </w:pPr>
    </w:lvl>
  </w:abstractNum>
  <w:abstractNum w:abstractNumId="9" w15:restartNumberingAfterBreak="0">
    <w:nsid w:val="0000000C"/>
    <w:multiLevelType w:val="multilevel"/>
    <w:tmpl w:val="7C74D798"/>
    <w:lvl w:ilvl="0">
      <w:start w:val="1"/>
      <w:numFmt w:val="decimal"/>
      <w:pStyle w:val="NoList1"/>
      <w:lvlText w:val="%1."/>
      <w:lvlJc w:val="left"/>
      <w:pPr>
        <w:ind w:left="360" w:hanging="360"/>
      </w:pPr>
    </w:lvl>
    <w:lvl w:ilvl="1">
      <w:start w:val="1"/>
      <w:numFmt w:val="lowerLetter"/>
      <w:lvlText w:val="%2."/>
      <w:lvlJc w:val="left"/>
      <w:pPr>
        <w:ind w:left="720" w:hanging="360"/>
      </w:pPr>
      <w:rPr>
        <w:rFonts w:hint="default"/>
        <w:color w:val="auto"/>
      </w:rPr>
    </w:lvl>
    <w:lvl w:ilvl="2">
      <w:start w:val="1"/>
      <w:numFmt w:val="lowerRoman"/>
      <w:lvlText w:val="%3."/>
      <w:lvlJc w:val="left"/>
      <w:pPr>
        <w:ind w:left="1080" w:hanging="360"/>
      </w:pPr>
      <w:rPr>
        <w:rFonts w:hint="default"/>
        <w:color w:val="auto"/>
      </w:rPr>
    </w:lvl>
    <w:lvl w:ilvl="3">
      <w:start w:val="1"/>
      <w:numFmt w:val="decimal"/>
      <w:lvlText w:val="%4."/>
      <w:lvlJc w:val="left"/>
      <w:pPr>
        <w:ind w:left="1440" w:hanging="360"/>
      </w:pPr>
      <w:rPr>
        <w:rFonts w:hint="default"/>
        <w:color w:val="auto"/>
      </w:rPr>
    </w:lvl>
    <w:lvl w:ilvl="4">
      <w:start w:val="1"/>
      <w:numFmt w:val="lowerLetter"/>
      <w:lvlText w:val="%5."/>
      <w:lvlJc w:val="left"/>
      <w:pPr>
        <w:ind w:left="1800" w:hanging="360"/>
      </w:pPr>
      <w:rPr>
        <w:rFonts w:hint="default"/>
        <w:color w:val="auto"/>
      </w:rPr>
    </w:lvl>
    <w:lvl w:ilvl="5">
      <w:start w:val="1"/>
      <w:numFmt w:val="lowerRoman"/>
      <w:lvlText w:val="%6."/>
      <w:lvlJc w:val="left"/>
      <w:pPr>
        <w:ind w:left="2160" w:hanging="360"/>
      </w:pPr>
      <w:rPr>
        <w:rFonts w:hint="default"/>
        <w:color w:val="auto"/>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000000D"/>
    <w:multiLevelType w:val="multilevel"/>
    <w:tmpl w:val="CA48C9AC"/>
    <w:lvl w:ilvl="0">
      <w:start w:val="1"/>
      <w:numFmt w:val="decimal"/>
      <w:lvlText w:val="%1."/>
      <w:lvlJc w:val="left"/>
      <w:pPr>
        <w:ind w:left="360" w:hanging="360"/>
      </w:pPr>
      <w:rPr>
        <w:rFonts w:hint="default"/>
        <w:b w:val="0"/>
        <w:i w:val="0"/>
        <w:color w:val="auto"/>
        <w:sz w:val="22"/>
      </w:rPr>
    </w:lvl>
    <w:lvl w:ilvl="1">
      <w:start w:val="1"/>
      <w:numFmt w:val="lowerLetter"/>
      <w:pStyle w:val="NoList2"/>
      <w:lvlText w:val="%2."/>
      <w:lvlJc w:val="left"/>
      <w:pPr>
        <w:ind w:left="720" w:hanging="360"/>
      </w:pPr>
    </w:lvl>
    <w:lvl w:ilvl="2">
      <w:start w:val="1"/>
      <w:numFmt w:val="lowerRoman"/>
      <w:lvlText w:val="%3."/>
      <w:lvlJc w:val="left"/>
      <w:pPr>
        <w:ind w:left="1080" w:hanging="360"/>
      </w:pPr>
      <w:rPr>
        <w:rFonts w:hint="default"/>
        <w:color w:val="auto"/>
      </w:rPr>
    </w:lvl>
    <w:lvl w:ilvl="3">
      <w:start w:val="1"/>
      <w:numFmt w:val="decimal"/>
      <w:lvlText w:val="%4."/>
      <w:lvlJc w:val="left"/>
      <w:pPr>
        <w:ind w:left="1440" w:hanging="360"/>
      </w:pPr>
      <w:rPr>
        <w:rFonts w:hint="default"/>
        <w:color w:val="auto"/>
      </w:rPr>
    </w:lvl>
    <w:lvl w:ilvl="4">
      <w:start w:val="1"/>
      <w:numFmt w:val="lowerLetter"/>
      <w:lvlText w:val="%5."/>
      <w:lvlJc w:val="left"/>
      <w:pPr>
        <w:ind w:left="1800" w:hanging="360"/>
      </w:pPr>
      <w:rPr>
        <w:rFonts w:hint="default"/>
        <w:color w:val="auto"/>
      </w:rPr>
    </w:lvl>
    <w:lvl w:ilvl="5">
      <w:start w:val="1"/>
      <w:numFmt w:val="lowerRoman"/>
      <w:lvlText w:val="%6."/>
      <w:lvlJc w:val="left"/>
      <w:pPr>
        <w:ind w:left="2160" w:hanging="360"/>
      </w:pPr>
      <w:rPr>
        <w:rFonts w:hint="default"/>
        <w:color w:val="auto"/>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000000E"/>
    <w:multiLevelType w:val="multilevel"/>
    <w:tmpl w:val="73526CFC"/>
    <w:lvl w:ilvl="0">
      <w:start w:val="1"/>
      <w:numFmt w:val="decimal"/>
      <w:lvlText w:val="%1."/>
      <w:lvlJc w:val="left"/>
      <w:pPr>
        <w:ind w:left="360" w:hanging="360"/>
      </w:pPr>
      <w:rPr>
        <w:rFonts w:hint="default"/>
        <w:b w:val="0"/>
        <w:i w:val="0"/>
        <w:color w:val="auto"/>
        <w:sz w:val="22"/>
      </w:rPr>
    </w:lvl>
    <w:lvl w:ilvl="1">
      <w:start w:val="1"/>
      <w:numFmt w:val="lowerLetter"/>
      <w:lvlText w:val="%2."/>
      <w:lvlJc w:val="left"/>
      <w:pPr>
        <w:ind w:left="720" w:hanging="360"/>
      </w:pPr>
      <w:rPr>
        <w:rFonts w:hint="default"/>
        <w:color w:val="auto"/>
      </w:rPr>
    </w:lvl>
    <w:lvl w:ilvl="2">
      <w:start w:val="1"/>
      <w:numFmt w:val="lowerRoman"/>
      <w:pStyle w:val="NoList3"/>
      <w:lvlText w:val="%3."/>
      <w:lvlJc w:val="left"/>
      <w:pPr>
        <w:ind w:left="1080" w:hanging="360"/>
      </w:pPr>
      <w:rPr>
        <w:rFonts w:hint="default"/>
        <w:color w:val="4A4D56" w:themeColor="text1"/>
      </w:rPr>
    </w:lvl>
    <w:lvl w:ilvl="3">
      <w:start w:val="1"/>
      <w:numFmt w:val="decimal"/>
      <w:lvlText w:val="%4."/>
      <w:lvlJc w:val="left"/>
      <w:pPr>
        <w:ind w:left="1440" w:hanging="360"/>
      </w:pPr>
      <w:rPr>
        <w:rFonts w:hint="default"/>
        <w:color w:val="auto"/>
      </w:rPr>
    </w:lvl>
    <w:lvl w:ilvl="4">
      <w:start w:val="1"/>
      <w:numFmt w:val="lowerLetter"/>
      <w:lvlText w:val="%5."/>
      <w:lvlJc w:val="left"/>
      <w:pPr>
        <w:ind w:left="1800" w:hanging="360"/>
      </w:pPr>
      <w:rPr>
        <w:rFonts w:hint="default"/>
        <w:color w:val="auto"/>
      </w:rPr>
    </w:lvl>
    <w:lvl w:ilvl="5">
      <w:start w:val="1"/>
      <w:numFmt w:val="lowerRoman"/>
      <w:lvlText w:val="%6."/>
      <w:lvlJc w:val="left"/>
      <w:pPr>
        <w:ind w:left="2160" w:hanging="360"/>
      </w:pPr>
      <w:rPr>
        <w:rFonts w:hint="default"/>
        <w:color w:val="auto"/>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0000012"/>
    <w:multiLevelType w:val="multilevel"/>
    <w:tmpl w:val="62AA902E"/>
    <w:lvl w:ilvl="0">
      <w:start w:val="1"/>
      <w:numFmt w:val="bullet"/>
      <w:pStyle w:val="TableBullet"/>
      <w:lvlText w:val=""/>
      <w:lvlJc w:val="left"/>
      <w:pPr>
        <w:ind w:left="720" w:hanging="360"/>
      </w:pPr>
      <w:rPr>
        <w:rFonts w:ascii="Wingdings" w:hAnsi="Wingdings" w:hint="default"/>
        <w:color w:val="053572" w:themeColor="text2"/>
        <w:sz w:val="20"/>
      </w:rPr>
    </w:lvl>
    <w:lvl w:ilvl="1">
      <w:start w:val="1"/>
      <w:numFmt w:val="bullet"/>
      <w:lvlText w:val=""/>
      <w:lvlJc w:val="left"/>
      <w:pPr>
        <w:ind w:left="1080" w:hanging="360"/>
      </w:pPr>
      <w:rPr>
        <w:rFonts w:ascii="Wingdings" w:hAnsi="Wingdings" w:hint="default"/>
        <w:color w:val="1295D8"/>
        <w:sz w:val="22"/>
      </w:rPr>
    </w:lvl>
    <w:lvl w:ilvl="2">
      <w:start w:val="1"/>
      <w:numFmt w:val="bullet"/>
      <w:lvlRestart w:val="0"/>
      <w:lvlText w:val=""/>
      <w:lvlJc w:val="left"/>
      <w:pPr>
        <w:tabs>
          <w:tab w:val="num" w:pos="1080"/>
        </w:tabs>
        <w:ind w:left="1440" w:hanging="360"/>
      </w:pPr>
      <w:rPr>
        <w:rFonts w:ascii="Wingdings" w:hAnsi="Wingdings" w:hint="default"/>
        <w:color w:val="4D4D4F"/>
        <w:sz w:val="22"/>
      </w:rPr>
    </w:lvl>
    <w:lvl w:ilvl="3">
      <w:start w:val="1"/>
      <w:numFmt w:val="bullet"/>
      <w:lvlText w:val=""/>
      <w:lvlJc w:val="left"/>
      <w:pPr>
        <w:ind w:left="2160" w:hanging="432"/>
      </w:pPr>
      <w:rPr>
        <w:rFonts w:ascii="Wingdings" w:hAnsi="Wingdings" w:cs="Times New Roman" w:hint="default"/>
        <w:b w:val="0"/>
        <w:bCs w:val="0"/>
        <w:i w:val="0"/>
        <w:iCs w:val="0"/>
        <w:caps w:val="0"/>
        <w:smallCaps w:val="0"/>
        <w:strike w:val="0"/>
        <w:dstrike w:val="0"/>
        <w:noProof w:val="0"/>
        <w:vanish w:val="0"/>
        <w:color w:val="0069B6"/>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ind w:left="3600" w:hanging="360"/>
      </w:pPr>
      <w:rPr>
        <w:rFonts w:ascii="Wingdings" w:hAnsi="Wingdings" w:hint="default"/>
        <w:color w:val="64B3E8"/>
      </w:rPr>
    </w:lvl>
    <w:lvl w:ilvl="5">
      <w:start w:val="1"/>
      <w:numFmt w:val="bullet"/>
      <w:lvlText w:val=""/>
      <w:lvlJc w:val="left"/>
      <w:pPr>
        <w:ind w:left="4320" w:hanging="360"/>
      </w:pPr>
      <w:rPr>
        <w:rFonts w:ascii="Wingdings" w:hAnsi="Wingdings" w:hint="default"/>
        <w:color w:val="696969"/>
      </w:rPr>
    </w:lvl>
    <w:lvl w:ilvl="6">
      <w:start w:val="1"/>
      <w:numFmt w:val="bullet"/>
      <w:lvlText w:val=""/>
      <w:lvlJc w:val="left"/>
      <w:pPr>
        <w:ind w:left="5040" w:hanging="360"/>
      </w:pPr>
      <w:rPr>
        <w:rFonts w:ascii="Wingdings" w:hAnsi="Wingdings" w:hint="default"/>
        <w:color w:val="172B54" w:themeColor="accent1"/>
      </w:rPr>
    </w:lvl>
    <w:lvl w:ilvl="7">
      <w:start w:val="1"/>
      <w:numFmt w:val="bullet"/>
      <w:lvlText w:val=""/>
      <w:lvlJc w:val="left"/>
      <w:pPr>
        <w:ind w:left="5760" w:hanging="360"/>
      </w:pPr>
      <w:rPr>
        <w:rFonts w:ascii="Wingdings" w:hAnsi="Wingdings" w:hint="default"/>
        <w:color w:val="265EAC" w:themeColor="accent2"/>
      </w:rPr>
    </w:lvl>
    <w:lvl w:ilvl="8">
      <w:start w:val="1"/>
      <w:numFmt w:val="bullet"/>
      <w:lvlText w:val=""/>
      <w:lvlJc w:val="left"/>
      <w:pPr>
        <w:ind w:left="6480" w:hanging="360"/>
      </w:pPr>
      <w:rPr>
        <w:rFonts w:ascii="Wingdings" w:hAnsi="Wingdings" w:hint="default"/>
        <w:color w:val="1FA9E1" w:themeColor="accent3"/>
      </w:rPr>
    </w:lvl>
  </w:abstractNum>
  <w:abstractNum w:abstractNumId="13" w15:restartNumberingAfterBreak="0">
    <w:nsid w:val="01664FB8"/>
    <w:multiLevelType w:val="hybridMultilevel"/>
    <w:tmpl w:val="2544EE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87A61FD"/>
    <w:multiLevelType w:val="multilevel"/>
    <w:tmpl w:val="C0CE1E54"/>
    <w:name w:val="Appendix Headings2"/>
    <w:numStyleLink w:val="Addendum"/>
  </w:abstractNum>
  <w:abstractNum w:abstractNumId="15" w15:restartNumberingAfterBreak="0">
    <w:nsid w:val="0E91119E"/>
    <w:multiLevelType w:val="hybridMultilevel"/>
    <w:tmpl w:val="632C2C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3C5450"/>
    <w:multiLevelType w:val="hybridMultilevel"/>
    <w:tmpl w:val="ACD28A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960229"/>
    <w:multiLevelType w:val="hybridMultilevel"/>
    <w:tmpl w:val="FA704BA8"/>
    <w:lvl w:ilvl="0" w:tplc="EC24C53E">
      <w:start w:val="1"/>
      <w:numFmt w:val="bullet"/>
      <w:lvlText w:val=""/>
      <w:lvlJc w:val="left"/>
      <w:pPr>
        <w:tabs>
          <w:tab w:val="num" w:pos="720"/>
        </w:tabs>
        <w:ind w:left="720" w:hanging="360"/>
      </w:pPr>
      <w:rPr>
        <w:rFonts w:ascii="Wingdings" w:hAnsi="Wingdings" w:hint="default"/>
      </w:rPr>
    </w:lvl>
    <w:lvl w:ilvl="1" w:tplc="873E003A" w:tentative="1">
      <w:start w:val="1"/>
      <w:numFmt w:val="bullet"/>
      <w:lvlText w:val=""/>
      <w:lvlJc w:val="left"/>
      <w:pPr>
        <w:tabs>
          <w:tab w:val="num" w:pos="1440"/>
        </w:tabs>
        <w:ind w:left="1440" w:hanging="360"/>
      </w:pPr>
      <w:rPr>
        <w:rFonts w:ascii="Wingdings" w:hAnsi="Wingdings" w:hint="default"/>
      </w:rPr>
    </w:lvl>
    <w:lvl w:ilvl="2" w:tplc="1788FF88" w:tentative="1">
      <w:start w:val="1"/>
      <w:numFmt w:val="bullet"/>
      <w:lvlText w:val=""/>
      <w:lvlJc w:val="left"/>
      <w:pPr>
        <w:tabs>
          <w:tab w:val="num" w:pos="2160"/>
        </w:tabs>
        <w:ind w:left="2160" w:hanging="360"/>
      </w:pPr>
      <w:rPr>
        <w:rFonts w:ascii="Wingdings" w:hAnsi="Wingdings" w:hint="default"/>
      </w:rPr>
    </w:lvl>
    <w:lvl w:ilvl="3" w:tplc="B9C2EC98" w:tentative="1">
      <w:start w:val="1"/>
      <w:numFmt w:val="bullet"/>
      <w:lvlText w:val=""/>
      <w:lvlJc w:val="left"/>
      <w:pPr>
        <w:tabs>
          <w:tab w:val="num" w:pos="2880"/>
        </w:tabs>
        <w:ind w:left="2880" w:hanging="360"/>
      </w:pPr>
      <w:rPr>
        <w:rFonts w:ascii="Wingdings" w:hAnsi="Wingdings" w:hint="default"/>
      </w:rPr>
    </w:lvl>
    <w:lvl w:ilvl="4" w:tplc="3F2627A4" w:tentative="1">
      <w:start w:val="1"/>
      <w:numFmt w:val="bullet"/>
      <w:lvlText w:val=""/>
      <w:lvlJc w:val="left"/>
      <w:pPr>
        <w:tabs>
          <w:tab w:val="num" w:pos="3600"/>
        </w:tabs>
        <w:ind w:left="3600" w:hanging="360"/>
      </w:pPr>
      <w:rPr>
        <w:rFonts w:ascii="Wingdings" w:hAnsi="Wingdings" w:hint="default"/>
      </w:rPr>
    </w:lvl>
    <w:lvl w:ilvl="5" w:tplc="36142602" w:tentative="1">
      <w:start w:val="1"/>
      <w:numFmt w:val="bullet"/>
      <w:lvlText w:val=""/>
      <w:lvlJc w:val="left"/>
      <w:pPr>
        <w:tabs>
          <w:tab w:val="num" w:pos="4320"/>
        </w:tabs>
        <w:ind w:left="4320" w:hanging="360"/>
      </w:pPr>
      <w:rPr>
        <w:rFonts w:ascii="Wingdings" w:hAnsi="Wingdings" w:hint="default"/>
      </w:rPr>
    </w:lvl>
    <w:lvl w:ilvl="6" w:tplc="7CB49F04" w:tentative="1">
      <w:start w:val="1"/>
      <w:numFmt w:val="bullet"/>
      <w:lvlText w:val=""/>
      <w:lvlJc w:val="left"/>
      <w:pPr>
        <w:tabs>
          <w:tab w:val="num" w:pos="5040"/>
        </w:tabs>
        <w:ind w:left="5040" w:hanging="360"/>
      </w:pPr>
      <w:rPr>
        <w:rFonts w:ascii="Wingdings" w:hAnsi="Wingdings" w:hint="default"/>
      </w:rPr>
    </w:lvl>
    <w:lvl w:ilvl="7" w:tplc="E3D03EBC" w:tentative="1">
      <w:start w:val="1"/>
      <w:numFmt w:val="bullet"/>
      <w:lvlText w:val=""/>
      <w:lvlJc w:val="left"/>
      <w:pPr>
        <w:tabs>
          <w:tab w:val="num" w:pos="5760"/>
        </w:tabs>
        <w:ind w:left="5760" w:hanging="360"/>
      </w:pPr>
      <w:rPr>
        <w:rFonts w:ascii="Wingdings" w:hAnsi="Wingdings" w:hint="default"/>
      </w:rPr>
    </w:lvl>
    <w:lvl w:ilvl="8" w:tplc="2AB6F72E"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83A310C"/>
    <w:multiLevelType w:val="hybridMultilevel"/>
    <w:tmpl w:val="A2A2AB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8A52C42"/>
    <w:multiLevelType w:val="hybridMultilevel"/>
    <w:tmpl w:val="5D2857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B681DC2"/>
    <w:multiLevelType w:val="hybridMultilevel"/>
    <w:tmpl w:val="24E824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F0811F8"/>
    <w:multiLevelType w:val="hybridMultilevel"/>
    <w:tmpl w:val="A6BAB1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D371EC"/>
    <w:multiLevelType w:val="hybridMultilevel"/>
    <w:tmpl w:val="693206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DB5D4A"/>
    <w:multiLevelType w:val="hybridMultilevel"/>
    <w:tmpl w:val="5B0C37B0"/>
    <w:lvl w:ilvl="0" w:tplc="DEB68784">
      <w:start w:val="1"/>
      <w:numFmt w:val="bullet"/>
      <w:lvlText w:val=""/>
      <w:lvlJc w:val="left"/>
      <w:pPr>
        <w:tabs>
          <w:tab w:val="num" w:pos="720"/>
        </w:tabs>
        <w:ind w:left="720" w:hanging="360"/>
      </w:pPr>
      <w:rPr>
        <w:rFonts w:ascii="Wingdings" w:hAnsi="Wingdings" w:hint="default"/>
      </w:rPr>
    </w:lvl>
    <w:lvl w:ilvl="1" w:tplc="4B508E58" w:tentative="1">
      <w:start w:val="1"/>
      <w:numFmt w:val="bullet"/>
      <w:lvlText w:val=""/>
      <w:lvlJc w:val="left"/>
      <w:pPr>
        <w:tabs>
          <w:tab w:val="num" w:pos="1440"/>
        </w:tabs>
        <w:ind w:left="1440" w:hanging="360"/>
      </w:pPr>
      <w:rPr>
        <w:rFonts w:ascii="Wingdings" w:hAnsi="Wingdings" w:hint="default"/>
      </w:rPr>
    </w:lvl>
    <w:lvl w:ilvl="2" w:tplc="3A6837AC" w:tentative="1">
      <w:start w:val="1"/>
      <w:numFmt w:val="bullet"/>
      <w:lvlText w:val=""/>
      <w:lvlJc w:val="left"/>
      <w:pPr>
        <w:tabs>
          <w:tab w:val="num" w:pos="2160"/>
        </w:tabs>
        <w:ind w:left="2160" w:hanging="360"/>
      </w:pPr>
      <w:rPr>
        <w:rFonts w:ascii="Wingdings" w:hAnsi="Wingdings" w:hint="default"/>
      </w:rPr>
    </w:lvl>
    <w:lvl w:ilvl="3" w:tplc="27A2F7F2" w:tentative="1">
      <w:start w:val="1"/>
      <w:numFmt w:val="bullet"/>
      <w:lvlText w:val=""/>
      <w:lvlJc w:val="left"/>
      <w:pPr>
        <w:tabs>
          <w:tab w:val="num" w:pos="2880"/>
        </w:tabs>
        <w:ind w:left="2880" w:hanging="360"/>
      </w:pPr>
      <w:rPr>
        <w:rFonts w:ascii="Wingdings" w:hAnsi="Wingdings" w:hint="default"/>
      </w:rPr>
    </w:lvl>
    <w:lvl w:ilvl="4" w:tplc="A3A6897A" w:tentative="1">
      <w:start w:val="1"/>
      <w:numFmt w:val="bullet"/>
      <w:lvlText w:val=""/>
      <w:lvlJc w:val="left"/>
      <w:pPr>
        <w:tabs>
          <w:tab w:val="num" w:pos="3600"/>
        </w:tabs>
        <w:ind w:left="3600" w:hanging="360"/>
      </w:pPr>
      <w:rPr>
        <w:rFonts w:ascii="Wingdings" w:hAnsi="Wingdings" w:hint="default"/>
      </w:rPr>
    </w:lvl>
    <w:lvl w:ilvl="5" w:tplc="7884E208" w:tentative="1">
      <w:start w:val="1"/>
      <w:numFmt w:val="bullet"/>
      <w:lvlText w:val=""/>
      <w:lvlJc w:val="left"/>
      <w:pPr>
        <w:tabs>
          <w:tab w:val="num" w:pos="4320"/>
        </w:tabs>
        <w:ind w:left="4320" w:hanging="360"/>
      </w:pPr>
      <w:rPr>
        <w:rFonts w:ascii="Wingdings" w:hAnsi="Wingdings" w:hint="default"/>
      </w:rPr>
    </w:lvl>
    <w:lvl w:ilvl="6" w:tplc="EF8439F4" w:tentative="1">
      <w:start w:val="1"/>
      <w:numFmt w:val="bullet"/>
      <w:lvlText w:val=""/>
      <w:lvlJc w:val="left"/>
      <w:pPr>
        <w:tabs>
          <w:tab w:val="num" w:pos="5040"/>
        </w:tabs>
        <w:ind w:left="5040" w:hanging="360"/>
      </w:pPr>
      <w:rPr>
        <w:rFonts w:ascii="Wingdings" w:hAnsi="Wingdings" w:hint="default"/>
      </w:rPr>
    </w:lvl>
    <w:lvl w:ilvl="7" w:tplc="CABC0936" w:tentative="1">
      <w:start w:val="1"/>
      <w:numFmt w:val="bullet"/>
      <w:lvlText w:val=""/>
      <w:lvlJc w:val="left"/>
      <w:pPr>
        <w:tabs>
          <w:tab w:val="num" w:pos="5760"/>
        </w:tabs>
        <w:ind w:left="5760" w:hanging="360"/>
      </w:pPr>
      <w:rPr>
        <w:rFonts w:ascii="Wingdings" w:hAnsi="Wingdings" w:hint="default"/>
      </w:rPr>
    </w:lvl>
    <w:lvl w:ilvl="8" w:tplc="E1702736"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C0C5F47"/>
    <w:multiLevelType w:val="hybridMultilevel"/>
    <w:tmpl w:val="E5CED4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1214E4"/>
    <w:multiLevelType w:val="hybridMultilevel"/>
    <w:tmpl w:val="20C47022"/>
    <w:lvl w:ilvl="0" w:tplc="687E04E8">
      <w:start w:val="1"/>
      <w:numFmt w:val="bullet"/>
      <w:lvlText w:val=""/>
      <w:lvlJc w:val="left"/>
      <w:pPr>
        <w:tabs>
          <w:tab w:val="num" w:pos="720"/>
        </w:tabs>
        <w:ind w:left="720" w:hanging="360"/>
      </w:pPr>
      <w:rPr>
        <w:rFonts w:ascii="Wingdings" w:hAnsi="Wingdings" w:hint="default"/>
      </w:rPr>
    </w:lvl>
    <w:lvl w:ilvl="1" w:tplc="92765542" w:tentative="1">
      <w:start w:val="1"/>
      <w:numFmt w:val="bullet"/>
      <w:lvlText w:val=""/>
      <w:lvlJc w:val="left"/>
      <w:pPr>
        <w:tabs>
          <w:tab w:val="num" w:pos="1440"/>
        </w:tabs>
        <w:ind w:left="1440" w:hanging="360"/>
      </w:pPr>
      <w:rPr>
        <w:rFonts w:ascii="Wingdings" w:hAnsi="Wingdings" w:hint="default"/>
      </w:rPr>
    </w:lvl>
    <w:lvl w:ilvl="2" w:tplc="4AE48BDA" w:tentative="1">
      <w:start w:val="1"/>
      <w:numFmt w:val="bullet"/>
      <w:lvlText w:val=""/>
      <w:lvlJc w:val="left"/>
      <w:pPr>
        <w:tabs>
          <w:tab w:val="num" w:pos="2160"/>
        </w:tabs>
        <w:ind w:left="2160" w:hanging="360"/>
      </w:pPr>
      <w:rPr>
        <w:rFonts w:ascii="Wingdings" w:hAnsi="Wingdings" w:hint="default"/>
      </w:rPr>
    </w:lvl>
    <w:lvl w:ilvl="3" w:tplc="A9800EB4" w:tentative="1">
      <w:start w:val="1"/>
      <w:numFmt w:val="bullet"/>
      <w:lvlText w:val=""/>
      <w:lvlJc w:val="left"/>
      <w:pPr>
        <w:tabs>
          <w:tab w:val="num" w:pos="2880"/>
        </w:tabs>
        <w:ind w:left="2880" w:hanging="360"/>
      </w:pPr>
      <w:rPr>
        <w:rFonts w:ascii="Wingdings" w:hAnsi="Wingdings" w:hint="default"/>
      </w:rPr>
    </w:lvl>
    <w:lvl w:ilvl="4" w:tplc="90D813B0" w:tentative="1">
      <w:start w:val="1"/>
      <w:numFmt w:val="bullet"/>
      <w:lvlText w:val=""/>
      <w:lvlJc w:val="left"/>
      <w:pPr>
        <w:tabs>
          <w:tab w:val="num" w:pos="3600"/>
        </w:tabs>
        <w:ind w:left="3600" w:hanging="360"/>
      </w:pPr>
      <w:rPr>
        <w:rFonts w:ascii="Wingdings" w:hAnsi="Wingdings" w:hint="default"/>
      </w:rPr>
    </w:lvl>
    <w:lvl w:ilvl="5" w:tplc="A9629860" w:tentative="1">
      <w:start w:val="1"/>
      <w:numFmt w:val="bullet"/>
      <w:lvlText w:val=""/>
      <w:lvlJc w:val="left"/>
      <w:pPr>
        <w:tabs>
          <w:tab w:val="num" w:pos="4320"/>
        </w:tabs>
        <w:ind w:left="4320" w:hanging="360"/>
      </w:pPr>
      <w:rPr>
        <w:rFonts w:ascii="Wingdings" w:hAnsi="Wingdings" w:hint="default"/>
      </w:rPr>
    </w:lvl>
    <w:lvl w:ilvl="6" w:tplc="269A3BD0" w:tentative="1">
      <w:start w:val="1"/>
      <w:numFmt w:val="bullet"/>
      <w:lvlText w:val=""/>
      <w:lvlJc w:val="left"/>
      <w:pPr>
        <w:tabs>
          <w:tab w:val="num" w:pos="5040"/>
        </w:tabs>
        <w:ind w:left="5040" w:hanging="360"/>
      </w:pPr>
      <w:rPr>
        <w:rFonts w:ascii="Wingdings" w:hAnsi="Wingdings" w:hint="default"/>
      </w:rPr>
    </w:lvl>
    <w:lvl w:ilvl="7" w:tplc="02803290" w:tentative="1">
      <w:start w:val="1"/>
      <w:numFmt w:val="bullet"/>
      <w:lvlText w:val=""/>
      <w:lvlJc w:val="left"/>
      <w:pPr>
        <w:tabs>
          <w:tab w:val="num" w:pos="5760"/>
        </w:tabs>
        <w:ind w:left="5760" w:hanging="360"/>
      </w:pPr>
      <w:rPr>
        <w:rFonts w:ascii="Wingdings" w:hAnsi="Wingdings" w:hint="default"/>
      </w:rPr>
    </w:lvl>
    <w:lvl w:ilvl="8" w:tplc="1DD02ED4"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AB13340"/>
    <w:multiLevelType w:val="hybridMultilevel"/>
    <w:tmpl w:val="CD3620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7431DC"/>
    <w:multiLevelType w:val="hybridMultilevel"/>
    <w:tmpl w:val="1D1AE0FE"/>
    <w:lvl w:ilvl="0" w:tplc="184A36D0">
      <w:start w:val="1"/>
      <w:numFmt w:val="bullet"/>
      <w:lvlText w:val=""/>
      <w:lvlJc w:val="left"/>
      <w:pPr>
        <w:tabs>
          <w:tab w:val="num" w:pos="720"/>
        </w:tabs>
        <w:ind w:left="720" w:hanging="360"/>
      </w:pPr>
      <w:rPr>
        <w:rFonts w:ascii="Wingdings" w:hAnsi="Wingdings" w:hint="default"/>
      </w:rPr>
    </w:lvl>
    <w:lvl w:ilvl="1" w:tplc="265E47D2" w:tentative="1">
      <w:start w:val="1"/>
      <w:numFmt w:val="bullet"/>
      <w:lvlText w:val=""/>
      <w:lvlJc w:val="left"/>
      <w:pPr>
        <w:tabs>
          <w:tab w:val="num" w:pos="1440"/>
        </w:tabs>
        <w:ind w:left="1440" w:hanging="360"/>
      </w:pPr>
      <w:rPr>
        <w:rFonts w:ascii="Wingdings" w:hAnsi="Wingdings" w:hint="default"/>
      </w:rPr>
    </w:lvl>
    <w:lvl w:ilvl="2" w:tplc="BD0AC716" w:tentative="1">
      <w:start w:val="1"/>
      <w:numFmt w:val="bullet"/>
      <w:lvlText w:val=""/>
      <w:lvlJc w:val="left"/>
      <w:pPr>
        <w:tabs>
          <w:tab w:val="num" w:pos="2160"/>
        </w:tabs>
        <w:ind w:left="2160" w:hanging="360"/>
      </w:pPr>
      <w:rPr>
        <w:rFonts w:ascii="Wingdings" w:hAnsi="Wingdings" w:hint="default"/>
      </w:rPr>
    </w:lvl>
    <w:lvl w:ilvl="3" w:tplc="3FEEF632" w:tentative="1">
      <w:start w:val="1"/>
      <w:numFmt w:val="bullet"/>
      <w:lvlText w:val=""/>
      <w:lvlJc w:val="left"/>
      <w:pPr>
        <w:tabs>
          <w:tab w:val="num" w:pos="2880"/>
        </w:tabs>
        <w:ind w:left="2880" w:hanging="360"/>
      </w:pPr>
      <w:rPr>
        <w:rFonts w:ascii="Wingdings" w:hAnsi="Wingdings" w:hint="default"/>
      </w:rPr>
    </w:lvl>
    <w:lvl w:ilvl="4" w:tplc="8102CEC0" w:tentative="1">
      <w:start w:val="1"/>
      <w:numFmt w:val="bullet"/>
      <w:lvlText w:val=""/>
      <w:lvlJc w:val="left"/>
      <w:pPr>
        <w:tabs>
          <w:tab w:val="num" w:pos="3600"/>
        </w:tabs>
        <w:ind w:left="3600" w:hanging="360"/>
      </w:pPr>
      <w:rPr>
        <w:rFonts w:ascii="Wingdings" w:hAnsi="Wingdings" w:hint="default"/>
      </w:rPr>
    </w:lvl>
    <w:lvl w:ilvl="5" w:tplc="327AE28A" w:tentative="1">
      <w:start w:val="1"/>
      <w:numFmt w:val="bullet"/>
      <w:lvlText w:val=""/>
      <w:lvlJc w:val="left"/>
      <w:pPr>
        <w:tabs>
          <w:tab w:val="num" w:pos="4320"/>
        </w:tabs>
        <w:ind w:left="4320" w:hanging="360"/>
      </w:pPr>
      <w:rPr>
        <w:rFonts w:ascii="Wingdings" w:hAnsi="Wingdings" w:hint="default"/>
      </w:rPr>
    </w:lvl>
    <w:lvl w:ilvl="6" w:tplc="89E202CC" w:tentative="1">
      <w:start w:val="1"/>
      <w:numFmt w:val="bullet"/>
      <w:lvlText w:val=""/>
      <w:lvlJc w:val="left"/>
      <w:pPr>
        <w:tabs>
          <w:tab w:val="num" w:pos="5040"/>
        </w:tabs>
        <w:ind w:left="5040" w:hanging="360"/>
      </w:pPr>
      <w:rPr>
        <w:rFonts w:ascii="Wingdings" w:hAnsi="Wingdings" w:hint="default"/>
      </w:rPr>
    </w:lvl>
    <w:lvl w:ilvl="7" w:tplc="C62AD99C" w:tentative="1">
      <w:start w:val="1"/>
      <w:numFmt w:val="bullet"/>
      <w:lvlText w:val=""/>
      <w:lvlJc w:val="left"/>
      <w:pPr>
        <w:tabs>
          <w:tab w:val="num" w:pos="5760"/>
        </w:tabs>
        <w:ind w:left="5760" w:hanging="360"/>
      </w:pPr>
      <w:rPr>
        <w:rFonts w:ascii="Wingdings" w:hAnsi="Wingdings" w:hint="default"/>
      </w:rPr>
    </w:lvl>
    <w:lvl w:ilvl="8" w:tplc="E99CB1F4"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03D6C61"/>
    <w:multiLevelType w:val="hybridMultilevel"/>
    <w:tmpl w:val="57AA98B0"/>
    <w:lvl w:ilvl="0" w:tplc="FAFC4BC8">
      <w:start w:val="1"/>
      <w:numFmt w:val="bullet"/>
      <w:pStyle w:val="ListBullet"/>
      <w:lvlText w:val=""/>
      <w:lvlJc w:val="left"/>
      <w:pPr>
        <w:ind w:left="540" w:hanging="360"/>
      </w:pPr>
      <w:rPr>
        <w:rFonts w:ascii="Wingdings" w:hAnsi="Wingdings" w:hint="default"/>
        <w:color w:val="053572" w:themeColor="text2"/>
      </w:rPr>
    </w:lvl>
    <w:lvl w:ilvl="1" w:tplc="3CA2820E">
      <w:start w:val="1"/>
      <w:numFmt w:val="bullet"/>
      <w:pStyle w:val="ListBullet2"/>
      <w:lvlText w:val=""/>
      <w:lvlJc w:val="left"/>
      <w:pPr>
        <w:ind w:left="2670" w:hanging="360"/>
      </w:pPr>
      <w:rPr>
        <w:rFonts w:ascii="Wingdings" w:hAnsi="Wingdings" w:hint="default"/>
        <w:color w:val="1FA9E1" w:themeColor="accent3"/>
      </w:rPr>
    </w:lvl>
    <w:lvl w:ilvl="2" w:tplc="B24CA5AC">
      <w:start w:val="1"/>
      <w:numFmt w:val="bullet"/>
      <w:pStyle w:val="ListBullet3"/>
      <w:lvlText w:val=""/>
      <w:lvlJc w:val="left"/>
      <w:pPr>
        <w:ind w:left="3390" w:hanging="360"/>
      </w:pPr>
      <w:rPr>
        <w:rFonts w:ascii="Wingdings" w:hAnsi="Wingdings" w:hint="default"/>
        <w:color w:val="7E83C0" w:themeColor="accent4"/>
      </w:rPr>
    </w:lvl>
    <w:lvl w:ilvl="3" w:tplc="DA64E1E2" w:tentative="1">
      <w:start w:val="1"/>
      <w:numFmt w:val="bullet"/>
      <w:lvlText w:val=""/>
      <w:lvlJc w:val="left"/>
      <w:pPr>
        <w:ind w:left="4110" w:hanging="360"/>
      </w:pPr>
      <w:rPr>
        <w:rFonts w:ascii="Symbol" w:hAnsi="Symbol" w:hint="default"/>
      </w:rPr>
    </w:lvl>
    <w:lvl w:ilvl="4" w:tplc="1A5E05F0" w:tentative="1">
      <w:start w:val="1"/>
      <w:numFmt w:val="bullet"/>
      <w:lvlText w:val="o"/>
      <w:lvlJc w:val="left"/>
      <w:pPr>
        <w:ind w:left="4830" w:hanging="360"/>
      </w:pPr>
      <w:rPr>
        <w:rFonts w:ascii="Courier New" w:hAnsi="Courier New" w:cs="Courier New" w:hint="default"/>
      </w:rPr>
    </w:lvl>
    <w:lvl w:ilvl="5" w:tplc="28D0307C" w:tentative="1">
      <w:start w:val="1"/>
      <w:numFmt w:val="bullet"/>
      <w:lvlText w:val=""/>
      <w:lvlJc w:val="left"/>
      <w:pPr>
        <w:ind w:left="5550" w:hanging="360"/>
      </w:pPr>
      <w:rPr>
        <w:rFonts w:ascii="Wingdings" w:hAnsi="Wingdings" w:hint="default"/>
      </w:rPr>
    </w:lvl>
    <w:lvl w:ilvl="6" w:tplc="8BDC1F4A" w:tentative="1">
      <w:start w:val="1"/>
      <w:numFmt w:val="bullet"/>
      <w:lvlText w:val=""/>
      <w:lvlJc w:val="left"/>
      <w:pPr>
        <w:ind w:left="6270" w:hanging="360"/>
      </w:pPr>
      <w:rPr>
        <w:rFonts w:ascii="Symbol" w:hAnsi="Symbol" w:hint="default"/>
      </w:rPr>
    </w:lvl>
    <w:lvl w:ilvl="7" w:tplc="CC2EA80E" w:tentative="1">
      <w:start w:val="1"/>
      <w:numFmt w:val="bullet"/>
      <w:lvlText w:val="o"/>
      <w:lvlJc w:val="left"/>
      <w:pPr>
        <w:ind w:left="6990" w:hanging="360"/>
      </w:pPr>
      <w:rPr>
        <w:rFonts w:ascii="Courier New" w:hAnsi="Courier New" w:cs="Courier New" w:hint="default"/>
      </w:rPr>
    </w:lvl>
    <w:lvl w:ilvl="8" w:tplc="A58C68C4" w:tentative="1">
      <w:start w:val="1"/>
      <w:numFmt w:val="bullet"/>
      <w:lvlText w:val=""/>
      <w:lvlJc w:val="left"/>
      <w:pPr>
        <w:ind w:left="7710" w:hanging="360"/>
      </w:pPr>
      <w:rPr>
        <w:rFonts w:ascii="Wingdings" w:hAnsi="Wingdings" w:hint="default"/>
      </w:rPr>
    </w:lvl>
  </w:abstractNum>
  <w:abstractNum w:abstractNumId="29" w15:restartNumberingAfterBreak="0">
    <w:nsid w:val="520E2E78"/>
    <w:multiLevelType w:val="multilevel"/>
    <w:tmpl w:val="C0CE1E54"/>
    <w:styleLink w:val="Addendum"/>
    <w:lvl w:ilvl="0">
      <w:start w:val="1"/>
      <w:numFmt w:val="upperLetter"/>
      <w:lvlText w:val="Appendix %1. "/>
      <w:lvlJc w:val="left"/>
      <w:pPr>
        <w:ind w:left="2268" w:hanging="2268"/>
      </w:pPr>
      <w:rPr>
        <w:rFonts w:ascii="Rift Soft" w:hAnsi="Rift Soft"/>
        <w:color w:val="053572" w:themeColor="text2"/>
        <w:sz w:val="36"/>
      </w:rPr>
    </w:lvl>
    <w:lvl w:ilvl="1">
      <w:start w:val="1"/>
      <w:numFmt w:val="upperRoman"/>
      <w:lvlText w:val="Appendix %1-%2."/>
      <w:lvlJc w:val="left"/>
      <w:pPr>
        <w:ind w:left="2268" w:hanging="2268"/>
      </w:pPr>
      <w:rPr>
        <w:rFonts w:ascii="Rift Soft" w:hAnsi="Rift Soft" w:hint="default"/>
        <w:color w:val="1FA9E1" w:themeColor="accent3"/>
        <w:sz w:val="36"/>
      </w:rPr>
    </w:lvl>
    <w:lvl w:ilvl="2">
      <w:start w:val="1"/>
      <w:numFmt w:val="upperRoman"/>
      <w:lvlText w:val="Appendix %1-%2.%3."/>
      <w:lvlJc w:val="left"/>
      <w:pPr>
        <w:ind w:left="2268" w:hanging="2268"/>
      </w:pPr>
      <w:rPr>
        <w:rFonts w:ascii="Rift Soft" w:hAnsi="Rift Soft" w:hint="default"/>
        <w:color w:val="4A4D56" w:themeColor="text1"/>
        <w:sz w:val="32"/>
      </w:rPr>
    </w:lvl>
    <w:lvl w:ilvl="3">
      <w:start w:val="1"/>
      <w:numFmt w:val="decimal"/>
      <w:lvlText w:val="%4."/>
      <w:lvlJc w:val="left"/>
      <w:pPr>
        <w:ind w:left="2268" w:hanging="2268"/>
      </w:pPr>
      <w:rPr>
        <w:rFonts w:hint="default"/>
      </w:rPr>
    </w:lvl>
    <w:lvl w:ilvl="4">
      <w:start w:val="1"/>
      <w:numFmt w:val="lowerLetter"/>
      <w:lvlText w:val="%5."/>
      <w:lvlJc w:val="left"/>
      <w:pPr>
        <w:ind w:left="2268" w:hanging="2268"/>
      </w:pPr>
      <w:rPr>
        <w:rFonts w:hint="default"/>
      </w:rPr>
    </w:lvl>
    <w:lvl w:ilvl="5">
      <w:start w:val="1"/>
      <w:numFmt w:val="lowerRoman"/>
      <w:lvlText w:val="%6."/>
      <w:lvlJc w:val="right"/>
      <w:pPr>
        <w:ind w:left="2268" w:hanging="2268"/>
      </w:pPr>
      <w:rPr>
        <w:rFonts w:hint="default"/>
      </w:rPr>
    </w:lvl>
    <w:lvl w:ilvl="6">
      <w:start w:val="1"/>
      <w:numFmt w:val="decimal"/>
      <w:lvlText w:val="%7."/>
      <w:lvlJc w:val="left"/>
      <w:pPr>
        <w:ind w:left="2268" w:hanging="2268"/>
      </w:pPr>
      <w:rPr>
        <w:rFonts w:hint="default"/>
      </w:rPr>
    </w:lvl>
    <w:lvl w:ilvl="7">
      <w:start w:val="1"/>
      <w:numFmt w:val="lowerLetter"/>
      <w:lvlText w:val="%8."/>
      <w:lvlJc w:val="left"/>
      <w:pPr>
        <w:ind w:left="2268" w:hanging="2268"/>
      </w:pPr>
      <w:rPr>
        <w:rFonts w:hint="default"/>
      </w:rPr>
    </w:lvl>
    <w:lvl w:ilvl="8">
      <w:start w:val="1"/>
      <w:numFmt w:val="lowerRoman"/>
      <w:lvlText w:val="%9."/>
      <w:lvlJc w:val="right"/>
      <w:pPr>
        <w:ind w:left="2268" w:hanging="2268"/>
      </w:pPr>
      <w:rPr>
        <w:rFonts w:hint="default"/>
      </w:rPr>
    </w:lvl>
  </w:abstractNum>
  <w:abstractNum w:abstractNumId="30" w15:restartNumberingAfterBreak="0">
    <w:nsid w:val="55753AE2"/>
    <w:multiLevelType w:val="hybridMultilevel"/>
    <w:tmpl w:val="7A800A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012C9A"/>
    <w:multiLevelType w:val="hybridMultilevel"/>
    <w:tmpl w:val="76865D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9130D8"/>
    <w:multiLevelType w:val="hybridMultilevel"/>
    <w:tmpl w:val="F98E735C"/>
    <w:lvl w:ilvl="0" w:tplc="FB2C72E8">
      <w:start w:val="1"/>
      <w:numFmt w:val="bullet"/>
      <w:lvlText w:val=""/>
      <w:lvlJc w:val="left"/>
      <w:pPr>
        <w:tabs>
          <w:tab w:val="num" w:pos="720"/>
        </w:tabs>
        <w:ind w:left="720" w:hanging="360"/>
      </w:pPr>
      <w:rPr>
        <w:rFonts w:ascii="Wingdings" w:hAnsi="Wingdings" w:hint="default"/>
      </w:rPr>
    </w:lvl>
    <w:lvl w:ilvl="1" w:tplc="C2BC3316" w:tentative="1">
      <w:start w:val="1"/>
      <w:numFmt w:val="bullet"/>
      <w:lvlText w:val=""/>
      <w:lvlJc w:val="left"/>
      <w:pPr>
        <w:tabs>
          <w:tab w:val="num" w:pos="1440"/>
        </w:tabs>
        <w:ind w:left="1440" w:hanging="360"/>
      </w:pPr>
      <w:rPr>
        <w:rFonts w:ascii="Wingdings" w:hAnsi="Wingdings" w:hint="default"/>
      </w:rPr>
    </w:lvl>
    <w:lvl w:ilvl="2" w:tplc="217025B0" w:tentative="1">
      <w:start w:val="1"/>
      <w:numFmt w:val="bullet"/>
      <w:lvlText w:val=""/>
      <w:lvlJc w:val="left"/>
      <w:pPr>
        <w:tabs>
          <w:tab w:val="num" w:pos="2160"/>
        </w:tabs>
        <w:ind w:left="2160" w:hanging="360"/>
      </w:pPr>
      <w:rPr>
        <w:rFonts w:ascii="Wingdings" w:hAnsi="Wingdings" w:hint="default"/>
      </w:rPr>
    </w:lvl>
    <w:lvl w:ilvl="3" w:tplc="3E3025E0" w:tentative="1">
      <w:start w:val="1"/>
      <w:numFmt w:val="bullet"/>
      <w:lvlText w:val=""/>
      <w:lvlJc w:val="left"/>
      <w:pPr>
        <w:tabs>
          <w:tab w:val="num" w:pos="2880"/>
        </w:tabs>
        <w:ind w:left="2880" w:hanging="360"/>
      </w:pPr>
      <w:rPr>
        <w:rFonts w:ascii="Wingdings" w:hAnsi="Wingdings" w:hint="default"/>
      </w:rPr>
    </w:lvl>
    <w:lvl w:ilvl="4" w:tplc="6240BF40" w:tentative="1">
      <w:start w:val="1"/>
      <w:numFmt w:val="bullet"/>
      <w:lvlText w:val=""/>
      <w:lvlJc w:val="left"/>
      <w:pPr>
        <w:tabs>
          <w:tab w:val="num" w:pos="3600"/>
        </w:tabs>
        <w:ind w:left="3600" w:hanging="360"/>
      </w:pPr>
      <w:rPr>
        <w:rFonts w:ascii="Wingdings" w:hAnsi="Wingdings" w:hint="default"/>
      </w:rPr>
    </w:lvl>
    <w:lvl w:ilvl="5" w:tplc="A28A1DCE" w:tentative="1">
      <w:start w:val="1"/>
      <w:numFmt w:val="bullet"/>
      <w:lvlText w:val=""/>
      <w:lvlJc w:val="left"/>
      <w:pPr>
        <w:tabs>
          <w:tab w:val="num" w:pos="4320"/>
        </w:tabs>
        <w:ind w:left="4320" w:hanging="360"/>
      </w:pPr>
      <w:rPr>
        <w:rFonts w:ascii="Wingdings" w:hAnsi="Wingdings" w:hint="default"/>
      </w:rPr>
    </w:lvl>
    <w:lvl w:ilvl="6" w:tplc="DC7C1584" w:tentative="1">
      <w:start w:val="1"/>
      <w:numFmt w:val="bullet"/>
      <w:lvlText w:val=""/>
      <w:lvlJc w:val="left"/>
      <w:pPr>
        <w:tabs>
          <w:tab w:val="num" w:pos="5040"/>
        </w:tabs>
        <w:ind w:left="5040" w:hanging="360"/>
      </w:pPr>
      <w:rPr>
        <w:rFonts w:ascii="Wingdings" w:hAnsi="Wingdings" w:hint="default"/>
      </w:rPr>
    </w:lvl>
    <w:lvl w:ilvl="7" w:tplc="BF62B8F2" w:tentative="1">
      <w:start w:val="1"/>
      <w:numFmt w:val="bullet"/>
      <w:lvlText w:val=""/>
      <w:lvlJc w:val="left"/>
      <w:pPr>
        <w:tabs>
          <w:tab w:val="num" w:pos="5760"/>
        </w:tabs>
        <w:ind w:left="5760" w:hanging="360"/>
      </w:pPr>
      <w:rPr>
        <w:rFonts w:ascii="Wingdings" w:hAnsi="Wingdings" w:hint="default"/>
      </w:rPr>
    </w:lvl>
    <w:lvl w:ilvl="8" w:tplc="98883176"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75D65CB"/>
    <w:multiLevelType w:val="multilevel"/>
    <w:tmpl w:val="359AAF8C"/>
    <w:styleLink w:val="ODXAPPENDIX"/>
    <w:lvl w:ilvl="0">
      <w:start w:val="1"/>
      <w:numFmt w:val="upperLetter"/>
      <w:lvlText w:val="APPENDIX %1 "/>
      <w:lvlJc w:val="left"/>
      <w:pPr>
        <w:ind w:left="360" w:hanging="360"/>
      </w:pPr>
      <w:rPr>
        <w:rFonts w:ascii="Rift Soft" w:hAnsi="Rift Soft" w:hint="default"/>
        <w:color w:val="053572" w:themeColor="text2"/>
        <w:sz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633B1067"/>
    <w:multiLevelType w:val="hybridMultilevel"/>
    <w:tmpl w:val="E1F64434"/>
    <w:lvl w:ilvl="0" w:tplc="B712B298">
      <w:start w:val="1"/>
      <w:numFmt w:val="decimal"/>
      <w:lvlText w:val="%1."/>
      <w:lvlJc w:val="left"/>
      <w:pPr>
        <w:ind w:left="720" w:hanging="360"/>
      </w:pPr>
      <w:rPr>
        <w:rFonts w:ascii="Franklin Gothic Medium" w:hAnsi="Franklin Gothic Medium" w:hint="default"/>
        <w:b w:val="0"/>
        <w:i w:val="0"/>
        <w:color w:val="4A4D56" w:themeColor="text1"/>
        <w:sz w:val="20"/>
        <w:u w:val="none" w:color="4A4D56"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4E5C8B"/>
    <w:multiLevelType w:val="multilevel"/>
    <w:tmpl w:val="6A22351C"/>
    <w:name w:val="Appendix Headings"/>
    <w:lvl w:ilvl="0">
      <w:start w:val="1"/>
      <w:numFmt w:val="upperLetter"/>
      <w:lvlText w:val="Appendix %1."/>
      <w:lvlJc w:val="left"/>
      <w:pPr>
        <w:ind w:left="360" w:hanging="360"/>
      </w:pPr>
      <w:rPr>
        <w:rFonts w:ascii="Rift Soft Medium" w:hAnsi="Rift Soft Medium" w:hint="default"/>
        <w:color w:val="053572" w:themeColor="text2"/>
        <w:sz w:val="44"/>
        <w:u w:color="FFFFFF" w:themeColor="background1"/>
      </w:rPr>
    </w:lvl>
    <w:lvl w:ilvl="1">
      <w:start w:val="1"/>
      <w:numFmt w:val="upperRoman"/>
      <w:lvlText w:val="Appendix %1-%2."/>
      <w:lvlJc w:val="left"/>
      <w:pPr>
        <w:ind w:left="2268" w:hanging="2268"/>
      </w:pPr>
    </w:lvl>
    <w:lvl w:ilvl="2">
      <w:start w:val="1"/>
      <w:numFmt w:val="upperRoman"/>
      <w:lvlText w:val="Appendix %1-%2.%3."/>
      <w:lvlJc w:val="left"/>
      <w:pPr>
        <w:ind w:left="2268" w:hanging="2268"/>
      </w:pPr>
    </w:lvl>
    <w:lvl w:ilvl="3">
      <w:start w:val="1"/>
      <w:numFmt w:val="decimal"/>
      <w:lvlText w:val="%4."/>
      <w:lvlJc w:val="left"/>
      <w:pPr>
        <w:ind w:left="2268" w:hanging="2268"/>
      </w:pPr>
      <w:rPr>
        <w:rFonts w:hint="default"/>
      </w:rPr>
    </w:lvl>
    <w:lvl w:ilvl="4">
      <w:start w:val="1"/>
      <w:numFmt w:val="lowerLetter"/>
      <w:lvlText w:val="%5."/>
      <w:lvlJc w:val="left"/>
      <w:pPr>
        <w:ind w:left="2268" w:hanging="2268"/>
      </w:pPr>
      <w:rPr>
        <w:rFonts w:hint="default"/>
      </w:rPr>
    </w:lvl>
    <w:lvl w:ilvl="5">
      <w:start w:val="1"/>
      <w:numFmt w:val="lowerRoman"/>
      <w:lvlText w:val="%6."/>
      <w:lvlJc w:val="right"/>
      <w:pPr>
        <w:ind w:left="2268" w:hanging="2268"/>
      </w:pPr>
      <w:rPr>
        <w:rFonts w:hint="default"/>
      </w:rPr>
    </w:lvl>
    <w:lvl w:ilvl="6">
      <w:start w:val="1"/>
      <w:numFmt w:val="decimal"/>
      <w:lvlText w:val="%7."/>
      <w:lvlJc w:val="left"/>
      <w:pPr>
        <w:ind w:left="2268" w:hanging="2268"/>
      </w:pPr>
      <w:rPr>
        <w:rFonts w:hint="default"/>
      </w:rPr>
    </w:lvl>
    <w:lvl w:ilvl="7">
      <w:start w:val="1"/>
      <w:numFmt w:val="lowerLetter"/>
      <w:lvlText w:val="%8."/>
      <w:lvlJc w:val="left"/>
      <w:pPr>
        <w:ind w:left="2268" w:hanging="2268"/>
      </w:pPr>
      <w:rPr>
        <w:rFonts w:hint="default"/>
      </w:rPr>
    </w:lvl>
    <w:lvl w:ilvl="8">
      <w:start w:val="1"/>
      <w:numFmt w:val="lowerRoman"/>
      <w:lvlText w:val="%9."/>
      <w:lvlJc w:val="right"/>
      <w:pPr>
        <w:ind w:left="2268" w:hanging="2268"/>
      </w:pPr>
      <w:rPr>
        <w:rFonts w:hint="default"/>
      </w:rPr>
    </w:lvl>
  </w:abstractNum>
  <w:abstractNum w:abstractNumId="36" w15:restartNumberingAfterBreak="0">
    <w:nsid w:val="748C67AC"/>
    <w:multiLevelType w:val="hybridMultilevel"/>
    <w:tmpl w:val="E2324D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9C6EF2"/>
    <w:multiLevelType w:val="hybridMultilevel"/>
    <w:tmpl w:val="C5A497C4"/>
    <w:lvl w:ilvl="0" w:tplc="E6A26C46">
      <w:start w:val="1"/>
      <w:numFmt w:val="upperLetter"/>
      <w:pStyle w:val="Alpha"/>
      <w:lvlText w:val="Appendix %1."/>
      <w:lvlJc w:val="left"/>
      <w:pPr>
        <w:ind w:left="360" w:hanging="360"/>
      </w:pPr>
      <w:rPr>
        <w:rFonts w:ascii="Rift Soft Medium" w:hAnsi="Rift Soft Medium" w:hint="default"/>
        <w:color w:val="053572" w:themeColor="text2"/>
        <w:sz w:val="44"/>
        <w:u w:color="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61206283">
    <w:abstractNumId w:val="0"/>
  </w:num>
  <w:num w:numId="2" w16cid:durableId="545600677">
    <w:abstractNumId w:val="1"/>
  </w:num>
  <w:num w:numId="3" w16cid:durableId="1299147011">
    <w:abstractNumId w:val="2"/>
  </w:num>
  <w:num w:numId="4" w16cid:durableId="1501771948">
    <w:abstractNumId w:val="3"/>
  </w:num>
  <w:num w:numId="5" w16cid:durableId="556820789">
    <w:abstractNumId w:val="4"/>
  </w:num>
  <w:num w:numId="6" w16cid:durableId="2095126736">
    <w:abstractNumId w:val="5"/>
  </w:num>
  <w:num w:numId="7" w16cid:durableId="1435440616">
    <w:abstractNumId w:val="6"/>
  </w:num>
  <w:num w:numId="8" w16cid:durableId="1899240670">
    <w:abstractNumId w:val="7"/>
  </w:num>
  <w:num w:numId="9" w16cid:durableId="1607806446">
    <w:abstractNumId w:val="8"/>
  </w:num>
  <w:num w:numId="10" w16cid:durableId="614562843">
    <w:abstractNumId w:val="9"/>
  </w:num>
  <w:num w:numId="11" w16cid:durableId="1790003988">
    <w:abstractNumId w:val="10"/>
  </w:num>
  <w:num w:numId="12" w16cid:durableId="699361803">
    <w:abstractNumId w:val="11"/>
  </w:num>
  <w:num w:numId="13" w16cid:durableId="1925264602">
    <w:abstractNumId w:val="12"/>
  </w:num>
  <w:num w:numId="14" w16cid:durableId="1804107596">
    <w:abstractNumId w:val="28"/>
  </w:num>
  <w:num w:numId="15" w16cid:durableId="1244608247">
    <w:abstractNumId w:val="33"/>
  </w:num>
  <w:num w:numId="16" w16cid:durableId="1371999592">
    <w:abstractNumId w:val="35"/>
  </w:num>
  <w:num w:numId="17" w16cid:durableId="149310839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57425416">
    <w:abstractNumId w:val="29"/>
  </w:num>
  <w:num w:numId="19" w16cid:durableId="677805838">
    <w:abstractNumId w:val="14"/>
  </w:num>
  <w:num w:numId="20" w16cid:durableId="808669919">
    <w:abstractNumId w:val="37"/>
  </w:num>
  <w:num w:numId="21" w16cid:durableId="2109305949">
    <w:abstractNumId w:val="34"/>
  </w:num>
  <w:num w:numId="22" w16cid:durableId="1691834459">
    <w:abstractNumId w:val="30"/>
  </w:num>
  <w:num w:numId="23" w16cid:durableId="1904900265">
    <w:abstractNumId w:val="21"/>
  </w:num>
  <w:num w:numId="24" w16cid:durableId="948045407">
    <w:abstractNumId w:val="19"/>
  </w:num>
  <w:num w:numId="25" w16cid:durableId="1463768062">
    <w:abstractNumId w:val="36"/>
  </w:num>
  <w:num w:numId="26" w16cid:durableId="1571958385">
    <w:abstractNumId w:val="31"/>
  </w:num>
  <w:num w:numId="27" w16cid:durableId="2092459538">
    <w:abstractNumId w:val="13"/>
  </w:num>
  <w:num w:numId="28" w16cid:durableId="555163626">
    <w:abstractNumId w:val="16"/>
  </w:num>
  <w:num w:numId="29" w16cid:durableId="362751610">
    <w:abstractNumId w:val="26"/>
  </w:num>
  <w:num w:numId="30" w16cid:durableId="357703685">
    <w:abstractNumId w:val="18"/>
  </w:num>
  <w:num w:numId="31" w16cid:durableId="1158230740">
    <w:abstractNumId w:val="24"/>
  </w:num>
  <w:num w:numId="32" w16cid:durableId="2137481897">
    <w:abstractNumId w:val="22"/>
  </w:num>
  <w:num w:numId="33" w16cid:durableId="113401849">
    <w:abstractNumId w:val="15"/>
  </w:num>
  <w:num w:numId="34" w16cid:durableId="516428741">
    <w:abstractNumId w:val="20"/>
  </w:num>
  <w:num w:numId="35" w16cid:durableId="504056752">
    <w:abstractNumId w:val="17"/>
  </w:num>
  <w:num w:numId="36" w16cid:durableId="1695031969">
    <w:abstractNumId w:val="25"/>
  </w:num>
  <w:num w:numId="37" w16cid:durableId="1702432871">
    <w:abstractNumId w:val="32"/>
  </w:num>
  <w:num w:numId="38" w16cid:durableId="1216939143">
    <w:abstractNumId w:val="23"/>
  </w:num>
  <w:num w:numId="39" w16cid:durableId="872229905">
    <w:abstractNumId w:val="2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YyMTU3NDAxNzW1NDVX0lEKTi0uzszPAymwqAUASZQ//ywAAAA="/>
  </w:docVars>
  <w:rsids>
    <w:rsidRoot w:val="00BE4DAA"/>
    <w:rsid w:val="00002523"/>
    <w:rsid w:val="0000529D"/>
    <w:rsid w:val="00005A2C"/>
    <w:rsid w:val="00013382"/>
    <w:rsid w:val="000253C3"/>
    <w:rsid w:val="00026697"/>
    <w:rsid w:val="000274B9"/>
    <w:rsid w:val="000275DC"/>
    <w:rsid w:val="000317D8"/>
    <w:rsid w:val="00032EC9"/>
    <w:rsid w:val="00032EE9"/>
    <w:rsid w:val="000413E8"/>
    <w:rsid w:val="00041AA5"/>
    <w:rsid w:val="0004268F"/>
    <w:rsid w:val="00043AA9"/>
    <w:rsid w:val="00046703"/>
    <w:rsid w:val="00047028"/>
    <w:rsid w:val="00050F40"/>
    <w:rsid w:val="00055DEE"/>
    <w:rsid w:val="00056EC6"/>
    <w:rsid w:val="0006058A"/>
    <w:rsid w:val="00060CAB"/>
    <w:rsid w:val="00063CE3"/>
    <w:rsid w:val="000661CF"/>
    <w:rsid w:val="00066A59"/>
    <w:rsid w:val="000671C2"/>
    <w:rsid w:val="00070075"/>
    <w:rsid w:val="000727B5"/>
    <w:rsid w:val="00073733"/>
    <w:rsid w:val="00075DAF"/>
    <w:rsid w:val="000763D1"/>
    <w:rsid w:val="00087DD7"/>
    <w:rsid w:val="00091564"/>
    <w:rsid w:val="00092E51"/>
    <w:rsid w:val="00092F32"/>
    <w:rsid w:val="00094C1E"/>
    <w:rsid w:val="000A0C88"/>
    <w:rsid w:val="000A107D"/>
    <w:rsid w:val="000A7D7C"/>
    <w:rsid w:val="000B2B93"/>
    <w:rsid w:val="000B582B"/>
    <w:rsid w:val="000C1BB0"/>
    <w:rsid w:val="000C2EF9"/>
    <w:rsid w:val="000C5295"/>
    <w:rsid w:val="000C7ABF"/>
    <w:rsid w:val="000D412B"/>
    <w:rsid w:val="000D573F"/>
    <w:rsid w:val="000E0419"/>
    <w:rsid w:val="000E0ECE"/>
    <w:rsid w:val="000E40E5"/>
    <w:rsid w:val="000E5295"/>
    <w:rsid w:val="000E5B05"/>
    <w:rsid w:val="000E7275"/>
    <w:rsid w:val="000F2C3E"/>
    <w:rsid w:val="000F5311"/>
    <w:rsid w:val="00101055"/>
    <w:rsid w:val="001045FD"/>
    <w:rsid w:val="00105940"/>
    <w:rsid w:val="0010756A"/>
    <w:rsid w:val="001127AD"/>
    <w:rsid w:val="00115EF8"/>
    <w:rsid w:val="001322EA"/>
    <w:rsid w:val="00134A5A"/>
    <w:rsid w:val="00134ABC"/>
    <w:rsid w:val="0013593F"/>
    <w:rsid w:val="00140451"/>
    <w:rsid w:val="00143669"/>
    <w:rsid w:val="00144B1E"/>
    <w:rsid w:val="0014755C"/>
    <w:rsid w:val="00150B28"/>
    <w:rsid w:val="001523C8"/>
    <w:rsid w:val="00153DBC"/>
    <w:rsid w:val="00155088"/>
    <w:rsid w:val="001555A0"/>
    <w:rsid w:val="00155875"/>
    <w:rsid w:val="001561A1"/>
    <w:rsid w:val="00157AE7"/>
    <w:rsid w:val="00157D54"/>
    <w:rsid w:val="0016138F"/>
    <w:rsid w:val="00162D26"/>
    <w:rsid w:val="00162DDB"/>
    <w:rsid w:val="00163379"/>
    <w:rsid w:val="00163B14"/>
    <w:rsid w:val="00171C84"/>
    <w:rsid w:val="00172B87"/>
    <w:rsid w:val="001754EE"/>
    <w:rsid w:val="00177788"/>
    <w:rsid w:val="00181175"/>
    <w:rsid w:val="001828E6"/>
    <w:rsid w:val="0018518A"/>
    <w:rsid w:val="00190CB1"/>
    <w:rsid w:val="00191389"/>
    <w:rsid w:val="001914EE"/>
    <w:rsid w:val="00192B0B"/>
    <w:rsid w:val="00193142"/>
    <w:rsid w:val="00196B74"/>
    <w:rsid w:val="00196D76"/>
    <w:rsid w:val="001A3A9D"/>
    <w:rsid w:val="001A55F8"/>
    <w:rsid w:val="001A64AC"/>
    <w:rsid w:val="001B040B"/>
    <w:rsid w:val="001B0447"/>
    <w:rsid w:val="001B2FF4"/>
    <w:rsid w:val="001B5F04"/>
    <w:rsid w:val="001C0C9D"/>
    <w:rsid w:val="001C223C"/>
    <w:rsid w:val="001C32D6"/>
    <w:rsid w:val="001C4ACA"/>
    <w:rsid w:val="001C6ADA"/>
    <w:rsid w:val="001C7FB1"/>
    <w:rsid w:val="001D5B3C"/>
    <w:rsid w:val="001D705E"/>
    <w:rsid w:val="001E0E4B"/>
    <w:rsid w:val="001E2CD5"/>
    <w:rsid w:val="001E2E64"/>
    <w:rsid w:val="001E5D47"/>
    <w:rsid w:val="001F1009"/>
    <w:rsid w:val="001F322C"/>
    <w:rsid w:val="001F4D82"/>
    <w:rsid w:val="001F57F8"/>
    <w:rsid w:val="0020341A"/>
    <w:rsid w:val="002051EB"/>
    <w:rsid w:val="00205DFD"/>
    <w:rsid w:val="00207066"/>
    <w:rsid w:val="002105D8"/>
    <w:rsid w:val="002114D1"/>
    <w:rsid w:val="002139E5"/>
    <w:rsid w:val="0021540D"/>
    <w:rsid w:val="002258A8"/>
    <w:rsid w:val="00226A8F"/>
    <w:rsid w:val="00231944"/>
    <w:rsid w:val="00232116"/>
    <w:rsid w:val="0023260F"/>
    <w:rsid w:val="00234272"/>
    <w:rsid w:val="00236E32"/>
    <w:rsid w:val="00240539"/>
    <w:rsid w:val="00241E2C"/>
    <w:rsid w:val="002432B7"/>
    <w:rsid w:val="00250940"/>
    <w:rsid w:val="00251745"/>
    <w:rsid w:val="00251D86"/>
    <w:rsid w:val="002560C4"/>
    <w:rsid w:val="00257676"/>
    <w:rsid w:val="00267358"/>
    <w:rsid w:val="002711CA"/>
    <w:rsid w:val="00272A4F"/>
    <w:rsid w:val="002749C2"/>
    <w:rsid w:val="002756D6"/>
    <w:rsid w:val="00275A0B"/>
    <w:rsid w:val="00276F0A"/>
    <w:rsid w:val="00280FA1"/>
    <w:rsid w:val="002861F1"/>
    <w:rsid w:val="00287BC8"/>
    <w:rsid w:val="00294548"/>
    <w:rsid w:val="002A204E"/>
    <w:rsid w:val="002A35C7"/>
    <w:rsid w:val="002A42BB"/>
    <w:rsid w:val="002A6F67"/>
    <w:rsid w:val="002A7C18"/>
    <w:rsid w:val="002A7ED1"/>
    <w:rsid w:val="002B08F1"/>
    <w:rsid w:val="002B3CAA"/>
    <w:rsid w:val="002B4AC4"/>
    <w:rsid w:val="002B512D"/>
    <w:rsid w:val="002B5D61"/>
    <w:rsid w:val="002C1FF1"/>
    <w:rsid w:val="002C2979"/>
    <w:rsid w:val="002C3A5E"/>
    <w:rsid w:val="002C3E2B"/>
    <w:rsid w:val="002C64EA"/>
    <w:rsid w:val="002C73E1"/>
    <w:rsid w:val="002C7485"/>
    <w:rsid w:val="002D3FF2"/>
    <w:rsid w:val="002E0F75"/>
    <w:rsid w:val="002E20E6"/>
    <w:rsid w:val="002E2AB7"/>
    <w:rsid w:val="002F032E"/>
    <w:rsid w:val="002F2D3F"/>
    <w:rsid w:val="002F34AB"/>
    <w:rsid w:val="002F36CE"/>
    <w:rsid w:val="002F392D"/>
    <w:rsid w:val="00303403"/>
    <w:rsid w:val="003040C2"/>
    <w:rsid w:val="0030413D"/>
    <w:rsid w:val="00304235"/>
    <w:rsid w:val="0030657A"/>
    <w:rsid w:val="00316B19"/>
    <w:rsid w:val="003308B0"/>
    <w:rsid w:val="00330FB7"/>
    <w:rsid w:val="003315C4"/>
    <w:rsid w:val="00334C4E"/>
    <w:rsid w:val="00342C79"/>
    <w:rsid w:val="00344C23"/>
    <w:rsid w:val="00344C36"/>
    <w:rsid w:val="00346B40"/>
    <w:rsid w:val="00346EF5"/>
    <w:rsid w:val="00347377"/>
    <w:rsid w:val="00350D98"/>
    <w:rsid w:val="00351734"/>
    <w:rsid w:val="00352FE7"/>
    <w:rsid w:val="00353C74"/>
    <w:rsid w:val="00356A1E"/>
    <w:rsid w:val="003620D8"/>
    <w:rsid w:val="00363CB8"/>
    <w:rsid w:val="00364EE9"/>
    <w:rsid w:val="00365607"/>
    <w:rsid w:val="00365F48"/>
    <w:rsid w:val="00370E87"/>
    <w:rsid w:val="0037262C"/>
    <w:rsid w:val="00375C66"/>
    <w:rsid w:val="00376D43"/>
    <w:rsid w:val="0037704A"/>
    <w:rsid w:val="00377137"/>
    <w:rsid w:val="00390DA7"/>
    <w:rsid w:val="003914C6"/>
    <w:rsid w:val="00392143"/>
    <w:rsid w:val="0039794E"/>
    <w:rsid w:val="003A084A"/>
    <w:rsid w:val="003A1CFD"/>
    <w:rsid w:val="003A3404"/>
    <w:rsid w:val="003A55E8"/>
    <w:rsid w:val="003A6058"/>
    <w:rsid w:val="003A630A"/>
    <w:rsid w:val="003B5016"/>
    <w:rsid w:val="003B615C"/>
    <w:rsid w:val="003C4811"/>
    <w:rsid w:val="003D1C9A"/>
    <w:rsid w:val="003D389F"/>
    <w:rsid w:val="003D4879"/>
    <w:rsid w:val="003D5225"/>
    <w:rsid w:val="003D787B"/>
    <w:rsid w:val="003E5581"/>
    <w:rsid w:val="003F178C"/>
    <w:rsid w:val="003F45B2"/>
    <w:rsid w:val="00401EAD"/>
    <w:rsid w:val="004102AF"/>
    <w:rsid w:val="00415EA7"/>
    <w:rsid w:val="004168F5"/>
    <w:rsid w:val="004169F3"/>
    <w:rsid w:val="004233C9"/>
    <w:rsid w:val="00423A84"/>
    <w:rsid w:val="0042474F"/>
    <w:rsid w:val="00427D7A"/>
    <w:rsid w:val="004308BB"/>
    <w:rsid w:val="00431D61"/>
    <w:rsid w:val="00431DE2"/>
    <w:rsid w:val="00434F0D"/>
    <w:rsid w:val="00435180"/>
    <w:rsid w:val="0043589F"/>
    <w:rsid w:val="00437C42"/>
    <w:rsid w:val="00444781"/>
    <w:rsid w:val="0044544A"/>
    <w:rsid w:val="0044621D"/>
    <w:rsid w:val="004535DC"/>
    <w:rsid w:val="00455E81"/>
    <w:rsid w:val="004573DA"/>
    <w:rsid w:val="00463CEE"/>
    <w:rsid w:val="00464243"/>
    <w:rsid w:val="0046689E"/>
    <w:rsid w:val="00473485"/>
    <w:rsid w:val="00474444"/>
    <w:rsid w:val="00480FC3"/>
    <w:rsid w:val="00482A2F"/>
    <w:rsid w:val="00484152"/>
    <w:rsid w:val="00484562"/>
    <w:rsid w:val="004863AA"/>
    <w:rsid w:val="00490697"/>
    <w:rsid w:val="004915EF"/>
    <w:rsid w:val="00494799"/>
    <w:rsid w:val="00494E8A"/>
    <w:rsid w:val="004972E7"/>
    <w:rsid w:val="0049742A"/>
    <w:rsid w:val="004979D1"/>
    <w:rsid w:val="004A1874"/>
    <w:rsid w:val="004A3234"/>
    <w:rsid w:val="004A4F72"/>
    <w:rsid w:val="004B04E5"/>
    <w:rsid w:val="004B0E20"/>
    <w:rsid w:val="004B1D13"/>
    <w:rsid w:val="004B25D8"/>
    <w:rsid w:val="004B4F67"/>
    <w:rsid w:val="004C0C14"/>
    <w:rsid w:val="004C2184"/>
    <w:rsid w:val="004C38FD"/>
    <w:rsid w:val="004C3D4A"/>
    <w:rsid w:val="004D5525"/>
    <w:rsid w:val="004D7F49"/>
    <w:rsid w:val="004E22E3"/>
    <w:rsid w:val="004E232C"/>
    <w:rsid w:val="004E3FFE"/>
    <w:rsid w:val="004F10E0"/>
    <w:rsid w:val="004F2876"/>
    <w:rsid w:val="004F368B"/>
    <w:rsid w:val="004F51F5"/>
    <w:rsid w:val="004F7A67"/>
    <w:rsid w:val="004F7FA8"/>
    <w:rsid w:val="00503497"/>
    <w:rsid w:val="00503B5A"/>
    <w:rsid w:val="0050699F"/>
    <w:rsid w:val="00511D8A"/>
    <w:rsid w:val="00513971"/>
    <w:rsid w:val="00513F8B"/>
    <w:rsid w:val="00514CC0"/>
    <w:rsid w:val="0051634D"/>
    <w:rsid w:val="005210B0"/>
    <w:rsid w:val="00521506"/>
    <w:rsid w:val="00526CF2"/>
    <w:rsid w:val="005315C4"/>
    <w:rsid w:val="00531799"/>
    <w:rsid w:val="005317BA"/>
    <w:rsid w:val="005318D9"/>
    <w:rsid w:val="005319B2"/>
    <w:rsid w:val="00531B1A"/>
    <w:rsid w:val="00531DE7"/>
    <w:rsid w:val="00532A15"/>
    <w:rsid w:val="005350F7"/>
    <w:rsid w:val="00540D33"/>
    <w:rsid w:val="0054278D"/>
    <w:rsid w:val="0054466C"/>
    <w:rsid w:val="00545F6A"/>
    <w:rsid w:val="00550BC7"/>
    <w:rsid w:val="00554CC9"/>
    <w:rsid w:val="00556B05"/>
    <w:rsid w:val="00556D7B"/>
    <w:rsid w:val="00557294"/>
    <w:rsid w:val="00557957"/>
    <w:rsid w:val="005619BE"/>
    <w:rsid w:val="00562147"/>
    <w:rsid w:val="00562306"/>
    <w:rsid w:val="005643BD"/>
    <w:rsid w:val="00564CE7"/>
    <w:rsid w:val="005676FF"/>
    <w:rsid w:val="005709EF"/>
    <w:rsid w:val="00570E5A"/>
    <w:rsid w:val="00572CBA"/>
    <w:rsid w:val="00573FDE"/>
    <w:rsid w:val="005760C1"/>
    <w:rsid w:val="00576403"/>
    <w:rsid w:val="005776D9"/>
    <w:rsid w:val="00586954"/>
    <w:rsid w:val="005877F6"/>
    <w:rsid w:val="00595906"/>
    <w:rsid w:val="00597440"/>
    <w:rsid w:val="005A28F5"/>
    <w:rsid w:val="005A43F4"/>
    <w:rsid w:val="005A64B8"/>
    <w:rsid w:val="005B34B8"/>
    <w:rsid w:val="005B7AEF"/>
    <w:rsid w:val="005C7089"/>
    <w:rsid w:val="005C754B"/>
    <w:rsid w:val="005D154D"/>
    <w:rsid w:val="005D2568"/>
    <w:rsid w:val="005D34EA"/>
    <w:rsid w:val="005D6054"/>
    <w:rsid w:val="005E423D"/>
    <w:rsid w:val="005E76F9"/>
    <w:rsid w:val="005F2044"/>
    <w:rsid w:val="005F3C73"/>
    <w:rsid w:val="005F6832"/>
    <w:rsid w:val="005F769A"/>
    <w:rsid w:val="0060003F"/>
    <w:rsid w:val="006069C4"/>
    <w:rsid w:val="00612021"/>
    <w:rsid w:val="00613C82"/>
    <w:rsid w:val="0061481A"/>
    <w:rsid w:val="00614FF7"/>
    <w:rsid w:val="0061591B"/>
    <w:rsid w:val="00617249"/>
    <w:rsid w:val="00621AAD"/>
    <w:rsid w:val="0062693B"/>
    <w:rsid w:val="006306B7"/>
    <w:rsid w:val="0063566D"/>
    <w:rsid w:val="0063604E"/>
    <w:rsid w:val="00636BE1"/>
    <w:rsid w:val="00641AF9"/>
    <w:rsid w:val="00643A7C"/>
    <w:rsid w:val="00645611"/>
    <w:rsid w:val="006522CD"/>
    <w:rsid w:val="00652535"/>
    <w:rsid w:val="00655470"/>
    <w:rsid w:val="006573A2"/>
    <w:rsid w:val="00660CEF"/>
    <w:rsid w:val="0066297A"/>
    <w:rsid w:val="00665AF2"/>
    <w:rsid w:val="00667783"/>
    <w:rsid w:val="0067044D"/>
    <w:rsid w:val="0067526C"/>
    <w:rsid w:val="0067544F"/>
    <w:rsid w:val="00676E55"/>
    <w:rsid w:val="0068154D"/>
    <w:rsid w:val="006827F5"/>
    <w:rsid w:val="0068471A"/>
    <w:rsid w:val="00684AA9"/>
    <w:rsid w:val="00684E66"/>
    <w:rsid w:val="00685354"/>
    <w:rsid w:val="006907E1"/>
    <w:rsid w:val="00691720"/>
    <w:rsid w:val="006923AB"/>
    <w:rsid w:val="006932E2"/>
    <w:rsid w:val="006A029A"/>
    <w:rsid w:val="006A2679"/>
    <w:rsid w:val="006A7E31"/>
    <w:rsid w:val="006B2076"/>
    <w:rsid w:val="006B2FA7"/>
    <w:rsid w:val="006B3567"/>
    <w:rsid w:val="006C39D8"/>
    <w:rsid w:val="006C3C47"/>
    <w:rsid w:val="006D00D6"/>
    <w:rsid w:val="006D731A"/>
    <w:rsid w:val="006D79B5"/>
    <w:rsid w:val="006E68B0"/>
    <w:rsid w:val="00701716"/>
    <w:rsid w:val="0070291B"/>
    <w:rsid w:val="0070302C"/>
    <w:rsid w:val="00713E5D"/>
    <w:rsid w:val="00715636"/>
    <w:rsid w:val="007221DB"/>
    <w:rsid w:val="00725A3A"/>
    <w:rsid w:val="00734669"/>
    <w:rsid w:val="007364E5"/>
    <w:rsid w:val="007367FC"/>
    <w:rsid w:val="00746722"/>
    <w:rsid w:val="007515D6"/>
    <w:rsid w:val="007535FC"/>
    <w:rsid w:val="0075721C"/>
    <w:rsid w:val="00760310"/>
    <w:rsid w:val="0076102F"/>
    <w:rsid w:val="00763818"/>
    <w:rsid w:val="007667F7"/>
    <w:rsid w:val="00767E6C"/>
    <w:rsid w:val="00772144"/>
    <w:rsid w:val="00775014"/>
    <w:rsid w:val="00777D26"/>
    <w:rsid w:val="00783039"/>
    <w:rsid w:val="00783FBF"/>
    <w:rsid w:val="00784638"/>
    <w:rsid w:val="00786A5A"/>
    <w:rsid w:val="00792C4E"/>
    <w:rsid w:val="00795B35"/>
    <w:rsid w:val="007A33CA"/>
    <w:rsid w:val="007A663D"/>
    <w:rsid w:val="007A7C8B"/>
    <w:rsid w:val="007B5DEB"/>
    <w:rsid w:val="007B6DF3"/>
    <w:rsid w:val="007C0380"/>
    <w:rsid w:val="007C0631"/>
    <w:rsid w:val="007C49E0"/>
    <w:rsid w:val="007C5AA1"/>
    <w:rsid w:val="007C6166"/>
    <w:rsid w:val="007C67E3"/>
    <w:rsid w:val="007D2B7F"/>
    <w:rsid w:val="007D5C4B"/>
    <w:rsid w:val="007E11C6"/>
    <w:rsid w:val="007E403E"/>
    <w:rsid w:val="007E4CD6"/>
    <w:rsid w:val="007E54AE"/>
    <w:rsid w:val="007F17FB"/>
    <w:rsid w:val="007F2779"/>
    <w:rsid w:val="007F4425"/>
    <w:rsid w:val="00800BCD"/>
    <w:rsid w:val="0080139E"/>
    <w:rsid w:val="00801860"/>
    <w:rsid w:val="00801F31"/>
    <w:rsid w:val="00802ED2"/>
    <w:rsid w:val="0080549D"/>
    <w:rsid w:val="00806037"/>
    <w:rsid w:val="008072F6"/>
    <w:rsid w:val="00807B27"/>
    <w:rsid w:val="00813763"/>
    <w:rsid w:val="00815F70"/>
    <w:rsid w:val="00817213"/>
    <w:rsid w:val="008227FD"/>
    <w:rsid w:val="00830AB3"/>
    <w:rsid w:val="00832C8D"/>
    <w:rsid w:val="00832D7C"/>
    <w:rsid w:val="008428CB"/>
    <w:rsid w:val="00847C7F"/>
    <w:rsid w:val="008523D5"/>
    <w:rsid w:val="00854C86"/>
    <w:rsid w:val="00854F98"/>
    <w:rsid w:val="0086110E"/>
    <w:rsid w:val="0086246E"/>
    <w:rsid w:val="00862AE1"/>
    <w:rsid w:val="00862AF0"/>
    <w:rsid w:val="008632F0"/>
    <w:rsid w:val="008658F6"/>
    <w:rsid w:val="00865F16"/>
    <w:rsid w:val="00866313"/>
    <w:rsid w:val="00866E68"/>
    <w:rsid w:val="00867D20"/>
    <w:rsid w:val="00880C83"/>
    <w:rsid w:val="00883750"/>
    <w:rsid w:val="00885135"/>
    <w:rsid w:val="00887695"/>
    <w:rsid w:val="0089000B"/>
    <w:rsid w:val="00894D33"/>
    <w:rsid w:val="00897F94"/>
    <w:rsid w:val="008A22F6"/>
    <w:rsid w:val="008A4B78"/>
    <w:rsid w:val="008A4F17"/>
    <w:rsid w:val="008A5DEF"/>
    <w:rsid w:val="008A646E"/>
    <w:rsid w:val="008A64AD"/>
    <w:rsid w:val="008B2F0D"/>
    <w:rsid w:val="008B407C"/>
    <w:rsid w:val="008B776D"/>
    <w:rsid w:val="008B7A3D"/>
    <w:rsid w:val="008C1FBE"/>
    <w:rsid w:val="008C2A2F"/>
    <w:rsid w:val="008C47B1"/>
    <w:rsid w:val="008C59B7"/>
    <w:rsid w:val="008D0832"/>
    <w:rsid w:val="008D37DE"/>
    <w:rsid w:val="008E12F6"/>
    <w:rsid w:val="008E3838"/>
    <w:rsid w:val="008E69DE"/>
    <w:rsid w:val="008E7CD3"/>
    <w:rsid w:val="008F0909"/>
    <w:rsid w:val="0090134B"/>
    <w:rsid w:val="009048DF"/>
    <w:rsid w:val="00904EE9"/>
    <w:rsid w:val="009105B7"/>
    <w:rsid w:val="009105DB"/>
    <w:rsid w:val="00912E7C"/>
    <w:rsid w:val="009143C2"/>
    <w:rsid w:val="00917FF8"/>
    <w:rsid w:val="00922D07"/>
    <w:rsid w:val="009236A2"/>
    <w:rsid w:val="0092522D"/>
    <w:rsid w:val="00931033"/>
    <w:rsid w:val="009400F2"/>
    <w:rsid w:val="00940169"/>
    <w:rsid w:val="0094395E"/>
    <w:rsid w:val="00945115"/>
    <w:rsid w:val="00946F8C"/>
    <w:rsid w:val="00947C13"/>
    <w:rsid w:val="00953796"/>
    <w:rsid w:val="00954082"/>
    <w:rsid w:val="00954350"/>
    <w:rsid w:val="0096021C"/>
    <w:rsid w:val="009619B0"/>
    <w:rsid w:val="00962988"/>
    <w:rsid w:val="00963E2E"/>
    <w:rsid w:val="00964951"/>
    <w:rsid w:val="00965E68"/>
    <w:rsid w:val="00967881"/>
    <w:rsid w:val="00974D07"/>
    <w:rsid w:val="009753EA"/>
    <w:rsid w:val="00977348"/>
    <w:rsid w:val="009803B5"/>
    <w:rsid w:val="00980F9B"/>
    <w:rsid w:val="009812E8"/>
    <w:rsid w:val="00985305"/>
    <w:rsid w:val="00985BB4"/>
    <w:rsid w:val="009933E0"/>
    <w:rsid w:val="00993ADC"/>
    <w:rsid w:val="00994030"/>
    <w:rsid w:val="00994C0E"/>
    <w:rsid w:val="0099582B"/>
    <w:rsid w:val="009A083D"/>
    <w:rsid w:val="009A24AC"/>
    <w:rsid w:val="009A5C07"/>
    <w:rsid w:val="009A7B5F"/>
    <w:rsid w:val="009A7C9F"/>
    <w:rsid w:val="009B01B9"/>
    <w:rsid w:val="009B37AB"/>
    <w:rsid w:val="009C28B9"/>
    <w:rsid w:val="009C4E0A"/>
    <w:rsid w:val="009D7E59"/>
    <w:rsid w:val="009E0C30"/>
    <w:rsid w:val="009E5482"/>
    <w:rsid w:val="009E5DB3"/>
    <w:rsid w:val="009F360E"/>
    <w:rsid w:val="009F4BC0"/>
    <w:rsid w:val="00A1487D"/>
    <w:rsid w:val="00A14F20"/>
    <w:rsid w:val="00A15AF0"/>
    <w:rsid w:val="00A15B19"/>
    <w:rsid w:val="00A2056D"/>
    <w:rsid w:val="00A223B8"/>
    <w:rsid w:val="00A2260A"/>
    <w:rsid w:val="00A23C10"/>
    <w:rsid w:val="00A3283C"/>
    <w:rsid w:val="00A33424"/>
    <w:rsid w:val="00A37A81"/>
    <w:rsid w:val="00A406D2"/>
    <w:rsid w:val="00A40C3F"/>
    <w:rsid w:val="00A4257C"/>
    <w:rsid w:val="00A46573"/>
    <w:rsid w:val="00A46D2C"/>
    <w:rsid w:val="00A47554"/>
    <w:rsid w:val="00A53C8F"/>
    <w:rsid w:val="00A53E29"/>
    <w:rsid w:val="00A5705E"/>
    <w:rsid w:val="00A5790B"/>
    <w:rsid w:val="00A57F87"/>
    <w:rsid w:val="00A63589"/>
    <w:rsid w:val="00A669A6"/>
    <w:rsid w:val="00A67FC0"/>
    <w:rsid w:val="00A7034E"/>
    <w:rsid w:val="00A728BD"/>
    <w:rsid w:val="00A752A2"/>
    <w:rsid w:val="00A75EE1"/>
    <w:rsid w:val="00A80BAE"/>
    <w:rsid w:val="00A83289"/>
    <w:rsid w:val="00A83BC4"/>
    <w:rsid w:val="00A8439F"/>
    <w:rsid w:val="00A85B8D"/>
    <w:rsid w:val="00A875A1"/>
    <w:rsid w:val="00A95C32"/>
    <w:rsid w:val="00A96735"/>
    <w:rsid w:val="00A9780B"/>
    <w:rsid w:val="00AA0F6E"/>
    <w:rsid w:val="00AA2101"/>
    <w:rsid w:val="00AA5DA7"/>
    <w:rsid w:val="00AA7360"/>
    <w:rsid w:val="00AB26F9"/>
    <w:rsid w:val="00AB5038"/>
    <w:rsid w:val="00AB6149"/>
    <w:rsid w:val="00AB6A09"/>
    <w:rsid w:val="00AB6E58"/>
    <w:rsid w:val="00AB79BD"/>
    <w:rsid w:val="00AB7C6D"/>
    <w:rsid w:val="00AC1539"/>
    <w:rsid w:val="00AC29AB"/>
    <w:rsid w:val="00AD5E03"/>
    <w:rsid w:val="00AE0A72"/>
    <w:rsid w:val="00AE120B"/>
    <w:rsid w:val="00AE2204"/>
    <w:rsid w:val="00AE79EA"/>
    <w:rsid w:val="00AF1F48"/>
    <w:rsid w:val="00AF379B"/>
    <w:rsid w:val="00AF3B25"/>
    <w:rsid w:val="00AF718D"/>
    <w:rsid w:val="00B010C4"/>
    <w:rsid w:val="00B02B47"/>
    <w:rsid w:val="00B03EB2"/>
    <w:rsid w:val="00B054F6"/>
    <w:rsid w:val="00B115E9"/>
    <w:rsid w:val="00B176E8"/>
    <w:rsid w:val="00B20501"/>
    <w:rsid w:val="00B20FDF"/>
    <w:rsid w:val="00B25CB2"/>
    <w:rsid w:val="00B268A8"/>
    <w:rsid w:val="00B26965"/>
    <w:rsid w:val="00B27093"/>
    <w:rsid w:val="00B2752C"/>
    <w:rsid w:val="00B375EE"/>
    <w:rsid w:val="00B42FC3"/>
    <w:rsid w:val="00B43917"/>
    <w:rsid w:val="00B45EFD"/>
    <w:rsid w:val="00B51AF9"/>
    <w:rsid w:val="00B54CD6"/>
    <w:rsid w:val="00B55D4B"/>
    <w:rsid w:val="00B571BA"/>
    <w:rsid w:val="00B634B2"/>
    <w:rsid w:val="00B65B28"/>
    <w:rsid w:val="00B71E6A"/>
    <w:rsid w:val="00B722F3"/>
    <w:rsid w:val="00B76C6E"/>
    <w:rsid w:val="00B76F85"/>
    <w:rsid w:val="00B803B6"/>
    <w:rsid w:val="00B85543"/>
    <w:rsid w:val="00B85AD9"/>
    <w:rsid w:val="00B87A6C"/>
    <w:rsid w:val="00B90C45"/>
    <w:rsid w:val="00B9384F"/>
    <w:rsid w:val="00BA3C25"/>
    <w:rsid w:val="00BA3F6A"/>
    <w:rsid w:val="00BA605E"/>
    <w:rsid w:val="00BA6418"/>
    <w:rsid w:val="00BA782A"/>
    <w:rsid w:val="00BC00A4"/>
    <w:rsid w:val="00BC0CB4"/>
    <w:rsid w:val="00BC1FC0"/>
    <w:rsid w:val="00BC303F"/>
    <w:rsid w:val="00BC3BA9"/>
    <w:rsid w:val="00BC6E39"/>
    <w:rsid w:val="00BC7B51"/>
    <w:rsid w:val="00BD227C"/>
    <w:rsid w:val="00BD5544"/>
    <w:rsid w:val="00BD573A"/>
    <w:rsid w:val="00BD5F5F"/>
    <w:rsid w:val="00BD7998"/>
    <w:rsid w:val="00BE0286"/>
    <w:rsid w:val="00BE0CCC"/>
    <w:rsid w:val="00BE2BE3"/>
    <w:rsid w:val="00BE3EA2"/>
    <w:rsid w:val="00BE4DAA"/>
    <w:rsid w:val="00BE5299"/>
    <w:rsid w:val="00BE70EA"/>
    <w:rsid w:val="00BE7873"/>
    <w:rsid w:val="00BF07B2"/>
    <w:rsid w:val="00BF155E"/>
    <w:rsid w:val="00BF20E0"/>
    <w:rsid w:val="00BF314B"/>
    <w:rsid w:val="00BF4B9E"/>
    <w:rsid w:val="00BF77F4"/>
    <w:rsid w:val="00C0042E"/>
    <w:rsid w:val="00C01F5C"/>
    <w:rsid w:val="00C02654"/>
    <w:rsid w:val="00C02729"/>
    <w:rsid w:val="00C0436E"/>
    <w:rsid w:val="00C07C0D"/>
    <w:rsid w:val="00C11DE2"/>
    <w:rsid w:val="00C15536"/>
    <w:rsid w:val="00C17D60"/>
    <w:rsid w:val="00C21C11"/>
    <w:rsid w:val="00C2344D"/>
    <w:rsid w:val="00C2664B"/>
    <w:rsid w:val="00C2694D"/>
    <w:rsid w:val="00C30C29"/>
    <w:rsid w:val="00C3102B"/>
    <w:rsid w:val="00C318B1"/>
    <w:rsid w:val="00C32834"/>
    <w:rsid w:val="00C33639"/>
    <w:rsid w:val="00C350B1"/>
    <w:rsid w:val="00C35B4D"/>
    <w:rsid w:val="00C36182"/>
    <w:rsid w:val="00C36D95"/>
    <w:rsid w:val="00C4109F"/>
    <w:rsid w:val="00C425C2"/>
    <w:rsid w:val="00C44477"/>
    <w:rsid w:val="00C44AC9"/>
    <w:rsid w:val="00C46EE4"/>
    <w:rsid w:val="00C50537"/>
    <w:rsid w:val="00C5313F"/>
    <w:rsid w:val="00C542AD"/>
    <w:rsid w:val="00C54B21"/>
    <w:rsid w:val="00C54BF1"/>
    <w:rsid w:val="00C55FF2"/>
    <w:rsid w:val="00C60549"/>
    <w:rsid w:val="00C60775"/>
    <w:rsid w:val="00C60B09"/>
    <w:rsid w:val="00C60BD5"/>
    <w:rsid w:val="00C6211D"/>
    <w:rsid w:val="00C63B52"/>
    <w:rsid w:val="00C66E7C"/>
    <w:rsid w:val="00C677C7"/>
    <w:rsid w:val="00C70A42"/>
    <w:rsid w:val="00C71F2A"/>
    <w:rsid w:val="00C731CD"/>
    <w:rsid w:val="00C766DE"/>
    <w:rsid w:val="00C80B66"/>
    <w:rsid w:val="00C8284A"/>
    <w:rsid w:val="00C84A2D"/>
    <w:rsid w:val="00C92000"/>
    <w:rsid w:val="00CA14A7"/>
    <w:rsid w:val="00CA4A8E"/>
    <w:rsid w:val="00CB2025"/>
    <w:rsid w:val="00CB250A"/>
    <w:rsid w:val="00CB44FF"/>
    <w:rsid w:val="00CB54CF"/>
    <w:rsid w:val="00CB65DF"/>
    <w:rsid w:val="00CB72F4"/>
    <w:rsid w:val="00CB73B5"/>
    <w:rsid w:val="00CC265E"/>
    <w:rsid w:val="00CC39E0"/>
    <w:rsid w:val="00CC59D6"/>
    <w:rsid w:val="00CD012C"/>
    <w:rsid w:val="00CD2D3A"/>
    <w:rsid w:val="00CD505C"/>
    <w:rsid w:val="00CD6C70"/>
    <w:rsid w:val="00CD79DD"/>
    <w:rsid w:val="00CE161A"/>
    <w:rsid w:val="00CE2F49"/>
    <w:rsid w:val="00CE350D"/>
    <w:rsid w:val="00CE3BD2"/>
    <w:rsid w:val="00CF056F"/>
    <w:rsid w:val="00CF58CD"/>
    <w:rsid w:val="00CF61AF"/>
    <w:rsid w:val="00CF6718"/>
    <w:rsid w:val="00D00119"/>
    <w:rsid w:val="00D0063A"/>
    <w:rsid w:val="00D0142B"/>
    <w:rsid w:val="00D014FA"/>
    <w:rsid w:val="00D0329D"/>
    <w:rsid w:val="00D047DD"/>
    <w:rsid w:val="00D06A72"/>
    <w:rsid w:val="00D075CA"/>
    <w:rsid w:val="00D0776E"/>
    <w:rsid w:val="00D16203"/>
    <w:rsid w:val="00D16657"/>
    <w:rsid w:val="00D168AA"/>
    <w:rsid w:val="00D17664"/>
    <w:rsid w:val="00D17A0C"/>
    <w:rsid w:val="00D20339"/>
    <w:rsid w:val="00D237E6"/>
    <w:rsid w:val="00D23D91"/>
    <w:rsid w:val="00D25D1F"/>
    <w:rsid w:val="00D27354"/>
    <w:rsid w:val="00D27D98"/>
    <w:rsid w:val="00D3362A"/>
    <w:rsid w:val="00D338AD"/>
    <w:rsid w:val="00D34D3E"/>
    <w:rsid w:val="00D366FC"/>
    <w:rsid w:val="00D40B32"/>
    <w:rsid w:val="00D4188F"/>
    <w:rsid w:val="00D4245B"/>
    <w:rsid w:val="00D42DF1"/>
    <w:rsid w:val="00D43037"/>
    <w:rsid w:val="00D441D6"/>
    <w:rsid w:val="00D456E9"/>
    <w:rsid w:val="00D4579E"/>
    <w:rsid w:val="00D46027"/>
    <w:rsid w:val="00D46533"/>
    <w:rsid w:val="00D46C1B"/>
    <w:rsid w:val="00D47B78"/>
    <w:rsid w:val="00D510A9"/>
    <w:rsid w:val="00D5170F"/>
    <w:rsid w:val="00D546DC"/>
    <w:rsid w:val="00D63984"/>
    <w:rsid w:val="00D649A2"/>
    <w:rsid w:val="00D70CC3"/>
    <w:rsid w:val="00D82A87"/>
    <w:rsid w:val="00D85F48"/>
    <w:rsid w:val="00D936A4"/>
    <w:rsid w:val="00D95266"/>
    <w:rsid w:val="00D959E6"/>
    <w:rsid w:val="00D960BA"/>
    <w:rsid w:val="00D9690C"/>
    <w:rsid w:val="00D977C6"/>
    <w:rsid w:val="00DA302C"/>
    <w:rsid w:val="00DA5779"/>
    <w:rsid w:val="00DB24C1"/>
    <w:rsid w:val="00DB5F7B"/>
    <w:rsid w:val="00DB79E2"/>
    <w:rsid w:val="00DC0F99"/>
    <w:rsid w:val="00DC2530"/>
    <w:rsid w:val="00DC6266"/>
    <w:rsid w:val="00DD2419"/>
    <w:rsid w:val="00DD2F88"/>
    <w:rsid w:val="00DD4B0B"/>
    <w:rsid w:val="00DE040B"/>
    <w:rsid w:val="00DE053A"/>
    <w:rsid w:val="00DE3383"/>
    <w:rsid w:val="00DE5597"/>
    <w:rsid w:val="00DE669B"/>
    <w:rsid w:val="00DF40C9"/>
    <w:rsid w:val="00DF4494"/>
    <w:rsid w:val="00DF6535"/>
    <w:rsid w:val="00E043E4"/>
    <w:rsid w:val="00E04BF6"/>
    <w:rsid w:val="00E05649"/>
    <w:rsid w:val="00E06FD6"/>
    <w:rsid w:val="00E10811"/>
    <w:rsid w:val="00E10977"/>
    <w:rsid w:val="00E13B94"/>
    <w:rsid w:val="00E1409D"/>
    <w:rsid w:val="00E14271"/>
    <w:rsid w:val="00E21C1F"/>
    <w:rsid w:val="00E21E03"/>
    <w:rsid w:val="00E23893"/>
    <w:rsid w:val="00E242D8"/>
    <w:rsid w:val="00E24929"/>
    <w:rsid w:val="00E2623A"/>
    <w:rsid w:val="00E27E99"/>
    <w:rsid w:val="00E33FA5"/>
    <w:rsid w:val="00E358B7"/>
    <w:rsid w:val="00E37377"/>
    <w:rsid w:val="00E40CE7"/>
    <w:rsid w:val="00E440BC"/>
    <w:rsid w:val="00E44404"/>
    <w:rsid w:val="00E45714"/>
    <w:rsid w:val="00E474CC"/>
    <w:rsid w:val="00E50FB3"/>
    <w:rsid w:val="00E51FB2"/>
    <w:rsid w:val="00E527D7"/>
    <w:rsid w:val="00E52862"/>
    <w:rsid w:val="00E53385"/>
    <w:rsid w:val="00E53625"/>
    <w:rsid w:val="00E5571C"/>
    <w:rsid w:val="00E601DE"/>
    <w:rsid w:val="00E6039A"/>
    <w:rsid w:val="00E617DF"/>
    <w:rsid w:val="00E64588"/>
    <w:rsid w:val="00E65671"/>
    <w:rsid w:val="00E7019E"/>
    <w:rsid w:val="00E72DCB"/>
    <w:rsid w:val="00E74940"/>
    <w:rsid w:val="00E74EB3"/>
    <w:rsid w:val="00E75395"/>
    <w:rsid w:val="00E76A9E"/>
    <w:rsid w:val="00E77EE0"/>
    <w:rsid w:val="00E806ED"/>
    <w:rsid w:val="00E8215E"/>
    <w:rsid w:val="00E842FE"/>
    <w:rsid w:val="00E84B49"/>
    <w:rsid w:val="00E85AB5"/>
    <w:rsid w:val="00E91765"/>
    <w:rsid w:val="00E9259E"/>
    <w:rsid w:val="00E96224"/>
    <w:rsid w:val="00E962BB"/>
    <w:rsid w:val="00E96C20"/>
    <w:rsid w:val="00E97F62"/>
    <w:rsid w:val="00EA1627"/>
    <w:rsid w:val="00EA21DB"/>
    <w:rsid w:val="00EA4C4C"/>
    <w:rsid w:val="00EA7475"/>
    <w:rsid w:val="00EB054F"/>
    <w:rsid w:val="00EB2070"/>
    <w:rsid w:val="00EB317B"/>
    <w:rsid w:val="00EB4CF4"/>
    <w:rsid w:val="00EB4DB9"/>
    <w:rsid w:val="00EB795D"/>
    <w:rsid w:val="00EB7C22"/>
    <w:rsid w:val="00EC54D2"/>
    <w:rsid w:val="00EC6D5D"/>
    <w:rsid w:val="00EC7633"/>
    <w:rsid w:val="00ED491D"/>
    <w:rsid w:val="00ED5498"/>
    <w:rsid w:val="00ED7BE3"/>
    <w:rsid w:val="00EE0DA0"/>
    <w:rsid w:val="00EE168C"/>
    <w:rsid w:val="00EE3062"/>
    <w:rsid w:val="00EF048B"/>
    <w:rsid w:val="00EF3DC7"/>
    <w:rsid w:val="00F0175A"/>
    <w:rsid w:val="00F03E9F"/>
    <w:rsid w:val="00F040DB"/>
    <w:rsid w:val="00F049DD"/>
    <w:rsid w:val="00F07104"/>
    <w:rsid w:val="00F12BBB"/>
    <w:rsid w:val="00F12E47"/>
    <w:rsid w:val="00F15C10"/>
    <w:rsid w:val="00F20FAA"/>
    <w:rsid w:val="00F23723"/>
    <w:rsid w:val="00F23FDE"/>
    <w:rsid w:val="00F3090F"/>
    <w:rsid w:val="00F30DD9"/>
    <w:rsid w:val="00F333A5"/>
    <w:rsid w:val="00F34CF0"/>
    <w:rsid w:val="00F40622"/>
    <w:rsid w:val="00F41B77"/>
    <w:rsid w:val="00F510EF"/>
    <w:rsid w:val="00F51639"/>
    <w:rsid w:val="00F52096"/>
    <w:rsid w:val="00F52B2F"/>
    <w:rsid w:val="00F575E9"/>
    <w:rsid w:val="00F57E07"/>
    <w:rsid w:val="00F61416"/>
    <w:rsid w:val="00F61BB4"/>
    <w:rsid w:val="00F61D9E"/>
    <w:rsid w:val="00F622D7"/>
    <w:rsid w:val="00F64B50"/>
    <w:rsid w:val="00F656F9"/>
    <w:rsid w:val="00F663ED"/>
    <w:rsid w:val="00F7139F"/>
    <w:rsid w:val="00F724A9"/>
    <w:rsid w:val="00F7299B"/>
    <w:rsid w:val="00F734C6"/>
    <w:rsid w:val="00F81CF3"/>
    <w:rsid w:val="00F82AA2"/>
    <w:rsid w:val="00F8786D"/>
    <w:rsid w:val="00F93387"/>
    <w:rsid w:val="00F93A68"/>
    <w:rsid w:val="00F95626"/>
    <w:rsid w:val="00FA39DF"/>
    <w:rsid w:val="00FA4669"/>
    <w:rsid w:val="00FB28F3"/>
    <w:rsid w:val="00FB51D3"/>
    <w:rsid w:val="00FC0E32"/>
    <w:rsid w:val="00FD24D9"/>
    <w:rsid w:val="00FD3876"/>
    <w:rsid w:val="00FD4291"/>
    <w:rsid w:val="00FD42FA"/>
    <w:rsid w:val="00FD519C"/>
    <w:rsid w:val="00FD5696"/>
    <w:rsid w:val="00FD6B47"/>
    <w:rsid w:val="00FE3500"/>
    <w:rsid w:val="00FF2F31"/>
    <w:rsid w:val="00FF31BA"/>
    <w:rsid w:val="00FF3465"/>
    <w:rsid w:val="00FF3F7A"/>
    <w:rsid w:val="00FF698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2"/>
    </o:shapelayout>
  </w:shapeDefaults>
  <w:decimalSymbol w:val="."/>
  <w:listSeparator w:val=","/>
  <w14:docId w14:val="12373D10"/>
  <w15:chartTrackingRefBased/>
  <w15:docId w15:val="{7E83AC45-2E32-424F-BB8A-EF6E2DF7F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ZA" w:eastAsia="en-US" w:bidi="ar-SA"/>
      </w:rPr>
    </w:rPrDefault>
    <w:pPrDefault>
      <w:pPr>
        <w:spacing w:after="21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2E7C"/>
    <w:rPr>
      <w:rFonts w:ascii="Franklin Gothic Book" w:eastAsia="Times New Roman" w:hAnsi="Franklin Gothic Book" w:cs="Times New Roman"/>
      <w:color w:val="4A4D56" w:themeColor="text1"/>
      <w:lang w:val="en-US"/>
    </w:rPr>
  </w:style>
  <w:style w:type="paragraph" w:styleId="Heading1">
    <w:name w:val="heading 1"/>
    <w:next w:val="Normal"/>
    <w:uiPriority w:val="9"/>
    <w:qFormat/>
    <w:rsid w:val="00CB73B5"/>
    <w:pPr>
      <w:keepNext/>
      <w:keepLines/>
      <w:pageBreakBefore/>
      <w:numPr>
        <w:numId w:val="6"/>
      </w:numPr>
      <w:suppressAutoHyphens/>
      <w:spacing w:before="300" w:after="240" w:line="240" w:lineRule="auto"/>
      <w:outlineLvl w:val="0"/>
    </w:pPr>
    <w:rPr>
      <w:rFonts w:ascii="Rift Soft Medium" w:eastAsia="Times New Roman" w:hAnsi="Rift Soft Medium" w:cs="Times New Roman"/>
      <w:color w:val="053572"/>
      <w:sz w:val="44"/>
      <w:szCs w:val="24"/>
      <w:lang w:val="en-US"/>
    </w:rPr>
  </w:style>
  <w:style w:type="paragraph" w:styleId="Heading2">
    <w:name w:val="heading 2"/>
    <w:basedOn w:val="Heading1"/>
    <w:next w:val="Normal"/>
    <w:link w:val="Heading2Char"/>
    <w:uiPriority w:val="9"/>
    <w:qFormat/>
    <w:rsid w:val="001754EE"/>
    <w:pPr>
      <w:pageBreakBefore w:val="0"/>
      <w:numPr>
        <w:ilvl w:val="1"/>
      </w:numPr>
      <w:outlineLvl w:val="1"/>
    </w:pPr>
    <w:rPr>
      <w:color w:val="416DCB" w:themeColor="accent1" w:themeTint="99"/>
      <w:sz w:val="40"/>
    </w:rPr>
  </w:style>
  <w:style w:type="paragraph" w:styleId="Heading3">
    <w:name w:val="heading 3"/>
    <w:basedOn w:val="Heading1"/>
    <w:next w:val="Normal"/>
    <w:link w:val="Heading3Char"/>
    <w:uiPriority w:val="9"/>
    <w:qFormat/>
    <w:rsid w:val="008B776D"/>
    <w:pPr>
      <w:pageBreakBefore w:val="0"/>
      <w:numPr>
        <w:ilvl w:val="2"/>
      </w:numPr>
      <w:outlineLvl w:val="2"/>
    </w:pPr>
    <w:rPr>
      <w:color w:val="1FA9E1" w:themeColor="accent3"/>
      <w:sz w:val="36"/>
    </w:rPr>
  </w:style>
  <w:style w:type="paragraph" w:styleId="Heading4">
    <w:name w:val="heading 4"/>
    <w:basedOn w:val="Normal"/>
    <w:link w:val="Heading4Char"/>
    <w:uiPriority w:val="9"/>
    <w:qFormat/>
    <w:rsid w:val="00473485"/>
    <w:pPr>
      <w:spacing w:before="240" w:after="180"/>
      <w:outlineLvl w:val="3"/>
    </w:pPr>
    <w:rPr>
      <w:rFonts w:ascii="Rift Soft Medium" w:hAnsi="Rift Soft Medium" w:cs="Arial"/>
      <w:bCs/>
      <w:color w:val="053572" w:themeColor="text2"/>
      <w:sz w:val="32"/>
      <w:szCs w:val="24"/>
    </w:rPr>
  </w:style>
  <w:style w:type="paragraph" w:styleId="Heading5">
    <w:name w:val="heading 5"/>
    <w:basedOn w:val="Heading4"/>
    <w:uiPriority w:val="9"/>
    <w:rsid w:val="00A7034E"/>
    <w:pPr>
      <w:spacing w:after="160"/>
      <w:outlineLvl w:val="4"/>
    </w:pPr>
    <w:rPr>
      <w:rFonts w:asciiTheme="majorHAnsi" w:hAnsiTheme="majorHAnsi"/>
      <w:iCs/>
      <w:color w:val="416DCB" w:themeColor="accent1" w:themeTint="99"/>
      <w:sz w:val="26"/>
      <w:szCs w:val="22"/>
    </w:rPr>
  </w:style>
  <w:style w:type="paragraph" w:styleId="Heading6">
    <w:name w:val="heading 6"/>
    <w:next w:val="Normal"/>
    <w:uiPriority w:val="9"/>
    <w:rsid w:val="00A7034E"/>
    <w:pPr>
      <w:spacing w:after="120"/>
      <w:outlineLvl w:val="5"/>
    </w:pPr>
    <w:rPr>
      <w:rFonts w:ascii="Franklin Gothic Medium" w:eastAsia="Times New Roman" w:hAnsi="Franklin Gothic Medium" w:cs="Arial"/>
      <w:bCs/>
      <w:iCs/>
      <w:color w:val="1FA9E1" w:themeColor="accent3"/>
      <w:sz w:val="24"/>
      <w:szCs w:val="21"/>
      <w:lang w:val="en-US"/>
    </w:rPr>
  </w:style>
  <w:style w:type="paragraph" w:styleId="Heading7">
    <w:name w:val="heading 7"/>
    <w:basedOn w:val="Heading6"/>
    <w:next w:val="Normal"/>
    <w:uiPriority w:val="2"/>
    <w:semiHidden/>
    <w:rsid w:val="00E37377"/>
    <w:pPr>
      <w:pageBreakBefore/>
      <w:spacing w:line="240" w:lineRule="auto"/>
      <w:outlineLvl w:val="6"/>
    </w:pPr>
    <w:rPr>
      <w:rFonts w:asciiTheme="majorHAnsi" w:hAnsiTheme="majorHAnsi"/>
      <w:color w:val="78CBED" w:themeColor="accent3" w:themeTint="99"/>
      <w:sz w:val="22"/>
      <w:szCs w:val="36"/>
    </w:rPr>
  </w:style>
  <w:style w:type="paragraph" w:styleId="Heading8">
    <w:name w:val="heading 8"/>
    <w:basedOn w:val="Heading7"/>
    <w:next w:val="Normal"/>
    <w:uiPriority w:val="2"/>
    <w:semiHidden/>
    <w:qFormat/>
    <w:rsid w:val="00E37377"/>
    <w:pPr>
      <w:pageBreakBefore w:val="0"/>
      <w:outlineLvl w:val="7"/>
    </w:pPr>
    <w:rPr>
      <w:color w:val="4A4D56" w:themeColor="text1"/>
    </w:rPr>
  </w:style>
  <w:style w:type="paragraph" w:styleId="Heading9">
    <w:name w:val="heading 9"/>
    <w:basedOn w:val="Heading8"/>
    <w:next w:val="Normal"/>
    <w:uiPriority w:val="2"/>
    <w:semiHidden/>
    <w:qFormat/>
    <w:rsid w:val="00E37377"/>
    <w:pPr>
      <w:numPr>
        <w:ilvl w:val="2"/>
      </w:numPr>
      <w:outlineLvl w:val="8"/>
    </w:pPr>
    <w:rPr>
      <w:rFonts w:ascii="Franklin Gothic Book" w:hAnsi="Franklin Gothic Book"/>
      <w:color w:val="053572"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next w:val="Normal"/>
    <w:link w:val="FooterChar"/>
    <w:uiPriority w:val="69"/>
    <w:rsid w:val="001E0E4B"/>
    <w:pPr>
      <w:tabs>
        <w:tab w:val="center" w:pos="4320"/>
        <w:tab w:val="right" w:pos="9360"/>
      </w:tabs>
      <w:spacing w:after="0"/>
      <w:jc w:val="right"/>
    </w:pPr>
    <w:rPr>
      <w:noProof/>
      <w:color w:val="A6A6A6" w:themeColor="background1" w:themeShade="A6"/>
      <w:sz w:val="20"/>
      <w:szCs w:val="20"/>
    </w:rPr>
  </w:style>
  <w:style w:type="character" w:customStyle="1" w:styleId="FooterChar">
    <w:name w:val="Footer Char"/>
    <w:basedOn w:val="DefaultParagraphFont"/>
    <w:link w:val="Footer"/>
    <w:uiPriority w:val="69"/>
    <w:rsid w:val="001E0E4B"/>
    <w:rPr>
      <w:rFonts w:ascii="Franklin Gothic Book" w:eastAsia="Times New Roman" w:hAnsi="Franklin Gothic Book" w:cs="Times New Roman"/>
      <w:noProof/>
      <w:color w:val="A6A6A6" w:themeColor="background1" w:themeShade="A6"/>
      <w:sz w:val="20"/>
      <w:szCs w:val="20"/>
      <w:lang w:val="en-US"/>
    </w:rPr>
  </w:style>
  <w:style w:type="paragraph" w:styleId="TOAHeading">
    <w:name w:val="toa heading"/>
    <w:basedOn w:val="TableofFigures"/>
    <w:next w:val="Normal"/>
    <w:uiPriority w:val="99"/>
    <w:unhideWhenUsed/>
    <w:rsid w:val="00C677C7"/>
    <w:pPr>
      <w:ind w:right="-4"/>
    </w:pPr>
    <w:rPr>
      <w:rFonts w:ascii="Rift Soft" w:hAnsi="Rift Soft"/>
      <w:color w:val="053572"/>
      <w:sz w:val="48"/>
      <w:szCs w:val="48"/>
    </w:rPr>
  </w:style>
  <w:style w:type="character" w:styleId="Strong">
    <w:name w:val="Strong"/>
    <w:aliases w:val="Resume Style 1"/>
    <w:uiPriority w:val="22"/>
    <w:semiHidden/>
    <w:qFormat/>
    <w:rsid w:val="00473485"/>
    <w:rPr>
      <w:rFonts w:ascii="Franklin Gothic Medium" w:hAnsi="Franklin Gothic Medium"/>
      <w:color w:val="053572" w:themeColor="text2"/>
      <w:sz w:val="24"/>
    </w:rPr>
  </w:style>
  <w:style w:type="paragraph" w:styleId="BalloonText">
    <w:name w:val="Balloon Text"/>
    <w:basedOn w:val="Normal"/>
    <w:semiHidden/>
    <w:rsid w:val="00B51ADD"/>
    <w:rPr>
      <w:rFonts w:ascii="Tahoma" w:hAnsi="Tahoma" w:cs="Tahoma"/>
      <w:sz w:val="16"/>
      <w:szCs w:val="16"/>
    </w:rPr>
  </w:style>
  <w:style w:type="paragraph" w:styleId="BodyText">
    <w:name w:val="Body Text"/>
    <w:basedOn w:val="Normal"/>
    <w:link w:val="BodyTextChar"/>
    <w:uiPriority w:val="69"/>
    <w:semiHidden/>
    <w:rsid w:val="001F4D82"/>
  </w:style>
  <w:style w:type="paragraph" w:customStyle="1" w:styleId="Bullet1">
    <w:name w:val="Bullet 1"/>
    <w:basedOn w:val="Normal"/>
    <w:next w:val="Normal"/>
    <w:uiPriority w:val="99"/>
    <w:semiHidden/>
    <w:qFormat/>
    <w:rsid w:val="00F54AE8"/>
    <w:pPr>
      <w:numPr>
        <w:numId w:val="1"/>
      </w:numPr>
      <w:tabs>
        <w:tab w:val="num" w:pos="360"/>
      </w:tabs>
      <w:spacing w:after="120"/>
      <w:ind w:left="0" w:firstLine="0"/>
    </w:pPr>
  </w:style>
  <w:style w:type="paragraph" w:customStyle="1" w:styleId="Bullet2">
    <w:name w:val="Bullet 2"/>
    <w:basedOn w:val="Normal"/>
    <w:next w:val="Normal"/>
    <w:uiPriority w:val="99"/>
    <w:semiHidden/>
    <w:qFormat/>
    <w:rsid w:val="00F54AE8"/>
    <w:pPr>
      <w:numPr>
        <w:ilvl w:val="1"/>
        <w:numId w:val="2"/>
      </w:numPr>
      <w:tabs>
        <w:tab w:val="num" w:pos="360"/>
      </w:tabs>
      <w:spacing w:after="120"/>
      <w:ind w:left="0" w:firstLine="0"/>
    </w:pPr>
  </w:style>
  <w:style w:type="paragraph" w:customStyle="1" w:styleId="Bullet3">
    <w:name w:val="Bullet 3"/>
    <w:basedOn w:val="Normal"/>
    <w:next w:val="Normal"/>
    <w:uiPriority w:val="99"/>
    <w:semiHidden/>
    <w:qFormat/>
    <w:rsid w:val="00F54AE8"/>
    <w:pPr>
      <w:numPr>
        <w:ilvl w:val="2"/>
        <w:numId w:val="3"/>
      </w:numPr>
      <w:spacing w:after="120"/>
    </w:pPr>
  </w:style>
  <w:style w:type="paragraph" w:styleId="Caption">
    <w:name w:val="caption"/>
    <w:link w:val="CaptionChar"/>
    <w:autoRedefine/>
    <w:uiPriority w:val="35"/>
    <w:qFormat/>
    <w:rsid w:val="00287BC8"/>
    <w:pPr>
      <w:keepNext/>
      <w:keepLines/>
      <w:spacing w:after="240"/>
      <w:jc w:val="center"/>
    </w:pPr>
    <w:rPr>
      <w:rFonts w:ascii="Franklin Gothic Book" w:eastAsia="Times New Roman" w:hAnsi="Franklin Gothic Book" w:cs="Times New Roman"/>
      <w:bCs/>
      <w:color w:val="4A4D56" w:themeColor="text1"/>
      <w:szCs w:val="20"/>
      <w:lang w:val="en-US"/>
    </w:rPr>
  </w:style>
  <w:style w:type="paragraph" w:customStyle="1" w:styleId="CaptionFigure">
    <w:name w:val="Caption Figure"/>
    <w:uiPriority w:val="99"/>
    <w:semiHidden/>
    <w:qFormat/>
    <w:locked/>
    <w:rsid w:val="000C2EF9"/>
    <w:pPr>
      <w:keepNext/>
      <w:numPr>
        <w:numId w:val="4"/>
      </w:numPr>
      <w:spacing w:before="200" w:after="80" w:line="240" w:lineRule="auto"/>
      <w:jc w:val="center"/>
    </w:pPr>
    <w:rPr>
      <w:rFonts w:eastAsia="Times New Roman" w:cs="Times New Roman"/>
      <w:bCs/>
      <w:color w:val="4A4D56" w:themeColor="text1"/>
      <w:szCs w:val="20"/>
      <w:lang w:val="en-US"/>
    </w:rPr>
  </w:style>
  <w:style w:type="paragraph" w:customStyle="1" w:styleId="CaptionTable">
    <w:name w:val="Caption Table"/>
    <w:uiPriority w:val="99"/>
    <w:semiHidden/>
    <w:qFormat/>
    <w:locked/>
    <w:rsid w:val="000C2EF9"/>
    <w:pPr>
      <w:keepNext/>
      <w:numPr>
        <w:numId w:val="5"/>
      </w:numPr>
      <w:spacing w:before="200" w:after="80" w:line="240" w:lineRule="auto"/>
      <w:jc w:val="center"/>
    </w:pPr>
    <w:rPr>
      <w:rFonts w:eastAsia="Times New Roman" w:cs="Times New Roman"/>
      <w:bCs/>
      <w:color w:val="4A4D56" w:themeColor="text1"/>
      <w:szCs w:val="20"/>
      <w:lang w:val="en-US"/>
    </w:rPr>
  </w:style>
  <w:style w:type="paragraph" w:customStyle="1" w:styleId="CenterTableText">
    <w:name w:val="Center Table Text"/>
    <w:uiPriority w:val="14"/>
    <w:semiHidden/>
    <w:rsid w:val="00BD0DC6"/>
    <w:pPr>
      <w:spacing w:after="0" w:line="240" w:lineRule="auto"/>
      <w:jc w:val="center"/>
    </w:pPr>
    <w:rPr>
      <w:rFonts w:ascii="Franklin Gothic Book" w:eastAsia="Times New Roman" w:hAnsi="Franklin Gothic Book" w:cs="Times New Roman"/>
      <w:sz w:val="20"/>
      <w:lang w:val="en-US"/>
    </w:rPr>
  </w:style>
  <w:style w:type="paragraph" w:customStyle="1" w:styleId="TOC3Style">
    <w:name w:val="TOC 3 Style"/>
    <w:basedOn w:val="TOC3"/>
    <w:semiHidden/>
    <w:rsid w:val="001C4ACA"/>
    <w:pPr>
      <w:ind w:right="-4"/>
    </w:pPr>
    <w:rPr>
      <w:szCs w:val="20"/>
    </w:rPr>
  </w:style>
  <w:style w:type="paragraph" w:styleId="CommentSubject">
    <w:name w:val="annotation subject"/>
    <w:semiHidden/>
    <w:rsid w:val="00B51ADD"/>
    <w:pPr>
      <w:spacing w:before="200" w:line="240" w:lineRule="auto"/>
      <w:jc w:val="both"/>
    </w:pPr>
    <w:rPr>
      <w:rFonts w:ascii="Franklin Gothic Book" w:eastAsia="Times New Roman" w:hAnsi="Franklin Gothic Book" w:cs="Times New Roman"/>
      <w:b/>
      <w:bCs/>
      <w:sz w:val="20"/>
      <w:szCs w:val="20"/>
      <w:lang w:val="en-US"/>
    </w:rPr>
  </w:style>
  <w:style w:type="paragraph" w:styleId="CommentText">
    <w:name w:val="annotation text"/>
    <w:basedOn w:val="Normal"/>
    <w:link w:val="CommentTextChar"/>
    <w:uiPriority w:val="99"/>
    <w:semiHidden/>
    <w:rsid w:val="00B51ADD"/>
    <w:rPr>
      <w:sz w:val="20"/>
      <w:szCs w:val="20"/>
    </w:rPr>
  </w:style>
  <w:style w:type="character" w:styleId="Emphasis">
    <w:name w:val="Emphasis"/>
    <w:basedOn w:val="DefaultParagraphFont"/>
    <w:uiPriority w:val="4"/>
    <w:qFormat/>
    <w:rsid w:val="00B51ADD"/>
    <w:rPr>
      <w:i/>
      <w:iCs/>
    </w:rPr>
  </w:style>
  <w:style w:type="paragraph" w:styleId="EndnoteText">
    <w:name w:val="endnote text"/>
    <w:basedOn w:val="Normal"/>
    <w:uiPriority w:val="69"/>
    <w:rsid w:val="002A6F47"/>
    <w:pPr>
      <w:spacing w:after="0"/>
    </w:pPr>
    <w:rPr>
      <w:sz w:val="18"/>
      <w:szCs w:val="20"/>
    </w:rPr>
  </w:style>
  <w:style w:type="paragraph" w:customStyle="1" w:styleId="FigureCaption">
    <w:name w:val="Figure_Caption"/>
    <w:basedOn w:val="Normal"/>
    <w:next w:val="Normal"/>
    <w:uiPriority w:val="3"/>
    <w:semiHidden/>
    <w:qFormat/>
    <w:locked/>
    <w:rsid w:val="00B51ADD"/>
    <w:pPr>
      <w:keepNext/>
      <w:keepLines/>
      <w:suppressAutoHyphens/>
      <w:spacing w:before="320" w:after="120"/>
      <w:jc w:val="center"/>
    </w:pPr>
    <w:rPr>
      <w:b/>
    </w:rPr>
  </w:style>
  <w:style w:type="character" w:styleId="FollowedHyperlink">
    <w:name w:val="FollowedHyperlink"/>
    <w:basedOn w:val="DefaultParagraphFont"/>
    <w:uiPriority w:val="69"/>
    <w:rsid w:val="001C4ACA"/>
    <w:rPr>
      <w:rFonts w:asciiTheme="minorHAnsi" w:hAnsiTheme="minorHAnsi"/>
      <w:color w:val="5661AC" w:themeColor="accent5"/>
      <w:sz w:val="22"/>
      <w:u w:val="single"/>
    </w:rPr>
  </w:style>
  <w:style w:type="character" w:styleId="FootnoteReference">
    <w:name w:val="footnote reference"/>
    <w:basedOn w:val="DefaultParagraphFont"/>
    <w:uiPriority w:val="69"/>
    <w:rsid w:val="00B51ADD"/>
    <w:rPr>
      <w:vertAlign w:val="superscript"/>
    </w:rPr>
  </w:style>
  <w:style w:type="paragraph" w:styleId="FootnoteText">
    <w:name w:val="footnote text"/>
    <w:basedOn w:val="Normal"/>
    <w:link w:val="FootnoteTextChar"/>
    <w:uiPriority w:val="69"/>
    <w:rsid w:val="009753EA"/>
    <w:pPr>
      <w:spacing w:after="0"/>
    </w:pPr>
    <w:rPr>
      <w:sz w:val="18"/>
      <w:szCs w:val="20"/>
    </w:rPr>
  </w:style>
  <w:style w:type="paragraph" w:customStyle="1" w:styleId="GraphFootnote">
    <w:name w:val="Graph Footnote"/>
    <w:basedOn w:val="Normal"/>
    <w:next w:val="Normal"/>
    <w:uiPriority w:val="99"/>
    <w:semiHidden/>
    <w:locked/>
    <w:rsid w:val="00B51ADD"/>
    <w:pPr>
      <w:spacing w:after="0"/>
    </w:pPr>
    <w:rPr>
      <w:rFonts w:ascii="Times New Roman" w:hAnsi="Times New Roman"/>
      <w:i/>
      <w:sz w:val="18"/>
    </w:rPr>
  </w:style>
  <w:style w:type="table" w:styleId="GridTable1Light-Accent1">
    <w:name w:val="Grid Table 1 Light Accent 1"/>
    <w:basedOn w:val="TableNormal"/>
    <w:uiPriority w:val="46"/>
    <w:locked/>
    <w:rsid w:val="00D721EA"/>
    <w:pPr>
      <w:spacing w:before="200" w:after="0" w:line="240" w:lineRule="auto"/>
    </w:pPr>
    <w:rPr>
      <w:rFonts w:ascii="Franklin Gothic Book" w:eastAsia="Times New Roman" w:hAnsi="Franklin Gothic Book" w:cs="Times New Roman"/>
      <w:lang w:val="en-US"/>
    </w:rPr>
    <w:tblPr>
      <w:tblStyleRowBandSize w:val="1"/>
      <w:tblStyleColBandSize w:val="1"/>
      <w:tblBorders>
        <w:top w:val="single" w:sz="4" w:space="0" w:color="809EDC" w:themeColor="accent1" w:themeTint="66"/>
        <w:left w:val="single" w:sz="4" w:space="0" w:color="809EDC" w:themeColor="accent1" w:themeTint="66"/>
        <w:bottom w:val="single" w:sz="4" w:space="0" w:color="809EDC" w:themeColor="accent1" w:themeTint="66"/>
        <w:right w:val="single" w:sz="4" w:space="0" w:color="809EDC" w:themeColor="accent1" w:themeTint="66"/>
        <w:insideH w:val="single" w:sz="4" w:space="0" w:color="809EDC" w:themeColor="accent1" w:themeTint="66"/>
        <w:insideV w:val="single" w:sz="4" w:space="0" w:color="809EDC" w:themeColor="accent1" w:themeTint="66"/>
      </w:tblBorders>
    </w:tblPr>
    <w:tblStylePr w:type="firstRow">
      <w:rPr>
        <w:b/>
        <w:bCs/>
      </w:rPr>
      <w:tblPr/>
      <w:tcPr>
        <w:tcBorders>
          <w:bottom w:val="single" w:sz="12" w:space="0" w:color="416DCB" w:themeColor="accent1" w:themeTint="99"/>
        </w:tcBorders>
      </w:tcPr>
    </w:tblStylePr>
    <w:tblStylePr w:type="lastRow">
      <w:rPr>
        <w:b/>
        <w:bCs/>
      </w:rPr>
      <w:tblPr/>
      <w:tcPr>
        <w:tcBorders>
          <w:top w:val="double" w:sz="2" w:space="0" w:color="416DCB" w:themeColor="accent1" w:themeTint="99"/>
        </w:tcBorders>
      </w:tcPr>
    </w:tblStylePr>
    <w:tblStylePr w:type="firstCol">
      <w:rPr>
        <w:b/>
        <w:bCs/>
      </w:rPr>
    </w:tblStylePr>
    <w:tblStylePr w:type="lastCol">
      <w:rPr>
        <w:b/>
        <w:bCs/>
      </w:rPr>
    </w:tblStylePr>
  </w:style>
  <w:style w:type="paragraph" w:customStyle="1" w:styleId="Headernone">
    <w:name w:val="Header_none"/>
    <w:uiPriority w:val="1"/>
    <w:semiHidden/>
    <w:locked/>
    <w:rsid w:val="00B51ADD"/>
    <w:pPr>
      <w:tabs>
        <w:tab w:val="right" w:pos="9360"/>
      </w:tabs>
      <w:spacing w:before="200" w:line="240" w:lineRule="auto"/>
      <w:jc w:val="both"/>
    </w:pPr>
    <w:rPr>
      <w:rFonts w:ascii="Franklin Gothic Book" w:eastAsia="Times New Roman" w:hAnsi="Franklin Gothic Book" w:cs="Times New Roman"/>
      <w:i/>
      <w:noProof/>
      <w:sz w:val="16"/>
      <w:szCs w:val="16"/>
      <w:lang w:val="en-US"/>
    </w:rPr>
  </w:style>
  <w:style w:type="character" w:styleId="Hyperlink">
    <w:name w:val="Hyperlink"/>
    <w:basedOn w:val="DefaultParagraphFont"/>
    <w:uiPriority w:val="99"/>
    <w:rsid w:val="001C4ACA"/>
    <w:rPr>
      <w:rFonts w:asciiTheme="minorHAnsi" w:hAnsiTheme="minorHAnsi"/>
      <w:noProof/>
      <w:color w:val="5661AC" w:themeColor="accent5"/>
      <w:sz w:val="22"/>
      <w:u w:val="single"/>
    </w:rPr>
  </w:style>
  <w:style w:type="paragraph" w:styleId="Index1">
    <w:name w:val="index 1"/>
    <w:basedOn w:val="Normal"/>
    <w:next w:val="Normal"/>
    <w:autoRedefine/>
    <w:semiHidden/>
    <w:rsid w:val="00B51ADD"/>
    <w:pPr>
      <w:ind w:left="240" w:hanging="240"/>
    </w:pPr>
  </w:style>
  <w:style w:type="character" w:styleId="IntenseEmphasis">
    <w:name w:val="Intense Emphasis"/>
    <w:aliases w:val="Emphasis (Intense)"/>
    <w:basedOn w:val="DefaultParagraphFont"/>
    <w:uiPriority w:val="4"/>
    <w:rsid w:val="00E7019E"/>
    <w:rPr>
      <w:rFonts w:ascii="Franklin Gothic Demi" w:hAnsi="Franklin Gothic Demi"/>
      <w:b w:val="0"/>
      <w:i w:val="0"/>
      <w:iCs/>
      <w:color w:val="4A4D56" w:themeColor="text1"/>
      <w:sz w:val="22"/>
    </w:rPr>
  </w:style>
  <w:style w:type="paragraph" w:styleId="ListBullet">
    <w:name w:val="List Bullet"/>
    <w:aliases w:val="Bullet Level 1"/>
    <w:basedOn w:val="Normal"/>
    <w:uiPriority w:val="9"/>
    <w:qFormat/>
    <w:rsid w:val="002E20E6"/>
    <w:pPr>
      <w:numPr>
        <w:numId w:val="14"/>
      </w:numPr>
      <w:spacing w:before="120" w:after="120"/>
      <w:ind w:left="465" w:hanging="285"/>
    </w:pPr>
  </w:style>
  <w:style w:type="paragraph" w:styleId="ListBullet2">
    <w:name w:val="List Bullet 2"/>
    <w:aliases w:val="Bullet Level 2"/>
    <w:basedOn w:val="ListBullet"/>
    <w:uiPriority w:val="9"/>
    <w:qFormat/>
    <w:rsid w:val="001C32D6"/>
    <w:pPr>
      <w:numPr>
        <w:ilvl w:val="1"/>
      </w:numPr>
      <w:ind w:left="735" w:hanging="285"/>
    </w:pPr>
  </w:style>
  <w:style w:type="paragraph" w:styleId="ListBullet3">
    <w:name w:val="List Bullet 3"/>
    <w:aliases w:val="Bullet Level 3"/>
    <w:basedOn w:val="ListBullet2"/>
    <w:uiPriority w:val="9"/>
    <w:qFormat/>
    <w:rsid w:val="001C32D6"/>
    <w:pPr>
      <w:numPr>
        <w:ilvl w:val="2"/>
      </w:numPr>
      <w:ind w:left="1035" w:hanging="285"/>
    </w:pPr>
  </w:style>
  <w:style w:type="paragraph" w:styleId="ListNumber">
    <w:name w:val="List Number"/>
    <w:basedOn w:val="Normal"/>
    <w:uiPriority w:val="99"/>
    <w:semiHidden/>
    <w:rsid w:val="00351E32"/>
    <w:pPr>
      <w:numPr>
        <w:numId w:val="7"/>
      </w:numPr>
      <w:spacing w:after="120"/>
    </w:pPr>
  </w:style>
  <w:style w:type="paragraph" w:styleId="ListNumber2">
    <w:name w:val="List Number 2"/>
    <w:basedOn w:val="Normal"/>
    <w:uiPriority w:val="99"/>
    <w:semiHidden/>
    <w:rsid w:val="00351E32"/>
    <w:pPr>
      <w:numPr>
        <w:numId w:val="8"/>
      </w:numPr>
      <w:spacing w:after="120"/>
    </w:pPr>
  </w:style>
  <w:style w:type="paragraph" w:styleId="ListNumber3">
    <w:name w:val="List Number 3"/>
    <w:basedOn w:val="Normal"/>
    <w:uiPriority w:val="99"/>
    <w:semiHidden/>
    <w:rsid w:val="004D778A"/>
    <w:pPr>
      <w:numPr>
        <w:numId w:val="9"/>
      </w:numPr>
      <w:contextualSpacing/>
    </w:pPr>
  </w:style>
  <w:style w:type="paragraph" w:customStyle="1" w:styleId="ListNumber1">
    <w:name w:val="List Number1"/>
    <w:basedOn w:val="Normal"/>
    <w:uiPriority w:val="99"/>
    <w:semiHidden/>
    <w:locked/>
    <w:rsid w:val="00351E32"/>
    <w:pPr>
      <w:tabs>
        <w:tab w:val="num" w:pos="360"/>
      </w:tabs>
      <w:spacing w:after="120"/>
      <w:ind w:left="360" w:hanging="360"/>
    </w:pPr>
  </w:style>
  <w:style w:type="paragraph" w:styleId="ListParagraph">
    <w:name w:val="List Paragraph"/>
    <w:basedOn w:val="Normal"/>
    <w:uiPriority w:val="1"/>
    <w:rsid w:val="00BD0DC6"/>
    <w:pPr>
      <w:ind w:left="720"/>
      <w:contextualSpacing/>
    </w:pPr>
  </w:style>
  <w:style w:type="table" w:styleId="ListTable7Colorful-Accent1">
    <w:name w:val="List Table 7 Colorful Accent 1"/>
    <w:basedOn w:val="TableNormal"/>
    <w:uiPriority w:val="52"/>
    <w:locked/>
    <w:rsid w:val="006B3D7D"/>
    <w:pPr>
      <w:spacing w:after="0" w:line="240" w:lineRule="auto"/>
    </w:pPr>
    <w:rPr>
      <w:rFonts w:ascii="Franklin Gothic Book" w:eastAsia="Franklin Gothic Book" w:hAnsi="Franklin Gothic Book" w:cs="Times New Roman"/>
      <w:color w:val="032755"/>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72B5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72B5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72B5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72B54" w:themeColor="accent1"/>
        </w:tcBorders>
        <w:shd w:val="clear" w:color="auto" w:fill="FFFFFF" w:themeFill="background1"/>
      </w:tcPr>
    </w:tblStylePr>
    <w:tblStylePr w:type="band1Vert">
      <w:tblPr/>
      <w:tcPr>
        <w:shd w:val="clear" w:color="auto" w:fill="BFCEED" w:themeFill="accent1" w:themeFillTint="33"/>
      </w:tcPr>
    </w:tblStylePr>
    <w:tblStylePr w:type="band1Horz">
      <w:tblPr/>
      <w:tcPr>
        <w:shd w:val="clear" w:color="auto" w:fill="BFCEED"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Spacing">
    <w:name w:val="No Spacing"/>
    <w:basedOn w:val="Normal"/>
    <w:link w:val="NoSpacingChar"/>
    <w:uiPriority w:val="1"/>
    <w:qFormat/>
    <w:rsid w:val="00F6662D"/>
    <w:pPr>
      <w:spacing w:after="0"/>
    </w:pPr>
  </w:style>
  <w:style w:type="paragraph" w:customStyle="1" w:styleId="NoList1">
    <w:name w:val="No. List 1"/>
    <w:uiPriority w:val="9"/>
    <w:rsid w:val="00E65671"/>
    <w:pPr>
      <w:numPr>
        <w:numId w:val="10"/>
      </w:numPr>
      <w:spacing w:after="120" w:line="240" w:lineRule="auto"/>
      <w:jc w:val="both"/>
    </w:pPr>
    <w:rPr>
      <w:rFonts w:ascii="Franklin Gothic Book" w:eastAsia="Times New Roman" w:hAnsi="Franklin Gothic Book" w:cs="Times New Roman"/>
      <w:color w:val="4A4D56" w:themeColor="text1"/>
      <w:lang w:val="en-US"/>
    </w:rPr>
  </w:style>
  <w:style w:type="paragraph" w:customStyle="1" w:styleId="NoList2">
    <w:name w:val="No. List 2"/>
    <w:uiPriority w:val="9"/>
    <w:rsid w:val="00E65671"/>
    <w:pPr>
      <w:numPr>
        <w:ilvl w:val="1"/>
        <w:numId w:val="11"/>
      </w:numPr>
      <w:spacing w:after="120" w:line="240" w:lineRule="auto"/>
      <w:jc w:val="both"/>
    </w:pPr>
    <w:rPr>
      <w:rFonts w:ascii="Franklin Gothic Book" w:eastAsia="Times New Roman" w:hAnsi="Franklin Gothic Book" w:cs="Times New Roman"/>
      <w:color w:val="4A4D56" w:themeColor="text1"/>
      <w:lang w:val="en-US"/>
    </w:rPr>
  </w:style>
  <w:style w:type="paragraph" w:customStyle="1" w:styleId="NoList3">
    <w:name w:val="No. List 3"/>
    <w:uiPriority w:val="9"/>
    <w:rsid w:val="00E65671"/>
    <w:pPr>
      <w:numPr>
        <w:ilvl w:val="2"/>
        <w:numId w:val="12"/>
      </w:numPr>
      <w:spacing w:after="120" w:line="240" w:lineRule="auto"/>
      <w:jc w:val="both"/>
    </w:pPr>
    <w:rPr>
      <w:rFonts w:ascii="Franklin Gothic Book" w:eastAsia="Times New Roman" w:hAnsi="Franklin Gothic Book" w:cs="Times New Roman"/>
      <w:color w:val="4A4D56" w:themeColor="text1"/>
      <w:lang w:val="en-US"/>
    </w:rPr>
  </w:style>
  <w:style w:type="paragraph" w:styleId="NormalWeb">
    <w:name w:val="Normal (Web)"/>
    <w:basedOn w:val="Normal"/>
    <w:uiPriority w:val="99"/>
    <w:semiHidden/>
    <w:rsid w:val="00B51ADD"/>
    <w:pPr>
      <w:spacing w:before="100" w:beforeAutospacing="1" w:after="100" w:afterAutospacing="1"/>
    </w:pPr>
    <w:rPr>
      <w:rFonts w:ascii="Times New Roman" w:hAnsi="Times New Roman"/>
    </w:rPr>
  </w:style>
  <w:style w:type="paragraph" w:customStyle="1" w:styleId="NormalCenter">
    <w:name w:val="Normal Center"/>
    <w:basedOn w:val="Normal"/>
    <w:uiPriority w:val="1"/>
    <w:rsid w:val="001E1344"/>
    <w:pPr>
      <w:jc w:val="center"/>
    </w:pPr>
    <w:rPr>
      <w:noProof/>
    </w:rPr>
  </w:style>
  <w:style w:type="numbering" w:customStyle="1" w:styleId="ODBulletList">
    <w:name w:val="OD Bullet List"/>
    <w:uiPriority w:val="99"/>
    <w:rsid w:val="0028728B"/>
  </w:style>
  <w:style w:type="numbering" w:customStyle="1" w:styleId="ODNumberList">
    <w:name w:val="OD Number List"/>
    <w:uiPriority w:val="99"/>
    <w:rsid w:val="00BD0DC6"/>
  </w:style>
  <w:style w:type="table" w:customStyle="1" w:styleId="ODCBasic-1">
    <w:name w:val="ODC_Basic-1"/>
    <w:basedOn w:val="TableNormal"/>
    <w:uiPriority w:val="99"/>
    <w:qFormat/>
    <w:rsid w:val="00E6039A"/>
    <w:pPr>
      <w:spacing w:after="0" w:line="240" w:lineRule="auto"/>
    </w:pPr>
    <w:rPr>
      <w:rFonts w:ascii="Franklin Gothic Book" w:eastAsia="Times New Roman" w:hAnsi="Franklin Gothic Book" w:cs="Times New Roman"/>
      <w:color w:val="FFFFFF" w:themeColor="background1"/>
      <w:sz w:val="18"/>
      <w:szCs w:val="20"/>
      <w:lang w:val="en-US"/>
    </w:rPr>
    <w:tblPr>
      <w:tblStyleRowBandSize w:val="1"/>
      <w:tblStyleColBandSize w:val="1"/>
      <w:jc w:val="center"/>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CellMar>
        <w:top w:w="29" w:type="dxa"/>
        <w:left w:w="72" w:type="dxa"/>
        <w:bottom w:w="29" w:type="dxa"/>
        <w:right w:w="72" w:type="dxa"/>
      </w:tblCellMar>
    </w:tblPr>
    <w:trPr>
      <w:jc w:val="center"/>
    </w:trPr>
    <w:tcPr>
      <w:shd w:val="clear" w:color="auto" w:fill="auto"/>
      <w:vAlign w:val="center"/>
    </w:tcPr>
    <w:tblStylePr w:type="firstRow">
      <w:pPr>
        <w:wordWrap/>
        <w:spacing w:beforeLines="0" w:before="0" w:beforeAutospacing="0" w:afterLines="0" w:after="0" w:afterAutospacing="0" w:line="240" w:lineRule="auto"/>
        <w:ind w:leftChars="0" w:left="0" w:rightChars="0" w:right="0" w:firstLineChars="0" w:firstLine="0"/>
        <w:contextualSpacing/>
        <w:jc w:val="center"/>
        <w:outlineLvl w:val="9"/>
      </w:pPr>
      <w:rPr>
        <w:rFonts w:ascii="Franklin Gothic Book" w:hAnsi="Franklin Gothic Book"/>
        <w:b w:val="0"/>
        <w:i w:val="0"/>
        <w:iCs/>
        <w:color w:val="1FA9E1" w:themeColor="accent3"/>
        <w:sz w:val="18"/>
      </w:rPr>
      <w:tblPr/>
      <w:tcPr>
        <w:tcBorders>
          <w:bottom w:val="single" w:sz="4" w:space="0" w:color="FFFFFF" w:themeColor="background2"/>
        </w:tcBorders>
        <w:shd w:val="clear" w:color="auto" w:fill="053572" w:themeFill="text2"/>
      </w:tcPr>
    </w:tblStylePr>
    <w:tblStylePr w:type="lastRow">
      <w:pPr>
        <w:jc w:val="left"/>
      </w:pPr>
      <w:rPr>
        <w:rFonts w:asciiTheme="minorHAnsi" w:hAnsiTheme="minorHAnsi"/>
        <w:b/>
        <w:color w:val="auto"/>
        <w:sz w:val="20"/>
      </w:r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shd w:val="clear" w:color="auto" w:fill="auto"/>
      </w:tcPr>
    </w:tblStylePr>
    <w:tblStylePr w:type="firstCol">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shd w:val="clear" w:color="auto" w:fill="auto"/>
      </w:tcPr>
    </w:tblStylePr>
    <w:tblStylePr w:type="lastCol">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1Vert">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2Vert">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1Horz">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2Horz">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PageNumber">
    <w:name w:val="page number"/>
    <w:basedOn w:val="DefaultParagraphFont"/>
    <w:uiPriority w:val="99"/>
    <w:semiHidden/>
    <w:rsid w:val="00B51ADD"/>
  </w:style>
  <w:style w:type="character" w:styleId="PlaceholderText">
    <w:name w:val="Placeholder Text"/>
    <w:basedOn w:val="DefaultParagraphFont"/>
    <w:uiPriority w:val="99"/>
    <w:semiHidden/>
    <w:rsid w:val="002C33BF"/>
    <w:rPr>
      <w:color w:val="808080"/>
    </w:rPr>
  </w:style>
  <w:style w:type="table" w:styleId="PlainTable1">
    <w:name w:val="Plain Table 1"/>
    <w:basedOn w:val="TableNormal"/>
    <w:uiPriority w:val="41"/>
    <w:locked/>
    <w:rsid w:val="006143D1"/>
    <w:pPr>
      <w:spacing w:before="200" w:after="0" w:line="240" w:lineRule="auto"/>
    </w:pPr>
    <w:rPr>
      <w:rFonts w:ascii="Franklin Gothic Book" w:eastAsia="Times New Roman" w:hAnsi="Franklin Gothic Book" w:cs="Times New Roman"/>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locked/>
    <w:rsid w:val="00904FB6"/>
    <w:pPr>
      <w:spacing w:before="200" w:after="0" w:line="240" w:lineRule="auto"/>
    </w:pPr>
    <w:rPr>
      <w:rFonts w:ascii="Franklin Gothic Book" w:eastAsia="Times New Roman" w:hAnsi="Franklin Gothic Book" w:cs="Times New Roman"/>
      <w:lang w:val="en-US"/>
    </w:rPr>
    <w:tblPr>
      <w:tblStyleRowBandSize w:val="1"/>
      <w:tblStyleColBandSize w:val="1"/>
    </w:tblPr>
    <w:tblStylePr w:type="firstRow">
      <w:rPr>
        <w:b/>
        <w:bCs/>
        <w:caps/>
      </w:rPr>
      <w:tblPr/>
      <w:tcPr>
        <w:tcBorders>
          <w:bottom w:val="single" w:sz="4" w:space="0" w:color="A0A3AD"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0A3AD"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QuoteStyle">
    <w:name w:val="Quote Style"/>
    <w:basedOn w:val="Normal"/>
    <w:next w:val="Normal"/>
    <w:uiPriority w:val="5"/>
    <w:rsid w:val="00D075CA"/>
    <w:pPr>
      <w:jc w:val="center"/>
    </w:pPr>
    <w:rPr>
      <w:color w:val="6B9BDE" w:themeColor="accent2" w:themeTint="99"/>
      <w:sz w:val="24"/>
    </w:rPr>
  </w:style>
  <w:style w:type="paragraph" w:styleId="Quote">
    <w:name w:val="Quote"/>
    <w:basedOn w:val="Normal"/>
    <w:next w:val="Normal"/>
    <w:uiPriority w:val="99"/>
    <w:semiHidden/>
    <w:qFormat/>
    <w:rsid w:val="00C970BA"/>
    <w:pPr>
      <w:ind w:left="864" w:right="864"/>
      <w:jc w:val="center"/>
    </w:pPr>
    <w:rPr>
      <w:i/>
      <w:iCs/>
    </w:rPr>
  </w:style>
  <w:style w:type="paragraph" w:styleId="Signature">
    <w:name w:val="Signature"/>
    <w:basedOn w:val="Normal"/>
    <w:uiPriority w:val="99"/>
    <w:semiHidden/>
    <w:rsid w:val="00B51ADD"/>
    <w:pPr>
      <w:spacing w:after="0"/>
      <w:ind w:left="4320"/>
    </w:pPr>
  </w:style>
  <w:style w:type="paragraph" w:styleId="Subtitle">
    <w:name w:val="Subtitle"/>
    <w:aliases w:val="Title 2"/>
    <w:basedOn w:val="Normal"/>
    <w:next w:val="Normal"/>
    <w:link w:val="SubtitleChar"/>
    <w:uiPriority w:val="69"/>
    <w:rsid w:val="00B85543"/>
    <w:pPr>
      <w:ind w:left="446" w:right="6163"/>
    </w:pPr>
    <w:rPr>
      <w:rFonts w:ascii="Rift Soft" w:hAnsi="Rift Soft"/>
      <w:color w:val="265EAC" w:themeColor="accent2"/>
      <w:sz w:val="40"/>
      <w:szCs w:val="44"/>
    </w:rPr>
  </w:style>
  <w:style w:type="paragraph" w:customStyle="1" w:styleId="Title3">
    <w:name w:val="Title 3"/>
    <w:basedOn w:val="Normal"/>
    <w:uiPriority w:val="69"/>
    <w:rsid w:val="00B85543"/>
    <w:pPr>
      <w:spacing w:after="0"/>
      <w:ind w:left="446" w:right="6163"/>
    </w:pPr>
    <w:rPr>
      <w:rFonts w:ascii="Rift Soft" w:hAnsi="Rift Soft"/>
      <w:sz w:val="32"/>
      <w:szCs w:val="28"/>
    </w:rPr>
  </w:style>
  <w:style w:type="character" w:styleId="SubtleEmphasis">
    <w:name w:val="Subtle Emphasis"/>
    <w:aliases w:val="Emphasis (Subtle)"/>
    <w:uiPriority w:val="4"/>
    <w:qFormat/>
    <w:rsid w:val="00E7019E"/>
    <w:rPr>
      <w:rFonts w:asciiTheme="minorHAnsi" w:hAnsiTheme="minorHAnsi"/>
      <w:b/>
      <w:iCs/>
      <w:color w:val="4A4D56" w:themeColor="text1"/>
      <w:sz w:val="22"/>
    </w:rPr>
  </w:style>
  <w:style w:type="paragraph" w:styleId="TOC1">
    <w:name w:val="toc 1"/>
    <w:aliases w:val="TOC Entries"/>
    <w:basedOn w:val="Normal"/>
    <w:next w:val="Normal"/>
    <w:autoRedefine/>
    <w:uiPriority w:val="39"/>
    <w:qFormat/>
    <w:rsid w:val="00155088"/>
    <w:pPr>
      <w:tabs>
        <w:tab w:val="left" w:pos="1584"/>
        <w:tab w:val="right" w:leader="dot" w:pos="10746"/>
      </w:tabs>
      <w:spacing w:before="120" w:after="120"/>
      <w:ind w:left="360" w:right="-4" w:hanging="360"/>
    </w:pPr>
    <w:rPr>
      <w:noProof/>
    </w:rPr>
  </w:style>
  <w:style w:type="paragraph" w:styleId="TOC2">
    <w:name w:val="toc 2"/>
    <w:aliases w:val="TOC 2 Style"/>
    <w:basedOn w:val="Normal"/>
    <w:next w:val="Normal"/>
    <w:autoRedefine/>
    <w:uiPriority w:val="39"/>
    <w:rsid w:val="00A14F20"/>
    <w:pPr>
      <w:tabs>
        <w:tab w:val="left" w:leader="dot" w:pos="1152"/>
        <w:tab w:val="right" w:leader="dot" w:pos="10746"/>
      </w:tabs>
      <w:spacing w:before="120" w:after="120"/>
      <w:ind w:left="936" w:right="360" w:hanging="504"/>
    </w:pPr>
    <w:rPr>
      <w:noProof/>
    </w:rPr>
  </w:style>
  <w:style w:type="paragraph" w:styleId="TOC3">
    <w:name w:val="toc 3"/>
    <w:basedOn w:val="Normal"/>
    <w:next w:val="Normal"/>
    <w:autoRedefine/>
    <w:uiPriority w:val="39"/>
    <w:rsid w:val="00046703"/>
    <w:pPr>
      <w:tabs>
        <w:tab w:val="right" w:leader="dot" w:pos="9360"/>
      </w:tabs>
      <w:spacing w:before="100"/>
      <w:ind w:left="1584" w:right="333" w:hanging="648"/>
    </w:pPr>
  </w:style>
  <w:style w:type="paragraph" w:styleId="TOC4">
    <w:name w:val="toc 4"/>
    <w:basedOn w:val="Normal"/>
    <w:next w:val="Normal"/>
    <w:autoRedefine/>
    <w:uiPriority w:val="39"/>
    <w:semiHidden/>
    <w:rsid w:val="00721364"/>
    <w:pPr>
      <w:spacing w:after="0"/>
      <w:ind w:left="660"/>
    </w:pPr>
    <w:rPr>
      <w:sz w:val="20"/>
      <w:szCs w:val="20"/>
    </w:rPr>
  </w:style>
  <w:style w:type="paragraph" w:styleId="TOC5">
    <w:name w:val="toc 5"/>
    <w:basedOn w:val="Normal"/>
    <w:next w:val="Normal"/>
    <w:autoRedefine/>
    <w:uiPriority w:val="39"/>
    <w:semiHidden/>
    <w:rsid w:val="00721364"/>
    <w:pPr>
      <w:spacing w:after="0"/>
      <w:ind w:left="880"/>
    </w:pPr>
    <w:rPr>
      <w:sz w:val="20"/>
      <w:szCs w:val="20"/>
    </w:rPr>
  </w:style>
  <w:style w:type="paragraph" w:styleId="TOC6">
    <w:name w:val="toc 6"/>
    <w:basedOn w:val="Normal"/>
    <w:next w:val="Normal"/>
    <w:autoRedefine/>
    <w:uiPriority w:val="39"/>
    <w:semiHidden/>
    <w:rsid w:val="00721364"/>
    <w:pPr>
      <w:spacing w:after="0"/>
      <w:ind w:left="1100"/>
    </w:pPr>
    <w:rPr>
      <w:sz w:val="20"/>
      <w:szCs w:val="20"/>
    </w:rPr>
  </w:style>
  <w:style w:type="paragraph" w:styleId="TOC9">
    <w:name w:val="toc 9"/>
    <w:basedOn w:val="Normal"/>
    <w:next w:val="Normal"/>
    <w:autoRedefine/>
    <w:uiPriority w:val="99"/>
    <w:semiHidden/>
    <w:rsid w:val="00102DB2"/>
    <w:pPr>
      <w:spacing w:after="100"/>
      <w:ind w:left="1760"/>
    </w:pPr>
  </w:style>
  <w:style w:type="paragraph" w:styleId="TOCHeading">
    <w:name w:val="TOC Heading"/>
    <w:basedOn w:val="Normal"/>
    <w:uiPriority w:val="39"/>
    <w:qFormat/>
    <w:rsid w:val="003B615C"/>
    <w:pPr>
      <w:spacing w:line="500" w:lineRule="exact"/>
    </w:pPr>
    <w:rPr>
      <w:rFonts w:ascii="Rift Soft" w:hAnsi="Rift Soft"/>
      <w:color w:val="053572"/>
      <w:sz w:val="48"/>
      <w:szCs w:val="48"/>
    </w:rPr>
  </w:style>
  <w:style w:type="table" w:styleId="Table3Deffects3">
    <w:name w:val="Table 3D effects 3"/>
    <w:basedOn w:val="TableNormal"/>
    <w:locked/>
    <w:rsid w:val="004B54F7"/>
    <w:pPr>
      <w:spacing w:before="200" w:line="240" w:lineRule="auto"/>
      <w:jc w:val="both"/>
    </w:pPr>
    <w:rPr>
      <w:rFonts w:ascii="Franklin Gothic Book" w:eastAsia="Times New Roman" w:hAnsi="Franklin Gothic Book" w:cs="Times New Roman"/>
      <w:lang w:val="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Bullet">
    <w:name w:val="Table Bullet"/>
    <w:basedOn w:val="Normal"/>
    <w:uiPriority w:val="6"/>
    <w:qFormat/>
    <w:rsid w:val="00800410"/>
    <w:pPr>
      <w:numPr>
        <w:numId w:val="13"/>
      </w:numPr>
      <w:spacing w:after="0"/>
      <w:ind w:left="144" w:hanging="144"/>
    </w:pPr>
    <w:rPr>
      <w:sz w:val="20"/>
      <w:szCs w:val="20"/>
    </w:rPr>
  </w:style>
  <w:style w:type="paragraph" w:customStyle="1" w:styleId="TableCenterText">
    <w:name w:val="Table Center Text"/>
    <w:uiPriority w:val="6"/>
    <w:rsid w:val="00150B28"/>
    <w:pPr>
      <w:spacing w:before="10" w:after="0" w:line="240" w:lineRule="auto"/>
      <w:jc w:val="center"/>
    </w:pPr>
    <w:rPr>
      <w:rFonts w:ascii="Franklin Gothic Book" w:eastAsia="Times New Roman" w:hAnsi="Franklin Gothic Book" w:cs="Times New Roman"/>
      <w:color w:val="4A4D56" w:themeColor="text1"/>
      <w:sz w:val="20"/>
      <w:lang w:val="en-US"/>
    </w:rPr>
  </w:style>
  <w:style w:type="table" w:styleId="TableGrid">
    <w:name w:val="Table Grid"/>
    <w:locked/>
    <w:rsid w:val="002B512D"/>
    <w:pPr>
      <w:spacing w:after="0" w:line="240" w:lineRule="auto"/>
    </w:pPr>
    <w:rPr>
      <w:rFonts w:ascii="Franklin Gothic Book" w:eastAsia="Times New Roman" w:hAnsi="Franklin Gothic Book" w:cs="Times New Roman"/>
      <w:color w:val="FFFFFF"/>
      <w:sz w:val="20"/>
      <w:szCs w:val="20"/>
      <w:lang w:val="en-US" w:eastAsia="en-ZA"/>
    </w:rPr>
    <w:tblPr>
      <w:tblStyleRowBandSize w:val="1"/>
      <w:tblStyleColBandSize w:val="1"/>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72" w:type="dxa"/>
        <w:bottom w:w="29" w:type="dxa"/>
        <w:right w:w="72" w:type="dxa"/>
      </w:tblCellMar>
    </w:tblPr>
    <w:trPr>
      <w:jc w:val="center"/>
    </w:trPr>
    <w:tcPr>
      <w:shd w:val="clear" w:color="auto" w:fill="auto"/>
      <w:vAlign w:val="center"/>
    </w:tcPr>
    <w:tblStylePr w:type="firstRow">
      <w:pPr>
        <w:wordWrap/>
        <w:spacing w:beforeLines="0" w:before="0" w:beforeAutospacing="0" w:afterLines="0" w:after="0" w:afterAutospacing="0" w:line="240" w:lineRule="auto"/>
        <w:ind w:leftChars="0" w:left="0" w:rightChars="0" w:right="0" w:firstLineChars="0" w:firstLine="0"/>
        <w:contextualSpacing/>
        <w:jc w:val="center"/>
        <w:outlineLvl w:val="9"/>
      </w:pPr>
      <w:tblPr/>
      <w:trPr>
        <w:tblHeader/>
      </w:trPr>
      <w:tcPr>
        <w:tcBorders>
          <w:bottom w:val="single" w:sz="6" w:space="0" w:color="000000"/>
        </w:tcBorders>
        <w:shd w:val="clear" w:color="auto" w:fill="053572" w:themeFill="text2"/>
      </w:tcPr>
    </w:tblStylePr>
    <w:tblStylePr w:type="lastRow">
      <w:pPr>
        <w:jc w:val="left"/>
      </w:pPr>
      <w:rPr>
        <w:rFonts w:asciiTheme="minorHAnsi" w:hAnsiTheme="minorHAnsi"/>
        <w:b/>
        <w:color w:val="auto"/>
        <w:sz w:val="20"/>
      </w:r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shd w:val="clear" w:color="auto" w:fill="auto"/>
      </w:tcPr>
    </w:tblStylePr>
    <w:tblStylePr w:type="firstCol">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shd w:val="clear" w:color="auto" w:fill="auto"/>
      </w:tcPr>
    </w:tblStylePr>
    <w:tblStylePr w:type="lastCol">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1Vert">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2Vert">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1Horz">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2Horz">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LeftText">
    <w:name w:val="Table Left Text"/>
    <w:uiPriority w:val="6"/>
    <w:qFormat/>
    <w:rsid w:val="00150B28"/>
    <w:pPr>
      <w:spacing w:before="10" w:after="0" w:line="240" w:lineRule="auto"/>
    </w:pPr>
    <w:rPr>
      <w:rFonts w:ascii="Franklin Gothic Book" w:eastAsia="Times New Roman" w:hAnsi="Franklin Gothic Book" w:cs="Times New Roman"/>
      <w:color w:val="4A4D56" w:themeColor="text1"/>
      <w:sz w:val="20"/>
      <w:lang w:val="en-US"/>
    </w:rPr>
  </w:style>
  <w:style w:type="paragraph" w:customStyle="1" w:styleId="TableRightText">
    <w:name w:val="Table Right Text"/>
    <w:basedOn w:val="Normal"/>
    <w:uiPriority w:val="6"/>
    <w:rsid w:val="00150B28"/>
    <w:pPr>
      <w:spacing w:before="10" w:after="0"/>
      <w:jc w:val="right"/>
    </w:pPr>
    <w:rPr>
      <w:sz w:val="20"/>
    </w:rPr>
  </w:style>
  <w:style w:type="paragraph" w:customStyle="1" w:styleId="TableHeadingCentered">
    <w:name w:val="Table Heading (Centered)"/>
    <w:uiPriority w:val="6"/>
    <w:qFormat/>
    <w:rsid w:val="00150B28"/>
    <w:pPr>
      <w:spacing w:before="10" w:after="0" w:line="240" w:lineRule="auto"/>
      <w:jc w:val="center"/>
    </w:pPr>
    <w:rPr>
      <w:rFonts w:ascii="Franklin Gothic Medium" w:eastAsia="Times New Roman" w:hAnsi="Franklin Gothic Medium" w:cs="Times New Roman"/>
      <w:color w:val="FFFFFF" w:themeColor="background1"/>
      <w:sz w:val="20"/>
      <w:szCs w:val="20"/>
      <w:lang w:val="en-US"/>
    </w:rPr>
  </w:style>
  <w:style w:type="paragraph" w:customStyle="1" w:styleId="TableWhiteTextBook">
    <w:name w:val="Table White Text (Book)"/>
    <w:uiPriority w:val="6"/>
    <w:rsid w:val="00150B28"/>
    <w:pPr>
      <w:spacing w:before="10" w:after="0" w:line="240" w:lineRule="auto"/>
    </w:pPr>
    <w:rPr>
      <w:rFonts w:ascii="Franklin Gothic Book" w:eastAsia="Times New Roman" w:hAnsi="Franklin Gothic Book" w:cs="Times New Roman"/>
      <w:color w:val="FFFFFF"/>
      <w:sz w:val="20"/>
      <w:szCs w:val="20"/>
      <w:lang w:val="en-US"/>
    </w:rPr>
  </w:style>
  <w:style w:type="paragraph" w:styleId="TableofFigures">
    <w:name w:val="table of figures"/>
    <w:basedOn w:val="Normal"/>
    <w:next w:val="Normal"/>
    <w:uiPriority w:val="99"/>
    <w:rsid w:val="00A37A81"/>
    <w:pPr>
      <w:tabs>
        <w:tab w:val="right" w:leader="dot" w:pos="10742"/>
      </w:tabs>
      <w:spacing w:before="120" w:after="120"/>
      <w:ind w:right="360"/>
    </w:pPr>
  </w:style>
  <w:style w:type="paragraph" w:customStyle="1" w:styleId="TableFootnote">
    <w:name w:val="Table_Footnote"/>
    <w:uiPriority w:val="6"/>
    <w:rsid w:val="007C5AA1"/>
    <w:pPr>
      <w:spacing w:before="40" w:after="60" w:line="240" w:lineRule="auto"/>
      <w:jc w:val="both"/>
    </w:pPr>
    <w:rPr>
      <w:rFonts w:ascii="Franklin Gothic Book" w:eastAsia="Times New Roman" w:hAnsi="Franklin Gothic Book" w:cs="Times New Roman"/>
      <w:color w:val="4A4D56" w:themeColor="text1"/>
      <w:sz w:val="18"/>
      <w:szCs w:val="19"/>
      <w:lang w:val="en-US"/>
    </w:rPr>
  </w:style>
  <w:style w:type="paragraph" w:styleId="Title">
    <w:name w:val="Title"/>
    <w:basedOn w:val="Normal"/>
    <w:next w:val="Normal"/>
    <w:link w:val="TitleChar"/>
    <w:uiPriority w:val="69"/>
    <w:qFormat/>
    <w:rsid w:val="00B65B28"/>
    <w:pPr>
      <w:spacing w:after="0" w:line="800" w:lineRule="exact"/>
      <w:ind w:left="435" w:right="4290"/>
    </w:pPr>
    <w:rPr>
      <w:rFonts w:ascii="Rift Soft Medium" w:hAnsi="Rift Soft Medium"/>
      <w:color w:val="053572"/>
      <w:sz w:val="56"/>
      <w:szCs w:val="72"/>
      <w:lang w:val="en-ZA"/>
    </w:rPr>
  </w:style>
  <w:style w:type="character" w:styleId="UnresolvedMention">
    <w:name w:val="Unresolved Mention"/>
    <w:basedOn w:val="DefaultParagraphFont"/>
    <w:uiPriority w:val="99"/>
    <w:semiHidden/>
    <w:unhideWhenUsed/>
    <w:rsid w:val="00E71369"/>
    <w:rPr>
      <w:color w:val="605E5C"/>
      <w:shd w:val="clear" w:color="auto" w:fill="E1DFDD"/>
    </w:rPr>
  </w:style>
  <w:style w:type="table" w:customStyle="1" w:styleId="ODExcelPlaceholder">
    <w:name w:val="_OD Excel Placeholder"/>
    <w:basedOn w:val="TableNormal"/>
    <w:uiPriority w:val="99"/>
    <w:rsid w:val="00865C6A"/>
    <w:pPr>
      <w:spacing w:after="0"/>
    </w:pPr>
    <w:rPr>
      <w:sz w:val="18"/>
    </w:rPr>
    <w:tblPr>
      <w:tblCellMar>
        <w:left w:w="0" w:type="dxa"/>
        <w:right w:w="0" w:type="dxa"/>
      </w:tblCellMar>
    </w:tblPr>
    <w:tblStylePr w:type="firstRow">
      <w:pPr>
        <w:wordWrap/>
        <w:spacing w:beforeLines="0" w:before="0" w:beforeAutospacing="0" w:afterLines="0" w:after="0" w:afterAutospacing="0" w:line="240" w:lineRule="auto"/>
        <w:ind w:leftChars="0" w:left="0" w:rightChars="0" w:right="0"/>
        <w:jc w:val="center"/>
        <w:outlineLvl w:val="9"/>
      </w:pPr>
      <w:rPr>
        <w:rFonts w:asciiTheme="minorHAnsi" w:hAnsiTheme="minorHAnsi"/>
        <w:sz w:val="18"/>
      </w:rPr>
    </w:tblStylePr>
  </w:style>
  <w:style w:type="paragraph" w:customStyle="1" w:styleId="zSRnote">
    <w:name w:val="zSR note"/>
    <w:basedOn w:val="Normal"/>
    <w:uiPriority w:val="99"/>
    <w:semiHidden/>
    <w:locked/>
    <w:rsid w:val="000C2EF9"/>
    <w:pPr>
      <w:spacing w:after="0"/>
    </w:pPr>
    <w:rPr>
      <w:color w:val="C00000"/>
    </w:rPr>
  </w:style>
  <w:style w:type="character" w:customStyle="1" w:styleId="BodyTextChar">
    <w:name w:val="Body Text Char"/>
    <w:basedOn w:val="DefaultParagraphFont"/>
    <w:link w:val="BodyText"/>
    <w:uiPriority w:val="69"/>
    <w:semiHidden/>
    <w:rsid w:val="00E7019E"/>
    <w:rPr>
      <w:rFonts w:ascii="Franklin Gothic Book" w:eastAsia="Times New Roman" w:hAnsi="Franklin Gothic Book" w:cs="Times New Roman"/>
      <w:color w:val="4A4D56" w:themeColor="text1"/>
      <w:lang w:val="en-US"/>
    </w:rPr>
  </w:style>
  <w:style w:type="paragraph" w:styleId="IntenseQuote">
    <w:name w:val="Intense Quote"/>
    <w:basedOn w:val="Normal"/>
    <w:next w:val="Normal"/>
    <w:link w:val="IntenseQuoteChar"/>
    <w:uiPriority w:val="30"/>
    <w:qFormat/>
    <w:rsid w:val="00D075CA"/>
    <w:pPr>
      <w:pBdr>
        <w:top w:val="single" w:sz="4" w:space="10" w:color="172B54"/>
        <w:bottom w:val="single" w:sz="4" w:space="10" w:color="172B54"/>
      </w:pBdr>
      <w:spacing w:before="360" w:after="360" w:line="240" w:lineRule="auto"/>
      <w:ind w:left="864" w:right="864"/>
      <w:jc w:val="center"/>
    </w:pPr>
    <w:rPr>
      <w:rFonts w:eastAsia="Franklin Gothic Book"/>
      <w:i/>
      <w:iCs/>
      <w:color w:val="809EDC" w:themeColor="accent1" w:themeTint="66"/>
      <w:sz w:val="24"/>
    </w:rPr>
  </w:style>
  <w:style w:type="character" w:customStyle="1" w:styleId="IntenseQuoteChar">
    <w:name w:val="Intense Quote Char"/>
    <w:basedOn w:val="DefaultParagraphFont"/>
    <w:link w:val="IntenseQuote"/>
    <w:uiPriority w:val="30"/>
    <w:rsid w:val="00D075CA"/>
    <w:rPr>
      <w:rFonts w:ascii="Franklin Gothic Book" w:eastAsia="Franklin Gothic Book" w:hAnsi="Franklin Gothic Book" w:cs="Times New Roman"/>
      <w:i/>
      <w:iCs/>
      <w:color w:val="809EDC" w:themeColor="accent1" w:themeTint="66"/>
      <w:sz w:val="24"/>
      <w:lang w:val="en-US"/>
    </w:rPr>
  </w:style>
  <w:style w:type="character" w:customStyle="1" w:styleId="TitleChar">
    <w:name w:val="Title Char"/>
    <w:basedOn w:val="DefaultParagraphFont"/>
    <w:link w:val="Title"/>
    <w:uiPriority w:val="69"/>
    <w:rsid w:val="00D4245B"/>
    <w:rPr>
      <w:rFonts w:ascii="Rift Soft Medium" w:eastAsia="Times New Roman" w:hAnsi="Rift Soft Medium" w:cs="Times New Roman"/>
      <w:color w:val="053572"/>
      <w:sz w:val="56"/>
      <w:szCs w:val="72"/>
    </w:rPr>
  </w:style>
  <w:style w:type="paragraph" w:customStyle="1" w:styleId="SectionName">
    <w:name w:val="Section Name"/>
    <w:link w:val="SectionNameChar"/>
    <w:unhideWhenUsed/>
    <w:qFormat/>
    <w:rsid w:val="00994030"/>
    <w:pPr>
      <w:spacing w:before="300" w:after="300"/>
      <w:ind w:left="435" w:right="2610"/>
    </w:pPr>
    <w:rPr>
      <w:rFonts w:ascii="Rift Soft Medium" w:eastAsia="Times New Roman" w:hAnsi="Rift Soft Medium" w:cs="Times New Roman"/>
      <w:iCs/>
      <w:noProof/>
      <w:color w:val="172B54" w:themeColor="accent1"/>
      <w:sz w:val="72"/>
      <w:szCs w:val="72"/>
    </w:rPr>
  </w:style>
  <w:style w:type="character" w:customStyle="1" w:styleId="SectionNameChar">
    <w:name w:val="Section Name Char"/>
    <w:basedOn w:val="DefaultParagraphFont"/>
    <w:link w:val="SectionName"/>
    <w:rsid w:val="006306B7"/>
    <w:rPr>
      <w:rFonts w:ascii="Rift Soft Medium" w:eastAsia="Times New Roman" w:hAnsi="Rift Soft Medium" w:cs="Times New Roman"/>
      <w:iCs/>
      <w:noProof/>
      <w:color w:val="172B54" w:themeColor="accent1"/>
      <w:sz w:val="72"/>
      <w:szCs w:val="72"/>
    </w:rPr>
  </w:style>
  <w:style w:type="paragraph" w:styleId="Header">
    <w:name w:val="header"/>
    <w:basedOn w:val="Normal"/>
    <w:link w:val="HeaderChar"/>
    <w:uiPriority w:val="99"/>
    <w:rsid w:val="00196D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019E"/>
    <w:rPr>
      <w:rFonts w:ascii="Franklin Gothic Book" w:eastAsia="Times New Roman" w:hAnsi="Franklin Gothic Book" w:cs="Times New Roman"/>
      <w:color w:val="4A4D56" w:themeColor="text1"/>
      <w:lang w:val="en-US"/>
    </w:rPr>
  </w:style>
  <w:style w:type="paragraph" w:customStyle="1" w:styleId="SectionSubtitle">
    <w:name w:val="Section Subtitle"/>
    <w:basedOn w:val="SectionName"/>
    <w:link w:val="SectionSubtitleChar"/>
    <w:unhideWhenUsed/>
    <w:qFormat/>
    <w:rsid w:val="00A5705E"/>
    <w:rPr>
      <w:rFonts w:ascii="Rift Soft" w:hAnsi="Rift Soft"/>
      <w:color w:val="1FA9E1" w:themeColor="accent3"/>
      <w:sz w:val="40"/>
      <w:szCs w:val="40"/>
      <w:lang w:val="en-US"/>
    </w:rPr>
  </w:style>
  <w:style w:type="character" w:customStyle="1" w:styleId="SectionSubtitleChar">
    <w:name w:val="Section Subtitle Char"/>
    <w:basedOn w:val="DefaultParagraphFont"/>
    <w:link w:val="SectionSubtitle"/>
    <w:rsid w:val="006306B7"/>
    <w:rPr>
      <w:rFonts w:ascii="Rift Soft" w:eastAsia="Times New Roman" w:hAnsi="Rift Soft" w:cs="Times New Roman"/>
      <w:iCs/>
      <w:noProof/>
      <w:color w:val="1FA9E1" w:themeColor="accent3"/>
      <w:sz w:val="40"/>
      <w:szCs w:val="40"/>
      <w:lang w:val="en-US"/>
    </w:rPr>
  </w:style>
  <w:style w:type="character" w:customStyle="1" w:styleId="NoSpacingChar">
    <w:name w:val="No Spacing Char"/>
    <w:basedOn w:val="DefaultParagraphFont"/>
    <w:link w:val="NoSpacing"/>
    <w:uiPriority w:val="1"/>
    <w:rsid w:val="001F322C"/>
    <w:rPr>
      <w:rFonts w:ascii="Franklin Gothic Book" w:eastAsia="Times New Roman" w:hAnsi="Franklin Gothic Book" w:cs="Times New Roman"/>
      <w:color w:val="4A4D56" w:themeColor="text1"/>
      <w:lang w:val="en-US"/>
    </w:rPr>
  </w:style>
  <w:style w:type="table" w:customStyle="1" w:styleId="ODTable1">
    <w:name w:val="OD Table 1"/>
    <w:basedOn w:val="TableNormal"/>
    <w:uiPriority w:val="99"/>
    <w:rsid w:val="008F0909"/>
    <w:pPr>
      <w:spacing w:after="0" w:line="240" w:lineRule="auto"/>
    </w:pPr>
    <w:tblPr/>
  </w:style>
  <w:style w:type="numbering" w:customStyle="1" w:styleId="ODXAPPENDIX">
    <w:name w:val="ODX APPENDIX"/>
    <w:uiPriority w:val="99"/>
    <w:rsid w:val="008B2F0D"/>
    <w:pPr>
      <w:numPr>
        <w:numId w:val="15"/>
      </w:numPr>
    </w:pPr>
  </w:style>
  <w:style w:type="character" w:styleId="SmartLink">
    <w:name w:val="Smart Link"/>
    <w:basedOn w:val="DefaultParagraphFont"/>
    <w:uiPriority w:val="99"/>
    <w:semiHidden/>
    <w:unhideWhenUsed/>
    <w:rsid w:val="000C2EF9"/>
    <w:rPr>
      <w:rFonts w:asciiTheme="minorHAnsi" w:hAnsiTheme="minorHAnsi"/>
      <w:color w:val="1FA9E1" w:themeColor="accent3"/>
      <w:sz w:val="22"/>
      <w:u w:val="single"/>
      <w:shd w:val="clear" w:color="auto" w:fill="F3F2F1"/>
    </w:rPr>
  </w:style>
  <w:style w:type="paragraph" w:customStyle="1" w:styleId="TableHeadingLeft">
    <w:name w:val="Table Heading (Left)"/>
    <w:basedOn w:val="TableHeadingCentered"/>
    <w:qFormat/>
    <w:rsid w:val="007C5AA1"/>
    <w:pPr>
      <w:jc w:val="left"/>
    </w:pPr>
  </w:style>
  <w:style w:type="paragraph" w:customStyle="1" w:styleId="Source">
    <w:name w:val="Source"/>
    <w:basedOn w:val="Caption"/>
    <w:next w:val="Normal"/>
    <w:link w:val="SourceChar"/>
    <w:qFormat/>
    <w:rsid w:val="00D546DC"/>
    <w:pPr>
      <w:spacing w:before="40" w:after="60" w:line="240" w:lineRule="auto"/>
      <w:jc w:val="left"/>
    </w:pPr>
    <w:rPr>
      <w:sz w:val="18"/>
    </w:rPr>
  </w:style>
  <w:style w:type="character" w:customStyle="1" w:styleId="CaptionChar">
    <w:name w:val="Caption Char"/>
    <w:basedOn w:val="DefaultParagraphFont"/>
    <w:link w:val="Caption"/>
    <w:uiPriority w:val="35"/>
    <w:rsid w:val="00287BC8"/>
    <w:rPr>
      <w:rFonts w:ascii="Franklin Gothic Book" w:eastAsia="Times New Roman" w:hAnsi="Franklin Gothic Book" w:cs="Times New Roman"/>
      <w:bCs/>
      <w:color w:val="4A4D56" w:themeColor="text1"/>
      <w:szCs w:val="20"/>
      <w:lang w:val="en-US"/>
    </w:rPr>
  </w:style>
  <w:style w:type="character" w:customStyle="1" w:styleId="SourceChar">
    <w:name w:val="Source Char"/>
    <w:basedOn w:val="CaptionChar"/>
    <w:link w:val="Source"/>
    <w:rsid w:val="00D546DC"/>
    <w:rPr>
      <w:rFonts w:ascii="Franklin Gothic Book" w:eastAsia="Times New Roman" w:hAnsi="Franklin Gothic Book" w:cs="Times New Roman"/>
      <w:bCs/>
      <w:color w:val="4A4D56" w:themeColor="text1"/>
      <w:sz w:val="18"/>
      <w:szCs w:val="20"/>
      <w:lang w:val="en-US"/>
    </w:rPr>
  </w:style>
  <w:style w:type="paragraph" w:customStyle="1" w:styleId="AppendicesEntries">
    <w:name w:val="Appendices Entries"/>
    <w:basedOn w:val="TOC1"/>
    <w:semiHidden/>
    <w:rsid w:val="003C4811"/>
    <w:rPr>
      <w:szCs w:val="20"/>
    </w:rPr>
  </w:style>
  <w:style w:type="paragraph" w:customStyle="1" w:styleId="TableTextLeftMedium">
    <w:name w:val="Table Text Left (Medium)"/>
    <w:basedOn w:val="TableHeadingLeft"/>
    <w:qFormat/>
    <w:rsid w:val="00150B28"/>
    <w:rPr>
      <w:color w:val="4A4D56" w:themeColor="text1"/>
      <w:szCs w:val="22"/>
    </w:rPr>
  </w:style>
  <w:style w:type="numbering" w:customStyle="1" w:styleId="Addendum">
    <w:name w:val="Addendum"/>
    <w:basedOn w:val="NoList"/>
    <w:uiPriority w:val="99"/>
    <w:rsid w:val="00143669"/>
    <w:pPr>
      <w:numPr>
        <w:numId w:val="18"/>
      </w:numPr>
    </w:pPr>
  </w:style>
  <w:style w:type="character" w:customStyle="1" w:styleId="SubtitleChar">
    <w:name w:val="Subtitle Char"/>
    <w:aliases w:val="Title 2 Char"/>
    <w:basedOn w:val="DefaultParagraphFont"/>
    <w:link w:val="Subtitle"/>
    <w:uiPriority w:val="69"/>
    <w:rsid w:val="00344C23"/>
    <w:rPr>
      <w:rFonts w:ascii="Rift Soft" w:eastAsia="Times New Roman" w:hAnsi="Rift Soft" w:cs="Times New Roman"/>
      <w:color w:val="265EAC" w:themeColor="accent2"/>
      <w:sz w:val="40"/>
      <w:szCs w:val="44"/>
      <w:lang w:val="en-US"/>
    </w:rPr>
  </w:style>
  <w:style w:type="paragraph" w:customStyle="1" w:styleId="ResumeStyle2">
    <w:name w:val="Resume Style 2"/>
    <w:basedOn w:val="Normal"/>
    <w:semiHidden/>
    <w:qFormat/>
    <w:rsid w:val="00E7019E"/>
    <w:rPr>
      <w:color w:val="053572" w:themeColor="text2"/>
      <w:sz w:val="24"/>
    </w:rPr>
  </w:style>
  <w:style w:type="paragraph" w:customStyle="1" w:styleId="ResumeText">
    <w:name w:val="Resume Text"/>
    <w:basedOn w:val="Normal"/>
    <w:semiHidden/>
    <w:qFormat/>
    <w:rsid w:val="00D4245B"/>
    <w:pPr>
      <w:spacing w:before="200" w:after="200" w:line="240" w:lineRule="auto"/>
    </w:pPr>
  </w:style>
  <w:style w:type="paragraph" w:customStyle="1" w:styleId="ResumeHeading1">
    <w:name w:val="Resume Heading 1"/>
    <w:basedOn w:val="ResumeText"/>
    <w:semiHidden/>
    <w:qFormat/>
    <w:rsid w:val="00D4245B"/>
    <w:pPr>
      <w:spacing w:before="120" w:after="0"/>
    </w:pPr>
    <w:rPr>
      <w:rFonts w:ascii="Rift Soft Medium" w:hAnsi="Rift Soft Medium"/>
      <w:color w:val="053572" w:themeColor="text2"/>
      <w:sz w:val="56"/>
    </w:rPr>
  </w:style>
  <w:style w:type="paragraph" w:customStyle="1" w:styleId="ResumeHeading2">
    <w:name w:val="Resume Heading 2"/>
    <w:basedOn w:val="ResumeHeading1"/>
    <w:semiHidden/>
    <w:qFormat/>
    <w:rsid w:val="00D4245B"/>
    <w:pPr>
      <w:spacing w:before="40" w:after="100"/>
    </w:pPr>
    <w:rPr>
      <w:rFonts w:ascii="Franklin Gothic Medium" w:hAnsi="Franklin Gothic Medium"/>
      <w:color w:val="1FA9E1" w:themeColor="accent3"/>
      <w:sz w:val="28"/>
    </w:rPr>
  </w:style>
  <w:style w:type="paragraph" w:customStyle="1" w:styleId="Alpha">
    <w:name w:val="Alpha"/>
    <w:basedOn w:val="Heading1"/>
    <w:qFormat/>
    <w:rsid w:val="00E37377"/>
    <w:pPr>
      <w:numPr>
        <w:numId w:val="20"/>
      </w:numPr>
      <w:spacing w:line="440" w:lineRule="exact"/>
    </w:pPr>
  </w:style>
  <w:style w:type="paragraph" w:customStyle="1" w:styleId="AppendixBeta">
    <w:name w:val="Appendix Beta"/>
    <w:basedOn w:val="Heading2"/>
    <w:qFormat/>
    <w:rsid w:val="009E5DB3"/>
    <w:pPr>
      <w:numPr>
        <w:ilvl w:val="0"/>
        <w:numId w:val="0"/>
      </w:numPr>
    </w:pPr>
  </w:style>
  <w:style w:type="paragraph" w:customStyle="1" w:styleId="AppendixGamma">
    <w:name w:val="Appendix Gamma"/>
    <w:basedOn w:val="Heading3"/>
    <w:qFormat/>
    <w:rsid w:val="009E5DB3"/>
    <w:pPr>
      <w:numPr>
        <w:ilvl w:val="0"/>
        <w:numId w:val="0"/>
      </w:numPr>
    </w:pPr>
  </w:style>
  <w:style w:type="character" w:customStyle="1" w:styleId="Heading3Char">
    <w:name w:val="Heading 3 Char"/>
    <w:basedOn w:val="DefaultParagraphFont"/>
    <w:link w:val="Heading3"/>
    <w:uiPriority w:val="9"/>
    <w:rsid w:val="00094C1E"/>
    <w:rPr>
      <w:rFonts w:ascii="Rift Soft Medium" w:eastAsia="Times New Roman" w:hAnsi="Rift Soft Medium" w:cs="Times New Roman"/>
      <w:color w:val="1FA9E1" w:themeColor="accent3"/>
      <w:sz w:val="36"/>
      <w:szCs w:val="24"/>
      <w:lang w:val="en-US"/>
    </w:rPr>
  </w:style>
  <w:style w:type="character" w:styleId="SubtleReference">
    <w:name w:val="Subtle Reference"/>
    <w:basedOn w:val="DefaultParagraphFont"/>
    <w:uiPriority w:val="31"/>
    <w:qFormat/>
    <w:rsid w:val="00C66E7C"/>
    <w:rPr>
      <w:smallCaps/>
      <w:color w:val="858996" w:themeColor="text1" w:themeTint="A5"/>
    </w:rPr>
  </w:style>
  <w:style w:type="character" w:customStyle="1" w:styleId="FootnoteTextChar">
    <w:name w:val="Footnote Text Char"/>
    <w:basedOn w:val="DefaultParagraphFont"/>
    <w:link w:val="FootnoteText"/>
    <w:uiPriority w:val="69"/>
    <w:rsid w:val="00C66E7C"/>
    <w:rPr>
      <w:rFonts w:ascii="Franklin Gothic Book" w:eastAsia="Times New Roman" w:hAnsi="Franklin Gothic Book" w:cs="Times New Roman"/>
      <w:color w:val="4A4D56" w:themeColor="text1"/>
      <w:sz w:val="18"/>
      <w:szCs w:val="20"/>
      <w:lang w:val="en-US"/>
    </w:rPr>
  </w:style>
  <w:style w:type="paragraph" w:styleId="Revision">
    <w:name w:val="Revision"/>
    <w:hidden/>
    <w:uiPriority w:val="99"/>
    <w:semiHidden/>
    <w:rsid w:val="00DC2530"/>
    <w:pPr>
      <w:spacing w:after="0" w:line="240" w:lineRule="auto"/>
    </w:pPr>
    <w:rPr>
      <w:rFonts w:ascii="Franklin Gothic Book" w:eastAsia="Times New Roman" w:hAnsi="Franklin Gothic Book" w:cs="Times New Roman"/>
      <w:color w:val="4A4D56" w:themeColor="text1"/>
      <w:lang w:val="en-US"/>
    </w:rPr>
  </w:style>
  <w:style w:type="character" w:styleId="CommentReference">
    <w:name w:val="annotation reference"/>
    <w:basedOn w:val="DefaultParagraphFont"/>
    <w:uiPriority w:val="99"/>
    <w:semiHidden/>
    <w:unhideWhenUsed/>
    <w:rsid w:val="00DC2530"/>
    <w:rPr>
      <w:sz w:val="16"/>
      <w:szCs w:val="16"/>
    </w:rPr>
  </w:style>
  <w:style w:type="character" w:customStyle="1" w:styleId="Heading2Char">
    <w:name w:val="Heading 2 Char"/>
    <w:basedOn w:val="DefaultParagraphFont"/>
    <w:link w:val="Heading2"/>
    <w:uiPriority w:val="9"/>
    <w:rsid w:val="00FD24D9"/>
    <w:rPr>
      <w:rFonts w:ascii="Rift Soft Medium" w:eastAsia="Times New Roman" w:hAnsi="Rift Soft Medium" w:cs="Times New Roman"/>
      <w:color w:val="416DCB" w:themeColor="accent1" w:themeTint="99"/>
      <w:sz w:val="40"/>
      <w:szCs w:val="24"/>
      <w:lang w:val="en-US"/>
    </w:rPr>
  </w:style>
  <w:style w:type="character" w:customStyle="1" w:styleId="Heading4Char">
    <w:name w:val="Heading 4 Char"/>
    <w:basedOn w:val="DefaultParagraphFont"/>
    <w:link w:val="Heading4"/>
    <w:uiPriority w:val="9"/>
    <w:rsid w:val="00FD24D9"/>
    <w:rPr>
      <w:rFonts w:ascii="Rift Soft Medium" w:eastAsia="Times New Roman" w:hAnsi="Rift Soft Medium" w:cs="Arial"/>
      <w:bCs/>
      <w:color w:val="053572" w:themeColor="text2"/>
      <w:sz w:val="32"/>
      <w:szCs w:val="24"/>
      <w:lang w:val="en-US"/>
    </w:rPr>
  </w:style>
  <w:style w:type="character" w:customStyle="1" w:styleId="CommentTextChar">
    <w:name w:val="Comment Text Char"/>
    <w:basedOn w:val="DefaultParagraphFont"/>
    <w:link w:val="CommentText"/>
    <w:uiPriority w:val="99"/>
    <w:semiHidden/>
    <w:rsid w:val="00691720"/>
    <w:rPr>
      <w:rFonts w:ascii="Franklin Gothic Book" w:eastAsia="Times New Roman" w:hAnsi="Franklin Gothic Book" w:cs="Times New Roman"/>
      <w:color w:val="4A4D56" w:themeColor="text1"/>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7543">
      <w:bodyDiv w:val="1"/>
      <w:marLeft w:val="0"/>
      <w:marRight w:val="0"/>
      <w:marTop w:val="0"/>
      <w:marBottom w:val="0"/>
      <w:divBdr>
        <w:top w:val="none" w:sz="0" w:space="0" w:color="auto"/>
        <w:left w:val="none" w:sz="0" w:space="0" w:color="auto"/>
        <w:bottom w:val="none" w:sz="0" w:space="0" w:color="auto"/>
        <w:right w:val="none" w:sz="0" w:space="0" w:color="auto"/>
      </w:divBdr>
    </w:div>
    <w:div w:id="251009981">
      <w:bodyDiv w:val="1"/>
      <w:marLeft w:val="0"/>
      <w:marRight w:val="0"/>
      <w:marTop w:val="0"/>
      <w:marBottom w:val="0"/>
      <w:divBdr>
        <w:top w:val="none" w:sz="0" w:space="0" w:color="auto"/>
        <w:left w:val="none" w:sz="0" w:space="0" w:color="auto"/>
        <w:bottom w:val="none" w:sz="0" w:space="0" w:color="auto"/>
        <w:right w:val="none" w:sz="0" w:space="0" w:color="auto"/>
      </w:divBdr>
    </w:div>
    <w:div w:id="303589725">
      <w:bodyDiv w:val="1"/>
      <w:marLeft w:val="0"/>
      <w:marRight w:val="0"/>
      <w:marTop w:val="0"/>
      <w:marBottom w:val="0"/>
      <w:divBdr>
        <w:top w:val="none" w:sz="0" w:space="0" w:color="auto"/>
        <w:left w:val="none" w:sz="0" w:space="0" w:color="auto"/>
        <w:bottom w:val="none" w:sz="0" w:space="0" w:color="auto"/>
        <w:right w:val="none" w:sz="0" w:space="0" w:color="auto"/>
      </w:divBdr>
    </w:div>
    <w:div w:id="341737421">
      <w:bodyDiv w:val="1"/>
      <w:marLeft w:val="0"/>
      <w:marRight w:val="0"/>
      <w:marTop w:val="0"/>
      <w:marBottom w:val="0"/>
      <w:divBdr>
        <w:top w:val="none" w:sz="0" w:space="0" w:color="auto"/>
        <w:left w:val="none" w:sz="0" w:space="0" w:color="auto"/>
        <w:bottom w:val="none" w:sz="0" w:space="0" w:color="auto"/>
        <w:right w:val="none" w:sz="0" w:space="0" w:color="auto"/>
      </w:divBdr>
    </w:div>
    <w:div w:id="427040041">
      <w:bodyDiv w:val="1"/>
      <w:marLeft w:val="0"/>
      <w:marRight w:val="0"/>
      <w:marTop w:val="0"/>
      <w:marBottom w:val="0"/>
      <w:divBdr>
        <w:top w:val="none" w:sz="0" w:space="0" w:color="auto"/>
        <w:left w:val="none" w:sz="0" w:space="0" w:color="auto"/>
        <w:bottom w:val="none" w:sz="0" w:space="0" w:color="auto"/>
        <w:right w:val="none" w:sz="0" w:space="0" w:color="auto"/>
      </w:divBdr>
    </w:div>
    <w:div w:id="487869038">
      <w:bodyDiv w:val="1"/>
      <w:marLeft w:val="0"/>
      <w:marRight w:val="0"/>
      <w:marTop w:val="0"/>
      <w:marBottom w:val="0"/>
      <w:divBdr>
        <w:top w:val="none" w:sz="0" w:space="0" w:color="auto"/>
        <w:left w:val="none" w:sz="0" w:space="0" w:color="auto"/>
        <w:bottom w:val="none" w:sz="0" w:space="0" w:color="auto"/>
        <w:right w:val="none" w:sz="0" w:space="0" w:color="auto"/>
      </w:divBdr>
    </w:div>
    <w:div w:id="510536609">
      <w:bodyDiv w:val="1"/>
      <w:marLeft w:val="0"/>
      <w:marRight w:val="0"/>
      <w:marTop w:val="0"/>
      <w:marBottom w:val="0"/>
      <w:divBdr>
        <w:top w:val="none" w:sz="0" w:space="0" w:color="auto"/>
        <w:left w:val="none" w:sz="0" w:space="0" w:color="auto"/>
        <w:bottom w:val="none" w:sz="0" w:space="0" w:color="auto"/>
        <w:right w:val="none" w:sz="0" w:space="0" w:color="auto"/>
      </w:divBdr>
    </w:div>
    <w:div w:id="670378339">
      <w:bodyDiv w:val="1"/>
      <w:marLeft w:val="0"/>
      <w:marRight w:val="0"/>
      <w:marTop w:val="0"/>
      <w:marBottom w:val="0"/>
      <w:divBdr>
        <w:top w:val="none" w:sz="0" w:space="0" w:color="auto"/>
        <w:left w:val="none" w:sz="0" w:space="0" w:color="auto"/>
        <w:bottom w:val="none" w:sz="0" w:space="0" w:color="auto"/>
        <w:right w:val="none" w:sz="0" w:space="0" w:color="auto"/>
      </w:divBdr>
      <w:divsChild>
        <w:div w:id="327907150">
          <w:marLeft w:val="360"/>
          <w:marRight w:val="0"/>
          <w:marTop w:val="96"/>
          <w:marBottom w:val="0"/>
          <w:divBdr>
            <w:top w:val="none" w:sz="0" w:space="0" w:color="auto"/>
            <w:left w:val="none" w:sz="0" w:space="0" w:color="auto"/>
            <w:bottom w:val="none" w:sz="0" w:space="0" w:color="auto"/>
            <w:right w:val="none" w:sz="0" w:space="0" w:color="auto"/>
          </w:divBdr>
        </w:div>
      </w:divsChild>
    </w:div>
    <w:div w:id="1048382734">
      <w:bodyDiv w:val="1"/>
      <w:marLeft w:val="0"/>
      <w:marRight w:val="0"/>
      <w:marTop w:val="0"/>
      <w:marBottom w:val="0"/>
      <w:divBdr>
        <w:top w:val="none" w:sz="0" w:space="0" w:color="auto"/>
        <w:left w:val="none" w:sz="0" w:space="0" w:color="auto"/>
        <w:bottom w:val="none" w:sz="0" w:space="0" w:color="auto"/>
        <w:right w:val="none" w:sz="0" w:space="0" w:color="auto"/>
      </w:divBdr>
    </w:div>
    <w:div w:id="1051151530">
      <w:bodyDiv w:val="1"/>
      <w:marLeft w:val="0"/>
      <w:marRight w:val="0"/>
      <w:marTop w:val="0"/>
      <w:marBottom w:val="0"/>
      <w:divBdr>
        <w:top w:val="none" w:sz="0" w:space="0" w:color="auto"/>
        <w:left w:val="none" w:sz="0" w:space="0" w:color="auto"/>
        <w:bottom w:val="none" w:sz="0" w:space="0" w:color="auto"/>
        <w:right w:val="none" w:sz="0" w:space="0" w:color="auto"/>
      </w:divBdr>
    </w:div>
    <w:div w:id="1062601031">
      <w:bodyDiv w:val="1"/>
      <w:marLeft w:val="0"/>
      <w:marRight w:val="0"/>
      <w:marTop w:val="0"/>
      <w:marBottom w:val="0"/>
      <w:divBdr>
        <w:top w:val="none" w:sz="0" w:space="0" w:color="auto"/>
        <w:left w:val="none" w:sz="0" w:space="0" w:color="auto"/>
        <w:bottom w:val="none" w:sz="0" w:space="0" w:color="auto"/>
        <w:right w:val="none" w:sz="0" w:space="0" w:color="auto"/>
      </w:divBdr>
    </w:div>
    <w:div w:id="1141923768">
      <w:bodyDiv w:val="1"/>
      <w:marLeft w:val="0"/>
      <w:marRight w:val="0"/>
      <w:marTop w:val="0"/>
      <w:marBottom w:val="0"/>
      <w:divBdr>
        <w:top w:val="none" w:sz="0" w:space="0" w:color="auto"/>
        <w:left w:val="none" w:sz="0" w:space="0" w:color="auto"/>
        <w:bottom w:val="none" w:sz="0" w:space="0" w:color="auto"/>
        <w:right w:val="none" w:sz="0" w:space="0" w:color="auto"/>
      </w:divBdr>
    </w:div>
    <w:div w:id="1245333872">
      <w:bodyDiv w:val="1"/>
      <w:marLeft w:val="0"/>
      <w:marRight w:val="0"/>
      <w:marTop w:val="0"/>
      <w:marBottom w:val="0"/>
      <w:divBdr>
        <w:top w:val="none" w:sz="0" w:space="0" w:color="auto"/>
        <w:left w:val="none" w:sz="0" w:space="0" w:color="auto"/>
        <w:bottom w:val="none" w:sz="0" w:space="0" w:color="auto"/>
        <w:right w:val="none" w:sz="0" w:space="0" w:color="auto"/>
      </w:divBdr>
      <w:divsChild>
        <w:div w:id="1329792466">
          <w:marLeft w:val="360"/>
          <w:marRight w:val="0"/>
          <w:marTop w:val="96"/>
          <w:marBottom w:val="0"/>
          <w:divBdr>
            <w:top w:val="none" w:sz="0" w:space="0" w:color="auto"/>
            <w:left w:val="none" w:sz="0" w:space="0" w:color="auto"/>
            <w:bottom w:val="none" w:sz="0" w:space="0" w:color="auto"/>
            <w:right w:val="none" w:sz="0" w:space="0" w:color="auto"/>
          </w:divBdr>
        </w:div>
      </w:divsChild>
    </w:div>
    <w:div w:id="1333340984">
      <w:bodyDiv w:val="1"/>
      <w:marLeft w:val="0"/>
      <w:marRight w:val="0"/>
      <w:marTop w:val="0"/>
      <w:marBottom w:val="0"/>
      <w:divBdr>
        <w:top w:val="none" w:sz="0" w:space="0" w:color="auto"/>
        <w:left w:val="none" w:sz="0" w:space="0" w:color="auto"/>
        <w:bottom w:val="none" w:sz="0" w:space="0" w:color="auto"/>
        <w:right w:val="none" w:sz="0" w:space="0" w:color="auto"/>
      </w:divBdr>
    </w:div>
    <w:div w:id="1371881702">
      <w:bodyDiv w:val="1"/>
      <w:marLeft w:val="0"/>
      <w:marRight w:val="0"/>
      <w:marTop w:val="0"/>
      <w:marBottom w:val="0"/>
      <w:divBdr>
        <w:top w:val="none" w:sz="0" w:space="0" w:color="auto"/>
        <w:left w:val="none" w:sz="0" w:space="0" w:color="auto"/>
        <w:bottom w:val="none" w:sz="0" w:space="0" w:color="auto"/>
        <w:right w:val="none" w:sz="0" w:space="0" w:color="auto"/>
      </w:divBdr>
    </w:div>
    <w:div w:id="1382901733">
      <w:bodyDiv w:val="1"/>
      <w:marLeft w:val="0"/>
      <w:marRight w:val="0"/>
      <w:marTop w:val="0"/>
      <w:marBottom w:val="0"/>
      <w:divBdr>
        <w:top w:val="none" w:sz="0" w:space="0" w:color="auto"/>
        <w:left w:val="none" w:sz="0" w:space="0" w:color="auto"/>
        <w:bottom w:val="none" w:sz="0" w:space="0" w:color="auto"/>
        <w:right w:val="none" w:sz="0" w:space="0" w:color="auto"/>
      </w:divBdr>
    </w:div>
    <w:div w:id="1441871699">
      <w:bodyDiv w:val="1"/>
      <w:marLeft w:val="0"/>
      <w:marRight w:val="0"/>
      <w:marTop w:val="0"/>
      <w:marBottom w:val="0"/>
      <w:divBdr>
        <w:top w:val="none" w:sz="0" w:space="0" w:color="auto"/>
        <w:left w:val="none" w:sz="0" w:space="0" w:color="auto"/>
        <w:bottom w:val="none" w:sz="0" w:space="0" w:color="auto"/>
        <w:right w:val="none" w:sz="0" w:space="0" w:color="auto"/>
      </w:divBdr>
    </w:div>
    <w:div w:id="1448965060">
      <w:bodyDiv w:val="1"/>
      <w:marLeft w:val="0"/>
      <w:marRight w:val="0"/>
      <w:marTop w:val="0"/>
      <w:marBottom w:val="0"/>
      <w:divBdr>
        <w:top w:val="none" w:sz="0" w:space="0" w:color="auto"/>
        <w:left w:val="none" w:sz="0" w:space="0" w:color="auto"/>
        <w:bottom w:val="none" w:sz="0" w:space="0" w:color="auto"/>
        <w:right w:val="none" w:sz="0" w:space="0" w:color="auto"/>
      </w:divBdr>
    </w:div>
    <w:div w:id="1590656270">
      <w:bodyDiv w:val="1"/>
      <w:marLeft w:val="0"/>
      <w:marRight w:val="0"/>
      <w:marTop w:val="0"/>
      <w:marBottom w:val="0"/>
      <w:divBdr>
        <w:top w:val="none" w:sz="0" w:space="0" w:color="auto"/>
        <w:left w:val="none" w:sz="0" w:space="0" w:color="auto"/>
        <w:bottom w:val="none" w:sz="0" w:space="0" w:color="auto"/>
        <w:right w:val="none" w:sz="0" w:space="0" w:color="auto"/>
      </w:divBdr>
    </w:div>
    <w:div w:id="1658874836">
      <w:bodyDiv w:val="1"/>
      <w:marLeft w:val="0"/>
      <w:marRight w:val="0"/>
      <w:marTop w:val="0"/>
      <w:marBottom w:val="0"/>
      <w:divBdr>
        <w:top w:val="none" w:sz="0" w:space="0" w:color="auto"/>
        <w:left w:val="none" w:sz="0" w:space="0" w:color="auto"/>
        <w:bottom w:val="none" w:sz="0" w:space="0" w:color="auto"/>
        <w:right w:val="none" w:sz="0" w:space="0" w:color="auto"/>
      </w:divBdr>
    </w:div>
    <w:div w:id="1680305171">
      <w:bodyDiv w:val="1"/>
      <w:marLeft w:val="0"/>
      <w:marRight w:val="0"/>
      <w:marTop w:val="0"/>
      <w:marBottom w:val="0"/>
      <w:divBdr>
        <w:top w:val="none" w:sz="0" w:space="0" w:color="auto"/>
        <w:left w:val="none" w:sz="0" w:space="0" w:color="auto"/>
        <w:bottom w:val="none" w:sz="0" w:space="0" w:color="auto"/>
        <w:right w:val="none" w:sz="0" w:space="0" w:color="auto"/>
      </w:divBdr>
    </w:div>
    <w:div w:id="1702364737">
      <w:bodyDiv w:val="1"/>
      <w:marLeft w:val="0"/>
      <w:marRight w:val="0"/>
      <w:marTop w:val="0"/>
      <w:marBottom w:val="0"/>
      <w:divBdr>
        <w:top w:val="none" w:sz="0" w:space="0" w:color="auto"/>
        <w:left w:val="none" w:sz="0" w:space="0" w:color="auto"/>
        <w:bottom w:val="none" w:sz="0" w:space="0" w:color="auto"/>
        <w:right w:val="none" w:sz="0" w:space="0" w:color="auto"/>
      </w:divBdr>
    </w:div>
    <w:div w:id="1709911698">
      <w:bodyDiv w:val="1"/>
      <w:marLeft w:val="0"/>
      <w:marRight w:val="0"/>
      <w:marTop w:val="0"/>
      <w:marBottom w:val="0"/>
      <w:divBdr>
        <w:top w:val="none" w:sz="0" w:space="0" w:color="auto"/>
        <w:left w:val="none" w:sz="0" w:space="0" w:color="auto"/>
        <w:bottom w:val="none" w:sz="0" w:space="0" w:color="auto"/>
        <w:right w:val="none" w:sz="0" w:space="0" w:color="auto"/>
      </w:divBdr>
    </w:div>
    <w:div w:id="1755123437">
      <w:bodyDiv w:val="1"/>
      <w:marLeft w:val="0"/>
      <w:marRight w:val="0"/>
      <w:marTop w:val="0"/>
      <w:marBottom w:val="0"/>
      <w:divBdr>
        <w:top w:val="none" w:sz="0" w:space="0" w:color="auto"/>
        <w:left w:val="none" w:sz="0" w:space="0" w:color="auto"/>
        <w:bottom w:val="none" w:sz="0" w:space="0" w:color="auto"/>
        <w:right w:val="none" w:sz="0" w:space="0" w:color="auto"/>
      </w:divBdr>
    </w:div>
    <w:div w:id="1905985462">
      <w:bodyDiv w:val="1"/>
      <w:marLeft w:val="0"/>
      <w:marRight w:val="0"/>
      <w:marTop w:val="0"/>
      <w:marBottom w:val="0"/>
      <w:divBdr>
        <w:top w:val="none" w:sz="0" w:space="0" w:color="auto"/>
        <w:left w:val="none" w:sz="0" w:space="0" w:color="auto"/>
        <w:bottom w:val="none" w:sz="0" w:space="0" w:color="auto"/>
        <w:right w:val="none" w:sz="0" w:space="0" w:color="auto"/>
      </w:divBdr>
    </w:div>
    <w:div w:id="1918132555">
      <w:bodyDiv w:val="1"/>
      <w:marLeft w:val="0"/>
      <w:marRight w:val="0"/>
      <w:marTop w:val="0"/>
      <w:marBottom w:val="0"/>
      <w:divBdr>
        <w:top w:val="none" w:sz="0" w:space="0" w:color="auto"/>
        <w:left w:val="none" w:sz="0" w:space="0" w:color="auto"/>
        <w:bottom w:val="none" w:sz="0" w:space="0" w:color="auto"/>
        <w:right w:val="none" w:sz="0" w:space="0" w:color="auto"/>
      </w:divBdr>
    </w:div>
    <w:div w:id="1949461536">
      <w:bodyDiv w:val="1"/>
      <w:marLeft w:val="0"/>
      <w:marRight w:val="0"/>
      <w:marTop w:val="0"/>
      <w:marBottom w:val="0"/>
      <w:divBdr>
        <w:top w:val="none" w:sz="0" w:space="0" w:color="auto"/>
        <w:left w:val="none" w:sz="0" w:space="0" w:color="auto"/>
        <w:bottom w:val="none" w:sz="0" w:space="0" w:color="auto"/>
        <w:right w:val="none" w:sz="0" w:space="0" w:color="auto"/>
      </w:divBdr>
      <w:divsChild>
        <w:div w:id="1739862408">
          <w:marLeft w:val="446"/>
          <w:marRight w:val="0"/>
          <w:marTop w:val="0"/>
          <w:marBottom w:val="0"/>
          <w:divBdr>
            <w:top w:val="none" w:sz="0" w:space="0" w:color="auto"/>
            <w:left w:val="none" w:sz="0" w:space="0" w:color="auto"/>
            <w:bottom w:val="none" w:sz="0" w:space="0" w:color="auto"/>
            <w:right w:val="none" w:sz="0" w:space="0" w:color="auto"/>
          </w:divBdr>
        </w:div>
        <w:div w:id="706493012">
          <w:marLeft w:val="446"/>
          <w:marRight w:val="0"/>
          <w:marTop w:val="0"/>
          <w:marBottom w:val="0"/>
          <w:divBdr>
            <w:top w:val="none" w:sz="0" w:space="0" w:color="auto"/>
            <w:left w:val="none" w:sz="0" w:space="0" w:color="auto"/>
            <w:bottom w:val="none" w:sz="0" w:space="0" w:color="auto"/>
            <w:right w:val="none" w:sz="0" w:space="0" w:color="auto"/>
          </w:divBdr>
        </w:div>
        <w:div w:id="1449543367">
          <w:marLeft w:val="446"/>
          <w:marRight w:val="0"/>
          <w:marTop w:val="0"/>
          <w:marBottom w:val="0"/>
          <w:divBdr>
            <w:top w:val="none" w:sz="0" w:space="0" w:color="auto"/>
            <w:left w:val="none" w:sz="0" w:space="0" w:color="auto"/>
            <w:bottom w:val="none" w:sz="0" w:space="0" w:color="auto"/>
            <w:right w:val="none" w:sz="0" w:space="0" w:color="auto"/>
          </w:divBdr>
        </w:div>
        <w:div w:id="318460325">
          <w:marLeft w:val="446"/>
          <w:marRight w:val="0"/>
          <w:marTop w:val="0"/>
          <w:marBottom w:val="0"/>
          <w:divBdr>
            <w:top w:val="none" w:sz="0" w:space="0" w:color="auto"/>
            <w:left w:val="none" w:sz="0" w:space="0" w:color="auto"/>
            <w:bottom w:val="none" w:sz="0" w:space="0" w:color="auto"/>
            <w:right w:val="none" w:sz="0" w:space="0" w:color="auto"/>
          </w:divBdr>
        </w:div>
        <w:div w:id="224948785">
          <w:marLeft w:val="446"/>
          <w:marRight w:val="0"/>
          <w:marTop w:val="0"/>
          <w:marBottom w:val="0"/>
          <w:divBdr>
            <w:top w:val="none" w:sz="0" w:space="0" w:color="auto"/>
            <w:left w:val="none" w:sz="0" w:space="0" w:color="auto"/>
            <w:bottom w:val="none" w:sz="0" w:space="0" w:color="auto"/>
            <w:right w:val="none" w:sz="0" w:space="0" w:color="auto"/>
          </w:divBdr>
        </w:div>
        <w:div w:id="1756710634">
          <w:marLeft w:val="446"/>
          <w:marRight w:val="0"/>
          <w:marTop w:val="0"/>
          <w:marBottom w:val="0"/>
          <w:divBdr>
            <w:top w:val="none" w:sz="0" w:space="0" w:color="auto"/>
            <w:left w:val="none" w:sz="0" w:space="0" w:color="auto"/>
            <w:bottom w:val="none" w:sz="0" w:space="0" w:color="auto"/>
            <w:right w:val="none" w:sz="0" w:space="0" w:color="auto"/>
          </w:divBdr>
        </w:div>
        <w:div w:id="122122784">
          <w:marLeft w:val="446"/>
          <w:marRight w:val="0"/>
          <w:marTop w:val="0"/>
          <w:marBottom w:val="0"/>
          <w:divBdr>
            <w:top w:val="none" w:sz="0" w:space="0" w:color="auto"/>
            <w:left w:val="none" w:sz="0" w:space="0" w:color="auto"/>
            <w:bottom w:val="none" w:sz="0" w:space="0" w:color="auto"/>
            <w:right w:val="none" w:sz="0" w:space="0" w:color="auto"/>
          </w:divBdr>
        </w:div>
        <w:div w:id="56515291">
          <w:marLeft w:val="446"/>
          <w:marRight w:val="0"/>
          <w:marTop w:val="0"/>
          <w:marBottom w:val="0"/>
          <w:divBdr>
            <w:top w:val="none" w:sz="0" w:space="0" w:color="auto"/>
            <w:left w:val="none" w:sz="0" w:space="0" w:color="auto"/>
            <w:bottom w:val="none" w:sz="0" w:space="0" w:color="auto"/>
            <w:right w:val="none" w:sz="0" w:space="0" w:color="auto"/>
          </w:divBdr>
        </w:div>
        <w:div w:id="1976597871">
          <w:marLeft w:val="446"/>
          <w:marRight w:val="0"/>
          <w:marTop w:val="0"/>
          <w:marBottom w:val="0"/>
          <w:divBdr>
            <w:top w:val="none" w:sz="0" w:space="0" w:color="auto"/>
            <w:left w:val="none" w:sz="0" w:space="0" w:color="auto"/>
            <w:bottom w:val="none" w:sz="0" w:space="0" w:color="auto"/>
            <w:right w:val="none" w:sz="0" w:space="0" w:color="auto"/>
          </w:divBdr>
        </w:div>
        <w:div w:id="953901725">
          <w:marLeft w:val="446"/>
          <w:marRight w:val="0"/>
          <w:marTop w:val="0"/>
          <w:marBottom w:val="0"/>
          <w:divBdr>
            <w:top w:val="none" w:sz="0" w:space="0" w:color="auto"/>
            <w:left w:val="none" w:sz="0" w:space="0" w:color="auto"/>
            <w:bottom w:val="none" w:sz="0" w:space="0" w:color="auto"/>
            <w:right w:val="none" w:sz="0" w:space="0" w:color="auto"/>
          </w:divBdr>
        </w:div>
        <w:div w:id="1832287551">
          <w:marLeft w:val="446"/>
          <w:marRight w:val="0"/>
          <w:marTop w:val="0"/>
          <w:marBottom w:val="0"/>
          <w:divBdr>
            <w:top w:val="none" w:sz="0" w:space="0" w:color="auto"/>
            <w:left w:val="none" w:sz="0" w:space="0" w:color="auto"/>
            <w:bottom w:val="none" w:sz="0" w:space="0" w:color="auto"/>
            <w:right w:val="none" w:sz="0" w:space="0" w:color="auto"/>
          </w:divBdr>
        </w:div>
        <w:div w:id="520552513">
          <w:marLeft w:val="446"/>
          <w:marRight w:val="0"/>
          <w:marTop w:val="0"/>
          <w:marBottom w:val="0"/>
          <w:divBdr>
            <w:top w:val="none" w:sz="0" w:space="0" w:color="auto"/>
            <w:left w:val="none" w:sz="0" w:space="0" w:color="auto"/>
            <w:bottom w:val="none" w:sz="0" w:space="0" w:color="auto"/>
            <w:right w:val="none" w:sz="0" w:space="0" w:color="auto"/>
          </w:divBdr>
        </w:div>
        <w:div w:id="1700011335">
          <w:marLeft w:val="446"/>
          <w:marRight w:val="0"/>
          <w:marTop w:val="0"/>
          <w:marBottom w:val="0"/>
          <w:divBdr>
            <w:top w:val="none" w:sz="0" w:space="0" w:color="auto"/>
            <w:left w:val="none" w:sz="0" w:space="0" w:color="auto"/>
            <w:bottom w:val="none" w:sz="0" w:space="0" w:color="auto"/>
            <w:right w:val="none" w:sz="0" w:space="0" w:color="auto"/>
          </w:divBdr>
        </w:div>
        <w:div w:id="1320420902">
          <w:marLeft w:val="446"/>
          <w:marRight w:val="0"/>
          <w:marTop w:val="0"/>
          <w:marBottom w:val="0"/>
          <w:divBdr>
            <w:top w:val="none" w:sz="0" w:space="0" w:color="auto"/>
            <w:left w:val="none" w:sz="0" w:space="0" w:color="auto"/>
            <w:bottom w:val="none" w:sz="0" w:space="0" w:color="auto"/>
            <w:right w:val="none" w:sz="0" w:space="0" w:color="auto"/>
          </w:divBdr>
        </w:div>
      </w:divsChild>
    </w:div>
    <w:div w:id="1980382652">
      <w:bodyDiv w:val="1"/>
      <w:marLeft w:val="0"/>
      <w:marRight w:val="0"/>
      <w:marTop w:val="0"/>
      <w:marBottom w:val="0"/>
      <w:divBdr>
        <w:top w:val="none" w:sz="0" w:space="0" w:color="auto"/>
        <w:left w:val="none" w:sz="0" w:space="0" w:color="auto"/>
        <w:bottom w:val="none" w:sz="0" w:space="0" w:color="auto"/>
        <w:right w:val="none" w:sz="0" w:space="0" w:color="auto"/>
      </w:divBdr>
    </w:div>
    <w:div w:id="2051491402">
      <w:bodyDiv w:val="1"/>
      <w:marLeft w:val="0"/>
      <w:marRight w:val="0"/>
      <w:marTop w:val="0"/>
      <w:marBottom w:val="0"/>
      <w:divBdr>
        <w:top w:val="none" w:sz="0" w:space="0" w:color="auto"/>
        <w:left w:val="none" w:sz="0" w:space="0" w:color="auto"/>
        <w:bottom w:val="none" w:sz="0" w:space="0" w:color="auto"/>
        <w:right w:val="none" w:sz="0" w:space="0" w:color="auto"/>
      </w:divBdr>
    </w:div>
    <w:div w:id="2077893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theme" Target="theme/theme1.xml"/><Relationship Id="rId21" Type="http://schemas.openxmlformats.org/officeDocument/2006/relationships/image" Target="media/image9.png"/><Relationship Id="rId34" Type="http://schemas.openxmlformats.org/officeDocument/2006/relationships/image" Target="media/image19.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image" Target="media/image13.png"/><Relationship Id="rId33" Type="http://schemas.openxmlformats.org/officeDocument/2006/relationships/package" Target="embeddings/Microsoft_Word_Document2.docx"/><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8.png"/><Relationship Id="rId29" Type="http://schemas.openxmlformats.org/officeDocument/2006/relationships/package" Target="embeddings/Microsoft_Word_Document.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18.emf"/><Relationship Id="rId37"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1.png"/><Relationship Id="rId28" Type="http://schemas.openxmlformats.org/officeDocument/2006/relationships/image" Target="media/image16.emf"/><Relationship Id="rId36"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package" Target="embeddings/Microsoft_Word_Document1.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emf"/><Relationship Id="rId35" Type="http://schemas.openxmlformats.org/officeDocument/2006/relationships/package" Target="embeddings/Microsoft_Word_Document3.docx"/><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3" Type="http://schemas.openxmlformats.org/officeDocument/2006/relationships/hyperlink" Target="https://www.ashrae.org/news/hvacrindustry/2019-update-of-standard-90-1" TargetMode="External"/><Relationship Id="rId18" Type="http://schemas.openxmlformats.org/officeDocument/2006/relationships/hyperlink" Target="https://ma-eeac.org/wp-content/uploads/MA20C11-E-LCR_Lighting-Controls-Final-Report_20210630.pdf" TargetMode="External"/><Relationship Id="rId26" Type="http://schemas.openxmlformats.org/officeDocument/2006/relationships/hyperlink" Target="https://neea.org/img/uploads/luminaire-level-lighting-controls-lllc-market-characterization-and-baseline-report.pdf" TargetMode="External"/><Relationship Id="rId3" Type="http://schemas.openxmlformats.org/officeDocument/2006/relationships/hyperlink" Target="https://ma-eeac.org/wp-content/uploads/MA20C11-E-LCR_Lighting-Controls-Final-Report_20210630.pdf" TargetMode="External"/><Relationship Id="rId21" Type="http://schemas.openxmlformats.org/officeDocument/2006/relationships/hyperlink" Target="https://ma-eeac.org/wp-content/uploads/MA20C11-E-LCR_Lighting-Controls-Final-Report_20210630.pdf" TargetMode="External"/><Relationship Id="rId34" Type="http://schemas.openxmlformats.org/officeDocument/2006/relationships/hyperlink" Target="https://lightingcontrolsassociation.org/2017/07/21/introduction-to-lighting-controls/" TargetMode="External"/><Relationship Id="rId7" Type="http://schemas.openxmlformats.org/officeDocument/2006/relationships/hyperlink" Target="https://www.etamn.org/sites/default/files/research-papers/CEE%20LLLC%20Market%20Char%20Report%2013OCT23.pdf" TargetMode="External"/><Relationship Id="rId12" Type="http://schemas.openxmlformats.org/officeDocument/2006/relationships/hyperlink" Target="https://www.energycodes.gov/infographics" TargetMode="External"/><Relationship Id="rId17" Type="http://schemas.openxmlformats.org/officeDocument/2006/relationships/hyperlink" Target="https://lightingcontrolsassociation.org/2024/07/30/levitons-david-buerer-talks-lighting-control-trends/" TargetMode="External"/><Relationship Id="rId25" Type="http://schemas.openxmlformats.org/officeDocument/2006/relationships/hyperlink" Target="https://ma-eeac.org/wp-content/uploads/MA20C11-E-LCR_Lighting-Controls-Final-Report_20210630.pdf" TargetMode="External"/><Relationship Id="rId33" Type="http://schemas.openxmlformats.org/officeDocument/2006/relationships/hyperlink" Target="https://ma-eeac.org/wp-content/uploads/MA20C11-E-LCR_Lighting-Controls-Final-Report_20210630.pdf" TargetMode="External"/><Relationship Id="rId2" Type="http://schemas.openxmlformats.org/officeDocument/2006/relationships/hyperlink" Target="https://www.energy.gov/sites/default/files/2020/02/f71/ssl-rd2020-elliott-market.pdf" TargetMode="External"/><Relationship Id="rId16" Type="http://schemas.openxmlformats.org/officeDocument/2006/relationships/hyperlink" Target="https://neea.org/img/uploads/luminaire-level-lighting-controls-lllc-market-characterization-and-baseline-report.pdf" TargetMode="External"/><Relationship Id="rId20" Type="http://schemas.openxmlformats.org/officeDocument/2006/relationships/hyperlink" Target="https://www.ilsag.info/wp-content/uploads/AIC-Nonresidential-NEIs-Marketing-Cut-Sheets_FINAL.pdf" TargetMode="External"/><Relationship Id="rId29" Type="http://schemas.openxmlformats.org/officeDocument/2006/relationships/hyperlink" Target="https://neea.org/img/uploads/luminaire-level-lighting-controls-lllc-market-characterization-and-baseline-report.pdf" TargetMode="External"/><Relationship Id="rId1" Type="http://schemas.openxmlformats.org/officeDocument/2006/relationships/hyperlink" Target="https://www.energy.gov/sites/default/files/2024-08/ssl-lmc2020_apr24.pdf" TargetMode="External"/><Relationship Id="rId6" Type="http://schemas.openxmlformats.org/officeDocument/2006/relationships/hyperlink" Target="https://neea.org/img/documents/2020-LLLC-Incremental-Cost-Study.pdf" TargetMode="External"/><Relationship Id="rId11" Type="http://schemas.openxmlformats.org/officeDocument/2006/relationships/hyperlink" Target="https://www.energycodes.gov/codes-101" TargetMode="External"/><Relationship Id="rId24" Type="http://schemas.openxmlformats.org/officeDocument/2006/relationships/hyperlink" Target="https://neea.org/img/uploads/luminaire-level-lighting-controls-lllc-market-characterization-and-baseline-report.pdf" TargetMode="External"/><Relationship Id="rId32" Type="http://schemas.openxmlformats.org/officeDocument/2006/relationships/hyperlink" Target="https://www.etamn.org/sites/default/files/research-papers/CEE%20LLLC%20Market%20Char%20Report%2013OCT23.pdf" TargetMode="External"/><Relationship Id="rId5" Type="http://schemas.openxmlformats.org/officeDocument/2006/relationships/hyperlink" Target="https://lightingcontrolsassociation.org/2024/07/30/levitons-david-buerer-talks-lighting-control-trends/" TargetMode="External"/><Relationship Id="rId15" Type="http://schemas.openxmlformats.org/officeDocument/2006/relationships/hyperlink" Target="https://www.etamn.org/sites/default/files/research-papers/CEE%20LLLC%20Market%20Char%20Report%2013OCT23.pdf" TargetMode="External"/><Relationship Id="rId23" Type="http://schemas.openxmlformats.org/officeDocument/2006/relationships/hyperlink" Target="https://ma-eeac.org/wp-content/uploads/MA20C11-E-LCR_Lighting-Controls-Final-Report_20210630.pdf" TargetMode="External"/><Relationship Id="rId28" Type="http://schemas.openxmlformats.org/officeDocument/2006/relationships/hyperlink" Target="https://ma-eeac.org/wp-content/uploads/MA20C11-E-LCR_Lighting-Controls-Final-Report_20210630.pdf" TargetMode="External"/><Relationship Id="rId10" Type="http://schemas.openxmlformats.org/officeDocument/2006/relationships/hyperlink" Target="https://neea.org/img/uploads/luminaire-level-lighting-controls-lllc-market-characterization-and-baseline-report.pdf" TargetMode="External"/><Relationship Id="rId19" Type="http://schemas.openxmlformats.org/officeDocument/2006/relationships/hyperlink" Target="https://betterbricks.com/uploads/resources/LLLC-AskTheExpert-QA_Series.pdf" TargetMode="External"/><Relationship Id="rId31" Type="http://schemas.openxmlformats.org/officeDocument/2006/relationships/hyperlink" Target="https://ma-eeac.org/wp-content/uploads/MA20C11-E-LCR_Lighting-Controls-Final-Report_20210630.pdf" TargetMode="External"/><Relationship Id="rId4" Type="http://schemas.openxmlformats.org/officeDocument/2006/relationships/hyperlink" Target="https://www.etamn.org/sites/default/files/research-papers/CEE%20LLLC%20Market%20Char%20Report%2013OCT23.pdf" TargetMode="External"/><Relationship Id="rId9" Type="http://schemas.openxmlformats.org/officeDocument/2006/relationships/hyperlink" Target="https://www.etamn.org/sites/default/files/research-papers/CEE%20LLLC%20Market%20Char%20Report%2013OCT23.pdf" TargetMode="External"/><Relationship Id="rId14" Type="http://schemas.openxmlformats.org/officeDocument/2006/relationships/hyperlink" Target="https://betterbricks.com/uploads/resources/LLLC-AskTheExpert-QA_Series.pdf" TargetMode="External"/><Relationship Id="rId22" Type="http://schemas.openxmlformats.org/officeDocument/2006/relationships/hyperlink" Target="https://neea.org/img/uploads/luminaire-level-lighting-controls-lllc-market-characterization-and-baseline-report.pdf" TargetMode="External"/><Relationship Id="rId27" Type="http://schemas.openxmlformats.org/officeDocument/2006/relationships/hyperlink" Target="https://neea.org/img/uploads/luminaire-level-lighting-controls-lllc-market-characterization-and-baseline-report.pdf" TargetMode="External"/><Relationship Id="rId30" Type="http://schemas.openxmlformats.org/officeDocument/2006/relationships/hyperlink" Target="https://neea.org/img/uploads/luminaire-level-lighting-controls-lllc-market-characterization-and-baseline-report.pdf" TargetMode="External"/><Relationship Id="rId8" Type="http://schemas.openxmlformats.org/officeDocument/2006/relationships/hyperlink" Target="https://betterbricks.com/uploads/resources/LLLC-AskTheExpert-QA_Serie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dgate\AppData\Local\Temp\720735d1-4358-40f0-b93d-010f0f9cae1c\3112024.dotx"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22.svg"/><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D main theme">
      <a:dk1>
        <a:srgbClr val="4A4D56"/>
      </a:dk1>
      <a:lt1>
        <a:srgbClr val="FFFFFF"/>
      </a:lt1>
      <a:dk2>
        <a:srgbClr val="053572"/>
      </a:dk2>
      <a:lt2>
        <a:srgbClr val="FFFFFF"/>
      </a:lt2>
      <a:accent1>
        <a:srgbClr val="172B54"/>
      </a:accent1>
      <a:accent2>
        <a:srgbClr val="265EAC"/>
      </a:accent2>
      <a:accent3>
        <a:srgbClr val="1FA9E1"/>
      </a:accent3>
      <a:accent4>
        <a:srgbClr val="7E83C0"/>
      </a:accent4>
      <a:accent5>
        <a:srgbClr val="5661AC"/>
      </a:accent5>
      <a:accent6>
        <a:srgbClr val="FFDFB8"/>
      </a:accent6>
      <a:hlink>
        <a:srgbClr val="4087C7"/>
      </a:hlink>
      <a:folHlink>
        <a:srgbClr val="A1CBED"/>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blipFill>
          <a:blip xmlns:r="http://schemas.openxmlformats.org/officeDocument/2006/relationships" r:embed="rId1">
            <a:extLst>
              <a:ext uri="{96DAC541-7B7A-43D3-8B79-37D633B846F1}">
                <asvg:svgBlip xmlns:asvg="http://schemas.microsoft.com/office/drawing/2016/SVG/main" r:embed="rId2"/>
              </a:ext>
            </a:extLst>
          </a:blip>
          <a:stretch>
            <a:fillRect/>
          </a:stretch>
        </a:blipFill>
        <a:ln w="9525">
          <a:noFill/>
          <a:miter lim="800000"/>
          <a:headEnd/>
          <a:tailEnd/>
        </a:ln>
      </a:spPr>
      <a:bodyPr rot="0" vert="horz" wrap="square" lIns="468000" tIns="360000" rIns="468000" bIns="360000" anchor="ctr"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e8e1301a-4824-4f76-be5e-fb0e78a42f4f"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Section</b:Tag>
    <b:RefOrder>1</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427766C08AEF7C4DAA862693811D8D32" ma:contentTypeVersion="15" ma:contentTypeDescription="Create a new document." ma:contentTypeScope="" ma:versionID="32258ae4c42afe4f6bdf1a5de5c40a07">
  <xsd:schema xmlns:xsd="http://www.w3.org/2001/XMLSchema" xmlns:xs="http://www.w3.org/2001/XMLSchema" xmlns:p="http://schemas.microsoft.com/office/2006/metadata/properties" xmlns:ns3="4396c974-d301-4196-85bd-788e990e69b3" xmlns:ns4="e8e1301a-4824-4f76-be5e-fb0e78a42f4f" targetNamespace="http://schemas.microsoft.com/office/2006/metadata/properties" ma:root="true" ma:fieldsID="4aca3cbdb7e98eac911e230c5ff1de7e" ns3:_="" ns4:_="">
    <xsd:import namespace="4396c974-d301-4196-85bd-788e990e69b3"/>
    <xsd:import namespace="e8e1301a-4824-4f76-be5e-fb0e78a42f4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Location"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96c974-d301-4196-85bd-788e990e69b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e1301a-4824-4f76-be5e-fb0e78a42f4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C013B-9303-494A-AC0C-A15519A06B20}">
  <ds:schemaRefs>
    <ds:schemaRef ds:uri="http://schemas.microsoft.com/sharepoint/v3/contenttype/forms"/>
  </ds:schemaRefs>
</ds:datastoreItem>
</file>

<file path=customXml/itemProps2.xml><?xml version="1.0" encoding="utf-8"?>
<ds:datastoreItem xmlns:ds="http://schemas.openxmlformats.org/officeDocument/2006/customXml" ds:itemID="{57BCF9B4-11FA-43C8-A177-CBCBF7796F48}">
  <ds:schemaRefs>
    <ds:schemaRef ds:uri="e8e1301a-4824-4f76-be5e-fb0e78a42f4f"/>
    <ds:schemaRef ds:uri="http://purl.org/dc/dcmitype/"/>
    <ds:schemaRef ds:uri="http://schemas.microsoft.com/office/2006/metadata/properties"/>
    <ds:schemaRef ds:uri="http://purl.org/dc/elements/1.1/"/>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4396c974-d301-4196-85bd-788e990e69b3"/>
    <ds:schemaRef ds:uri="http://purl.org/dc/terms/"/>
  </ds:schemaRefs>
</ds:datastoreItem>
</file>

<file path=customXml/itemProps3.xml><?xml version="1.0" encoding="utf-8"?>
<ds:datastoreItem xmlns:ds="http://schemas.openxmlformats.org/officeDocument/2006/customXml" ds:itemID="{5AE5D383-8288-463E-A8CC-DB995C254DEF}">
  <ds:schemaRefs>
    <ds:schemaRef ds:uri="http://schemas.openxmlformats.org/officeDocument/2006/bibliography"/>
  </ds:schemaRefs>
</ds:datastoreItem>
</file>

<file path=customXml/itemProps4.xml><?xml version="1.0" encoding="utf-8"?>
<ds:datastoreItem xmlns:ds="http://schemas.openxmlformats.org/officeDocument/2006/customXml" ds:itemID="{A31C775A-C7B5-46A8-A80A-2378AC78F1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96c974-d301-4196-85bd-788e990e69b3"/>
    <ds:schemaRef ds:uri="e8e1301a-4824-4f76-be5e-fb0e78a42f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3112024</Template>
  <TotalTime>159</TotalTime>
  <Pages>32</Pages>
  <Words>9383</Words>
  <Characters>53484</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Report</vt:lpstr>
    </vt:vector>
  </TitlesOfParts>
  <Company/>
  <LinksUpToDate>false</LinksUpToDate>
  <CharactersWithSpaces>62742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subject/>
  <dc:creator>Jack Adgate</dc:creator>
  <cp:keywords/>
  <dc:description/>
  <cp:lastModifiedBy>Zachary Ross</cp:lastModifiedBy>
  <cp:revision>10</cp:revision>
  <dcterms:created xsi:type="dcterms:W3CDTF">2025-03-07T16:54:00Z</dcterms:created>
  <dcterms:modified xsi:type="dcterms:W3CDTF">2025-03-13T16:59:00Z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73564f48-a1c1-4ad1-8cac-555e9f90f817</vt:lpwstr>
  </property>
  <property fmtid="{D5CDD505-2E9C-101B-9397-08002B2CF9AE}" pid="3" name="ContentTypeId">
    <vt:lpwstr>0x010100427766C08AEF7C4DAA862693811D8D32</vt:lpwstr>
  </property>
</Properties>
</file>