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2502" w14:textId="54F0EE31" w:rsidR="00EC3228" w:rsidRDefault="00EC3228" w:rsidP="00EC3228">
      <w:pPr>
        <w:rPr>
          <w:rFonts w:eastAsia="Times New Roman"/>
          <w:b/>
          <w:bCs/>
        </w:rPr>
      </w:pPr>
      <w:r>
        <w:rPr>
          <w:rFonts w:eastAsia="Times New Roman"/>
          <w:b/>
          <w:bCs/>
        </w:rPr>
        <w:t xml:space="preserve">Background on Current vs. Forward-Looking Heat Rates </w:t>
      </w:r>
    </w:p>
    <w:p w14:paraId="39EEBD72" w14:textId="4499D0F4" w:rsidR="006849C2" w:rsidRDefault="006849C2" w:rsidP="00EC3228">
      <w:pPr>
        <w:rPr>
          <w:rFonts w:eastAsia="Times New Roman"/>
        </w:rPr>
      </w:pPr>
      <w:r>
        <w:rPr>
          <w:rFonts w:eastAsia="Times New Roman"/>
          <w:b/>
          <w:bCs/>
        </w:rPr>
        <w:t>Peoples Gas / North Shore Gas and Nicor Gas (6/25/2021)</w:t>
      </w:r>
    </w:p>
    <w:p w14:paraId="7F8E9FBB" w14:textId="5A59A424" w:rsidR="00EC3228" w:rsidRDefault="00EC3228" w:rsidP="00EC3228">
      <w:pPr>
        <w:rPr>
          <w:rFonts w:eastAsia="Times New Roman"/>
        </w:rPr>
      </w:pPr>
    </w:p>
    <w:p w14:paraId="1D92B941" w14:textId="77777777" w:rsidR="00EC3228" w:rsidRDefault="00EC3228" w:rsidP="00EC3228">
      <w:pPr>
        <w:rPr>
          <w:rFonts w:eastAsia="Times New Roman"/>
        </w:rPr>
      </w:pPr>
      <w:r>
        <w:rPr>
          <w:rFonts w:eastAsia="Times New Roman"/>
        </w:rPr>
        <w:t>The total energy consumption of an electric device depends on the electric grid heat rate.  A larger heat rate means more energy is required to operate the device.</w:t>
      </w:r>
    </w:p>
    <w:p w14:paraId="20D9B0E2" w14:textId="77777777" w:rsidR="00EC3228" w:rsidRDefault="00EC3228" w:rsidP="00EC3228">
      <w:pPr>
        <w:rPr>
          <w:rFonts w:eastAsia="Times New Roman"/>
        </w:rPr>
      </w:pPr>
      <w:r>
        <w:rPr>
          <w:rFonts w:eastAsia="Times New Roman"/>
        </w:rPr>
        <w:t> </w:t>
      </w:r>
    </w:p>
    <w:p w14:paraId="361B8030" w14:textId="409ADD0E" w:rsidR="00EC3228" w:rsidRDefault="00EC3228" w:rsidP="00EC3228">
      <w:pPr>
        <w:rPr>
          <w:rFonts w:eastAsia="Times New Roman"/>
        </w:rPr>
      </w:pPr>
      <w:r>
        <w:rPr>
          <w:rFonts w:eastAsia="Times New Roman"/>
        </w:rPr>
        <w:t>The current TRM uses a first-year source energy calculation based on U.S. EPA reported heat rates to determine fuel switch eligibility.  A proposal was brought forth to the TAC to forecast future heat rates so that the average heat rate over the lifetime of the measure could be used in the source energy screening test.</w:t>
      </w:r>
      <w:r w:rsidR="00A63582">
        <w:rPr>
          <w:rFonts w:eastAsia="Times New Roman"/>
        </w:rPr>
        <w:t xml:space="preserve">  However, inputs to a forward-looking savings calculation rely on numerous assumptions, such as the future electricity generating fuel mix, each of which the TAC must reach consensus on and </w:t>
      </w:r>
      <w:r w:rsidR="00A63582" w:rsidRPr="00DB1F96">
        <w:rPr>
          <w:rFonts w:eastAsia="Times New Roman"/>
        </w:rPr>
        <w:t>increase the uncertainty of the calculation.</w:t>
      </w:r>
      <w:r>
        <w:rPr>
          <w:rFonts w:eastAsia="Times New Roman"/>
        </w:rPr>
        <w:t> </w:t>
      </w:r>
    </w:p>
    <w:p w14:paraId="7A2D90B6" w14:textId="77777777" w:rsidR="00A63582" w:rsidRDefault="00A63582" w:rsidP="00EC3228">
      <w:pPr>
        <w:rPr>
          <w:rFonts w:eastAsia="Times New Roman"/>
        </w:rPr>
      </w:pPr>
    </w:p>
    <w:p w14:paraId="10FB3ED4" w14:textId="1628C34D" w:rsidR="00EC3228" w:rsidRDefault="00EC3228" w:rsidP="00EC3228">
      <w:pPr>
        <w:rPr>
          <w:rFonts w:eastAsia="Times New Roman"/>
        </w:rPr>
      </w:pPr>
      <w:r>
        <w:rPr>
          <w:rFonts w:eastAsia="Times New Roman"/>
        </w:rPr>
        <w:t>Before the TAC spends more time discussing how best to forecast the future, further clarification of the fuel switch eligibility requirements and whether or not estimated future energy consumption screening criteria are requested.</w:t>
      </w:r>
    </w:p>
    <w:p w14:paraId="11A606BD" w14:textId="77777777" w:rsidR="00EC3228" w:rsidRDefault="00EC3228" w:rsidP="00EC3228">
      <w:pPr>
        <w:ind w:left="1080"/>
        <w:rPr>
          <w:rFonts w:eastAsia="Times New Roman"/>
        </w:rPr>
      </w:pPr>
      <w:r>
        <w:rPr>
          <w:rFonts w:eastAsia="Times New Roman"/>
        </w:rPr>
        <w:t> </w:t>
      </w:r>
    </w:p>
    <w:p w14:paraId="137C2BAA" w14:textId="623D16E1" w:rsidR="004B5762" w:rsidRDefault="00FB27D2" w:rsidP="00EC3228">
      <w:pPr>
        <w:rPr>
          <w:rFonts w:eastAsia="Times New Roman"/>
        </w:rPr>
      </w:pPr>
      <w:r>
        <w:rPr>
          <w:rFonts w:eastAsia="Times New Roman"/>
        </w:rPr>
        <w:t xml:space="preserve">While </w:t>
      </w:r>
      <w:r w:rsidR="00F9757B">
        <w:rPr>
          <w:rFonts w:eastAsia="Times New Roman"/>
        </w:rPr>
        <w:t>it may be</w:t>
      </w:r>
      <w:r w:rsidR="00EC3228">
        <w:rPr>
          <w:rFonts w:eastAsia="Times New Roman"/>
        </w:rPr>
        <w:t xml:space="preserve"> possible for a fuel switch to cause negative energy savings (energy increase) in the early years of the measure life and be projected to cause positive energy savings in the later years</w:t>
      </w:r>
      <w:r w:rsidR="00F9757B">
        <w:rPr>
          <w:rFonts w:eastAsia="Times New Roman"/>
        </w:rPr>
        <w:t xml:space="preserve"> </w:t>
      </w:r>
      <w:r w:rsidR="00EC3228">
        <w:rPr>
          <w:rFonts w:eastAsia="Times New Roman"/>
        </w:rPr>
        <w:t>due to forecasted changes in the grid heat rate</w:t>
      </w:r>
      <w:r w:rsidR="000E7BF1">
        <w:rPr>
          <w:rFonts w:eastAsia="Times New Roman"/>
        </w:rPr>
        <w:t xml:space="preserve">, the </w:t>
      </w:r>
      <w:r w:rsidR="00F3720D">
        <w:rPr>
          <w:rFonts w:eastAsia="Times New Roman"/>
        </w:rPr>
        <w:t>estimates for the later years are the most uncertain</w:t>
      </w:r>
      <w:r w:rsidR="004B5762">
        <w:rPr>
          <w:rFonts w:eastAsia="Times New Roman"/>
        </w:rPr>
        <w:t xml:space="preserve"> and could be substantially over/underestimated</w:t>
      </w:r>
      <w:r w:rsidR="000E7BF1">
        <w:rPr>
          <w:rFonts w:eastAsia="Times New Roman"/>
        </w:rPr>
        <w:t>.</w:t>
      </w:r>
      <w:r w:rsidR="00EC3228">
        <w:rPr>
          <w:rFonts w:eastAsia="Times New Roman"/>
        </w:rPr>
        <w:t xml:space="preserve">  </w:t>
      </w:r>
    </w:p>
    <w:p w14:paraId="30D34BFB" w14:textId="77777777" w:rsidR="004B5762" w:rsidRDefault="004B5762" w:rsidP="00EC3228">
      <w:pPr>
        <w:rPr>
          <w:rFonts w:eastAsia="Times New Roman"/>
        </w:rPr>
      </w:pPr>
    </w:p>
    <w:p w14:paraId="45211F13" w14:textId="7F8D69A6" w:rsidR="004B5762" w:rsidRDefault="00671D8F" w:rsidP="00EC3228">
      <w:pPr>
        <w:rPr>
          <w:rFonts w:eastAsia="Times New Roman"/>
        </w:rPr>
      </w:pPr>
      <w:r>
        <w:rPr>
          <w:rFonts w:eastAsia="Times New Roman"/>
        </w:rPr>
        <w:t>If the policy decision is made to include future energy consumption estimates in the fuel switch screening criteria, this will bring up additional policy questions that would need to be resolved first</w:t>
      </w:r>
      <w:r w:rsidR="004B5762">
        <w:rPr>
          <w:rFonts w:eastAsia="Times New Roman"/>
        </w:rPr>
        <w:t xml:space="preserve">.  </w:t>
      </w:r>
      <w:r w:rsidR="004B5762" w:rsidRPr="0052088B">
        <w:rPr>
          <w:rFonts w:eastAsia="Times New Roman"/>
        </w:rPr>
        <w:t>The current time constraints do not allow for in-depth discussion of the issues.  Therefore, we propose a solution for this TRM that is forward-looking and reflects more recent data than the existing method.</w:t>
      </w:r>
    </w:p>
    <w:p w14:paraId="68504B4F" w14:textId="77777777" w:rsidR="004B5762" w:rsidRDefault="004B5762" w:rsidP="00EC3228">
      <w:pPr>
        <w:rPr>
          <w:rFonts w:eastAsia="Times New Roman"/>
        </w:rPr>
      </w:pPr>
    </w:p>
    <w:p w14:paraId="5C98F04C" w14:textId="14601FFE" w:rsidR="00F3720D" w:rsidRDefault="00F3720D" w:rsidP="00EC3228">
      <w:pPr>
        <w:rPr>
          <w:rFonts w:eastAsia="Times New Roman"/>
          <w:b/>
        </w:rPr>
      </w:pPr>
      <w:r>
        <w:rPr>
          <w:rFonts w:eastAsia="Times New Roman"/>
          <w:b/>
        </w:rPr>
        <w:t>Proposal</w:t>
      </w:r>
    </w:p>
    <w:p w14:paraId="3DF3278A" w14:textId="41028ED7" w:rsidR="00F31551" w:rsidRDefault="00F31551" w:rsidP="00EC3228">
      <w:pPr>
        <w:rPr>
          <w:rFonts w:eastAsia="Times New Roman"/>
          <w:color w:val="FF0000"/>
        </w:rPr>
      </w:pPr>
    </w:p>
    <w:p w14:paraId="2435408B" w14:textId="67CAC0AF" w:rsidR="00A34684" w:rsidRPr="0007712B" w:rsidRDefault="000800FC" w:rsidP="00EC3228">
      <w:pPr>
        <w:rPr>
          <w:rFonts w:eastAsia="Times New Roman"/>
          <w:i/>
        </w:rPr>
      </w:pPr>
      <w:r w:rsidRPr="0007712B">
        <w:rPr>
          <w:rFonts w:eastAsia="Times New Roman"/>
          <w:i/>
        </w:rPr>
        <w:t>Our proposal is to use the current year’s heat rate in the</w:t>
      </w:r>
      <w:r w:rsidR="00A34684" w:rsidRPr="0007712B">
        <w:rPr>
          <w:rFonts w:eastAsia="Times New Roman"/>
          <w:i/>
        </w:rPr>
        <w:t xml:space="preserve"> source energy savings test agreed upon in IL TRM v9 instead of the two-year-old heat rates published by the U.S. EPA.</w:t>
      </w:r>
    </w:p>
    <w:p w14:paraId="7039D8F4" w14:textId="77777777" w:rsidR="00A34684" w:rsidRDefault="00A34684" w:rsidP="00EC3228">
      <w:pPr>
        <w:rPr>
          <w:rFonts w:eastAsia="Times New Roman"/>
        </w:rPr>
      </w:pPr>
    </w:p>
    <w:p w14:paraId="4E69F669" w14:textId="6D4CDB31" w:rsidR="003937C3" w:rsidRDefault="00A34684" w:rsidP="00EC3228">
      <w:pPr>
        <w:rPr>
          <w:rFonts w:eastAsia="Times New Roman"/>
        </w:rPr>
      </w:pPr>
      <w:r>
        <w:rPr>
          <w:rFonts w:eastAsia="Times New Roman"/>
        </w:rPr>
        <w:t>T</w:t>
      </w:r>
      <w:r w:rsidR="000800FC">
        <w:rPr>
          <w:rFonts w:eastAsia="Times New Roman"/>
        </w:rPr>
        <w:t xml:space="preserve">he method for </w:t>
      </w:r>
      <w:r w:rsidR="001F73DB">
        <w:rPr>
          <w:rFonts w:eastAsia="Times New Roman"/>
        </w:rPr>
        <w:t>projecting</w:t>
      </w:r>
      <w:r w:rsidR="000800FC">
        <w:rPr>
          <w:rFonts w:eastAsia="Times New Roman"/>
        </w:rPr>
        <w:t xml:space="preserve"> the current year heat rate </w:t>
      </w:r>
      <w:r w:rsidR="001F73DB">
        <w:rPr>
          <w:rFonts w:eastAsia="Times New Roman"/>
        </w:rPr>
        <w:t xml:space="preserve">is </w:t>
      </w:r>
      <w:r>
        <w:rPr>
          <w:rFonts w:eastAsia="Times New Roman"/>
        </w:rPr>
        <w:t>most appropriately addressed</w:t>
      </w:r>
      <w:r w:rsidR="000800FC">
        <w:rPr>
          <w:rFonts w:eastAsia="Times New Roman"/>
        </w:rPr>
        <w:t xml:space="preserve"> by the TAC</w:t>
      </w:r>
      <w:r>
        <w:rPr>
          <w:rFonts w:eastAsia="Times New Roman"/>
        </w:rPr>
        <w:t>.</w:t>
      </w:r>
    </w:p>
    <w:p w14:paraId="764FE3C6" w14:textId="77777777" w:rsidR="00EC3228" w:rsidRDefault="00EC3228" w:rsidP="00EC3228">
      <w:pPr>
        <w:rPr>
          <w:rFonts w:eastAsia="Times New Roman"/>
        </w:rPr>
      </w:pPr>
      <w:r>
        <w:rPr>
          <w:rFonts w:eastAsia="Times New Roman"/>
        </w:rPr>
        <w:t> </w:t>
      </w:r>
    </w:p>
    <w:p w14:paraId="71E21A5D" w14:textId="6C6CC446" w:rsidR="00EC3228" w:rsidRDefault="009B128B" w:rsidP="00EC3228">
      <w:pPr>
        <w:rPr>
          <w:rFonts w:eastAsia="Times New Roman"/>
        </w:rPr>
      </w:pPr>
      <w:r>
        <w:rPr>
          <w:rFonts w:eastAsia="Times New Roman"/>
          <w:b/>
          <w:bCs/>
        </w:rPr>
        <w:t>Policy Questions for Future Discussion</w:t>
      </w:r>
    </w:p>
    <w:p w14:paraId="45D01973" w14:textId="77777777" w:rsidR="00B84562" w:rsidRDefault="00B84562" w:rsidP="00B84562"/>
    <w:p w14:paraId="42F86BB7" w14:textId="5274D6D4" w:rsidR="00B84562" w:rsidRDefault="00B84562" w:rsidP="00B84562">
      <w:r>
        <w:t>Predictions to calculate future heat rates beyond the current year for the source energy savings test in IL TRM v10 would require the resolution of several policy questions. Including, but not limited to, the “Thomas questions”:</w:t>
      </w:r>
    </w:p>
    <w:p w14:paraId="0C40EEDB" w14:textId="77777777" w:rsidR="00C16024" w:rsidRDefault="00C16024" w:rsidP="009B128B">
      <w:pPr>
        <w:rPr>
          <w:rFonts w:eastAsia="Times New Roman"/>
        </w:rPr>
      </w:pPr>
    </w:p>
    <w:p w14:paraId="35A42359" w14:textId="1519B66F" w:rsidR="000E7BF1" w:rsidRDefault="00EC3228" w:rsidP="00EC3228">
      <w:pPr>
        <w:numPr>
          <w:ilvl w:val="0"/>
          <w:numId w:val="1"/>
        </w:numPr>
        <w:ind w:left="540"/>
        <w:textAlignment w:val="center"/>
        <w:rPr>
          <w:rFonts w:eastAsia="Times New Roman"/>
        </w:rPr>
      </w:pPr>
      <w:r>
        <w:rPr>
          <w:rFonts w:eastAsia="Times New Roman"/>
        </w:rPr>
        <w:t xml:space="preserve">Is a measure that increases energy consumption today but is projected to save </w:t>
      </w:r>
      <w:r>
        <w:rPr>
          <w:rFonts w:eastAsia="Times New Roman"/>
          <w:i/>
          <w:iCs/>
        </w:rPr>
        <w:t>more</w:t>
      </w:r>
      <w:r>
        <w:rPr>
          <w:rFonts w:eastAsia="Times New Roman"/>
        </w:rPr>
        <w:t xml:space="preserve"> energy in the future eligible for fuel switching? (first year savings negative, lifetime savings positive)</w:t>
      </w:r>
    </w:p>
    <w:p w14:paraId="247B04FE" w14:textId="77777777" w:rsidR="000E7BF1" w:rsidRDefault="000E7BF1" w:rsidP="0007712B">
      <w:pPr>
        <w:ind w:left="540"/>
        <w:textAlignment w:val="center"/>
        <w:rPr>
          <w:rFonts w:eastAsia="Times New Roman"/>
        </w:rPr>
      </w:pPr>
    </w:p>
    <w:p w14:paraId="5082962C" w14:textId="34C5ED1E" w:rsidR="004B5762" w:rsidRDefault="00DB1F96" w:rsidP="0007712B">
      <w:pPr>
        <w:numPr>
          <w:ilvl w:val="0"/>
          <w:numId w:val="1"/>
        </w:numPr>
        <w:ind w:left="540"/>
        <w:textAlignment w:val="center"/>
        <w:rPr>
          <w:rFonts w:eastAsia="Times New Roman"/>
        </w:rPr>
      </w:pPr>
      <w:r w:rsidRPr="0052088B">
        <w:rPr>
          <w:rFonts w:eastAsia="Times New Roman"/>
        </w:rPr>
        <w:t>Can savings be claimed in the current 4-year plan cycle from a measure that is not projected to produce savings until a future plan cycle?</w:t>
      </w:r>
    </w:p>
    <w:p w14:paraId="28266D05" w14:textId="77777777" w:rsidR="004B5762" w:rsidRPr="0007712B" w:rsidRDefault="004B5762" w:rsidP="0007712B">
      <w:pPr>
        <w:ind w:left="540"/>
        <w:textAlignment w:val="center"/>
        <w:rPr>
          <w:rFonts w:eastAsia="Times New Roman"/>
        </w:rPr>
      </w:pPr>
    </w:p>
    <w:p w14:paraId="6B6D2387" w14:textId="6ED7FA0C" w:rsidR="00162128" w:rsidRDefault="00EC3228" w:rsidP="00AD7B5D">
      <w:pPr>
        <w:numPr>
          <w:ilvl w:val="0"/>
          <w:numId w:val="1"/>
        </w:numPr>
        <w:ind w:left="540"/>
        <w:textAlignment w:val="center"/>
      </w:pPr>
      <w:r w:rsidRPr="006849C2">
        <w:rPr>
          <w:rFonts w:eastAsia="Times New Roman"/>
        </w:rPr>
        <w:t xml:space="preserve">Should electric utilities claim AAIG/CPAS savings that reflect the annual changes in the forecasted heat rate (negative in the early years, </w:t>
      </w:r>
      <w:r w:rsidR="00C6405F" w:rsidRPr="006849C2">
        <w:rPr>
          <w:rFonts w:eastAsia="Times New Roman"/>
        </w:rPr>
        <w:t>project</w:t>
      </w:r>
      <w:r w:rsidR="00193D45" w:rsidRPr="006849C2">
        <w:rPr>
          <w:rFonts w:eastAsia="Times New Roman"/>
        </w:rPr>
        <w:t>ed</w:t>
      </w:r>
      <w:r w:rsidR="00C6405F" w:rsidRPr="006849C2">
        <w:rPr>
          <w:rFonts w:eastAsia="Times New Roman"/>
        </w:rPr>
        <w:t xml:space="preserve"> </w:t>
      </w:r>
      <w:r w:rsidR="005804DF" w:rsidRPr="006849C2">
        <w:rPr>
          <w:rFonts w:eastAsia="Times New Roman"/>
        </w:rPr>
        <w:t xml:space="preserve">to become </w:t>
      </w:r>
      <w:r w:rsidRPr="006849C2">
        <w:rPr>
          <w:rFonts w:eastAsia="Times New Roman"/>
        </w:rPr>
        <w:t>positive</w:t>
      </w:r>
      <w:r w:rsidR="005804DF" w:rsidRPr="006849C2">
        <w:rPr>
          <w:rFonts w:eastAsia="Times New Roman"/>
        </w:rPr>
        <w:t xml:space="preserve"> in the later years</w:t>
      </w:r>
      <w:r w:rsidRPr="006849C2">
        <w:rPr>
          <w:rFonts w:eastAsia="Times New Roman"/>
        </w:rPr>
        <w:t>)</w:t>
      </w:r>
      <w:r w:rsidR="005804DF" w:rsidRPr="006849C2">
        <w:rPr>
          <w:rFonts w:eastAsia="Times New Roman"/>
        </w:rPr>
        <w:t>?</w:t>
      </w:r>
    </w:p>
    <w:sectPr w:rsidR="00162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7292"/>
    <w:multiLevelType w:val="multilevel"/>
    <w:tmpl w:val="1D2E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523A00"/>
    <w:multiLevelType w:val="multilevel"/>
    <w:tmpl w:val="AF0A7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057A77"/>
    <w:multiLevelType w:val="multilevel"/>
    <w:tmpl w:val="F86E4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28"/>
    <w:rsid w:val="0007712B"/>
    <w:rsid w:val="000800FC"/>
    <w:rsid w:val="000E7BF1"/>
    <w:rsid w:val="001701B5"/>
    <w:rsid w:val="00192FB5"/>
    <w:rsid w:val="00193D45"/>
    <w:rsid w:val="001F73DB"/>
    <w:rsid w:val="00236309"/>
    <w:rsid w:val="003937C3"/>
    <w:rsid w:val="00416590"/>
    <w:rsid w:val="004B5762"/>
    <w:rsid w:val="005804DF"/>
    <w:rsid w:val="00671D8F"/>
    <w:rsid w:val="006849C2"/>
    <w:rsid w:val="0090691A"/>
    <w:rsid w:val="0099674F"/>
    <w:rsid w:val="009B128B"/>
    <w:rsid w:val="00A34684"/>
    <w:rsid w:val="00A63582"/>
    <w:rsid w:val="00A655BC"/>
    <w:rsid w:val="00AE4154"/>
    <w:rsid w:val="00B0088F"/>
    <w:rsid w:val="00B84562"/>
    <w:rsid w:val="00BF3E67"/>
    <w:rsid w:val="00C16024"/>
    <w:rsid w:val="00C6405F"/>
    <w:rsid w:val="00CF1975"/>
    <w:rsid w:val="00DB1F96"/>
    <w:rsid w:val="00E7281E"/>
    <w:rsid w:val="00EA5E87"/>
    <w:rsid w:val="00EB13B8"/>
    <w:rsid w:val="00EC3228"/>
    <w:rsid w:val="00EF3707"/>
    <w:rsid w:val="00F31551"/>
    <w:rsid w:val="00F3720D"/>
    <w:rsid w:val="00F9757B"/>
    <w:rsid w:val="00F97A94"/>
    <w:rsid w:val="00FB27D2"/>
    <w:rsid w:val="00FD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EB5B"/>
  <w15:chartTrackingRefBased/>
  <w15:docId w15:val="{9F2B97E2-0852-4BA6-B2B2-6463DD39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3B8"/>
    <w:rPr>
      <w:sz w:val="16"/>
      <w:szCs w:val="16"/>
    </w:rPr>
  </w:style>
  <w:style w:type="paragraph" w:styleId="CommentText">
    <w:name w:val="annotation text"/>
    <w:basedOn w:val="Normal"/>
    <w:link w:val="CommentTextChar"/>
    <w:uiPriority w:val="99"/>
    <w:semiHidden/>
    <w:unhideWhenUsed/>
    <w:rsid w:val="00EB13B8"/>
    <w:rPr>
      <w:sz w:val="20"/>
      <w:szCs w:val="20"/>
    </w:rPr>
  </w:style>
  <w:style w:type="character" w:customStyle="1" w:styleId="CommentTextChar">
    <w:name w:val="Comment Text Char"/>
    <w:basedOn w:val="DefaultParagraphFont"/>
    <w:link w:val="CommentText"/>
    <w:uiPriority w:val="99"/>
    <w:semiHidden/>
    <w:rsid w:val="00EB13B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13B8"/>
    <w:rPr>
      <w:b/>
      <w:bCs/>
    </w:rPr>
  </w:style>
  <w:style w:type="character" w:customStyle="1" w:styleId="CommentSubjectChar">
    <w:name w:val="Comment Subject Char"/>
    <w:basedOn w:val="CommentTextChar"/>
    <w:link w:val="CommentSubject"/>
    <w:uiPriority w:val="99"/>
    <w:semiHidden/>
    <w:rsid w:val="00EB13B8"/>
    <w:rPr>
      <w:rFonts w:ascii="Calibri" w:hAnsi="Calibri" w:cs="Calibri"/>
      <w:b/>
      <w:bCs/>
      <w:sz w:val="20"/>
      <w:szCs w:val="20"/>
    </w:rPr>
  </w:style>
  <w:style w:type="paragraph" w:styleId="BalloonText">
    <w:name w:val="Balloon Text"/>
    <w:basedOn w:val="Normal"/>
    <w:link w:val="BalloonTextChar"/>
    <w:uiPriority w:val="99"/>
    <w:semiHidden/>
    <w:unhideWhenUsed/>
    <w:rsid w:val="00EB1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3B8"/>
    <w:rPr>
      <w:rFonts w:ascii="Segoe UI" w:hAnsi="Segoe UI" w:cs="Segoe UI"/>
      <w:sz w:val="18"/>
      <w:szCs w:val="18"/>
    </w:rPr>
  </w:style>
  <w:style w:type="paragraph" w:styleId="ListParagraph">
    <w:name w:val="List Paragraph"/>
    <w:basedOn w:val="Normal"/>
    <w:uiPriority w:val="34"/>
    <w:qFormat/>
    <w:rsid w:val="000E7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WEC Energy Group</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Manjarres, Thomas D</dc:creator>
  <cp:keywords/>
  <dc:description/>
  <cp:lastModifiedBy>Celia Johnson</cp:lastModifiedBy>
  <cp:revision>5</cp:revision>
  <dcterms:created xsi:type="dcterms:W3CDTF">2021-06-25T17:30:00Z</dcterms:created>
  <dcterms:modified xsi:type="dcterms:W3CDTF">2021-06-25T17:56:00Z</dcterms:modified>
</cp:coreProperties>
</file>