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A7C9A" w14:textId="77777777" w:rsidR="00DF62FA" w:rsidRDefault="00DF62FA" w:rsidP="00DF62FA">
      <w:pPr>
        <w:rPr>
          <w:rFonts w:ascii="Palatino Linotype" w:hAnsi="Palatino Linotype"/>
          <w:b/>
          <w:sz w:val="22"/>
          <w:szCs w:val="22"/>
        </w:rPr>
      </w:pPr>
      <w:r>
        <w:rPr>
          <w:rFonts w:ascii="Palatino Linotype" w:hAnsi="Palatino Linotype"/>
          <w:b/>
          <w:sz w:val="22"/>
          <w:szCs w:val="22"/>
        </w:rPr>
        <w:t xml:space="preserve">Shell Measures </w:t>
      </w:r>
    </w:p>
    <w:p w14:paraId="570A7C9B" w14:textId="77777777" w:rsidR="00DF62FA" w:rsidRDefault="00DF62FA" w:rsidP="00DF62FA">
      <w:pPr>
        <w:spacing w:after="0"/>
        <w:rPr>
          <w:rFonts w:ascii="Palatino Linotype" w:hAnsi="Palatino Linotype"/>
          <w:sz w:val="22"/>
          <w:szCs w:val="22"/>
        </w:rPr>
      </w:pPr>
      <w:r>
        <w:rPr>
          <w:rFonts w:ascii="Palatino Linotype" w:hAnsi="Palatino Linotype"/>
          <w:b/>
          <w:sz w:val="22"/>
          <w:szCs w:val="22"/>
        </w:rPr>
        <w:t xml:space="preserve">Request Summary: </w:t>
      </w:r>
      <w:r>
        <w:rPr>
          <w:rFonts w:ascii="Palatino Linotype" w:hAnsi="Palatino Linotype"/>
          <w:sz w:val="22"/>
          <w:szCs w:val="22"/>
        </w:rPr>
        <w:t>Provide furnace fan savings estimates for weatherization measures (5.6.1 – 5.6.4)</w:t>
      </w:r>
    </w:p>
    <w:p w14:paraId="570A7C9C" w14:textId="77777777" w:rsidR="00DF62FA" w:rsidRDefault="00DF62FA" w:rsidP="00DF62FA">
      <w:pPr>
        <w:rPr>
          <w:rFonts w:ascii="Palatino Linotype" w:hAnsi="Palatino Linotype"/>
          <w:sz w:val="22"/>
          <w:szCs w:val="22"/>
        </w:rPr>
      </w:pPr>
      <w:r>
        <w:rPr>
          <w:rFonts w:ascii="Palatino Linotype" w:hAnsi="Palatino Linotype"/>
          <w:b/>
          <w:sz w:val="22"/>
          <w:szCs w:val="22"/>
        </w:rPr>
        <w:t xml:space="preserve">Evaluator Comments: </w:t>
      </w:r>
      <w:r>
        <w:rPr>
          <w:rFonts w:ascii="Palatino Linotype" w:hAnsi="Palatino Linotype"/>
          <w:sz w:val="22"/>
          <w:szCs w:val="22"/>
        </w:rPr>
        <w:t>The evaluation team agrees with the methodology used to estimate furnace fan savings.  However, we believe that the algorithms used for the insulation measures overestimate savings, and that savings estimates for these measures should be calculated using energy simulations or billing analysis for improved accuracy. This is evidenced by the Massachusetts 2011 Low Income Program Evaluation,</w:t>
      </w:r>
      <w:r>
        <w:rPr>
          <w:rStyle w:val="FootnoteReference"/>
          <w:rFonts w:ascii="Palatino Linotype" w:hAnsi="Palatino Linotype"/>
        </w:rPr>
        <w:footnoteReference w:id="1"/>
      </w:r>
      <w:r>
        <w:rPr>
          <w:rFonts w:ascii="Palatino Linotype" w:hAnsi="Palatino Linotype"/>
          <w:sz w:val="22"/>
          <w:szCs w:val="22"/>
        </w:rPr>
        <w:t xml:space="preserve"> which used a combination of billing analysis and calibrated simulation models (built using actual participant audit data) to determine savings from weatherization measures.  The evaluation team compared the Massachusetts results to calculated savings using the Massachusetts audit data inputs and the TRM algorithms.  As shown in </w:t>
      </w:r>
      <w:r>
        <w:rPr>
          <w:rFonts w:ascii="Palatino Linotype" w:hAnsi="Palatino Linotype"/>
          <w:sz w:val="22"/>
          <w:szCs w:val="22"/>
        </w:rPr>
        <w:fldChar w:fldCharType="begin"/>
      </w:r>
      <w:r>
        <w:rPr>
          <w:rFonts w:ascii="Palatino Linotype" w:hAnsi="Palatino Linotype"/>
          <w:sz w:val="22"/>
          <w:szCs w:val="22"/>
        </w:rPr>
        <w:instrText xml:space="preserve"> REF _Ref348624327 \h </w:instrText>
      </w:r>
      <w:r>
        <w:rPr>
          <w:rFonts w:ascii="Palatino Linotype" w:hAnsi="Palatino Linotype"/>
          <w:sz w:val="22"/>
          <w:szCs w:val="22"/>
        </w:rPr>
      </w:r>
      <w:r>
        <w:rPr>
          <w:rFonts w:ascii="Palatino Linotype" w:hAnsi="Palatino Linotype"/>
          <w:sz w:val="22"/>
          <w:szCs w:val="22"/>
        </w:rPr>
        <w:fldChar w:fldCharType="separate"/>
      </w:r>
      <w:r>
        <w:t xml:space="preserve">Table </w:t>
      </w:r>
      <w:r>
        <w:rPr>
          <w:noProof/>
        </w:rPr>
        <w:t>1</w:t>
      </w:r>
      <w:r>
        <w:rPr>
          <w:rFonts w:ascii="Palatino Linotype" w:hAnsi="Palatino Linotype"/>
          <w:sz w:val="22"/>
          <w:szCs w:val="22"/>
        </w:rPr>
        <w:fldChar w:fldCharType="end"/>
      </w:r>
      <w:r>
        <w:rPr>
          <w:rFonts w:ascii="Palatino Linotype" w:hAnsi="Palatino Linotype"/>
          <w:sz w:val="22"/>
          <w:szCs w:val="22"/>
        </w:rPr>
        <w:t>, the TRM algorithm overestimates savings significantly, especially for the wall and basement sidewall insulation measures.  The evaluation team did not include the floor insulation over crawlspace TRM measure because the Massachusetts equivalent measure was not limited to floors over crawlspace.  However, these savings may be too high as well since they use the same methodology.  While an engineering algorithm approach that allows flexible inputs is convenient for TRM users, it is not as accurate as calibrated simulation or billing analysis which are the industry standard for estimating savings from these measures.</w:t>
      </w:r>
    </w:p>
    <w:p w14:paraId="570A7C9D" w14:textId="77777777" w:rsidR="00DF62FA" w:rsidRDefault="00DF62FA" w:rsidP="00DF62FA">
      <w:pPr>
        <w:pStyle w:val="Caption"/>
      </w:pPr>
      <w:bookmarkStart w:id="0" w:name="_Ref348624327"/>
      <w:r>
        <w:t xml:space="preserve">Table </w:t>
      </w:r>
      <w:fldSimple w:instr=" SEQ Table \* ARABIC ">
        <w:r>
          <w:rPr>
            <w:noProof/>
          </w:rPr>
          <w:t>1</w:t>
        </w:r>
      </w:fldSimple>
      <w:bookmarkEnd w:id="0"/>
      <w:r>
        <w:t>: Comparison of Evaluated Results and TRM Calculations for MA Low Income Program</w:t>
      </w:r>
    </w:p>
    <w:tbl>
      <w:tblPr>
        <w:tblStyle w:val="MediumShading1-Accent1"/>
        <w:tblW w:w="0" w:type="auto"/>
        <w:jc w:val="center"/>
        <w:tblLook w:val="04A0" w:firstRow="1" w:lastRow="0" w:firstColumn="1" w:lastColumn="0" w:noHBand="0" w:noVBand="1"/>
      </w:tblPr>
      <w:tblGrid>
        <w:gridCol w:w="1719"/>
        <w:gridCol w:w="1585"/>
        <w:gridCol w:w="1394"/>
        <w:gridCol w:w="1440"/>
        <w:gridCol w:w="1440"/>
        <w:gridCol w:w="1377"/>
      </w:tblGrid>
      <w:tr w:rsidR="00DF62FA" w14:paraId="570A7CA4" w14:textId="77777777" w:rsidTr="00DF62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9" w:type="dxa"/>
            <w:vAlign w:val="center"/>
            <w:hideMark/>
          </w:tcPr>
          <w:p w14:paraId="570A7C9E" w14:textId="77777777" w:rsidR="00DF62FA" w:rsidRDefault="00DF62FA">
            <w:pPr>
              <w:keepNext/>
              <w:keepLines/>
              <w:spacing w:after="0"/>
              <w:jc w:val="center"/>
              <w:rPr>
                <w:rFonts w:ascii="Palatino Linotype" w:hAnsi="Palatino Linotype"/>
                <w:sz w:val="20"/>
                <w:szCs w:val="20"/>
              </w:rPr>
            </w:pPr>
            <w:bookmarkStart w:id="1" w:name="_GoBack"/>
            <w:r>
              <w:rPr>
                <w:rFonts w:ascii="Palatino Linotype" w:hAnsi="Palatino Linotype"/>
                <w:sz w:val="20"/>
                <w:szCs w:val="20"/>
              </w:rPr>
              <w:t>Measure</w:t>
            </w:r>
          </w:p>
        </w:tc>
        <w:tc>
          <w:tcPr>
            <w:tcW w:w="1585" w:type="dxa"/>
            <w:vAlign w:val="center"/>
            <w:hideMark/>
          </w:tcPr>
          <w:p w14:paraId="570A7C9F" w14:textId="77777777" w:rsidR="00DF62FA" w:rsidRDefault="00DF62FA">
            <w:pPr>
              <w:keepNext/>
              <w:keepLines/>
              <w:spacing w:after="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MA Participant Audit Data</w:t>
            </w:r>
            <w:r>
              <w:rPr>
                <w:rStyle w:val="FootnoteReference"/>
                <w:rFonts w:ascii="Palatino Linotype" w:hAnsi="Palatino Linotype"/>
              </w:rPr>
              <w:footnoteReference w:id="2"/>
            </w:r>
          </w:p>
        </w:tc>
        <w:tc>
          <w:tcPr>
            <w:tcW w:w="1394" w:type="dxa"/>
            <w:vAlign w:val="center"/>
            <w:hideMark/>
          </w:tcPr>
          <w:p w14:paraId="570A7CA0" w14:textId="77777777" w:rsidR="00DF62FA" w:rsidRDefault="00DF62FA">
            <w:pPr>
              <w:keepNext/>
              <w:keepLines/>
              <w:spacing w:after="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MA Participants w/Valid Data</w:t>
            </w:r>
          </w:p>
        </w:tc>
        <w:tc>
          <w:tcPr>
            <w:tcW w:w="1440" w:type="dxa"/>
            <w:vAlign w:val="center"/>
            <w:hideMark/>
          </w:tcPr>
          <w:p w14:paraId="570A7CA1" w14:textId="77777777" w:rsidR="00DF62FA" w:rsidRDefault="00DF62FA">
            <w:pPr>
              <w:keepNext/>
              <w:keepLines/>
              <w:spacing w:after="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TRM Algorithm Therm Savings</w:t>
            </w:r>
          </w:p>
        </w:tc>
        <w:tc>
          <w:tcPr>
            <w:tcW w:w="1440" w:type="dxa"/>
            <w:vAlign w:val="center"/>
            <w:hideMark/>
          </w:tcPr>
          <w:p w14:paraId="570A7CA2" w14:textId="77777777" w:rsidR="00DF62FA" w:rsidRDefault="00DF62FA">
            <w:pPr>
              <w:keepNext/>
              <w:keepLines/>
              <w:spacing w:after="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MA Evaluated Therm Savings</w:t>
            </w:r>
          </w:p>
        </w:tc>
        <w:tc>
          <w:tcPr>
            <w:tcW w:w="1377" w:type="dxa"/>
            <w:vAlign w:val="center"/>
            <w:hideMark/>
          </w:tcPr>
          <w:p w14:paraId="570A7CA3" w14:textId="77777777" w:rsidR="00DF62FA" w:rsidRDefault="00DF62FA">
            <w:pPr>
              <w:keepNext/>
              <w:keepLines/>
              <w:spacing w:after="0"/>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Percent Difference</w:t>
            </w:r>
          </w:p>
        </w:tc>
      </w:tr>
      <w:tr w:rsidR="00DF62FA" w14:paraId="570A7CAD" w14:textId="77777777" w:rsidTr="00DF62F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9" w:type="dxa"/>
            <w:tcBorders>
              <w:top w:val="single" w:sz="8" w:space="0" w:color="7BA0CD" w:themeColor="accent1" w:themeTint="BF"/>
              <w:left w:val="single" w:sz="8" w:space="0" w:color="7BA0CD" w:themeColor="accent1" w:themeTint="BF"/>
              <w:bottom w:val="single" w:sz="8" w:space="0" w:color="7BA0CD" w:themeColor="accent1" w:themeTint="BF"/>
            </w:tcBorders>
            <w:vAlign w:val="center"/>
            <w:hideMark/>
          </w:tcPr>
          <w:p w14:paraId="570A7CA5" w14:textId="77777777" w:rsidR="00DF62FA" w:rsidRDefault="00DF62FA">
            <w:pPr>
              <w:keepNext/>
              <w:keepLines/>
              <w:spacing w:after="0"/>
              <w:rPr>
                <w:rFonts w:ascii="Palatino Linotype" w:hAnsi="Palatino Linotype"/>
                <w:b w:val="0"/>
                <w:sz w:val="20"/>
                <w:szCs w:val="20"/>
              </w:rPr>
            </w:pPr>
            <w:r>
              <w:rPr>
                <w:rFonts w:ascii="Palatino Linotype" w:hAnsi="Palatino Linotype"/>
                <w:b w:val="0"/>
                <w:sz w:val="20"/>
                <w:szCs w:val="20"/>
              </w:rPr>
              <w:t>Basement Sidewall Insulation</w:t>
            </w:r>
          </w:p>
        </w:tc>
        <w:tc>
          <w:tcPr>
            <w:tcW w:w="1585" w:type="dxa"/>
            <w:tcBorders>
              <w:top w:val="single" w:sz="8" w:space="0" w:color="7BA0CD" w:themeColor="accent1" w:themeTint="BF"/>
              <w:bottom w:val="single" w:sz="8" w:space="0" w:color="7BA0CD" w:themeColor="accent1" w:themeTint="BF"/>
            </w:tcBorders>
            <w:vAlign w:val="center"/>
            <w:hideMark/>
          </w:tcPr>
          <w:p w14:paraId="570A7CA6"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vertAlign w:val="superscript"/>
              </w:rPr>
            </w:pPr>
            <w:r>
              <w:rPr>
                <w:rFonts w:ascii="Palatino Linotype" w:hAnsi="Palatino Linotype"/>
                <w:sz w:val="20"/>
                <w:szCs w:val="20"/>
              </w:rPr>
              <w:t>287 ft</w:t>
            </w:r>
            <w:r>
              <w:rPr>
                <w:rFonts w:ascii="Palatino Linotype" w:hAnsi="Palatino Linotype"/>
                <w:sz w:val="20"/>
                <w:szCs w:val="20"/>
                <w:vertAlign w:val="superscript"/>
              </w:rPr>
              <w:t>2</w:t>
            </w:r>
          </w:p>
          <w:p w14:paraId="570A7CA7"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Rpre = 6.6</w:t>
            </w:r>
          </w:p>
          <w:p w14:paraId="570A7CA8"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Rpost = 23.6</w:t>
            </w:r>
          </w:p>
        </w:tc>
        <w:tc>
          <w:tcPr>
            <w:tcW w:w="1394" w:type="dxa"/>
            <w:tcBorders>
              <w:top w:val="single" w:sz="8" w:space="0" w:color="7BA0CD" w:themeColor="accent1" w:themeTint="BF"/>
              <w:bottom w:val="single" w:sz="8" w:space="0" w:color="7BA0CD" w:themeColor="accent1" w:themeTint="BF"/>
            </w:tcBorders>
            <w:vAlign w:val="center"/>
            <w:hideMark/>
          </w:tcPr>
          <w:p w14:paraId="570A7CA9"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3</w:t>
            </w:r>
          </w:p>
        </w:tc>
        <w:tc>
          <w:tcPr>
            <w:tcW w:w="1440" w:type="dxa"/>
            <w:tcBorders>
              <w:top w:val="single" w:sz="8" w:space="0" w:color="7BA0CD" w:themeColor="accent1" w:themeTint="BF"/>
              <w:bottom w:val="single" w:sz="8" w:space="0" w:color="7BA0CD" w:themeColor="accent1" w:themeTint="BF"/>
            </w:tcBorders>
            <w:vAlign w:val="center"/>
            <w:hideMark/>
          </w:tcPr>
          <w:p w14:paraId="570A7CAA"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44</w:t>
            </w:r>
          </w:p>
        </w:tc>
        <w:tc>
          <w:tcPr>
            <w:tcW w:w="1440" w:type="dxa"/>
            <w:tcBorders>
              <w:top w:val="single" w:sz="8" w:space="0" w:color="7BA0CD" w:themeColor="accent1" w:themeTint="BF"/>
              <w:bottom w:val="single" w:sz="8" w:space="0" w:color="7BA0CD" w:themeColor="accent1" w:themeTint="BF"/>
            </w:tcBorders>
            <w:vAlign w:val="center"/>
            <w:hideMark/>
          </w:tcPr>
          <w:p w14:paraId="570A7CAB"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13</w:t>
            </w:r>
          </w:p>
        </w:tc>
        <w:tc>
          <w:tcPr>
            <w:tcW w:w="1377" w:type="dxa"/>
            <w:tcBorders>
              <w:top w:val="single" w:sz="8" w:space="0" w:color="7BA0CD" w:themeColor="accent1" w:themeTint="BF"/>
              <w:bottom w:val="single" w:sz="8" w:space="0" w:color="7BA0CD" w:themeColor="accent1" w:themeTint="BF"/>
              <w:right w:val="single" w:sz="8" w:space="0" w:color="7BA0CD" w:themeColor="accent1" w:themeTint="BF"/>
            </w:tcBorders>
            <w:vAlign w:val="center"/>
            <w:hideMark/>
          </w:tcPr>
          <w:p w14:paraId="570A7CAC"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236%</w:t>
            </w:r>
          </w:p>
        </w:tc>
      </w:tr>
      <w:tr w:rsidR="00DF62FA" w14:paraId="570A7CB6" w14:textId="77777777" w:rsidTr="00DF62F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9" w:type="dxa"/>
            <w:tcBorders>
              <w:top w:val="single" w:sz="8" w:space="0" w:color="7BA0CD" w:themeColor="accent1" w:themeTint="BF"/>
              <w:left w:val="single" w:sz="8" w:space="0" w:color="7BA0CD" w:themeColor="accent1" w:themeTint="BF"/>
              <w:bottom w:val="single" w:sz="8" w:space="0" w:color="7BA0CD" w:themeColor="accent1" w:themeTint="BF"/>
            </w:tcBorders>
            <w:vAlign w:val="center"/>
            <w:hideMark/>
          </w:tcPr>
          <w:p w14:paraId="570A7CAE" w14:textId="77777777" w:rsidR="00DF62FA" w:rsidRDefault="00DF62FA">
            <w:pPr>
              <w:keepNext/>
              <w:keepLines/>
              <w:spacing w:after="0"/>
              <w:rPr>
                <w:rFonts w:ascii="Palatino Linotype" w:hAnsi="Palatino Linotype"/>
                <w:b w:val="0"/>
                <w:sz w:val="20"/>
                <w:szCs w:val="20"/>
              </w:rPr>
            </w:pPr>
            <w:r>
              <w:rPr>
                <w:rFonts w:ascii="Palatino Linotype" w:hAnsi="Palatino Linotype"/>
                <w:b w:val="0"/>
                <w:sz w:val="20"/>
                <w:szCs w:val="20"/>
              </w:rPr>
              <w:t>Wall Insulation</w:t>
            </w:r>
          </w:p>
        </w:tc>
        <w:tc>
          <w:tcPr>
            <w:tcW w:w="1585" w:type="dxa"/>
            <w:tcBorders>
              <w:top w:val="single" w:sz="8" w:space="0" w:color="7BA0CD" w:themeColor="accent1" w:themeTint="BF"/>
              <w:bottom w:val="single" w:sz="8" w:space="0" w:color="7BA0CD" w:themeColor="accent1" w:themeTint="BF"/>
            </w:tcBorders>
            <w:vAlign w:val="center"/>
            <w:hideMark/>
          </w:tcPr>
          <w:p w14:paraId="570A7CAF"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vertAlign w:val="superscript"/>
              </w:rPr>
            </w:pPr>
            <w:r>
              <w:rPr>
                <w:rFonts w:ascii="Palatino Linotype" w:hAnsi="Palatino Linotype"/>
                <w:sz w:val="20"/>
                <w:szCs w:val="20"/>
              </w:rPr>
              <w:t>1,243 ft</w:t>
            </w:r>
            <w:r>
              <w:rPr>
                <w:rFonts w:ascii="Palatino Linotype" w:hAnsi="Palatino Linotype"/>
                <w:sz w:val="20"/>
                <w:szCs w:val="20"/>
                <w:vertAlign w:val="superscript"/>
              </w:rPr>
              <w:t>2</w:t>
            </w:r>
          </w:p>
          <w:p w14:paraId="570A7CB0"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Rpre = 3.4</w:t>
            </w:r>
          </w:p>
          <w:p w14:paraId="570A7CB1"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Rpost = 13.0</w:t>
            </w:r>
          </w:p>
        </w:tc>
        <w:tc>
          <w:tcPr>
            <w:tcW w:w="1394" w:type="dxa"/>
            <w:tcBorders>
              <w:top w:val="single" w:sz="8" w:space="0" w:color="7BA0CD" w:themeColor="accent1" w:themeTint="BF"/>
              <w:bottom w:val="single" w:sz="8" w:space="0" w:color="7BA0CD" w:themeColor="accent1" w:themeTint="BF"/>
            </w:tcBorders>
            <w:vAlign w:val="center"/>
            <w:hideMark/>
          </w:tcPr>
          <w:p w14:paraId="570A7CB2"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210</w:t>
            </w:r>
          </w:p>
        </w:tc>
        <w:tc>
          <w:tcPr>
            <w:tcW w:w="1440" w:type="dxa"/>
            <w:tcBorders>
              <w:top w:val="single" w:sz="8" w:space="0" w:color="7BA0CD" w:themeColor="accent1" w:themeTint="BF"/>
              <w:bottom w:val="single" w:sz="8" w:space="0" w:color="7BA0CD" w:themeColor="accent1" w:themeTint="BF"/>
            </w:tcBorders>
            <w:vAlign w:val="center"/>
            <w:hideMark/>
          </w:tcPr>
          <w:p w14:paraId="570A7CB3"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346</w:t>
            </w:r>
          </w:p>
        </w:tc>
        <w:tc>
          <w:tcPr>
            <w:tcW w:w="1440" w:type="dxa"/>
            <w:tcBorders>
              <w:top w:val="single" w:sz="8" w:space="0" w:color="7BA0CD" w:themeColor="accent1" w:themeTint="BF"/>
              <w:bottom w:val="single" w:sz="8" w:space="0" w:color="7BA0CD" w:themeColor="accent1" w:themeTint="BF"/>
            </w:tcBorders>
            <w:vAlign w:val="center"/>
            <w:hideMark/>
          </w:tcPr>
          <w:p w14:paraId="570A7CB4"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115</w:t>
            </w:r>
          </w:p>
        </w:tc>
        <w:tc>
          <w:tcPr>
            <w:tcW w:w="1377" w:type="dxa"/>
            <w:tcBorders>
              <w:top w:val="single" w:sz="8" w:space="0" w:color="7BA0CD" w:themeColor="accent1" w:themeTint="BF"/>
              <w:bottom w:val="single" w:sz="8" w:space="0" w:color="7BA0CD" w:themeColor="accent1" w:themeTint="BF"/>
              <w:right w:val="single" w:sz="8" w:space="0" w:color="7BA0CD" w:themeColor="accent1" w:themeTint="BF"/>
            </w:tcBorders>
            <w:vAlign w:val="center"/>
            <w:hideMark/>
          </w:tcPr>
          <w:p w14:paraId="570A7CB5" w14:textId="77777777" w:rsidR="00DF62FA" w:rsidRDefault="00DF62FA">
            <w:pPr>
              <w:keepNext/>
              <w:keepLines/>
              <w:spacing w:after="0"/>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sz w:val="20"/>
                <w:szCs w:val="20"/>
              </w:rPr>
            </w:pPr>
            <w:r>
              <w:rPr>
                <w:rFonts w:ascii="Palatino Linotype" w:hAnsi="Palatino Linotype"/>
                <w:sz w:val="20"/>
                <w:szCs w:val="20"/>
              </w:rPr>
              <w:t>200%</w:t>
            </w:r>
          </w:p>
        </w:tc>
      </w:tr>
      <w:tr w:rsidR="00DF62FA" w14:paraId="570A7CBF" w14:textId="77777777" w:rsidTr="00DF62F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19" w:type="dxa"/>
            <w:tcBorders>
              <w:top w:val="single" w:sz="8" w:space="0" w:color="7BA0CD" w:themeColor="accent1" w:themeTint="BF"/>
              <w:left w:val="single" w:sz="8" w:space="0" w:color="7BA0CD" w:themeColor="accent1" w:themeTint="BF"/>
              <w:bottom w:val="single" w:sz="8" w:space="0" w:color="7BA0CD" w:themeColor="accent1" w:themeTint="BF"/>
            </w:tcBorders>
            <w:vAlign w:val="center"/>
            <w:hideMark/>
          </w:tcPr>
          <w:p w14:paraId="570A7CB7" w14:textId="77777777" w:rsidR="00DF62FA" w:rsidRDefault="00DF62FA">
            <w:pPr>
              <w:keepNext/>
              <w:keepLines/>
              <w:spacing w:after="0"/>
              <w:rPr>
                <w:rFonts w:ascii="Palatino Linotype" w:hAnsi="Palatino Linotype"/>
                <w:b w:val="0"/>
                <w:sz w:val="20"/>
                <w:szCs w:val="20"/>
              </w:rPr>
            </w:pPr>
            <w:r>
              <w:rPr>
                <w:rFonts w:ascii="Palatino Linotype" w:hAnsi="Palatino Linotype"/>
                <w:b w:val="0"/>
                <w:sz w:val="20"/>
                <w:szCs w:val="20"/>
              </w:rPr>
              <w:t>Attic Insulation</w:t>
            </w:r>
          </w:p>
        </w:tc>
        <w:tc>
          <w:tcPr>
            <w:tcW w:w="1585" w:type="dxa"/>
            <w:tcBorders>
              <w:top w:val="single" w:sz="8" w:space="0" w:color="7BA0CD" w:themeColor="accent1" w:themeTint="BF"/>
              <w:bottom w:val="single" w:sz="8" w:space="0" w:color="7BA0CD" w:themeColor="accent1" w:themeTint="BF"/>
            </w:tcBorders>
            <w:vAlign w:val="center"/>
            <w:hideMark/>
          </w:tcPr>
          <w:p w14:paraId="570A7CB8"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vertAlign w:val="superscript"/>
              </w:rPr>
            </w:pPr>
            <w:r>
              <w:rPr>
                <w:rFonts w:ascii="Palatino Linotype" w:hAnsi="Palatino Linotype"/>
                <w:sz w:val="20"/>
                <w:szCs w:val="20"/>
              </w:rPr>
              <w:t>944 ft</w:t>
            </w:r>
            <w:r>
              <w:rPr>
                <w:rFonts w:ascii="Palatino Linotype" w:hAnsi="Palatino Linotype"/>
                <w:sz w:val="20"/>
                <w:szCs w:val="20"/>
                <w:vertAlign w:val="superscript"/>
              </w:rPr>
              <w:t>2</w:t>
            </w:r>
          </w:p>
          <w:p w14:paraId="570A7CB9"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Rpre = 8.2</w:t>
            </w:r>
          </w:p>
          <w:p w14:paraId="570A7CBA"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Rpost = 27.0</w:t>
            </w:r>
          </w:p>
        </w:tc>
        <w:tc>
          <w:tcPr>
            <w:tcW w:w="1394" w:type="dxa"/>
            <w:tcBorders>
              <w:top w:val="single" w:sz="8" w:space="0" w:color="7BA0CD" w:themeColor="accent1" w:themeTint="BF"/>
              <w:bottom w:val="single" w:sz="8" w:space="0" w:color="7BA0CD" w:themeColor="accent1" w:themeTint="BF"/>
            </w:tcBorders>
            <w:vAlign w:val="center"/>
            <w:hideMark/>
          </w:tcPr>
          <w:p w14:paraId="570A7CBB"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248</w:t>
            </w:r>
          </w:p>
        </w:tc>
        <w:tc>
          <w:tcPr>
            <w:tcW w:w="1440" w:type="dxa"/>
            <w:tcBorders>
              <w:top w:val="single" w:sz="8" w:space="0" w:color="7BA0CD" w:themeColor="accent1" w:themeTint="BF"/>
              <w:bottom w:val="single" w:sz="8" w:space="0" w:color="7BA0CD" w:themeColor="accent1" w:themeTint="BF"/>
            </w:tcBorders>
            <w:vAlign w:val="center"/>
            <w:hideMark/>
          </w:tcPr>
          <w:p w14:paraId="570A7CBC"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112</w:t>
            </w:r>
          </w:p>
        </w:tc>
        <w:tc>
          <w:tcPr>
            <w:tcW w:w="1440" w:type="dxa"/>
            <w:tcBorders>
              <w:top w:val="single" w:sz="8" w:space="0" w:color="7BA0CD" w:themeColor="accent1" w:themeTint="BF"/>
              <w:bottom w:val="single" w:sz="8" w:space="0" w:color="7BA0CD" w:themeColor="accent1" w:themeTint="BF"/>
            </w:tcBorders>
            <w:vAlign w:val="center"/>
            <w:hideMark/>
          </w:tcPr>
          <w:p w14:paraId="570A7CBD"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83</w:t>
            </w:r>
          </w:p>
        </w:tc>
        <w:tc>
          <w:tcPr>
            <w:tcW w:w="1377" w:type="dxa"/>
            <w:tcBorders>
              <w:top w:val="single" w:sz="8" w:space="0" w:color="7BA0CD" w:themeColor="accent1" w:themeTint="BF"/>
              <w:bottom w:val="single" w:sz="8" w:space="0" w:color="7BA0CD" w:themeColor="accent1" w:themeTint="BF"/>
              <w:right w:val="single" w:sz="8" w:space="0" w:color="7BA0CD" w:themeColor="accent1" w:themeTint="BF"/>
            </w:tcBorders>
            <w:vAlign w:val="center"/>
            <w:hideMark/>
          </w:tcPr>
          <w:p w14:paraId="570A7CBE" w14:textId="77777777" w:rsidR="00DF62FA" w:rsidRDefault="00DF62FA">
            <w:pPr>
              <w:keepNext/>
              <w:keepLines/>
              <w:spacing w:after="0"/>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Pr>
                <w:rFonts w:ascii="Palatino Linotype" w:hAnsi="Palatino Linotype"/>
                <w:sz w:val="20"/>
                <w:szCs w:val="20"/>
              </w:rPr>
              <w:t>35%</w:t>
            </w:r>
          </w:p>
        </w:tc>
      </w:tr>
      <w:bookmarkEnd w:id="1"/>
    </w:tbl>
    <w:p w14:paraId="570A7CC0" w14:textId="77777777" w:rsidR="00DF62FA" w:rsidRDefault="00DF62FA" w:rsidP="00DF62FA"/>
    <w:p w14:paraId="570A7CC1" w14:textId="77777777" w:rsidR="00E41B91" w:rsidRDefault="00E41B91"/>
    <w:sectPr w:rsidR="00E41B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A7CC4" w14:textId="77777777" w:rsidR="000B317B" w:rsidRDefault="000B317B" w:rsidP="00DF62FA">
      <w:pPr>
        <w:spacing w:after="0" w:line="240" w:lineRule="auto"/>
      </w:pPr>
      <w:r>
        <w:separator/>
      </w:r>
    </w:p>
  </w:endnote>
  <w:endnote w:type="continuationSeparator" w:id="0">
    <w:p w14:paraId="570A7CC5" w14:textId="77777777" w:rsidR="000B317B" w:rsidRDefault="000B317B" w:rsidP="00DF6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A7CC2" w14:textId="77777777" w:rsidR="000B317B" w:rsidRDefault="000B317B" w:rsidP="00DF62FA">
      <w:pPr>
        <w:spacing w:after="0" w:line="240" w:lineRule="auto"/>
      </w:pPr>
      <w:r>
        <w:separator/>
      </w:r>
    </w:p>
  </w:footnote>
  <w:footnote w:type="continuationSeparator" w:id="0">
    <w:p w14:paraId="570A7CC3" w14:textId="77777777" w:rsidR="000B317B" w:rsidRDefault="000B317B" w:rsidP="00DF62FA">
      <w:pPr>
        <w:spacing w:after="0" w:line="240" w:lineRule="auto"/>
      </w:pPr>
      <w:r>
        <w:continuationSeparator/>
      </w:r>
    </w:p>
  </w:footnote>
  <w:footnote w:id="1">
    <w:p w14:paraId="570A7CC6" w14:textId="77777777" w:rsidR="00DF62FA" w:rsidRDefault="00DF62FA" w:rsidP="00DF62FA">
      <w:pPr>
        <w:pStyle w:val="FootnoteText"/>
      </w:pPr>
      <w:r>
        <w:rPr>
          <w:rStyle w:val="FootnoteReference"/>
          <w:rFonts w:ascii="Tms Rmn" w:hAnsi="Tms Rmn"/>
        </w:rPr>
        <w:footnoteRef/>
      </w:r>
      <w:r>
        <w:t xml:space="preserve"> Ibid. See Tables 16 (p. 29) and 19 (p. 30)</w:t>
      </w:r>
    </w:p>
  </w:footnote>
  <w:footnote w:id="2">
    <w:p w14:paraId="570A7CC7" w14:textId="77777777" w:rsidR="00DF62FA" w:rsidRDefault="00DF62FA" w:rsidP="00DF62FA">
      <w:pPr>
        <w:pStyle w:val="FootnoteText"/>
      </w:pPr>
      <w:r>
        <w:rPr>
          <w:rStyle w:val="FootnoteReference"/>
          <w:rFonts w:ascii="Tms Rmn" w:hAnsi="Tms Rmn"/>
        </w:rPr>
        <w:footnoteRef/>
      </w:r>
      <w:r>
        <w:t xml:space="preserve"> Also used MA LI program average system efficiency of 77% and MA-specific base 60 HDD of 4834.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2FA"/>
    <w:rsid w:val="000B317B"/>
    <w:rsid w:val="00A477A8"/>
    <w:rsid w:val="00DF62FA"/>
    <w:rsid w:val="00E41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A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2FA"/>
    <w:pPr>
      <w:spacing w:after="280" w:line="320" w:lineRule="atLeas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semiHidden/>
    <w:locked/>
    <w:rsid w:val="00DF62FA"/>
    <w:rPr>
      <w:rFonts w:ascii="Tms Rmn" w:hAnsi="Tms Rmn"/>
      <w:sz w:val="20"/>
      <w:szCs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autoRedefine/>
    <w:uiPriority w:val="99"/>
    <w:semiHidden/>
    <w:unhideWhenUsed/>
    <w:rsid w:val="00DF62FA"/>
    <w:pPr>
      <w:spacing w:after="60" w:line="240" w:lineRule="atLeast"/>
      <w:ind w:left="90" w:hanging="90"/>
    </w:pPr>
    <w:rPr>
      <w:rFonts w:ascii="Tms Rmn" w:eastAsiaTheme="minorHAnsi" w:hAnsi="Tms Rmn" w:cstheme="minorBidi"/>
      <w:sz w:val="20"/>
      <w:szCs w:val="20"/>
    </w:rPr>
  </w:style>
  <w:style w:type="character" w:customStyle="1" w:styleId="FootnoteTextChar1">
    <w:name w:val="Footnote Text Char1"/>
    <w:basedOn w:val="DefaultParagraphFont"/>
    <w:uiPriority w:val="99"/>
    <w:semiHidden/>
    <w:rsid w:val="00DF62FA"/>
    <w:rPr>
      <w:rFonts w:ascii="Times New Roman" w:eastAsia="Times New Roman" w:hAnsi="Times New Roman" w:cs="Times New Roman"/>
      <w:sz w:val="20"/>
      <w:szCs w:val="20"/>
    </w:rPr>
  </w:style>
  <w:style w:type="character" w:customStyle="1" w:styleId="CaptionChar">
    <w:name w:val="Caption Char"/>
    <w:aliases w:val="Table Caption Char"/>
    <w:basedOn w:val="DefaultParagraphFont"/>
    <w:link w:val="Caption"/>
    <w:uiPriority w:val="35"/>
    <w:semiHidden/>
    <w:locked/>
    <w:rsid w:val="00DF62FA"/>
    <w:rPr>
      <w:rFonts w:ascii="Palatino Linotype" w:hAnsi="Palatino Linotype" w:cs="Tahoma"/>
      <w:b/>
      <w:bCs/>
      <w:color w:val="993300"/>
      <w:sz w:val="20"/>
      <w:szCs w:val="20"/>
    </w:rPr>
  </w:style>
  <w:style w:type="paragraph" w:styleId="Caption">
    <w:name w:val="caption"/>
    <w:aliases w:val="Table Caption"/>
    <w:basedOn w:val="Normal"/>
    <w:next w:val="Normal"/>
    <w:link w:val="CaptionChar"/>
    <w:autoRedefine/>
    <w:uiPriority w:val="35"/>
    <w:semiHidden/>
    <w:unhideWhenUsed/>
    <w:qFormat/>
    <w:rsid w:val="00DF62FA"/>
    <w:pPr>
      <w:keepNext/>
      <w:keepLines/>
      <w:spacing w:before="120" w:after="120"/>
      <w:ind w:left="720"/>
      <w:jc w:val="center"/>
    </w:pPr>
    <w:rPr>
      <w:rFonts w:ascii="Palatino Linotype" w:eastAsiaTheme="minorHAnsi" w:hAnsi="Palatino Linotype" w:cs="Tahoma"/>
      <w:b/>
      <w:bCs/>
      <w:color w:val="993300"/>
      <w:sz w:val="20"/>
      <w:szCs w:val="20"/>
    </w:rPr>
  </w:style>
  <w:style w:type="character" w:styleId="FootnoteReference">
    <w:name w:val="footnote reference"/>
    <w:basedOn w:val="DefaultParagraphFont"/>
    <w:semiHidden/>
    <w:unhideWhenUsed/>
    <w:rsid w:val="00DF62FA"/>
    <w:rPr>
      <w:rFonts w:ascii="Times New Roman" w:hAnsi="Times New Roman" w:cs="Times New Roman" w:hint="default"/>
      <w:position w:val="6"/>
      <w:sz w:val="16"/>
      <w:szCs w:val="16"/>
    </w:rPr>
  </w:style>
  <w:style w:type="table" w:styleId="MediumShading1-Accent1">
    <w:name w:val="Medium Shading 1 Accent 1"/>
    <w:basedOn w:val="TableNormal"/>
    <w:uiPriority w:val="63"/>
    <w:rsid w:val="00DF62FA"/>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2FA"/>
    <w:pPr>
      <w:spacing w:after="280" w:line="320" w:lineRule="atLeas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semiHidden/>
    <w:locked/>
    <w:rsid w:val="00DF62FA"/>
    <w:rPr>
      <w:rFonts w:ascii="Tms Rmn" w:hAnsi="Tms Rmn"/>
      <w:sz w:val="20"/>
      <w:szCs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autoRedefine/>
    <w:uiPriority w:val="99"/>
    <w:semiHidden/>
    <w:unhideWhenUsed/>
    <w:rsid w:val="00DF62FA"/>
    <w:pPr>
      <w:spacing w:after="60" w:line="240" w:lineRule="atLeast"/>
      <w:ind w:left="90" w:hanging="90"/>
    </w:pPr>
    <w:rPr>
      <w:rFonts w:ascii="Tms Rmn" w:eastAsiaTheme="minorHAnsi" w:hAnsi="Tms Rmn" w:cstheme="minorBidi"/>
      <w:sz w:val="20"/>
      <w:szCs w:val="20"/>
    </w:rPr>
  </w:style>
  <w:style w:type="character" w:customStyle="1" w:styleId="FootnoteTextChar1">
    <w:name w:val="Footnote Text Char1"/>
    <w:basedOn w:val="DefaultParagraphFont"/>
    <w:uiPriority w:val="99"/>
    <w:semiHidden/>
    <w:rsid w:val="00DF62FA"/>
    <w:rPr>
      <w:rFonts w:ascii="Times New Roman" w:eastAsia="Times New Roman" w:hAnsi="Times New Roman" w:cs="Times New Roman"/>
      <w:sz w:val="20"/>
      <w:szCs w:val="20"/>
    </w:rPr>
  </w:style>
  <w:style w:type="character" w:customStyle="1" w:styleId="CaptionChar">
    <w:name w:val="Caption Char"/>
    <w:aliases w:val="Table Caption Char"/>
    <w:basedOn w:val="DefaultParagraphFont"/>
    <w:link w:val="Caption"/>
    <w:uiPriority w:val="35"/>
    <w:semiHidden/>
    <w:locked/>
    <w:rsid w:val="00DF62FA"/>
    <w:rPr>
      <w:rFonts w:ascii="Palatino Linotype" w:hAnsi="Palatino Linotype" w:cs="Tahoma"/>
      <w:b/>
      <w:bCs/>
      <w:color w:val="993300"/>
      <w:sz w:val="20"/>
      <w:szCs w:val="20"/>
    </w:rPr>
  </w:style>
  <w:style w:type="paragraph" w:styleId="Caption">
    <w:name w:val="caption"/>
    <w:aliases w:val="Table Caption"/>
    <w:basedOn w:val="Normal"/>
    <w:next w:val="Normal"/>
    <w:link w:val="CaptionChar"/>
    <w:autoRedefine/>
    <w:uiPriority w:val="35"/>
    <w:semiHidden/>
    <w:unhideWhenUsed/>
    <w:qFormat/>
    <w:rsid w:val="00DF62FA"/>
    <w:pPr>
      <w:keepNext/>
      <w:keepLines/>
      <w:spacing w:before="120" w:after="120"/>
      <w:ind w:left="720"/>
      <w:jc w:val="center"/>
    </w:pPr>
    <w:rPr>
      <w:rFonts w:ascii="Palatino Linotype" w:eastAsiaTheme="minorHAnsi" w:hAnsi="Palatino Linotype" w:cs="Tahoma"/>
      <w:b/>
      <w:bCs/>
      <w:color w:val="993300"/>
      <w:sz w:val="20"/>
      <w:szCs w:val="20"/>
    </w:rPr>
  </w:style>
  <w:style w:type="character" w:styleId="FootnoteReference">
    <w:name w:val="footnote reference"/>
    <w:basedOn w:val="DefaultParagraphFont"/>
    <w:semiHidden/>
    <w:unhideWhenUsed/>
    <w:rsid w:val="00DF62FA"/>
    <w:rPr>
      <w:rFonts w:ascii="Times New Roman" w:hAnsi="Times New Roman" w:cs="Times New Roman" w:hint="default"/>
      <w:position w:val="6"/>
      <w:sz w:val="16"/>
      <w:szCs w:val="16"/>
    </w:rPr>
  </w:style>
  <w:style w:type="table" w:styleId="MediumShading1-Accent1">
    <w:name w:val="Medium Shading 1 Accent 1"/>
    <w:basedOn w:val="TableNormal"/>
    <w:uiPriority w:val="63"/>
    <w:rsid w:val="00DF62FA"/>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12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919A4-62E5-43DF-9D3C-8AA846AA662D}">
  <ds:schemaRefs>
    <ds:schemaRef ds:uri="http://schemas.openxmlformats.org/package/2006/metadata/core-properties"/>
    <ds:schemaRef ds:uri="http://purl.org/dc/elements/1.1/"/>
    <ds:schemaRef ds:uri="http://purl.org/dc/term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E3BE160E-27CA-4654-B482-EF469CBC3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76D5C-E715-4C77-8D40-1C70FBE34F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43134C6F</Template>
  <TotalTime>0</TotalTime>
  <Pages>2</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2014-01-02T15:07:00Z</dcterms:created>
  <dcterms:modified xsi:type="dcterms:W3CDTF">2014-01-02T15:07:00Z</dcterms:modified>
</cp:coreProperties>
</file>