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E864C" w14:textId="77777777" w:rsidR="00D466B6" w:rsidRPr="00122DF8" w:rsidRDefault="00D466B6" w:rsidP="000B20FD">
      <w:pPr>
        <w:pStyle w:val="AlgorithmHeading"/>
        <w:pBdr>
          <w:bottom w:val="double" w:sz="4" w:space="2" w:color="auto"/>
        </w:pBdr>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p w14:paraId="737E864E" w14:textId="77777777" w:rsidR="00D466B6" w:rsidRPr="004B2377" w:rsidRDefault="00D466B6" w:rsidP="00D466B6">
      <w:pPr>
        <w:jc w:val="center"/>
        <w:rPr>
          <w:b/>
          <w:sz w:val="48"/>
          <w:szCs w:val="48"/>
        </w:rPr>
      </w:pPr>
      <w:r w:rsidRPr="004B2377">
        <w:rPr>
          <w:b/>
          <w:sz w:val="48"/>
          <w:szCs w:val="48"/>
        </w:rPr>
        <w:t>State of Illinois</w:t>
      </w:r>
    </w:p>
    <w:p w14:paraId="737E864F" w14:textId="77777777" w:rsidR="00D466B6" w:rsidRPr="004B2377" w:rsidRDefault="00AB34E3" w:rsidP="000679C8">
      <w:pPr>
        <w:tabs>
          <w:tab w:val="center" w:pos="4680"/>
          <w:tab w:val="left" w:pos="8475"/>
        </w:tabs>
        <w:jc w:val="left"/>
        <w:rPr>
          <w:b/>
          <w:sz w:val="48"/>
          <w:szCs w:val="48"/>
        </w:rPr>
      </w:pPr>
      <w:r>
        <w:rPr>
          <w:b/>
          <w:sz w:val="48"/>
          <w:szCs w:val="48"/>
        </w:rPr>
        <w:tab/>
      </w:r>
      <w:r w:rsidR="00D466B6" w:rsidRPr="004B2377">
        <w:rPr>
          <w:b/>
          <w:sz w:val="48"/>
          <w:szCs w:val="48"/>
        </w:rPr>
        <w:t>Energy Efficiency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b/>
          <w:sz w:val="48"/>
          <w:szCs w:val="48"/>
        </w:rPr>
        <w:tab/>
      </w:r>
    </w:p>
    <w:p w14:paraId="737E8650" w14:textId="77777777" w:rsidR="00D466B6" w:rsidRPr="004B2377" w:rsidRDefault="00D466B6" w:rsidP="00D466B6">
      <w:pPr>
        <w:jc w:val="center"/>
        <w:rPr>
          <w:b/>
          <w:sz w:val="48"/>
          <w:szCs w:val="48"/>
        </w:rPr>
      </w:pPr>
      <w:bookmarkStart w:id="16" w:name="_Toc311441024"/>
      <w:bookmarkStart w:id="17" w:name="_Toc311441572"/>
      <w:bookmarkStart w:id="18" w:name="_Toc311441786"/>
      <w:bookmarkStart w:id="19" w:name="_Toc311444829"/>
      <w:bookmarkStart w:id="20" w:name="_Toc311461616"/>
      <w:bookmarkStart w:id="21" w:name="_Toc311464130"/>
      <w:bookmarkStart w:id="22" w:name="_Toc311464187"/>
      <w:bookmarkStart w:id="23" w:name="_Toc311464224"/>
      <w:bookmarkStart w:id="24" w:name="_Toc311464255"/>
      <w:bookmarkStart w:id="25" w:name="_Toc311465361"/>
      <w:bookmarkStart w:id="26" w:name="_Toc311469763"/>
      <w:bookmarkStart w:id="27" w:name="_Toc311470069"/>
      <w:bookmarkStart w:id="28" w:name="_Toc311470205"/>
      <w:bookmarkStart w:id="29" w:name="_Toc311470723"/>
      <w:bookmarkStart w:id="30" w:name="_Toc311472369"/>
      <w:bookmarkStart w:id="31" w:name="_Toc311472528"/>
      <w:r w:rsidRPr="004B2377">
        <w:rPr>
          <w:b/>
          <w:sz w:val="48"/>
          <w:szCs w:val="48"/>
        </w:rPr>
        <w:t>Technical Reference Manual</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03B9FD8" w14:textId="77777777" w:rsidR="000B20FD" w:rsidRPr="00122DF8" w:rsidRDefault="000B20FD" w:rsidP="000B20FD">
      <w:pPr>
        <w:pStyle w:val="AlgorithmHeading"/>
        <w:pBdr>
          <w:bottom w:val="double" w:sz="4" w:space="2" w:color="auto"/>
        </w:pBdr>
        <w:rPr>
          <w:vertAlign w:val="subscript"/>
        </w:rPr>
      </w:pPr>
    </w:p>
    <w:p w14:paraId="1A70037A" w14:textId="77777777" w:rsidR="000B20FD" w:rsidRDefault="000B20FD" w:rsidP="000B20FD">
      <w:pPr>
        <w:jc w:val="center"/>
        <w:rPr>
          <w:b/>
          <w:sz w:val="48"/>
          <w:szCs w:val="48"/>
        </w:rPr>
      </w:pPr>
    </w:p>
    <w:p w14:paraId="737E8651" w14:textId="1FC9AAE9" w:rsidR="00D466B6" w:rsidRPr="005534BF" w:rsidRDefault="005534BF" w:rsidP="00D466B6">
      <w:pPr>
        <w:jc w:val="center"/>
        <w:rPr>
          <w:b/>
          <w:color w:val="000000" w:themeColor="text1"/>
          <w:sz w:val="48"/>
          <w:szCs w:val="48"/>
        </w:rPr>
      </w:pPr>
      <w:r>
        <w:rPr>
          <w:b/>
          <w:color w:val="000000" w:themeColor="text1"/>
          <w:sz w:val="48"/>
          <w:szCs w:val="48"/>
        </w:rPr>
        <w:t>[</w:t>
      </w:r>
      <w:r w:rsidR="005E0B36">
        <w:rPr>
          <w:b/>
          <w:color w:val="000000" w:themeColor="text1"/>
          <w:sz w:val="48"/>
          <w:szCs w:val="48"/>
        </w:rPr>
        <w:t>LED Screw-Based Omnidirectional Lamps</w:t>
      </w:r>
      <w:r>
        <w:rPr>
          <w:b/>
          <w:color w:val="000000" w:themeColor="text1"/>
          <w:sz w:val="48"/>
          <w:szCs w:val="48"/>
        </w:rPr>
        <w:t>]</w:t>
      </w:r>
    </w:p>
    <w:p w14:paraId="52991F76" w14:textId="77777777" w:rsidR="000C51B5" w:rsidRPr="005534BF" w:rsidRDefault="000C51B5" w:rsidP="00D466B6">
      <w:pPr>
        <w:jc w:val="center"/>
        <w:rPr>
          <w:b/>
          <w:color w:val="000000" w:themeColor="text1"/>
          <w:sz w:val="48"/>
          <w:szCs w:val="48"/>
        </w:rPr>
      </w:pPr>
    </w:p>
    <w:p w14:paraId="5758DF43" w14:textId="502E061F" w:rsidR="000C51B5" w:rsidRPr="005534BF" w:rsidRDefault="00AD5A9D" w:rsidP="00D466B6">
      <w:pPr>
        <w:jc w:val="center"/>
        <w:rPr>
          <w:b/>
          <w:color w:val="000000" w:themeColor="text1"/>
          <w:sz w:val="48"/>
          <w:szCs w:val="48"/>
        </w:rPr>
      </w:pPr>
      <w:r>
        <w:rPr>
          <w:b/>
          <w:color w:val="000000" w:themeColor="text1"/>
          <w:sz w:val="48"/>
          <w:szCs w:val="48"/>
        </w:rPr>
        <w:t>Section #</w:t>
      </w:r>
      <w:r w:rsidR="005534BF">
        <w:rPr>
          <w:b/>
          <w:color w:val="000000" w:themeColor="text1"/>
          <w:sz w:val="48"/>
          <w:szCs w:val="48"/>
        </w:rPr>
        <w:t>]</w:t>
      </w:r>
    </w:p>
    <w:p w14:paraId="0779EEAD" w14:textId="1DDB2C53" w:rsidR="000C51B5" w:rsidRPr="005534BF" w:rsidRDefault="005534BF" w:rsidP="00D466B6">
      <w:pPr>
        <w:jc w:val="center"/>
        <w:rPr>
          <w:b/>
          <w:color w:val="000000" w:themeColor="text1"/>
          <w:sz w:val="48"/>
          <w:szCs w:val="48"/>
        </w:rPr>
      </w:pPr>
      <w:r>
        <w:rPr>
          <w:b/>
          <w:color w:val="000000" w:themeColor="text1"/>
          <w:sz w:val="48"/>
          <w:szCs w:val="48"/>
        </w:rPr>
        <w:t>[</w:t>
      </w:r>
      <w:r w:rsidR="000C51B5" w:rsidRPr="005534BF">
        <w:rPr>
          <w:b/>
          <w:color w:val="000000" w:themeColor="text1"/>
          <w:sz w:val="48"/>
          <w:szCs w:val="48"/>
        </w:rPr>
        <w:t>Measure Code</w:t>
      </w:r>
      <w:r>
        <w:rPr>
          <w:b/>
          <w:color w:val="000000" w:themeColor="text1"/>
          <w:sz w:val="48"/>
          <w:szCs w:val="48"/>
        </w:rPr>
        <w:t>]</w:t>
      </w:r>
    </w:p>
    <w:p w14:paraId="53636886" w14:textId="77777777" w:rsidR="00C15F4F" w:rsidRDefault="00C15F4F" w:rsidP="00D466B6">
      <w:pPr>
        <w:jc w:val="center"/>
        <w:rPr>
          <w:b/>
          <w:color w:val="000000" w:themeColor="text1"/>
          <w:sz w:val="48"/>
          <w:szCs w:val="48"/>
        </w:rPr>
      </w:pPr>
    </w:p>
    <w:p w14:paraId="290B630F" w14:textId="70AC3E11" w:rsidR="000C51B5" w:rsidRPr="005534BF" w:rsidRDefault="00665C47" w:rsidP="00D466B6">
      <w:pPr>
        <w:jc w:val="center"/>
        <w:rPr>
          <w:b/>
          <w:color w:val="000000" w:themeColor="text1"/>
          <w:sz w:val="48"/>
          <w:szCs w:val="48"/>
        </w:rPr>
      </w:pPr>
      <w:r>
        <w:rPr>
          <w:b/>
          <w:color w:val="000000" w:themeColor="text1"/>
          <w:sz w:val="48"/>
          <w:szCs w:val="48"/>
        </w:rPr>
        <w:t>Mary Sutter, Opinion Dynamics Corporation</w:t>
      </w:r>
    </w:p>
    <w:p w14:paraId="54794F20" w14:textId="5A9835DC" w:rsidR="000C51B5" w:rsidRPr="005534BF" w:rsidRDefault="00665C47" w:rsidP="00D466B6">
      <w:pPr>
        <w:jc w:val="center"/>
        <w:rPr>
          <w:b/>
          <w:color w:val="000000" w:themeColor="text1"/>
          <w:sz w:val="48"/>
          <w:szCs w:val="48"/>
        </w:rPr>
      </w:pPr>
      <w:r>
        <w:rPr>
          <w:b/>
          <w:color w:val="000000" w:themeColor="text1"/>
          <w:sz w:val="48"/>
          <w:szCs w:val="48"/>
        </w:rPr>
        <w:t>11/</w:t>
      </w:r>
      <w:r w:rsidR="00B21E6D">
        <w:rPr>
          <w:b/>
          <w:color w:val="000000" w:themeColor="text1"/>
          <w:sz w:val="48"/>
          <w:szCs w:val="48"/>
        </w:rPr>
        <w:t>11</w:t>
      </w:r>
      <w:r>
        <w:rPr>
          <w:b/>
          <w:color w:val="000000" w:themeColor="text1"/>
          <w:sz w:val="48"/>
          <w:szCs w:val="48"/>
        </w:rPr>
        <w:t>/13</w:t>
      </w:r>
    </w:p>
    <w:p w14:paraId="737E8656" w14:textId="77777777" w:rsidR="00D466B6" w:rsidRPr="00AF2C4A" w:rsidRDefault="00D466B6" w:rsidP="00D466B6">
      <w:pPr>
        <w:jc w:val="center"/>
      </w:pPr>
    </w:p>
    <w:p w14:paraId="737E8657" w14:textId="77777777" w:rsidR="00D466B6" w:rsidRDefault="00D466B6" w:rsidP="00D466B6">
      <w:pPr>
        <w:spacing w:after="0"/>
        <w:jc w:val="left"/>
        <w:rPr>
          <w:rStyle w:val="BookTitle"/>
          <w:rFonts w:asciiTheme="majorHAnsi" w:hAnsiTheme="majorHAnsi"/>
          <w:sz w:val="24"/>
          <w:szCs w:val="24"/>
        </w:rPr>
      </w:pPr>
      <w:r>
        <w:rPr>
          <w:rStyle w:val="BookTitle"/>
          <w:rFonts w:asciiTheme="majorHAnsi" w:hAnsiTheme="majorHAnsi"/>
          <w:sz w:val="24"/>
          <w:szCs w:val="24"/>
        </w:rPr>
        <w:br w:type="page"/>
      </w:r>
    </w:p>
    <w:p w14:paraId="737E8659" w14:textId="63674147" w:rsidR="00D466B6" w:rsidRDefault="00D466B6" w:rsidP="00D466B6">
      <w:pPr>
        <w:widowControl/>
        <w:spacing w:after="0"/>
        <w:jc w:val="left"/>
        <w:rPr>
          <w:rStyle w:val="BookTitle"/>
          <w:rFonts w:asciiTheme="majorHAnsi" w:hAnsiTheme="majorHAnsi"/>
          <w:sz w:val="24"/>
          <w:szCs w:val="24"/>
        </w:rPr>
        <w:sectPr w:rsidR="00D466B6" w:rsidSect="00950A89">
          <w:headerReference w:type="default" r:id="rId11"/>
          <w:footerReference w:type="default" r:id="rId12"/>
          <w:pgSz w:w="12240" w:h="15840" w:code="1"/>
          <w:pgMar w:top="1440" w:right="1440" w:bottom="1440" w:left="1440" w:header="720" w:footer="720" w:gutter="0"/>
          <w:cols w:space="720"/>
          <w:docGrid w:linePitch="360"/>
        </w:sectPr>
      </w:pPr>
    </w:p>
    <w:p w14:paraId="737E865B" w14:textId="77777777" w:rsidR="00D466B6" w:rsidRPr="004B2377" w:rsidRDefault="00D466B6" w:rsidP="00D466B6">
      <w:pPr>
        <w:jc w:val="center"/>
        <w:rPr>
          <w:rStyle w:val="BookTitle"/>
          <w:rFonts w:asciiTheme="majorHAnsi" w:hAnsiTheme="majorHAnsi"/>
          <w:sz w:val="24"/>
          <w:szCs w:val="24"/>
        </w:rPr>
      </w:pPr>
      <w:bookmarkStart w:id="32" w:name="TOC"/>
      <w:r w:rsidRPr="004B2377">
        <w:rPr>
          <w:rStyle w:val="BookTitle"/>
          <w:rFonts w:asciiTheme="majorHAnsi" w:hAnsiTheme="majorHAnsi"/>
          <w:sz w:val="24"/>
          <w:szCs w:val="24"/>
        </w:rPr>
        <w:lastRenderedPageBreak/>
        <w:t>TABLE OF CONTENTS</w:t>
      </w:r>
    </w:p>
    <w:bookmarkEnd w:id="32"/>
    <w:p w14:paraId="26D17F43" w14:textId="77777777" w:rsidR="00E472E8" w:rsidRDefault="00D466B6">
      <w:pPr>
        <w:pStyle w:val="TOC1"/>
        <w:rPr>
          <w:rFonts w:asciiTheme="minorHAnsi" w:eastAsiaTheme="minorEastAsia" w:hAnsiTheme="minorHAnsi" w:cstheme="minorBidi"/>
          <w:b w:val="0"/>
          <w:bCs w:val="0"/>
          <w:caps w:val="0"/>
          <w:sz w:val="22"/>
        </w:rPr>
      </w:pPr>
      <w:r w:rsidRPr="00AF2C4A">
        <w:fldChar w:fldCharType="begin"/>
      </w:r>
      <w:r w:rsidRPr="00AF2C4A">
        <w:instrText xml:space="preserve"> TOC \o "1-2" \h \z \t "Heading 3,3,Heading 4,4,Heading 5,5,Heading 3.1,4" </w:instrText>
      </w:r>
      <w:r w:rsidRPr="00AF2C4A">
        <w:fldChar w:fldCharType="separate"/>
      </w:r>
      <w:hyperlink w:anchor="_Toc371346703" w:history="1">
        <w:r w:rsidR="00E472E8" w:rsidRPr="006B7EDB">
          <w:rPr>
            <w:rStyle w:val="Hyperlink"/>
            <w:rFonts w:eastAsiaTheme="majorEastAsia"/>
            <w14:scene3d>
              <w14:camera w14:prst="orthographicFront"/>
              <w14:lightRig w14:rig="threePt" w14:dir="t">
                <w14:rot w14:lat="0" w14:lon="0" w14:rev="0"/>
              </w14:lightRig>
            </w14:scene3d>
          </w:rPr>
          <w:t>1</w:t>
        </w:r>
        <w:r w:rsidR="00E472E8">
          <w:rPr>
            <w:rFonts w:asciiTheme="minorHAnsi" w:eastAsiaTheme="minorEastAsia" w:hAnsiTheme="minorHAnsi" w:cstheme="minorBidi"/>
            <w:b w:val="0"/>
            <w:bCs w:val="0"/>
            <w:caps w:val="0"/>
            <w:sz w:val="22"/>
          </w:rPr>
          <w:tab/>
        </w:r>
        <w:r w:rsidR="00E472E8" w:rsidRPr="006B7EDB">
          <w:rPr>
            <w:rStyle w:val="Hyperlink"/>
            <w:rFonts w:eastAsiaTheme="majorEastAsia"/>
          </w:rPr>
          <w:t>Summary</w:t>
        </w:r>
        <w:r w:rsidR="00E472E8">
          <w:rPr>
            <w:webHidden/>
          </w:rPr>
          <w:tab/>
        </w:r>
        <w:r w:rsidR="00E472E8">
          <w:rPr>
            <w:webHidden/>
          </w:rPr>
          <w:fldChar w:fldCharType="begin"/>
        </w:r>
        <w:r w:rsidR="00E472E8">
          <w:rPr>
            <w:webHidden/>
          </w:rPr>
          <w:instrText xml:space="preserve"> PAGEREF _Toc371346703 \h </w:instrText>
        </w:r>
        <w:r w:rsidR="00E472E8">
          <w:rPr>
            <w:webHidden/>
          </w:rPr>
        </w:r>
        <w:r w:rsidR="00E472E8">
          <w:rPr>
            <w:webHidden/>
          </w:rPr>
          <w:fldChar w:fldCharType="separate"/>
        </w:r>
        <w:r w:rsidR="00E472E8">
          <w:rPr>
            <w:webHidden/>
          </w:rPr>
          <w:t>4</w:t>
        </w:r>
        <w:r w:rsidR="00E472E8">
          <w:rPr>
            <w:webHidden/>
          </w:rPr>
          <w:fldChar w:fldCharType="end"/>
        </w:r>
      </w:hyperlink>
    </w:p>
    <w:p w14:paraId="4E0BE310" w14:textId="77777777" w:rsidR="00E472E8" w:rsidRDefault="00065940">
      <w:pPr>
        <w:pStyle w:val="TOC2"/>
        <w:tabs>
          <w:tab w:val="left" w:pos="480"/>
          <w:tab w:val="right" w:leader="dot" w:pos="9350"/>
        </w:tabs>
        <w:rPr>
          <w:rFonts w:eastAsiaTheme="minorEastAsia" w:cstheme="minorBidi"/>
          <w:b w:val="0"/>
          <w:bCs w:val="0"/>
          <w:noProof/>
          <w:sz w:val="22"/>
          <w:szCs w:val="22"/>
        </w:rPr>
      </w:pPr>
      <w:hyperlink w:anchor="_Toc371346704" w:history="1">
        <w:r w:rsidR="00E472E8" w:rsidRPr="006B7EDB">
          <w:rPr>
            <w:rStyle w:val="Hyperlink"/>
            <w:rFonts w:eastAsiaTheme="majorEastAsia"/>
            <w:noProof/>
          </w:rPr>
          <w:t>1.1</w:t>
        </w:r>
        <w:r w:rsidR="00E472E8">
          <w:rPr>
            <w:rFonts w:eastAsiaTheme="minorEastAsia" w:cstheme="minorBidi"/>
            <w:b w:val="0"/>
            <w:bCs w:val="0"/>
            <w:noProof/>
            <w:sz w:val="22"/>
            <w:szCs w:val="22"/>
          </w:rPr>
          <w:tab/>
        </w:r>
        <w:r w:rsidR="00E472E8" w:rsidRPr="006B7EDB">
          <w:rPr>
            <w:rStyle w:val="Hyperlink"/>
            <w:rFonts w:eastAsiaTheme="majorEastAsia"/>
            <w:noProof/>
          </w:rPr>
          <w:t>Measure Components Affected</w:t>
        </w:r>
        <w:r w:rsidR="00E472E8">
          <w:rPr>
            <w:noProof/>
            <w:webHidden/>
          </w:rPr>
          <w:tab/>
        </w:r>
        <w:r w:rsidR="00E472E8">
          <w:rPr>
            <w:noProof/>
            <w:webHidden/>
          </w:rPr>
          <w:fldChar w:fldCharType="begin"/>
        </w:r>
        <w:r w:rsidR="00E472E8">
          <w:rPr>
            <w:noProof/>
            <w:webHidden/>
          </w:rPr>
          <w:instrText xml:space="preserve"> PAGEREF _Toc371346704 \h </w:instrText>
        </w:r>
        <w:r w:rsidR="00E472E8">
          <w:rPr>
            <w:noProof/>
            <w:webHidden/>
          </w:rPr>
        </w:r>
        <w:r w:rsidR="00E472E8">
          <w:rPr>
            <w:noProof/>
            <w:webHidden/>
          </w:rPr>
          <w:fldChar w:fldCharType="separate"/>
        </w:r>
        <w:r w:rsidR="00E472E8">
          <w:rPr>
            <w:noProof/>
            <w:webHidden/>
          </w:rPr>
          <w:t>4</w:t>
        </w:r>
        <w:r w:rsidR="00E472E8">
          <w:rPr>
            <w:noProof/>
            <w:webHidden/>
          </w:rPr>
          <w:fldChar w:fldCharType="end"/>
        </w:r>
      </w:hyperlink>
    </w:p>
    <w:p w14:paraId="3912BFB8" w14:textId="77777777" w:rsidR="00E472E8" w:rsidRDefault="00065940">
      <w:pPr>
        <w:pStyle w:val="TOC2"/>
        <w:tabs>
          <w:tab w:val="left" w:pos="480"/>
          <w:tab w:val="right" w:leader="dot" w:pos="9350"/>
        </w:tabs>
        <w:rPr>
          <w:rFonts w:eastAsiaTheme="minorEastAsia" w:cstheme="minorBidi"/>
          <w:b w:val="0"/>
          <w:bCs w:val="0"/>
          <w:noProof/>
          <w:sz w:val="22"/>
          <w:szCs w:val="22"/>
        </w:rPr>
      </w:pPr>
      <w:hyperlink w:anchor="_Toc371346705" w:history="1">
        <w:r w:rsidR="00E472E8" w:rsidRPr="006B7EDB">
          <w:rPr>
            <w:rStyle w:val="Hyperlink"/>
            <w:rFonts w:eastAsiaTheme="majorEastAsia"/>
            <w:noProof/>
          </w:rPr>
          <w:t>1.2</w:t>
        </w:r>
        <w:r w:rsidR="00E472E8">
          <w:rPr>
            <w:rFonts w:eastAsiaTheme="minorEastAsia" w:cstheme="minorBidi"/>
            <w:b w:val="0"/>
            <w:bCs w:val="0"/>
            <w:noProof/>
            <w:sz w:val="22"/>
            <w:szCs w:val="22"/>
          </w:rPr>
          <w:tab/>
        </w:r>
        <w:r w:rsidR="00E472E8" w:rsidRPr="006B7EDB">
          <w:rPr>
            <w:rStyle w:val="Hyperlink"/>
            <w:rFonts w:eastAsiaTheme="majorEastAsia"/>
            <w:noProof/>
          </w:rPr>
          <w:t>Algorithm and Input Components Affected</w:t>
        </w:r>
        <w:r w:rsidR="00E472E8">
          <w:rPr>
            <w:noProof/>
            <w:webHidden/>
          </w:rPr>
          <w:tab/>
        </w:r>
        <w:r w:rsidR="00E472E8">
          <w:rPr>
            <w:noProof/>
            <w:webHidden/>
          </w:rPr>
          <w:fldChar w:fldCharType="begin"/>
        </w:r>
        <w:r w:rsidR="00E472E8">
          <w:rPr>
            <w:noProof/>
            <w:webHidden/>
          </w:rPr>
          <w:instrText xml:space="preserve"> PAGEREF _Toc371346705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1F51C6B2" w14:textId="77777777" w:rsidR="00E472E8" w:rsidRDefault="00065940">
      <w:pPr>
        <w:pStyle w:val="TOC3"/>
        <w:tabs>
          <w:tab w:val="left" w:pos="960"/>
          <w:tab w:val="right" w:leader="dot" w:pos="9350"/>
        </w:tabs>
        <w:rPr>
          <w:rFonts w:eastAsiaTheme="minorEastAsia" w:cstheme="minorBidi"/>
          <w:noProof/>
          <w:sz w:val="22"/>
          <w:szCs w:val="22"/>
        </w:rPr>
      </w:pPr>
      <w:hyperlink w:anchor="_Toc371346706" w:history="1">
        <w:r w:rsidR="00E472E8" w:rsidRPr="006B7EDB">
          <w:rPr>
            <w:rStyle w:val="Hyperlink"/>
            <w:rFonts w:eastAsiaTheme="majorEastAsia"/>
            <w:noProof/>
            <w14:scene3d>
              <w14:camera w14:prst="orthographicFront"/>
              <w14:lightRig w14:rig="threePt" w14:dir="t">
                <w14:rot w14:lat="0" w14:lon="0" w14:rev="0"/>
              </w14:lightRig>
            </w14:scene3d>
          </w:rPr>
          <w:t>1.2.1</w:t>
        </w:r>
        <w:r w:rsidR="00E472E8">
          <w:rPr>
            <w:rFonts w:eastAsiaTheme="minorEastAsia" w:cstheme="minorBidi"/>
            <w:noProof/>
            <w:sz w:val="22"/>
            <w:szCs w:val="22"/>
          </w:rPr>
          <w:tab/>
        </w:r>
        <w:r w:rsidR="00E472E8" w:rsidRPr="006B7EDB">
          <w:rPr>
            <w:rStyle w:val="Hyperlink"/>
            <w:rFonts w:eastAsiaTheme="majorEastAsia"/>
            <w:noProof/>
          </w:rPr>
          <w:t>Algorithm / Input 1</w:t>
        </w:r>
        <w:r w:rsidR="00E472E8">
          <w:rPr>
            <w:noProof/>
            <w:webHidden/>
          </w:rPr>
          <w:tab/>
        </w:r>
        <w:r w:rsidR="00E472E8">
          <w:rPr>
            <w:noProof/>
            <w:webHidden/>
          </w:rPr>
          <w:fldChar w:fldCharType="begin"/>
        </w:r>
        <w:r w:rsidR="00E472E8">
          <w:rPr>
            <w:noProof/>
            <w:webHidden/>
          </w:rPr>
          <w:instrText xml:space="preserve"> PAGEREF _Toc371346706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1F404DC4" w14:textId="77777777" w:rsidR="00E472E8" w:rsidRDefault="00065940">
      <w:pPr>
        <w:pStyle w:val="TOC3"/>
        <w:tabs>
          <w:tab w:val="left" w:pos="960"/>
          <w:tab w:val="right" w:leader="dot" w:pos="9350"/>
        </w:tabs>
        <w:rPr>
          <w:rFonts w:eastAsiaTheme="minorEastAsia" w:cstheme="minorBidi"/>
          <w:noProof/>
          <w:sz w:val="22"/>
          <w:szCs w:val="22"/>
        </w:rPr>
      </w:pPr>
      <w:hyperlink w:anchor="_Toc371346707" w:history="1">
        <w:r w:rsidR="00E472E8" w:rsidRPr="006B7EDB">
          <w:rPr>
            <w:rStyle w:val="Hyperlink"/>
            <w:rFonts w:eastAsiaTheme="majorEastAsia"/>
            <w:noProof/>
            <w14:scene3d>
              <w14:camera w14:prst="orthographicFront"/>
              <w14:lightRig w14:rig="threePt" w14:dir="t">
                <w14:rot w14:lat="0" w14:lon="0" w14:rev="0"/>
              </w14:lightRig>
            </w14:scene3d>
          </w:rPr>
          <w:t>1.2.2</w:t>
        </w:r>
        <w:r w:rsidR="00E472E8">
          <w:rPr>
            <w:rFonts w:eastAsiaTheme="minorEastAsia" w:cstheme="minorBidi"/>
            <w:noProof/>
            <w:sz w:val="22"/>
            <w:szCs w:val="22"/>
          </w:rPr>
          <w:tab/>
        </w:r>
        <w:r w:rsidR="00E472E8" w:rsidRPr="006B7EDB">
          <w:rPr>
            <w:rStyle w:val="Hyperlink"/>
            <w:rFonts w:eastAsiaTheme="majorEastAsia"/>
            <w:noProof/>
          </w:rPr>
          <w:t>Algorithm / Input 2</w:t>
        </w:r>
        <w:r w:rsidR="00E472E8">
          <w:rPr>
            <w:noProof/>
            <w:webHidden/>
          </w:rPr>
          <w:tab/>
        </w:r>
        <w:r w:rsidR="00E472E8">
          <w:rPr>
            <w:noProof/>
            <w:webHidden/>
          </w:rPr>
          <w:fldChar w:fldCharType="begin"/>
        </w:r>
        <w:r w:rsidR="00E472E8">
          <w:rPr>
            <w:noProof/>
            <w:webHidden/>
          </w:rPr>
          <w:instrText xml:space="preserve"> PAGEREF _Toc371346707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00F42D67" w14:textId="77777777" w:rsidR="00E472E8" w:rsidRDefault="00065940">
      <w:pPr>
        <w:pStyle w:val="TOC2"/>
        <w:tabs>
          <w:tab w:val="left" w:pos="480"/>
          <w:tab w:val="right" w:leader="dot" w:pos="9350"/>
        </w:tabs>
        <w:rPr>
          <w:rFonts w:eastAsiaTheme="minorEastAsia" w:cstheme="minorBidi"/>
          <w:b w:val="0"/>
          <w:bCs w:val="0"/>
          <w:noProof/>
          <w:sz w:val="22"/>
          <w:szCs w:val="22"/>
        </w:rPr>
      </w:pPr>
      <w:hyperlink w:anchor="_Toc371346708" w:history="1">
        <w:r w:rsidR="00E472E8" w:rsidRPr="006B7EDB">
          <w:rPr>
            <w:rStyle w:val="Hyperlink"/>
            <w:rFonts w:eastAsiaTheme="majorEastAsia"/>
            <w:noProof/>
          </w:rPr>
          <w:t>1.3</w:t>
        </w:r>
        <w:r w:rsidR="00E472E8">
          <w:rPr>
            <w:rFonts w:eastAsiaTheme="minorEastAsia" w:cstheme="minorBidi"/>
            <w:b w:val="0"/>
            <w:bCs w:val="0"/>
            <w:noProof/>
            <w:sz w:val="22"/>
            <w:szCs w:val="22"/>
          </w:rPr>
          <w:tab/>
        </w:r>
        <w:r w:rsidR="00E472E8" w:rsidRPr="006B7EDB">
          <w:rPr>
            <w:rStyle w:val="Hyperlink"/>
            <w:rFonts w:eastAsiaTheme="majorEastAsia"/>
            <w:noProof/>
          </w:rPr>
          <w:t>Rationale for the Change</w:t>
        </w:r>
        <w:r w:rsidR="00E472E8">
          <w:rPr>
            <w:noProof/>
            <w:webHidden/>
          </w:rPr>
          <w:tab/>
        </w:r>
        <w:r w:rsidR="00E472E8">
          <w:rPr>
            <w:noProof/>
            <w:webHidden/>
          </w:rPr>
          <w:fldChar w:fldCharType="begin"/>
        </w:r>
        <w:r w:rsidR="00E472E8">
          <w:rPr>
            <w:noProof/>
            <w:webHidden/>
          </w:rPr>
          <w:instrText xml:space="preserve"> PAGEREF _Toc371346708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327E69B0" w14:textId="77777777" w:rsidR="00E472E8" w:rsidRDefault="00065940">
      <w:pPr>
        <w:pStyle w:val="TOC3"/>
        <w:tabs>
          <w:tab w:val="left" w:pos="960"/>
          <w:tab w:val="right" w:leader="dot" w:pos="9350"/>
        </w:tabs>
        <w:rPr>
          <w:rFonts w:eastAsiaTheme="minorEastAsia" w:cstheme="minorBidi"/>
          <w:noProof/>
          <w:sz w:val="22"/>
          <w:szCs w:val="22"/>
        </w:rPr>
      </w:pPr>
      <w:hyperlink w:anchor="_Toc371346709" w:history="1">
        <w:r w:rsidR="00E472E8" w:rsidRPr="006B7EDB">
          <w:rPr>
            <w:rStyle w:val="Hyperlink"/>
            <w:rFonts w:eastAsiaTheme="majorEastAsia"/>
            <w:noProof/>
            <w14:scene3d>
              <w14:camera w14:prst="orthographicFront"/>
              <w14:lightRig w14:rig="threePt" w14:dir="t">
                <w14:rot w14:lat="0" w14:lon="0" w14:rev="0"/>
              </w14:lightRig>
            </w14:scene3d>
          </w:rPr>
          <w:t>1.3.1</w:t>
        </w:r>
        <w:r w:rsidR="00E472E8">
          <w:rPr>
            <w:rFonts w:eastAsiaTheme="minorEastAsia" w:cstheme="minorBidi"/>
            <w:noProof/>
            <w:sz w:val="22"/>
            <w:szCs w:val="22"/>
          </w:rPr>
          <w:tab/>
        </w:r>
        <w:r w:rsidR="00E472E8" w:rsidRPr="006B7EDB">
          <w:rPr>
            <w:rStyle w:val="Hyperlink"/>
            <w:rFonts w:eastAsiaTheme="majorEastAsia"/>
            <w:noProof/>
          </w:rPr>
          <w:t>Methodology</w:t>
        </w:r>
        <w:r w:rsidR="00E472E8">
          <w:rPr>
            <w:noProof/>
            <w:webHidden/>
          </w:rPr>
          <w:tab/>
        </w:r>
        <w:r w:rsidR="00E472E8">
          <w:rPr>
            <w:noProof/>
            <w:webHidden/>
          </w:rPr>
          <w:fldChar w:fldCharType="begin"/>
        </w:r>
        <w:r w:rsidR="00E472E8">
          <w:rPr>
            <w:noProof/>
            <w:webHidden/>
          </w:rPr>
          <w:instrText xml:space="preserve"> PAGEREF _Toc371346709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36A9514B" w14:textId="77777777" w:rsidR="00E472E8" w:rsidRDefault="00065940">
      <w:pPr>
        <w:pStyle w:val="TOC3"/>
        <w:tabs>
          <w:tab w:val="left" w:pos="960"/>
          <w:tab w:val="right" w:leader="dot" w:pos="9350"/>
        </w:tabs>
        <w:rPr>
          <w:rFonts w:eastAsiaTheme="minorEastAsia" w:cstheme="minorBidi"/>
          <w:noProof/>
          <w:sz w:val="22"/>
          <w:szCs w:val="22"/>
        </w:rPr>
      </w:pPr>
      <w:hyperlink w:anchor="_Toc371346710" w:history="1">
        <w:r w:rsidR="00E472E8" w:rsidRPr="006B7EDB">
          <w:rPr>
            <w:rStyle w:val="Hyperlink"/>
            <w:rFonts w:eastAsiaTheme="majorEastAsia"/>
            <w:noProof/>
            <w14:scene3d>
              <w14:camera w14:prst="orthographicFront"/>
              <w14:lightRig w14:rig="threePt" w14:dir="t">
                <w14:rot w14:lat="0" w14:lon="0" w14:rev="0"/>
              </w14:lightRig>
            </w14:scene3d>
          </w:rPr>
          <w:t>1.3.2</w:t>
        </w:r>
        <w:r w:rsidR="00E472E8">
          <w:rPr>
            <w:rFonts w:eastAsiaTheme="minorEastAsia" w:cstheme="minorBidi"/>
            <w:noProof/>
            <w:sz w:val="22"/>
            <w:szCs w:val="22"/>
          </w:rPr>
          <w:tab/>
        </w:r>
        <w:r w:rsidR="00E472E8" w:rsidRPr="006B7EDB">
          <w:rPr>
            <w:rStyle w:val="Hyperlink"/>
            <w:rFonts w:eastAsiaTheme="majorEastAsia"/>
            <w:noProof/>
          </w:rPr>
          <w:t>Sample Size</w:t>
        </w:r>
        <w:r w:rsidR="00E472E8">
          <w:rPr>
            <w:noProof/>
            <w:webHidden/>
          </w:rPr>
          <w:tab/>
        </w:r>
        <w:r w:rsidR="00E472E8">
          <w:rPr>
            <w:noProof/>
            <w:webHidden/>
          </w:rPr>
          <w:fldChar w:fldCharType="begin"/>
        </w:r>
        <w:r w:rsidR="00E472E8">
          <w:rPr>
            <w:noProof/>
            <w:webHidden/>
          </w:rPr>
          <w:instrText xml:space="preserve"> PAGEREF _Toc371346710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18A06CBF" w14:textId="77777777" w:rsidR="00E472E8" w:rsidRDefault="00065940">
      <w:pPr>
        <w:pStyle w:val="TOC3"/>
        <w:tabs>
          <w:tab w:val="left" w:pos="960"/>
          <w:tab w:val="right" w:leader="dot" w:pos="9350"/>
        </w:tabs>
        <w:rPr>
          <w:rFonts w:eastAsiaTheme="minorEastAsia" w:cstheme="minorBidi"/>
          <w:noProof/>
          <w:sz w:val="22"/>
          <w:szCs w:val="22"/>
        </w:rPr>
      </w:pPr>
      <w:hyperlink w:anchor="_Toc371346711" w:history="1">
        <w:r w:rsidR="00E472E8" w:rsidRPr="006B7EDB">
          <w:rPr>
            <w:rStyle w:val="Hyperlink"/>
            <w:rFonts w:eastAsiaTheme="majorEastAsia"/>
            <w:noProof/>
            <w14:scene3d>
              <w14:camera w14:prst="orthographicFront"/>
              <w14:lightRig w14:rig="threePt" w14:dir="t">
                <w14:rot w14:lat="0" w14:lon="0" w14:rev="0"/>
              </w14:lightRig>
            </w14:scene3d>
          </w:rPr>
          <w:t>1.3.3</w:t>
        </w:r>
        <w:r w:rsidR="00E472E8">
          <w:rPr>
            <w:rFonts w:eastAsiaTheme="minorEastAsia" w:cstheme="minorBidi"/>
            <w:noProof/>
            <w:sz w:val="22"/>
            <w:szCs w:val="22"/>
          </w:rPr>
          <w:tab/>
        </w:r>
        <w:r w:rsidR="00E472E8" w:rsidRPr="006B7EDB">
          <w:rPr>
            <w:rStyle w:val="Hyperlink"/>
            <w:rFonts w:eastAsiaTheme="majorEastAsia"/>
            <w:noProof/>
          </w:rPr>
          <w:t>Other Rationale</w:t>
        </w:r>
        <w:r w:rsidR="00E472E8">
          <w:rPr>
            <w:noProof/>
            <w:webHidden/>
          </w:rPr>
          <w:tab/>
        </w:r>
        <w:r w:rsidR="00E472E8">
          <w:rPr>
            <w:noProof/>
            <w:webHidden/>
          </w:rPr>
          <w:fldChar w:fldCharType="begin"/>
        </w:r>
        <w:r w:rsidR="00E472E8">
          <w:rPr>
            <w:noProof/>
            <w:webHidden/>
          </w:rPr>
          <w:instrText xml:space="preserve"> PAGEREF _Toc371346711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5D78A9E9" w14:textId="77777777" w:rsidR="00E472E8" w:rsidRDefault="00065940">
      <w:pPr>
        <w:pStyle w:val="TOC2"/>
        <w:tabs>
          <w:tab w:val="left" w:pos="480"/>
          <w:tab w:val="right" w:leader="dot" w:pos="9350"/>
        </w:tabs>
        <w:rPr>
          <w:rFonts w:eastAsiaTheme="minorEastAsia" w:cstheme="minorBidi"/>
          <w:b w:val="0"/>
          <w:bCs w:val="0"/>
          <w:noProof/>
          <w:sz w:val="22"/>
          <w:szCs w:val="22"/>
        </w:rPr>
      </w:pPr>
      <w:hyperlink w:anchor="_Toc371346712" w:history="1">
        <w:r w:rsidR="00E472E8" w:rsidRPr="006B7EDB">
          <w:rPr>
            <w:rStyle w:val="Hyperlink"/>
            <w:rFonts w:eastAsiaTheme="majorEastAsia"/>
            <w:noProof/>
          </w:rPr>
          <w:t>1.4</w:t>
        </w:r>
        <w:r w:rsidR="00E472E8">
          <w:rPr>
            <w:rFonts w:eastAsiaTheme="minorEastAsia" w:cstheme="minorBidi"/>
            <w:b w:val="0"/>
            <w:bCs w:val="0"/>
            <w:noProof/>
            <w:sz w:val="22"/>
            <w:szCs w:val="22"/>
          </w:rPr>
          <w:tab/>
        </w:r>
        <w:r w:rsidR="00E472E8" w:rsidRPr="006B7EDB">
          <w:rPr>
            <w:rStyle w:val="Hyperlink"/>
            <w:rFonts w:eastAsiaTheme="majorEastAsia"/>
            <w:noProof/>
          </w:rPr>
          <w:t>Please Specify the Proposed Change</w:t>
        </w:r>
        <w:r w:rsidR="00E472E8">
          <w:rPr>
            <w:noProof/>
            <w:webHidden/>
          </w:rPr>
          <w:tab/>
        </w:r>
        <w:r w:rsidR="00E472E8">
          <w:rPr>
            <w:noProof/>
            <w:webHidden/>
          </w:rPr>
          <w:fldChar w:fldCharType="begin"/>
        </w:r>
        <w:r w:rsidR="00E472E8">
          <w:rPr>
            <w:noProof/>
            <w:webHidden/>
          </w:rPr>
          <w:instrText xml:space="preserve"> PAGEREF _Toc371346712 \h </w:instrText>
        </w:r>
        <w:r w:rsidR="00E472E8">
          <w:rPr>
            <w:noProof/>
            <w:webHidden/>
          </w:rPr>
        </w:r>
        <w:r w:rsidR="00E472E8">
          <w:rPr>
            <w:noProof/>
            <w:webHidden/>
          </w:rPr>
          <w:fldChar w:fldCharType="separate"/>
        </w:r>
        <w:r w:rsidR="00E472E8">
          <w:rPr>
            <w:noProof/>
            <w:webHidden/>
          </w:rPr>
          <w:t>6</w:t>
        </w:r>
        <w:r w:rsidR="00E472E8">
          <w:rPr>
            <w:noProof/>
            <w:webHidden/>
          </w:rPr>
          <w:fldChar w:fldCharType="end"/>
        </w:r>
      </w:hyperlink>
    </w:p>
    <w:p w14:paraId="791B3744" w14:textId="77777777" w:rsidR="00E472E8" w:rsidRDefault="00065940">
      <w:pPr>
        <w:pStyle w:val="TOC2"/>
        <w:tabs>
          <w:tab w:val="left" w:pos="480"/>
          <w:tab w:val="right" w:leader="dot" w:pos="9350"/>
        </w:tabs>
        <w:rPr>
          <w:rFonts w:eastAsiaTheme="minorEastAsia" w:cstheme="minorBidi"/>
          <w:b w:val="0"/>
          <w:bCs w:val="0"/>
          <w:noProof/>
          <w:sz w:val="22"/>
          <w:szCs w:val="22"/>
        </w:rPr>
      </w:pPr>
      <w:hyperlink w:anchor="_Toc371346713" w:history="1">
        <w:r w:rsidR="00E472E8" w:rsidRPr="006B7EDB">
          <w:rPr>
            <w:rStyle w:val="Hyperlink"/>
            <w:rFonts w:eastAsiaTheme="majorEastAsia"/>
            <w:noProof/>
          </w:rPr>
          <w:t>1.5</w:t>
        </w:r>
        <w:r w:rsidR="00E472E8">
          <w:rPr>
            <w:rFonts w:eastAsiaTheme="minorEastAsia" w:cstheme="minorBidi"/>
            <w:b w:val="0"/>
            <w:bCs w:val="0"/>
            <w:noProof/>
            <w:sz w:val="22"/>
            <w:szCs w:val="22"/>
          </w:rPr>
          <w:tab/>
        </w:r>
        <w:r w:rsidR="00E472E8" w:rsidRPr="006B7EDB">
          <w:rPr>
            <w:rStyle w:val="Hyperlink"/>
            <w:rFonts w:eastAsiaTheme="majorEastAsia"/>
            <w:noProof/>
          </w:rPr>
          <w:t>Author (Company) and Date</w:t>
        </w:r>
        <w:r w:rsidR="00E472E8">
          <w:rPr>
            <w:noProof/>
            <w:webHidden/>
          </w:rPr>
          <w:tab/>
        </w:r>
        <w:r w:rsidR="00E472E8">
          <w:rPr>
            <w:noProof/>
            <w:webHidden/>
          </w:rPr>
          <w:fldChar w:fldCharType="begin"/>
        </w:r>
        <w:r w:rsidR="00E472E8">
          <w:rPr>
            <w:noProof/>
            <w:webHidden/>
          </w:rPr>
          <w:instrText xml:space="preserve"> PAGEREF _Toc371346713 \h </w:instrText>
        </w:r>
        <w:r w:rsidR="00E472E8">
          <w:rPr>
            <w:noProof/>
            <w:webHidden/>
          </w:rPr>
        </w:r>
        <w:r w:rsidR="00E472E8">
          <w:rPr>
            <w:noProof/>
            <w:webHidden/>
          </w:rPr>
          <w:fldChar w:fldCharType="separate"/>
        </w:r>
        <w:r w:rsidR="00E472E8">
          <w:rPr>
            <w:noProof/>
            <w:webHidden/>
          </w:rPr>
          <w:t>7</w:t>
        </w:r>
        <w:r w:rsidR="00E472E8">
          <w:rPr>
            <w:noProof/>
            <w:webHidden/>
          </w:rPr>
          <w:fldChar w:fldCharType="end"/>
        </w:r>
      </w:hyperlink>
    </w:p>
    <w:p w14:paraId="242433ED" w14:textId="77777777" w:rsidR="00E472E8" w:rsidRDefault="00065940">
      <w:pPr>
        <w:pStyle w:val="TOC1"/>
        <w:rPr>
          <w:rFonts w:asciiTheme="minorHAnsi" w:eastAsiaTheme="minorEastAsia" w:hAnsiTheme="minorHAnsi" w:cstheme="minorBidi"/>
          <w:b w:val="0"/>
          <w:bCs w:val="0"/>
          <w:caps w:val="0"/>
          <w:sz w:val="22"/>
        </w:rPr>
      </w:pPr>
      <w:hyperlink w:anchor="_Toc371346714" w:history="1">
        <w:r w:rsidR="00E472E8" w:rsidRPr="006B7EDB">
          <w:rPr>
            <w:rStyle w:val="Hyperlink"/>
            <w:rFonts w:eastAsiaTheme="majorEastAsia"/>
            <w14:scene3d>
              <w14:camera w14:prst="orthographicFront"/>
              <w14:lightRig w14:rig="threePt" w14:dir="t">
                <w14:rot w14:lat="0" w14:lon="0" w14:rev="0"/>
              </w14:lightRig>
            </w14:scene3d>
          </w:rPr>
          <w:t>2</w:t>
        </w:r>
        <w:r w:rsidR="00E472E8">
          <w:rPr>
            <w:rFonts w:asciiTheme="minorHAnsi" w:eastAsiaTheme="minorEastAsia" w:hAnsiTheme="minorHAnsi" w:cstheme="minorBidi"/>
            <w:b w:val="0"/>
            <w:bCs w:val="0"/>
            <w:caps w:val="0"/>
            <w:sz w:val="22"/>
          </w:rPr>
          <w:tab/>
        </w:r>
        <w:r w:rsidR="00E472E8" w:rsidRPr="006B7EDB">
          <w:rPr>
            <w:rStyle w:val="Hyperlink"/>
            <w:rFonts w:eastAsiaTheme="majorEastAsia"/>
          </w:rPr>
          <w:t>Components of TRM Measure Characterizations</w:t>
        </w:r>
        <w:r w:rsidR="00E472E8">
          <w:rPr>
            <w:webHidden/>
          </w:rPr>
          <w:tab/>
        </w:r>
        <w:r w:rsidR="00E472E8">
          <w:rPr>
            <w:webHidden/>
          </w:rPr>
          <w:fldChar w:fldCharType="begin"/>
        </w:r>
        <w:r w:rsidR="00E472E8">
          <w:rPr>
            <w:webHidden/>
          </w:rPr>
          <w:instrText xml:space="preserve"> PAGEREF _Toc371346714 \h </w:instrText>
        </w:r>
        <w:r w:rsidR="00E472E8">
          <w:rPr>
            <w:webHidden/>
          </w:rPr>
        </w:r>
        <w:r w:rsidR="00E472E8">
          <w:rPr>
            <w:webHidden/>
          </w:rPr>
          <w:fldChar w:fldCharType="separate"/>
        </w:r>
        <w:r w:rsidR="00E472E8">
          <w:rPr>
            <w:webHidden/>
          </w:rPr>
          <w:t>8</w:t>
        </w:r>
        <w:r w:rsidR="00E472E8">
          <w:rPr>
            <w:webHidden/>
          </w:rPr>
          <w:fldChar w:fldCharType="end"/>
        </w:r>
      </w:hyperlink>
    </w:p>
    <w:p w14:paraId="1BE8C745" w14:textId="77777777" w:rsidR="00E472E8" w:rsidRDefault="00065940">
      <w:pPr>
        <w:pStyle w:val="TOC3"/>
        <w:tabs>
          <w:tab w:val="left" w:pos="960"/>
          <w:tab w:val="right" w:leader="dot" w:pos="9350"/>
        </w:tabs>
        <w:rPr>
          <w:rFonts w:eastAsiaTheme="minorEastAsia" w:cstheme="minorBidi"/>
          <w:noProof/>
          <w:sz w:val="22"/>
          <w:szCs w:val="22"/>
        </w:rPr>
      </w:pPr>
      <w:hyperlink w:anchor="_Toc371346715" w:history="1">
        <w:r w:rsidR="00E472E8" w:rsidRPr="006B7EDB">
          <w:rPr>
            <w:rStyle w:val="Hyperlink"/>
            <w:rFonts w:eastAsiaTheme="majorEastAsia"/>
            <w:noProof/>
            <w14:scene3d>
              <w14:camera w14:prst="orthographicFront"/>
              <w14:lightRig w14:rig="threePt" w14:dir="t">
                <w14:rot w14:lat="0" w14:lon="0" w14:rev="0"/>
              </w14:lightRig>
            </w14:scene3d>
          </w:rPr>
          <w:t>2.1.1</w:t>
        </w:r>
        <w:r w:rsidR="00E472E8">
          <w:rPr>
            <w:rFonts w:eastAsiaTheme="minorEastAsia" w:cstheme="minorBidi"/>
            <w:noProof/>
            <w:sz w:val="22"/>
            <w:szCs w:val="22"/>
          </w:rPr>
          <w:tab/>
        </w:r>
        <w:r w:rsidR="00E472E8" w:rsidRPr="006B7EDB">
          <w:rPr>
            <w:rStyle w:val="Hyperlink"/>
            <w:rFonts w:eastAsiaTheme="majorEastAsia"/>
            <w:noProof/>
          </w:rPr>
          <w:t>LED Screw Based Omnidirectional Bulbs</w:t>
        </w:r>
        <w:r w:rsidR="00E472E8">
          <w:rPr>
            <w:noProof/>
            <w:webHidden/>
          </w:rPr>
          <w:tab/>
        </w:r>
        <w:r w:rsidR="00E472E8">
          <w:rPr>
            <w:noProof/>
            <w:webHidden/>
          </w:rPr>
          <w:fldChar w:fldCharType="begin"/>
        </w:r>
        <w:r w:rsidR="00E472E8">
          <w:rPr>
            <w:noProof/>
            <w:webHidden/>
          </w:rPr>
          <w:instrText xml:space="preserve"> PAGEREF _Toc371346715 \h </w:instrText>
        </w:r>
        <w:r w:rsidR="00E472E8">
          <w:rPr>
            <w:noProof/>
            <w:webHidden/>
          </w:rPr>
        </w:r>
        <w:r w:rsidR="00E472E8">
          <w:rPr>
            <w:noProof/>
            <w:webHidden/>
          </w:rPr>
          <w:fldChar w:fldCharType="separate"/>
        </w:r>
        <w:r w:rsidR="00E472E8">
          <w:rPr>
            <w:noProof/>
            <w:webHidden/>
          </w:rPr>
          <w:t>8</w:t>
        </w:r>
        <w:r w:rsidR="00E472E8">
          <w:rPr>
            <w:noProof/>
            <w:webHidden/>
          </w:rPr>
          <w:fldChar w:fldCharType="end"/>
        </w:r>
      </w:hyperlink>
    </w:p>
    <w:p w14:paraId="4C315012" w14:textId="77777777" w:rsidR="00E472E8" w:rsidRDefault="00065940">
      <w:pPr>
        <w:pStyle w:val="TOC2"/>
        <w:tabs>
          <w:tab w:val="left" w:pos="480"/>
          <w:tab w:val="right" w:leader="dot" w:pos="9350"/>
        </w:tabs>
        <w:rPr>
          <w:rFonts w:eastAsiaTheme="minorEastAsia" w:cstheme="minorBidi"/>
          <w:b w:val="0"/>
          <w:bCs w:val="0"/>
          <w:noProof/>
          <w:sz w:val="22"/>
          <w:szCs w:val="22"/>
        </w:rPr>
      </w:pPr>
      <w:hyperlink w:anchor="_Toc371346716" w:history="1">
        <w:r w:rsidR="00E472E8" w:rsidRPr="006B7EDB">
          <w:rPr>
            <w:rStyle w:val="Hyperlink"/>
            <w:rFonts w:eastAsiaTheme="majorEastAsia"/>
            <w:noProof/>
          </w:rPr>
          <w:t>2.2</w:t>
        </w:r>
        <w:r w:rsidR="00E472E8">
          <w:rPr>
            <w:rFonts w:eastAsiaTheme="minorEastAsia" w:cstheme="minorBidi"/>
            <w:b w:val="0"/>
            <w:bCs w:val="0"/>
            <w:noProof/>
            <w:sz w:val="22"/>
            <w:szCs w:val="22"/>
          </w:rPr>
          <w:tab/>
        </w:r>
        <w:r w:rsidR="00E472E8" w:rsidRPr="006B7EDB">
          <w:rPr>
            <w:rStyle w:val="Hyperlink"/>
            <w:rFonts w:eastAsiaTheme="majorEastAsia"/>
            <w:noProof/>
          </w:rPr>
          <w:t>Net to Gross Ratio</w:t>
        </w:r>
        <w:r w:rsidR="00E472E8">
          <w:rPr>
            <w:noProof/>
            <w:webHidden/>
          </w:rPr>
          <w:tab/>
        </w:r>
        <w:r w:rsidR="00E472E8">
          <w:rPr>
            <w:noProof/>
            <w:webHidden/>
          </w:rPr>
          <w:fldChar w:fldCharType="begin"/>
        </w:r>
        <w:r w:rsidR="00E472E8">
          <w:rPr>
            <w:noProof/>
            <w:webHidden/>
          </w:rPr>
          <w:instrText xml:space="preserve"> PAGEREF _Toc371346716 \h </w:instrText>
        </w:r>
        <w:r w:rsidR="00E472E8">
          <w:rPr>
            <w:noProof/>
            <w:webHidden/>
          </w:rPr>
        </w:r>
        <w:r w:rsidR="00E472E8">
          <w:rPr>
            <w:noProof/>
            <w:webHidden/>
          </w:rPr>
          <w:fldChar w:fldCharType="separate"/>
        </w:r>
        <w:r w:rsidR="00E472E8">
          <w:rPr>
            <w:noProof/>
            <w:webHidden/>
          </w:rPr>
          <w:t>19</w:t>
        </w:r>
        <w:r w:rsidR="00E472E8">
          <w:rPr>
            <w:noProof/>
            <w:webHidden/>
          </w:rPr>
          <w:fldChar w:fldCharType="end"/>
        </w:r>
      </w:hyperlink>
    </w:p>
    <w:p w14:paraId="1AD9B09C" w14:textId="77777777" w:rsidR="00E472E8" w:rsidRDefault="00065940">
      <w:pPr>
        <w:pStyle w:val="TOC1"/>
        <w:rPr>
          <w:rFonts w:asciiTheme="minorHAnsi" w:eastAsiaTheme="minorEastAsia" w:hAnsiTheme="minorHAnsi" w:cstheme="minorBidi"/>
          <w:b w:val="0"/>
          <w:bCs w:val="0"/>
          <w:caps w:val="0"/>
          <w:sz w:val="22"/>
        </w:rPr>
      </w:pPr>
      <w:hyperlink w:anchor="_Toc371346717" w:history="1">
        <w:r w:rsidR="00E472E8" w:rsidRPr="006B7EDB">
          <w:rPr>
            <w:rStyle w:val="Hyperlink"/>
            <w:rFonts w:eastAsiaTheme="majorEastAsia"/>
            <w14:scene3d>
              <w14:camera w14:prst="orthographicFront"/>
              <w14:lightRig w14:rig="threePt" w14:dir="t">
                <w14:rot w14:lat="0" w14:lon="0" w14:rev="0"/>
              </w14:lightRig>
            </w14:scene3d>
          </w:rPr>
          <w:t>3</w:t>
        </w:r>
        <w:r w:rsidR="00E472E8">
          <w:rPr>
            <w:rFonts w:asciiTheme="minorHAnsi" w:eastAsiaTheme="minorEastAsia" w:hAnsiTheme="minorHAnsi" w:cstheme="minorBidi"/>
            <w:b w:val="0"/>
            <w:bCs w:val="0"/>
            <w:caps w:val="0"/>
            <w:sz w:val="22"/>
          </w:rPr>
          <w:tab/>
        </w:r>
        <w:r w:rsidR="00E472E8" w:rsidRPr="006B7EDB">
          <w:rPr>
            <w:rStyle w:val="Hyperlink"/>
            <w:rFonts w:eastAsiaTheme="majorEastAsia"/>
          </w:rPr>
          <w:t>Stakeholder Comments</w:t>
        </w:r>
        <w:r w:rsidR="00E472E8">
          <w:rPr>
            <w:webHidden/>
          </w:rPr>
          <w:tab/>
        </w:r>
        <w:r w:rsidR="00E472E8">
          <w:rPr>
            <w:webHidden/>
          </w:rPr>
          <w:fldChar w:fldCharType="begin"/>
        </w:r>
        <w:r w:rsidR="00E472E8">
          <w:rPr>
            <w:webHidden/>
          </w:rPr>
          <w:instrText xml:space="preserve"> PAGEREF _Toc371346717 \h </w:instrText>
        </w:r>
        <w:r w:rsidR="00E472E8">
          <w:rPr>
            <w:webHidden/>
          </w:rPr>
        </w:r>
        <w:r w:rsidR="00E472E8">
          <w:rPr>
            <w:webHidden/>
          </w:rPr>
          <w:fldChar w:fldCharType="separate"/>
        </w:r>
        <w:r w:rsidR="00E472E8">
          <w:rPr>
            <w:webHidden/>
          </w:rPr>
          <w:t>19</w:t>
        </w:r>
        <w:r w:rsidR="00E472E8">
          <w:rPr>
            <w:webHidden/>
          </w:rPr>
          <w:fldChar w:fldCharType="end"/>
        </w:r>
      </w:hyperlink>
    </w:p>
    <w:p w14:paraId="2C5923FE" w14:textId="77777777" w:rsidR="00E472E8" w:rsidRDefault="00065940">
      <w:pPr>
        <w:pStyle w:val="TOC2"/>
        <w:tabs>
          <w:tab w:val="left" w:pos="480"/>
          <w:tab w:val="right" w:leader="dot" w:pos="9350"/>
        </w:tabs>
        <w:rPr>
          <w:rFonts w:eastAsiaTheme="minorEastAsia" w:cstheme="minorBidi"/>
          <w:b w:val="0"/>
          <w:bCs w:val="0"/>
          <w:noProof/>
          <w:sz w:val="22"/>
          <w:szCs w:val="22"/>
        </w:rPr>
      </w:pPr>
      <w:hyperlink w:anchor="_Toc371346718" w:history="1">
        <w:r w:rsidR="00E472E8" w:rsidRPr="006B7EDB">
          <w:rPr>
            <w:rStyle w:val="Hyperlink"/>
            <w:rFonts w:eastAsiaTheme="majorEastAsia"/>
            <w:noProof/>
          </w:rPr>
          <w:t>3.1</w:t>
        </w:r>
        <w:r w:rsidR="00E472E8">
          <w:rPr>
            <w:rFonts w:eastAsiaTheme="minorEastAsia" w:cstheme="minorBidi"/>
            <w:b w:val="0"/>
            <w:bCs w:val="0"/>
            <w:noProof/>
            <w:sz w:val="22"/>
            <w:szCs w:val="22"/>
          </w:rPr>
          <w:tab/>
        </w:r>
        <w:r w:rsidR="00E472E8" w:rsidRPr="006B7EDB">
          <w:rPr>
            <w:rStyle w:val="Hyperlink"/>
            <w:rFonts w:eastAsiaTheme="majorEastAsia"/>
            <w:noProof/>
          </w:rPr>
          <w:t>Author (Company) and Date</w:t>
        </w:r>
        <w:r w:rsidR="00E472E8">
          <w:rPr>
            <w:noProof/>
            <w:webHidden/>
          </w:rPr>
          <w:tab/>
        </w:r>
        <w:r w:rsidR="00E472E8">
          <w:rPr>
            <w:noProof/>
            <w:webHidden/>
          </w:rPr>
          <w:fldChar w:fldCharType="begin"/>
        </w:r>
        <w:r w:rsidR="00E472E8">
          <w:rPr>
            <w:noProof/>
            <w:webHidden/>
          </w:rPr>
          <w:instrText xml:space="preserve"> PAGEREF _Toc371346718 \h </w:instrText>
        </w:r>
        <w:r w:rsidR="00E472E8">
          <w:rPr>
            <w:noProof/>
            <w:webHidden/>
          </w:rPr>
        </w:r>
        <w:r w:rsidR="00E472E8">
          <w:rPr>
            <w:noProof/>
            <w:webHidden/>
          </w:rPr>
          <w:fldChar w:fldCharType="separate"/>
        </w:r>
        <w:r w:rsidR="00E472E8">
          <w:rPr>
            <w:noProof/>
            <w:webHidden/>
          </w:rPr>
          <w:t>19</w:t>
        </w:r>
        <w:r w:rsidR="00E472E8">
          <w:rPr>
            <w:noProof/>
            <w:webHidden/>
          </w:rPr>
          <w:fldChar w:fldCharType="end"/>
        </w:r>
      </w:hyperlink>
    </w:p>
    <w:p w14:paraId="66EF42ED" w14:textId="3F4B286D" w:rsidR="000679C8" w:rsidRDefault="00D466B6" w:rsidP="00E540CE">
      <w:pPr>
        <w:rPr>
          <w:rStyle w:val="BookTitle"/>
          <w:rFonts w:asciiTheme="majorHAnsi" w:hAnsiTheme="majorHAnsi"/>
          <w:sz w:val="24"/>
          <w:szCs w:val="24"/>
        </w:rPr>
      </w:pPr>
      <w:r w:rsidRPr="00AF2C4A">
        <w:fldChar w:fldCharType="end"/>
      </w:r>
      <w:bookmarkStart w:id="33" w:name="_Toc311470074"/>
    </w:p>
    <w:p w14:paraId="737E86F0" w14:textId="76BF2472" w:rsidR="00D466B6" w:rsidRPr="00FE39CD" w:rsidRDefault="008172B3" w:rsidP="00D466B6">
      <w:pPr>
        <w:jc w:val="center"/>
        <w:rPr>
          <w:rStyle w:val="BookTitle"/>
          <w:b w:val="0"/>
          <w:bCs w:val="0"/>
          <w:smallCaps w:val="0"/>
          <w:spacing w:val="0"/>
        </w:rPr>
      </w:pPr>
      <w:r>
        <w:rPr>
          <w:rStyle w:val="BookTitle"/>
          <w:rFonts w:asciiTheme="majorHAnsi" w:hAnsiTheme="majorHAnsi"/>
          <w:sz w:val="24"/>
          <w:szCs w:val="24"/>
        </w:rPr>
        <w:t>TABLES &amp; FIGURES</w:t>
      </w:r>
    </w:p>
    <w:p w14:paraId="15866B19" w14:textId="77777777" w:rsidR="0076747F" w:rsidRDefault="00D466B6">
      <w:pPr>
        <w:pStyle w:val="TableofFigures"/>
        <w:tabs>
          <w:tab w:val="right" w:leader="dot" w:pos="9350"/>
        </w:tabs>
        <w:rPr>
          <w:rFonts w:eastAsiaTheme="minorEastAsia" w:cstheme="minorBidi"/>
          <w:noProof/>
          <w:sz w:val="22"/>
        </w:rPr>
      </w:pPr>
      <w:r>
        <w:fldChar w:fldCharType="begin"/>
      </w:r>
      <w:r>
        <w:instrText xml:space="preserve"> TOC \h \z \c "Table" </w:instrText>
      </w:r>
      <w:r>
        <w:fldChar w:fldCharType="separate"/>
      </w:r>
      <w:hyperlink w:anchor="_Toc343160287" w:history="1">
        <w:r w:rsidR="0076747F" w:rsidRPr="0045412F">
          <w:rPr>
            <w:rStyle w:val="Hyperlink"/>
            <w:noProof/>
          </w:rPr>
          <w:t>Table 1 Revision History</w:t>
        </w:r>
        <w:r w:rsidR="0076747F">
          <w:rPr>
            <w:noProof/>
            <w:webHidden/>
          </w:rPr>
          <w:tab/>
        </w:r>
        <w:r w:rsidR="0076747F">
          <w:rPr>
            <w:noProof/>
            <w:webHidden/>
          </w:rPr>
          <w:fldChar w:fldCharType="begin"/>
        </w:r>
        <w:r w:rsidR="0076747F">
          <w:rPr>
            <w:noProof/>
            <w:webHidden/>
          </w:rPr>
          <w:instrText xml:space="preserve"> PAGEREF _Toc343160287 \h </w:instrText>
        </w:r>
        <w:r w:rsidR="0076747F">
          <w:rPr>
            <w:noProof/>
            <w:webHidden/>
          </w:rPr>
        </w:r>
        <w:r w:rsidR="0076747F">
          <w:rPr>
            <w:noProof/>
            <w:webHidden/>
          </w:rPr>
          <w:fldChar w:fldCharType="separate"/>
        </w:r>
        <w:r w:rsidR="0076747F">
          <w:rPr>
            <w:noProof/>
            <w:webHidden/>
          </w:rPr>
          <w:t>4</w:t>
        </w:r>
        <w:r w:rsidR="0076747F">
          <w:rPr>
            <w:noProof/>
            <w:webHidden/>
          </w:rPr>
          <w:fldChar w:fldCharType="end"/>
        </w:r>
      </w:hyperlink>
    </w:p>
    <w:p w14:paraId="60C7481D" w14:textId="77777777" w:rsidR="0076747F" w:rsidRDefault="00065940">
      <w:pPr>
        <w:pStyle w:val="TableofFigures"/>
        <w:tabs>
          <w:tab w:val="right" w:leader="dot" w:pos="9350"/>
        </w:tabs>
        <w:rPr>
          <w:rFonts w:eastAsiaTheme="minorEastAsia" w:cstheme="minorBidi"/>
          <w:noProof/>
          <w:sz w:val="22"/>
        </w:rPr>
      </w:pPr>
      <w:hyperlink w:anchor="_Toc343160288" w:history="1">
        <w:r w:rsidR="0076747F" w:rsidRPr="0045412F">
          <w:rPr>
            <w:rStyle w:val="Hyperlink"/>
            <w:noProof/>
          </w:rPr>
          <w:t>Table 2 Summary of Proposed Change</w:t>
        </w:r>
        <w:r w:rsidR="0076747F">
          <w:rPr>
            <w:noProof/>
            <w:webHidden/>
          </w:rPr>
          <w:tab/>
        </w:r>
        <w:r w:rsidR="0076747F">
          <w:rPr>
            <w:noProof/>
            <w:webHidden/>
          </w:rPr>
          <w:fldChar w:fldCharType="begin"/>
        </w:r>
        <w:r w:rsidR="0076747F">
          <w:rPr>
            <w:noProof/>
            <w:webHidden/>
          </w:rPr>
          <w:instrText xml:space="preserve"> PAGEREF _Toc343160288 \h </w:instrText>
        </w:r>
        <w:r w:rsidR="0076747F">
          <w:rPr>
            <w:noProof/>
            <w:webHidden/>
          </w:rPr>
        </w:r>
        <w:r w:rsidR="0076747F">
          <w:rPr>
            <w:noProof/>
            <w:webHidden/>
          </w:rPr>
          <w:fldChar w:fldCharType="separate"/>
        </w:r>
        <w:r w:rsidR="0076747F">
          <w:rPr>
            <w:noProof/>
            <w:webHidden/>
          </w:rPr>
          <w:t>6</w:t>
        </w:r>
        <w:r w:rsidR="0076747F">
          <w:rPr>
            <w:noProof/>
            <w:webHidden/>
          </w:rPr>
          <w:fldChar w:fldCharType="end"/>
        </w:r>
      </w:hyperlink>
    </w:p>
    <w:p w14:paraId="737E8700" w14:textId="77777777" w:rsidR="00D466B6" w:rsidRDefault="00D466B6" w:rsidP="00D466B6">
      <w:r>
        <w:fldChar w:fldCharType="end"/>
      </w:r>
    </w:p>
    <w:p w14:paraId="0CCAF99E" w14:textId="77777777" w:rsidR="008172B3" w:rsidRDefault="008172B3" w:rsidP="00D466B6">
      <w:bookmarkStart w:id="34" w:name="_Toc315354074"/>
      <w:bookmarkEnd w:id="33"/>
    </w:p>
    <w:p w14:paraId="17BD88D8" w14:textId="77777777" w:rsidR="000B20FD" w:rsidRDefault="000B20FD">
      <w:pPr>
        <w:widowControl/>
        <w:spacing w:after="200" w:line="276" w:lineRule="auto"/>
        <w:jc w:val="left"/>
        <w:rPr>
          <w:rFonts w:asciiTheme="majorHAnsi" w:hAnsiTheme="majorHAnsi"/>
          <w:b/>
          <w:sz w:val="24"/>
          <w:szCs w:val="24"/>
        </w:rPr>
      </w:pPr>
      <w:r>
        <w:rPr>
          <w:rFonts w:asciiTheme="majorHAnsi" w:hAnsiTheme="majorHAnsi"/>
          <w:b/>
          <w:sz w:val="24"/>
          <w:szCs w:val="24"/>
        </w:rPr>
        <w:br w:type="page"/>
      </w:r>
    </w:p>
    <w:p w14:paraId="3A2D05BF" w14:textId="70343A92" w:rsidR="008172B3" w:rsidRPr="005534BF" w:rsidRDefault="005534BF" w:rsidP="003A5E9A">
      <w:pPr>
        <w:pStyle w:val="Captions"/>
      </w:pPr>
      <w:bookmarkStart w:id="35" w:name="_Toc343160287"/>
      <w:r w:rsidRPr="005534BF">
        <w:lastRenderedPageBreak/>
        <w:t>Table</w:t>
      </w:r>
      <w:r w:rsidR="0068511E">
        <w:t xml:space="preserve"> </w:t>
      </w:r>
      <w:fldSimple w:instr=" SEQ Table \* ARABIC \s 0 ">
        <w:r w:rsidR="0010553E">
          <w:rPr>
            <w:noProof/>
          </w:rPr>
          <w:t>1</w:t>
        </w:r>
      </w:fldSimple>
      <w:r w:rsidRPr="005534BF">
        <w:t xml:space="preserve"> </w:t>
      </w:r>
      <w:r>
        <w:t>Revision History</w:t>
      </w:r>
      <w:bookmarkEnd w:id="35"/>
    </w:p>
    <w:p w14:paraId="2C5DF35E" w14:textId="77777777" w:rsidR="005534BF" w:rsidRPr="005534BF" w:rsidRDefault="005534BF" w:rsidP="005534BF"/>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1318"/>
        <w:gridCol w:w="2091"/>
        <w:gridCol w:w="4877"/>
      </w:tblGrid>
      <w:tr w:rsidR="00F43CBF" w14:paraId="3FC7B884" w14:textId="77777777" w:rsidTr="00F43CBF">
        <w:trPr>
          <w:trHeight w:val="288"/>
          <w:jc w:val="center"/>
        </w:trPr>
        <w:tc>
          <w:tcPr>
            <w:tcW w:w="336" w:type="pct"/>
            <w:shd w:val="pct20" w:color="000000" w:fill="FFFFFF"/>
            <w:hideMark/>
          </w:tcPr>
          <w:p w14:paraId="637CC5CE" w14:textId="77777777" w:rsidR="00F43CBF" w:rsidRDefault="00F43CBF">
            <w:pPr>
              <w:rPr>
                <w:b/>
                <w:bCs/>
                <w:sz w:val="24"/>
                <w:szCs w:val="24"/>
              </w:rPr>
            </w:pPr>
            <w:r>
              <w:rPr>
                <w:b/>
                <w:bCs/>
              </w:rPr>
              <w:t>#</w:t>
            </w:r>
          </w:p>
        </w:tc>
        <w:tc>
          <w:tcPr>
            <w:tcW w:w="742" w:type="pct"/>
            <w:shd w:val="pct20" w:color="000000" w:fill="FFFFFF"/>
            <w:hideMark/>
          </w:tcPr>
          <w:p w14:paraId="44BD6300" w14:textId="77777777" w:rsidR="00F43CBF" w:rsidRDefault="00F43CBF">
            <w:pPr>
              <w:rPr>
                <w:b/>
                <w:bCs/>
                <w:szCs w:val="20"/>
              </w:rPr>
            </w:pPr>
            <w:r>
              <w:rPr>
                <w:b/>
                <w:bCs/>
                <w:szCs w:val="20"/>
              </w:rPr>
              <w:t>MM/DD/YY</w:t>
            </w:r>
          </w:p>
        </w:tc>
        <w:tc>
          <w:tcPr>
            <w:tcW w:w="1177" w:type="pct"/>
            <w:shd w:val="pct20" w:color="000000" w:fill="FFFFFF"/>
            <w:hideMark/>
          </w:tcPr>
          <w:p w14:paraId="308BD7CF" w14:textId="54E97A0C" w:rsidR="00F43CBF" w:rsidRDefault="00F43CBF" w:rsidP="0071617A">
            <w:pPr>
              <w:rPr>
                <w:b/>
                <w:bCs/>
                <w:szCs w:val="20"/>
              </w:rPr>
            </w:pPr>
            <w:proofErr w:type="spellStart"/>
            <w:r>
              <w:rPr>
                <w:b/>
                <w:bCs/>
                <w:szCs w:val="20"/>
              </w:rPr>
              <w:t>Author</w:t>
            </w:r>
            <w:r w:rsidR="0071617A">
              <w:rPr>
                <w:b/>
                <w:bCs/>
                <w:szCs w:val="20"/>
              </w:rPr>
              <w:t>,Company</w:t>
            </w:r>
            <w:proofErr w:type="spellEnd"/>
          </w:p>
        </w:tc>
        <w:tc>
          <w:tcPr>
            <w:tcW w:w="2745" w:type="pct"/>
            <w:shd w:val="pct20" w:color="000000" w:fill="FFFFFF"/>
            <w:hideMark/>
          </w:tcPr>
          <w:p w14:paraId="7FE2EDBF" w14:textId="77777777" w:rsidR="00F43CBF" w:rsidRDefault="00F43CBF">
            <w:pPr>
              <w:rPr>
                <w:b/>
                <w:bCs/>
                <w:szCs w:val="20"/>
              </w:rPr>
            </w:pPr>
            <w:r>
              <w:rPr>
                <w:b/>
                <w:bCs/>
                <w:szCs w:val="20"/>
              </w:rPr>
              <w:t>Summary of Changes</w:t>
            </w:r>
          </w:p>
        </w:tc>
      </w:tr>
      <w:tr w:rsidR="00F43CBF" w14:paraId="1A0C79E5" w14:textId="77777777" w:rsidTr="00F43CBF">
        <w:trPr>
          <w:trHeight w:val="315"/>
          <w:jc w:val="center"/>
        </w:trPr>
        <w:tc>
          <w:tcPr>
            <w:tcW w:w="336" w:type="pct"/>
            <w:shd w:val="pct5" w:color="000000" w:fill="FFFFFF"/>
          </w:tcPr>
          <w:p w14:paraId="6BFE6AA7" w14:textId="72C6A083" w:rsidR="00F43CBF" w:rsidRDefault="00E472E8">
            <w:pPr>
              <w:rPr>
                <w:sz w:val="24"/>
                <w:szCs w:val="24"/>
              </w:rPr>
            </w:pPr>
            <w:r>
              <w:rPr>
                <w:sz w:val="24"/>
                <w:szCs w:val="24"/>
              </w:rPr>
              <w:t>0</w:t>
            </w:r>
          </w:p>
        </w:tc>
        <w:tc>
          <w:tcPr>
            <w:tcW w:w="742" w:type="pct"/>
            <w:shd w:val="pct5" w:color="000000" w:fill="FFFFFF"/>
          </w:tcPr>
          <w:p w14:paraId="1A4E8C8B" w14:textId="6A8FCBC6" w:rsidR="00F43CBF" w:rsidRPr="00C52FBA" w:rsidRDefault="00E472E8" w:rsidP="00B21E6D">
            <w:pPr>
              <w:rPr>
                <w:szCs w:val="20"/>
              </w:rPr>
            </w:pPr>
            <w:r w:rsidRPr="00C52FBA">
              <w:rPr>
                <w:szCs w:val="20"/>
              </w:rPr>
              <w:t>11/</w:t>
            </w:r>
            <w:r w:rsidR="00B21E6D">
              <w:rPr>
                <w:szCs w:val="20"/>
              </w:rPr>
              <w:t>11</w:t>
            </w:r>
            <w:r w:rsidRPr="00C52FBA">
              <w:rPr>
                <w:szCs w:val="20"/>
              </w:rPr>
              <w:t>/13</w:t>
            </w:r>
          </w:p>
        </w:tc>
        <w:tc>
          <w:tcPr>
            <w:tcW w:w="1177" w:type="pct"/>
            <w:shd w:val="pct5" w:color="000000" w:fill="FFFFFF"/>
          </w:tcPr>
          <w:p w14:paraId="52727E59" w14:textId="50F69B5A" w:rsidR="00F43CBF" w:rsidRPr="00C52FBA" w:rsidRDefault="00E472E8">
            <w:pPr>
              <w:rPr>
                <w:szCs w:val="20"/>
              </w:rPr>
            </w:pPr>
            <w:r w:rsidRPr="00C52FBA">
              <w:rPr>
                <w:szCs w:val="20"/>
              </w:rPr>
              <w:t xml:space="preserve">Mary Sutter, Opinion Dynamics </w:t>
            </w:r>
          </w:p>
        </w:tc>
        <w:tc>
          <w:tcPr>
            <w:tcW w:w="2745" w:type="pct"/>
            <w:shd w:val="pct5" w:color="000000" w:fill="FFFFFF"/>
          </w:tcPr>
          <w:p w14:paraId="0D65EB9C" w14:textId="6ABE624A" w:rsidR="00F43CBF" w:rsidRDefault="0005038D">
            <w:pPr>
              <w:rPr>
                <w:szCs w:val="20"/>
              </w:rPr>
            </w:pPr>
            <w:r>
              <w:rPr>
                <w:szCs w:val="20"/>
              </w:rPr>
              <w:t>Creation of new measure for screw based omnidirectional LED lamps within the residential and multi-family sector</w:t>
            </w:r>
          </w:p>
        </w:tc>
      </w:tr>
      <w:tr w:rsidR="00F43CBF" w14:paraId="37EF0510" w14:textId="77777777" w:rsidTr="00F43CBF">
        <w:trPr>
          <w:trHeight w:val="315"/>
          <w:jc w:val="center"/>
        </w:trPr>
        <w:tc>
          <w:tcPr>
            <w:tcW w:w="336" w:type="pct"/>
            <w:shd w:val="pct15" w:color="000000" w:fill="FFFFFF"/>
          </w:tcPr>
          <w:p w14:paraId="6BACFED6" w14:textId="00950DCD" w:rsidR="00F43CBF" w:rsidRDefault="00F43CBF">
            <w:pPr>
              <w:rPr>
                <w:sz w:val="24"/>
                <w:szCs w:val="24"/>
                <w:highlight w:val="yellow"/>
              </w:rPr>
            </w:pPr>
          </w:p>
        </w:tc>
        <w:tc>
          <w:tcPr>
            <w:tcW w:w="742" w:type="pct"/>
            <w:shd w:val="pct15" w:color="000000" w:fill="FFFFFF"/>
          </w:tcPr>
          <w:p w14:paraId="66B93DDE" w14:textId="7CE1E181" w:rsidR="00F43CBF" w:rsidRDefault="00F43CBF">
            <w:pPr>
              <w:rPr>
                <w:szCs w:val="20"/>
                <w:highlight w:val="yellow"/>
              </w:rPr>
            </w:pPr>
          </w:p>
        </w:tc>
        <w:tc>
          <w:tcPr>
            <w:tcW w:w="1177" w:type="pct"/>
            <w:shd w:val="pct15" w:color="000000" w:fill="FFFFFF"/>
          </w:tcPr>
          <w:p w14:paraId="6B875DAA" w14:textId="5B4EE632" w:rsidR="00F43CBF" w:rsidRDefault="00F43CBF">
            <w:pPr>
              <w:rPr>
                <w:szCs w:val="20"/>
                <w:highlight w:val="yellow"/>
                <w:lang w:val="fr-FR"/>
              </w:rPr>
            </w:pPr>
          </w:p>
        </w:tc>
        <w:tc>
          <w:tcPr>
            <w:tcW w:w="2745" w:type="pct"/>
            <w:shd w:val="pct15" w:color="000000" w:fill="FFFFFF"/>
          </w:tcPr>
          <w:p w14:paraId="6B8066A7" w14:textId="77777777" w:rsidR="00F43CBF" w:rsidRDefault="00F43CBF">
            <w:pPr>
              <w:rPr>
                <w:szCs w:val="20"/>
                <w:highlight w:val="yellow"/>
              </w:rPr>
            </w:pPr>
          </w:p>
        </w:tc>
      </w:tr>
    </w:tbl>
    <w:p w14:paraId="1DE62EB7" w14:textId="77777777" w:rsidR="008172B3" w:rsidRPr="008172B3" w:rsidRDefault="008172B3" w:rsidP="008172B3">
      <w:pPr>
        <w:jc w:val="center"/>
        <w:rPr>
          <w:rFonts w:asciiTheme="majorHAnsi" w:hAnsiTheme="majorHAnsi"/>
          <w:b/>
          <w:sz w:val="24"/>
          <w:szCs w:val="24"/>
        </w:rPr>
      </w:pPr>
    </w:p>
    <w:p w14:paraId="416F015B" w14:textId="77777777" w:rsidR="008172B3" w:rsidRDefault="008172B3" w:rsidP="00D466B6"/>
    <w:p w14:paraId="0DBB8647" w14:textId="77777777" w:rsidR="008172B3" w:rsidRPr="005C24F1" w:rsidRDefault="008172B3" w:rsidP="00D466B6">
      <w:pPr>
        <w:rPr>
          <w:rFonts w:ascii="Calibri" w:hAnsi="Calibri" w:cs="Arial"/>
          <w:kern w:val="32"/>
          <w:sz w:val="32"/>
          <w:szCs w:val="32"/>
        </w:rPr>
        <w:sectPr w:rsidR="008172B3" w:rsidRPr="005C24F1" w:rsidSect="00950A89">
          <w:type w:val="continuous"/>
          <w:pgSz w:w="12240" w:h="15840" w:code="1"/>
          <w:pgMar w:top="1440" w:right="1440" w:bottom="1440" w:left="1440" w:header="720" w:footer="720" w:gutter="0"/>
          <w:cols w:space="720"/>
          <w:docGrid w:linePitch="360"/>
        </w:sectPr>
      </w:pPr>
    </w:p>
    <w:p w14:paraId="0097FBBF" w14:textId="4461C12B" w:rsidR="00110B16" w:rsidRDefault="00110B16" w:rsidP="00EE6626">
      <w:pPr>
        <w:pStyle w:val="Heading1"/>
      </w:pPr>
      <w:bookmarkStart w:id="36" w:name="_Toc371346703"/>
      <w:bookmarkStart w:id="37" w:name="_Toc324539920"/>
      <w:bookmarkStart w:id="38" w:name="_Toc319585400"/>
      <w:bookmarkStart w:id="39" w:name="_Toc319585393"/>
      <w:bookmarkStart w:id="40" w:name="_Toc315447626"/>
      <w:bookmarkEnd w:id="34"/>
      <w:r>
        <w:lastRenderedPageBreak/>
        <w:t>Summary</w:t>
      </w:r>
      <w:bookmarkEnd w:id="36"/>
    </w:p>
    <w:p w14:paraId="0B7C8E0A" w14:textId="5FFB1CFB" w:rsidR="00110B16" w:rsidRDefault="005E0B36" w:rsidP="00110B16">
      <w:r>
        <w:t>Version 2 of the Illinois TRM includes information about screw-based omnidirectional LEDs within the commercial sector, but not the residential sector. With the growth of this measure expected in the future, addition of a residential specific measure covering this type of LED is proposed. This work paper has taken information from version 2 of the Illinois TRM for residential CFLs and commercial LEDs to create this document. Additionally, because the next version of the TRM is due out after deadlines for application of EISA baselines in 2013 and 2014, the language and examples around how to handle savings before 2014 has been removed. However, in some cases this measure may last slightly past the EISA 2020 cut off and the work paper retains information around how to handle lifecycle savings after 2020.</w:t>
      </w:r>
    </w:p>
    <w:p w14:paraId="753C568D" w14:textId="5EFD7550" w:rsidR="00110B16" w:rsidRDefault="00110B16" w:rsidP="00110B16">
      <w:pPr>
        <w:pStyle w:val="Heading2"/>
      </w:pPr>
      <w:bookmarkStart w:id="41" w:name="_Toc371346704"/>
      <w:r>
        <w:t>Measure Components Affected</w:t>
      </w:r>
      <w:bookmarkEnd w:id="41"/>
    </w:p>
    <w:p w14:paraId="794E0487" w14:textId="298963A4" w:rsidR="008E2945" w:rsidRPr="008E2945" w:rsidRDefault="005E0B36" w:rsidP="008E2945">
      <w:r>
        <w:t>Note that the boxes checked reflect changes from either the residential CFL or commercial LED measures.</w:t>
      </w:r>
    </w:p>
    <w:p w14:paraId="48B1A4F2" w14:textId="4D593650"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rsidR="00065940">
        <w:fldChar w:fldCharType="separate"/>
      </w:r>
      <w:r>
        <w:fldChar w:fldCharType="end"/>
      </w:r>
      <w:r w:rsidR="00C87D87">
        <w:tab/>
        <w:t>Description</w:t>
      </w:r>
    </w:p>
    <w:p w14:paraId="6211C60F" w14:textId="2F5AAD65"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rsidR="00065940">
        <w:fldChar w:fldCharType="separate"/>
      </w:r>
      <w:r>
        <w:fldChar w:fldCharType="end"/>
      </w:r>
      <w:r w:rsidR="00C87D87">
        <w:tab/>
        <w:t>Definition of Efficient Equipment</w:t>
      </w:r>
    </w:p>
    <w:p w14:paraId="5EE807BC" w14:textId="53349DB2"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rsidR="00065940">
        <w:fldChar w:fldCharType="separate"/>
      </w:r>
      <w:r>
        <w:fldChar w:fldCharType="end"/>
      </w:r>
      <w:r w:rsidR="00C87D87">
        <w:tab/>
        <w:t>Definition of Baseline Equipment</w:t>
      </w:r>
    </w:p>
    <w:p w14:paraId="067DB2C8" w14:textId="33FE1D3A"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rsidR="00065940">
        <w:fldChar w:fldCharType="separate"/>
      </w:r>
      <w:r>
        <w:fldChar w:fldCharType="end"/>
      </w:r>
      <w:r w:rsidR="00C87D87">
        <w:tab/>
        <w:t>Deemed Lifetime of Efficient Equipment</w:t>
      </w:r>
    </w:p>
    <w:p w14:paraId="1F406352" w14:textId="70F9BD16"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rsidR="00065940">
        <w:fldChar w:fldCharType="separate"/>
      </w:r>
      <w:r>
        <w:fldChar w:fldCharType="end"/>
      </w:r>
      <w:r w:rsidR="00C87D87">
        <w:tab/>
        <w:t xml:space="preserve">Deemed Measure Cost </w:t>
      </w:r>
    </w:p>
    <w:p w14:paraId="042F1144" w14:textId="10B00953" w:rsidR="00C87D87" w:rsidRDefault="0005038D" w:rsidP="00C87D87">
      <w:pPr>
        <w:pStyle w:val="Heading6"/>
      </w:pPr>
      <w:r>
        <w:fldChar w:fldCharType="begin">
          <w:ffData>
            <w:name w:val=""/>
            <w:enabled/>
            <w:calcOnExit w:val="0"/>
            <w:checkBox>
              <w:sizeAuto/>
              <w:default w:val="1"/>
            </w:checkBox>
          </w:ffData>
        </w:fldChar>
      </w:r>
      <w:r>
        <w:instrText xml:space="preserve"> FORMCHECKBOX </w:instrText>
      </w:r>
      <w:r w:rsidR="00065940">
        <w:fldChar w:fldCharType="separate"/>
      </w:r>
      <w:r>
        <w:fldChar w:fldCharType="end"/>
      </w:r>
      <w:r w:rsidR="00C87D87">
        <w:tab/>
        <w:t>Deemed O&amp;M Cost Adjustments</w:t>
      </w:r>
    </w:p>
    <w:p w14:paraId="1CB61454" w14:textId="34D1C590"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rsidR="00065940">
        <w:fldChar w:fldCharType="separate"/>
      </w:r>
      <w:r>
        <w:fldChar w:fldCharType="end"/>
      </w:r>
      <w:r>
        <w:tab/>
      </w:r>
      <w:proofErr w:type="spellStart"/>
      <w:r>
        <w:t>Loadshape</w:t>
      </w:r>
      <w:proofErr w:type="spellEnd"/>
    </w:p>
    <w:p w14:paraId="10369DF4" w14:textId="641BD7B4"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rsidR="00065940">
        <w:fldChar w:fldCharType="separate"/>
      </w:r>
      <w:r>
        <w:fldChar w:fldCharType="end"/>
      </w:r>
      <w:r>
        <w:tab/>
        <w:t>Coincidence Factor</w:t>
      </w:r>
    </w:p>
    <w:p w14:paraId="1A565F67" w14:textId="57DDB990" w:rsidR="00C87D87" w:rsidRPr="00EB1B2B" w:rsidRDefault="0005038D" w:rsidP="00C87D87">
      <w:pPr>
        <w:pStyle w:val="Heading6"/>
      </w:pPr>
      <w:r>
        <w:fldChar w:fldCharType="begin">
          <w:ffData>
            <w:name w:val=""/>
            <w:enabled/>
            <w:calcOnExit w:val="0"/>
            <w:checkBox>
              <w:sizeAuto/>
              <w:default w:val="1"/>
            </w:checkBox>
          </w:ffData>
        </w:fldChar>
      </w:r>
      <w:r>
        <w:instrText xml:space="preserve"> FORMCHECKBOX </w:instrText>
      </w:r>
      <w:r w:rsidR="00065940">
        <w:fldChar w:fldCharType="separate"/>
      </w:r>
      <w:r>
        <w:fldChar w:fldCharType="end"/>
      </w:r>
      <w:r w:rsidR="00C87D87">
        <w:tab/>
        <w:t>Net To Gross Ratio</w:t>
      </w:r>
    </w:p>
    <w:p w14:paraId="7E96AA03" w14:textId="77777777" w:rsidR="00C87D87" w:rsidRDefault="00C87D87" w:rsidP="00C87D87">
      <w:pPr>
        <w:pStyle w:val="AlgorithmHeading"/>
      </w:pPr>
      <w:r>
        <w:t>Algorithm</w:t>
      </w:r>
    </w:p>
    <w:p w14:paraId="75052CBF" w14:textId="3AA0DC0B" w:rsidR="00C87D87" w:rsidRDefault="00C87D87" w:rsidP="00C87D87">
      <w:pPr>
        <w:pStyle w:val="Heading6"/>
      </w:pPr>
      <w:r>
        <w:lastRenderedPageBreak/>
        <w:fldChar w:fldCharType="begin">
          <w:ffData>
            <w:name w:val="Check1"/>
            <w:enabled/>
            <w:calcOnExit w:val="0"/>
            <w:checkBox>
              <w:sizeAuto/>
              <w:default w:val="0"/>
            </w:checkBox>
          </w:ffData>
        </w:fldChar>
      </w:r>
      <w:r>
        <w:instrText xml:space="preserve"> FORMCHECKBOX </w:instrText>
      </w:r>
      <w:r w:rsidR="00065940">
        <w:fldChar w:fldCharType="separate"/>
      </w:r>
      <w:r>
        <w:fldChar w:fldCharType="end"/>
      </w:r>
      <w:r>
        <w:tab/>
        <w:t xml:space="preserve">Calculation of Energy Savings </w:t>
      </w:r>
    </w:p>
    <w:p w14:paraId="62929EBC" w14:textId="0687D0F5"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rsidR="00065940">
        <w:fldChar w:fldCharType="separate"/>
      </w:r>
      <w:r>
        <w:fldChar w:fldCharType="end"/>
      </w:r>
      <w:r>
        <w:tab/>
        <w:t>Electric Energy Savings</w:t>
      </w:r>
    </w:p>
    <w:p w14:paraId="2DE07C2C" w14:textId="69CCD227"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rsidR="00065940">
        <w:fldChar w:fldCharType="separate"/>
      </w:r>
      <w:r>
        <w:fldChar w:fldCharType="end"/>
      </w:r>
      <w:r>
        <w:tab/>
        <w:t>Summer Coincident Peak Demand Savings</w:t>
      </w:r>
    </w:p>
    <w:p w14:paraId="180870B7" w14:textId="2F803A7E"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rsidR="00065940">
        <w:fldChar w:fldCharType="separate"/>
      </w:r>
      <w:r>
        <w:fldChar w:fldCharType="end"/>
      </w:r>
      <w:r>
        <w:tab/>
        <w:t>Natural Gas Savings</w:t>
      </w:r>
    </w:p>
    <w:p w14:paraId="16D8CFF6" w14:textId="66A52073" w:rsidR="00C87D87" w:rsidRDefault="00C87D87" w:rsidP="00C87D87">
      <w:pPr>
        <w:pStyle w:val="Heading6"/>
      </w:pPr>
      <w:r>
        <w:fldChar w:fldCharType="begin">
          <w:ffData>
            <w:name w:val="Check1"/>
            <w:enabled/>
            <w:calcOnExit w:val="0"/>
            <w:checkBox>
              <w:sizeAuto/>
              <w:default w:val="0"/>
            </w:checkBox>
          </w:ffData>
        </w:fldChar>
      </w:r>
      <w:r>
        <w:instrText xml:space="preserve"> FORMCHECKBOX </w:instrText>
      </w:r>
      <w:r w:rsidR="00065940">
        <w:fldChar w:fldCharType="separate"/>
      </w:r>
      <w:r>
        <w:fldChar w:fldCharType="end"/>
      </w:r>
      <w:r>
        <w:tab/>
        <w:t xml:space="preserve">Water Impact Descriptions and Calculation  </w:t>
      </w:r>
    </w:p>
    <w:p w14:paraId="16AEBBAE" w14:textId="400C899E" w:rsidR="00C87D87" w:rsidRDefault="005E0B36" w:rsidP="00C87D87">
      <w:pPr>
        <w:pStyle w:val="Heading6"/>
      </w:pPr>
      <w:r>
        <w:fldChar w:fldCharType="begin">
          <w:ffData>
            <w:name w:val="Check1"/>
            <w:enabled/>
            <w:calcOnExit w:val="0"/>
            <w:checkBox>
              <w:sizeAuto/>
              <w:default w:val="1"/>
            </w:checkBox>
          </w:ffData>
        </w:fldChar>
      </w:r>
      <w:bookmarkStart w:id="42" w:name="Check1"/>
      <w:r>
        <w:instrText xml:space="preserve"> FORMCHECKBOX </w:instrText>
      </w:r>
      <w:r w:rsidR="00065940">
        <w:fldChar w:fldCharType="separate"/>
      </w:r>
      <w:r>
        <w:fldChar w:fldCharType="end"/>
      </w:r>
      <w:bookmarkEnd w:id="42"/>
      <w:r w:rsidR="00C87D87">
        <w:tab/>
        <w:t>Deemed O&amp;M Cost Adjustment Calculation</w:t>
      </w:r>
    </w:p>
    <w:p w14:paraId="4862B53D" w14:textId="667458EF" w:rsidR="00C87D87" w:rsidRDefault="005E0B36" w:rsidP="00C87D87">
      <w:pPr>
        <w:pStyle w:val="VersionText"/>
        <w:rPr>
          <w:b/>
          <w:smallCaps/>
        </w:rPr>
      </w:pPr>
      <w:r>
        <w:fldChar w:fldCharType="begin">
          <w:ffData>
            <w:name w:val=""/>
            <w:enabled/>
            <w:calcOnExit w:val="0"/>
            <w:checkBox>
              <w:sizeAuto/>
              <w:default w:val="1"/>
            </w:checkBox>
          </w:ffData>
        </w:fldChar>
      </w:r>
      <w:r>
        <w:instrText xml:space="preserve"> FORMCHECKBOX </w:instrText>
      </w:r>
      <w:r w:rsidR="00065940">
        <w:fldChar w:fldCharType="separate"/>
      </w:r>
      <w:r>
        <w:fldChar w:fldCharType="end"/>
      </w:r>
      <w:r w:rsidR="00C87D87">
        <w:tab/>
      </w:r>
      <w:r w:rsidR="00C87D87" w:rsidRPr="002B5221">
        <w:rPr>
          <w:b/>
          <w:smallCaps/>
        </w:rPr>
        <w:t>Measure code</w:t>
      </w:r>
    </w:p>
    <w:p w14:paraId="0C16D625" w14:textId="77777777" w:rsidR="00881D79" w:rsidRDefault="00881D79">
      <w:pPr>
        <w:widowControl/>
        <w:spacing w:after="200" w:line="276" w:lineRule="auto"/>
        <w:jc w:val="left"/>
        <w:rPr>
          <w:rFonts w:ascii="Calibri" w:hAnsi="Calibri" w:cs="Arial"/>
          <w:bCs/>
          <w:iCs/>
          <w:sz w:val="28"/>
          <w:szCs w:val="28"/>
        </w:rPr>
      </w:pPr>
      <w:r>
        <w:br w:type="page"/>
      </w:r>
    </w:p>
    <w:p w14:paraId="3C8A69BC" w14:textId="7437647C" w:rsidR="00110B16" w:rsidRDefault="00110B16" w:rsidP="00110B16">
      <w:pPr>
        <w:pStyle w:val="Heading2"/>
      </w:pPr>
      <w:bookmarkStart w:id="43" w:name="_Toc371346705"/>
      <w:r>
        <w:lastRenderedPageBreak/>
        <w:t>Algorithm and Input Components Affected</w:t>
      </w:r>
      <w:bookmarkEnd w:id="43"/>
      <w:r>
        <w:t xml:space="preserve"> </w:t>
      </w:r>
    </w:p>
    <w:p w14:paraId="50573BF5" w14:textId="77777777" w:rsidR="005534BF" w:rsidRPr="005534BF" w:rsidRDefault="005534BF" w:rsidP="005534BF"/>
    <w:p w14:paraId="2911D283" w14:textId="684690E8" w:rsidR="00110B16" w:rsidRDefault="005534BF" w:rsidP="005534BF">
      <w:pPr>
        <w:pStyle w:val="Heading3"/>
      </w:pPr>
      <w:bookmarkStart w:id="44" w:name="_Toc371346706"/>
      <w:r>
        <w:t>Algorithm</w:t>
      </w:r>
      <w:r w:rsidR="00A229A2">
        <w:t xml:space="preserve"> / Input</w:t>
      </w:r>
      <w:r>
        <w:t xml:space="preserve"> 1</w:t>
      </w:r>
      <w:bookmarkEnd w:id="44"/>
    </w:p>
    <w:p w14:paraId="3DA3FEA5" w14:textId="76868137" w:rsidR="005534BF" w:rsidRPr="005534BF" w:rsidRDefault="0005038D" w:rsidP="005534BF">
      <w:r>
        <w:t>Efficient watts for LED is used, baseline wattage of halogens remain identical to CFLs</w:t>
      </w:r>
    </w:p>
    <w:p w14:paraId="63010CFB" w14:textId="7631F53C" w:rsidR="005534BF" w:rsidRPr="005534BF" w:rsidRDefault="005534BF" w:rsidP="005534BF">
      <w:pPr>
        <w:pStyle w:val="Heading3"/>
      </w:pPr>
      <w:bookmarkStart w:id="45" w:name="_Toc371346707"/>
      <w:r>
        <w:t xml:space="preserve">Algorithm </w:t>
      </w:r>
      <w:r w:rsidR="00A229A2">
        <w:t xml:space="preserve">/ Input </w:t>
      </w:r>
      <w:r>
        <w:t>2</w:t>
      </w:r>
      <w:bookmarkEnd w:id="45"/>
    </w:p>
    <w:p w14:paraId="483CE3EE" w14:textId="21181557" w:rsidR="005534BF" w:rsidRDefault="0005038D" w:rsidP="00110B16">
      <w:r>
        <w:t>NA</w:t>
      </w:r>
    </w:p>
    <w:p w14:paraId="2BC5B9D1" w14:textId="02E8C173" w:rsidR="00110B16" w:rsidRDefault="00110B16" w:rsidP="00110B16">
      <w:pPr>
        <w:pStyle w:val="Heading2"/>
      </w:pPr>
      <w:bookmarkStart w:id="46" w:name="_Toc371346708"/>
      <w:r>
        <w:t>Rational</w:t>
      </w:r>
      <w:r w:rsidR="00FD4634">
        <w:t>e</w:t>
      </w:r>
      <w:r>
        <w:t xml:space="preserve"> for the Change</w:t>
      </w:r>
      <w:bookmarkEnd w:id="46"/>
    </w:p>
    <w:p w14:paraId="2097594F" w14:textId="3773342D" w:rsidR="00110B16" w:rsidRDefault="0005038D" w:rsidP="00110B16">
      <w:r>
        <w:t>New Measure</w:t>
      </w:r>
    </w:p>
    <w:p w14:paraId="694A0157" w14:textId="08FF9BF2" w:rsidR="00110B16" w:rsidRDefault="00110B16" w:rsidP="00110B16">
      <w:pPr>
        <w:pStyle w:val="Heading3"/>
      </w:pPr>
      <w:bookmarkStart w:id="47" w:name="_Toc371346709"/>
      <w:r>
        <w:t>Methodology</w:t>
      </w:r>
      <w:bookmarkEnd w:id="47"/>
    </w:p>
    <w:p w14:paraId="7E1548C3" w14:textId="06F0941F" w:rsidR="00110B16" w:rsidRPr="00110B16" w:rsidRDefault="0005038D" w:rsidP="00110B16">
      <w:r>
        <w:t xml:space="preserve">Applied </w:t>
      </w:r>
      <w:r w:rsidR="005E0B36">
        <w:t>inputs based on either the residential CFL or c</w:t>
      </w:r>
      <w:r>
        <w:t>ommercial LEDs measure</w:t>
      </w:r>
      <w:r w:rsidR="005E0B36">
        <w:t>, depending on which is appropriate</w:t>
      </w:r>
    </w:p>
    <w:p w14:paraId="510E3DB3" w14:textId="68EC6B88" w:rsidR="00110B16" w:rsidRDefault="00110B16" w:rsidP="00110B16">
      <w:pPr>
        <w:pStyle w:val="Heading3"/>
      </w:pPr>
      <w:bookmarkStart w:id="48" w:name="_Toc371346710"/>
      <w:r>
        <w:t>Sample Size</w:t>
      </w:r>
      <w:bookmarkEnd w:id="48"/>
    </w:p>
    <w:p w14:paraId="1ABA7488" w14:textId="497E8B04" w:rsidR="00110B16" w:rsidRPr="00110B16" w:rsidRDefault="005E0B36" w:rsidP="00110B16">
      <w:r>
        <w:t>NA</w:t>
      </w:r>
    </w:p>
    <w:p w14:paraId="484A6408" w14:textId="3651FFBE" w:rsidR="00110B16" w:rsidRDefault="00110B16" w:rsidP="00110B16">
      <w:pPr>
        <w:pStyle w:val="Heading3"/>
      </w:pPr>
      <w:bookmarkStart w:id="49" w:name="_Toc371346711"/>
      <w:r>
        <w:t>Other Rational</w:t>
      </w:r>
      <w:r w:rsidR="00FD4634">
        <w:t>e</w:t>
      </w:r>
      <w:bookmarkEnd w:id="49"/>
    </w:p>
    <w:p w14:paraId="6FF88F3A" w14:textId="58C296B1" w:rsidR="00881D79" w:rsidRPr="00881D79" w:rsidRDefault="0005038D" w:rsidP="00881D79">
      <w:r>
        <w:t>NA</w:t>
      </w:r>
    </w:p>
    <w:p w14:paraId="1E1C9366" w14:textId="052ED045" w:rsidR="00257AF1" w:rsidRDefault="00881D79" w:rsidP="00257AF1">
      <w:pPr>
        <w:pStyle w:val="Heading2"/>
      </w:pPr>
      <w:bookmarkStart w:id="50" w:name="_Toc371346712"/>
      <w:r>
        <w:t>Please Specify the Proposed Change</w:t>
      </w:r>
      <w:bookmarkEnd w:id="50"/>
    </w:p>
    <w:p w14:paraId="7C0BB9E8" w14:textId="1EB7EA7A" w:rsidR="0010553E" w:rsidRPr="00081C22" w:rsidRDefault="0010553E" w:rsidP="003A5E9A">
      <w:pPr>
        <w:pStyle w:val="Captions"/>
      </w:pPr>
      <w:bookmarkStart w:id="51" w:name="_Toc343160288"/>
      <w:r w:rsidRPr="003A5E9A">
        <w:t xml:space="preserve">Table </w:t>
      </w:r>
      <w:fldSimple w:instr=" SEQ Table \* ARABIC \s 0 ">
        <w:r w:rsidRPr="00081C22">
          <w:t>2</w:t>
        </w:r>
      </w:fldSimple>
      <w:r w:rsidRPr="00081C22">
        <w:t xml:space="preserve"> Summary of Proposed Change</w:t>
      </w:r>
      <w:bookmarkEnd w:id="51"/>
    </w:p>
    <w:tbl>
      <w:tblPr>
        <w:tblStyle w:val="TableGrid"/>
        <w:tblW w:w="9092" w:type="dxa"/>
        <w:tblLook w:val="04A0" w:firstRow="1" w:lastRow="0" w:firstColumn="1" w:lastColumn="0" w:noHBand="0" w:noVBand="1"/>
      </w:tblPr>
      <w:tblGrid>
        <w:gridCol w:w="1458"/>
        <w:gridCol w:w="1710"/>
        <w:gridCol w:w="1710"/>
        <w:gridCol w:w="4214"/>
      </w:tblGrid>
      <w:tr w:rsidR="00257AF1" w14:paraId="0F9BB824" w14:textId="77777777" w:rsidTr="00FE7015">
        <w:trPr>
          <w:trHeight w:hRule="exact" w:val="577"/>
        </w:trPr>
        <w:tc>
          <w:tcPr>
            <w:tcW w:w="1458" w:type="dxa"/>
            <w:shd w:val="clear" w:color="auto" w:fill="D9D9D9" w:themeFill="background1" w:themeFillShade="D9"/>
          </w:tcPr>
          <w:p w14:paraId="494F83E6" w14:textId="77777777" w:rsidR="00257AF1" w:rsidRDefault="00257AF1" w:rsidP="00FE7015">
            <w:pPr>
              <w:pStyle w:val="BodyText"/>
              <w:rPr>
                <w:b/>
                <w:sz w:val="18"/>
                <w:szCs w:val="18"/>
              </w:rPr>
            </w:pPr>
            <w:r>
              <w:rPr>
                <w:b/>
                <w:sz w:val="18"/>
                <w:szCs w:val="18"/>
              </w:rPr>
              <w:t>ITEM</w:t>
            </w:r>
          </w:p>
        </w:tc>
        <w:tc>
          <w:tcPr>
            <w:tcW w:w="1710" w:type="dxa"/>
            <w:shd w:val="clear" w:color="auto" w:fill="D9D9D9" w:themeFill="background1" w:themeFillShade="D9"/>
          </w:tcPr>
          <w:p w14:paraId="0A83F237" w14:textId="77777777" w:rsidR="00257AF1" w:rsidRDefault="00257AF1" w:rsidP="00FE7015">
            <w:pPr>
              <w:pStyle w:val="BodyText"/>
              <w:rPr>
                <w:b/>
                <w:sz w:val="18"/>
                <w:szCs w:val="18"/>
              </w:rPr>
            </w:pPr>
            <w:r>
              <w:rPr>
                <w:b/>
                <w:sz w:val="18"/>
                <w:szCs w:val="18"/>
              </w:rPr>
              <w:t>ORIGINAL SPECIFICATION</w:t>
            </w:r>
          </w:p>
        </w:tc>
        <w:tc>
          <w:tcPr>
            <w:tcW w:w="1710" w:type="dxa"/>
            <w:shd w:val="clear" w:color="auto" w:fill="D9D9D9" w:themeFill="background1" w:themeFillShade="D9"/>
          </w:tcPr>
          <w:p w14:paraId="02EFCB6D" w14:textId="77777777" w:rsidR="00257AF1" w:rsidRDefault="00257AF1" w:rsidP="00FE7015">
            <w:pPr>
              <w:pStyle w:val="BodyText"/>
              <w:rPr>
                <w:b/>
                <w:sz w:val="18"/>
                <w:szCs w:val="18"/>
              </w:rPr>
            </w:pPr>
            <w:r>
              <w:rPr>
                <w:b/>
                <w:sz w:val="18"/>
                <w:szCs w:val="18"/>
              </w:rPr>
              <w:t>PROPOSED SPECIFICATION</w:t>
            </w:r>
          </w:p>
        </w:tc>
        <w:tc>
          <w:tcPr>
            <w:tcW w:w="4214" w:type="dxa"/>
            <w:shd w:val="clear" w:color="auto" w:fill="D9D9D9" w:themeFill="background1" w:themeFillShade="D9"/>
          </w:tcPr>
          <w:p w14:paraId="445BC4DA" w14:textId="77777777" w:rsidR="00257AF1" w:rsidRDefault="00257AF1" w:rsidP="00FE7015">
            <w:pPr>
              <w:pStyle w:val="BodyText"/>
              <w:jc w:val="left"/>
              <w:rPr>
                <w:b/>
                <w:sz w:val="18"/>
                <w:szCs w:val="18"/>
              </w:rPr>
            </w:pPr>
            <w:r>
              <w:rPr>
                <w:b/>
                <w:sz w:val="18"/>
                <w:szCs w:val="18"/>
              </w:rPr>
              <w:t xml:space="preserve">CITATION FOR PROPOSED SPECIFICATION </w:t>
            </w:r>
          </w:p>
        </w:tc>
      </w:tr>
      <w:tr w:rsidR="00257AF1" w14:paraId="479E01BE" w14:textId="77777777" w:rsidTr="00FE7015">
        <w:tc>
          <w:tcPr>
            <w:tcW w:w="1458" w:type="dxa"/>
          </w:tcPr>
          <w:p w14:paraId="63F3F87F" w14:textId="4072BC1C" w:rsidR="00257AF1" w:rsidRDefault="00257AF1" w:rsidP="00FE7015">
            <w:pPr>
              <w:pStyle w:val="BodyText"/>
              <w:rPr>
                <w:b/>
                <w:sz w:val="18"/>
                <w:szCs w:val="18"/>
              </w:rPr>
            </w:pPr>
          </w:p>
        </w:tc>
        <w:tc>
          <w:tcPr>
            <w:tcW w:w="1710" w:type="dxa"/>
          </w:tcPr>
          <w:p w14:paraId="2190FB8D" w14:textId="57B11B57" w:rsidR="00257AF1" w:rsidRDefault="00257AF1" w:rsidP="00FE7015">
            <w:pPr>
              <w:pStyle w:val="BodyText"/>
              <w:rPr>
                <w:b/>
                <w:sz w:val="18"/>
                <w:szCs w:val="18"/>
              </w:rPr>
            </w:pPr>
          </w:p>
        </w:tc>
        <w:tc>
          <w:tcPr>
            <w:tcW w:w="1710" w:type="dxa"/>
          </w:tcPr>
          <w:p w14:paraId="520F1AC7" w14:textId="183C2DAE" w:rsidR="00257AF1" w:rsidRDefault="00257AF1" w:rsidP="00FE7015">
            <w:pPr>
              <w:pStyle w:val="BodyText"/>
              <w:rPr>
                <w:b/>
                <w:sz w:val="18"/>
                <w:szCs w:val="18"/>
              </w:rPr>
            </w:pPr>
          </w:p>
        </w:tc>
        <w:tc>
          <w:tcPr>
            <w:tcW w:w="4214" w:type="dxa"/>
          </w:tcPr>
          <w:p w14:paraId="288313DE" w14:textId="3C1BF96A" w:rsidR="00257AF1" w:rsidRDefault="00257AF1" w:rsidP="00243671">
            <w:pPr>
              <w:pStyle w:val="BodyText"/>
              <w:rPr>
                <w:b/>
                <w:sz w:val="18"/>
                <w:szCs w:val="18"/>
              </w:rPr>
            </w:pPr>
          </w:p>
        </w:tc>
      </w:tr>
      <w:tr w:rsidR="00257AF1" w14:paraId="0AABC47C" w14:textId="77777777" w:rsidTr="00FE7015">
        <w:tc>
          <w:tcPr>
            <w:tcW w:w="1458" w:type="dxa"/>
          </w:tcPr>
          <w:p w14:paraId="13B5A48D" w14:textId="77777777" w:rsidR="00257AF1" w:rsidRDefault="00257AF1" w:rsidP="00FE7015">
            <w:pPr>
              <w:pStyle w:val="BodyText"/>
              <w:rPr>
                <w:b/>
                <w:sz w:val="18"/>
                <w:szCs w:val="18"/>
              </w:rPr>
            </w:pPr>
          </w:p>
        </w:tc>
        <w:tc>
          <w:tcPr>
            <w:tcW w:w="1710" w:type="dxa"/>
          </w:tcPr>
          <w:p w14:paraId="3A76767C" w14:textId="77777777" w:rsidR="00257AF1" w:rsidRDefault="00257AF1" w:rsidP="00FE7015">
            <w:pPr>
              <w:pStyle w:val="BodyText"/>
              <w:rPr>
                <w:b/>
                <w:sz w:val="18"/>
                <w:szCs w:val="18"/>
              </w:rPr>
            </w:pPr>
          </w:p>
        </w:tc>
        <w:tc>
          <w:tcPr>
            <w:tcW w:w="1710" w:type="dxa"/>
          </w:tcPr>
          <w:p w14:paraId="6DAC54E7" w14:textId="77777777" w:rsidR="00257AF1" w:rsidRDefault="00257AF1" w:rsidP="00FE7015">
            <w:pPr>
              <w:pStyle w:val="BodyText"/>
              <w:rPr>
                <w:b/>
                <w:sz w:val="18"/>
                <w:szCs w:val="18"/>
              </w:rPr>
            </w:pPr>
          </w:p>
        </w:tc>
        <w:tc>
          <w:tcPr>
            <w:tcW w:w="4214" w:type="dxa"/>
          </w:tcPr>
          <w:p w14:paraId="0742044D" w14:textId="77777777" w:rsidR="00257AF1" w:rsidRDefault="00257AF1" w:rsidP="00FE7015">
            <w:pPr>
              <w:pStyle w:val="BodyText"/>
              <w:rPr>
                <w:b/>
                <w:sz w:val="18"/>
                <w:szCs w:val="18"/>
              </w:rPr>
            </w:pPr>
          </w:p>
        </w:tc>
      </w:tr>
      <w:tr w:rsidR="00257AF1" w14:paraId="67867C98" w14:textId="77777777" w:rsidTr="00FE7015">
        <w:tc>
          <w:tcPr>
            <w:tcW w:w="1458" w:type="dxa"/>
          </w:tcPr>
          <w:p w14:paraId="7A9D7999" w14:textId="77777777" w:rsidR="00257AF1" w:rsidRDefault="00257AF1" w:rsidP="00FE7015">
            <w:pPr>
              <w:pStyle w:val="BodyText"/>
              <w:rPr>
                <w:b/>
                <w:sz w:val="18"/>
                <w:szCs w:val="18"/>
              </w:rPr>
            </w:pPr>
          </w:p>
        </w:tc>
        <w:tc>
          <w:tcPr>
            <w:tcW w:w="1710" w:type="dxa"/>
          </w:tcPr>
          <w:p w14:paraId="064ED766" w14:textId="77777777" w:rsidR="00257AF1" w:rsidRDefault="00257AF1" w:rsidP="00FE7015">
            <w:pPr>
              <w:pStyle w:val="BodyText"/>
              <w:rPr>
                <w:b/>
                <w:sz w:val="18"/>
                <w:szCs w:val="18"/>
              </w:rPr>
            </w:pPr>
          </w:p>
        </w:tc>
        <w:tc>
          <w:tcPr>
            <w:tcW w:w="1710" w:type="dxa"/>
          </w:tcPr>
          <w:p w14:paraId="19AA1E6D" w14:textId="77777777" w:rsidR="00257AF1" w:rsidRDefault="00257AF1" w:rsidP="00FE7015">
            <w:pPr>
              <w:pStyle w:val="BodyText"/>
              <w:rPr>
                <w:b/>
                <w:sz w:val="18"/>
                <w:szCs w:val="18"/>
              </w:rPr>
            </w:pPr>
          </w:p>
        </w:tc>
        <w:tc>
          <w:tcPr>
            <w:tcW w:w="4214" w:type="dxa"/>
          </w:tcPr>
          <w:p w14:paraId="2E5E022E" w14:textId="77777777" w:rsidR="00257AF1" w:rsidRDefault="00257AF1" w:rsidP="00FE7015">
            <w:pPr>
              <w:pStyle w:val="BodyText"/>
              <w:rPr>
                <w:b/>
                <w:sz w:val="18"/>
                <w:szCs w:val="18"/>
              </w:rPr>
            </w:pPr>
          </w:p>
        </w:tc>
      </w:tr>
    </w:tbl>
    <w:p w14:paraId="50E63E6F" w14:textId="77777777" w:rsidR="00110B16" w:rsidRPr="00110B16" w:rsidRDefault="00110B16" w:rsidP="00110B16"/>
    <w:p w14:paraId="5695163A" w14:textId="6DA32F53" w:rsidR="009B4455" w:rsidRDefault="009B4455" w:rsidP="009B4455">
      <w:pPr>
        <w:pStyle w:val="Heading2"/>
      </w:pPr>
      <w:bookmarkStart w:id="52" w:name="_Toc371346713"/>
      <w:r>
        <w:t>Author (Company) and Date</w:t>
      </w:r>
      <w:bookmarkEnd w:id="52"/>
    </w:p>
    <w:p w14:paraId="08E670A8" w14:textId="1CC58EFD" w:rsidR="00110B16" w:rsidRDefault="0005038D">
      <w:pPr>
        <w:widowControl/>
        <w:spacing w:after="200" w:line="276" w:lineRule="auto"/>
        <w:jc w:val="left"/>
        <w:rPr>
          <w:rFonts w:ascii="Calibri" w:hAnsi="Calibri" w:cs="Arial"/>
          <w:bCs/>
          <w:kern w:val="32"/>
          <w:sz w:val="32"/>
          <w:szCs w:val="32"/>
        </w:rPr>
      </w:pPr>
      <w:r>
        <w:t>Mary Sutter, Opinion Dynamics, 11/</w:t>
      </w:r>
      <w:r w:rsidR="00B21E6D">
        <w:t>11</w:t>
      </w:r>
      <w:r>
        <w:t>/13</w:t>
      </w:r>
      <w:r w:rsidR="00167313">
        <w:t>.</w:t>
      </w:r>
      <w:r w:rsidR="00110B16">
        <w:br w:type="page"/>
      </w:r>
    </w:p>
    <w:p w14:paraId="737E890A" w14:textId="61A16D2E" w:rsidR="00D466B6" w:rsidRDefault="00D466B6" w:rsidP="00EE6626">
      <w:pPr>
        <w:pStyle w:val="Heading1"/>
      </w:pPr>
      <w:bookmarkStart w:id="53" w:name="_Toc371346714"/>
      <w:r>
        <w:lastRenderedPageBreak/>
        <w:t>Components of TRM Measure Characterizations</w:t>
      </w:r>
      <w:bookmarkEnd w:id="37"/>
      <w:bookmarkEnd w:id="53"/>
    </w:p>
    <w:p w14:paraId="668A6846" w14:textId="19836AAD" w:rsidR="00857EAD" w:rsidRDefault="00857EAD" w:rsidP="00857EAD">
      <w:pPr>
        <w:pStyle w:val="Heading3"/>
        <w:jc w:val="left"/>
      </w:pPr>
      <w:bookmarkStart w:id="54" w:name="_Toc371346715"/>
      <w:bookmarkStart w:id="55" w:name="_Toc315447643"/>
      <w:bookmarkStart w:id="56" w:name="_Ref325900086"/>
      <w:bookmarkStart w:id="57" w:name="_Ref325900094"/>
      <w:bookmarkStart w:id="58" w:name="_Ref325900172"/>
      <w:bookmarkStart w:id="59" w:name="_Ref325900179"/>
      <w:bookmarkStart w:id="60" w:name="_Toc325918727"/>
      <w:bookmarkStart w:id="61" w:name="_Ref329777840"/>
      <w:bookmarkStart w:id="62" w:name="_Ref329777847"/>
      <w:bookmarkStart w:id="63" w:name="_Toc333219050"/>
      <w:bookmarkStart w:id="64" w:name="_Ref355960961"/>
      <w:bookmarkStart w:id="65" w:name="_Toc358365957"/>
      <w:r>
        <w:t xml:space="preserve">LED </w:t>
      </w:r>
      <w:r w:rsidR="00E472E8">
        <w:t xml:space="preserve">Screw Based </w:t>
      </w:r>
      <w:r w:rsidR="00D03D96">
        <w:t xml:space="preserve">Omnidirectional </w:t>
      </w:r>
      <w:r>
        <w:t>Bulbs</w:t>
      </w:r>
      <w:bookmarkEnd w:id="54"/>
      <w:r>
        <w:t xml:space="preserve"> </w:t>
      </w:r>
      <w:bookmarkEnd w:id="55"/>
      <w:bookmarkEnd w:id="56"/>
      <w:bookmarkEnd w:id="57"/>
      <w:bookmarkEnd w:id="58"/>
      <w:bookmarkEnd w:id="59"/>
      <w:bookmarkEnd w:id="60"/>
      <w:bookmarkEnd w:id="61"/>
      <w:bookmarkEnd w:id="62"/>
      <w:bookmarkEnd w:id="63"/>
      <w:bookmarkEnd w:id="64"/>
      <w:bookmarkEnd w:id="65"/>
    </w:p>
    <w:p w14:paraId="66CF20D7" w14:textId="77777777" w:rsidR="00857EAD" w:rsidRPr="009C6C55" w:rsidRDefault="00857EAD" w:rsidP="00857EAD">
      <w:pPr>
        <w:pStyle w:val="Heading6"/>
      </w:pPr>
      <w:r w:rsidRPr="009C6C55">
        <w:t>Description</w:t>
      </w:r>
      <w:r>
        <w:t xml:space="preserve"> </w:t>
      </w:r>
    </w:p>
    <w:p w14:paraId="332BC906" w14:textId="61A01DC0" w:rsidR="00857EAD" w:rsidRDefault="00857EAD" w:rsidP="00857EAD">
      <w:r>
        <w:t xml:space="preserve">This characterization provides savings assumptions for LED </w:t>
      </w:r>
      <w:r w:rsidR="00E472E8">
        <w:t xml:space="preserve">Screw Based </w:t>
      </w:r>
      <w:r w:rsidRPr="003561A1">
        <w:t>Omnidirectional (e.g. A-Type lamps)</w:t>
      </w:r>
      <w:r>
        <w:t xml:space="preserve"> lamps</w:t>
      </w:r>
      <w:r w:rsidR="00D03D96">
        <w:t xml:space="preserve"> within the residential and multifamily sectors</w:t>
      </w:r>
      <w:r>
        <w:t xml:space="preserve">. </w:t>
      </w:r>
    </w:p>
    <w:p w14:paraId="31CBBAC1" w14:textId="77777777" w:rsidR="00857EAD" w:rsidRDefault="00857EAD" w:rsidP="00857EAD">
      <w:pPr>
        <w:widowControl/>
        <w:spacing w:after="0"/>
        <w:jc w:val="left"/>
        <w:rPr>
          <w:rFonts w:ascii="Calibri" w:hAnsi="Calibri" w:cs="Calibri"/>
          <w:szCs w:val="20"/>
        </w:rPr>
      </w:pPr>
      <w:r w:rsidRPr="006F7AFA">
        <w:rPr>
          <w:rFonts w:ascii="Calibri" w:hAnsi="Calibri" w:cs="Calibri"/>
          <w:szCs w:val="20"/>
        </w:rPr>
        <w:t>This measure was developed to be applicable to the f</w:t>
      </w:r>
      <w:r>
        <w:rPr>
          <w:rFonts w:ascii="Calibri" w:hAnsi="Calibri" w:cs="Calibri"/>
          <w:szCs w:val="20"/>
        </w:rPr>
        <w:t>ollowing program types:  TOS, NC, RF.</w:t>
      </w:r>
      <w:r w:rsidRPr="006F7AFA">
        <w:rPr>
          <w:rFonts w:ascii="Calibri" w:hAnsi="Calibri" w:cs="Calibri"/>
          <w:szCs w:val="20"/>
        </w:rPr>
        <w:t xml:space="preserve">  </w:t>
      </w:r>
    </w:p>
    <w:p w14:paraId="6FC85434" w14:textId="77777777" w:rsidR="00857EAD" w:rsidRPr="006F7AFA" w:rsidRDefault="00857EAD" w:rsidP="00857EAD">
      <w:pPr>
        <w:widowControl/>
        <w:spacing w:after="0"/>
        <w:jc w:val="left"/>
        <w:rPr>
          <w:rFonts w:ascii="Calibri" w:hAnsi="Calibri" w:cs="Calibri"/>
          <w:szCs w:val="20"/>
        </w:rPr>
      </w:pPr>
      <w:r w:rsidRPr="006F7AFA">
        <w:rPr>
          <w:rFonts w:ascii="Calibri" w:hAnsi="Calibri" w:cs="Calibri"/>
          <w:szCs w:val="20"/>
        </w:rPr>
        <w:t>If applied to other program types, the measure savings should be verified.</w:t>
      </w:r>
    </w:p>
    <w:p w14:paraId="5C5C10EB" w14:textId="77777777" w:rsidR="00857EAD" w:rsidRPr="00933056" w:rsidRDefault="00857EAD" w:rsidP="00857EAD">
      <w:pPr>
        <w:pStyle w:val="Heading6"/>
      </w:pPr>
      <w:r w:rsidRPr="00933056">
        <w:t>Definition of Efficient Equipment</w:t>
      </w:r>
      <w:r>
        <w:t xml:space="preserve"> </w:t>
      </w:r>
    </w:p>
    <w:p w14:paraId="5301E94D" w14:textId="11885EA1" w:rsidR="00857EAD" w:rsidRPr="002F38DF" w:rsidRDefault="00857EAD" w:rsidP="00857EAD">
      <w:r w:rsidRPr="00422389">
        <w:t>In order for this characterization to a</w:t>
      </w:r>
      <w:r>
        <w:t>pply, new lamps must be Energy S</w:t>
      </w:r>
      <w:r w:rsidRPr="00422389">
        <w:t>tar labeled</w:t>
      </w:r>
      <w:r>
        <w:t>.</w:t>
      </w:r>
      <w:r w:rsidRPr="00422389">
        <w:t xml:space="preserve"> </w:t>
      </w:r>
    </w:p>
    <w:p w14:paraId="0B601853" w14:textId="77777777" w:rsidR="00857EAD" w:rsidRPr="00933056" w:rsidRDefault="00857EAD" w:rsidP="00857EAD">
      <w:pPr>
        <w:pStyle w:val="Heading6"/>
      </w:pPr>
      <w:r w:rsidRPr="00933056">
        <w:t>Definition of Baseline Equipment</w:t>
      </w:r>
      <w:r>
        <w:t xml:space="preserve"> </w:t>
      </w:r>
    </w:p>
    <w:p w14:paraId="0091EA78" w14:textId="21546F0A" w:rsidR="00857EAD" w:rsidRDefault="00BD5DEA" w:rsidP="00857EAD">
      <w:pPr>
        <w:rPr>
          <w:b/>
          <w:iCs/>
        </w:rPr>
      </w:pPr>
      <w:r w:rsidRPr="00422389">
        <w:t>In 2012, Federal legislation stemming from the Energy Independence and Security Act of 2007 (EIAS) will require all general-purpose light bulbs between 40 w</w:t>
      </w:r>
      <w:r>
        <w:t xml:space="preserve">atts </w:t>
      </w:r>
      <w:r w:rsidRPr="00422389">
        <w:t>and 100 w</w:t>
      </w:r>
      <w:r>
        <w:t xml:space="preserve">atts </w:t>
      </w:r>
      <w:r w:rsidRPr="00422389">
        <w:t>to have ~30% increased efficiency, essentially phasing out standard incandescent technology.  In 2012, the 100 w lamp standards apply; in 2013 the 75 w lamp standards will apply, f</w:t>
      </w:r>
      <w:r>
        <w:t>ollowed by restrictions on the 6</w:t>
      </w:r>
      <w:r w:rsidRPr="00422389">
        <w:t>0</w:t>
      </w:r>
      <w:r>
        <w:t xml:space="preserve"> w</w:t>
      </w:r>
      <w:r w:rsidRPr="00422389">
        <w:t xml:space="preserve"> and 40 w lamps in 2014. </w:t>
      </w:r>
      <w:r>
        <w:t>Since measures installed under this TRM all occur after 2014, b</w:t>
      </w:r>
      <w:r w:rsidR="00A74240">
        <w:t>aseline equipment are the values after EISA</w:t>
      </w:r>
      <w:r>
        <w:t>.</w:t>
      </w:r>
      <w:r w:rsidR="00A74240">
        <w:t xml:space="preserve"> </w:t>
      </w:r>
      <w:r>
        <w:t>These are shown</w:t>
      </w:r>
      <w:r w:rsidR="00A74240">
        <w:t xml:space="preserve"> </w:t>
      </w:r>
      <w:r>
        <w:t>in</w:t>
      </w:r>
      <w:r w:rsidR="00A74240">
        <w:t xml:space="preserve"> the baseline table below.</w:t>
      </w:r>
    </w:p>
    <w:p w14:paraId="78DCA78D" w14:textId="77777777" w:rsidR="00857EAD" w:rsidRPr="00933056" w:rsidRDefault="00857EAD" w:rsidP="00857EAD">
      <w:pPr>
        <w:pStyle w:val="Heading6"/>
      </w:pPr>
      <w:r w:rsidRPr="00933056">
        <w:t>Deemed Lifetime of Efficient Equipment</w:t>
      </w:r>
      <w:r>
        <w:t xml:space="preserve"> </w:t>
      </w:r>
    </w:p>
    <w:p w14:paraId="4414C1A3" w14:textId="0167B941" w:rsidR="00857EAD" w:rsidRDefault="00857EAD" w:rsidP="00857EAD">
      <w:pPr>
        <w:rPr>
          <w:b/>
          <w:iCs/>
        </w:rPr>
      </w:pPr>
      <w:r w:rsidRPr="0057231C">
        <w:t>Lifetime is the life of the product, at the reported operating hours (lamp life in hours divided by operating hours per year</w:t>
      </w:r>
      <w:r>
        <w:t>.</w:t>
      </w:r>
      <w:r w:rsidR="003010F1">
        <w:t xml:space="preserve"> For the residential and multi-family sector, this changes based on where the lamp is used and varies from 4.2 years (multi-family common areas) to 26 years (residential </w:t>
      </w:r>
      <w:commentRangeStart w:id="66"/>
      <w:r w:rsidR="003010F1">
        <w:t>home</w:t>
      </w:r>
      <w:commentRangeEnd w:id="66"/>
      <w:r w:rsidR="003010F1">
        <w:rPr>
          <w:rStyle w:val="CommentReference"/>
        </w:rPr>
        <w:commentReference w:id="66"/>
      </w:r>
      <w:r w:rsidR="003010F1">
        <w:t>).</w:t>
      </w:r>
    </w:p>
    <w:p w14:paraId="6B556181" w14:textId="77777777" w:rsidR="00857EAD" w:rsidRPr="00933056" w:rsidRDefault="00857EAD" w:rsidP="00857EAD">
      <w:pPr>
        <w:pStyle w:val="Heading6"/>
      </w:pPr>
      <w:r w:rsidRPr="00933056">
        <w:t xml:space="preserve">Deemed Measure Cost </w:t>
      </w:r>
    </w:p>
    <w:p w14:paraId="458A8328" w14:textId="185A3947" w:rsidR="00857EAD" w:rsidRDefault="00857EAD" w:rsidP="00857EAD">
      <w:pPr>
        <w:rPr>
          <w:b/>
          <w:iCs/>
        </w:rPr>
      </w:pPr>
      <w:r>
        <w:t>Wherever possible, actual incremental costs should be used. Refer to reference table “</w:t>
      </w:r>
      <w:r w:rsidR="00050FA6">
        <w:t xml:space="preserve">Residential </w:t>
      </w:r>
      <w:r>
        <w:t>LED component Cost &amp; Lifetime” for defaults.</w:t>
      </w:r>
    </w:p>
    <w:p w14:paraId="6DD66195" w14:textId="77777777" w:rsidR="00857EAD" w:rsidRPr="00933056" w:rsidRDefault="00857EAD" w:rsidP="00857EAD">
      <w:pPr>
        <w:pStyle w:val="Heading6"/>
      </w:pPr>
      <w:r w:rsidRPr="00933056">
        <w:t>Deemed O&amp;M Cost Adjustments</w:t>
      </w:r>
      <w:r>
        <w:t xml:space="preserve"> </w:t>
      </w:r>
    </w:p>
    <w:p w14:paraId="546A78FB" w14:textId="58540D17" w:rsidR="00857EAD" w:rsidRDefault="00857EAD" w:rsidP="00857EAD">
      <w:pPr>
        <w:rPr>
          <w:b/>
          <w:iCs/>
        </w:rPr>
      </w:pPr>
      <w:r>
        <w:t>Refer to reference table “</w:t>
      </w:r>
      <w:r w:rsidR="00050FA6">
        <w:t xml:space="preserve">Residential </w:t>
      </w:r>
      <w:r>
        <w:t>LED component Cost &amp; Lifetime.”</w:t>
      </w:r>
    </w:p>
    <w:p w14:paraId="13B005BC" w14:textId="77777777" w:rsidR="00857EAD" w:rsidRDefault="00857EAD" w:rsidP="00857EAD">
      <w:pPr>
        <w:pStyle w:val="Heading6"/>
      </w:pPr>
      <w:proofErr w:type="spellStart"/>
      <w:r>
        <w:lastRenderedPageBreak/>
        <w:t>Loadshape</w:t>
      </w:r>
      <w:proofErr w:type="spellEnd"/>
    </w:p>
    <w:tbl>
      <w:tblPr>
        <w:tblW w:w="8120" w:type="dxa"/>
        <w:tblInd w:w="93" w:type="dxa"/>
        <w:tblLook w:val="04A0" w:firstRow="1" w:lastRow="0" w:firstColumn="1" w:lastColumn="0" w:noHBand="0" w:noVBand="1"/>
      </w:tblPr>
      <w:tblGrid>
        <w:gridCol w:w="8120"/>
      </w:tblGrid>
      <w:tr w:rsidR="00857EAD" w:rsidRPr="00B57AE6" w14:paraId="2F867C25" w14:textId="77777777" w:rsidTr="00050FA6">
        <w:trPr>
          <w:trHeight w:val="300"/>
        </w:trPr>
        <w:tc>
          <w:tcPr>
            <w:tcW w:w="8120" w:type="dxa"/>
            <w:tcBorders>
              <w:top w:val="nil"/>
              <w:left w:val="nil"/>
              <w:bottom w:val="nil"/>
              <w:right w:val="nil"/>
            </w:tcBorders>
            <w:shd w:val="clear" w:color="auto" w:fill="auto"/>
            <w:noWrap/>
            <w:vAlign w:val="center"/>
            <w:hideMark/>
          </w:tcPr>
          <w:p w14:paraId="62D8BAE3" w14:textId="2BE87A77" w:rsidR="00857EAD" w:rsidRPr="00B57AE6" w:rsidRDefault="00857EAD" w:rsidP="00857EAD">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w:t>
            </w:r>
            <w:r>
              <w:rPr>
                <w:rFonts w:ascii="Calibri" w:hAnsi="Calibri" w:cs="Calibri"/>
                <w:color w:val="000000"/>
                <w:szCs w:val="20"/>
              </w:rPr>
              <w:t>R</w:t>
            </w:r>
            <w:r w:rsidRPr="00B57AE6">
              <w:rPr>
                <w:rFonts w:ascii="Calibri" w:hAnsi="Calibri" w:cs="Calibri"/>
                <w:color w:val="000000"/>
                <w:szCs w:val="20"/>
              </w:rPr>
              <w:t xml:space="preserve">06 </w:t>
            </w:r>
            <w:r>
              <w:rPr>
                <w:rFonts w:ascii="Calibri" w:hAnsi="Calibri" w:cs="Calibri"/>
                <w:color w:val="000000"/>
                <w:szCs w:val="20"/>
              </w:rPr>
              <w:t>–</w:t>
            </w:r>
            <w:r w:rsidRPr="00B57AE6">
              <w:rPr>
                <w:rFonts w:ascii="Calibri" w:hAnsi="Calibri" w:cs="Calibri"/>
                <w:color w:val="000000"/>
                <w:szCs w:val="20"/>
              </w:rPr>
              <w:t xml:space="preserve"> </w:t>
            </w:r>
            <w:r>
              <w:rPr>
                <w:rFonts w:ascii="Calibri" w:hAnsi="Calibri" w:cs="Calibri"/>
                <w:color w:val="000000"/>
                <w:szCs w:val="20"/>
              </w:rPr>
              <w:t xml:space="preserve">Residential </w:t>
            </w:r>
            <w:r w:rsidRPr="00B57AE6">
              <w:rPr>
                <w:rFonts w:ascii="Calibri" w:hAnsi="Calibri" w:cs="Calibri"/>
                <w:color w:val="000000"/>
                <w:szCs w:val="20"/>
              </w:rPr>
              <w:t>Indoor Lighting</w:t>
            </w:r>
          </w:p>
        </w:tc>
      </w:tr>
      <w:tr w:rsidR="00857EAD" w:rsidRPr="00B57AE6" w14:paraId="46F3AAD7" w14:textId="77777777" w:rsidTr="00050FA6">
        <w:trPr>
          <w:trHeight w:val="300"/>
        </w:trPr>
        <w:tc>
          <w:tcPr>
            <w:tcW w:w="8120" w:type="dxa"/>
            <w:tcBorders>
              <w:top w:val="nil"/>
              <w:left w:val="nil"/>
              <w:bottom w:val="nil"/>
              <w:right w:val="nil"/>
            </w:tcBorders>
            <w:shd w:val="clear" w:color="auto" w:fill="auto"/>
            <w:noWrap/>
            <w:vAlign w:val="center"/>
            <w:hideMark/>
          </w:tcPr>
          <w:p w14:paraId="55555D93" w14:textId="200CDBB9" w:rsidR="00857EAD" w:rsidRPr="00B57AE6" w:rsidRDefault="00857EAD" w:rsidP="00857EAD">
            <w:pPr>
              <w:widowControl/>
              <w:spacing w:after="0"/>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w:t>
            </w:r>
            <w:r>
              <w:rPr>
                <w:rFonts w:ascii="Calibri" w:hAnsi="Calibri" w:cs="Calibri"/>
                <w:color w:val="000000"/>
                <w:szCs w:val="20"/>
              </w:rPr>
              <w:t>R</w:t>
            </w:r>
            <w:r w:rsidRPr="00B57AE6">
              <w:rPr>
                <w:rFonts w:ascii="Calibri" w:hAnsi="Calibri" w:cs="Calibri"/>
                <w:color w:val="000000"/>
                <w:szCs w:val="20"/>
              </w:rPr>
              <w:t xml:space="preserve">07 </w:t>
            </w:r>
            <w:r>
              <w:rPr>
                <w:rFonts w:ascii="Calibri" w:hAnsi="Calibri" w:cs="Calibri"/>
                <w:color w:val="000000"/>
                <w:szCs w:val="20"/>
              </w:rPr>
              <w:t>–</w:t>
            </w:r>
            <w:r w:rsidRPr="00B57AE6">
              <w:rPr>
                <w:rFonts w:ascii="Calibri" w:hAnsi="Calibri" w:cs="Calibri"/>
                <w:color w:val="000000"/>
                <w:szCs w:val="20"/>
              </w:rPr>
              <w:t xml:space="preserve"> </w:t>
            </w:r>
            <w:r>
              <w:rPr>
                <w:rFonts w:ascii="Calibri" w:hAnsi="Calibri" w:cs="Calibri"/>
                <w:color w:val="000000"/>
                <w:szCs w:val="20"/>
              </w:rPr>
              <w:t>Residential Outdoor</w:t>
            </w:r>
            <w:r w:rsidRPr="00B57AE6">
              <w:rPr>
                <w:rFonts w:ascii="Calibri" w:hAnsi="Calibri" w:cs="Calibri"/>
                <w:color w:val="000000"/>
                <w:szCs w:val="20"/>
              </w:rPr>
              <w:t xml:space="preserve"> Lighting</w:t>
            </w:r>
          </w:p>
        </w:tc>
      </w:tr>
    </w:tbl>
    <w:p w14:paraId="73BA60EF" w14:textId="77777777" w:rsidR="00857EAD" w:rsidRPr="00933056" w:rsidRDefault="00857EAD" w:rsidP="00857EAD">
      <w:pPr>
        <w:pStyle w:val="Heading6"/>
      </w:pPr>
      <w:r w:rsidRPr="00933056">
        <w:t>Coincidence Factor</w:t>
      </w:r>
      <w:r>
        <w:t xml:space="preserve"> </w:t>
      </w:r>
    </w:p>
    <w:p w14:paraId="54C25204" w14:textId="77777777" w:rsidR="0061368D" w:rsidRPr="000B7BB6" w:rsidRDefault="0061368D" w:rsidP="0061368D">
      <w:pPr>
        <w:rPr>
          <w:rFonts w:cstheme="minorHAnsi"/>
        </w:rPr>
      </w:pPr>
      <w:r w:rsidRPr="000B7BB6">
        <w:rPr>
          <w:rFonts w:cstheme="minorHAnsi"/>
        </w:rPr>
        <w:t>The summer peak coincidence factor is assumed to be 9.5%</w:t>
      </w:r>
      <w:r w:rsidRPr="000B7BB6">
        <w:rPr>
          <w:rStyle w:val="FootnoteReference"/>
          <w:rFonts w:eastAsiaTheme="majorEastAsia" w:cstheme="minorHAnsi"/>
          <w:szCs w:val="20"/>
        </w:rPr>
        <w:footnoteReference w:id="1"/>
      </w:r>
      <w:r w:rsidRPr="00B41203">
        <w:rPr>
          <w:rFonts w:cstheme="minorHAnsi"/>
        </w:rPr>
        <w:t xml:space="preserve"> for Residential and in-unit Multi Family bulbs and 75%</w:t>
      </w:r>
      <w:r w:rsidRPr="000B7BB6">
        <w:rPr>
          <w:rStyle w:val="FootnoteReference"/>
          <w:rFonts w:eastAsiaTheme="majorEastAsia" w:cstheme="minorHAnsi"/>
        </w:rPr>
        <w:footnoteReference w:id="2"/>
      </w:r>
      <w:r w:rsidRPr="00B41203">
        <w:rPr>
          <w:rFonts w:cstheme="minorHAnsi"/>
        </w:rPr>
        <w:t xml:space="preserve"> for Multi Family common area bulbs.</w:t>
      </w:r>
    </w:p>
    <w:p w14:paraId="4F3C1FC7" w14:textId="77777777" w:rsidR="00857EAD" w:rsidRPr="00401A99" w:rsidRDefault="00857EAD" w:rsidP="00857EAD">
      <w:pPr>
        <w:keepNext/>
        <w:pBdr>
          <w:top w:val="double" w:sz="4" w:space="1" w:color="auto"/>
          <w:bottom w:val="double" w:sz="4" w:space="1" w:color="auto"/>
        </w:pBdr>
        <w:jc w:val="center"/>
        <w:rPr>
          <w:rFonts w:cstheme="minorHAnsi"/>
          <w:b/>
          <w:szCs w:val="20"/>
        </w:rPr>
      </w:pPr>
      <w:r w:rsidRPr="00401A99">
        <w:rPr>
          <w:rFonts w:cstheme="minorHAnsi"/>
          <w:b/>
          <w:szCs w:val="20"/>
        </w:rPr>
        <w:t>Algorithm</w:t>
      </w:r>
    </w:p>
    <w:p w14:paraId="509BF1C1" w14:textId="77777777" w:rsidR="00857EAD" w:rsidRPr="00933056" w:rsidRDefault="00857EAD" w:rsidP="00857EAD">
      <w:pPr>
        <w:pStyle w:val="Heading6"/>
      </w:pPr>
      <w:r w:rsidRPr="00933056">
        <w:t>Calculation of Savings</w:t>
      </w:r>
    </w:p>
    <w:p w14:paraId="09965880" w14:textId="77777777" w:rsidR="00857EAD" w:rsidRDefault="00857EAD" w:rsidP="00857EAD">
      <w:pPr>
        <w:pStyle w:val="Heading6"/>
      </w:pPr>
      <w:r>
        <w:t xml:space="preserve">Electric </w:t>
      </w:r>
      <w:r w:rsidRPr="00933056">
        <w:t>Energy Savings</w:t>
      </w:r>
      <w:r>
        <w:t xml:space="preserve"> </w:t>
      </w:r>
    </w:p>
    <w:p w14:paraId="67CDE2BE" w14:textId="77777777" w:rsidR="00857EAD" w:rsidRDefault="00857EAD" w:rsidP="00857EAD">
      <w:pPr>
        <w:ind w:left="1440" w:firstLine="720"/>
        <w:rPr>
          <w:noProof/>
        </w:rPr>
      </w:pPr>
      <w:bookmarkStart w:id="67" w:name="OLE_LINK1"/>
      <w:r w:rsidRPr="000A4D76">
        <w:rPr>
          <w:noProof/>
        </w:rPr>
        <w:t>ΔkWh  =</w:t>
      </w:r>
      <w:r>
        <w:rPr>
          <w:noProof/>
        </w:rPr>
        <w:t xml:space="preserve"> (</w:t>
      </w:r>
      <w:r w:rsidRPr="000A4D76">
        <w:rPr>
          <w:noProof/>
        </w:rPr>
        <w:t>(Watts</w:t>
      </w:r>
      <w:r w:rsidRPr="0085143B">
        <w:rPr>
          <w:noProof/>
          <w:vertAlign w:val="subscript"/>
        </w:rPr>
        <w:t>base</w:t>
      </w:r>
      <w:r>
        <w:rPr>
          <w:noProof/>
        </w:rPr>
        <w:t>-Watts</w:t>
      </w:r>
      <w:r w:rsidRPr="0085143B">
        <w:rPr>
          <w:noProof/>
          <w:vertAlign w:val="subscript"/>
        </w:rPr>
        <w:t>EE</w:t>
      </w:r>
      <w:r w:rsidRPr="000A4D76">
        <w:rPr>
          <w:noProof/>
        </w:rPr>
        <w:t>)/1000)  * Hours *WHF</w:t>
      </w:r>
      <w:r w:rsidRPr="0085143B">
        <w:rPr>
          <w:noProof/>
          <w:vertAlign w:val="subscript"/>
        </w:rPr>
        <w:t>e</w:t>
      </w:r>
      <w:r w:rsidRPr="000A4D76">
        <w:rPr>
          <w:noProof/>
        </w:rPr>
        <w:t>*ISR</w:t>
      </w:r>
      <w:r>
        <w:rPr>
          <w:noProof/>
        </w:rPr>
        <w:t xml:space="preserve"> </w:t>
      </w:r>
    </w:p>
    <w:bookmarkEnd w:id="67"/>
    <w:p w14:paraId="60806E5C" w14:textId="77777777" w:rsidR="00857EAD" w:rsidRPr="00933056" w:rsidRDefault="00857EAD" w:rsidP="00857EAD">
      <w:pPr>
        <w:ind w:left="1440"/>
        <w:rPr>
          <w:noProof/>
        </w:rPr>
      </w:pPr>
      <w:r w:rsidRPr="00933056">
        <w:rPr>
          <w:noProof/>
        </w:rPr>
        <w:t>Where:</w:t>
      </w:r>
    </w:p>
    <w:p w14:paraId="3A16A95F" w14:textId="2F64361A" w:rsidR="00857EAD" w:rsidRPr="003010F1" w:rsidRDefault="00857EAD" w:rsidP="00857EAD">
      <w:pPr>
        <w:ind w:left="2880" w:hanging="1440"/>
        <w:rPr>
          <w:noProof/>
        </w:rPr>
      </w:pPr>
      <w:r>
        <w:rPr>
          <w:noProof/>
        </w:rPr>
        <w:t>Watts</w:t>
      </w:r>
      <w:r w:rsidRPr="00FB030F">
        <w:rPr>
          <w:noProof/>
          <w:vertAlign w:val="subscript"/>
        </w:rPr>
        <w:t>base</w:t>
      </w:r>
      <w:r w:rsidRPr="00933056">
        <w:rPr>
          <w:noProof/>
        </w:rPr>
        <w:t xml:space="preserve"> </w:t>
      </w:r>
      <w:r w:rsidRPr="00933056">
        <w:rPr>
          <w:noProof/>
        </w:rPr>
        <w:tab/>
        <w:t xml:space="preserve">= </w:t>
      </w:r>
      <w:r w:rsidRPr="002350D5">
        <w:rPr>
          <w:noProof/>
        </w:rPr>
        <w:t>Input wattage</w:t>
      </w:r>
      <w:r>
        <w:rPr>
          <w:noProof/>
        </w:rPr>
        <w:t xml:space="preserve"> of the existing </w:t>
      </w:r>
      <w:r w:rsidRPr="003010F1">
        <w:rPr>
          <w:noProof/>
        </w:rPr>
        <w:t>system. Reference the “</w:t>
      </w:r>
      <w:r w:rsidRPr="003010F1">
        <w:t>LED New and Baseline Assumptions</w:t>
      </w:r>
      <w:r w:rsidRPr="003010F1">
        <w:rPr>
          <w:noProof/>
        </w:rPr>
        <w:t>” table for default values.</w:t>
      </w:r>
    </w:p>
    <w:p w14:paraId="4627E72E" w14:textId="18ECCFF9" w:rsidR="0061368D" w:rsidRPr="000B7BB6" w:rsidRDefault="00857EAD" w:rsidP="0061368D">
      <w:pPr>
        <w:ind w:left="1440"/>
        <w:rPr>
          <w:rFonts w:cstheme="minorHAnsi"/>
          <w:noProof/>
        </w:rPr>
      </w:pPr>
      <w:r>
        <w:rPr>
          <w:noProof/>
        </w:rPr>
        <w:t>Watts</w:t>
      </w:r>
      <w:r w:rsidRPr="000629BC">
        <w:rPr>
          <w:noProof/>
          <w:vertAlign w:val="subscript"/>
        </w:rPr>
        <w:t>EE</w:t>
      </w:r>
      <w:r>
        <w:rPr>
          <w:noProof/>
        </w:rPr>
        <w:tab/>
        <w:t xml:space="preserve">= </w:t>
      </w:r>
      <w:r w:rsidR="0061368D" w:rsidRPr="000B7BB6">
        <w:rPr>
          <w:rFonts w:cstheme="minorHAnsi"/>
          <w:noProof/>
        </w:rPr>
        <w:tab/>
        <w:t xml:space="preserve">= Actual wattage of </w:t>
      </w:r>
      <w:r w:rsidR="0061368D">
        <w:rPr>
          <w:rFonts w:cstheme="minorHAnsi"/>
          <w:noProof/>
        </w:rPr>
        <w:t>LED</w:t>
      </w:r>
      <w:r w:rsidR="0061368D" w:rsidRPr="000B7BB6">
        <w:rPr>
          <w:rFonts w:cstheme="minorHAnsi"/>
          <w:noProof/>
        </w:rPr>
        <w:t xml:space="preserve"> purchased / installed</w:t>
      </w:r>
    </w:p>
    <w:p w14:paraId="5BAAED81" w14:textId="618F1834" w:rsidR="00857EAD" w:rsidRDefault="00857EAD" w:rsidP="00857EAD">
      <w:pPr>
        <w:spacing w:after="120"/>
        <w:ind w:left="2880" w:hanging="1440"/>
        <w:rPr>
          <w:noProof/>
        </w:rPr>
      </w:pPr>
      <w:r>
        <w:rPr>
          <w:noProof/>
        </w:rPr>
        <w:tab/>
        <w:t>For ENERGY STAR rated</w:t>
      </w:r>
      <w:r w:rsidR="0061368D">
        <w:rPr>
          <w:noProof/>
        </w:rPr>
        <w:t xml:space="preserve"> </w:t>
      </w:r>
      <w:r>
        <w:rPr>
          <w:noProof/>
        </w:rPr>
        <w:t xml:space="preserve">Omnidirectional Lamps - ENERGY STAR </w:t>
      </w:r>
      <w:r w:rsidRPr="00E57C1D">
        <w:rPr>
          <w:noProof/>
        </w:rPr>
        <w:t>Minimum Luminous Efficacy</w:t>
      </w:r>
      <w:r>
        <w:rPr>
          <w:noProof/>
        </w:rPr>
        <w:t xml:space="preserve"> = 50Lm/W for &lt;10W lamps and 55Lm/W for &gt;=10W lamps.</w:t>
      </w:r>
    </w:p>
    <w:p w14:paraId="5ECBA247" w14:textId="29591871" w:rsidR="003010F1" w:rsidRPr="003010F1" w:rsidRDefault="003010F1" w:rsidP="003010F1">
      <w:pPr>
        <w:keepNext/>
        <w:spacing w:after="120"/>
        <w:ind w:left="2880" w:hanging="1440"/>
        <w:rPr>
          <w:b/>
          <w:noProof/>
        </w:rPr>
      </w:pPr>
      <w:r w:rsidRPr="003010F1">
        <w:rPr>
          <w:b/>
          <w:noProof/>
        </w:rPr>
        <w:lastRenderedPageBreak/>
        <w:t>LED New and Baseline Assumptions</w:t>
      </w:r>
      <w:r>
        <w:rPr>
          <w:b/>
          <w:noProof/>
        </w:rPr>
        <w:t xml:space="preserve"> Table</w:t>
      </w:r>
    </w:p>
    <w:tbl>
      <w:tblPr>
        <w:tblW w:w="77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60"/>
        <w:gridCol w:w="1345"/>
        <w:gridCol w:w="966"/>
        <w:gridCol w:w="901"/>
        <w:gridCol w:w="1264"/>
        <w:gridCol w:w="1185"/>
        <w:gridCol w:w="843"/>
      </w:tblGrid>
      <w:tr w:rsidR="00802290" w:rsidRPr="000629BC" w14:paraId="56FCF5F1" w14:textId="77777777" w:rsidTr="00802290">
        <w:trPr>
          <w:trHeight w:val="1112"/>
        </w:trPr>
        <w:tc>
          <w:tcPr>
            <w:tcW w:w="1260" w:type="dxa"/>
            <w:shd w:val="clear" w:color="auto" w:fill="7F7F7F" w:themeFill="text1" w:themeFillTint="80"/>
            <w:vAlign w:val="bottom"/>
            <w:hideMark/>
          </w:tcPr>
          <w:p w14:paraId="16CAD100" w14:textId="77777777" w:rsidR="00802290" w:rsidRPr="000629BC" w:rsidRDefault="00802290" w:rsidP="00E472E8">
            <w:pPr>
              <w:pStyle w:val="TableHeading"/>
            </w:pPr>
            <w:r w:rsidRPr="000629BC">
              <w:t>Nominal wattage of lamp to be replaced</w:t>
            </w:r>
          </w:p>
          <w:p w14:paraId="7DC0A75E" w14:textId="77777777" w:rsidR="00802290" w:rsidRPr="000629BC" w:rsidRDefault="00802290" w:rsidP="00E472E8">
            <w:pPr>
              <w:pStyle w:val="TableHeading"/>
            </w:pPr>
            <w:r w:rsidRPr="000629BC">
              <w:t>(Watts</w:t>
            </w:r>
            <w:r w:rsidRPr="000629BC">
              <w:rPr>
                <w:vertAlign w:val="subscript"/>
              </w:rPr>
              <w:t>base</w:t>
            </w:r>
            <w:r w:rsidRPr="000629BC">
              <w:t>)</w:t>
            </w:r>
          </w:p>
        </w:tc>
        <w:tc>
          <w:tcPr>
            <w:tcW w:w="1345" w:type="dxa"/>
            <w:shd w:val="clear" w:color="auto" w:fill="7F7F7F" w:themeFill="text1" w:themeFillTint="80"/>
            <w:vAlign w:val="bottom"/>
            <w:hideMark/>
          </w:tcPr>
          <w:p w14:paraId="62E1AE18" w14:textId="77777777" w:rsidR="00802290" w:rsidRPr="000629BC" w:rsidRDefault="00802290" w:rsidP="00E472E8">
            <w:pPr>
              <w:pStyle w:val="TableHeading"/>
            </w:pPr>
            <w:r w:rsidRPr="000629BC">
              <w:t>Minimum initial light output of LED lamp (lumens)</w:t>
            </w:r>
          </w:p>
        </w:tc>
        <w:tc>
          <w:tcPr>
            <w:tcW w:w="966" w:type="dxa"/>
            <w:shd w:val="clear" w:color="auto" w:fill="7F7F7F" w:themeFill="text1" w:themeFillTint="80"/>
            <w:vAlign w:val="bottom"/>
            <w:hideMark/>
          </w:tcPr>
          <w:p w14:paraId="45C2A207" w14:textId="77777777" w:rsidR="00802290" w:rsidRPr="000629BC" w:rsidRDefault="00802290" w:rsidP="00E472E8">
            <w:pPr>
              <w:pStyle w:val="TableHeading"/>
            </w:pPr>
            <w:r w:rsidRPr="000629BC">
              <w:t>LED Wattage</w:t>
            </w:r>
          </w:p>
          <w:p w14:paraId="56CEC9D2" w14:textId="77777777" w:rsidR="00802290" w:rsidRPr="000629BC" w:rsidRDefault="00802290" w:rsidP="00E472E8">
            <w:pPr>
              <w:pStyle w:val="TableHeading"/>
            </w:pPr>
            <w:r w:rsidRPr="000629BC">
              <w:t>(Watts</w:t>
            </w:r>
            <w:r w:rsidRPr="000629BC">
              <w:rPr>
                <w:vertAlign w:val="subscript"/>
              </w:rPr>
              <w:t>EE</w:t>
            </w:r>
            <w:r w:rsidRPr="000629BC">
              <w:t>)</w:t>
            </w:r>
          </w:p>
        </w:tc>
        <w:tc>
          <w:tcPr>
            <w:tcW w:w="901" w:type="dxa"/>
            <w:shd w:val="clear" w:color="auto" w:fill="7F7F7F" w:themeFill="text1" w:themeFillTint="80"/>
            <w:vAlign w:val="bottom"/>
          </w:tcPr>
          <w:p w14:paraId="5BF8120B" w14:textId="34980642" w:rsidR="00802290" w:rsidRPr="000629BC" w:rsidRDefault="00802290" w:rsidP="00E472E8">
            <w:pPr>
              <w:pStyle w:val="TableHeading"/>
            </w:pPr>
            <w:r w:rsidRPr="000629BC">
              <w:t>Delta Watts</w:t>
            </w:r>
          </w:p>
        </w:tc>
        <w:tc>
          <w:tcPr>
            <w:tcW w:w="1264" w:type="dxa"/>
            <w:shd w:val="clear" w:color="auto" w:fill="7F7F7F" w:themeFill="text1" w:themeFillTint="80"/>
            <w:vAlign w:val="bottom"/>
          </w:tcPr>
          <w:p w14:paraId="66263B29" w14:textId="3D809E0F" w:rsidR="00802290" w:rsidRPr="000629BC" w:rsidRDefault="00802290" w:rsidP="00E472E8">
            <w:pPr>
              <w:pStyle w:val="TableHeading"/>
            </w:pPr>
            <w:r w:rsidRPr="000629BC">
              <w:t>Post EISA 2020 requirement (45Lm/W)</w:t>
            </w:r>
          </w:p>
        </w:tc>
        <w:tc>
          <w:tcPr>
            <w:tcW w:w="1185" w:type="dxa"/>
            <w:shd w:val="clear" w:color="auto" w:fill="7F7F7F" w:themeFill="text1" w:themeFillTint="80"/>
            <w:vAlign w:val="bottom"/>
          </w:tcPr>
          <w:p w14:paraId="56D90710" w14:textId="538E4C38" w:rsidR="00802290" w:rsidRPr="000629BC" w:rsidRDefault="00802290" w:rsidP="00E472E8">
            <w:pPr>
              <w:pStyle w:val="TableHeading"/>
            </w:pPr>
            <w:r w:rsidRPr="000629BC">
              <w:t xml:space="preserve">Effective date for post EISA </w:t>
            </w:r>
            <w:r>
              <w:t>2020</w:t>
            </w:r>
            <w:r w:rsidRPr="000629BC">
              <w:t xml:space="preserve"> assumption</w:t>
            </w:r>
          </w:p>
        </w:tc>
        <w:tc>
          <w:tcPr>
            <w:tcW w:w="843" w:type="dxa"/>
            <w:shd w:val="clear" w:color="auto" w:fill="7F7F7F" w:themeFill="text1" w:themeFillTint="80"/>
            <w:vAlign w:val="bottom"/>
          </w:tcPr>
          <w:p w14:paraId="5EF0CD33" w14:textId="77777777" w:rsidR="00802290" w:rsidRPr="000629BC" w:rsidRDefault="00802290" w:rsidP="00E472E8">
            <w:pPr>
              <w:pStyle w:val="TableHeading"/>
            </w:pPr>
            <w:r w:rsidRPr="000629BC">
              <w:t>Delta Watts (post EISA 2020)</w:t>
            </w:r>
          </w:p>
        </w:tc>
      </w:tr>
      <w:tr w:rsidR="00802290" w:rsidRPr="000629BC" w14:paraId="4079C92A" w14:textId="77777777" w:rsidTr="00802290">
        <w:trPr>
          <w:trHeight w:val="222"/>
        </w:trPr>
        <w:tc>
          <w:tcPr>
            <w:tcW w:w="1260" w:type="dxa"/>
            <w:shd w:val="clear" w:color="auto" w:fill="FFFFFF" w:themeFill="background1"/>
            <w:noWrap/>
            <w:hideMark/>
          </w:tcPr>
          <w:p w14:paraId="41740547" w14:textId="564B69EA" w:rsidR="00802290" w:rsidRPr="000629BC" w:rsidRDefault="00802290" w:rsidP="00802290">
            <w:pPr>
              <w:pStyle w:val="TechnicalTable"/>
            </w:pPr>
            <w:r w:rsidRPr="000629BC">
              <w:t>25</w:t>
            </w:r>
          </w:p>
        </w:tc>
        <w:tc>
          <w:tcPr>
            <w:tcW w:w="1345" w:type="dxa"/>
            <w:shd w:val="clear" w:color="auto" w:fill="FFFFFF" w:themeFill="background1"/>
            <w:noWrap/>
            <w:vAlign w:val="bottom"/>
            <w:hideMark/>
          </w:tcPr>
          <w:p w14:paraId="1AFB4FC2" w14:textId="77777777" w:rsidR="00802290" w:rsidRPr="000629BC" w:rsidRDefault="00802290" w:rsidP="00802290">
            <w:pPr>
              <w:pStyle w:val="TechnicalTable"/>
            </w:pPr>
            <w:r w:rsidRPr="000629BC">
              <w:t>200</w:t>
            </w:r>
          </w:p>
        </w:tc>
        <w:tc>
          <w:tcPr>
            <w:tcW w:w="966" w:type="dxa"/>
            <w:shd w:val="clear" w:color="auto" w:fill="FFFFFF" w:themeFill="background1"/>
            <w:noWrap/>
            <w:vAlign w:val="bottom"/>
            <w:hideMark/>
          </w:tcPr>
          <w:p w14:paraId="4B8307CE" w14:textId="77777777" w:rsidR="00802290" w:rsidRPr="000629BC" w:rsidRDefault="00802290" w:rsidP="00802290">
            <w:pPr>
              <w:pStyle w:val="TechnicalTable"/>
            </w:pPr>
            <w:r w:rsidRPr="000629BC">
              <w:t>4.0</w:t>
            </w:r>
          </w:p>
        </w:tc>
        <w:tc>
          <w:tcPr>
            <w:tcW w:w="901" w:type="dxa"/>
            <w:shd w:val="clear" w:color="auto" w:fill="FFFFFF" w:themeFill="background1"/>
            <w:vAlign w:val="bottom"/>
          </w:tcPr>
          <w:p w14:paraId="37DCA494" w14:textId="77777777" w:rsidR="00802290" w:rsidRPr="000629BC" w:rsidRDefault="00802290" w:rsidP="00802290">
            <w:pPr>
              <w:pStyle w:val="TechnicalTable"/>
            </w:pPr>
            <w:r w:rsidRPr="000629BC">
              <w:t>21.0</w:t>
            </w:r>
          </w:p>
        </w:tc>
        <w:tc>
          <w:tcPr>
            <w:tcW w:w="1264" w:type="dxa"/>
            <w:shd w:val="clear" w:color="auto" w:fill="FFFFFF" w:themeFill="background1"/>
          </w:tcPr>
          <w:p w14:paraId="3A27BF7D" w14:textId="0A3C83F0" w:rsidR="00802290" w:rsidRPr="000629BC" w:rsidRDefault="00802290" w:rsidP="00802290">
            <w:pPr>
              <w:pStyle w:val="TechnicalTable"/>
            </w:pPr>
            <w:r w:rsidRPr="000629BC">
              <w:t>25</w:t>
            </w:r>
          </w:p>
        </w:tc>
        <w:tc>
          <w:tcPr>
            <w:tcW w:w="1185" w:type="dxa"/>
            <w:shd w:val="clear" w:color="auto" w:fill="FFFFFF" w:themeFill="background1"/>
          </w:tcPr>
          <w:p w14:paraId="26A29876" w14:textId="63B88DE0" w:rsidR="00802290" w:rsidRPr="000629BC" w:rsidRDefault="00802290" w:rsidP="00802290">
            <w:pPr>
              <w:pStyle w:val="TechnicalTable"/>
            </w:pPr>
            <w:r w:rsidRPr="000629BC">
              <w:t>Exempt</w:t>
            </w:r>
          </w:p>
        </w:tc>
        <w:tc>
          <w:tcPr>
            <w:tcW w:w="843" w:type="dxa"/>
            <w:shd w:val="clear" w:color="auto" w:fill="FFFFFF" w:themeFill="background1"/>
            <w:vAlign w:val="bottom"/>
          </w:tcPr>
          <w:p w14:paraId="46BFA069" w14:textId="77777777" w:rsidR="00802290" w:rsidRPr="000629BC" w:rsidRDefault="00802290" w:rsidP="00802290">
            <w:pPr>
              <w:pStyle w:val="TechnicalTable"/>
            </w:pPr>
            <w:r w:rsidRPr="000629BC">
              <w:t>21.0</w:t>
            </w:r>
          </w:p>
        </w:tc>
      </w:tr>
      <w:tr w:rsidR="00802290" w:rsidRPr="000629BC" w14:paraId="79B72133" w14:textId="77777777" w:rsidTr="00802290">
        <w:trPr>
          <w:trHeight w:val="222"/>
        </w:trPr>
        <w:tc>
          <w:tcPr>
            <w:tcW w:w="1260" w:type="dxa"/>
            <w:shd w:val="clear" w:color="auto" w:fill="FFFFFF" w:themeFill="background1"/>
            <w:noWrap/>
            <w:hideMark/>
          </w:tcPr>
          <w:p w14:paraId="1B27351D" w14:textId="5DCF40B5" w:rsidR="00802290" w:rsidRPr="000629BC" w:rsidRDefault="00802290" w:rsidP="00802290">
            <w:pPr>
              <w:pStyle w:val="TechnicalTable"/>
            </w:pPr>
            <w:r w:rsidRPr="000629BC">
              <w:t>29</w:t>
            </w:r>
          </w:p>
        </w:tc>
        <w:tc>
          <w:tcPr>
            <w:tcW w:w="1345" w:type="dxa"/>
            <w:shd w:val="clear" w:color="auto" w:fill="FFFFFF" w:themeFill="background1"/>
            <w:noWrap/>
            <w:vAlign w:val="bottom"/>
            <w:hideMark/>
          </w:tcPr>
          <w:p w14:paraId="4A2D5FBE" w14:textId="77777777" w:rsidR="00802290" w:rsidRPr="000629BC" w:rsidRDefault="00802290" w:rsidP="00802290">
            <w:pPr>
              <w:pStyle w:val="TechnicalTable"/>
            </w:pPr>
            <w:r w:rsidRPr="000629BC">
              <w:t>325</w:t>
            </w:r>
          </w:p>
        </w:tc>
        <w:tc>
          <w:tcPr>
            <w:tcW w:w="966" w:type="dxa"/>
            <w:shd w:val="clear" w:color="auto" w:fill="FFFFFF" w:themeFill="background1"/>
            <w:noWrap/>
            <w:vAlign w:val="bottom"/>
            <w:hideMark/>
          </w:tcPr>
          <w:p w14:paraId="0339675B" w14:textId="77777777" w:rsidR="00802290" w:rsidRPr="000629BC" w:rsidRDefault="00802290" w:rsidP="00802290">
            <w:pPr>
              <w:pStyle w:val="TechnicalTable"/>
            </w:pPr>
            <w:r w:rsidRPr="000629BC">
              <w:t>6.5</w:t>
            </w:r>
          </w:p>
        </w:tc>
        <w:tc>
          <w:tcPr>
            <w:tcW w:w="901" w:type="dxa"/>
            <w:shd w:val="clear" w:color="auto" w:fill="FFFFFF" w:themeFill="background1"/>
            <w:vAlign w:val="bottom"/>
          </w:tcPr>
          <w:p w14:paraId="1CC1CB66" w14:textId="77777777" w:rsidR="00802290" w:rsidRPr="000629BC" w:rsidRDefault="00802290" w:rsidP="00802290">
            <w:pPr>
              <w:pStyle w:val="TechnicalTable"/>
            </w:pPr>
            <w:r w:rsidRPr="000629BC">
              <w:t>22.5</w:t>
            </w:r>
          </w:p>
        </w:tc>
        <w:tc>
          <w:tcPr>
            <w:tcW w:w="1264" w:type="dxa"/>
            <w:shd w:val="clear" w:color="auto" w:fill="FFFFFF" w:themeFill="background1"/>
          </w:tcPr>
          <w:p w14:paraId="2758A743" w14:textId="4E9E4389" w:rsidR="00802290" w:rsidRPr="000629BC" w:rsidRDefault="00802290" w:rsidP="00802290">
            <w:pPr>
              <w:pStyle w:val="TechnicalTable"/>
            </w:pPr>
            <w:r w:rsidRPr="000629BC">
              <w:t>7.2</w:t>
            </w:r>
          </w:p>
        </w:tc>
        <w:tc>
          <w:tcPr>
            <w:tcW w:w="1185" w:type="dxa"/>
            <w:shd w:val="clear" w:color="auto" w:fill="FFFFFF" w:themeFill="background1"/>
          </w:tcPr>
          <w:p w14:paraId="51A4BB28" w14:textId="52A0A4D3" w:rsidR="00802290" w:rsidRPr="000629BC" w:rsidRDefault="00802290" w:rsidP="00802290">
            <w:pPr>
              <w:pStyle w:val="TechnicalTable"/>
            </w:pPr>
            <w:r w:rsidRPr="000629BC">
              <w:t>June 2</w:t>
            </w:r>
            <w:r>
              <w:t>020</w:t>
            </w:r>
          </w:p>
        </w:tc>
        <w:tc>
          <w:tcPr>
            <w:tcW w:w="843" w:type="dxa"/>
            <w:shd w:val="clear" w:color="auto" w:fill="FFFFFF" w:themeFill="background1"/>
            <w:vAlign w:val="bottom"/>
          </w:tcPr>
          <w:p w14:paraId="37ACC2BA" w14:textId="77777777" w:rsidR="00802290" w:rsidRPr="000629BC" w:rsidRDefault="00802290" w:rsidP="00802290">
            <w:pPr>
              <w:pStyle w:val="TechnicalTable"/>
            </w:pPr>
            <w:r w:rsidRPr="000629BC">
              <w:t>0.7</w:t>
            </w:r>
          </w:p>
        </w:tc>
      </w:tr>
      <w:tr w:rsidR="00802290" w:rsidRPr="000629BC" w14:paraId="2F5F5480" w14:textId="77777777" w:rsidTr="00802290">
        <w:trPr>
          <w:trHeight w:val="222"/>
        </w:trPr>
        <w:tc>
          <w:tcPr>
            <w:tcW w:w="1260" w:type="dxa"/>
            <w:shd w:val="clear" w:color="auto" w:fill="FFFFFF" w:themeFill="background1"/>
            <w:noWrap/>
            <w:hideMark/>
          </w:tcPr>
          <w:p w14:paraId="0181943F" w14:textId="558660A0" w:rsidR="00802290" w:rsidRPr="000629BC" w:rsidRDefault="00802290" w:rsidP="00802290">
            <w:pPr>
              <w:pStyle w:val="TechnicalTable"/>
            </w:pPr>
            <w:r w:rsidRPr="000629BC">
              <w:t>29</w:t>
            </w:r>
          </w:p>
        </w:tc>
        <w:tc>
          <w:tcPr>
            <w:tcW w:w="1345" w:type="dxa"/>
            <w:shd w:val="clear" w:color="auto" w:fill="FFFFFF" w:themeFill="background1"/>
            <w:noWrap/>
            <w:vAlign w:val="bottom"/>
            <w:hideMark/>
          </w:tcPr>
          <w:p w14:paraId="6320EBF5" w14:textId="77777777" w:rsidR="00802290" w:rsidRPr="000629BC" w:rsidRDefault="00802290" w:rsidP="00802290">
            <w:pPr>
              <w:pStyle w:val="TechnicalTable"/>
            </w:pPr>
            <w:r w:rsidRPr="000629BC">
              <w:t>450</w:t>
            </w:r>
          </w:p>
        </w:tc>
        <w:tc>
          <w:tcPr>
            <w:tcW w:w="966" w:type="dxa"/>
            <w:shd w:val="clear" w:color="auto" w:fill="FFFFFF" w:themeFill="background1"/>
            <w:noWrap/>
            <w:vAlign w:val="bottom"/>
            <w:hideMark/>
          </w:tcPr>
          <w:p w14:paraId="7C08435C" w14:textId="77777777" w:rsidR="00802290" w:rsidRPr="000629BC" w:rsidRDefault="00802290" w:rsidP="00802290">
            <w:pPr>
              <w:pStyle w:val="TechnicalTable"/>
            </w:pPr>
            <w:r w:rsidRPr="000629BC">
              <w:t>9.0</w:t>
            </w:r>
          </w:p>
        </w:tc>
        <w:tc>
          <w:tcPr>
            <w:tcW w:w="901" w:type="dxa"/>
            <w:shd w:val="clear" w:color="auto" w:fill="FFFFFF" w:themeFill="background1"/>
            <w:vAlign w:val="bottom"/>
          </w:tcPr>
          <w:p w14:paraId="672DA5EC" w14:textId="77777777" w:rsidR="00802290" w:rsidRPr="000629BC" w:rsidRDefault="00802290" w:rsidP="00802290">
            <w:pPr>
              <w:pStyle w:val="TechnicalTable"/>
            </w:pPr>
            <w:r w:rsidRPr="000629BC">
              <w:t>20.0</w:t>
            </w:r>
          </w:p>
        </w:tc>
        <w:tc>
          <w:tcPr>
            <w:tcW w:w="1264" w:type="dxa"/>
            <w:shd w:val="clear" w:color="auto" w:fill="FFFFFF" w:themeFill="background1"/>
          </w:tcPr>
          <w:p w14:paraId="44D5BAEA" w14:textId="2891C533" w:rsidR="00802290" w:rsidRPr="000629BC" w:rsidRDefault="00802290" w:rsidP="00802290">
            <w:pPr>
              <w:pStyle w:val="TechnicalTable"/>
            </w:pPr>
            <w:r w:rsidRPr="000629BC">
              <w:t>10</w:t>
            </w:r>
          </w:p>
        </w:tc>
        <w:tc>
          <w:tcPr>
            <w:tcW w:w="1185" w:type="dxa"/>
            <w:shd w:val="clear" w:color="auto" w:fill="FFFFFF" w:themeFill="background1"/>
          </w:tcPr>
          <w:p w14:paraId="5D433157" w14:textId="68A27713" w:rsidR="00802290" w:rsidRPr="000629BC" w:rsidRDefault="00802290" w:rsidP="00802290">
            <w:pPr>
              <w:pStyle w:val="TechnicalTable"/>
            </w:pPr>
            <w:r>
              <w:t>June 2020</w:t>
            </w:r>
          </w:p>
        </w:tc>
        <w:tc>
          <w:tcPr>
            <w:tcW w:w="843" w:type="dxa"/>
            <w:shd w:val="clear" w:color="auto" w:fill="FFFFFF" w:themeFill="background1"/>
            <w:vAlign w:val="bottom"/>
          </w:tcPr>
          <w:p w14:paraId="75C8B1F1" w14:textId="77777777" w:rsidR="00802290" w:rsidRPr="000629BC" w:rsidRDefault="00802290" w:rsidP="00802290">
            <w:pPr>
              <w:pStyle w:val="TechnicalTable"/>
            </w:pPr>
            <w:r w:rsidRPr="000629BC">
              <w:t>1.0</w:t>
            </w:r>
          </w:p>
        </w:tc>
      </w:tr>
      <w:tr w:rsidR="00802290" w:rsidRPr="000629BC" w14:paraId="150CB721" w14:textId="77777777" w:rsidTr="00802290">
        <w:trPr>
          <w:trHeight w:val="222"/>
        </w:trPr>
        <w:tc>
          <w:tcPr>
            <w:tcW w:w="1260" w:type="dxa"/>
            <w:shd w:val="clear" w:color="auto" w:fill="FFFFFF" w:themeFill="background1"/>
            <w:noWrap/>
            <w:hideMark/>
          </w:tcPr>
          <w:p w14:paraId="77398657" w14:textId="6C84C289" w:rsidR="00802290" w:rsidRPr="000629BC" w:rsidRDefault="00802290" w:rsidP="00802290">
            <w:pPr>
              <w:pStyle w:val="TechnicalTable"/>
            </w:pPr>
            <w:r w:rsidRPr="000629BC">
              <w:t>43</w:t>
            </w:r>
          </w:p>
        </w:tc>
        <w:tc>
          <w:tcPr>
            <w:tcW w:w="1345" w:type="dxa"/>
            <w:shd w:val="clear" w:color="auto" w:fill="FFFFFF" w:themeFill="background1"/>
            <w:noWrap/>
            <w:vAlign w:val="bottom"/>
            <w:hideMark/>
          </w:tcPr>
          <w:p w14:paraId="74E3C19F" w14:textId="77777777" w:rsidR="00802290" w:rsidRPr="000629BC" w:rsidRDefault="00802290" w:rsidP="00802290">
            <w:pPr>
              <w:pStyle w:val="TechnicalTable"/>
            </w:pPr>
            <w:r w:rsidRPr="000629BC">
              <w:t>800</w:t>
            </w:r>
          </w:p>
        </w:tc>
        <w:tc>
          <w:tcPr>
            <w:tcW w:w="966" w:type="dxa"/>
            <w:shd w:val="clear" w:color="auto" w:fill="FFFFFF" w:themeFill="background1"/>
            <w:noWrap/>
            <w:vAlign w:val="bottom"/>
            <w:hideMark/>
          </w:tcPr>
          <w:p w14:paraId="467348DC" w14:textId="77777777" w:rsidR="00802290" w:rsidRPr="000629BC" w:rsidRDefault="00802290" w:rsidP="00802290">
            <w:pPr>
              <w:pStyle w:val="TechnicalTable"/>
            </w:pPr>
            <w:r w:rsidRPr="000629BC">
              <w:t>14.5</w:t>
            </w:r>
          </w:p>
        </w:tc>
        <w:tc>
          <w:tcPr>
            <w:tcW w:w="901" w:type="dxa"/>
            <w:shd w:val="clear" w:color="auto" w:fill="FFFFFF" w:themeFill="background1"/>
            <w:vAlign w:val="bottom"/>
          </w:tcPr>
          <w:p w14:paraId="69BD5F53" w14:textId="77777777" w:rsidR="00802290" w:rsidRPr="000629BC" w:rsidRDefault="00802290" w:rsidP="00802290">
            <w:pPr>
              <w:pStyle w:val="TechnicalTable"/>
            </w:pPr>
            <w:r w:rsidRPr="000629BC">
              <w:t>2</w:t>
            </w:r>
            <w:r>
              <w:t>8.5</w:t>
            </w:r>
          </w:p>
        </w:tc>
        <w:tc>
          <w:tcPr>
            <w:tcW w:w="1264" w:type="dxa"/>
            <w:shd w:val="clear" w:color="auto" w:fill="FFFFFF" w:themeFill="background1"/>
          </w:tcPr>
          <w:p w14:paraId="3532F9D7" w14:textId="7B46F49D" w:rsidR="00802290" w:rsidRPr="000629BC" w:rsidRDefault="00802290" w:rsidP="00802290">
            <w:pPr>
              <w:pStyle w:val="TechnicalTable"/>
            </w:pPr>
            <w:r w:rsidRPr="000629BC">
              <w:t>17.8</w:t>
            </w:r>
          </w:p>
        </w:tc>
        <w:tc>
          <w:tcPr>
            <w:tcW w:w="1185" w:type="dxa"/>
            <w:shd w:val="clear" w:color="auto" w:fill="FFFFFF" w:themeFill="background1"/>
          </w:tcPr>
          <w:p w14:paraId="20FEDCE1" w14:textId="28964DF8" w:rsidR="00802290" w:rsidRPr="000629BC" w:rsidRDefault="00802290" w:rsidP="00802290">
            <w:pPr>
              <w:pStyle w:val="TechnicalTable"/>
            </w:pPr>
            <w:r>
              <w:t>June 2020</w:t>
            </w:r>
          </w:p>
        </w:tc>
        <w:tc>
          <w:tcPr>
            <w:tcW w:w="843" w:type="dxa"/>
            <w:shd w:val="clear" w:color="auto" w:fill="FFFFFF" w:themeFill="background1"/>
            <w:vAlign w:val="bottom"/>
          </w:tcPr>
          <w:p w14:paraId="6C6C6287" w14:textId="77777777" w:rsidR="00802290" w:rsidRPr="000629BC" w:rsidRDefault="00802290" w:rsidP="00802290">
            <w:pPr>
              <w:pStyle w:val="TechnicalTable"/>
            </w:pPr>
            <w:r w:rsidRPr="000629BC">
              <w:t>3.3</w:t>
            </w:r>
          </w:p>
        </w:tc>
      </w:tr>
      <w:tr w:rsidR="00802290" w:rsidRPr="000629BC" w14:paraId="2E11935F" w14:textId="77777777" w:rsidTr="00802290">
        <w:trPr>
          <w:trHeight w:val="222"/>
        </w:trPr>
        <w:tc>
          <w:tcPr>
            <w:tcW w:w="1260" w:type="dxa"/>
            <w:shd w:val="clear" w:color="auto" w:fill="FFFFFF" w:themeFill="background1"/>
            <w:noWrap/>
            <w:hideMark/>
          </w:tcPr>
          <w:p w14:paraId="23DA17A0" w14:textId="6306600D" w:rsidR="00802290" w:rsidRPr="000629BC" w:rsidRDefault="00802290" w:rsidP="00802290">
            <w:pPr>
              <w:pStyle w:val="TechnicalTable"/>
            </w:pPr>
            <w:r w:rsidRPr="000629BC">
              <w:t>53</w:t>
            </w:r>
          </w:p>
        </w:tc>
        <w:tc>
          <w:tcPr>
            <w:tcW w:w="1345" w:type="dxa"/>
            <w:shd w:val="clear" w:color="auto" w:fill="FFFFFF" w:themeFill="background1"/>
            <w:noWrap/>
            <w:vAlign w:val="bottom"/>
            <w:hideMark/>
          </w:tcPr>
          <w:p w14:paraId="00C9162B" w14:textId="77777777" w:rsidR="00802290" w:rsidRPr="000629BC" w:rsidRDefault="00802290" w:rsidP="00802290">
            <w:pPr>
              <w:pStyle w:val="TechnicalTable"/>
            </w:pPr>
            <w:r w:rsidRPr="000629BC">
              <w:t>1,100</w:t>
            </w:r>
          </w:p>
        </w:tc>
        <w:tc>
          <w:tcPr>
            <w:tcW w:w="966" w:type="dxa"/>
            <w:shd w:val="clear" w:color="auto" w:fill="FFFFFF" w:themeFill="background1"/>
            <w:noWrap/>
            <w:vAlign w:val="bottom"/>
            <w:hideMark/>
          </w:tcPr>
          <w:p w14:paraId="0CB576C7" w14:textId="77777777" w:rsidR="00802290" w:rsidRPr="000629BC" w:rsidRDefault="00802290" w:rsidP="00802290">
            <w:pPr>
              <w:pStyle w:val="TechnicalTable"/>
            </w:pPr>
            <w:r w:rsidRPr="000629BC">
              <w:t>20.0</w:t>
            </w:r>
          </w:p>
        </w:tc>
        <w:tc>
          <w:tcPr>
            <w:tcW w:w="901" w:type="dxa"/>
            <w:shd w:val="clear" w:color="auto" w:fill="FFFFFF" w:themeFill="background1"/>
            <w:vAlign w:val="bottom"/>
          </w:tcPr>
          <w:p w14:paraId="44D89AEA" w14:textId="77777777" w:rsidR="00802290" w:rsidRPr="000629BC" w:rsidRDefault="00802290" w:rsidP="00802290">
            <w:pPr>
              <w:pStyle w:val="TechnicalTable"/>
            </w:pPr>
            <w:r w:rsidRPr="000629BC">
              <w:t>33.0</w:t>
            </w:r>
          </w:p>
        </w:tc>
        <w:tc>
          <w:tcPr>
            <w:tcW w:w="1264" w:type="dxa"/>
            <w:shd w:val="clear" w:color="auto" w:fill="FFFFFF" w:themeFill="background1"/>
          </w:tcPr>
          <w:p w14:paraId="57BD316C" w14:textId="6C2328FD" w:rsidR="00802290" w:rsidRPr="000629BC" w:rsidRDefault="00802290" w:rsidP="00802290">
            <w:pPr>
              <w:pStyle w:val="TechnicalTable"/>
            </w:pPr>
            <w:r w:rsidRPr="000629BC">
              <w:t>24.4</w:t>
            </w:r>
          </w:p>
        </w:tc>
        <w:tc>
          <w:tcPr>
            <w:tcW w:w="1185" w:type="dxa"/>
            <w:shd w:val="clear" w:color="auto" w:fill="FFFFFF" w:themeFill="background1"/>
          </w:tcPr>
          <w:p w14:paraId="44BBCA44" w14:textId="3052F261" w:rsidR="00802290" w:rsidRPr="000629BC" w:rsidRDefault="00802290" w:rsidP="00802290">
            <w:pPr>
              <w:pStyle w:val="TechnicalTable"/>
            </w:pPr>
            <w:r>
              <w:t>June 2020</w:t>
            </w:r>
          </w:p>
        </w:tc>
        <w:tc>
          <w:tcPr>
            <w:tcW w:w="843" w:type="dxa"/>
            <w:shd w:val="clear" w:color="auto" w:fill="FFFFFF" w:themeFill="background1"/>
            <w:vAlign w:val="bottom"/>
          </w:tcPr>
          <w:p w14:paraId="734B6293" w14:textId="77777777" w:rsidR="00802290" w:rsidRPr="000629BC" w:rsidRDefault="00802290" w:rsidP="00802290">
            <w:pPr>
              <w:pStyle w:val="TechnicalTable"/>
            </w:pPr>
            <w:r w:rsidRPr="000629BC">
              <w:t>4.4</w:t>
            </w:r>
          </w:p>
        </w:tc>
      </w:tr>
      <w:tr w:rsidR="00802290" w:rsidRPr="000629BC" w14:paraId="65C61F1A" w14:textId="77777777" w:rsidTr="00802290">
        <w:trPr>
          <w:trHeight w:val="222"/>
        </w:trPr>
        <w:tc>
          <w:tcPr>
            <w:tcW w:w="1260" w:type="dxa"/>
            <w:shd w:val="clear" w:color="auto" w:fill="FFFFFF" w:themeFill="background1"/>
            <w:noWrap/>
            <w:hideMark/>
          </w:tcPr>
          <w:p w14:paraId="734F61A0" w14:textId="3949A3DA" w:rsidR="00802290" w:rsidRPr="000629BC" w:rsidRDefault="00802290" w:rsidP="00802290">
            <w:pPr>
              <w:pStyle w:val="TechnicalTable"/>
            </w:pPr>
            <w:r w:rsidRPr="000629BC">
              <w:t>72</w:t>
            </w:r>
          </w:p>
        </w:tc>
        <w:tc>
          <w:tcPr>
            <w:tcW w:w="1345" w:type="dxa"/>
            <w:shd w:val="clear" w:color="auto" w:fill="FFFFFF" w:themeFill="background1"/>
            <w:noWrap/>
            <w:vAlign w:val="bottom"/>
            <w:hideMark/>
          </w:tcPr>
          <w:p w14:paraId="47612738" w14:textId="77777777" w:rsidR="00802290" w:rsidRPr="000629BC" w:rsidRDefault="00802290" w:rsidP="00802290">
            <w:pPr>
              <w:pStyle w:val="TechnicalTable"/>
            </w:pPr>
            <w:r w:rsidRPr="000629BC">
              <w:t>1,600</w:t>
            </w:r>
          </w:p>
        </w:tc>
        <w:tc>
          <w:tcPr>
            <w:tcW w:w="966" w:type="dxa"/>
            <w:shd w:val="clear" w:color="auto" w:fill="FFFFFF" w:themeFill="background1"/>
            <w:noWrap/>
            <w:vAlign w:val="bottom"/>
            <w:hideMark/>
          </w:tcPr>
          <w:p w14:paraId="737194CB" w14:textId="77777777" w:rsidR="00802290" w:rsidRPr="000629BC" w:rsidRDefault="00802290" w:rsidP="00802290">
            <w:pPr>
              <w:pStyle w:val="TechnicalTable"/>
            </w:pPr>
            <w:r w:rsidRPr="000629BC">
              <w:t>29.1</w:t>
            </w:r>
          </w:p>
        </w:tc>
        <w:tc>
          <w:tcPr>
            <w:tcW w:w="901" w:type="dxa"/>
            <w:shd w:val="clear" w:color="auto" w:fill="FFFFFF" w:themeFill="background1"/>
            <w:vAlign w:val="bottom"/>
          </w:tcPr>
          <w:p w14:paraId="54C3609D" w14:textId="77777777" w:rsidR="00802290" w:rsidRPr="000629BC" w:rsidRDefault="00802290" w:rsidP="00802290">
            <w:pPr>
              <w:pStyle w:val="TechnicalTable"/>
            </w:pPr>
            <w:r w:rsidRPr="000629BC">
              <w:t>42.9</w:t>
            </w:r>
          </w:p>
        </w:tc>
        <w:tc>
          <w:tcPr>
            <w:tcW w:w="1264" w:type="dxa"/>
            <w:shd w:val="clear" w:color="auto" w:fill="FFFFFF" w:themeFill="background1"/>
          </w:tcPr>
          <w:p w14:paraId="66734880" w14:textId="1BE858CA" w:rsidR="00802290" w:rsidRPr="000629BC" w:rsidRDefault="00802290" w:rsidP="00802290">
            <w:pPr>
              <w:pStyle w:val="TechnicalTable"/>
            </w:pPr>
            <w:r w:rsidRPr="000629BC">
              <w:t>35.6</w:t>
            </w:r>
          </w:p>
        </w:tc>
        <w:tc>
          <w:tcPr>
            <w:tcW w:w="1185" w:type="dxa"/>
            <w:shd w:val="clear" w:color="auto" w:fill="FFFFFF" w:themeFill="background1"/>
          </w:tcPr>
          <w:p w14:paraId="665E3868" w14:textId="3BF57E30" w:rsidR="00802290" w:rsidRPr="000629BC" w:rsidRDefault="00802290" w:rsidP="00802290">
            <w:pPr>
              <w:pStyle w:val="TechnicalTable"/>
            </w:pPr>
            <w:r>
              <w:t>June 2020</w:t>
            </w:r>
          </w:p>
        </w:tc>
        <w:tc>
          <w:tcPr>
            <w:tcW w:w="843" w:type="dxa"/>
            <w:shd w:val="clear" w:color="auto" w:fill="FFFFFF" w:themeFill="background1"/>
            <w:vAlign w:val="bottom"/>
          </w:tcPr>
          <w:p w14:paraId="47A6D1A9" w14:textId="77777777" w:rsidR="00802290" w:rsidRPr="000629BC" w:rsidRDefault="00802290" w:rsidP="00802290">
            <w:pPr>
              <w:pStyle w:val="TechnicalTable"/>
            </w:pPr>
            <w:r w:rsidRPr="000629BC">
              <w:t>6.5</w:t>
            </w:r>
          </w:p>
        </w:tc>
      </w:tr>
      <w:tr w:rsidR="00802290" w:rsidRPr="000629BC" w14:paraId="2793F4B1" w14:textId="77777777" w:rsidTr="00802290">
        <w:trPr>
          <w:trHeight w:val="222"/>
        </w:trPr>
        <w:tc>
          <w:tcPr>
            <w:tcW w:w="1260" w:type="dxa"/>
            <w:shd w:val="clear" w:color="auto" w:fill="FFFFFF" w:themeFill="background1"/>
            <w:noWrap/>
            <w:hideMark/>
          </w:tcPr>
          <w:p w14:paraId="7CA4190F" w14:textId="314119A9" w:rsidR="00802290" w:rsidRPr="000629BC" w:rsidRDefault="00802290" w:rsidP="00802290">
            <w:pPr>
              <w:pStyle w:val="TechnicalTable"/>
            </w:pPr>
            <w:r w:rsidRPr="000629BC">
              <w:t>72</w:t>
            </w:r>
          </w:p>
        </w:tc>
        <w:tc>
          <w:tcPr>
            <w:tcW w:w="1345" w:type="dxa"/>
            <w:shd w:val="clear" w:color="auto" w:fill="FFFFFF" w:themeFill="background1"/>
            <w:noWrap/>
            <w:vAlign w:val="bottom"/>
            <w:hideMark/>
          </w:tcPr>
          <w:p w14:paraId="3E6254E0" w14:textId="77777777" w:rsidR="00802290" w:rsidRPr="000629BC" w:rsidRDefault="00802290" w:rsidP="00802290">
            <w:pPr>
              <w:pStyle w:val="TechnicalTable"/>
            </w:pPr>
            <w:r w:rsidRPr="000629BC">
              <w:t>2,000</w:t>
            </w:r>
          </w:p>
        </w:tc>
        <w:tc>
          <w:tcPr>
            <w:tcW w:w="966" w:type="dxa"/>
            <w:shd w:val="clear" w:color="auto" w:fill="FFFFFF" w:themeFill="background1"/>
            <w:noWrap/>
            <w:vAlign w:val="bottom"/>
            <w:hideMark/>
          </w:tcPr>
          <w:p w14:paraId="60521F40" w14:textId="77777777" w:rsidR="00802290" w:rsidRPr="000629BC" w:rsidRDefault="00802290" w:rsidP="00802290">
            <w:pPr>
              <w:pStyle w:val="TechnicalTable"/>
            </w:pPr>
            <w:r w:rsidRPr="000629BC">
              <w:t>36.4</w:t>
            </w:r>
          </w:p>
        </w:tc>
        <w:tc>
          <w:tcPr>
            <w:tcW w:w="901" w:type="dxa"/>
            <w:shd w:val="clear" w:color="auto" w:fill="FFFFFF" w:themeFill="background1"/>
            <w:vAlign w:val="bottom"/>
          </w:tcPr>
          <w:p w14:paraId="2B856F12" w14:textId="77777777" w:rsidR="00802290" w:rsidRPr="000629BC" w:rsidRDefault="00802290" w:rsidP="00802290">
            <w:pPr>
              <w:pStyle w:val="TechnicalTable"/>
            </w:pPr>
            <w:r w:rsidRPr="000629BC">
              <w:t>35.6</w:t>
            </w:r>
          </w:p>
        </w:tc>
        <w:tc>
          <w:tcPr>
            <w:tcW w:w="1264" w:type="dxa"/>
            <w:shd w:val="clear" w:color="auto" w:fill="FFFFFF" w:themeFill="background1"/>
          </w:tcPr>
          <w:p w14:paraId="7D97F441" w14:textId="3BA2FFFF" w:rsidR="00802290" w:rsidRPr="000629BC" w:rsidRDefault="00802290" w:rsidP="00802290">
            <w:pPr>
              <w:pStyle w:val="TechnicalTable"/>
            </w:pPr>
            <w:r w:rsidRPr="000629BC">
              <w:t>44.4</w:t>
            </w:r>
          </w:p>
        </w:tc>
        <w:tc>
          <w:tcPr>
            <w:tcW w:w="1185" w:type="dxa"/>
            <w:shd w:val="clear" w:color="auto" w:fill="FFFFFF" w:themeFill="background1"/>
          </w:tcPr>
          <w:p w14:paraId="3902C2D5" w14:textId="3B468AD1" w:rsidR="00802290" w:rsidRPr="000629BC" w:rsidRDefault="00802290" w:rsidP="00802290">
            <w:pPr>
              <w:pStyle w:val="TechnicalTable"/>
            </w:pPr>
            <w:r>
              <w:t>June 2020</w:t>
            </w:r>
          </w:p>
        </w:tc>
        <w:tc>
          <w:tcPr>
            <w:tcW w:w="843" w:type="dxa"/>
            <w:shd w:val="clear" w:color="auto" w:fill="FFFFFF" w:themeFill="background1"/>
            <w:vAlign w:val="bottom"/>
          </w:tcPr>
          <w:p w14:paraId="39F92F2F" w14:textId="77777777" w:rsidR="00802290" w:rsidRPr="000629BC" w:rsidRDefault="00802290" w:rsidP="00802290">
            <w:pPr>
              <w:pStyle w:val="TechnicalTable"/>
            </w:pPr>
            <w:r w:rsidRPr="000629BC">
              <w:t>8.0</w:t>
            </w:r>
          </w:p>
        </w:tc>
      </w:tr>
      <w:tr w:rsidR="00802290" w:rsidRPr="000629BC" w14:paraId="16E30436" w14:textId="77777777" w:rsidTr="00802290">
        <w:trPr>
          <w:trHeight w:val="222"/>
        </w:trPr>
        <w:tc>
          <w:tcPr>
            <w:tcW w:w="1260" w:type="dxa"/>
            <w:shd w:val="clear" w:color="auto" w:fill="FFFFFF" w:themeFill="background1"/>
            <w:noWrap/>
            <w:hideMark/>
          </w:tcPr>
          <w:p w14:paraId="721F033D" w14:textId="00DB5B86" w:rsidR="00802290" w:rsidRPr="000629BC" w:rsidRDefault="00802290" w:rsidP="00802290">
            <w:pPr>
              <w:pStyle w:val="TechnicalTable"/>
            </w:pPr>
            <w:r w:rsidRPr="000629BC">
              <w:t>150</w:t>
            </w:r>
          </w:p>
        </w:tc>
        <w:tc>
          <w:tcPr>
            <w:tcW w:w="1345" w:type="dxa"/>
            <w:shd w:val="clear" w:color="auto" w:fill="FFFFFF" w:themeFill="background1"/>
            <w:noWrap/>
            <w:vAlign w:val="bottom"/>
            <w:hideMark/>
          </w:tcPr>
          <w:p w14:paraId="2ACC2C4E" w14:textId="77777777" w:rsidR="00802290" w:rsidRPr="000629BC" w:rsidRDefault="00802290" w:rsidP="00802290">
            <w:pPr>
              <w:pStyle w:val="TechnicalTable"/>
            </w:pPr>
            <w:r w:rsidRPr="000629BC">
              <w:t>2,600</w:t>
            </w:r>
          </w:p>
        </w:tc>
        <w:tc>
          <w:tcPr>
            <w:tcW w:w="966" w:type="dxa"/>
            <w:shd w:val="clear" w:color="auto" w:fill="FFFFFF" w:themeFill="background1"/>
            <w:noWrap/>
            <w:vAlign w:val="bottom"/>
            <w:hideMark/>
          </w:tcPr>
          <w:p w14:paraId="49D3E797" w14:textId="77777777" w:rsidR="00802290" w:rsidRPr="000629BC" w:rsidRDefault="00802290" w:rsidP="00802290">
            <w:pPr>
              <w:pStyle w:val="TechnicalTable"/>
            </w:pPr>
            <w:r w:rsidRPr="000629BC">
              <w:t>47.3</w:t>
            </w:r>
          </w:p>
        </w:tc>
        <w:tc>
          <w:tcPr>
            <w:tcW w:w="901" w:type="dxa"/>
            <w:shd w:val="clear" w:color="auto" w:fill="FFFFFF" w:themeFill="background1"/>
            <w:vAlign w:val="bottom"/>
          </w:tcPr>
          <w:p w14:paraId="7FC1306C" w14:textId="77777777" w:rsidR="00802290" w:rsidRPr="000629BC" w:rsidRDefault="00802290" w:rsidP="00802290">
            <w:pPr>
              <w:pStyle w:val="TechnicalTable"/>
            </w:pPr>
            <w:r w:rsidRPr="000629BC">
              <w:t>102.7</w:t>
            </w:r>
          </w:p>
        </w:tc>
        <w:tc>
          <w:tcPr>
            <w:tcW w:w="1264" w:type="dxa"/>
            <w:shd w:val="clear" w:color="auto" w:fill="FFFFFF" w:themeFill="background1"/>
          </w:tcPr>
          <w:p w14:paraId="292BE978" w14:textId="77439F78" w:rsidR="00802290" w:rsidRPr="000629BC" w:rsidRDefault="00802290" w:rsidP="00802290">
            <w:pPr>
              <w:pStyle w:val="TechnicalTable"/>
            </w:pPr>
            <w:r w:rsidRPr="000629BC">
              <w:t>150</w:t>
            </w:r>
          </w:p>
        </w:tc>
        <w:tc>
          <w:tcPr>
            <w:tcW w:w="1185" w:type="dxa"/>
            <w:shd w:val="clear" w:color="auto" w:fill="FFFFFF" w:themeFill="background1"/>
          </w:tcPr>
          <w:p w14:paraId="316BAB80" w14:textId="49825CB8" w:rsidR="00802290" w:rsidRPr="000629BC" w:rsidRDefault="00802290" w:rsidP="00802290">
            <w:pPr>
              <w:pStyle w:val="TechnicalTable"/>
            </w:pPr>
            <w:r w:rsidRPr="000629BC">
              <w:t>Exempt</w:t>
            </w:r>
          </w:p>
        </w:tc>
        <w:tc>
          <w:tcPr>
            <w:tcW w:w="843" w:type="dxa"/>
            <w:shd w:val="clear" w:color="auto" w:fill="FFFFFF" w:themeFill="background1"/>
            <w:vAlign w:val="bottom"/>
          </w:tcPr>
          <w:p w14:paraId="0A9F288B" w14:textId="77777777" w:rsidR="00802290" w:rsidRPr="000629BC" w:rsidRDefault="00802290" w:rsidP="00802290">
            <w:pPr>
              <w:pStyle w:val="TechnicalTable"/>
            </w:pPr>
            <w:r w:rsidRPr="000629BC">
              <w:t>102.7</w:t>
            </w:r>
          </w:p>
        </w:tc>
      </w:tr>
    </w:tbl>
    <w:p w14:paraId="4991DEE0" w14:textId="77777777" w:rsidR="00D03D96" w:rsidRDefault="00D03D96" w:rsidP="0061368D">
      <w:pPr>
        <w:ind w:left="1440"/>
        <w:rPr>
          <w:rFonts w:cstheme="minorHAnsi"/>
          <w:noProof/>
        </w:rPr>
      </w:pPr>
    </w:p>
    <w:p w14:paraId="0D932651" w14:textId="77777777" w:rsidR="0061368D" w:rsidRDefault="0061368D" w:rsidP="0061368D">
      <w:pPr>
        <w:ind w:left="1440"/>
        <w:rPr>
          <w:rFonts w:cstheme="minorHAnsi"/>
          <w:noProof/>
        </w:rPr>
      </w:pPr>
      <w:r w:rsidRPr="000B7BB6">
        <w:rPr>
          <w:rFonts w:cstheme="minorHAnsi"/>
          <w:noProof/>
        </w:rPr>
        <w:t>ISR</w:t>
      </w:r>
      <w:r w:rsidRPr="000B7BB6">
        <w:rPr>
          <w:rFonts w:cstheme="minorHAnsi"/>
          <w:noProof/>
        </w:rPr>
        <w:tab/>
        <w:t xml:space="preserve"> </w:t>
      </w:r>
      <w:r w:rsidRPr="000B7BB6">
        <w:rPr>
          <w:rFonts w:cstheme="minorHAnsi"/>
          <w:noProof/>
        </w:rPr>
        <w:tab/>
        <w:t xml:space="preserve">= In Service </w:t>
      </w:r>
      <w:r>
        <w:rPr>
          <w:rFonts w:cstheme="minorHAnsi"/>
          <w:noProof/>
        </w:rPr>
        <w:t>Rate,</w:t>
      </w:r>
      <w:r w:rsidRPr="000B7BB6">
        <w:rPr>
          <w:rFonts w:cstheme="minorHAnsi"/>
          <w:noProof/>
        </w:rPr>
        <w:t xml:space="preserve"> the percentage of units rebated that </w:t>
      </w:r>
      <w:r>
        <w:rPr>
          <w:rFonts w:cstheme="minorHAnsi"/>
          <w:noProof/>
        </w:rPr>
        <w:t>are actually in service.</w:t>
      </w:r>
    </w:p>
    <w:tbl>
      <w:tblPr>
        <w:tblStyle w:val="TableGrid"/>
        <w:tblW w:w="7047" w:type="dxa"/>
        <w:jc w:val="center"/>
        <w:tblLook w:val="04A0" w:firstRow="1" w:lastRow="0" w:firstColumn="1" w:lastColumn="0" w:noHBand="0" w:noVBand="1"/>
      </w:tblPr>
      <w:tblGrid>
        <w:gridCol w:w="1977"/>
        <w:gridCol w:w="1438"/>
        <w:gridCol w:w="1235"/>
        <w:gridCol w:w="1235"/>
        <w:gridCol w:w="1162"/>
      </w:tblGrid>
      <w:tr w:rsidR="0061368D" w:rsidRPr="00EE68E7" w14:paraId="12BE74BD" w14:textId="77777777" w:rsidTr="00D03D96">
        <w:trPr>
          <w:jc w:val="center"/>
        </w:trPr>
        <w:tc>
          <w:tcPr>
            <w:tcW w:w="197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40A9845" w14:textId="77777777" w:rsidR="0061368D" w:rsidRPr="00EE68E7" w:rsidRDefault="0061368D" w:rsidP="00802290">
            <w:pPr>
              <w:keepNext/>
              <w:keepLines/>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Program</w:t>
            </w:r>
          </w:p>
        </w:tc>
        <w:tc>
          <w:tcPr>
            <w:tcW w:w="143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58068D6" w14:textId="77777777" w:rsidR="0061368D" w:rsidRPr="00EE68E7" w:rsidRDefault="0061368D" w:rsidP="00802290">
            <w:pPr>
              <w:keepNext/>
              <w:keepLines/>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Weighted Average 1</w:t>
            </w:r>
            <w:r w:rsidRPr="00EE68E7">
              <w:rPr>
                <w:rFonts w:asciiTheme="minorHAnsi" w:hAnsiTheme="minorHAnsi" w:cstheme="minorHAnsi"/>
                <w:b/>
                <w:noProof/>
                <w:color w:val="FFFFFF" w:themeColor="background1"/>
                <w:vertAlign w:val="superscript"/>
              </w:rPr>
              <w:t>st</w:t>
            </w:r>
            <w:r w:rsidRPr="00EE68E7">
              <w:rPr>
                <w:rFonts w:asciiTheme="minorHAnsi" w:hAnsiTheme="minorHAnsi" w:cstheme="minorHAnsi"/>
                <w:b/>
                <w:color w:val="FFFFFF" w:themeColor="background1"/>
              </w:rPr>
              <w:t xml:space="preserve"> year In Service Rate (ISR)</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2A427E16" w14:textId="77777777" w:rsidR="0061368D" w:rsidRPr="00EE68E7" w:rsidRDefault="0061368D" w:rsidP="00802290">
            <w:pPr>
              <w:keepNext/>
              <w:keepLines/>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2</w:t>
            </w:r>
            <w:r w:rsidRPr="00EE68E7">
              <w:rPr>
                <w:rFonts w:asciiTheme="minorHAnsi" w:hAnsiTheme="minorHAnsi" w:cstheme="minorHAnsi"/>
                <w:b/>
                <w:noProof/>
                <w:color w:val="FFFFFF" w:themeColor="background1"/>
                <w:vertAlign w:val="superscript"/>
              </w:rPr>
              <w:t>nd</w:t>
            </w:r>
            <w:r w:rsidRPr="00EE68E7">
              <w:rPr>
                <w:rFonts w:asciiTheme="minorHAnsi" w:hAnsiTheme="minorHAnsi" w:cstheme="minorHAnsi"/>
                <w:b/>
                <w:color w:val="FFFFFF" w:themeColor="background1"/>
              </w:rPr>
              <w:t xml:space="preserve"> year Installations</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53EBC923" w14:textId="77777777" w:rsidR="0061368D" w:rsidRPr="00EE68E7" w:rsidRDefault="0061368D" w:rsidP="00802290">
            <w:pPr>
              <w:keepNext/>
              <w:keepLines/>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3</w:t>
            </w:r>
            <w:r w:rsidRPr="00EE68E7">
              <w:rPr>
                <w:rFonts w:asciiTheme="minorHAnsi" w:hAnsiTheme="minorHAnsi" w:cstheme="minorHAnsi"/>
                <w:b/>
                <w:noProof/>
                <w:color w:val="FFFFFF" w:themeColor="background1"/>
                <w:vertAlign w:val="superscript"/>
              </w:rPr>
              <w:t>rd</w:t>
            </w:r>
            <w:r w:rsidRPr="00EE68E7">
              <w:rPr>
                <w:rFonts w:asciiTheme="minorHAnsi" w:hAnsiTheme="minorHAnsi" w:cstheme="minorHAnsi"/>
                <w:b/>
                <w:color w:val="FFFFFF" w:themeColor="background1"/>
              </w:rPr>
              <w:t xml:space="preserve"> year Installations</w:t>
            </w:r>
          </w:p>
        </w:tc>
        <w:tc>
          <w:tcPr>
            <w:tcW w:w="11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79037EE" w14:textId="77777777" w:rsidR="0061368D" w:rsidRPr="00EE68E7" w:rsidRDefault="0061368D" w:rsidP="00802290">
            <w:pPr>
              <w:keepNext/>
              <w:keepLines/>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Final Lifetime In Service Rate</w:t>
            </w:r>
          </w:p>
        </w:tc>
      </w:tr>
      <w:tr w:rsidR="0061368D" w:rsidRPr="00EE68E7" w14:paraId="6AB59AE0" w14:textId="77777777" w:rsidTr="00D03D96">
        <w:trPr>
          <w:trHeight w:val="467"/>
          <w:jc w:val="center"/>
        </w:trPr>
        <w:tc>
          <w:tcPr>
            <w:tcW w:w="1977" w:type="dxa"/>
            <w:tcBorders>
              <w:top w:val="single" w:sz="4" w:space="0" w:color="auto"/>
              <w:left w:val="single" w:sz="4" w:space="0" w:color="auto"/>
              <w:bottom w:val="single" w:sz="4" w:space="0" w:color="auto"/>
              <w:right w:val="single" w:sz="4" w:space="0" w:color="auto"/>
            </w:tcBorders>
            <w:vAlign w:val="center"/>
            <w:hideMark/>
          </w:tcPr>
          <w:p w14:paraId="2F9130E1" w14:textId="77777777" w:rsidR="0061368D" w:rsidRPr="00EE68E7" w:rsidRDefault="0061368D" w:rsidP="00D03D96">
            <w:pPr>
              <w:pStyle w:val="TableText"/>
            </w:pPr>
            <w:r w:rsidRPr="00EE68E7">
              <w:t>Retail (Time of Sale)</w:t>
            </w:r>
            <w:r>
              <w:t xml:space="preserve"> or Efficiency Kits</w:t>
            </w:r>
          </w:p>
        </w:tc>
        <w:tc>
          <w:tcPr>
            <w:tcW w:w="1438" w:type="dxa"/>
            <w:tcBorders>
              <w:top w:val="single" w:sz="4" w:space="0" w:color="auto"/>
              <w:left w:val="single" w:sz="4" w:space="0" w:color="auto"/>
              <w:bottom w:val="single" w:sz="4" w:space="0" w:color="auto"/>
              <w:right w:val="single" w:sz="4" w:space="0" w:color="auto"/>
            </w:tcBorders>
            <w:vAlign w:val="center"/>
            <w:hideMark/>
          </w:tcPr>
          <w:p w14:paraId="700D06BF" w14:textId="77777777" w:rsidR="0061368D" w:rsidRPr="00EE68E7" w:rsidRDefault="0061368D" w:rsidP="00D03D96">
            <w:pPr>
              <w:pStyle w:val="TableText"/>
            </w:pPr>
            <w:r w:rsidRPr="00EE68E7">
              <w:t>69.5%</w:t>
            </w:r>
            <w:r w:rsidRPr="00EE68E7">
              <w:rPr>
                <w:rStyle w:val="FootnoteReference"/>
                <w:rFonts w:asciiTheme="minorHAnsi" w:eastAsiaTheme="majorEastAsia" w:hAnsiTheme="minorHAnsi" w:cstheme="minorHAnsi"/>
              </w:rPr>
              <w:footnoteReference w:id="3"/>
            </w:r>
          </w:p>
        </w:tc>
        <w:tc>
          <w:tcPr>
            <w:tcW w:w="1235" w:type="dxa"/>
            <w:tcBorders>
              <w:top w:val="single" w:sz="4" w:space="0" w:color="auto"/>
              <w:left w:val="single" w:sz="4" w:space="0" w:color="auto"/>
              <w:bottom w:val="single" w:sz="4" w:space="0" w:color="auto"/>
              <w:right w:val="single" w:sz="4" w:space="0" w:color="auto"/>
            </w:tcBorders>
            <w:vAlign w:val="center"/>
          </w:tcPr>
          <w:p w14:paraId="3EC8B384" w14:textId="77777777" w:rsidR="0061368D" w:rsidRPr="00EE68E7" w:rsidRDefault="0061368D" w:rsidP="00D03D96">
            <w:pPr>
              <w:pStyle w:val="TableText"/>
            </w:pPr>
            <w:r w:rsidRPr="00EE68E7">
              <w:t>15.4%</w:t>
            </w:r>
          </w:p>
        </w:tc>
        <w:tc>
          <w:tcPr>
            <w:tcW w:w="1235" w:type="dxa"/>
            <w:tcBorders>
              <w:top w:val="single" w:sz="4" w:space="0" w:color="auto"/>
              <w:left w:val="single" w:sz="4" w:space="0" w:color="auto"/>
              <w:bottom w:val="single" w:sz="4" w:space="0" w:color="auto"/>
              <w:right w:val="single" w:sz="4" w:space="0" w:color="auto"/>
            </w:tcBorders>
            <w:vAlign w:val="center"/>
          </w:tcPr>
          <w:p w14:paraId="349B989C" w14:textId="77777777" w:rsidR="0061368D" w:rsidRPr="00EE68E7" w:rsidRDefault="0061368D" w:rsidP="00D03D96">
            <w:pPr>
              <w:pStyle w:val="TableText"/>
            </w:pPr>
            <w:r w:rsidRPr="00EE68E7">
              <w:t>13.1%</w:t>
            </w:r>
          </w:p>
        </w:tc>
        <w:tc>
          <w:tcPr>
            <w:tcW w:w="1162" w:type="dxa"/>
            <w:tcBorders>
              <w:top w:val="single" w:sz="4" w:space="0" w:color="auto"/>
              <w:left w:val="single" w:sz="4" w:space="0" w:color="auto"/>
              <w:bottom w:val="single" w:sz="4" w:space="0" w:color="auto"/>
              <w:right w:val="single" w:sz="4" w:space="0" w:color="auto"/>
            </w:tcBorders>
            <w:vAlign w:val="center"/>
          </w:tcPr>
          <w:p w14:paraId="503A615A" w14:textId="77777777" w:rsidR="0061368D" w:rsidRPr="00EE68E7" w:rsidRDefault="0061368D" w:rsidP="00D03D96">
            <w:pPr>
              <w:pStyle w:val="TableText"/>
            </w:pPr>
            <w:r w:rsidRPr="00EE68E7">
              <w:t>98.0%</w:t>
            </w:r>
            <w:r w:rsidRPr="00EE68E7">
              <w:rPr>
                <w:rStyle w:val="FootnoteReference"/>
                <w:rFonts w:asciiTheme="minorHAnsi" w:eastAsiaTheme="majorEastAsia" w:hAnsiTheme="minorHAnsi" w:cstheme="minorHAnsi"/>
              </w:rPr>
              <w:footnoteReference w:id="4"/>
            </w:r>
          </w:p>
        </w:tc>
      </w:tr>
      <w:tr w:rsidR="0061368D" w:rsidRPr="00EE68E7" w14:paraId="0F8C4FC4" w14:textId="77777777" w:rsidTr="00D03D96">
        <w:trPr>
          <w:trHeight w:val="260"/>
          <w:jc w:val="center"/>
        </w:trPr>
        <w:tc>
          <w:tcPr>
            <w:tcW w:w="1977" w:type="dxa"/>
            <w:tcBorders>
              <w:top w:val="single" w:sz="4" w:space="0" w:color="auto"/>
              <w:left w:val="single" w:sz="4" w:space="0" w:color="auto"/>
              <w:bottom w:val="single" w:sz="4" w:space="0" w:color="auto"/>
              <w:right w:val="single" w:sz="4" w:space="0" w:color="auto"/>
            </w:tcBorders>
            <w:vAlign w:val="center"/>
            <w:hideMark/>
          </w:tcPr>
          <w:p w14:paraId="540373C4" w14:textId="77777777" w:rsidR="0061368D" w:rsidRPr="00EE68E7" w:rsidRDefault="0061368D" w:rsidP="00D03D96">
            <w:pPr>
              <w:pStyle w:val="TableText"/>
            </w:pPr>
            <w:r w:rsidRPr="00EE68E7">
              <w:t>Direct Install</w:t>
            </w:r>
          </w:p>
        </w:tc>
        <w:tc>
          <w:tcPr>
            <w:tcW w:w="1438" w:type="dxa"/>
            <w:tcBorders>
              <w:top w:val="single" w:sz="4" w:space="0" w:color="auto"/>
              <w:left w:val="single" w:sz="4" w:space="0" w:color="auto"/>
              <w:bottom w:val="single" w:sz="4" w:space="0" w:color="auto"/>
              <w:right w:val="single" w:sz="4" w:space="0" w:color="auto"/>
            </w:tcBorders>
            <w:vAlign w:val="center"/>
            <w:hideMark/>
          </w:tcPr>
          <w:p w14:paraId="237D11BA" w14:textId="77777777" w:rsidR="0061368D" w:rsidRPr="00EE68E7" w:rsidRDefault="0061368D" w:rsidP="00D03D96">
            <w:pPr>
              <w:pStyle w:val="TableText"/>
            </w:pPr>
            <w:r w:rsidRPr="00EE68E7">
              <w:t>96.9%</w:t>
            </w:r>
            <w:r w:rsidRPr="00EE68E7">
              <w:rPr>
                <w:rStyle w:val="FootnoteReference"/>
                <w:rFonts w:asciiTheme="minorHAnsi" w:eastAsiaTheme="majorEastAsia" w:hAnsiTheme="minorHAnsi" w:cstheme="minorHAnsi"/>
              </w:rPr>
              <w:footnoteReference w:id="5"/>
            </w:r>
          </w:p>
        </w:tc>
        <w:tc>
          <w:tcPr>
            <w:tcW w:w="12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01DD926" w14:textId="77777777" w:rsidR="0061368D" w:rsidRPr="00EE68E7" w:rsidRDefault="0061368D" w:rsidP="00D03D96">
            <w:pPr>
              <w:pStyle w:val="TableText"/>
            </w:pPr>
          </w:p>
        </w:tc>
        <w:tc>
          <w:tcPr>
            <w:tcW w:w="12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42052B5" w14:textId="77777777" w:rsidR="0061368D" w:rsidRPr="00EE68E7" w:rsidRDefault="0061368D" w:rsidP="00D03D96">
            <w:pPr>
              <w:pStyle w:val="TableText"/>
            </w:pPr>
          </w:p>
        </w:tc>
        <w:tc>
          <w:tcPr>
            <w:tcW w:w="11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11C3AB" w14:textId="77777777" w:rsidR="0061368D" w:rsidRPr="00EE68E7" w:rsidRDefault="0061368D" w:rsidP="00D03D96">
            <w:pPr>
              <w:pStyle w:val="TableText"/>
            </w:pPr>
          </w:p>
        </w:tc>
      </w:tr>
    </w:tbl>
    <w:p w14:paraId="73E91DC5" w14:textId="77777777" w:rsidR="0061368D" w:rsidRPr="00A05FC2" w:rsidRDefault="0061368D" w:rsidP="0061368D">
      <w:pPr>
        <w:ind w:left="1440"/>
        <w:rPr>
          <w:rFonts w:cstheme="minorHAnsi"/>
          <w:noProof/>
        </w:rPr>
      </w:pPr>
      <w:r w:rsidRPr="000B7BB6">
        <w:rPr>
          <w:rFonts w:cstheme="minorHAnsi"/>
          <w:noProof/>
        </w:rPr>
        <w:lastRenderedPageBreak/>
        <w:t xml:space="preserve">Hours </w:t>
      </w:r>
      <w:r w:rsidRPr="000B7BB6">
        <w:rPr>
          <w:rFonts w:cstheme="minorHAnsi"/>
          <w:noProof/>
        </w:rPr>
        <w:tab/>
      </w:r>
      <w:r w:rsidRPr="000B7BB6">
        <w:rPr>
          <w:rFonts w:cstheme="minorHAnsi"/>
          <w:noProof/>
        </w:rPr>
        <w:tab/>
        <w:t>= Average hours of use per year</w:t>
      </w:r>
    </w:p>
    <w:tbl>
      <w:tblPr>
        <w:tblStyle w:val="TableGrid"/>
        <w:tblW w:w="0" w:type="auto"/>
        <w:tblInd w:w="2988" w:type="dxa"/>
        <w:tblLook w:val="04A0" w:firstRow="1" w:lastRow="0" w:firstColumn="1" w:lastColumn="0" w:noHBand="0" w:noVBand="1"/>
      </w:tblPr>
      <w:tblGrid>
        <w:gridCol w:w="3870"/>
        <w:gridCol w:w="1440"/>
      </w:tblGrid>
      <w:tr w:rsidR="0061368D" w:rsidRPr="00EE68E7" w14:paraId="4487623E" w14:textId="77777777" w:rsidTr="00D03D96">
        <w:tc>
          <w:tcPr>
            <w:tcW w:w="387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127FD29" w14:textId="77777777" w:rsidR="0061368D" w:rsidRPr="00EE68E7" w:rsidRDefault="0061368D" w:rsidP="00D03D96">
            <w:pPr>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Installation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627EBA2" w14:textId="77777777" w:rsidR="0061368D" w:rsidRPr="00EE68E7" w:rsidRDefault="0061368D" w:rsidP="00D03D96">
            <w:pPr>
              <w:spacing w:after="0"/>
              <w:jc w:val="center"/>
              <w:rPr>
                <w:rFonts w:asciiTheme="minorHAnsi" w:hAnsiTheme="minorHAnsi" w:cstheme="minorHAnsi"/>
                <w:b/>
                <w:color w:val="FFFFFF" w:themeColor="background1"/>
              </w:rPr>
            </w:pPr>
            <w:r w:rsidRPr="00EE68E7">
              <w:rPr>
                <w:rFonts w:asciiTheme="minorHAnsi" w:hAnsiTheme="minorHAnsi" w:cstheme="minorHAnsi"/>
                <w:b/>
                <w:color w:val="FFFFFF" w:themeColor="background1"/>
              </w:rPr>
              <w:t>Hours</w:t>
            </w:r>
          </w:p>
        </w:tc>
      </w:tr>
      <w:tr w:rsidR="0061368D" w:rsidRPr="00EE68E7" w14:paraId="0350E260" w14:textId="77777777" w:rsidTr="00D03D96">
        <w:trPr>
          <w:trHeight w:val="323"/>
        </w:trPr>
        <w:tc>
          <w:tcPr>
            <w:tcW w:w="3870" w:type="dxa"/>
            <w:tcBorders>
              <w:top w:val="single" w:sz="4" w:space="0" w:color="auto"/>
              <w:left w:val="single" w:sz="4" w:space="0" w:color="auto"/>
              <w:bottom w:val="single" w:sz="4" w:space="0" w:color="auto"/>
              <w:right w:val="single" w:sz="4" w:space="0" w:color="auto"/>
            </w:tcBorders>
            <w:hideMark/>
          </w:tcPr>
          <w:p w14:paraId="18D0CDCD" w14:textId="77777777" w:rsidR="0061368D" w:rsidRPr="00EE68E7" w:rsidRDefault="0061368D" w:rsidP="00D03D96">
            <w:pPr>
              <w:pStyle w:val="TableText"/>
            </w:pPr>
            <w:r w:rsidRPr="00EE68E7">
              <w:t>Residential and in-unit Multi Family</w:t>
            </w:r>
          </w:p>
        </w:tc>
        <w:tc>
          <w:tcPr>
            <w:tcW w:w="1440" w:type="dxa"/>
            <w:tcBorders>
              <w:top w:val="single" w:sz="4" w:space="0" w:color="auto"/>
              <w:left w:val="single" w:sz="4" w:space="0" w:color="auto"/>
              <w:bottom w:val="single" w:sz="4" w:space="0" w:color="auto"/>
              <w:right w:val="single" w:sz="4" w:space="0" w:color="auto"/>
            </w:tcBorders>
            <w:hideMark/>
          </w:tcPr>
          <w:p w14:paraId="1D73ECD1" w14:textId="77777777" w:rsidR="0061368D" w:rsidRPr="00EE68E7" w:rsidRDefault="0061368D" w:rsidP="00D03D96">
            <w:pPr>
              <w:pStyle w:val="TableText"/>
            </w:pPr>
            <w:r w:rsidRPr="00EE68E7">
              <w:t xml:space="preserve">938 </w:t>
            </w:r>
            <w:r w:rsidRPr="00EE68E7">
              <w:rPr>
                <w:rStyle w:val="FootnoteReference"/>
                <w:rFonts w:asciiTheme="minorHAnsi" w:eastAsiaTheme="majorEastAsia" w:hAnsiTheme="minorHAnsi" w:cstheme="minorHAnsi"/>
              </w:rPr>
              <w:footnoteReference w:id="6"/>
            </w:r>
          </w:p>
        </w:tc>
      </w:tr>
      <w:tr w:rsidR="0061368D" w:rsidRPr="00EE68E7" w14:paraId="64E86AD5" w14:textId="77777777" w:rsidTr="00D03D96">
        <w:tc>
          <w:tcPr>
            <w:tcW w:w="3870" w:type="dxa"/>
            <w:tcBorders>
              <w:top w:val="single" w:sz="4" w:space="0" w:color="auto"/>
              <w:left w:val="single" w:sz="4" w:space="0" w:color="auto"/>
              <w:bottom w:val="single" w:sz="4" w:space="0" w:color="auto"/>
              <w:right w:val="single" w:sz="4" w:space="0" w:color="auto"/>
            </w:tcBorders>
            <w:hideMark/>
          </w:tcPr>
          <w:p w14:paraId="51092530" w14:textId="77777777" w:rsidR="0061368D" w:rsidRPr="00EE68E7" w:rsidRDefault="0061368D" w:rsidP="00D03D96">
            <w:pPr>
              <w:pStyle w:val="TableText"/>
            </w:pPr>
            <w:r w:rsidRPr="00EE68E7">
              <w:t>Multi Family Common Areas</w:t>
            </w:r>
          </w:p>
        </w:tc>
        <w:tc>
          <w:tcPr>
            <w:tcW w:w="1440" w:type="dxa"/>
            <w:tcBorders>
              <w:top w:val="single" w:sz="4" w:space="0" w:color="auto"/>
              <w:left w:val="single" w:sz="4" w:space="0" w:color="auto"/>
              <w:bottom w:val="single" w:sz="4" w:space="0" w:color="auto"/>
              <w:right w:val="single" w:sz="4" w:space="0" w:color="auto"/>
            </w:tcBorders>
            <w:hideMark/>
          </w:tcPr>
          <w:p w14:paraId="66E471A3" w14:textId="77777777" w:rsidR="0061368D" w:rsidRPr="00EE68E7" w:rsidRDefault="0061368D" w:rsidP="00D03D96">
            <w:pPr>
              <w:pStyle w:val="TableText"/>
            </w:pPr>
            <w:r w:rsidRPr="00EE68E7">
              <w:t xml:space="preserve">5,950 </w:t>
            </w:r>
            <w:r w:rsidRPr="00EE68E7">
              <w:rPr>
                <w:rStyle w:val="FootnoteReference"/>
                <w:rFonts w:asciiTheme="minorHAnsi" w:eastAsiaTheme="majorEastAsia" w:hAnsiTheme="minorHAnsi" w:cstheme="minorHAnsi"/>
              </w:rPr>
              <w:footnoteReference w:id="7"/>
            </w:r>
          </w:p>
        </w:tc>
      </w:tr>
      <w:tr w:rsidR="0061368D" w:rsidRPr="00EE68E7" w14:paraId="2A8B0D84" w14:textId="77777777" w:rsidTr="00D03D96">
        <w:tc>
          <w:tcPr>
            <w:tcW w:w="3870" w:type="dxa"/>
            <w:tcBorders>
              <w:top w:val="single" w:sz="4" w:space="0" w:color="auto"/>
              <w:left w:val="single" w:sz="4" w:space="0" w:color="auto"/>
              <w:bottom w:val="single" w:sz="4" w:space="0" w:color="auto"/>
              <w:right w:val="single" w:sz="4" w:space="0" w:color="auto"/>
            </w:tcBorders>
          </w:tcPr>
          <w:p w14:paraId="43574771" w14:textId="77777777" w:rsidR="0061368D" w:rsidRPr="00EE68E7" w:rsidRDefault="0061368D" w:rsidP="00D03D96">
            <w:pPr>
              <w:pStyle w:val="TableText"/>
            </w:pPr>
            <w:r w:rsidRPr="00EE68E7">
              <w:t>Exterior</w:t>
            </w:r>
          </w:p>
        </w:tc>
        <w:tc>
          <w:tcPr>
            <w:tcW w:w="1440" w:type="dxa"/>
            <w:tcBorders>
              <w:top w:val="single" w:sz="4" w:space="0" w:color="auto"/>
              <w:left w:val="single" w:sz="4" w:space="0" w:color="auto"/>
              <w:bottom w:val="single" w:sz="4" w:space="0" w:color="auto"/>
              <w:right w:val="single" w:sz="4" w:space="0" w:color="auto"/>
            </w:tcBorders>
          </w:tcPr>
          <w:p w14:paraId="065CA0A2" w14:textId="77777777" w:rsidR="0061368D" w:rsidRPr="00EE68E7" w:rsidRDefault="0061368D" w:rsidP="00D03D96">
            <w:pPr>
              <w:pStyle w:val="TableText"/>
            </w:pPr>
            <w:r w:rsidRPr="00EE68E7">
              <w:t xml:space="preserve">1,825 </w:t>
            </w:r>
            <w:r w:rsidRPr="00EE68E7">
              <w:rPr>
                <w:rStyle w:val="FootnoteReference"/>
                <w:rFonts w:asciiTheme="minorHAnsi" w:eastAsiaTheme="majorEastAsia" w:hAnsiTheme="minorHAnsi" w:cstheme="minorHAnsi"/>
              </w:rPr>
              <w:footnoteReference w:id="8"/>
            </w:r>
          </w:p>
        </w:tc>
      </w:tr>
      <w:tr w:rsidR="0061368D" w:rsidRPr="00EE68E7" w14:paraId="46B8CC91" w14:textId="77777777" w:rsidTr="00D03D96">
        <w:tc>
          <w:tcPr>
            <w:tcW w:w="3870" w:type="dxa"/>
            <w:tcBorders>
              <w:top w:val="single" w:sz="4" w:space="0" w:color="auto"/>
              <w:left w:val="single" w:sz="4" w:space="0" w:color="auto"/>
              <w:bottom w:val="single" w:sz="4" w:space="0" w:color="auto"/>
              <w:right w:val="single" w:sz="4" w:space="0" w:color="auto"/>
            </w:tcBorders>
          </w:tcPr>
          <w:p w14:paraId="3392504E" w14:textId="77777777" w:rsidR="0061368D" w:rsidRPr="00EE68E7" w:rsidRDefault="0061368D" w:rsidP="00D03D96">
            <w:pPr>
              <w:pStyle w:val="TableText"/>
            </w:pPr>
            <w:r w:rsidRPr="00EE68E7">
              <w:t>Unknown</w:t>
            </w:r>
          </w:p>
        </w:tc>
        <w:tc>
          <w:tcPr>
            <w:tcW w:w="1440" w:type="dxa"/>
            <w:tcBorders>
              <w:top w:val="single" w:sz="4" w:space="0" w:color="auto"/>
              <w:left w:val="single" w:sz="4" w:space="0" w:color="auto"/>
              <w:bottom w:val="single" w:sz="4" w:space="0" w:color="auto"/>
              <w:right w:val="single" w:sz="4" w:space="0" w:color="auto"/>
            </w:tcBorders>
          </w:tcPr>
          <w:p w14:paraId="0F1F8187" w14:textId="77777777" w:rsidR="0061368D" w:rsidRPr="00EE68E7" w:rsidRDefault="0061368D" w:rsidP="00D03D96">
            <w:pPr>
              <w:pStyle w:val="TableText"/>
            </w:pPr>
            <w:r w:rsidRPr="00EE68E7">
              <w:t xml:space="preserve">1,000 </w:t>
            </w:r>
            <w:r w:rsidRPr="00EE68E7">
              <w:rPr>
                <w:rStyle w:val="FootnoteReference"/>
                <w:rFonts w:asciiTheme="minorHAnsi" w:eastAsiaTheme="majorEastAsia" w:hAnsiTheme="minorHAnsi" w:cstheme="minorHAnsi"/>
              </w:rPr>
              <w:footnoteReference w:id="9"/>
            </w:r>
          </w:p>
        </w:tc>
      </w:tr>
    </w:tbl>
    <w:p w14:paraId="3A8CBD2E" w14:textId="77777777" w:rsidR="0061368D" w:rsidRPr="000B7BB6" w:rsidRDefault="0061368D" w:rsidP="0061368D">
      <w:pPr>
        <w:ind w:left="1440" w:hanging="720"/>
        <w:rPr>
          <w:rFonts w:cstheme="minorHAnsi"/>
        </w:rPr>
      </w:pPr>
      <w:r w:rsidRPr="000B7BB6">
        <w:rPr>
          <w:rFonts w:cstheme="minorHAnsi"/>
          <w:noProof/>
        </w:rPr>
        <w:tab/>
      </w:r>
      <w:r w:rsidRPr="000B7BB6">
        <w:rPr>
          <w:rFonts w:cstheme="minorHAnsi"/>
          <w:noProof/>
        </w:rPr>
        <w:tab/>
      </w:r>
      <w:r w:rsidRPr="000B7BB6">
        <w:rPr>
          <w:rFonts w:cstheme="minorHAnsi"/>
          <w:noProof/>
        </w:rPr>
        <w:tab/>
      </w:r>
    </w:p>
    <w:p w14:paraId="5231C380" w14:textId="77777777" w:rsidR="00802290" w:rsidRPr="000B7BB6" w:rsidRDefault="00802290" w:rsidP="0005038D">
      <w:pPr>
        <w:widowControl/>
        <w:spacing w:after="0"/>
        <w:ind w:left="2160" w:hanging="720"/>
        <w:jc w:val="left"/>
        <w:rPr>
          <w:rFonts w:cstheme="minorHAnsi"/>
          <w:noProof/>
        </w:rPr>
      </w:pPr>
      <w:r w:rsidRPr="000B7BB6">
        <w:rPr>
          <w:rFonts w:cstheme="minorHAnsi"/>
          <w:noProof/>
        </w:rPr>
        <w:t>WHFe</w:t>
      </w:r>
      <w:r w:rsidRPr="000B7BB6">
        <w:rPr>
          <w:rFonts w:cstheme="minorHAnsi"/>
          <w:noProof/>
        </w:rPr>
        <w:tab/>
        <w:t xml:space="preserve">= Waste heat factor for energy to account for cooling energy savings from efficient lighting </w:t>
      </w:r>
    </w:p>
    <w:tbl>
      <w:tblPr>
        <w:tblStyle w:val="TableGrid"/>
        <w:tblW w:w="0" w:type="auto"/>
        <w:tblInd w:w="2988" w:type="dxa"/>
        <w:tblLook w:val="04A0" w:firstRow="1" w:lastRow="0" w:firstColumn="1" w:lastColumn="0" w:noHBand="0" w:noVBand="1"/>
      </w:tblPr>
      <w:tblGrid>
        <w:gridCol w:w="3888"/>
        <w:gridCol w:w="1440"/>
      </w:tblGrid>
      <w:tr w:rsidR="0061368D" w:rsidRPr="00EE68E7" w14:paraId="1AE3B3D4" w14:textId="77777777" w:rsidTr="00D03D96">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F948009" w14:textId="77777777" w:rsidR="0061368D" w:rsidRPr="00D03D96" w:rsidRDefault="0061368D" w:rsidP="00D03D96">
            <w:pPr>
              <w:keepNext/>
              <w:spacing w:after="0"/>
              <w:jc w:val="center"/>
              <w:rPr>
                <w:color w:val="FFFFFF" w:themeColor="background1"/>
              </w:rPr>
            </w:pPr>
            <w:r w:rsidRPr="00D03D96">
              <w:rPr>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F00C072" w14:textId="77777777" w:rsidR="0061368D" w:rsidRPr="00D03D96" w:rsidRDefault="0061368D" w:rsidP="00D03D96">
            <w:pPr>
              <w:keepNext/>
              <w:spacing w:after="0"/>
              <w:jc w:val="center"/>
              <w:rPr>
                <w:color w:val="FFFFFF" w:themeColor="background1"/>
              </w:rPr>
            </w:pPr>
            <w:proofErr w:type="spellStart"/>
            <w:r w:rsidRPr="00D03D96">
              <w:rPr>
                <w:color w:val="FFFFFF" w:themeColor="background1"/>
              </w:rPr>
              <w:t>WHFe</w:t>
            </w:r>
            <w:proofErr w:type="spellEnd"/>
          </w:p>
        </w:tc>
      </w:tr>
      <w:tr w:rsidR="0061368D" w:rsidRPr="00EE68E7" w14:paraId="054C8C3E" w14:textId="77777777" w:rsidTr="00D03D96">
        <w:tc>
          <w:tcPr>
            <w:tcW w:w="3888" w:type="dxa"/>
            <w:tcBorders>
              <w:top w:val="single" w:sz="4" w:space="0" w:color="auto"/>
              <w:left w:val="single" w:sz="4" w:space="0" w:color="auto"/>
              <w:bottom w:val="single" w:sz="4" w:space="0" w:color="auto"/>
              <w:right w:val="single" w:sz="4" w:space="0" w:color="auto"/>
            </w:tcBorders>
            <w:hideMark/>
          </w:tcPr>
          <w:p w14:paraId="2C767A66" w14:textId="77777777" w:rsidR="0061368D" w:rsidRPr="00EE68E7" w:rsidRDefault="0061368D" w:rsidP="00D03D96">
            <w:pPr>
              <w:pStyle w:val="TableText"/>
              <w:keepNext/>
              <w:keepLines/>
            </w:pPr>
            <w:r w:rsidRPr="00EE68E7">
              <w:t>Interior single family or unknown location</w:t>
            </w:r>
          </w:p>
        </w:tc>
        <w:tc>
          <w:tcPr>
            <w:tcW w:w="1440" w:type="dxa"/>
            <w:tcBorders>
              <w:top w:val="single" w:sz="4" w:space="0" w:color="auto"/>
              <w:left w:val="single" w:sz="4" w:space="0" w:color="auto"/>
              <w:bottom w:val="single" w:sz="4" w:space="0" w:color="auto"/>
              <w:right w:val="single" w:sz="4" w:space="0" w:color="auto"/>
            </w:tcBorders>
            <w:hideMark/>
          </w:tcPr>
          <w:p w14:paraId="58425F3D" w14:textId="77777777" w:rsidR="0061368D" w:rsidRPr="00EE68E7" w:rsidRDefault="0061368D" w:rsidP="00D03D96">
            <w:pPr>
              <w:pStyle w:val="TableText"/>
              <w:keepNext/>
              <w:keepLines/>
            </w:pPr>
            <w:r w:rsidRPr="00EE68E7">
              <w:t xml:space="preserve">1.06 </w:t>
            </w:r>
            <w:r w:rsidRPr="00EE68E7">
              <w:rPr>
                <w:rStyle w:val="FootnoteReference"/>
                <w:rFonts w:asciiTheme="minorHAnsi" w:eastAsiaTheme="majorEastAsia" w:hAnsiTheme="minorHAnsi" w:cstheme="minorHAnsi"/>
              </w:rPr>
              <w:footnoteReference w:id="10"/>
            </w:r>
          </w:p>
        </w:tc>
      </w:tr>
      <w:tr w:rsidR="0061368D" w:rsidRPr="00EE68E7" w14:paraId="772ABF03" w14:textId="77777777" w:rsidTr="00D03D96">
        <w:tc>
          <w:tcPr>
            <w:tcW w:w="3888" w:type="dxa"/>
            <w:tcBorders>
              <w:top w:val="single" w:sz="4" w:space="0" w:color="auto"/>
              <w:left w:val="single" w:sz="4" w:space="0" w:color="auto"/>
              <w:bottom w:val="single" w:sz="4" w:space="0" w:color="auto"/>
              <w:right w:val="single" w:sz="4" w:space="0" w:color="auto"/>
            </w:tcBorders>
            <w:hideMark/>
          </w:tcPr>
          <w:p w14:paraId="64ACDB45" w14:textId="77777777" w:rsidR="0061368D" w:rsidRPr="00EE68E7" w:rsidRDefault="0061368D" w:rsidP="00D03D96">
            <w:pPr>
              <w:pStyle w:val="TableText"/>
              <w:keepNext/>
              <w:keepLines/>
            </w:pPr>
            <w:r w:rsidRPr="00EE68E7">
              <w:t>Multi family in unit</w:t>
            </w:r>
          </w:p>
        </w:tc>
        <w:tc>
          <w:tcPr>
            <w:tcW w:w="1440" w:type="dxa"/>
            <w:tcBorders>
              <w:top w:val="single" w:sz="4" w:space="0" w:color="auto"/>
              <w:left w:val="single" w:sz="4" w:space="0" w:color="auto"/>
              <w:bottom w:val="single" w:sz="4" w:space="0" w:color="auto"/>
              <w:right w:val="single" w:sz="4" w:space="0" w:color="auto"/>
            </w:tcBorders>
            <w:hideMark/>
          </w:tcPr>
          <w:p w14:paraId="5664E179" w14:textId="77777777" w:rsidR="0061368D" w:rsidRPr="00EE68E7" w:rsidRDefault="0061368D" w:rsidP="00D03D96">
            <w:pPr>
              <w:pStyle w:val="TableText"/>
              <w:keepNext/>
              <w:keepLines/>
            </w:pPr>
            <w:r w:rsidRPr="00EE68E7">
              <w:t xml:space="preserve">1.04 </w:t>
            </w:r>
            <w:r w:rsidRPr="00EE68E7">
              <w:rPr>
                <w:rStyle w:val="FootnoteReference"/>
                <w:rFonts w:asciiTheme="minorHAnsi" w:eastAsiaTheme="majorEastAsia" w:hAnsiTheme="minorHAnsi" w:cstheme="minorHAnsi"/>
              </w:rPr>
              <w:footnoteReference w:id="11"/>
            </w:r>
          </w:p>
        </w:tc>
      </w:tr>
      <w:tr w:rsidR="0061368D" w:rsidRPr="00EE68E7" w14:paraId="7C471848" w14:textId="77777777" w:rsidTr="00D03D96">
        <w:tc>
          <w:tcPr>
            <w:tcW w:w="3888" w:type="dxa"/>
            <w:tcBorders>
              <w:top w:val="single" w:sz="4" w:space="0" w:color="auto"/>
              <w:left w:val="single" w:sz="4" w:space="0" w:color="auto"/>
              <w:bottom w:val="single" w:sz="4" w:space="0" w:color="auto"/>
              <w:right w:val="single" w:sz="4" w:space="0" w:color="auto"/>
            </w:tcBorders>
            <w:hideMark/>
          </w:tcPr>
          <w:p w14:paraId="3DEED10C" w14:textId="77777777" w:rsidR="0061368D" w:rsidRPr="00EE68E7" w:rsidRDefault="0061368D" w:rsidP="00D03D96">
            <w:pPr>
              <w:pStyle w:val="TableText"/>
              <w:keepNext/>
              <w:keepLines/>
            </w:pPr>
            <w:r w:rsidRPr="00EE68E7">
              <w:t>Multi family common area</w:t>
            </w:r>
          </w:p>
        </w:tc>
        <w:tc>
          <w:tcPr>
            <w:tcW w:w="1440" w:type="dxa"/>
            <w:tcBorders>
              <w:top w:val="single" w:sz="4" w:space="0" w:color="auto"/>
              <w:left w:val="single" w:sz="4" w:space="0" w:color="auto"/>
              <w:bottom w:val="single" w:sz="4" w:space="0" w:color="auto"/>
              <w:right w:val="single" w:sz="4" w:space="0" w:color="auto"/>
            </w:tcBorders>
            <w:hideMark/>
          </w:tcPr>
          <w:p w14:paraId="0DD6960D" w14:textId="77777777" w:rsidR="0061368D" w:rsidRPr="00EE68E7" w:rsidRDefault="0061368D" w:rsidP="00D03D96">
            <w:pPr>
              <w:pStyle w:val="TableText"/>
              <w:keepNext/>
              <w:keepLines/>
            </w:pPr>
            <w:r w:rsidRPr="00EE68E7">
              <w:t xml:space="preserve">1.04 </w:t>
            </w:r>
            <w:r w:rsidRPr="00EE68E7">
              <w:rPr>
                <w:rStyle w:val="FootnoteReference"/>
                <w:rFonts w:asciiTheme="minorHAnsi" w:eastAsiaTheme="majorEastAsia" w:hAnsiTheme="minorHAnsi" w:cstheme="minorHAnsi"/>
              </w:rPr>
              <w:footnoteReference w:id="12"/>
            </w:r>
          </w:p>
        </w:tc>
      </w:tr>
      <w:tr w:rsidR="0061368D" w:rsidRPr="00EE68E7" w14:paraId="057ED83B" w14:textId="77777777" w:rsidTr="00D03D96">
        <w:tc>
          <w:tcPr>
            <w:tcW w:w="3888" w:type="dxa"/>
            <w:tcBorders>
              <w:top w:val="single" w:sz="4" w:space="0" w:color="auto"/>
              <w:left w:val="single" w:sz="4" w:space="0" w:color="auto"/>
              <w:bottom w:val="single" w:sz="4" w:space="0" w:color="auto"/>
              <w:right w:val="single" w:sz="4" w:space="0" w:color="auto"/>
            </w:tcBorders>
            <w:hideMark/>
          </w:tcPr>
          <w:p w14:paraId="4E7B7EC3" w14:textId="77777777" w:rsidR="0061368D" w:rsidRPr="00EE68E7" w:rsidRDefault="0061368D" w:rsidP="00D03D96">
            <w:pPr>
              <w:pStyle w:val="TableText"/>
              <w:keepNext/>
              <w:keepLines/>
            </w:pPr>
            <w:r w:rsidRPr="00EE68E7">
              <w:t>Exterior or uncooled location</w:t>
            </w:r>
          </w:p>
        </w:tc>
        <w:tc>
          <w:tcPr>
            <w:tcW w:w="1440" w:type="dxa"/>
            <w:tcBorders>
              <w:top w:val="single" w:sz="4" w:space="0" w:color="auto"/>
              <w:left w:val="single" w:sz="4" w:space="0" w:color="auto"/>
              <w:bottom w:val="single" w:sz="4" w:space="0" w:color="auto"/>
              <w:right w:val="single" w:sz="4" w:space="0" w:color="auto"/>
            </w:tcBorders>
            <w:hideMark/>
          </w:tcPr>
          <w:p w14:paraId="72BADB60" w14:textId="77777777" w:rsidR="0061368D" w:rsidRPr="00EE68E7" w:rsidRDefault="0061368D" w:rsidP="00D03D96">
            <w:pPr>
              <w:pStyle w:val="TableText"/>
              <w:keepNext/>
              <w:keepLines/>
            </w:pPr>
            <w:r w:rsidRPr="00EE68E7">
              <w:t>1.0</w:t>
            </w:r>
          </w:p>
        </w:tc>
      </w:tr>
    </w:tbl>
    <w:p w14:paraId="6E3A07B4" w14:textId="77777777" w:rsidR="0061368D" w:rsidRPr="00A05FC2" w:rsidRDefault="0061368D" w:rsidP="0061368D">
      <w:pPr>
        <w:ind w:left="2160" w:firstLine="720"/>
        <w:rPr>
          <w:rFonts w:cstheme="minorHAnsi"/>
          <w:noProof/>
        </w:rPr>
      </w:pPr>
    </w:p>
    <w:p w14:paraId="063A87EA" w14:textId="77777777" w:rsidR="00857EAD" w:rsidRPr="00070B38" w:rsidRDefault="00857EAD" w:rsidP="00857EAD">
      <w:pPr>
        <w:rPr>
          <w:rFonts w:cstheme="minorHAnsi"/>
          <w:b/>
        </w:rPr>
      </w:pPr>
      <w:r w:rsidRPr="00070B38">
        <w:rPr>
          <w:rFonts w:cstheme="minorHAnsi"/>
          <w:b/>
        </w:rPr>
        <w:lastRenderedPageBreak/>
        <w:t>Mid Life Baseline Adjustment</w:t>
      </w:r>
    </w:p>
    <w:p w14:paraId="0E7CD75B" w14:textId="58641106" w:rsidR="00857EAD" w:rsidRPr="00070B38" w:rsidRDefault="00857EAD" w:rsidP="00857EAD">
      <w:pPr>
        <w:rPr>
          <w:rFonts w:cstheme="minorHAnsi"/>
        </w:rPr>
      </w:pPr>
      <w:r w:rsidRPr="00070B38">
        <w:rPr>
          <w:rFonts w:cstheme="minorHAnsi"/>
        </w:rPr>
        <w:t>During the lifetime of a</w:t>
      </w:r>
      <w:r>
        <w:rPr>
          <w:rFonts w:cstheme="minorHAnsi"/>
        </w:rPr>
        <w:t xml:space="preserve"> standard</w:t>
      </w:r>
      <w:r w:rsidRPr="00070B38">
        <w:rPr>
          <w:rFonts w:cstheme="minorHAnsi"/>
        </w:rPr>
        <w:t xml:space="preserve"> </w:t>
      </w:r>
      <w:r>
        <w:rPr>
          <w:rFonts w:cstheme="minorHAnsi"/>
        </w:rPr>
        <w:t>Omnidirectional LED</w:t>
      </w:r>
      <w:r w:rsidRPr="00070B38">
        <w:rPr>
          <w:rFonts w:cstheme="minorHAnsi"/>
        </w:rPr>
        <w:t xml:space="preserve">, </w:t>
      </w:r>
      <w:r>
        <w:rPr>
          <w:rFonts w:cstheme="minorHAnsi"/>
        </w:rPr>
        <w:t>the</w:t>
      </w:r>
      <w:r w:rsidRPr="00070B38">
        <w:rPr>
          <w:rFonts w:cstheme="minorHAnsi"/>
        </w:rPr>
        <w:t xml:space="preserve"> baseline incandescent</w:t>
      </w:r>
      <w:r w:rsidR="00B21E6D">
        <w:rPr>
          <w:rFonts w:cstheme="minorHAnsi"/>
        </w:rPr>
        <w:t>/halogen</w:t>
      </w:r>
      <w:r w:rsidRPr="00070B38">
        <w:rPr>
          <w:rFonts w:cstheme="minorHAnsi"/>
        </w:rPr>
        <w:t xml:space="preserve"> bulb would need to be replaced multiple times. Since the baseline bulb changes over time </w:t>
      </w:r>
      <w:r>
        <w:rPr>
          <w:rFonts w:cstheme="minorHAnsi"/>
        </w:rPr>
        <w:t xml:space="preserve">(except for </w:t>
      </w:r>
      <w:r w:rsidR="00B21E6D">
        <w:rPr>
          <w:rFonts w:cstheme="minorHAnsi"/>
        </w:rPr>
        <w:t xml:space="preserve">&lt;300 and </w:t>
      </w:r>
      <w:r>
        <w:rPr>
          <w:rFonts w:cstheme="minorHAnsi"/>
        </w:rPr>
        <w:t xml:space="preserve">2600+ lumen </w:t>
      </w:r>
      <w:r w:rsidR="00B21E6D">
        <w:rPr>
          <w:rFonts w:cstheme="minorHAnsi"/>
        </w:rPr>
        <w:t>lamps</w:t>
      </w:r>
      <w:r>
        <w:rPr>
          <w:rFonts w:cstheme="minorHAnsi"/>
        </w:rPr>
        <w:t xml:space="preserve">) </w:t>
      </w:r>
      <w:r w:rsidRPr="00070B38">
        <w:rPr>
          <w:rFonts w:cstheme="minorHAnsi"/>
        </w:rPr>
        <w:t xml:space="preserve">the annual savings claim must be reduced within the life of the measure to account for this baseline shift.  </w:t>
      </w:r>
    </w:p>
    <w:p w14:paraId="665E6C23" w14:textId="33E0FB8D" w:rsidR="00857EAD" w:rsidRPr="00070B38" w:rsidRDefault="00857EAD" w:rsidP="00857EAD">
      <w:pPr>
        <w:rPr>
          <w:rFonts w:cstheme="minorHAnsi"/>
        </w:rPr>
      </w:pPr>
      <w:r w:rsidRPr="00070B38">
        <w:rPr>
          <w:rFonts w:cstheme="minorHAnsi"/>
        </w:rPr>
        <w:t>For example, for 60W equivalent bulbs installed in 20</w:t>
      </w:r>
      <w:r w:rsidR="00D03D96">
        <w:rPr>
          <w:rFonts w:cstheme="minorHAnsi"/>
        </w:rPr>
        <w:t>14</w:t>
      </w:r>
      <w:r w:rsidRPr="00070B38">
        <w:rPr>
          <w:rFonts w:cstheme="minorHAnsi"/>
        </w:rPr>
        <w:t>, the full savings (as calculated above in the Algorithm) sho</w:t>
      </w:r>
      <w:r w:rsidR="00D03D96">
        <w:rPr>
          <w:rFonts w:cstheme="minorHAnsi"/>
        </w:rPr>
        <w:t>uld be claimed for the first six</w:t>
      </w:r>
      <w:r w:rsidRPr="00070B38">
        <w:rPr>
          <w:rFonts w:cstheme="minorHAnsi"/>
        </w:rPr>
        <w:t xml:space="preserve"> years, but a reduced annual savings </w:t>
      </w:r>
      <w:r>
        <w:rPr>
          <w:rFonts w:cstheme="minorHAnsi"/>
        </w:rPr>
        <w:t xml:space="preserve">(calculated energy savings above </w:t>
      </w:r>
      <w:r w:rsidR="00D03D96">
        <w:rPr>
          <w:rFonts w:cstheme="minorHAnsi"/>
        </w:rPr>
        <w:t>multiplied</w:t>
      </w:r>
      <w:r>
        <w:rPr>
          <w:rFonts w:cstheme="minorHAnsi"/>
        </w:rPr>
        <w:t xml:space="preserve"> by the adjustment factor in the table below) </w:t>
      </w:r>
      <w:r w:rsidRPr="00070B38">
        <w:rPr>
          <w:rFonts w:cstheme="minorHAnsi"/>
        </w:rPr>
        <w:t xml:space="preserve">claimed for the remainder of the measure life. </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5"/>
        <w:gridCol w:w="1553"/>
        <w:gridCol w:w="1238"/>
        <w:gridCol w:w="1193"/>
        <w:gridCol w:w="1956"/>
        <w:gridCol w:w="1260"/>
      </w:tblGrid>
      <w:tr w:rsidR="00D03D96" w:rsidRPr="00653FE5" w14:paraId="3DAD6233" w14:textId="77777777" w:rsidTr="00A447EC">
        <w:trPr>
          <w:trHeight w:val="1275"/>
          <w:tblHeader/>
          <w:jc w:val="center"/>
        </w:trPr>
        <w:tc>
          <w:tcPr>
            <w:tcW w:w="1705" w:type="dxa"/>
            <w:shd w:val="clear" w:color="auto" w:fill="7F7F7F" w:themeFill="text1" w:themeFillTint="80"/>
            <w:vAlign w:val="bottom"/>
            <w:hideMark/>
          </w:tcPr>
          <w:p w14:paraId="4E370E50" w14:textId="77777777" w:rsidR="00D03D96" w:rsidRPr="00316ADC" w:rsidRDefault="00D03D96" w:rsidP="00E472E8">
            <w:pPr>
              <w:pStyle w:val="TableHeading"/>
            </w:pPr>
            <w:r w:rsidRPr="00653FE5">
              <w:t>Nominal wattage of lamp to be replaced</w:t>
            </w:r>
          </w:p>
          <w:p w14:paraId="312CECAE" w14:textId="77777777" w:rsidR="00D03D96" w:rsidRPr="00653FE5" w:rsidRDefault="00D03D96" w:rsidP="00E472E8">
            <w:pPr>
              <w:pStyle w:val="TableHeading"/>
            </w:pPr>
            <w:r w:rsidRPr="00316ADC">
              <w:t>(Watts</w:t>
            </w:r>
            <w:r w:rsidRPr="00316ADC">
              <w:rPr>
                <w:vertAlign w:val="subscript"/>
              </w:rPr>
              <w:t>base</w:t>
            </w:r>
            <w:r w:rsidRPr="00316ADC">
              <w:t>)</w:t>
            </w:r>
          </w:p>
        </w:tc>
        <w:tc>
          <w:tcPr>
            <w:tcW w:w="1553" w:type="dxa"/>
            <w:shd w:val="clear" w:color="auto" w:fill="7F7F7F" w:themeFill="text1" w:themeFillTint="80"/>
            <w:vAlign w:val="bottom"/>
            <w:hideMark/>
          </w:tcPr>
          <w:p w14:paraId="23808BFB" w14:textId="77777777" w:rsidR="00D03D96" w:rsidRPr="00653FE5" w:rsidRDefault="00D03D96" w:rsidP="00E472E8">
            <w:pPr>
              <w:pStyle w:val="TableHeading"/>
            </w:pPr>
            <w:r w:rsidRPr="00653FE5">
              <w:t>Minimum initial light output of LED lamp (lumens)</w:t>
            </w:r>
          </w:p>
        </w:tc>
        <w:tc>
          <w:tcPr>
            <w:tcW w:w="1238" w:type="dxa"/>
            <w:shd w:val="clear" w:color="auto" w:fill="7F7F7F" w:themeFill="text1" w:themeFillTint="80"/>
            <w:vAlign w:val="bottom"/>
          </w:tcPr>
          <w:p w14:paraId="71A26380" w14:textId="77777777" w:rsidR="00D03D96" w:rsidRPr="00653FE5" w:rsidRDefault="00D03D96" w:rsidP="00E472E8">
            <w:pPr>
              <w:pStyle w:val="TableHeading"/>
            </w:pPr>
            <w:r w:rsidRPr="00316ADC">
              <w:t>Delta Watts</w:t>
            </w:r>
            <w:r w:rsidRPr="00653FE5">
              <w:t xml:space="preserve"> (post EISA 2012-2014)</w:t>
            </w:r>
          </w:p>
        </w:tc>
        <w:tc>
          <w:tcPr>
            <w:tcW w:w="1193" w:type="dxa"/>
            <w:shd w:val="clear" w:color="auto" w:fill="7F7F7F" w:themeFill="text1" w:themeFillTint="80"/>
            <w:vAlign w:val="bottom"/>
          </w:tcPr>
          <w:p w14:paraId="34BC2224" w14:textId="77777777" w:rsidR="00D03D96" w:rsidRPr="00653FE5" w:rsidRDefault="00D03D96" w:rsidP="00E472E8">
            <w:pPr>
              <w:pStyle w:val="TableHeading"/>
            </w:pPr>
            <w:r w:rsidRPr="00070B38">
              <w:rPr>
                <w:rFonts w:eastAsiaTheme="minorHAnsi"/>
              </w:rPr>
              <w:t>Adjustment made from date</w:t>
            </w:r>
          </w:p>
        </w:tc>
        <w:tc>
          <w:tcPr>
            <w:tcW w:w="1956" w:type="dxa"/>
            <w:shd w:val="clear" w:color="auto" w:fill="7F7F7F" w:themeFill="text1" w:themeFillTint="80"/>
            <w:vAlign w:val="bottom"/>
          </w:tcPr>
          <w:p w14:paraId="756B81E5" w14:textId="744B2A24" w:rsidR="00D03D96" w:rsidRPr="00653FE5" w:rsidRDefault="00D03D96" w:rsidP="00E472E8">
            <w:pPr>
              <w:pStyle w:val="TableHeading"/>
            </w:pPr>
            <w:r>
              <w:t>Mid Life adjustment  (made from June 2020) from first year savings</w:t>
            </w:r>
          </w:p>
        </w:tc>
        <w:tc>
          <w:tcPr>
            <w:tcW w:w="1260" w:type="dxa"/>
            <w:shd w:val="clear" w:color="auto" w:fill="7F7F7F" w:themeFill="text1" w:themeFillTint="80"/>
            <w:vAlign w:val="bottom"/>
          </w:tcPr>
          <w:p w14:paraId="30769A6B" w14:textId="350AABBF" w:rsidR="00D03D96" w:rsidRPr="00653FE5" w:rsidRDefault="00D03D96" w:rsidP="00E472E8">
            <w:pPr>
              <w:pStyle w:val="TableHeading"/>
            </w:pPr>
            <w:r w:rsidRPr="00653FE5">
              <w:t>Delta Watts (post EISA 2020)</w:t>
            </w:r>
          </w:p>
        </w:tc>
      </w:tr>
      <w:tr w:rsidR="00D03D96" w:rsidRPr="00653FE5" w14:paraId="1B24C868" w14:textId="77777777" w:rsidTr="00802290">
        <w:trPr>
          <w:trHeight w:val="305"/>
          <w:jc w:val="center"/>
        </w:trPr>
        <w:tc>
          <w:tcPr>
            <w:tcW w:w="1705" w:type="dxa"/>
            <w:shd w:val="clear" w:color="auto" w:fill="FFFFFF" w:themeFill="background1"/>
            <w:noWrap/>
            <w:vAlign w:val="bottom"/>
            <w:hideMark/>
          </w:tcPr>
          <w:p w14:paraId="3F9D143F" w14:textId="77777777" w:rsidR="00D03D96" w:rsidRPr="00653FE5" w:rsidRDefault="00D03D96" w:rsidP="00D03D96">
            <w:pPr>
              <w:pStyle w:val="TechnicalTable"/>
            </w:pPr>
            <w:r w:rsidRPr="00653FE5">
              <w:t>25</w:t>
            </w:r>
          </w:p>
        </w:tc>
        <w:tc>
          <w:tcPr>
            <w:tcW w:w="1553" w:type="dxa"/>
            <w:shd w:val="clear" w:color="auto" w:fill="FFFFFF" w:themeFill="background1"/>
            <w:noWrap/>
            <w:vAlign w:val="bottom"/>
            <w:hideMark/>
          </w:tcPr>
          <w:p w14:paraId="081E86F0" w14:textId="77777777" w:rsidR="00D03D96" w:rsidRPr="00653FE5" w:rsidRDefault="00D03D96" w:rsidP="00D03D96">
            <w:pPr>
              <w:pStyle w:val="TechnicalTable"/>
            </w:pPr>
            <w:r w:rsidRPr="00653FE5">
              <w:t>200</w:t>
            </w:r>
          </w:p>
        </w:tc>
        <w:tc>
          <w:tcPr>
            <w:tcW w:w="1238" w:type="dxa"/>
            <w:shd w:val="clear" w:color="auto" w:fill="FFFFFF" w:themeFill="background1"/>
            <w:vAlign w:val="bottom"/>
          </w:tcPr>
          <w:p w14:paraId="175CEA49" w14:textId="77777777" w:rsidR="00D03D96" w:rsidRPr="00316ADC" w:rsidRDefault="00D03D96" w:rsidP="00D03D96">
            <w:pPr>
              <w:pStyle w:val="TechnicalTable"/>
            </w:pPr>
            <w:r w:rsidRPr="00316ADC">
              <w:t>21.0</w:t>
            </w:r>
          </w:p>
        </w:tc>
        <w:tc>
          <w:tcPr>
            <w:tcW w:w="1193" w:type="dxa"/>
            <w:shd w:val="clear" w:color="auto" w:fill="FFFFFF" w:themeFill="background1"/>
          </w:tcPr>
          <w:p w14:paraId="7F9C2C2C" w14:textId="77777777" w:rsidR="00D03D96" w:rsidRPr="00653FE5" w:rsidRDefault="00D03D96" w:rsidP="00D03D96">
            <w:pPr>
              <w:pStyle w:val="TechnicalTable"/>
            </w:pPr>
            <w:r w:rsidRPr="00653FE5">
              <w:t>Exempt</w:t>
            </w:r>
          </w:p>
        </w:tc>
        <w:tc>
          <w:tcPr>
            <w:tcW w:w="1956" w:type="dxa"/>
            <w:shd w:val="clear" w:color="auto" w:fill="FFFFFF" w:themeFill="background1"/>
          </w:tcPr>
          <w:p w14:paraId="4E00A0FF" w14:textId="029C9A3F" w:rsidR="00D03D96" w:rsidRPr="00653FE5" w:rsidRDefault="00D03D96" w:rsidP="00D03D96">
            <w:pPr>
              <w:pStyle w:val="TechnicalTable"/>
            </w:pPr>
            <w:r w:rsidRPr="00653FE5">
              <w:t>Exempt</w:t>
            </w:r>
          </w:p>
        </w:tc>
        <w:tc>
          <w:tcPr>
            <w:tcW w:w="1260" w:type="dxa"/>
            <w:shd w:val="clear" w:color="auto" w:fill="FFFFFF" w:themeFill="background1"/>
            <w:vAlign w:val="bottom"/>
          </w:tcPr>
          <w:p w14:paraId="255780EF" w14:textId="38632148" w:rsidR="00D03D96" w:rsidRPr="00653FE5" w:rsidRDefault="00D03D96" w:rsidP="00D03D96">
            <w:pPr>
              <w:pStyle w:val="TechnicalTable"/>
            </w:pPr>
            <w:r w:rsidRPr="00653FE5">
              <w:t>21.0</w:t>
            </w:r>
          </w:p>
        </w:tc>
      </w:tr>
      <w:tr w:rsidR="00D03D96" w:rsidRPr="00653FE5" w14:paraId="29379DC4" w14:textId="77777777" w:rsidTr="00802290">
        <w:trPr>
          <w:trHeight w:val="255"/>
          <w:jc w:val="center"/>
        </w:trPr>
        <w:tc>
          <w:tcPr>
            <w:tcW w:w="1705" w:type="dxa"/>
            <w:shd w:val="clear" w:color="auto" w:fill="FFFFFF" w:themeFill="background1"/>
            <w:noWrap/>
            <w:vAlign w:val="bottom"/>
            <w:hideMark/>
          </w:tcPr>
          <w:p w14:paraId="6D28F035" w14:textId="77777777" w:rsidR="00D03D96" w:rsidRPr="00653FE5" w:rsidRDefault="00D03D96" w:rsidP="00D03D96">
            <w:pPr>
              <w:pStyle w:val="TechnicalTable"/>
            </w:pPr>
            <w:r w:rsidRPr="00653FE5">
              <w:t>35</w:t>
            </w:r>
          </w:p>
        </w:tc>
        <w:tc>
          <w:tcPr>
            <w:tcW w:w="1553" w:type="dxa"/>
            <w:shd w:val="clear" w:color="auto" w:fill="FFFFFF" w:themeFill="background1"/>
            <w:noWrap/>
            <w:vAlign w:val="bottom"/>
            <w:hideMark/>
          </w:tcPr>
          <w:p w14:paraId="56940475" w14:textId="77777777" w:rsidR="00D03D96" w:rsidRPr="00653FE5" w:rsidRDefault="00D03D96" w:rsidP="00D03D96">
            <w:pPr>
              <w:pStyle w:val="TechnicalTable"/>
            </w:pPr>
            <w:r w:rsidRPr="00653FE5">
              <w:t>325</w:t>
            </w:r>
          </w:p>
        </w:tc>
        <w:tc>
          <w:tcPr>
            <w:tcW w:w="1238" w:type="dxa"/>
            <w:shd w:val="clear" w:color="auto" w:fill="FFFFFF" w:themeFill="background1"/>
            <w:vAlign w:val="bottom"/>
          </w:tcPr>
          <w:p w14:paraId="37AF1F0D" w14:textId="77777777" w:rsidR="00D03D96" w:rsidRPr="00316ADC" w:rsidRDefault="00D03D96" w:rsidP="00D03D96">
            <w:pPr>
              <w:pStyle w:val="TechnicalTable"/>
            </w:pPr>
            <w:r w:rsidRPr="00316ADC">
              <w:t>22.5</w:t>
            </w:r>
          </w:p>
        </w:tc>
        <w:tc>
          <w:tcPr>
            <w:tcW w:w="1193" w:type="dxa"/>
            <w:shd w:val="clear" w:color="auto" w:fill="FFFFFF" w:themeFill="background1"/>
          </w:tcPr>
          <w:p w14:paraId="44B41E6B" w14:textId="7154D4C8" w:rsidR="00D03D96" w:rsidRPr="00653FE5" w:rsidRDefault="00D03D96" w:rsidP="00D03D96">
            <w:pPr>
              <w:pStyle w:val="TechnicalTable"/>
            </w:pPr>
            <w:r w:rsidRPr="00653FE5">
              <w:t>June 2</w:t>
            </w:r>
            <w:r>
              <w:t>020</w:t>
            </w:r>
          </w:p>
        </w:tc>
        <w:tc>
          <w:tcPr>
            <w:tcW w:w="1956" w:type="dxa"/>
            <w:shd w:val="clear" w:color="auto" w:fill="FFFFFF" w:themeFill="background1"/>
          </w:tcPr>
          <w:p w14:paraId="24703817" w14:textId="4CD61D68" w:rsidR="00D03D96" w:rsidRDefault="00D03D96" w:rsidP="00D03D96">
            <w:pPr>
              <w:pStyle w:val="TechnicalTable"/>
            </w:pPr>
            <w:r>
              <w:t>2.5%</w:t>
            </w:r>
          </w:p>
        </w:tc>
        <w:tc>
          <w:tcPr>
            <w:tcW w:w="1260" w:type="dxa"/>
            <w:shd w:val="clear" w:color="auto" w:fill="FFFFFF" w:themeFill="background1"/>
            <w:vAlign w:val="bottom"/>
          </w:tcPr>
          <w:p w14:paraId="4CFFB587" w14:textId="092D2850" w:rsidR="00D03D96" w:rsidRPr="00653FE5" w:rsidRDefault="00D03D96" w:rsidP="00D03D96">
            <w:pPr>
              <w:pStyle w:val="TechnicalTable"/>
            </w:pPr>
            <w:r>
              <w:t>0.7</w:t>
            </w:r>
          </w:p>
        </w:tc>
      </w:tr>
      <w:tr w:rsidR="00D03D96" w:rsidRPr="00653FE5" w14:paraId="54C7A682" w14:textId="77777777" w:rsidTr="00802290">
        <w:trPr>
          <w:trHeight w:val="255"/>
          <w:jc w:val="center"/>
        </w:trPr>
        <w:tc>
          <w:tcPr>
            <w:tcW w:w="1705" w:type="dxa"/>
            <w:shd w:val="clear" w:color="auto" w:fill="FFFFFF" w:themeFill="background1"/>
            <w:noWrap/>
            <w:vAlign w:val="bottom"/>
            <w:hideMark/>
          </w:tcPr>
          <w:p w14:paraId="55AC233F" w14:textId="77777777" w:rsidR="00D03D96" w:rsidRPr="00653FE5" w:rsidRDefault="00D03D96" w:rsidP="00D03D96">
            <w:pPr>
              <w:pStyle w:val="TechnicalTable"/>
            </w:pPr>
            <w:r w:rsidRPr="00653FE5">
              <w:t>40</w:t>
            </w:r>
          </w:p>
        </w:tc>
        <w:tc>
          <w:tcPr>
            <w:tcW w:w="1553" w:type="dxa"/>
            <w:shd w:val="clear" w:color="auto" w:fill="FFFFFF" w:themeFill="background1"/>
            <w:noWrap/>
            <w:vAlign w:val="bottom"/>
            <w:hideMark/>
          </w:tcPr>
          <w:p w14:paraId="47D106D2" w14:textId="77777777" w:rsidR="00D03D96" w:rsidRPr="00653FE5" w:rsidRDefault="00D03D96" w:rsidP="00D03D96">
            <w:pPr>
              <w:pStyle w:val="TechnicalTable"/>
            </w:pPr>
            <w:r w:rsidRPr="00653FE5">
              <w:t>450</w:t>
            </w:r>
          </w:p>
        </w:tc>
        <w:tc>
          <w:tcPr>
            <w:tcW w:w="1238" w:type="dxa"/>
            <w:shd w:val="clear" w:color="auto" w:fill="FFFFFF" w:themeFill="background1"/>
            <w:vAlign w:val="bottom"/>
          </w:tcPr>
          <w:p w14:paraId="3DAF5A7A" w14:textId="77777777" w:rsidR="00D03D96" w:rsidRPr="00316ADC" w:rsidRDefault="00D03D96" w:rsidP="00D03D96">
            <w:pPr>
              <w:pStyle w:val="TechnicalTable"/>
            </w:pPr>
            <w:r w:rsidRPr="00316ADC">
              <w:t>20.0</w:t>
            </w:r>
          </w:p>
        </w:tc>
        <w:tc>
          <w:tcPr>
            <w:tcW w:w="1193" w:type="dxa"/>
            <w:shd w:val="clear" w:color="auto" w:fill="FFFFFF" w:themeFill="background1"/>
          </w:tcPr>
          <w:p w14:paraId="20A1C2A5" w14:textId="215105E9" w:rsidR="00D03D96" w:rsidRPr="00653FE5" w:rsidRDefault="00D03D96" w:rsidP="00D03D96">
            <w:pPr>
              <w:pStyle w:val="TechnicalTable"/>
            </w:pPr>
            <w:r>
              <w:t>June 2020</w:t>
            </w:r>
          </w:p>
        </w:tc>
        <w:tc>
          <w:tcPr>
            <w:tcW w:w="1956" w:type="dxa"/>
            <w:shd w:val="clear" w:color="auto" w:fill="FFFFFF" w:themeFill="background1"/>
          </w:tcPr>
          <w:p w14:paraId="16FE57E2" w14:textId="4D32F34D" w:rsidR="00D03D96" w:rsidRDefault="00D03D96" w:rsidP="00D03D96">
            <w:pPr>
              <w:pStyle w:val="TechnicalTable"/>
            </w:pPr>
            <w:r>
              <w:t>3.2%</w:t>
            </w:r>
          </w:p>
        </w:tc>
        <w:tc>
          <w:tcPr>
            <w:tcW w:w="1260" w:type="dxa"/>
            <w:shd w:val="clear" w:color="auto" w:fill="FFFFFF" w:themeFill="background1"/>
            <w:vAlign w:val="bottom"/>
          </w:tcPr>
          <w:p w14:paraId="78B4EBD6" w14:textId="00249896" w:rsidR="00D03D96" w:rsidRPr="00653FE5" w:rsidRDefault="00D03D96" w:rsidP="00D03D96">
            <w:pPr>
              <w:pStyle w:val="TechnicalTable"/>
            </w:pPr>
            <w:r>
              <w:t>1.0</w:t>
            </w:r>
          </w:p>
        </w:tc>
      </w:tr>
      <w:tr w:rsidR="00D03D96" w:rsidRPr="00653FE5" w14:paraId="291E2941" w14:textId="77777777" w:rsidTr="00802290">
        <w:trPr>
          <w:trHeight w:val="255"/>
          <w:jc w:val="center"/>
        </w:trPr>
        <w:tc>
          <w:tcPr>
            <w:tcW w:w="1705" w:type="dxa"/>
            <w:shd w:val="clear" w:color="auto" w:fill="FFFFFF" w:themeFill="background1"/>
            <w:noWrap/>
            <w:vAlign w:val="bottom"/>
            <w:hideMark/>
          </w:tcPr>
          <w:p w14:paraId="0A4BB487" w14:textId="77777777" w:rsidR="00D03D96" w:rsidRPr="00653FE5" w:rsidRDefault="00D03D96" w:rsidP="00D03D96">
            <w:pPr>
              <w:pStyle w:val="TechnicalTable"/>
            </w:pPr>
            <w:r w:rsidRPr="00653FE5">
              <w:t>60</w:t>
            </w:r>
          </w:p>
        </w:tc>
        <w:tc>
          <w:tcPr>
            <w:tcW w:w="1553" w:type="dxa"/>
            <w:shd w:val="clear" w:color="auto" w:fill="FFFFFF" w:themeFill="background1"/>
            <w:noWrap/>
            <w:vAlign w:val="bottom"/>
            <w:hideMark/>
          </w:tcPr>
          <w:p w14:paraId="155956B8" w14:textId="77777777" w:rsidR="00D03D96" w:rsidRPr="00653FE5" w:rsidRDefault="00D03D96" w:rsidP="00D03D96">
            <w:pPr>
              <w:pStyle w:val="TechnicalTable"/>
            </w:pPr>
            <w:r w:rsidRPr="00653FE5">
              <w:t>800</w:t>
            </w:r>
          </w:p>
        </w:tc>
        <w:tc>
          <w:tcPr>
            <w:tcW w:w="1238" w:type="dxa"/>
            <w:shd w:val="clear" w:color="auto" w:fill="FFFFFF" w:themeFill="background1"/>
            <w:vAlign w:val="bottom"/>
          </w:tcPr>
          <w:p w14:paraId="5484B22D" w14:textId="77777777" w:rsidR="00D03D96" w:rsidRPr="00316ADC" w:rsidRDefault="00D03D96" w:rsidP="00D03D96">
            <w:pPr>
              <w:pStyle w:val="TechnicalTable"/>
            </w:pPr>
            <w:r w:rsidRPr="00316ADC">
              <w:t>27.6</w:t>
            </w:r>
          </w:p>
        </w:tc>
        <w:tc>
          <w:tcPr>
            <w:tcW w:w="1193" w:type="dxa"/>
            <w:shd w:val="clear" w:color="auto" w:fill="FFFFFF" w:themeFill="background1"/>
          </w:tcPr>
          <w:p w14:paraId="7CC34CF1" w14:textId="459AB655" w:rsidR="00D03D96" w:rsidRPr="00653FE5" w:rsidRDefault="00D03D96" w:rsidP="00D03D96">
            <w:pPr>
              <w:pStyle w:val="TechnicalTable"/>
            </w:pPr>
            <w:r>
              <w:t>June 2020</w:t>
            </w:r>
          </w:p>
        </w:tc>
        <w:tc>
          <w:tcPr>
            <w:tcW w:w="1956" w:type="dxa"/>
            <w:shd w:val="clear" w:color="auto" w:fill="FFFFFF" w:themeFill="background1"/>
          </w:tcPr>
          <w:p w14:paraId="252CFF84" w14:textId="36ACBD9F" w:rsidR="00D03D96" w:rsidRDefault="00D03D96" w:rsidP="00D03D96">
            <w:pPr>
              <w:pStyle w:val="TechnicalTable"/>
            </w:pPr>
            <w:r>
              <w:t>7.3%</w:t>
            </w:r>
          </w:p>
        </w:tc>
        <w:tc>
          <w:tcPr>
            <w:tcW w:w="1260" w:type="dxa"/>
            <w:shd w:val="clear" w:color="auto" w:fill="FFFFFF" w:themeFill="background1"/>
            <w:vAlign w:val="bottom"/>
          </w:tcPr>
          <w:p w14:paraId="6B6BA8E5" w14:textId="367E4515" w:rsidR="00D03D96" w:rsidRPr="00653FE5" w:rsidRDefault="00D03D96" w:rsidP="00D03D96">
            <w:pPr>
              <w:pStyle w:val="TechnicalTable"/>
            </w:pPr>
            <w:r>
              <w:t>3.3</w:t>
            </w:r>
          </w:p>
        </w:tc>
      </w:tr>
      <w:tr w:rsidR="00D03D96" w:rsidRPr="00653FE5" w14:paraId="1DB73F86" w14:textId="77777777" w:rsidTr="00802290">
        <w:trPr>
          <w:trHeight w:val="255"/>
          <w:jc w:val="center"/>
        </w:trPr>
        <w:tc>
          <w:tcPr>
            <w:tcW w:w="1705" w:type="dxa"/>
            <w:shd w:val="clear" w:color="auto" w:fill="FFFFFF" w:themeFill="background1"/>
            <w:noWrap/>
            <w:vAlign w:val="bottom"/>
            <w:hideMark/>
          </w:tcPr>
          <w:p w14:paraId="05216CF2" w14:textId="77777777" w:rsidR="00D03D96" w:rsidRPr="00653FE5" w:rsidRDefault="00D03D96" w:rsidP="00D03D96">
            <w:pPr>
              <w:pStyle w:val="TechnicalTable"/>
            </w:pPr>
            <w:r w:rsidRPr="00653FE5">
              <w:t>75</w:t>
            </w:r>
          </w:p>
        </w:tc>
        <w:tc>
          <w:tcPr>
            <w:tcW w:w="1553" w:type="dxa"/>
            <w:shd w:val="clear" w:color="auto" w:fill="FFFFFF" w:themeFill="background1"/>
            <w:noWrap/>
            <w:vAlign w:val="bottom"/>
            <w:hideMark/>
          </w:tcPr>
          <w:p w14:paraId="6E5D3A95" w14:textId="77777777" w:rsidR="00D03D96" w:rsidRPr="00653FE5" w:rsidRDefault="00D03D96" w:rsidP="00D03D96">
            <w:pPr>
              <w:pStyle w:val="TechnicalTable"/>
            </w:pPr>
            <w:r w:rsidRPr="00653FE5">
              <w:t>1,100</w:t>
            </w:r>
          </w:p>
        </w:tc>
        <w:tc>
          <w:tcPr>
            <w:tcW w:w="1238" w:type="dxa"/>
            <w:shd w:val="clear" w:color="auto" w:fill="FFFFFF" w:themeFill="background1"/>
            <w:vAlign w:val="bottom"/>
          </w:tcPr>
          <w:p w14:paraId="71F6700A" w14:textId="77777777" w:rsidR="00D03D96" w:rsidRPr="00316ADC" w:rsidRDefault="00D03D96" w:rsidP="00D03D96">
            <w:pPr>
              <w:pStyle w:val="TechnicalTable"/>
            </w:pPr>
            <w:r w:rsidRPr="00316ADC">
              <w:t>33.0</w:t>
            </w:r>
          </w:p>
        </w:tc>
        <w:tc>
          <w:tcPr>
            <w:tcW w:w="1193" w:type="dxa"/>
            <w:shd w:val="clear" w:color="auto" w:fill="FFFFFF" w:themeFill="background1"/>
          </w:tcPr>
          <w:p w14:paraId="117616B2" w14:textId="6949A01B" w:rsidR="00D03D96" w:rsidRPr="00653FE5" w:rsidRDefault="00D03D96" w:rsidP="00D03D96">
            <w:pPr>
              <w:pStyle w:val="TechnicalTable"/>
            </w:pPr>
            <w:r>
              <w:t>June 2020</w:t>
            </w:r>
          </w:p>
        </w:tc>
        <w:tc>
          <w:tcPr>
            <w:tcW w:w="1956" w:type="dxa"/>
            <w:shd w:val="clear" w:color="auto" w:fill="FFFFFF" w:themeFill="background1"/>
          </w:tcPr>
          <w:p w14:paraId="772CB54B" w14:textId="1BF33EC7" w:rsidR="00D03D96" w:rsidRDefault="00D03D96" w:rsidP="00D03D96">
            <w:pPr>
              <w:pStyle w:val="TechnicalTable"/>
            </w:pPr>
            <w:r>
              <w:t>8.0%</w:t>
            </w:r>
          </w:p>
        </w:tc>
        <w:tc>
          <w:tcPr>
            <w:tcW w:w="1260" w:type="dxa"/>
            <w:shd w:val="clear" w:color="auto" w:fill="FFFFFF" w:themeFill="background1"/>
            <w:vAlign w:val="bottom"/>
          </w:tcPr>
          <w:p w14:paraId="7A516FBF" w14:textId="4A53428B" w:rsidR="00D03D96" w:rsidRPr="00653FE5" w:rsidRDefault="00D03D96" w:rsidP="00D03D96">
            <w:pPr>
              <w:pStyle w:val="TechnicalTable"/>
            </w:pPr>
            <w:r>
              <w:t>4.4</w:t>
            </w:r>
          </w:p>
        </w:tc>
      </w:tr>
      <w:tr w:rsidR="00D03D96" w:rsidRPr="00653FE5" w14:paraId="690D69C4" w14:textId="77777777" w:rsidTr="00802290">
        <w:trPr>
          <w:trHeight w:val="255"/>
          <w:jc w:val="center"/>
        </w:trPr>
        <w:tc>
          <w:tcPr>
            <w:tcW w:w="1705" w:type="dxa"/>
            <w:shd w:val="clear" w:color="auto" w:fill="FFFFFF" w:themeFill="background1"/>
            <w:noWrap/>
            <w:vAlign w:val="bottom"/>
            <w:hideMark/>
          </w:tcPr>
          <w:p w14:paraId="1A0CB1D4" w14:textId="77777777" w:rsidR="00D03D96" w:rsidRPr="00653FE5" w:rsidRDefault="00D03D96" w:rsidP="00D03D96">
            <w:pPr>
              <w:pStyle w:val="TechnicalTable"/>
            </w:pPr>
            <w:r w:rsidRPr="00653FE5">
              <w:t>100</w:t>
            </w:r>
          </w:p>
        </w:tc>
        <w:tc>
          <w:tcPr>
            <w:tcW w:w="1553" w:type="dxa"/>
            <w:shd w:val="clear" w:color="auto" w:fill="FFFFFF" w:themeFill="background1"/>
            <w:noWrap/>
            <w:vAlign w:val="bottom"/>
            <w:hideMark/>
          </w:tcPr>
          <w:p w14:paraId="740EC3B1" w14:textId="77777777" w:rsidR="00D03D96" w:rsidRPr="00653FE5" w:rsidRDefault="00D03D96" w:rsidP="00D03D96">
            <w:pPr>
              <w:pStyle w:val="TechnicalTable"/>
            </w:pPr>
            <w:r w:rsidRPr="00653FE5">
              <w:t>1,600</w:t>
            </w:r>
          </w:p>
        </w:tc>
        <w:tc>
          <w:tcPr>
            <w:tcW w:w="1238" w:type="dxa"/>
            <w:shd w:val="clear" w:color="auto" w:fill="FFFFFF" w:themeFill="background1"/>
            <w:vAlign w:val="bottom"/>
          </w:tcPr>
          <w:p w14:paraId="55A3B594" w14:textId="77777777" w:rsidR="00D03D96" w:rsidRPr="00316ADC" w:rsidRDefault="00D03D96" w:rsidP="00D03D96">
            <w:pPr>
              <w:pStyle w:val="TechnicalTable"/>
            </w:pPr>
            <w:r w:rsidRPr="00316ADC">
              <w:t>42.9</w:t>
            </w:r>
          </w:p>
        </w:tc>
        <w:tc>
          <w:tcPr>
            <w:tcW w:w="1193" w:type="dxa"/>
            <w:shd w:val="clear" w:color="auto" w:fill="FFFFFF" w:themeFill="background1"/>
          </w:tcPr>
          <w:p w14:paraId="4E14BF5C" w14:textId="5DFDE05F" w:rsidR="00D03D96" w:rsidRPr="00653FE5" w:rsidRDefault="00D03D96" w:rsidP="00D03D96">
            <w:pPr>
              <w:pStyle w:val="TechnicalTable"/>
            </w:pPr>
            <w:r>
              <w:t>June 2020</w:t>
            </w:r>
          </w:p>
        </w:tc>
        <w:tc>
          <w:tcPr>
            <w:tcW w:w="1956" w:type="dxa"/>
            <w:shd w:val="clear" w:color="auto" w:fill="FFFFFF" w:themeFill="background1"/>
          </w:tcPr>
          <w:p w14:paraId="2BEBC58F" w14:textId="5DBC0CBE" w:rsidR="00D03D96" w:rsidRDefault="00D03D96" w:rsidP="00D03D96">
            <w:pPr>
              <w:pStyle w:val="TechnicalTable"/>
            </w:pPr>
            <w:r>
              <w:t>9.2%</w:t>
            </w:r>
          </w:p>
        </w:tc>
        <w:tc>
          <w:tcPr>
            <w:tcW w:w="1260" w:type="dxa"/>
            <w:shd w:val="clear" w:color="auto" w:fill="FFFFFF" w:themeFill="background1"/>
            <w:vAlign w:val="bottom"/>
          </w:tcPr>
          <w:p w14:paraId="0CFE1733" w14:textId="0934068B" w:rsidR="00D03D96" w:rsidRPr="00653FE5" w:rsidRDefault="00D03D96" w:rsidP="00D03D96">
            <w:pPr>
              <w:pStyle w:val="TechnicalTable"/>
            </w:pPr>
            <w:r>
              <w:t>6.5</w:t>
            </w:r>
          </w:p>
        </w:tc>
      </w:tr>
      <w:tr w:rsidR="00D03D96" w:rsidRPr="00653FE5" w14:paraId="50BB37A0" w14:textId="77777777" w:rsidTr="00802290">
        <w:trPr>
          <w:trHeight w:val="255"/>
          <w:jc w:val="center"/>
        </w:trPr>
        <w:tc>
          <w:tcPr>
            <w:tcW w:w="1705" w:type="dxa"/>
            <w:shd w:val="clear" w:color="auto" w:fill="FFFFFF" w:themeFill="background1"/>
            <w:noWrap/>
            <w:vAlign w:val="bottom"/>
            <w:hideMark/>
          </w:tcPr>
          <w:p w14:paraId="429F80BC" w14:textId="77777777" w:rsidR="00D03D96" w:rsidRPr="00653FE5" w:rsidRDefault="00D03D96" w:rsidP="00D03D96">
            <w:pPr>
              <w:pStyle w:val="TechnicalTable"/>
            </w:pPr>
            <w:r w:rsidRPr="00653FE5">
              <w:t>125</w:t>
            </w:r>
          </w:p>
        </w:tc>
        <w:tc>
          <w:tcPr>
            <w:tcW w:w="1553" w:type="dxa"/>
            <w:shd w:val="clear" w:color="auto" w:fill="FFFFFF" w:themeFill="background1"/>
            <w:noWrap/>
            <w:vAlign w:val="bottom"/>
            <w:hideMark/>
          </w:tcPr>
          <w:p w14:paraId="7C1A81C9" w14:textId="77777777" w:rsidR="00D03D96" w:rsidRPr="00653FE5" w:rsidRDefault="00D03D96" w:rsidP="00D03D96">
            <w:pPr>
              <w:pStyle w:val="TechnicalTable"/>
            </w:pPr>
            <w:r w:rsidRPr="00653FE5">
              <w:t>2,000</w:t>
            </w:r>
          </w:p>
        </w:tc>
        <w:tc>
          <w:tcPr>
            <w:tcW w:w="1238" w:type="dxa"/>
            <w:shd w:val="clear" w:color="auto" w:fill="FFFFFF" w:themeFill="background1"/>
            <w:vAlign w:val="bottom"/>
          </w:tcPr>
          <w:p w14:paraId="22D8B7B3" w14:textId="77777777" w:rsidR="00D03D96" w:rsidRPr="00316ADC" w:rsidRDefault="00D03D96" w:rsidP="00D03D96">
            <w:pPr>
              <w:pStyle w:val="TechnicalTable"/>
            </w:pPr>
            <w:r w:rsidRPr="00316ADC">
              <w:t>35.6</w:t>
            </w:r>
          </w:p>
        </w:tc>
        <w:tc>
          <w:tcPr>
            <w:tcW w:w="1193" w:type="dxa"/>
            <w:shd w:val="clear" w:color="auto" w:fill="FFFFFF" w:themeFill="background1"/>
          </w:tcPr>
          <w:p w14:paraId="3B631ADF" w14:textId="57BE6044" w:rsidR="00D03D96" w:rsidRPr="00653FE5" w:rsidRDefault="00D03D96" w:rsidP="00D03D96">
            <w:pPr>
              <w:pStyle w:val="TechnicalTable"/>
            </w:pPr>
            <w:r>
              <w:t>June 2020</w:t>
            </w:r>
          </w:p>
        </w:tc>
        <w:tc>
          <w:tcPr>
            <w:tcW w:w="1956" w:type="dxa"/>
            <w:shd w:val="clear" w:color="auto" w:fill="FFFFFF" w:themeFill="background1"/>
          </w:tcPr>
          <w:p w14:paraId="123C4BA4" w14:textId="1241B48F" w:rsidR="00D03D96" w:rsidRDefault="00D03D96" w:rsidP="00D03D96">
            <w:pPr>
              <w:pStyle w:val="TechnicalTable"/>
            </w:pPr>
            <w:r>
              <w:t>9.0%</w:t>
            </w:r>
          </w:p>
        </w:tc>
        <w:tc>
          <w:tcPr>
            <w:tcW w:w="1260" w:type="dxa"/>
            <w:shd w:val="clear" w:color="auto" w:fill="FFFFFF" w:themeFill="background1"/>
            <w:vAlign w:val="bottom"/>
          </w:tcPr>
          <w:p w14:paraId="640AAEE8" w14:textId="0F06C83B" w:rsidR="00D03D96" w:rsidRPr="00653FE5" w:rsidRDefault="00D03D96" w:rsidP="00D03D96">
            <w:pPr>
              <w:pStyle w:val="TechnicalTable"/>
            </w:pPr>
            <w:r>
              <w:t>8.0</w:t>
            </w:r>
          </w:p>
        </w:tc>
      </w:tr>
      <w:tr w:rsidR="00D03D96" w:rsidRPr="00653FE5" w14:paraId="199D9241" w14:textId="77777777" w:rsidTr="00802290">
        <w:trPr>
          <w:trHeight w:val="255"/>
          <w:jc w:val="center"/>
        </w:trPr>
        <w:tc>
          <w:tcPr>
            <w:tcW w:w="1705" w:type="dxa"/>
            <w:shd w:val="clear" w:color="auto" w:fill="FFFFFF" w:themeFill="background1"/>
            <w:noWrap/>
            <w:vAlign w:val="bottom"/>
            <w:hideMark/>
          </w:tcPr>
          <w:p w14:paraId="3951E85E" w14:textId="77777777" w:rsidR="00D03D96" w:rsidRPr="00653FE5" w:rsidRDefault="00D03D96" w:rsidP="00D03D96">
            <w:pPr>
              <w:pStyle w:val="TechnicalTable"/>
            </w:pPr>
            <w:r w:rsidRPr="00653FE5">
              <w:t>150</w:t>
            </w:r>
          </w:p>
        </w:tc>
        <w:tc>
          <w:tcPr>
            <w:tcW w:w="1553" w:type="dxa"/>
            <w:shd w:val="clear" w:color="auto" w:fill="FFFFFF" w:themeFill="background1"/>
            <w:noWrap/>
            <w:vAlign w:val="bottom"/>
            <w:hideMark/>
          </w:tcPr>
          <w:p w14:paraId="164C1F90" w14:textId="77777777" w:rsidR="00D03D96" w:rsidRPr="00653FE5" w:rsidRDefault="00D03D96" w:rsidP="00D03D96">
            <w:pPr>
              <w:pStyle w:val="TechnicalTable"/>
            </w:pPr>
            <w:r w:rsidRPr="00653FE5">
              <w:t>2,600</w:t>
            </w:r>
          </w:p>
        </w:tc>
        <w:tc>
          <w:tcPr>
            <w:tcW w:w="1238" w:type="dxa"/>
            <w:shd w:val="clear" w:color="auto" w:fill="FFFFFF" w:themeFill="background1"/>
            <w:vAlign w:val="bottom"/>
          </w:tcPr>
          <w:p w14:paraId="661A7329" w14:textId="77777777" w:rsidR="00D03D96" w:rsidRPr="00316ADC" w:rsidRDefault="00D03D96" w:rsidP="00D03D96">
            <w:pPr>
              <w:pStyle w:val="TechnicalTable"/>
            </w:pPr>
            <w:r w:rsidRPr="00316ADC">
              <w:t>102.7</w:t>
            </w:r>
          </w:p>
        </w:tc>
        <w:tc>
          <w:tcPr>
            <w:tcW w:w="1193" w:type="dxa"/>
            <w:shd w:val="clear" w:color="auto" w:fill="FFFFFF" w:themeFill="background1"/>
          </w:tcPr>
          <w:p w14:paraId="4462986C" w14:textId="77777777" w:rsidR="00D03D96" w:rsidRPr="00653FE5" w:rsidRDefault="00D03D96" w:rsidP="00D03D96">
            <w:pPr>
              <w:pStyle w:val="TechnicalTable"/>
            </w:pPr>
            <w:r w:rsidRPr="00653FE5">
              <w:t>Exempt</w:t>
            </w:r>
          </w:p>
        </w:tc>
        <w:tc>
          <w:tcPr>
            <w:tcW w:w="1956" w:type="dxa"/>
            <w:shd w:val="clear" w:color="auto" w:fill="FFFFFF" w:themeFill="background1"/>
          </w:tcPr>
          <w:p w14:paraId="484A0ABC" w14:textId="7DB89C20" w:rsidR="00D03D96" w:rsidRPr="00653FE5" w:rsidRDefault="00D03D96" w:rsidP="00D03D96">
            <w:pPr>
              <w:pStyle w:val="TechnicalTable"/>
            </w:pPr>
            <w:r w:rsidRPr="00653FE5">
              <w:t>Exempt</w:t>
            </w:r>
          </w:p>
        </w:tc>
        <w:tc>
          <w:tcPr>
            <w:tcW w:w="1260" w:type="dxa"/>
            <w:shd w:val="clear" w:color="auto" w:fill="FFFFFF" w:themeFill="background1"/>
            <w:vAlign w:val="bottom"/>
          </w:tcPr>
          <w:p w14:paraId="157E2EF2" w14:textId="2E2E7BA4" w:rsidR="00D03D96" w:rsidRPr="00653FE5" w:rsidRDefault="00D03D96" w:rsidP="00D03D96">
            <w:pPr>
              <w:pStyle w:val="TechnicalTable"/>
            </w:pPr>
            <w:r w:rsidRPr="00653FE5">
              <w:t>102.7</w:t>
            </w:r>
          </w:p>
        </w:tc>
      </w:tr>
    </w:tbl>
    <w:p w14:paraId="4D0087E7" w14:textId="77777777" w:rsidR="00857EAD" w:rsidRDefault="00857EAD" w:rsidP="00857EAD">
      <w:pPr>
        <w:ind w:left="720"/>
        <w:rPr>
          <w:rFonts w:cstheme="minorHAnsi"/>
        </w:rPr>
      </w:pPr>
    </w:p>
    <w:p w14:paraId="286A7CEA" w14:textId="77777777" w:rsidR="00857EAD" w:rsidRDefault="00857EAD" w:rsidP="00857EAD">
      <w:pPr>
        <w:rPr>
          <w:rFonts w:cstheme="minorHAnsi"/>
        </w:rPr>
      </w:pPr>
      <w:r>
        <w:rPr>
          <w:noProof/>
        </w:rPr>
        <mc:AlternateContent>
          <mc:Choice Requires="wps">
            <w:drawing>
              <wp:inline distT="0" distB="0" distL="0" distR="0" wp14:anchorId="635F658F" wp14:editId="5DC813E9">
                <wp:extent cx="5695950" cy="1177925"/>
                <wp:effectExtent l="0" t="0" r="19050" b="25400"/>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77925"/>
                        </a:xfrm>
                        <a:prstGeom prst="rect">
                          <a:avLst/>
                        </a:prstGeom>
                        <a:solidFill>
                          <a:srgbClr val="FFFFFF"/>
                        </a:solidFill>
                        <a:ln w="9525">
                          <a:solidFill>
                            <a:srgbClr val="000000"/>
                          </a:solidFill>
                          <a:miter lim="800000"/>
                          <a:headEnd/>
                          <a:tailEnd/>
                        </a:ln>
                      </wps:spPr>
                      <wps:txbx>
                        <w:txbxContent>
                          <w:p w14:paraId="5E192AE6" w14:textId="710C4C53" w:rsidR="00CA6CAD" w:rsidRPr="00070B38" w:rsidRDefault="00CA6CAD" w:rsidP="00857EAD">
                            <w:pPr>
                              <w:rPr>
                                <w:rFonts w:cstheme="minorHAnsi"/>
                              </w:rPr>
                            </w:pPr>
                            <w:r w:rsidRPr="00070B38">
                              <w:rPr>
                                <w:rFonts w:cstheme="minorHAnsi"/>
                              </w:rPr>
                              <w:t>For example, a</w:t>
                            </w:r>
                            <w:r>
                              <w:rPr>
                                <w:rFonts w:cstheme="minorHAnsi"/>
                              </w:rPr>
                              <w:t>n</w:t>
                            </w:r>
                            <w:r w:rsidRPr="00070B38">
                              <w:rPr>
                                <w:rFonts w:cstheme="minorHAnsi"/>
                              </w:rPr>
                              <w:t xml:space="preserve"> </w:t>
                            </w:r>
                            <w:r>
                              <w:rPr>
                                <w:rFonts w:cstheme="minorHAnsi"/>
                              </w:rPr>
                              <w:t>8</w:t>
                            </w:r>
                            <w:r w:rsidRPr="00070B38">
                              <w:rPr>
                                <w:rFonts w:cstheme="minorHAnsi"/>
                              </w:rPr>
                              <w:t xml:space="preserve">W </w:t>
                            </w:r>
                            <w:r>
                              <w:rPr>
                                <w:rFonts w:cstheme="minorHAnsi"/>
                              </w:rPr>
                              <w:t>LED lamp, 450</w:t>
                            </w:r>
                            <w:r w:rsidRPr="00070B38">
                              <w:rPr>
                                <w:rFonts w:cstheme="minorHAnsi"/>
                              </w:rPr>
                              <w:t xml:space="preserve"> lumen</w:t>
                            </w:r>
                            <w:r>
                              <w:rPr>
                                <w:rFonts w:cstheme="minorHAnsi"/>
                              </w:rPr>
                              <w:t>s,</w:t>
                            </w:r>
                            <w:r w:rsidRPr="00070B38">
                              <w:rPr>
                                <w:rFonts w:cstheme="minorHAnsi"/>
                              </w:rPr>
                              <w:t xml:space="preserve"> is installed in </w:t>
                            </w:r>
                            <w:r>
                              <w:rPr>
                                <w:rFonts w:cstheme="minorHAnsi"/>
                              </w:rPr>
                              <w:t>the interior of a</w:t>
                            </w:r>
                            <w:r w:rsidRPr="00070B38">
                              <w:rPr>
                                <w:rFonts w:cstheme="minorHAnsi"/>
                              </w:rPr>
                              <w:t xml:space="preserve"> </w:t>
                            </w:r>
                            <w:r>
                              <w:rPr>
                                <w:rFonts w:cstheme="minorHAnsi"/>
                              </w:rPr>
                              <w:t>home</w:t>
                            </w:r>
                            <w:r w:rsidRPr="00070B38">
                              <w:rPr>
                                <w:rFonts w:cstheme="minorHAnsi"/>
                              </w:rPr>
                              <w:t xml:space="preserve"> in 201</w:t>
                            </w:r>
                            <w:r>
                              <w:rPr>
                                <w:rFonts w:cstheme="minorHAnsi"/>
                              </w:rPr>
                              <w:t>4. The customer purchased the lamp through an upstream program</w:t>
                            </w:r>
                            <w:r w:rsidRPr="00070B38">
                              <w:rPr>
                                <w:rFonts w:cstheme="minorHAnsi"/>
                              </w:rPr>
                              <w:t>:</w:t>
                            </w:r>
                          </w:p>
                          <w:p w14:paraId="068F9978" w14:textId="189F59D5" w:rsidR="00CA6CAD" w:rsidRPr="009972AE" w:rsidRDefault="00CA6CAD" w:rsidP="00857EAD">
                            <w:pPr>
                              <w:ind w:left="1440"/>
                              <w:rPr>
                                <w:rFonts w:cstheme="minorHAnsi"/>
                              </w:rPr>
                            </w:pPr>
                            <w:r w:rsidRPr="009972AE">
                              <w:rPr>
                                <w:rFonts w:cstheme="minorHAnsi"/>
                                <w:noProof/>
                              </w:rPr>
                              <w:t>ΔkWH</w:t>
                            </w:r>
                            <w:r w:rsidRPr="009972AE">
                              <w:rPr>
                                <w:rFonts w:cstheme="minorHAnsi"/>
                              </w:rPr>
                              <w:t xml:space="preserve"> </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938*1.06*.695</w:t>
                            </w:r>
                          </w:p>
                          <w:p w14:paraId="4DFF3C5A" w14:textId="7D7A69C4" w:rsidR="00CA6CAD" w:rsidRPr="009972AE" w:rsidRDefault="00CA6CAD" w:rsidP="00857EAD">
                            <w:pPr>
                              <w:ind w:left="2160"/>
                              <w:rPr>
                                <w:rFonts w:cstheme="minorHAnsi"/>
                              </w:rPr>
                            </w:pPr>
                            <w:r w:rsidRPr="009972AE">
                              <w:rPr>
                                <w:rFonts w:cstheme="minorHAnsi"/>
                              </w:rPr>
                              <w:t xml:space="preserve">= </w:t>
                            </w:r>
                            <w:r>
                              <w:rPr>
                                <w:rFonts w:cstheme="minorHAnsi"/>
                              </w:rPr>
                              <w:t>14.5</w:t>
                            </w:r>
                            <w:r w:rsidRPr="009972AE">
                              <w:rPr>
                                <w:rFonts w:cstheme="minorHAnsi"/>
                              </w:rPr>
                              <w:t xml:space="preserve"> kWh</w:t>
                            </w:r>
                          </w:p>
                          <w:p w14:paraId="53BB2588" w14:textId="2F592301" w:rsidR="00CA6CAD" w:rsidRDefault="00CA6CAD" w:rsidP="00857EAD">
                            <w:pPr>
                              <w:rPr>
                                <w:rFonts w:cstheme="minorHAnsi"/>
                              </w:rPr>
                            </w:pPr>
                            <w:r>
                              <w:rPr>
                                <w:rFonts w:cstheme="minorHAnsi"/>
                                <w:szCs w:val="20"/>
                              </w:rPr>
                              <w:t>For the bulbs installed in this first year, t</w:t>
                            </w:r>
                            <w:r w:rsidRPr="009972AE">
                              <w:rPr>
                                <w:rFonts w:cstheme="minorHAnsi"/>
                                <w:szCs w:val="20"/>
                              </w:rPr>
                              <w:t>h</w:t>
                            </w:r>
                            <w:r w:rsidRPr="009972AE">
                              <w:rPr>
                                <w:rFonts w:cstheme="minorHAnsi"/>
                              </w:rPr>
                              <w:t xml:space="preserve">is value should be claimed for six years, i.e. June 2014 – May 2020, but from May 2020 </w:t>
                            </w:r>
                            <w:r>
                              <w:rPr>
                                <w:rFonts w:cstheme="minorHAnsi"/>
                              </w:rPr>
                              <w:t>until the end of the measure life</w:t>
                            </w:r>
                            <w:r w:rsidRPr="009972AE">
                              <w:rPr>
                                <w:rFonts w:cstheme="minorHAnsi"/>
                              </w:rPr>
                              <w:t xml:space="preserve"> for that same bulb</w:t>
                            </w:r>
                            <w:r>
                              <w:rPr>
                                <w:rFonts w:cstheme="minorHAnsi"/>
                              </w:rPr>
                              <w:t>, savings</w:t>
                            </w:r>
                            <w:r w:rsidRPr="009972AE">
                              <w:rPr>
                                <w:rFonts w:cstheme="minorHAnsi"/>
                              </w:rPr>
                              <w:t xml:space="preserve"> should be reduced to (</w:t>
                            </w:r>
                            <w:r>
                              <w:rPr>
                                <w:rFonts w:cstheme="minorHAnsi"/>
                              </w:rPr>
                              <w:t>14.5</w:t>
                            </w:r>
                            <w:r w:rsidRPr="009972AE">
                              <w:rPr>
                                <w:rFonts w:cstheme="minorHAnsi"/>
                              </w:rPr>
                              <w:t xml:space="preserve"> * 0.</w:t>
                            </w:r>
                            <w:r>
                              <w:rPr>
                                <w:rFonts w:cstheme="minorHAnsi"/>
                              </w:rPr>
                              <w:t>032</w:t>
                            </w:r>
                            <w:r w:rsidRPr="009972AE">
                              <w:rPr>
                                <w:rFonts w:cstheme="minorHAnsi"/>
                              </w:rPr>
                              <w:t xml:space="preserve"> =) </w:t>
                            </w:r>
                            <w:r>
                              <w:rPr>
                                <w:rFonts w:cstheme="minorHAnsi"/>
                              </w:rPr>
                              <w:t>0.46</w:t>
                            </w:r>
                            <w:r w:rsidRPr="009972AE">
                              <w:rPr>
                                <w:rFonts w:cstheme="minorHAnsi"/>
                              </w:rPr>
                              <w:t xml:space="preserve"> kWh for the remainder of the measure life. Note these adjustments should be applied to kW and fuel impacts</w:t>
                            </w:r>
                            <w:r>
                              <w:rPr>
                                <w:rFonts w:cstheme="minorHAnsi"/>
                              </w:rPr>
                              <w:t xml:space="preserve"> as well</w:t>
                            </w:r>
                            <w:r w:rsidRPr="009972AE">
                              <w:rPr>
                                <w:rFonts w:cstheme="minorHAnsi"/>
                              </w:rPr>
                              <w:t>.</w:t>
                            </w:r>
                          </w:p>
                        </w:txbxContent>
                      </wps:txbx>
                      <wps:bodyPr rot="0" vert="horz" wrap="square" lIns="91440" tIns="45720" rIns="91440" bIns="45720" anchor="t" anchorCtr="0">
                        <a:spAutoFit/>
                      </wps:bodyPr>
                    </wps:wsp>
                  </a:graphicData>
                </a:graphic>
              </wp:inline>
            </w:drawing>
          </mc:Choice>
          <mc:Fallback>
            <w:pict>
              <v:shapetype w14:anchorId="635F658F" id="_x0000_t202" coordsize="21600,21600" o:spt="202" path="m,l,21600r21600,l21600,xe">
                <v:stroke joinstyle="miter"/>
                <v:path gradientshapeok="t" o:connecttype="rect"/>
              </v:shapetype>
              <v:shape id="Text Box 308" o:spid="_x0000_s1026" type="#_x0000_t202" style="width:448.5pt;height:9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">
                <v:textbox style="mso-fit-shape-to-text:t">
                  <w:txbxContent>
                    <w:p w14:paraId="5E192AE6" w14:textId="710C4C53" w:rsidR="00CA6CAD" w:rsidRPr="00070B38" w:rsidRDefault="00CA6CAD" w:rsidP="00857EAD">
                      <w:pPr>
                        <w:rPr>
                          <w:rFonts w:cstheme="minorHAnsi"/>
                        </w:rPr>
                      </w:pPr>
                      <w:r w:rsidRPr="00070B38">
                        <w:rPr>
                          <w:rFonts w:cstheme="minorHAnsi"/>
                        </w:rPr>
                        <w:t>For example, a</w:t>
                      </w:r>
                      <w:r>
                        <w:rPr>
                          <w:rFonts w:cstheme="minorHAnsi"/>
                        </w:rPr>
                        <w:t>n</w:t>
                      </w:r>
                      <w:r w:rsidRPr="00070B38">
                        <w:rPr>
                          <w:rFonts w:cstheme="minorHAnsi"/>
                        </w:rPr>
                        <w:t xml:space="preserve"> </w:t>
                      </w:r>
                      <w:r>
                        <w:rPr>
                          <w:rFonts w:cstheme="minorHAnsi"/>
                        </w:rPr>
                        <w:t>8</w:t>
                      </w:r>
                      <w:r w:rsidRPr="00070B38">
                        <w:rPr>
                          <w:rFonts w:cstheme="minorHAnsi"/>
                        </w:rPr>
                        <w:t xml:space="preserve">W </w:t>
                      </w:r>
                      <w:r>
                        <w:rPr>
                          <w:rFonts w:cstheme="minorHAnsi"/>
                        </w:rPr>
                        <w:t>LED lamp, 450</w:t>
                      </w:r>
                      <w:r w:rsidRPr="00070B38">
                        <w:rPr>
                          <w:rFonts w:cstheme="minorHAnsi"/>
                        </w:rPr>
                        <w:t xml:space="preserve"> lumen</w:t>
                      </w:r>
                      <w:r>
                        <w:rPr>
                          <w:rFonts w:cstheme="minorHAnsi"/>
                        </w:rPr>
                        <w:t>s,</w:t>
                      </w:r>
                      <w:r w:rsidRPr="00070B38">
                        <w:rPr>
                          <w:rFonts w:cstheme="minorHAnsi"/>
                        </w:rPr>
                        <w:t xml:space="preserve"> is installed in </w:t>
                      </w:r>
                      <w:r>
                        <w:rPr>
                          <w:rFonts w:cstheme="minorHAnsi"/>
                        </w:rPr>
                        <w:t>the interior of a</w:t>
                      </w:r>
                      <w:r w:rsidRPr="00070B38">
                        <w:rPr>
                          <w:rFonts w:cstheme="minorHAnsi"/>
                        </w:rPr>
                        <w:t xml:space="preserve"> </w:t>
                      </w:r>
                      <w:r>
                        <w:rPr>
                          <w:rFonts w:cstheme="minorHAnsi"/>
                        </w:rPr>
                        <w:t>home</w:t>
                      </w:r>
                      <w:r w:rsidRPr="00070B38">
                        <w:rPr>
                          <w:rFonts w:cstheme="minorHAnsi"/>
                        </w:rPr>
                        <w:t xml:space="preserve"> in 201</w:t>
                      </w:r>
                      <w:r>
                        <w:rPr>
                          <w:rFonts w:cstheme="minorHAnsi"/>
                        </w:rPr>
                        <w:t>4. The customer purchased the lamp through an upstream program</w:t>
                      </w:r>
                      <w:r w:rsidRPr="00070B38">
                        <w:rPr>
                          <w:rFonts w:cstheme="minorHAnsi"/>
                        </w:rPr>
                        <w:t>:</w:t>
                      </w:r>
                    </w:p>
                    <w:p w14:paraId="068F9978" w14:textId="189F59D5" w:rsidR="00CA6CAD" w:rsidRPr="009972AE" w:rsidRDefault="00CA6CAD" w:rsidP="00857EAD">
                      <w:pPr>
                        <w:ind w:left="1440"/>
                        <w:rPr>
                          <w:rFonts w:cstheme="minorHAnsi"/>
                        </w:rPr>
                      </w:pPr>
                      <w:r w:rsidRPr="009972AE">
                        <w:rPr>
                          <w:rFonts w:cstheme="minorHAnsi"/>
                          <w:noProof/>
                        </w:rPr>
                        <w:t>ΔkWH</w:t>
                      </w:r>
                      <w:r w:rsidRPr="009972AE">
                        <w:rPr>
                          <w:rFonts w:cstheme="minorHAnsi"/>
                        </w:rPr>
                        <w:t xml:space="preserve"> </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938*1.06*.695</w:t>
                      </w:r>
                    </w:p>
                    <w:p w14:paraId="4DFF3C5A" w14:textId="7D7A69C4" w:rsidR="00CA6CAD" w:rsidRPr="009972AE" w:rsidRDefault="00CA6CAD" w:rsidP="00857EAD">
                      <w:pPr>
                        <w:ind w:left="2160"/>
                        <w:rPr>
                          <w:rFonts w:cstheme="minorHAnsi"/>
                        </w:rPr>
                      </w:pPr>
                      <w:r w:rsidRPr="009972AE">
                        <w:rPr>
                          <w:rFonts w:cstheme="minorHAnsi"/>
                        </w:rPr>
                        <w:t xml:space="preserve">= </w:t>
                      </w:r>
                      <w:r>
                        <w:rPr>
                          <w:rFonts w:cstheme="minorHAnsi"/>
                        </w:rPr>
                        <w:t>14.5</w:t>
                      </w:r>
                      <w:r w:rsidRPr="009972AE">
                        <w:rPr>
                          <w:rFonts w:cstheme="minorHAnsi"/>
                        </w:rPr>
                        <w:t xml:space="preserve"> kWh</w:t>
                      </w:r>
                    </w:p>
                    <w:p w14:paraId="53BB2588" w14:textId="2F592301" w:rsidR="00CA6CAD" w:rsidRDefault="00CA6CAD" w:rsidP="00857EAD">
                      <w:pPr>
                        <w:rPr>
                          <w:rFonts w:cstheme="minorHAnsi"/>
                        </w:rPr>
                      </w:pPr>
                      <w:r>
                        <w:rPr>
                          <w:rFonts w:cstheme="minorHAnsi"/>
                          <w:szCs w:val="20"/>
                        </w:rPr>
                        <w:t>For the bulbs installed in this first year, t</w:t>
                      </w:r>
                      <w:r w:rsidRPr="009972AE">
                        <w:rPr>
                          <w:rFonts w:cstheme="minorHAnsi"/>
                          <w:szCs w:val="20"/>
                        </w:rPr>
                        <w:t>h</w:t>
                      </w:r>
                      <w:r w:rsidRPr="009972AE">
                        <w:rPr>
                          <w:rFonts w:cstheme="minorHAnsi"/>
                        </w:rPr>
                        <w:t xml:space="preserve">is value should be claimed for six years, i.e. June 2014 – May 2020, but from May 2020 </w:t>
                      </w:r>
                      <w:r>
                        <w:rPr>
                          <w:rFonts w:cstheme="minorHAnsi"/>
                        </w:rPr>
                        <w:t>until the end of the measure life</w:t>
                      </w:r>
                      <w:r w:rsidRPr="009972AE">
                        <w:rPr>
                          <w:rFonts w:cstheme="minorHAnsi"/>
                        </w:rPr>
                        <w:t xml:space="preserve"> for that same bulb</w:t>
                      </w:r>
                      <w:r>
                        <w:rPr>
                          <w:rFonts w:cstheme="minorHAnsi"/>
                        </w:rPr>
                        <w:t>, savings</w:t>
                      </w:r>
                      <w:r w:rsidRPr="009972AE">
                        <w:rPr>
                          <w:rFonts w:cstheme="minorHAnsi"/>
                        </w:rPr>
                        <w:t xml:space="preserve"> should be reduced to (</w:t>
                      </w:r>
                      <w:r>
                        <w:rPr>
                          <w:rFonts w:cstheme="minorHAnsi"/>
                        </w:rPr>
                        <w:t>14.5</w:t>
                      </w:r>
                      <w:r w:rsidRPr="009972AE">
                        <w:rPr>
                          <w:rFonts w:cstheme="minorHAnsi"/>
                        </w:rPr>
                        <w:t xml:space="preserve"> * 0.</w:t>
                      </w:r>
                      <w:r>
                        <w:rPr>
                          <w:rFonts w:cstheme="minorHAnsi"/>
                        </w:rPr>
                        <w:t>032</w:t>
                      </w:r>
                      <w:r w:rsidRPr="009972AE">
                        <w:rPr>
                          <w:rFonts w:cstheme="minorHAnsi"/>
                        </w:rPr>
                        <w:t xml:space="preserve"> =) </w:t>
                      </w:r>
                      <w:r>
                        <w:rPr>
                          <w:rFonts w:cstheme="minorHAnsi"/>
                        </w:rPr>
                        <w:t>0.46</w:t>
                      </w:r>
                      <w:r w:rsidRPr="009972AE">
                        <w:rPr>
                          <w:rFonts w:cstheme="minorHAnsi"/>
                        </w:rPr>
                        <w:t xml:space="preserve"> kWh for the remainder of the measure life. Note these adjustments should be applied to kW and fuel impacts</w:t>
                      </w:r>
                      <w:r>
                        <w:rPr>
                          <w:rFonts w:cstheme="minorHAnsi"/>
                        </w:rPr>
                        <w:t xml:space="preserve"> as well</w:t>
                      </w:r>
                      <w:r w:rsidRPr="009972AE">
                        <w:rPr>
                          <w:rFonts w:cstheme="minorHAnsi"/>
                        </w:rPr>
                        <w:t>.</w:t>
                      </w:r>
                    </w:p>
                  </w:txbxContent>
                </v:textbox>
                <w10:anchorlock/>
              </v:shape>
            </w:pict>
          </mc:Fallback>
        </mc:AlternateContent>
      </w:r>
    </w:p>
    <w:p w14:paraId="313ECDC7" w14:textId="77777777" w:rsidR="00F40901" w:rsidRDefault="00F40901" w:rsidP="00F40901">
      <w:pPr>
        <w:pStyle w:val="Heading6"/>
      </w:pPr>
      <w:r>
        <w:lastRenderedPageBreak/>
        <w:t>Deferred Installs</w:t>
      </w:r>
    </w:p>
    <w:p w14:paraId="5169291A" w14:textId="77777777" w:rsidR="00F40901" w:rsidRDefault="00F40901" w:rsidP="00F40901">
      <w:r>
        <w:t>As presented above, the characterization assumes that a percentage of bulbs purchased are not installed until Year 2 and Year 3 (see ISR assumption above). The Illinois Technical Advisory Committee has determined the following methodology for calculating the savings of these future installs.</w:t>
      </w:r>
    </w:p>
    <w:p w14:paraId="4A5AB42B" w14:textId="77777777" w:rsidR="00F40901" w:rsidRDefault="00F40901" w:rsidP="00F40901">
      <w:pPr>
        <w:ind w:left="3600" w:hanging="2880"/>
      </w:pPr>
      <w:r>
        <w:t>Year 1 (Purchase Year) installs:</w:t>
      </w:r>
      <w:r>
        <w:tab/>
        <w:t>Characterized using assumptions provided above or evaluated assumptions if available.</w:t>
      </w:r>
    </w:p>
    <w:p w14:paraId="14BEBAC7" w14:textId="77777777" w:rsidR="00F40901" w:rsidRDefault="00F40901" w:rsidP="00F40901">
      <w:pPr>
        <w:ind w:left="3600" w:hanging="2880"/>
      </w:pPr>
      <w:r>
        <w:t xml:space="preserve">Year 2 and 3 installs: </w:t>
      </w:r>
      <w:r>
        <w:tab/>
        <w:t xml:space="preserve">Characterized using delta watts assumption and hours of use from the Install Year i.e. the actual deemed (or evaluated if available) assumptions active in Year 2 and 3 should be applied. </w:t>
      </w:r>
    </w:p>
    <w:p w14:paraId="74102002" w14:textId="77777777" w:rsidR="00F40901" w:rsidRPr="0069263A" w:rsidRDefault="00F40901" w:rsidP="00F40901">
      <w:pPr>
        <w:ind w:left="3600"/>
      </w:pPr>
      <w:r>
        <w:t>The NTG factor for the Purchase Year should be applied.</w:t>
      </w:r>
    </w:p>
    <w:p w14:paraId="29A8E404" w14:textId="77777777" w:rsidR="00F40901" w:rsidRDefault="00F40901" w:rsidP="00F40901">
      <w:r w:rsidRPr="0006686C">
        <w:rPr>
          <w:rFonts w:cstheme="minorHAnsi"/>
          <w:noProof/>
        </w:rPr>
        <mc:AlternateContent>
          <mc:Choice Requires="wps">
            <w:drawing>
              <wp:inline distT="0" distB="0" distL="0" distR="0" wp14:anchorId="4F402786" wp14:editId="6B3910C0">
                <wp:extent cx="5943600" cy="2647950"/>
                <wp:effectExtent l="0" t="0" r="19050" b="19050"/>
                <wp:docPr id="5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47950"/>
                        </a:xfrm>
                        <a:prstGeom prst="rect">
                          <a:avLst/>
                        </a:prstGeom>
                        <a:solidFill>
                          <a:srgbClr val="FFFFFF"/>
                        </a:solidFill>
                        <a:ln w="9525">
                          <a:solidFill>
                            <a:srgbClr val="000000"/>
                          </a:solidFill>
                          <a:miter lim="800000"/>
                          <a:headEnd/>
                          <a:tailEnd/>
                        </a:ln>
                      </wps:spPr>
                      <wps:txbx>
                        <w:txbxContent>
                          <w:p w14:paraId="4139785D" w14:textId="09A098A3" w:rsidR="00CA6CAD" w:rsidRPr="009972AE" w:rsidRDefault="00CA6CAD" w:rsidP="00F40901">
                            <w:r>
                              <w:t>Using the example from above, for an 8</w:t>
                            </w:r>
                            <w:r w:rsidRPr="009972AE">
                              <w:t xml:space="preserve">W </w:t>
                            </w:r>
                            <w:r>
                              <w:t>LED, 450 Lumens purchased for the interior of a residential homes through an upstream program in 2014</w:t>
                            </w:r>
                            <w:r w:rsidRPr="009972AE">
                              <w:t>.</w:t>
                            </w:r>
                          </w:p>
                          <w:p w14:paraId="54CB691E" w14:textId="002FD297" w:rsidR="00CA6CAD" w:rsidRPr="009972AE" w:rsidRDefault="00CA6CAD" w:rsidP="00F40901">
                            <w:pPr>
                              <w:ind w:firstLine="720"/>
                              <w:rPr>
                                <w:rFonts w:cstheme="minorHAnsi"/>
                              </w:rPr>
                            </w:pPr>
                            <w:r w:rsidRPr="009972AE">
                              <w:rPr>
                                <w:rFonts w:cstheme="minorHAnsi"/>
                                <w:noProof/>
                              </w:rPr>
                              <w:t>ΔkWH</w:t>
                            </w:r>
                            <w:r w:rsidRPr="009972AE">
                              <w:rPr>
                                <w:rFonts w:cstheme="minorHAnsi"/>
                                <w:noProof/>
                                <w:vertAlign w:val="subscript"/>
                              </w:rPr>
                              <w:t>1st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938*1.06*.695</w:t>
                            </w:r>
                          </w:p>
                          <w:p w14:paraId="1A8C7BDE" w14:textId="7871707E" w:rsidR="00CA6CAD" w:rsidRPr="009972AE" w:rsidRDefault="00CA6CAD" w:rsidP="00F40901">
                            <w:pPr>
                              <w:ind w:left="1440" w:firstLine="720"/>
                              <w:rPr>
                                <w:rFonts w:cstheme="minorHAnsi"/>
                              </w:rPr>
                            </w:pPr>
                            <w:r w:rsidRPr="009972AE">
                              <w:rPr>
                                <w:rFonts w:cstheme="minorHAnsi"/>
                              </w:rPr>
                              <w:t xml:space="preserve">= </w:t>
                            </w:r>
                            <w:r>
                              <w:rPr>
                                <w:rFonts w:cstheme="minorHAnsi"/>
                                <w:noProof/>
                              </w:rPr>
                              <w:t xml:space="preserve">14.5 </w:t>
                            </w:r>
                            <w:r w:rsidRPr="009972AE">
                              <w:rPr>
                                <w:rFonts w:cstheme="minorHAnsi"/>
                              </w:rPr>
                              <w:t>kWh</w:t>
                            </w:r>
                          </w:p>
                          <w:p w14:paraId="1A78B091" w14:textId="136C444B" w:rsidR="00CA6CAD" w:rsidRPr="009972AE" w:rsidRDefault="00CA6CAD" w:rsidP="00F40901">
                            <w:pPr>
                              <w:ind w:firstLine="720"/>
                              <w:rPr>
                                <w:rFonts w:cstheme="minorHAnsi"/>
                              </w:rPr>
                            </w:pPr>
                            <w:r w:rsidRPr="009972AE">
                              <w:rPr>
                                <w:rFonts w:cstheme="minorHAnsi"/>
                                <w:noProof/>
                              </w:rPr>
                              <w:t>ΔkWH</w:t>
                            </w:r>
                            <w:r w:rsidRPr="009972AE">
                              <w:rPr>
                                <w:rFonts w:cstheme="minorHAnsi"/>
                                <w:noProof/>
                                <w:vertAlign w:val="subscript"/>
                              </w:rPr>
                              <w:t>2nd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938*1.06*.154</w:t>
                            </w:r>
                          </w:p>
                          <w:p w14:paraId="231A7801" w14:textId="6EB81073" w:rsidR="00CA6CAD" w:rsidRPr="009972AE" w:rsidRDefault="00CA6CAD" w:rsidP="00F40901">
                            <w:pPr>
                              <w:ind w:left="1440" w:firstLine="720"/>
                              <w:rPr>
                                <w:rFonts w:cstheme="minorHAnsi"/>
                              </w:rPr>
                            </w:pPr>
                            <w:r w:rsidRPr="009972AE">
                              <w:rPr>
                                <w:rFonts w:cstheme="minorHAnsi"/>
                              </w:rPr>
                              <w:t xml:space="preserve">= </w:t>
                            </w:r>
                            <w:r>
                              <w:rPr>
                                <w:rFonts w:cstheme="minorHAnsi"/>
                              </w:rPr>
                              <w:t>3.2</w:t>
                            </w:r>
                            <w:r w:rsidRPr="009972AE">
                              <w:rPr>
                                <w:rFonts w:cstheme="minorHAnsi"/>
                              </w:rPr>
                              <w:t xml:space="preserve"> kWh</w:t>
                            </w:r>
                          </w:p>
                          <w:p w14:paraId="497A8339" w14:textId="4381128E" w:rsidR="00CA6CAD" w:rsidRPr="009972AE" w:rsidRDefault="00CA6CAD" w:rsidP="00F40901">
                            <w:r w:rsidRPr="009972AE">
                              <w:t xml:space="preserve">Note: Here we assume no change in </w:t>
                            </w:r>
                            <w:proofErr w:type="gramStart"/>
                            <w:r w:rsidRPr="009972AE">
                              <w:t>hours</w:t>
                            </w:r>
                            <w:proofErr w:type="gramEnd"/>
                            <w:r w:rsidRPr="009972AE">
                              <w:t xml:space="preserve"> assumption. NTG value from Purchase year applied.</w:t>
                            </w:r>
                          </w:p>
                          <w:p w14:paraId="7C08F8C5" w14:textId="30F47402" w:rsidR="00CA6CAD" w:rsidRPr="009972AE" w:rsidRDefault="00CA6CAD" w:rsidP="00F40901">
                            <w:pPr>
                              <w:ind w:firstLine="720"/>
                              <w:rPr>
                                <w:rFonts w:cstheme="minorHAnsi"/>
                              </w:rPr>
                            </w:pPr>
                            <w:r w:rsidRPr="009972AE">
                              <w:rPr>
                                <w:rFonts w:cstheme="minorHAnsi"/>
                                <w:noProof/>
                              </w:rPr>
                              <w:t>ΔkWH</w:t>
                            </w:r>
                            <w:r w:rsidRPr="009972AE">
                              <w:rPr>
                                <w:rFonts w:cstheme="minorHAnsi"/>
                                <w:noProof/>
                                <w:vertAlign w:val="subscript"/>
                              </w:rPr>
                              <w:t>3rd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938*1.06*.131</w:t>
                            </w:r>
                          </w:p>
                          <w:p w14:paraId="7F3CA050" w14:textId="564623AF" w:rsidR="00CA6CAD" w:rsidRPr="002F2634" w:rsidRDefault="00CA6CAD" w:rsidP="00F40901">
                            <w:pPr>
                              <w:ind w:left="1440" w:firstLine="720"/>
                              <w:rPr>
                                <w:rFonts w:cstheme="minorHAnsi"/>
                              </w:rPr>
                            </w:pPr>
                            <w:r>
                              <w:rPr>
                                <w:rFonts w:cstheme="minorHAnsi"/>
                              </w:rPr>
                              <w:t>= 2.7</w:t>
                            </w:r>
                            <w:r w:rsidRPr="009972AE">
                              <w:rPr>
                                <w:rFonts w:cstheme="minorHAnsi"/>
                              </w:rPr>
                              <w:t xml:space="preserve"> kWh</w:t>
                            </w:r>
                          </w:p>
                          <w:p w14:paraId="53DF1BEA" w14:textId="77777777" w:rsidR="00CA6CAD" w:rsidRPr="002F2634" w:rsidRDefault="00CA6CAD" w:rsidP="00F40901">
                            <w:pPr>
                              <w:ind w:left="1440" w:firstLine="720"/>
                              <w:rPr>
                                <w:rFonts w:cstheme="minorHAnsi"/>
                              </w:rPr>
                            </w:pPr>
                          </w:p>
                        </w:txbxContent>
                      </wps:txbx>
                      <wps:bodyPr rot="0" vert="horz" wrap="square" lIns="91440" tIns="45720" rIns="91440" bIns="45720" anchor="t" anchorCtr="0">
                        <a:noAutofit/>
                      </wps:bodyPr>
                    </wps:wsp>
                  </a:graphicData>
                </a:graphic>
              </wp:inline>
            </w:drawing>
          </mc:Choice>
          <mc:Fallback>
            <w:pict>
              <v:shape w14:anchorId="4F402786" id="Text Box 2" o:spid="_x0000_s1027" type="#_x0000_t202" style="width:468pt;height:2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">
                <v:textbox>
                  <w:txbxContent>
                    <w:p w14:paraId="4139785D" w14:textId="09A098A3" w:rsidR="00CA6CAD" w:rsidRPr="009972AE" w:rsidRDefault="00CA6CAD" w:rsidP="00F40901">
                      <w:r>
                        <w:t>Using the example from above, for an 8</w:t>
                      </w:r>
                      <w:r w:rsidRPr="009972AE">
                        <w:t xml:space="preserve">W </w:t>
                      </w:r>
                      <w:r>
                        <w:t>LED, 450 Lumens purchased for the interior of a residential homes through an upstream program in 2014</w:t>
                      </w:r>
                      <w:r w:rsidRPr="009972AE">
                        <w:t>.</w:t>
                      </w:r>
                    </w:p>
                    <w:p w14:paraId="54CB691E" w14:textId="002FD297" w:rsidR="00CA6CAD" w:rsidRPr="009972AE" w:rsidRDefault="00CA6CAD" w:rsidP="00F40901">
                      <w:pPr>
                        <w:ind w:firstLine="720"/>
                        <w:rPr>
                          <w:rFonts w:cstheme="minorHAnsi"/>
                        </w:rPr>
                      </w:pPr>
                      <w:r w:rsidRPr="009972AE">
                        <w:rPr>
                          <w:rFonts w:cstheme="minorHAnsi"/>
                          <w:noProof/>
                        </w:rPr>
                        <w:t>ΔkWH</w:t>
                      </w:r>
                      <w:r w:rsidRPr="009972AE">
                        <w:rPr>
                          <w:rFonts w:cstheme="minorHAnsi"/>
                          <w:noProof/>
                          <w:vertAlign w:val="subscript"/>
                        </w:rPr>
                        <w:t>1st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938*1.06*.695</w:t>
                      </w:r>
                    </w:p>
                    <w:p w14:paraId="1A8C7BDE" w14:textId="7871707E" w:rsidR="00CA6CAD" w:rsidRPr="009972AE" w:rsidRDefault="00CA6CAD" w:rsidP="00F40901">
                      <w:pPr>
                        <w:ind w:left="1440" w:firstLine="720"/>
                        <w:rPr>
                          <w:rFonts w:cstheme="minorHAnsi"/>
                        </w:rPr>
                      </w:pPr>
                      <w:r w:rsidRPr="009972AE">
                        <w:rPr>
                          <w:rFonts w:cstheme="minorHAnsi"/>
                        </w:rPr>
                        <w:t xml:space="preserve">= </w:t>
                      </w:r>
                      <w:r>
                        <w:rPr>
                          <w:rFonts w:cstheme="minorHAnsi"/>
                          <w:noProof/>
                        </w:rPr>
                        <w:t xml:space="preserve">14.5 </w:t>
                      </w:r>
                      <w:r w:rsidRPr="009972AE">
                        <w:rPr>
                          <w:rFonts w:cstheme="minorHAnsi"/>
                        </w:rPr>
                        <w:t>kWh</w:t>
                      </w:r>
                    </w:p>
                    <w:p w14:paraId="1A78B091" w14:textId="136C444B" w:rsidR="00CA6CAD" w:rsidRPr="009972AE" w:rsidRDefault="00CA6CAD" w:rsidP="00F40901">
                      <w:pPr>
                        <w:ind w:firstLine="720"/>
                        <w:rPr>
                          <w:rFonts w:cstheme="minorHAnsi"/>
                        </w:rPr>
                      </w:pPr>
                      <w:r w:rsidRPr="009972AE">
                        <w:rPr>
                          <w:rFonts w:cstheme="minorHAnsi"/>
                          <w:noProof/>
                        </w:rPr>
                        <w:t>ΔkWH</w:t>
                      </w:r>
                      <w:r w:rsidRPr="009972AE">
                        <w:rPr>
                          <w:rFonts w:cstheme="minorHAnsi"/>
                          <w:noProof/>
                          <w:vertAlign w:val="subscript"/>
                        </w:rPr>
                        <w:t>2nd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938*1.06*.154</w:t>
                      </w:r>
                    </w:p>
                    <w:p w14:paraId="231A7801" w14:textId="6EB81073" w:rsidR="00CA6CAD" w:rsidRPr="009972AE" w:rsidRDefault="00CA6CAD" w:rsidP="00F40901">
                      <w:pPr>
                        <w:ind w:left="1440" w:firstLine="720"/>
                        <w:rPr>
                          <w:rFonts w:cstheme="minorHAnsi"/>
                        </w:rPr>
                      </w:pPr>
                      <w:r w:rsidRPr="009972AE">
                        <w:rPr>
                          <w:rFonts w:cstheme="minorHAnsi"/>
                        </w:rPr>
                        <w:t xml:space="preserve">= </w:t>
                      </w:r>
                      <w:r>
                        <w:rPr>
                          <w:rFonts w:cstheme="minorHAnsi"/>
                        </w:rPr>
                        <w:t>3.2</w:t>
                      </w:r>
                      <w:r w:rsidRPr="009972AE">
                        <w:rPr>
                          <w:rFonts w:cstheme="minorHAnsi"/>
                        </w:rPr>
                        <w:t xml:space="preserve"> kWh</w:t>
                      </w:r>
                    </w:p>
                    <w:p w14:paraId="497A8339" w14:textId="4381128E" w:rsidR="00CA6CAD" w:rsidRPr="009972AE" w:rsidRDefault="00CA6CAD" w:rsidP="00F40901">
                      <w:r w:rsidRPr="009972AE">
                        <w:t xml:space="preserve">Note: Here we assume no change in </w:t>
                      </w:r>
                      <w:proofErr w:type="gramStart"/>
                      <w:r w:rsidRPr="009972AE">
                        <w:t>hours</w:t>
                      </w:r>
                      <w:proofErr w:type="gramEnd"/>
                      <w:r w:rsidRPr="009972AE">
                        <w:t xml:space="preserve"> assumption. NTG value from Purchase year applied.</w:t>
                      </w:r>
                    </w:p>
                    <w:p w14:paraId="7C08F8C5" w14:textId="30F47402" w:rsidR="00CA6CAD" w:rsidRPr="009972AE" w:rsidRDefault="00CA6CAD" w:rsidP="00F40901">
                      <w:pPr>
                        <w:ind w:firstLine="720"/>
                        <w:rPr>
                          <w:rFonts w:cstheme="minorHAnsi"/>
                        </w:rPr>
                      </w:pPr>
                      <w:r w:rsidRPr="009972AE">
                        <w:rPr>
                          <w:rFonts w:cstheme="minorHAnsi"/>
                          <w:noProof/>
                        </w:rPr>
                        <w:t>ΔkWH</w:t>
                      </w:r>
                      <w:r w:rsidRPr="009972AE">
                        <w:rPr>
                          <w:rFonts w:cstheme="minorHAnsi"/>
                          <w:noProof/>
                          <w:vertAlign w:val="subscript"/>
                        </w:rPr>
                        <w:t>3rd year installs</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/1000)*</w:t>
                      </w:r>
                      <w:r>
                        <w:rPr>
                          <w:rFonts w:cstheme="minorHAnsi"/>
                          <w:noProof/>
                        </w:rPr>
                        <w:t>938*1.06*.131</w:t>
                      </w:r>
                    </w:p>
                    <w:p w14:paraId="7F3CA050" w14:textId="564623AF" w:rsidR="00CA6CAD" w:rsidRPr="002F2634" w:rsidRDefault="00CA6CAD" w:rsidP="00F40901">
                      <w:pPr>
                        <w:ind w:left="1440" w:firstLine="720"/>
                        <w:rPr>
                          <w:rFonts w:cstheme="minorHAnsi"/>
                        </w:rPr>
                      </w:pPr>
                      <w:r>
                        <w:rPr>
                          <w:rFonts w:cstheme="minorHAnsi"/>
                        </w:rPr>
                        <w:t>= 2.7</w:t>
                      </w:r>
                      <w:r w:rsidRPr="009972AE">
                        <w:rPr>
                          <w:rFonts w:cstheme="minorHAnsi"/>
                        </w:rPr>
                        <w:t xml:space="preserve"> kWh</w:t>
                      </w:r>
                    </w:p>
                    <w:p w14:paraId="53DF1BEA" w14:textId="77777777" w:rsidR="00CA6CAD" w:rsidRPr="002F2634" w:rsidRDefault="00CA6CAD" w:rsidP="00F40901">
                      <w:pPr>
                        <w:ind w:left="1440" w:firstLine="720"/>
                        <w:rPr>
                          <w:rFonts w:cstheme="minorHAnsi"/>
                        </w:rPr>
                      </w:pPr>
                    </w:p>
                  </w:txbxContent>
                </v:textbox>
                <w10:anchorlock/>
              </v:shape>
            </w:pict>
          </mc:Fallback>
        </mc:AlternateContent>
      </w:r>
    </w:p>
    <w:p w14:paraId="5AE01213" w14:textId="77777777" w:rsidR="00F40901" w:rsidRPr="000B7BB6" w:rsidRDefault="00F40901" w:rsidP="00F40901">
      <w:pPr>
        <w:pStyle w:val="Heading6"/>
      </w:pPr>
      <w:r w:rsidRPr="000B7BB6">
        <w:t>Heating Penalty</w:t>
      </w:r>
    </w:p>
    <w:p w14:paraId="612248F4" w14:textId="77777777" w:rsidR="00F40901" w:rsidRPr="00A05FC2" w:rsidRDefault="00F40901" w:rsidP="00F40901">
      <w:pPr>
        <w:rPr>
          <w:rFonts w:cstheme="minorHAnsi"/>
          <w:noProof/>
        </w:rPr>
      </w:pPr>
      <w:r w:rsidRPr="00A05FC2">
        <w:rPr>
          <w:rFonts w:cstheme="minorHAnsi"/>
          <w:noProof/>
        </w:rPr>
        <w:t xml:space="preserve">If electric heated home (if heating fuel is unknown assume gas, see </w:t>
      </w:r>
      <w:r>
        <w:rPr>
          <w:rFonts w:cstheme="minorHAnsi"/>
          <w:noProof/>
        </w:rPr>
        <w:t>Natural Gas</w:t>
      </w:r>
      <w:r w:rsidRPr="00A05FC2">
        <w:rPr>
          <w:rFonts w:cstheme="minorHAnsi"/>
          <w:noProof/>
        </w:rPr>
        <w:t xml:space="preserve"> section):</w:t>
      </w:r>
    </w:p>
    <w:p w14:paraId="7B55A19D" w14:textId="77777777" w:rsidR="00F40901" w:rsidRPr="000B7BB6" w:rsidRDefault="00F40901" w:rsidP="00F40901">
      <w:pPr>
        <w:ind w:left="1440"/>
        <w:rPr>
          <w:rFonts w:cstheme="minorHAnsi"/>
          <w:noProof/>
        </w:rPr>
      </w:pPr>
      <w:bookmarkStart w:id="68" w:name="OLE_LINK2"/>
      <w:bookmarkStart w:id="69" w:name="OLE_LINK3"/>
      <w:r>
        <w:rPr>
          <w:rFonts w:cstheme="minorHAnsi"/>
          <w:noProof/>
        </w:rPr>
        <w:lastRenderedPageBreak/>
        <w:t>∆</w:t>
      </w:r>
      <w:r w:rsidRPr="00B41203">
        <w:rPr>
          <w:rFonts w:cstheme="minorHAnsi"/>
          <w:noProof/>
        </w:rPr>
        <w:t>kWh</w:t>
      </w:r>
      <w:r w:rsidRPr="000B7BB6">
        <w:rPr>
          <w:rStyle w:val="FootnoteReference"/>
          <w:rFonts w:eastAsiaTheme="majorEastAsia" w:cstheme="minorHAnsi"/>
          <w:noProof/>
        </w:rPr>
        <w:footnoteReference w:id="13"/>
      </w:r>
      <w:r w:rsidRPr="00B41203">
        <w:rPr>
          <w:rFonts w:cstheme="minorHAnsi"/>
          <w:noProof/>
        </w:rPr>
        <w:t xml:space="preserve">  = - (((WattsBase - WattsEE) / 1000) * ISR * Hours * HF) / ηHeat</w:t>
      </w:r>
      <w:bookmarkEnd w:id="68"/>
      <w:bookmarkEnd w:id="69"/>
      <w:r w:rsidRPr="00B41203">
        <w:rPr>
          <w:rFonts w:cstheme="minorHAnsi"/>
          <w:noProof/>
        </w:rPr>
        <w:tab/>
      </w:r>
    </w:p>
    <w:p w14:paraId="1F25F03C" w14:textId="77777777" w:rsidR="00F40901" w:rsidRPr="000B7BB6" w:rsidRDefault="00F40901" w:rsidP="00F40901">
      <w:pPr>
        <w:ind w:left="1440" w:hanging="720"/>
        <w:rPr>
          <w:rFonts w:cstheme="minorHAnsi"/>
          <w:noProof/>
          <w:lang w:val="nl-NL"/>
        </w:rPr>
      </w:pPr>
      <w:r w:rsidRPr="000B7BB6">
        <w:rPr>
          <w:rFonts w:cstheme="minorHAnsi"/>
          <w:noProof/>
          <w:lang w:val="nl-NL"/>
        </w:rPr>
        <w:t>Where:</w:t>
      </w:r>
    </w:p>
    <w:p w14:paraId="0D7DEC5E" w14:textId="77777777" w:rsidR="00F40901" w:rsidRPr="000B7BB6" w:rsidRDefault="00F40901" w:rsidP="00F40901">
      <w:pPr>
        <w:ind w:left="1440" w:hanging="720"/>
        <w:rPr>
          <w:rFonts w:cstheme="minorHAnsi"/>
          <w:noProof/>
          <w:lang w:val="nl-NL"/>
        </w:rPr>
      </w:pPr>
      <w:r w:rsidRPr="000B7BB6">
        <w:rPr>
          <w:rFonts w:cstheme="minorHAnsi"/>
          <w:noProof/>
          <w:lang w:val="nl-NL"/>
        </w:rPr>
        <w:tab/>
        <w:t>HF</w:t>
      </w:r>
      <w:r w:rsidRPr="000B7BB6">
        <w:rPr>
          <w:rFonts w:cstheme="minorHAnsi"/>
          <w:noProof/>
          <w:lang w:val="nl-NL"/>
        </w:rPr>
        <w:tab/>
      </w:r>
      <w:r w:rsidRPr="000B7BB6">
        <w:rPr>
          <w:rFonts w:cstheme="minorHAnsi"/>
          <w:noProof/>
          <w:lang w:val="nl-NL"/>
        </w:rPr>
        <w:tab/>
        <w:t>= Heating Factor or percentage of light savings that must be heated</w:t>
      </w:r>
    </w:p>
    <w:p w14:paraId="32E178F6" w14:textId="77777777" w:rsidR="00F40901" w:rsidRPr="000B7BB6" w:rsidRDefault="00F40901" w:rsidP="00F40901">
      <w:pPr>
        <w:ind w:left="1440" w:hanging="720"/>
        <w:rPr>
          <w:rFonts w:cstheme="minorHAnsi"/>
          <w:noProof/>
          <w:lang w:val="nl-NL"/>
        </w:rPr>
      </w:pPr>
      <w:r w:rsidRPr="000B7BB6">
        <w:rPr>
          <w:rFonts w:cstheme="minorHAnsi"/>
          <w:noProof/>
          <w:lang w:val="nl-NL"/>
        </w:rPr>
        <w:tab/>
      </w:r>
      <w:r w:rsidRPr="000B7BB6">
        <w:rPr>
          <w:rFonts w:cstheme="minorHAnsi"/>
          <w:noProof/>
          <w:lang w:val="nl-NL"/>
        </w:rPr>
        <w:tab/>
      </w:r>
      <w:r w:rsidRPr="000B7BB6">
        <w:rPr>
          <w:rFonts w:cstheme="minorHAnsi"/>
          <w:noProof/>
          <w:lang w:val="nl-NL"/>
        </w:rPr>
        <w:tab/>
        <w:t>= 49%</w:t>
      </w:r>
      <w:r w:rsidRPr="000B7BB6">
        <w:rPr>
          <w:rStyle w:val="FootnoteReference"/>
          <w:rFonts w:eastAsiaTheme="majorEastAsia" w:cstheme="minorHAnsi"/>
          <w:noProof/>
          <w:lang w:val="nl-NL"/>
        </w:rPr>
        <w:footnoteReference w:id="14"/>
      </w:r>
      <w:r w:rsidRPr="00B41203">
        <w:rPr>
          <w:rFonts w:cstheme="minorHAnsi"/>
          <w:noProof/>
          <w:lang w:val="nl-NL"/>
        </w:rPr>
        <w:t xml:space="preserve"> for interior </w:t>
      </w:r>
      <w:r w:rsidRPr="000B7BB6">
        <w:rPr>
          <w:rFonts w:cstheme="minorHAnsi"/>
          <w:noProof/>
        </w:rPr>
        <w:t>or unknown</w:t>
      </w:r>
      <w:r w:rsidRPr="000B7BB6">
        <w:rPr>
          <w:rFonts w:cstheme="minorHAnsi"/>
          <w:noProof/>
          <w:lang w:val="nl-NL"/>
        </w:rPr>
        <w:t xml:space="preserve"> location</w:t>
      </w:r>
    </w:p>
    <w:p w14:paraId="0EEA52A8" w14:textId="77777777" w:rsidR="00F40901" w:rsidRDefault="00F40901" w:rsidP="00F40901">
      <w:pPr>
        <w:ind w:left="1440" w:hanging="720"/>
        <w:rPr>
          <w:rFonts w:cstheme="minorHAnsi"/>
          <w:noProof/>
        </w:rPr>
      </w:pPr>
      <w:r w:rsidRPr="000B7BB6">
        <w:rPr>
          <w:rFonts w:cstheme="minorHAnsi"/>
          <w:noProof/>
          <w:lang w:val="nl-NL"/>
        </w:rPr>
        <w:tab/>
      </w:r>
      <w:r w:rsidRPr="000B7BB6">
        <w:rPr>
          <w:rFonts w:cstheme="minorHAnsi"/>
          <w:noProof/>
          <w:lang w:val="nl-NL"/>
        </w:rPr>
        <w:tab/>
      </w:r>
      <w:r w:rsidRPr="000B7BB6">
        <w:rPr>
          <w:rFonts w:cstheme="minorHAnsi"/>
          <w:noProof/>
          <w:lang w:val="nl-NL"/>
        </w:rPr>
        <w:tab/>
        <w:t xml:space="preserve">= 0% for exterior </w:t>
      </w:r>
      <w:r w:rsidRPr="000B7BB6">
        <w:rPr>
          <w:rFonts w:cstheme="minorHAnsi"/>
          <w:noProof/>
        </w:rPr>
        <w:t xml:space="preserve">or unheated </w:t>
      </w:r>
      <w:r w:rsidRPr="000B7BB6">
        <w:rPr>
          <w:rFonts w:cstheme="minorHAnsi"/>
          <w:noProof/>
          <w:lang w:val="nl-NL"/>
        </w:rPr>
        <w:t>location</w:t>
      </w:r>
    </w:p>
    <w:p w14:paraId="4E71AFFA" w14:textId="77777777" w:rsidR="00F40901" w:rsidRPr="00A05FC2" w:rsidRDefault="00F40901" w:rsidP="00F40901">
      <w:pPr>
        <w:ind w:left="720" w:firstLine="720"/>
        <w:rPr>
          <w:rFonts w:cstheme="minorHAnsi"/>
          <w:noProof/>
        </w:rPr>
      </w:pPr>
      <w:r w:rsidRPr="00A05FC2">
        <w:rPr>
          <w:rFonts w:cstheme="minorHAnsi"/>
          <w:noProof/>
        </w:rPr>
        <w:t xml:space="preserve">ηHeat </w:t>
      </w:r>
      <w:r w:rsidRPr="00A05FC2">
        <w:rPr>
          <w:rFonts w:cstheme="minorHAnsi"/>
          <w:noProof/>
        </w:rPr>
        <w:tab/>
      </w:r>
      <w:r w:rsidRPr="00A05FC2">
        <w:rPr>
          <w:rFonts w:cstheme="minorHAnsi"/>
          <w:noProof/>
        </w:rPr>
        <w:tab/>
        <w:t xml:space="preserve">= Efficiency in COP of Heating equipment </w:t>
      </w:r>
    </w:p>
    <w:p w14:paraId="7A78E574" w14:textId="77777777" w:rsidR="00F40901" w:rsidRPr="00A05FC2" w:rsidRDefault="00F40901" w:rsidP="00F40901">
      <w:pPr>
        <w:ind w:left="2160" w:firstLine="720"/>
        <w:rPr>
          <w:rFonts w:cstheme="minorHAnsi"/>
        </w:rPr>
      </w:pPr>
      <w:r w:rsidRPr="00A05FC2">
        <w:rPr>
          <w:rFonts w:cstheme="minorHAnsi"/>
          <w:noProof/>
        </w:rPr>
        <w:t>= actual.</w:t>
      </w:r>
      <w:r w:rsidRPr="00A05FC2">
        <w:rPr>
          <w:rFonts w:cstheme="minorHAnsi"/>
        </w:rPr>
        <w:t xml:space="preserve"> If not available use</w:t>
      </w:r>
      <w:r w:rsidRPr="000B7BB6">
        <w:rPr>
          <w:rStyle w:val="FootnoteReference"/>
          <w:rFonts w:eastAsiaTheme="majorEastAsia" w:cstheme="minorHAnsi"/>
        </w:rPr>
        <w:footnoteReference w:id="15"/>
      </w:r>
      <w:r w:rsidRPr="00A05FC2">
        <w:rPr>
          <w:rFonts w:cstheme="minorHAnsi"/>
        </w:rPr>
        <w:t>:</w:t>
      </w:r>
    </w:p>
    <w:tbl>
      <w:tblPr>
        <w:tblStyle w:val="TableGrid"/>
        <w:tblW w:w="0" w:type="auto"/>
        <w:tblInd w:w="2448" w:type="dxa"/>
        <w:tblLayout w:type="fixed"/>
        <w:tblLook w:val="04A0" w:firstRow="1" w:lastRow="0" w:firstColumn="1" w:lastColumn="0" w:noHBand="0" w:noVBand="1"/>
      </w:tblPr>
      <w:tblGrid>
        <w:gridCol w:w="1350"/>
        <w:gridCol w:w="1732"/>
        <w:gridCol w:w="1379"/>
        <w:gridCol w:w="1479"/>
      </w:tblGrid>
      <w:tr w:rsidR="00F40901" w:rsidRPr="0045222F" w14:paraId="649B4631" w14:textId="77777777" w:rsidTr="0005038D">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B0798F7"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D83FF17"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BDDFA83"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HSPF Estimate</w:t>
            </w:r>
          </w:p>
        </w:tc>
        <w:tc>
          <w:tcPr>
            <w:tcW w:w="14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DE02F4E" w14:textId="77777777" w:rsidR="00F40901" w:rsidRPr="0045222F" w:rsidRDefault="00F40901" w:rsidP="0005038D">
            <w:pPr>
              <w:spacing w:after="0"/>
              <w:jc w:val="center"/>
              <w:rPr>
                <w:rFonts w:asciiTheme="minorHAnsi" w:hAnsiTheme="minorHAnsi" w:cstheme="minorHAnsi"/>
                <w:b/>
                <w:color w:val="FFFFFF" w:themeColor="background1"/>
              </w:rPr>
            </w:pPr>
            <w:proofErr w:type="spellStart"/>
            <w:r w:rsidRPr="0045222F">
              <w:rPr>
                <w:rFonts w:asciiTheme="minorHAnsi" w:hAnsiTheme="minorHAnsi" w:cstheme="minorHAnsi"/>
                <w:b/>
                <w:color w:val="FFFFFF" w:themeColor="background1"/>
              </w:rPr>
              <w:t>ηHeat</w:t>
            </w:r>
            <w:proofErr w:type="spellEnd"/>
          </w:p>
          <w:p w14:paraId="7C83BA9E"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(COP Estimate)</w:t>
            </w:r>
          </w:p>
        </w:tc>
      </w:tr>
      <w:tr w:rsidR="00F40901" w:rsidRPr="0045222F" w14:paraId="423EC5B6" w14:textId="77777777" w:rsidTr="0005038D">
        <w:trPr>
          <w:trHeight w:val="323"/>
        </w:trPr>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33E0BD50" w14:textId="77777777" w:rsidR="00F40901" w:rsidRPr="0045222F" w:rsidRDefault="00F40901" w:rsidP="0005038D">
            <w:pPr>
              <w:pStyle w:val="TableText"/>
            </w:pPr>
            <w:r w:rsidRPr="0045222F">
              <w:t>Heat Pump</w:t>
            </w:r>
          </w:p>
        </w:tc>
        <w:tc>
          <w:tcPr>
            <w:tcW w:w="1732" w:type="dxa"/>
            <w:tcBorders>
              <w:top w:val="single" w:sz="4" w:space="0" w:color="auto"/>
              <w:left w:val="single" w:sz="4" w:space="0" w:color="auto"/>
              <w:bottom w:val="single" w:sz="4" w:space="0" w:color="auto"/>
              <w:right w:val="single" w:sz="4" w:space="0" w:color="auto"/>
            </w:tcBorders>
            <w:vAlign w:val="center"/>
            <w:hideMark/>
          </w:tcPr>
          <w:p w14:paraId="4FCB7509" w14:textId="77777777" w:rsidR="00F40901" w:rsidRPr="0045222F" w:rsidRDefault="00F40901" w:rsidP="0005038D">
            <w:pPr>
              <w:pStyle w:val="TableText"/>
            </w:pPr>
            <w:r w:rsidRPr="0045222F">
              <w:t>Before 2006</w:t>
            </w:r>
          </w:p>
        </w:tc>
        <w:tc>
          <w:tcPr>
            <w:tcW w:w="1379" w:type="dxa"/>
            <w:tcBorders>
              <w:top w:val="single" w:sz="4" w:space="0" w:color="auto"/>
              <w:left w:val="single" w:sz="4" w:space="0" w:color="auto"/>
              <w:bottom w:val="single" w:sz="4" w:space="0" w:color="auto"/>
              <w:right w:val="single" w:sz="4" w:space="0" w:color="auto"/>
            </w:tcBorders>
            <w:vAlign w:val="center"/>
            <w:hideMark/>
          </w:tcPr>
          <w:p w14:paraId="4B55C557" w14:textId="77777777" w:rsidR="00F40901" w:rsidRPr="0045222F" w:rsidRDefault="00F40901" w:rsidP="0005038D">
            <w:pPr>
              <w:pStyle w:val="TableText"/>
            </w:pPr>
            <w:r w:rsidRPr="0045222F">
              <w:t>6.8</w:t>
            </w:r>
          </w:p>
        </w:tc>
        <w:tc>
          <w:tcPr>
            <w:tcW w:w="1479" w:type="dxa"/>
            <w:tcBorders>
              <w:top w:val="single" w:sz="4" w:space="0" w:color="auto"/>
              <w:left w:val="single" w:sz="4" w:space="0" w:color="auto"/>
              <w:bottom w:val="single" w:sz="4" w:space="0" w:color="auto"/>
              <w:right w:val="single" w:sz="4" w:space="0" w:color="auto"/>
            </w:tcBorders>
            <w:vAlign w:val="center"/>
            <w:hideMark/>
          </w:tcPr>
          <w:p w14:paraId="34808A1A" w14:textId="77777777" w:rsidR="00F40901" w:rsidRPr="0045222F" w:rsidRDefault="00F40901" w:rsidP="0005038D">
            <w:pPr>
              <w:pStyle w:val="TableText"/>
            </w:pPr>
            <w:r w:rsidRPr="0045222F">
              <w:t>2.00</w:t>
            </w:r>
          </w:p>
        </w:tc>
      </w:tr>
      <w:tr w:rsidR="00F40901" w:rsidRPr="0045222F" w14:paraId="62E85DE8" w14:textId="77777777" w:rsidTr="0005038D">
        <w:tc>
          <w:tcPr>
            <w:tcW w:w="1350" w:type="dxa"/>
            <w:vMerge/>
            <w:tcBorders>
              <w:top w:val="single" w:sz="4" w:space="0" w:color="auto"/>
              <w:left w:val="single" w:sz="4" w:space="0" w:color="auto"/>
              <w:bottom w:val="single" w:sz="4" w:space="0" w:color="auto"/>
              <w:right w:val="single" w:sz="4" w:space="0" w:color="auto"/>
            </w:tcBorders>
            <w:vAlign w:val="center"/>
            <w:hideMark/>
          </w:tcPr>
          <w:p w14:paraId="7D33AEC8" w14:textId="77777777" w:rsidR="00F40901" w:rsidRPr="0045222F" w:rsidRDefault="00F40901" w:rsidP="0005038D">
            <w:pPr>
              <w:pStyle w:val="TableText"/>
            </w:pPr>
          </w:p>
        </w:tc>
        <w:tc>
          <w:tcPr>
            <w:tcW w:w="1732" w:type="dxa"/>
            <w:tcBorders>
              <w:top w:val="single" w:sz="4" w:space="0" w:color="auto"/>
              <w:left w:val="single" w:sz="4" w:space="0" w:color="auto"/>
              <w:bottom w:val="single" w:sz="4" w:space="0" w:color="auto"/>
              <w:right w:val="single" w:sz="4" w:space="0" w:color="auto"/>
            </w:tcBorders>
            <w:vAlign w:val="center"/>
            <w:hideMark/>
          </w:tcPr>
          <w:p w14:paraId="42C51C6D" w14:textId="77777777" w:rsidR="00F40901" w:rsidRPr="0045222F" w:rsidRDefault="00F40901" w:rsidP="0005038D">
            <w:pPr>
              <w:pStyle w:val="TableText"/>
            </w:pPr>
            <w:r w:rsidRPr="0045222F">
              <w:t>After 2006</w:t>
            </w:r>
          </w:p>
        </w:tc>
        <w:tc>
          <w:tcPr>
            <w:tcW w:w="1379" w:type="dxa"/>
            <w:tcBorders>
              <w:top w:val="single" w:sz="4" w:space="0" w:color="auto"/>
              <w:left w:val="single" w:sz="4" w:space="0" w:color="auto"/>
              <w:bottom w:val="single" w:sz="4" w:space="0" w:color="auto"/>
              <w:right w:val="single" w:sz="4" w:space="0" w:color="auto"/>
            </w:tcBorders>
            <w:vAlign w:val="center"/>
            <w:hideMark/>
          </w:tcPr>
          <w:p w14:paraId="1EE05F7C" w14:textId="77777777" w:rsidR="00F40901" w:rsidRPr="0045222F" w:rsidRDefault="00F40901" w:rsidP="0005038D">
            <w:pPr>
              <w:pStyle w:val="TableText"/>
            </w:pPr>
            <w:r w:rsidRPr="0045222F">
              <w:t>7.7</w:t>
            </w:r>
          </w:p>
        </w:tc>
        <w:tc>
          <w:tcPr>
            <w:tcW w:w="1479" w:type="dxa"/>
            <w:tcBorders>
              <w:top w:val="single" w:sz="4" w:space="0" w:color="auto"/>
              <w:left w:val="single" w:sz="4" w:space="0" w:color="auto"/>
              <w:bottom w:val="single" w:sz="4" w:space="0" w:color="auto"/>
              <w:right w:val="single" w:sz="4" w:space="0" w:color="auto"/>
            </w:tcBorders>
            <w:vAlign w:val="center"/>
            <w:hideMark/>
          </w:tcPr>
          <w:p w14:paraId="20BBE261" w14:textId="77777777" w:rsidR="00F40901" w:rsidRPr="0045222F" w:rsidRDefault="00F40901" w:rsidP="0005038D">
            <w:pPr>
              <w:pStyle w:val="TableText"/>
            </w:pPr>
            <w:r w:rsidRPr="0045222F">
              <w:t>2.26</w:t>
            </w:r>
          </w:p>
        </w:tc>
      </w:tr>
      <w:tr w:rsidR="00F40901" w:rsidRPr="0045222F" w14:paraId="1BDDB772" w14:textId="77777777" w:rsidTr="0005038D">
        <w:tc>
          <w:tcPr>
            <w:tcW w:w="1350" w:type="dxa"/>
            <w:tcBorders>
              <w:top w:val="single" w:sz="4" w:space="0" w:color="auto"/>
              <w:left w:val="single" w:sz="4" w:space="0" w:color="auto"/>
              <w:bottom w:val="single" w:sz="4" w:space="0" w:color="auto"/>
              <w:right w:val="single" w:sz="4" w:space="0" w:color="auto"/>
            </w:tcBorders>
            <w:vAlign w:val="center"/>
            <w:hideMark/>
          </w:tcPr>
          <w:p w14:paraId="07676FBE" w14:textId="77777777" w:rsidR="00F40901" w:rsidRPr="0045222F" w:rsidRDefault="00F40901" w:rsidP="0005038D">
            <w:pPr>
              <w:pStyle w:val="TableText"/>
            </w:pPr>
            <w:r w:rsidRPr="0045222F">
              <w:t>Resistance</w:t>
            </w:r>
          </w:p>
        </w:tc>
        <w:tc>
          <w:tcPr>
            <w:tcW w:w="1732" w:type="dxa"/>
            <w:tcBorders>
              <w:top w:val="single" w:sz="4" w:space="0" w:color="auto"/>
              <w:left w:val="single" w:sz="4" w:space="0" w:color="auto"/>
              <w:bottom w:val="single" w:sz="4" w:space="0" w:color="auto"/>
              <w:right w:val="single" w:sz="4" w:space="0" w:color="auto"/>
            </w:tcBorders>
            <w:vAlign w:val="center"/>
            <w:hideMark/>
          </w:tcPr>
          <w:p w14:paraId="26367310" w14:textId="77777777" w:rsidR="00F40901" w:rsidRPr="0045222F" w:rsidRDefault="00F40901" w:rsidP="0005038D">
            <w:pPr>
              <w:pStyle w:val="TableText"/>
            </w:pPr>
            <w:r w:rsidRPr="0045222F">
              <w:t>N/A</w:t>
            </w:r>
          </w:p>
        </w:tc>
        <w:tc>
          <w:tcPr>
            <w:tcW w:w="1379" w:type="dxa"/>
            <w:tcBorders>
              <w:top w:val="single" w:sz="4" w:space="0" w:color="auto"/>
              <w:left w:val="single" w:sz="4" w:space="0" w:color="auto"/>
              <w:bottom w:val="single" w:sz="4" w:space="0" w:color="auto"/>
              <w:right w:val="single" w:sz="4" w:space="0" w:color="auto"/>
            </w:tcBorders>
            <w:vAlign w:val="center"/>
            <w:hideMark/>
          </w:tcPr>
          <w:p w14:paraId="11E8F8A5" w14:textId="77777777" w:rsidR="00F40901" w:rsidRPr="0045222F" w:rsidRDefault="00F40901" w:rsidP="0005038D">
            <w:pPr>
              <w:pStyle w:val="TableText"/>
            </w:pPr>
            <w:r w:rsidRPr="0045222F">
              <w:t>N/A</w:t>
            </w:r>
          </w:p>
        </w:tc>
        <w:tc>
          <w:tcPr>
            <w:tcW w:w="1479" w:type="dxa"/>
            <w:tcBorders>
              <w:top w:val="single" w:sz="4" w:space="0" w:color="auto"/>
              <w:left w:val="single" w:sz="4" w:space="0" w:color="auto"/>
              <w:bottom w:val="single" w:sz="4" w:space="0" w:color="auto"/>
              <w:right w:val="single" w:sz="4" w:space="0" w:color="auto"/>
            </w:tcBorders>
            <w:vAlign w:val="center"/>
            <w:hideMark/>
          </w:tcPr>
          <w:p w14:paraId="31977E86" w14:textId="77777777" w:rsidR="00F40901" w:rsidRPr="0045222F" w:rsidRDefault="00F40901" w:rsidP="0005038D">
            <w:pPr>
              <w:pStyle w:val="TableText"/>
            </w:pPr>
            <w:r w:rsidRPr="0045222F">
              <w:t>1.00</w:t>
            </w:r>
          </w:p>
        </w:tc>
      </w:tr>
    </w:tbl>
    <w:p w14:paraId="23D33EF2" w14:textId="77777777" w:rsidR="00F40901" w:rsidRDefault="00F40901" w:rsidP="00F40901">
      <w:pPr>
        <w:ind w:left="1440" w:hanging="720"/>
        <w:rPr>
          <w:rFonts w:cstheme="minorHAnsi"/>
          <w:b/>
          <w:szCs w:val="20"/>
        </w:rPr>
      </w:pPr>
    </w:p>
    <w:p w14:paraId="7A229C08" w14:textId="77777777" w:rsidR="00F40901" w:rsidRPr="000B7BB6" w:rsidRDefault="00F40901" w:rsidP="00F40901">
      <w:pPr>
        <w:ind w:left="1440" w:hanging="1440"/>
        <w:rPr>
          <w:rFonts w:cstheme="minorHAnsi"/>
          <w:b/>
          <w:szCs w:val="20"/>
        </w:rPr>
      </w:pPr>
      <w:r w:rsidRPr="00B41203">
        <w:rPr>
          <w:rFonts w:cstheme="minorHAnsi"/>
          <w:noProof/>
        </w:rPr>
        <w:lastRenderedPageBreak/>
        <mc:AlternateContent>
          <mc:Choice Requires="wps">
            <w:drawing>
              <wp:inline distT="0" distB="0" distL="0" distR="0" wp14:anchorId="206CD690" wp14:editId="20F97D64">
                <wp:extent cx="5852160" cy="1539240"/>
                <wp:effectExtent l="0" t="0" r="15240" b="22860"/>
                <wp:docPr id="4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1539240"/>
                        </a:xfrm>
                        <a:prstGeom prst="rect">
                          <a:avLst/>
                        </a:prstGeom>
                        <a:solidFill>
                          <a:srgbClr val="FFFFFF"/>
                        </a:solidFill>
                        <a:ln w="9525">
                          <a:solidFill>
                            <a:srgbClr val="000000"/>
                          </a:solidFill>
                          <a:miter lim="800000"/>
                          <a:headEnd/>
                          <a:tailEnd/>
                        </a:ln>
                      </wps:spPr>
                      <wps:txbx>
                        <w:txbxContent>
                          <w:p w14:paraId="12427809" w14:textId="0FF8772A" w:rsidR="00CA6CAD" w:rsidRPr="00F40901" w:rsidRDefault="00CA6CAD" w:rsidP="00F40901">
                            <w:pPr>
                              <w:rPr>
                                <w:rFonts w:cstheme="minorHAnsi"/>
                                <w:highlight w:val="yellow"/>
                              </w:rPr>
                            </w:pPr>
                            <w:r>
                              <w:rPr>
                                <w:rFonts w:cstheme="minorHAnsi"/>
                              </w:rPr>
                              <w:t xml:space="preserve">Using the same 8 W LED that </w:t>
                            </w:r>
                            <w:r w:rsidRPr="009972AE">
                              <w:rPr>
                                <w:rFonts w:cstheme="minorHAnsi"/>
                              </w:rPr>
                              <w:t>is installed in home with 2.0 COP Heat Pump</w:t>
                            </w:r>
                            <w:r>
                              <w:rPr>
                                <w:rFonts w:cstheme="minorHAnsi"/>
                              </w:rPr>
                              <w:t xml:space="preserve"> (i.e., the heat pump was installed prior to 2006)</w:t>
                            </w:r>
                            <w:r w:rsidRPr="009972AE">
                              <w:rPr>
                                <w:rFonts w:cstheme="minorHAnsi"/>
                              </w:rPr>
                              <w:t>:</w:t>
                            </w:r>
                          </w:p>
                          <w:p w14:paraId="1B03A1AD" w14:textId="45C7CA29" w:rsidR="00CA6CAD" w:rsidRPr="009972AE" w:rsidRDefault="00CA6CAD" w:rsidP="00F40901">
                            <w:pPr>
                              <w:ind w:firstLine="720"/>
                              <w:rPr>
                                <w:rFonts w:cstheme="minorHAnsi"/>
                                <w:noProof/>
                              </w:rPr>
                            </w:pPr>
                            <w:r w:rsidRPr="009972AE">
                              <w:rPr>
                                <w:rFonts w:cstheme="minorHAnsi"/>
                                <w:noProof/>
                              </w:rPr>
                              <w:t>∆kWh</w:t>
                            </w:r>
                            <w:r w:rsidRPr="009972AE">
                              <w:rPr>
                                <w:rFonts w:cstheme="minorHAnsi"/>
                                <w:noProof/>
                                <w:vertAlign w:val="subscript"/>
                              </w:rPr>
                              <w:t>1st year</w:t>
                            </w:r>
                            <w:r w:rsidRPr="009972AE">
                              <w:rPr>
                                <w:rFonts w:cstheme="minorHAnsi"/>
                                <w:noProof/>
                              </w:rPr>
                              <w:t xml:space="preserve">  </w:t>
                            </w:r>
                            <w:r w:rsidRPr="009972AE">
                              <w:rPr>
                                <w:rFonts w:cstheme="minorHAnsi"/>
                                <w:noProof/>
                              </w:rPr>
                              <w:tab/>
                              <w:t>= - (((</w:t>
                            </w:r>
                            <w:r>
                              <w:rPr>
                                <w:rFonts w:cstheme="minorHAnsi"/>
                                <w:noProof/>
                              </w:rPr>
                              <w:t>29-8</w:t>
                            </w:r>
                            <w:r w:rsidRPr="009972AE">
                              <w:rPr>
                                <w:rFonts w:cstheme="minorHAnsi"/>
                                <w:noProof/>
                              </w:rPr>
                              <w:t>) / 1000) * 0.695 * 938 * 0.49) / 2.0</w:t>
                            </w:r>
                          </w:p>
                          <w:p w14:paraId="755E2A5C" w14:textId="0CCE346E" w:rsidR="00CA6CAD" w:rsidRPr="009972AE" w:rsidRDefault="00CA6CAD" w:rsidP="00F40901">
                            <w:pPr>
                              <w:rPr>
                                <w:rFonts w:cstheme="minorHAnsi"/>
                              </w:rPr>
                            </w:pPr>
                            <w:r w:rsidRPr="009972AE">
                              <w:rPr>
                                <w:rFonts w:cstheme="minorHAnsi"/>
                              </w:rPr>
                              <w:tab/>
                            </w:r>
                            <w:r w:rsidRPr="009972AE">
                              <w:rPr>
                                <w:rFonts w:cstheme="minorHAnsi"/>
                              </w:rPr>
                              <w:tab/>
                            </w:r>
                            <w:r w:rsidRPr="009972AE">
                              <w:rPr>
                                <w:rFonts w:cstheme="minorHAnsi"/>
                              </w:rPr>
                              <w:tab/>
                              <w:t xml:space="preserve">= - </w:t>
                            </w:r>
                            <w:r>
                              <w:rPr>
                                <w:rFonts w:cstheme="minorHAnsi"/>
                              </w:rPr>
                              <w:t>3.4</w:t>
                            </w:r>
                            <w:r w:rsidRPr="009972AE">
                              <w:rPr>
                                <w:rFonts w:cstheme="minorHAnsi"/>
                              </w:rPr>
                              <w:t xml:space="preserve"> kWh</w:t>
                            </w:r>
                          </w:p>
                          <w:p w14:paraId="388BF452" w14:textId="77777777" w:rsidR="00CA6CAD" w:rsidRPr="002F2634" w:rsidRDefault="00CA6CAD" w:rsidP="00F40901">
                            <w:pPr>
                              <w:rPr>
                                <w:rFonts w:cstheme="minorHAnsi"/>
                              </w:rPr>
                            </w:pPr>
                            <w:r w:rsidRPr="009972AE">
                              <w:rPr>
                                <w:rFonts w:cstheme="minorHAnsi"/>
                              </w:rPr>
                              <w:t>Second and third year install savings should be calculated using the appropriate ISR and the delta watts and hours from the install year. The appropriate baseline shift adjustment should then be applied to all installs.</w:t>
                            </w:r>
                          </w:p>
                          <w:p w14:paraId="6C28D304" w14:textId="77777777" w:rsidR="00CA6CAD" w:rsidRDefault="00CA6CAD" w:rsidP="00F40901"/>
                        </w:txbxContent>
                      </wps:txbx>
                      <wps:bodyPr rot="0" vert="horz" wrap="square" lIns="91440" tIns="45720" rIns="91440" bIns="45720" anchor="t" anchorCtr="0">
                        <a:noAutofit/>
                      </wps:bodyPr>
                    </wps:wsp>
                  </a:graphicData>
                </a:graphic>
              </wp:inline>
            </w:drawing>
          </mc:Choice>
          <mc:Fallback>
            <w:pict>
              <v:shape w14:anchorId="206CD690" id="_x0000_s1028" type="#_x0000_t202" style="width:460.8pt;height:12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">
                <v:textbox>
                  <w:txbxContent>
                    <w:p w14:paraId="12427809" w14:textId="0FF8772A" w:rsidR="00CA6CAD" w:rsidRPr="00F40901" w:rsidRDefault="00CA6CAD" w:rsidP="00F40901">
                      <w:pPr>
                        <w:rPr>
                          <w:rFonts w:cstheme="minorHAnsi"/>
                          <w:highlight w:val="yellow"/>
                        </w:rPr>
                      </w:pPr>
                      <w:r>
                        <w:rPr>
                          <w:rFonts w:cstheme="minorHAnsi"/>
                        </w:rPr>
                        <w:t xml:space="preserve">Using the same 8 W LED that </w:t>
                      </w:r>
                      <w:r w:rsidRPr="009972AE">
                        <w:rPr>
                          <w:rFonts w:cstheme="minorHAnsi"/>
                        </w:rPr>
                        <w:t>is installed in home with 2.0 COP Heat Pump</w:t>
                      </w:r>
                      <w:r>
                        <w:rPr>
                          <w:rFonts w:cstheme="minorHAnsi"/>
                        </w:rPr>
                        <w:t xml:space="preserve"> (i.e., the heat pump was installed prior to 2006)</w:t>
                      </w:r>
                      <w:r w:rsidRPr="009972AE">
                        <w:rPr>
                          <w:rFonts w:cstheme="minorHAnsi"/>
                        </w:rPr>
                        <w:t>:</w:t>
                      </w:r>
                    </w:p>
                    <w:p w14:paraId="1B03A1AD" w14:textId="45C7CA29" w:rsidR="00CA6CAD" w:rsidRPr="009972AE" w:rsidRDefault="00CA6CAD" w:rsidP="00F40901">
                      <w:pPr>
                        <w:ind w:firstLine="720"/>
                        <w:rPr>
                          <w:rFonts w:cstheme="minorHAnsi"/>
                          <w:noProof/>
                        </w:rPr>
                      </w:pPr>
                      <w:r w:rsidRPr="009972AE">
                        <w:rPr>
                          <w:rFonts w:cstheme="minorHAnsi"/>
                          <w:noProof/>
                        </w:rPr>
                        <w:t>∆kWh</w:t>
                      </w:r>
                      <w:r w:rsidRPr="009972AE">
                        <w:rPr>
                          <w:rFonts w:cstheme="minorHAnsi"/>
                          <w:noProof/>
                          <w:vertAlign w:val="subscript"/>
                        </w:rPr>
                        <w:t>1st year</w:t>
                      </w:r>
                      <w:r w:rsidRPr="009972AE">
                        <w:rPr>
                          <w:rFonts w:cstheme="minorHAnsi"/>
                          <w:noProof/>
                        </w:rPr>
                        <w:t xml:space="preserve">  </w:t>
                      </w:r>
                      <w:r w:rsidRPr="009972AE">
                        <w:rPr>
                          <w:rFonts w:cstheme="minorHAnsi"/>
                          <w:noProof/>
                        </w:rPr>
                        <w:tab/>
                        <w:t>= - (((</w:t>
                      </w:r>
                      <w:r>
                        <w:rPr>
                          <w:rFonts w:cstheme="minorHAnsi"/>
                          <w:noProof/>
                        </w:rPr>
                        <w:t>29-8</w:t>
                      </w:r>
                      <w:r w:rsidRPr="009972AE">
                        <w:rPr>
                          <w:rFonts w:cstheme="minorHAnsi"/>
                          <w:noProof/>
                        </w:rPr>
                        <w:t>) / 1000) * 0.695 * 938 * 0.49) / 2.0</w:t>
                      </w:r>
                    </w:p>
                    <w:p w14:paraId="755E2A5C" w14:textId="0CCE346E" w:rsidR="00CA6CAD" w:rsidRPr="009972AE" w:rsidRDefault="00CA6CAD" w:rsidP="00F40901">
                      <w:pPr>
                        <w:rPr>
                          <w:rFonts w:cstheme="minorHAnsi"/>
                        </w:rPr>
                      </w:pPr>
                      <w:r w:rsidRPr="009972AE">
                        <w:rPr>
                          <w:rFonts w:cstheme="minorHAnsi"/>
                        </w:rPr>
                        <w:tab/>
                      </w:r>
                      <w:r w:rsidRPr="009972AE">
                        <w:rPr>
                          <w:rFonts w:cstheme="minorHAnsi"/>
                        </w:rPr>
                        <w:tab/>
                      </w:r>
                      <w:r w:rsidRPr="009972AE">
                        <w:rPr>
                          <w:rFonts w:cstheme="minorHAnsi"/>
                        </w:rPr>
                        <w:tab/>
                        <w:t xml:space="preserve">= - </w:t>
                      </w:r>
                      <w:r>
                        <w:rPr>
                          <w:rFonts w:cstheme="minorHAnsi"/>
                        </w:rPr>
                        <w:t>3.4</w:t>
                      </w:r>
                      <w:r w:rsidRPr="009972AE">
                        <w:rPr>
                          <w:rFonts w:cstheme="minorHAnsi"/>
                        </w:rPr>
                        <w:t xml:space="preserve"> kWh</w:t>
                      </w:r>
                    </w:p>
                    <w:p w14:paraId="388BF452" w14:textId="77777777" w:rsidR="00CA6CAD" w:rsidRPr="002F2634" w:rsidRDefault="00CA6CAD" w:rsidP="00F40901">
                      <w:pPr>
                        <w:rPr>
                          <w:rFonts w:cstheme="minorHAnsi"/>
                        </w:rPr>
                      </w:pPr>
                      <w:r w:rsidRPr="009972AE">
                        <w:rPr>
                          <w:rFonts w:cstheme="minorHAnsi"/>
                        </w:rPr>
                        <w:t>Second and third year install savings should be calculated using the appropriate ISR and the delta watts and hours from the install year. The appropriate baseline shift adjustment should then be applied to all installs.</w:t>
                      </w:r>
                    </w:p>
                    <w:p w14:paraId="6C28D304" w14:textId="77777777" w:rsidR="00CA6CAD" w:rsidRDefault="00CA6CAD" w:rsidP="00F40901"/>
                  </w:txbxContent>
                </v:textbox>
                <w10:anchorlock/>
              </v:shape>
            </w:pict>
          </mc:Fallback>
        </mc:AlternateContent>
      </w:r>
    </w:p>
    <w:p w14:paraId="1CC8E21C" w14:textId="77777777" w:rsidR="00F40901" w:rsidRPr="000B7BB6" w:rsidRDefault="00F40901" w:rsidP="00F40901">
      <w:pPr>
        <w:pStyle w:val="Heading6"/>
      </w:pPr>
      <w:r w:rsidRPr="000B7BB6">
        <w:t>Summer Coincident Peak Demand Savings</w:t>
      </w:r>
    </w:p>
    <w:p w14:paraId="619701BE" w14:textId="77777777" w:rsidR="00F40901" w:rsidRPr="000B7BB6" w:rsidRDefault="00F40901" w:rsidP="00F40901">
      <w:pPr>
        <w:ind w:left="1440" w:hanging="810"/>
        <w:rPr>
          <w:rFonts w:cstheme="minorHAnsi"/>
          <w:noProof/>
          <w:szCs w:val="20"/>
          <w:lang w:val="nl-NL"/>
        </w:rPr>
      </w:pPr>
      <w:r>
        <w:rPr>
          <w:rFonts w:cstheme="minorHAnsi"/>
          <w:noProof/>
        </w:rPr>
        <w:t>∆</w:t>
      </w:r>
      <w:r w:rsidRPr="00B41203">
        <w:rPr>
          <w:rFonts w:cstheme="minorHAnsi"/>
          <w:noProof/>
        </w:rPr>
        <w:t>kW</w:t>
      </w:r>
      <w:r w:rsidRPr="00B41203">
        <w:rPr>
          <w:rFonts w:cstheme="minorHAnsi"/>
          <w:noProof/>
        </w:rPr>
        <w:tab/>
        <w:t>= ((WattsBase - WattsEE) / 1 000) * ISR * WHFd * CF</w:t>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r w:rsidRPr="00B41203">
        <w:rPr>
          <w:rFonts w:cstheme="minorHAnsi"/>
          <w:noProof/>
        </w:rPr>
        <w:tab/>
      </w:r>
    </w:p>
    <w:p w14:paraId="792AD15A" w14:textId="77777777" w:rsidR="00F40901" w:rsidRPr="000B7BB6" w:rsidRDefault="00F40901" w:rsidP="00F40901">
      <w:pPr>
        <w:ind w:left="1440" w:hanging="810"/>
        <w:rPr>
          <w:rFonts w:cstheme="minorHAnsi"/>
          <w:noProof/>
          <w:lang w:val="nl-NL"/>
        </w:rPr>
      </w:pPr>
      <w:r w:rsidRPr="00B41203">
        <w:rPr>
          <w:rFonts w:cstheme="minorHAnsi"/>
          <w:noProof/>
          <w:lang w:val="nl-NL"/>
        </w:rPr>
        <w:t>Where:</w:t>
      </w:r>
    </w:p>
    <w:p w14:paraId="7AAE6925" w14:textId="77777777" w:rsidR="00F40901" w:rsidRPr="00A05FC2" w:rsidRDefault="00F40901" w:rsidP="00F40901">
      <w:pPr>
        <w:ind w:left="2880" w:hanging="1440"/>
        <w:rPr>
          <w:rFonts w:cstheme="minorHAnsi"/>
          <w:noProof/>
        </w:rPr>
      </w:pPr>
      <w:r w:rsidRPr="000B7BB6">
        <w:rPr>
          <w:rFonts w:cstheme="minorHAnsi"/>
          <w:noProof/>
        </w:rPr>
        <w:t>WHFd</w:t>
      </w:r>
      <w:r w:rsidRPr="000B7BB6">
        <w:rPr>
          <w:rFonts w:cstheme="minorHAnsi"/>
          <w:noProof/>
        </w:rPr>
        <w:tab/>
        <w:t xml:space="preserve">= Waste heat factor for demand to account for cooling savings from efficient lighting. </w:t>
      </w:r>
    </w:p>
    <w:tbl>
      <w:tblPr>
        <w:tblStyle w:val="TableGrid"/>
        <w:tblW w:w="0" w:type="auto"/>
        <w:tblInd w:w="2160" w:type="dxa"/>
        <w:tblLook w:val="04A0" w:firstRow="1" w:lastRow="0" w:firstColumn="1" w:lastColumn="0" w:noHBand="0" w:noVBand="1"/>
      </w:tblPr>
      <w:tblGrid>
        <w:gridCol w:w="3888"/>
        <w:gridCol w:w="1440"/>
      </w:tblGrid>
      <w:tr w:rsidR="00F40901" w:rsidRPr="0045222F" w14:paraId="5C3124D3" w14:textId="77777777" w:rsidTr="0005038D">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004AF99"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ED13D80" w14:textId="77777777" w:rsidR="00F40901" w:rsidRPr="0045222F" w:rsidRDefault="00F40901" w:rsidP="0005038D">
            <w:pPr>
              <w:spacing w:after="0"/>
              <w:jc w:val="center"/>
              <w:rPr>
                <w:rFonts w:asciiTheme="minorHAnsi" w:hAnsiTheme="minorHAnsi" w:cstheme="minorHAnsi"/>
                <w:b/>
                <w:color w:val="FFFFFF" w:themeColor="background1"/>
              </w:rPr>
            </w:pPr>
            <w:proofErr w:type="spellStart"/>
            <w:r w:rsidRPr="0045222F">
              <w:rPr>
                <w:rFonts w:asciiTheme="minorHAnsi" w:hAnsiTheme="minorHAnsi" w:cstheme="minorHAnsi"/>
                <w:b/>
                <w:color w:val="FFFFFF" w:themeColor="background1"/>
              </w:rPr>
              <w:t>WHFd</w:t>
            </w:r>
            <w:proofErr w:type="spellEnd"/>
          </w:p>
        </w:tc>
      </w:tr>
      <w:tr w:rsidR="00F40901" w:rsidRPr="0045222F" w14:paraId="299BD870"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645E9DDF" w14:textId="77777777" w:rsidR="00F40901" w:rsidRPr="0045222F" w:rsidRDefault="00F40901" w:rsidP="0005038D">
            <w:pPr>
              <w:pStyle w:val="TableText"/>
            </w:pPr>
            <w:r w:rsidRPr="0045222F">
              <w:t>Interior single family or unknown location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CDB7172" w14:textId="77777777" w:rsidR="00F40901" w:rsidRPr="0045222F" w:rsidRDefault="00F40901" w:rsidP="0005038D">
            <w:pPr>
              <w:pStyle w:val="TableText"/>
            </w:pPr>
            <w:r w:rsidRPr="0045222F">
              <w:t>1.11</w:t>
            </w:r>
            <w:r w:rsidRPr="0045222F">
              <w:rPr>
                <w:rStyle w:val="FootnoteReference"/>
                <w:rFonts w:asciiTheme="minorHAnsi" w:eastAsiaTheme="majorEastAsia" w:hAnsiTheme="minorHAnsi" w:cstheme="minorHAnsi"/>
              </w:rPr>
              <w:footnoteReference w:id="16"/>
            </w:r>
          </w:p>
        </w:tc>
      </w:tr>
      <w:tr w:rsidR="00F40901" w:rsidRPr="0045222F" w14:paraId="50612FF2"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5ACB191A" w14:textId="77777777" w:rsidR="00F40901" w:rsidRPr="0045222F" w:rsidRDefault="00F40901" w:rsidP="0005038D">
            <w:pPr>
              <w:pStyle w:val="TableText"/>
            </w:pPr>
            <w:r w:rsidRPr="0045222F">
              <w:t>Multi family in unit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C8EE12C" w14:textId="77777777" w:rsidR="00F40901" w:rsidRPr="0045222F" w:rsidRDefault="00F40901" w:rsidP="0005038D">
            <w:pPr>
              <w:pStyle w:val="TableText"/>
            </w:pPr>
            <w:r w:rsidRPr="0045222F">
              <w:t>1.07</w:t>
            </w:r>
            <w:r w:rsidRPr="0045222F">
              <w:rPr>
                <w:rStyle w:val="FootnoteReference"/>
                <w:rFonts w:asciiTheme="minorHAnsi" w:eastAsiaTheme="majorEastAsia" w:hAnsiTheme="minorHAnsi" w:cstheme="minorHAnsi"/>
              </w:rPr>
              <w:footnoteReference w:id="17"/>
            </w:r>
          </w:p>
        </w:tc>
      </w:tr>
      <w:tr w:rsidR="00F40901" w:rsidRPr="0045222F" w14:paraId="0209B0C4"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3B794463" w14:textId="77777777" w:rsidR="00F40901" w:rsidRPr="0045222F" w:rsidRDefault="00F40901" w:rsidP="0005038D">
            <w:pPr>
              <w:pStyle w:val="TableText"/>
            </w:pPr>
            <w:r w:rsidRPr="0045222F">
              <w:t>Multi family common area</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6414BE7" w14:textId="77777777" w:rsidR="00F40901" w:rsidRPr="0045222F" w:rsidRDefault="00F40901" w:rsidP="0005038D">
            <w:pPr>
              <w:pStyle w:val="TableText"/>
            </w:pPr>
            <w:r w:rsidRPr="0045222F">
              <w:t xml:space="preserve">1.07 </w:t>
            </w:r>
            <w:r w:rsidRPr="0045222F">
              <w:rPr>
                <w:rStyle w:val="FootnoteReference"/>
                <w:rFonts w:asciiTheme="minorHAnsi" w:eastAsiaTheme="majorEastAsia" w:hAnsiTheme="minorHAnsi" w:cstheme="minorHAnsi"/>
              </w:rPr>
              <w:footnoteReference w:id="18"/>
            </w:r>
          </w:p>
        </w:tc>
      </w:tr>
      <w:tr w:rsidR="00F40901" w:rsidRPr="0045222F" w14:paraId="2932642C"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48CF0C7F" w14:textId="77777777" w:rsidR="00F40901" w:rsidRPr="0045222F" w:rsidRDefault="00F40901" w:rsidP="0005038D">
            <w:pPr>
              <w:pStyle w:val="TableText"/>
            </w:pPr>
            <w:r w:rsidRPr="0045222F">
              <w:t>Exterior or uncooled location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A1F2DF1" w14:textId="77777777" w:rsidR="00F40901" w:rsidRPr="0045222F" w:rsidRDefault="00F40901" w:rsidP="0005038D">
            <w:pPr>
              <w:pStyle w:val="TableText"/>
            </w:pPr>
            <w:r w:rsidRPr="0045222F">
              <w:t>1.0</w:t>
            </w:r>
          </w:p>
        </w:tc>
      </w:tr>
    </w:tbl>
    <w:p w14:paraId="0D39BBDD" w14:textId="77777777" w:rsidR="00F40901" w:rsidRPr="000B7BB6" w:rsidRDefault="00F40901" w:rsidP="00F40901">
      <w:pPr>
        <w:ind w:left="1440"/>
        <w:rPr>
          <w:rFonts w:cstheme="minorHAnsi"/>
        </w:rPr>
      </w:pPr>
      <w:r w:rsidRPr="000B7BB6">
        <w:rPr>
          <w:rFonts w:cstheme="minorHAnsi"/>
          <w:noProof/>
        </w:rPr>
        <w:t xml:space="preserve">CF </w:t>
      </w:r>
      <w:r w:rsidRPr="000B7BB6">
        <w:rPr>
          <w:rFonts w:cstheme="minorHAnsi"/>
          <w:noProof/>
        </w:rPr>
        <w:tab/>
      </w:r>
      <w:r w:rsidRPr="000B7BB6">
        <w:rPr>
          <w:rFonts w:cstheme="minorHAnsi"/>
          <w:noProof/>
        </w:rPr>
        <w:tab/>
        <w:t>= Summer Peak Coincidence Factor for measure.</w:t>
      </w:r>
    </w:p>
    <w:tbl>
      <w:tblPr>
        <w:tblStyle w:val="TableGrid"/>
        <w:tblW w:w="0" w:type="auto"/>
        <w:tblInd w:w="2160" w:type="dxa"/>
        <w:tblLook w:val="04A0" w:firstRow="1" w:lastRow="0" w:firstColumn="1" w:lastColumn="0" w:noHBand="0" w:noVBand="1"/>
      </w:tblPr>
      <w:tblGrid>
        <w:gridCol w:w="3888"/>
        <w:gridCol w:w="1440"/>
      </w:tblGrid>
      <w:tr w:rsidR="00F40901" w:rsidRPr="0045222F" w14:paraId="751E45C0" w14:textId="77777777" w:rsidTr="0005038D">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AE8B285"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C15A315" w14:textId="77777777" w:rsidR="00F40901" w:rsidRPr="0045222F" w:rsidRDefault="00F40901" w:rsidP="0005038D">
            <w:pPr>
              <w:spacing w:after="0"/>
              <w:jc w:val="center"/>
              <w:rPr>
                <w:rFonts w:asciiTheme="minorHAnsi" w:hAnsiTheme="minorHAnsi" w:cstheme="minorHAnsi"/>
                <w:b/>
                <w:color w:val="FFFFFF" w:themeColor="background1"/>
              </w:rPr>
            </w:pPr>
            <w:r w:rsidRPr="0045222F">
              <w:rPr>
                <w:rFonts w:asciiTheme="minorHAnsi" w:hAnsiTheme="minorHAnsi" w:cstheme="minorHAnsi"/>
                <w:b/>
                <w:color w:val="FFFFFF" w:themeColor="background1"/>
              </w:rPr>
              <w:t>CF</w:t>
            </w:r>
          </w:p>
        </w:tc>
      </w:tr>
      <w:tr w:rsidR="00F40901" w:rsidRPr="0045222F" w14:paraId="600FB50C"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2566D0E3" w14:textId="77777777" w:rsidR="00F40901" w:rsidRPr="0045222F" w:rsidRDefault="00F40901" w:rsidP="0005038D">
            <w:pPr>
              <w:pStyle w:val="TableText"/>
            </w:pPr>
            <w:r w:rsidRPr="0045222F">
              <w:t>Interior single family or unknown location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4684AEF" w14:textId="77777777" w:rsidR="00F40901" w:rsidRPr="0045222F" w:rsidRDefault="00F40901" w:rsidP="0005038D">
            <w:pPr>
              <w:pStyle w:val="TableText"/>
            </w:pPr>
            <w:r w:rsidRPr="0045222F">
              <w:t xml:space="preserve">9.5% </w:t>
            </w:r>
            <w:r w:rsidRPr="0045222F">
              <w:rPr>
                <w:rStyle w:val="FootnoteReference"/>
                <w:rFonts w:asciiTheme="minorHAnsi" w:eastAsiaTheme="majorEastAsia" w:hAnsiTheme="minorHAnsi" w:cstheme="minorHAnsi"/>
              </w:rPr>
              <w:footnoteReference w:id="19"/>
            </w:r>
          </w:p>
        </w:tc>
      </w:tr>
      <w:tr w:rsidR="00F40901" w:rsidRPr="0045222F" w14:paraId="12B77BFF"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55A181DF" w14:textId="77777777" w:rsidR="00F40901" w:rsidRPr="0045222F" w:rsidRDefault="00F40901" w:rsidP="0005038D">
            <w:pPr>
              <w:pStyle w:val="TableText"/>
            </w:pPr>
            <w:r w:rsidRPr="0045222F">
              <w:lastRenderedPageBreak/>
              <w:t>Multi family in unit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0003329" w14:textId="77777777" w:rsidR="00F40901" w:rsidRPr="0045222F" w:rsidRDefault="00F40901" w:rsidP="0005038D">
            <w:pPr>
              <w:pStyle w:val="TableText"/>
            </w:pPr>
            <w:r w:rsidRPr="0045222F">
              <w:t xml:space="preserve">9.5% </w:t>
            </w:r>
            <w:r w:rsidRPr="0045222F">
              <w:rPr>
                <w:rStyle w:val="FootnoteReference"/>
                <w:rFonts w:asciiTheme="minorHAnsi" w:eastAsiaTheme="majorEastAsia" w:hAnsiTheme="minorHAnsi" w:cstheme="minorHAnsi"/>
              </w:rPr>
              <w:footnoteReference w:id="20"/>
            </w:r>
          </w:p>
        </w:tc>
      </w:tr>
      <w:tr w:rsidR="00F40901" w:rsidRPr="0045222F" w14:paraId="7170FDE9" w14:textId="77777777" w:rsidTr="0005038D">
        <w:tc>
          <w:tcPr>
            <w:tcW w:w="3888" w:type="dxa"/>
            <w:tcBorders>
              <w:top w:val="single" w:sz="4" w:space="0" w:color="auto"/>
              <w:left w:val="single" w:sz="4" w:space="0" w:color="auto"/>
              <w:bottom w:val="single" w:sz="4" w:space="0" w:color="auto"/>
              <w:right w:val="single" w:sz="4" w:space="0" w:color="auto"/>
            </w:tcBorders>
            <w:vAlign w:val="center"/>
            <w:hideMark/>
          </w:tcPr>
          <w:p w14:paraId="241C9FC8" w14:textId="77777777" w:rsidR="00F40901" w:rsidRPr="0045222F" w:rsidRDefault="00F40901" w:rsidP="0005038D">
            <w:pPr>
              <w:pStyle w:val="TableText"/>
            </w:pPr>
            <w:r w:rsidRPr="0045222F">
              <w:t>Multi family common area</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92A93B2" w14:textId="77777777" w:rsidR="00F40901" w:rsidRPr="0045222F" w:rsidRDefault="00F40901" w:rsidP="0005038D">
            <w:pPr>
              <w:pStyle w:val="TableText"/>
            </w:pPr>
            <w:r w:rsidRPr="0045222F">
              <w:t xml:space="preserve">75% </w:t>
            </w:r>
            <w:r w:rsidRPr="0045222F">
              <w:rPr>
                <w:rStyle w:val="FootnoteReference"/>
                <w:rFonts w:asciiTheme="minorHAnsi" w:eastAsiaTheme="majorEastAsia" w:hAnsiTheme="minorHAnsi" w:cstheme="minorHAnsi"/>
              </w:rPr>
              <w:footnoteReference w:id="21"/>
            </w:r>
          </w:p>
        </w:tc>
      </w:tr>
    </w:tbl>
    <w:p w14:paraId="55589A08" w14:textId="77777777" w:rsidR="00F40901" w:rsidRPr="000B7BB6" w:rsidRDefault="00F40901" w:rsidP="00F40901">
      <w:pPr>
        <w:tabs>
          <w:tab w:val="left" w:pos="2160"/>
        </w:tabs>
        <w:ind w:left="2160" w:hanging="720"/>
        <w:rPr>
          <w:rFonts w:cstheme="minorHAnsi"/>
        </w:rPr>
      </w:pPr>
      <w:r w:rsidRPr="00B41203">
        <w:rPr>
          <w:rFonts w:cstheme="minorHAnsi"/>
        </w:rPr>
        <w:t>Other factors as defined above</w:t>
      </w:r>
    </w:p>
    <w:p w14:paraId="4319F72D" w14:textId="77777777" w:rsidR="00F40901" w:rsidRDefault="00F40901" w:rsidP="00F40901">
      <w:pPr>
        <w:rPr>
          <w:rFonts w:cstheme="minorHAnsi"/>
        </w:rPr>
      </w:pPr>
      <w:r w:rsidRPr="00B41203">
        <w:rPr>
          <w:rFonts w:cstheme="minorHAnsi"/>
          <w:noProof/>
        </w:rPr>
        <mc:AlternateContent>
          <mc:Choice Requires="wps">
            <w:drawing>
              <wp:inline distT="0" distB="0" distL="0" distR="0" wp14:anchorId="0835F591" wp14:editId="184E0864">
                <wp:extent cx="5669280" cy="1303020"/>
                <wp:effectExtent l="0" t="0" r="26670" b="11430"/>
                <wp:docPr id="4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1303020"/>
                        </a:xfrm>
                        <a:prstGeom prst="rect">
                          <a:avLst/>
                        </a:prstGeom>
                        <a:solidFill>
                          <a:srgbClr val="FFFFFF"/>
                        </a:solidFill>
                        <a:ln w="9525">
                          <a:solidFill>
                            <a:srgbClr val="000000"/>
                          </a:solidFill>
                          <a:miter lim="800000"/>
                          <a:headEnd/>
                          <a:tailEnd/>
                        </a:ln>
                      </wps:spPr>
                      <wps:txbx>
                        <w:txbxContent>
                          <w:p w14:paraId="75342980" w14:textId="4B2F3A76" w:rsidR="00CA6CAD" w:rsidRPr="009972AE" w:rsidRDefault="00CA6CAD" w:rsidP="00F40901">
                            <w:pPr>
                              <w:rPr>
                                <w:rFonts w:cstheme="minorHAnsi"/>
                              </w:rPr>
                            </w:pPr>
                            <w:r>
                              <w:rPr>
                                <w:rFonts w:cstheme="minorHAnsi"/>
                              </w:rPr>
                              <w:t xml:space="preserve">For the </w:t>
                            </w:r>
                            <w:r w:rsidRPr="009972AE">
                              <w:rPr>
                                <w:rFonts w:cstheme="minorHAnsi"/>
                              </w:rPr>
                              <w:t xml:space="preserve">same </w:t>
                            </w:r>
                            <w:r>
                              <w:rPr>
                                <w:rFonts w:cstheme="minorHAnsi"/>
                              </w:rPr>
                              <w:t>8</w:t>
                            </w:r>
                            <w:r w:rsidRPr="009972AE">
                              <w:rPr>
                                <w:rFonts w:cstheme="minorHAnsi"/>
                              </w:rPr>
                              <w:t xml:space="preserve"> W LED that is installed in a single family interior location in 2014</w:t>
                            </w:r>
                            <w:r>
                              <w:rPr>
                                <w:rFonts w:cstheme="minorHAnsi"/>
                              </w:rPr>
                              <w:t>, the demand savings are</w:t>
                            </w:r>
                            <w:r w:rsidRPr="009972AE">
                              <w:rPr>
                                <w:rFonts w:cstheme="minorHAnsi"/>
                              </w:rPr>
                              <w:t>:</w:t>
                            </w:r>
                          </w:p>
                          <w:p w14:paraId="6D2906D0" w14:textId="1139A02E" w:rsidR="00CA6CAD" w:rsidRPr="009972AE" w:rsidRDefault="00CA6CAD" w:rsidP="00F40901">
                            <w:pPr>
                              <w:ind w:firstLine="720"/>
                              <w:rPr>
                                <w:rFonts w:cstheme="minorHAnsi"/>
                                <w:noProof/>
                              </w:rPr>
                            </w:pPr>
                            <w:r w:rsidRPr="009972AE">
                              <w:rPr>
                                <w:rFonts w:cstheme="minorHAnsi"/>
                                <w:noProof/>
                              </w:rPr>
                              <w:t>ΔkW</w:t>
                            </w:r>
                            <w:r w:rsidRPr="009972AE">
                              <w:rPr>
                                <w:rFonts w:cstheme="minorHAnsi"/>
                              </w:rPr>
                              <w:t xml:space="preserve"> </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 / 1000) *</w:t>
                            </w:r>
                            <w:r>
                              <w:rPr>
                                <w:rFonts w:cstheme="minorHAnsi"/>
                                <w:noProof/>
                              </w:rPr>
                              <w:t xml:space="preserve"> 0.695* 1.11 * 0.095</w:t>
                            </w:r>
                            <w:r w:rsidRPr="009972AE">
                              <w:rPr>
                                <w:rFonts w:cstheme="minorHAnsi"/>
                                <w:noProof/>
                              </w:rPr>
                              <w:t xml:space="preserve"> </w:t>
                            </w:r>
                          </w:p>
                          <w:p w14:paraId="59F74861" w14:textId="7D85E7D7" w:rsidR="00CA6CAD" w:rsidRPr="009972AE" w:rsidRDefault="00CA6CAD" w:rsidP="00F40901">
                            <w:pPr>
                              <w:ind w:left="720" w:firstLine="720"/>
                              <w:rPr>
                                <w:rFonts w:cstheme="minorHAnsi"/>
                              </w:rPr>
                            </w:pPr>
                            <w:r w:rsidRPr="009972AE">
                              <w:rPr>
                                <w:rFonts w:cstheme="minorHAnsi"/>
                              </w:rPr>
                              <w:t xml:space="preserve">= </w:t>
                            </w:r>
                            <w:r>
                              <w:rPr>
                                <w:rFonts w:cstheme="minorHAnsi"/>
                              </w:rPr>
                              <w:t>0.0015 kW</w:t>
                            </w:r>
                          </w:p>
                          <w:p w14:paraId="73BEA500" w14:textId="3A92E761" w:rsidR="00CA6CAD" w:rsidRPr="0036262B" w:rsidRDefault="00CA6CAD" w:rsidP="00F40901">
                            <w:pPr>
                              <w:rPr>
                                <w:rFonts w:cstheme="minorHAnsi"/>
                              </w:rPr>
                            </w:pPr>
                            <w:r w:rsidRPr="009972AE">
                              <w:rPr>
                                <w:rFonts w:cstheme="minorHAnsi"/>
                              </w:rPr>
                              <w:t>Second and third year install savings should be calculated using the appropriate ISR and the delta watts and hours from the install year. The appropriate baseline shift adjustment should then be applied to all installs.</w:t>
                            </w:r>
                          </w:p>
                        </w:txbxContent>
                      </wps:txbx>
                      <wps:bodyPr rot="0" vert="horz" wrap="square" lIns="91440" tIns="45720" rIns="91440" bIns="45720" anchor="t" anchorCtr="0">
                        <a:noAutofit/>
                      </wps:bodyPr>
                    </wps:wsp>
                  </a:graphicData>
                </a:graphic>
              </wp:inline>
            </w:drawing>
          </mc:Choice>
          <mc:Fallback>
            <w:pict>
              <v:shape w14:anchorId="0835F591" id="_x0000_s1029" type="#_x0000_t202" style="width:446.4pt;height:1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">
                <v:textbox>
                  <w:txbxContent>
                    <w:p w14:paraId="75342980" w14:textId="4B2F3A76" w:rsidR="00CA6CAD" w:rsidRPr="009972AE" w:rsidRDefault="00CA6CAD" w:rsidP="00F40901">
                      <w:pPr>
                        <w:rPr>
                          <w:rFonts w:cstheme="minorHAnsi"/>
                        </w:rPr>
                      </w:pPr>
                      <w:r>
                        <w:rPr>
                          <w:rFonts w:cstheme="minorHAnsi"/>
                        </w:rPr>
                        <w:t xml:space="preserve">For the </w:t>
                      </w:r>
                      <w:r w:rsidRPr="009972AE">
                        <w:rPr>
                          <w:rFonts w:cstheme="minorHAnsi"/>
                        </w:rPr>
                        <w:t xml:space="preserve">same </w:t>
                      </w:r>
                      <w:r>
                        <w:rPr>
                          <w:rFonts w:cstheme="minorHAnsi"/>
                        </w:rPr>
                        <w:t>8</w:t>
                      </w:r>
                      <w:r w:rsidRPr="009972AE">
                        <w:rPr>
                          <w:rFonts w:cstheme="minorHAnsi"/>
                        </w:rPr>
                        <w:t xml:space="preserve"> W LED that is installed in a single family interior location in 2014</w:t>
                      </w:r>
                      <w:r>
                        <w:rPr>
                          <w:rFonts w:cstheme="minorHAnsi"/>
                        </w:rPr>
                        <w:t>, the demand savings are</w:t>
                      </w:r>
                      <w:r w:rsidRPr="009972AE">
                        <w:rPr>
                          <w:rFonts w:cstheme="minorHAnsi"/>
                        </w:rPr>
                        <w:t>:</w:t>
                      </w:r>
                    </w:p>
                    <w:p w14:paraId="6D2906D0" w14:textId="1139A02E" w:rsidR="00CA6CAD" w:rsidRPr="009972AE" w:rsidRDefault="00CA6CAD" w:rsidP="00F40901">
                      <w:pPr>
                        <w:ind w:firstLine="720"/>
                        <w:rPr>
                          <w:rFonts w:cstheme="minorHAnsi"/>
                          <w:noProof/>
                        </w:rPr>
                      </w:pPr>
                      <w:r w:rsidRPr="009972AE">
                        <w:rPr>
                          <w:rFonts w:cstheme="minorHAnsi"/>
                          <w:noProof/>
                        </w:rPr>
                        <w:t>ΔkW</w:t>
                      </w:r>
                      <w:r w:rsidRPr="009972AE">
                        <w:rPr>
                          <w:rFonts w:cstheme="minorHAnsi"/>
                        </w:rPr>
                        <w:t xml:space="preserve"> </w:t>
                      </w:r>
                      <w:r w:rsidRPr="009972AE">
                        <w:rPr>
                          <w:rFonts w:cstheme="minorHAnsi"/>
                        </w:rPr>
                        <w:tab/>
                        <w:t xml:space="preserve">= </w:t>
                      </w:r>
                      <w:r w:rsidRPr="009972AE">
                        <w:rPr>
                          <w:rFonts w:cstheme="minorHAnsi"/>
                          <w:noProof/>
                        </w:rPr>
                        <w:t>((</w:t>
                      </w:r>
                      <w:r>
                        <w:rPr>
                          <w:rFonts w:cstheme="minorHAnsi"/>
                          <w:noProof/>
                        </w:rPr>
                        <w:t>29-8</w:t>
                      </w:r>
                      <w:r w:rsidRPr="009972AE">
                        <w:rPr>
                          <w:rFonts w:cstheme="minorHAnsi"/>
                          <w:noProof/>
                        </w:rPr>
                        <w:t>) / 1000) *</w:t>
                      </w:r>
                      <w:r>
                        <w:rPr>
                          <w:rFonts w:cstheme="minorHAnsi"/>
                          <w:noProof/>
                        </w:rPr>
                        <w:t xml:space="preserve"> 0.695* 1.11 * 0.095</w:t>
                      </w:r>
                      <w:r w:rsidRPr="009972AE">
                        <w:rPr>
                          <w:rFonts w:cstheme="minorHAnsi"/>
                          <w:noProof/>
                        </w:rPr>
                        <w:t xml:space="preserve"> </w:t>
                      </w:r>
                    </w:p>
                    <w:p w14:paraId="59F74861" w14:textId="7D85E7D7" w:rsidR="00CA6CAD" w:rsidRPr="009972AE" w:rsidRDefault="00CA6CAD" w:rsidP="00F40901">
                      <w:pPr>
                        <w:ind w:left="720" w:firstLine="720"/>
                        <w:rPr>
                          <w:rFonts w:cstheme="minorHAnsi"/>
                        </w:rPr>
                      </w:pPr>
                      <w:r w:rsidRPr="009972AE">
                        <w:rPr>
                          <w:rFonts w:cstheme="minorHAnsi"/>
                        </w:rPr>
                        <w:t xml:space="preserve">= </w:t>
                      </w:r>
                      <w:r>
                        <w:rPr>
                          <w:rFonts w:cstheme="minorHAnsi"/>
                        </w:rPr>
                        <w:t>0.0015 kW</w:t>
                      </w:r>
                    </w:p>
                    <w:p w14:paraId="73BEA500" w14:textId="3A92E761" w:rsidR="00CA6CAD" w:rsidRPr="0036262B" w:rsidRDefault="00CA6CAD" w:rsidP="00F40901">
                      <w:pPr>
                        <w:rPr>
                          <w:rFonts w:cstheme="minorHAnsi"/>
                        </w:rPr>
                      </w:pPr>
                      <w:r w:rsidRPr="009972AE">
                        <w:rPr>
                          <w:rFonts w:cstheme="minorHAnsi"/>
                        </w:rPr>
                        <w:t>Second and third year install savings should be calculated using the appropriate ISR and the delta watts and hours from the install year. The appropriate baseline shift adjustment should then be applied to all installs.</w:t>
                      </w:r>
                    </w:p>
                  </w:txbxContent>
                </v:textbox>
                <w10:anchorlock/>
              </v:shape>
            </w:pict>
          </mc:Fallback>
        </mc:AlternateContent>
      </w:r>
    </w:p>
    <w:p w14:paraId="6D0A9F81" w14:textId="77777777" w:rsidR="00857EAD" w:rsidRDefault="00857EAD" w:rsidP="00857EAD">
      <w:pPr>
        <w:pStyle w:val="Heading6"/>
      </w:pPr>
      <w:r w:rsidRPr="00933056">
        <w:t xml:space="preserve">Water Impact Descriptions and Calculation  </w:t>
      </w:r>
    </w:p>
    <w:p w14:paraId="4B960BA1" w14:textId="77777777" w:rsidR="00857EAD" w:rsidRDefault="00857EAD" w:rsidP="00857EAD">
      <w:pPr>
        <w:spacing w:after="120"/>
        <w:rPr>
          <w:iCs/>
        </w:rPr>
      </w:pPr>
      <w:r>
        <w:t>N/A</w:t>
      </w:r>
    </w:p>
    <w:p w14:paraId="5648EB64" w14:textId="77777777" w:rsidR="00857EAD" w:rsidRPr="00CA6CAD" w:rsidRDefault="00857EAD" w:rsidP="00857EAD">
      <w:pPr>
        <w:pStyle w:val="Heading6"/>
      </w:pPr>
      <w:r w:rsidRPr="00CA6CAD">
        <w:t xml:space="preserve">Deemed O&amp;M Cost Adjustment Calculation </w:t>
      </w:r>
    </w:p>
    <w:tbl>
      <w:tblPr>
        <w:tblStyle w:val="TableGrid1"/>
        <w:tblW w:w="6432" w:type="dxa"/>
        <w:tblLook w:val="04A0" w:firstRow="1" w:lastRow="0" w:firstColumn="1" w:lastColumn="0" w:noHBand="0" w:noVBand="1"/>
      </w:tblPr>
      <w:tblGrid>
        <w:gridCol w:w="2068"/>
        <w:gridCol w:w="1308"/>
        <w:gridCol w:w="1748"/>
        <w:gridCol w:w="1308"/>
      </w:tblGrid>
      <w:tr w:rsidR="00CA6CAD" w14:paraId="3E5284FC" w14:textId="77777777" w:rsidTr="00CA6CAD">
        <w:trPr>
          <w:trHeight w:val="300"/>
        </w:trPr>
        <w:tc>
          <w:tcPr>
            <w:tcW w:w="2068" w:type="dxa"/>
            <w:noWrap/>
            <w:hideMark/>
          </w:tcPr>
          <w:p w14:paraId="22C2666F" w14:textId="77777777" w:rsidR="00CA6CAD" w:rsidRPr="00CA6CAD" w:rsidRDefault="00CA6CAD" w:rsidP="00CA6CAD">
            <w:pPr>
              <w:spacing w:after="0"/>
              <w:rPr>
                <w:color w:val="000000" w:themeColor="text1"/>
              </w:rPr>
            </w:pPr>
            <w:bookmarkStart w:id="70" w:name="OLE_LINK4"/>
            <w:r w:rsidRPr="00CA6CAD">
              <w:rPr>
                <w:color w:val="000000" w:themeColor="text1"/>
              </w:rPr>
              <w:t> </w:t>
            </w:r>
          </w:p>
        </w:tc>
        <w:tc>
          <w:tcPr>
            <w:tcW w:w="1308" w:type="dxa"/>
            <w:hideMark/>
          </w:tcPr>
          <w:p w14:paraId="16E079FB" w14:textId="77777777" w:rsidR="00CA6CAD" w:rsidRPr="00CA6CAD" w:rsidRDefault="00CA6CAD" w:rsidP="00CA6CAD">
            <w:pPr>
              <w:spacing w:after="0"/>
              <w:jc w:val="center"/>
              <w:rPr>
                <w:b/>
                <w:bCs/>
                <w:color w:val="000000" w:themeColor="text1"/>
              </w:rPr>
            </w:pPr>
            <w:proofErr w:type="spellStart"/>
            <w:r w:rsidRPr="00CA6CAD">
              <w:rPr>
                <w:b/>
                <w:bCs/>
                <w:color w:val="000000" w:themeColor="text1"/>
              </w:rPr>
              <w:t>Std</w:t>
            </w:r>
            <w:proofErr w:type="spellEnd"/>
            <w:r w:rsidRPr="00CA6CAD">
              <w:rPr>
                <w:b/>
                <w:bCs/>
                <w:color w:val="000000" w:themeColor="text1"/>
              </w:rPr>
              <w:t xml:space="preserve"> Inc.</w:t>
            </w:r>
          </w:p>
        </w:tc>
        <w:tc>
          <w:tcPr>
            <w:tcW w:w="1748" w:type="dxa"/>
            <w:noWrap/>
            <w:hideMark/>
          </w:tcPr>
          <w:p w14:paraId="3CB45ADD" w14:textId="77777777" w:rsidR="00CA6CAD" w:rsidRPr="00CA6CAD" w:rsidRDefault="00CA6CAD" w:rsidP="00CA6CAD">
            <w:pPr>
              <w:spacing w:after="0"/>
              <w:jc w:val="center"/>
              <w:rPr>
                <w:b/>
                <w:bCs/>
                <w:color w:val="000000" w:themeColor="text1"/>
              </w:rPr>
            </w:pPr>
            <w:r w:rsidRPr="00CA6CAD">
              <w:rPr>
                <w:b/>
                <w:bCs/>
                <w:color w:val="000000" w:themeColor="text1"/>
              </w:rPr>
              <w:t>EISA Compliant Halogen</w:t>
            </w:r>
          </w:p>
        </w:tc>
        <w:tc>
          <w:tcPr>
            <w:tcW w:w="1308" w:type="dxa"/>
            <w:noWrap/>
            <w:hideMark/>
          </w:tcPr>
          <w:p w14:paraId="44BB129F" w14:textId="77777777" w:rsidR="00CA6CAD" w:rsidRPr="00CA6CAD" w:rsidRDefault="00CA6CAD" w:rsidP="00CA6CAD">
            <w:pPr>
              <w:spacing w:after="0"/>
              <w:jc w:val="center"/>
              <w:rPr>
                <w:b/>
                <w:bCs/>
                <w:color w:val="000000" w:themeColor="text1"/>
              </w:rPr>
            </w:pPr>
            <w:r w:rsidRPr="00CA6CAD">
              <w:rPr>
                <w:b/>
                <w:bCs/>
                <w:color w:val="000000" w:themeColor="text1"/>
              </w:rPr>
              <w:t>LED-A</w:t>
            </w:r>
          </w:p>
        </w:tc>
      </w:tr>
      <w:tr w:rsidR="00CA6CAD" w14:paraId="66FE78E2" w14:textId="77777777" w:rsidTr="00CA6CAD">
        <w:trPr>
          <w:trHeight w:val="300"/>
        </w:trPr>
        <w:tc>
          <w:tcPr>
            <w:tcW w:w="2068" w:type="dxa"/>
            <w:noWrap/>
            <w:hideMark/>
          </w:tcPr>
          <w:p w14:paraId="0CAE1D4C" w14:textId="77777777" w:rsidR="00CA6CAD" w:rsidRPr="00CA6CAD" w:rsidRDefault="00CA6CAD" w:rsidP="00CA6CAD">
            <w:pPr>
              <w:spacing w:after="0"/>
              <w:rPr>
                <w:color w:val="000000" w:themeColor="text1"/>
              </w:rPr>
            </w:pPr>
            <w:r w:rsidRPr="00CA6CAD">
              <w:rPr>
                <w:color w:val="000000" w:themeColor="text1"/>
              </w:rPr>
              <w:t>2014</w:t>
            </w:r>
          </w:p>
        </w:tc>
        <w:tc>
          <w:tcPr>
            <w:tcW w:w="1308" w:type="dxa"/>
            <w:noWrap/>
            <w:hideMark/>
          </w:tcPr>
          <w:p w14:paraId="0EA6B6A4"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2CB976BD" w14:textId="77777777" w:rsidR="00CA6CAD" w:rsidRPr="00CA6CAD" w:rsidRDefault="00CA6CAD" w:rsidP="00CA6CAD">
            <w:pPr>
              <w:spacing w:after="0"/>
              <w:jc w:val="center"/>
              <w:rPr>
                <w:bCs/>
                <w:color w:val="000000" w:themeColor="text1"/>
              </w:rPr>
            </w:pPr>
            <w:r w:rsidRPr="00CA6CAD">
              <w:rPr>
                <w:bCs/>
                <w:color w:val="000000" w:themeColor="text1"/>
              </w:rPr>
              <w:t>$1.25</w:t>
            </w:r>
          </w:p>
        </w:tc>
        <w:tc>
          <w:tcPr>
            <w:tcW w:w="1308" w:type="dxa"/>
            <w:noWrap/>
            <w:hideMark/>
          </w:tcPr>
          <w:p w14:paraId="275BD910" w14:textId="77777777" w:rsidR="00CA6CAD" w:rsidRPr="00CA6CAD" w:rsidRDefault="00CA6CAD" w:rsidP="00CA6CAD">
            <w:pPr>
              <w:spacing w:after="0"/>
              <w:jc w:val="center"/>
              <w:rPr>
                <w:bCs/>
                <w:color w:val="000000" w:themeColor="text1"/>
              </w:rPr>
            </w:pPr>
            <w:r w:rsidRPr="00CA6CAD">
              <w:rPr>
                <w:bCs/>
                <w:color w:val="000000" w:themeColor="text1"/>
              </w:rPr>
              <w:t>$13.81</w:t>
            </w:r>
          </w:p>
        </w:tc>
      </w:tr>
      <w:tr w:rsidR="00CA6CAD" w14:paraId="687CA156" w14:textId="77777777" w:rsidTr="00CA6CAD">
        <w:trPr>
          <w:trHeight w:val="300"/>
        </w:trPr>
        <w:tc>
          <w:tcPr>
            <w:tcW w:w="2068" w:type="dxa"/>
            <w:noWrap/>
            <w:hideMark/>
          </w:tcPr>
          <w:p w14:paraId="4B706B10" w14:textId="77777777" w:rsidR="00CA6CAD" w:rsidRPr="00CA6CAD" w:rsidRDefault="00CA6CAD" w:rsidP="00CA6CAD">
            <w:pPr>
              <w:spacing w:after="0"/>
              <w:rPr>
                <w:color w:val="000000" w:themeColor="text1"/>
              </w:rPr>
            </w:pPr>
            <w:r w:rsidRPr="00CA6CAD">
              <w:rPr>
                <w:color w:val="000000" w:themeColor="text1"/>
              </w:rPr>
              <w:t>2015</w:t>
            </w:r>
          </w:p>
        </w:tc>
        <w:tc>
          <w:tcPr>
            <w:tcW w:w="1308" w:type="dxa"/>
            <w:noWrap/>
            <w:hideMark/>
          </w:tcPr>
          <w:p w14:paraId="32C83368"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4568FA84" w14:textId="77777777" w:rsidR="00CA6CAD" w:rsidRPr="00CA6CAD" w:rsidRDefault="00CA6CAD" w:rsidP="00CA6CAD">
            <w:pPr>
              <w:spacing w:after="0"/>
              <w:jc w:val="center"/>
              <w:rPr>
                <w:bCs/>
                <w:color w:val="000000" w:themeColor="text1"/>
              </w:rPr>
            </w:pPr>
            <w:r w:rsidRPr="00CA6CAD">
              <w:rPr>
                <w:bCs/>
                <w:color w:val="000000" w:themeColor="text1"/>
              </w:rPr>
              <w:t>$0.90</w:t>
            </w:r>
          </w:p>
        </w:tc>
        <w:tc>
          <w:tcPr>
            <w:tcW w:w="1308" w:type="dxa"/>
            <w:noWrap/>
            <w:hideMark/>
          </w:tcPr>
          <w:p w14:paraId="55401507" w14:textId="77777777" w:rsidR="00CA6CAD" w:rsidRPr="00CA6CAD" w:rsidRDefault="00CA6CAD" w:rsidP="00CA6CAD">
            <w:pPr>
              <w:spacing w:after="0"/>
              <w:jc w:val="center"/>
              <w:rPr>
                <w:bCs/>
                <w:color w:val="000000" w:themeColor="text1"/>
              </w:rPr>
            </w:pPr>
            <w:r w:rsidRPr="00CA6CAD">
              <w:rPr>
                <w:bCs/>
                <w:color w:val="000000" w:themeColor="text1"/>
              </w:rPr>
              <w:t>$10.86</w:t>
            </w:r>
          </w:p>
        </w:tc>
      </w:tr>
      <w:tr w:rsidR="00CA6CAD" w14:paraId="4668310C" w14:textId="77777777" w:rsidTr="00CA6CAD">
        <w:trPr>
          <w:trHeight w:val="300"/>
        </w:trPr>
        <w:tc>
          <w:tcPr>
            <w:tcW w:w="2068" w:type="dxa"/>
            <w:noWrap/>
            <w:hideMark/>
          </w:tcPr>
          <w:p w14:paraId="104655CF" w14:textId="77777777" w:rsidR="00CA6CAD" w:rsidRPr="00CA6CAD" w:rsidRDefault="00CA6CAD" w:rsidP="00CA6CAD">
            <w:pPr>
              <w:spacing w:after="0"/>
              <w:rPr>
                <w:color w:val="000000" w:themeColor="text1"/>
              </w:rPr>
            </w:pPr>
            <w:r w:rsidRPr="00CA6CAD">
              <w:rPr>
                <w:color w:val="000000" w:themeColor="text1"/>
              </w:rPr>
              <w:t>2016</w:t>
            </w:r>
          </w:p>
        </w:tc>
        <w:tc>
          <w:tcPr>
            <w:tcW w:w="1308" w:type="dxa"/>
            <w:noWrap/>
            <w:hideMark/>
          </w:tcPr>
          <w:p w14:paraId="75569972"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1649B3E9" w14:textId="77777777" w:rsidR="00CA6CAD" w:rsidRPr="00CA6CAD" w:rsidRDefault="00CA6CAD" w:rsidP="00CA6CAD">
            <w:pPr>
              <w:spacing w:after="0"/>
              <w:jc w:val="center"/>
              <w:rPr>
                <w:bCs/>
                <w:color w:val="000000" w:themeColor="text1"/>
              </w:rPr>
            </w:pPr>
            <w:r w:rsidRPr="00CA6CAD">
              <w:rPr>
                <w:bCs/>
                <w:color w:val="000000" w:themeColor="text1"/>
              </w:rPr>
              <w:t>$0.80</w:t>
            </w:r>
          </w:p>
        </w:tc>
        <w:tc>
          <w:tcPr>
            <w:tcW w:w="1308" w:type="dxa"/>
            <w:noWrap/>
            <w:hideMark/>
          </w:tcPr>
          <w:p w14:paraId="04A2533F" w14:textId="77777777" w:rsidR="00CA6CAD" w:rsidRPr="00CA6CAD" w:rsidRDefault="00CA6CAD" w:rsidP="00CA6CAD">
            <w:pPr>
              <w:spacing w:after="0"/>
              <w:jc w:val="center"/>
              <w:rPr>
                <w:bCs/>
                <w:color w:val="000000" w:themeColor="text1"/>
              </w:rPr>
            </w:pPr>
            <w:r w:rsidRPr="00CA6CAD">
              <w:rPr>
                <w:bCs/>
                <w:color w:val="000000" w:themeColor="text1"/>
              </w:rPr>
              <w:t>$8.60</w:t>
            </w:r>
          </w:p>
        </w:tc>
      </w:tr>
      <w:tr w:rsidR="00CA6CAD" w14:paraId="396E045B" w14:textId="77777777" w:rsidTr="00CA6CAD">
        <w:trPr>
          <w:trHeight w:val="300"/>
        </w:trPr>
        <w:tc>
          <w:tcPr>
            <w:tcW w:w="2068" w:type="dxa"/>
            <w:noWrap/>
            <w:hideMark/>
          </w:tcPr>
          <w:p w14:paraId="262E67BC" w14:textId="77777777" w:rsidR="00CA6CAD" w:rsidRPr="00CA6CAD" w:rsidRDefault="00CA6CAD" w:rsidP="00CA6CAD">
            <w:pPr>
              <w:spacing w:after="0"/>
              <w:rPr>
                <w:color w:val="000000" w:themeColor="text1"/>
              </w:rPr>
            </w:pPr>
            <w:r w:rsidRPr="00CA6CAD">
              <w:rPr>
                <w:color w:val="000000" w:themeColor="text1"/>
              </w:rPr>
              <w:t>2017</w:t>
            </w:r>
          </w:p>
        </w:tc>
        <w:tc>
          <w:tcPr>
            <w:tcW w:w="1308" w:type="dxa"/>
            <w:noWrap/>
            <w:hideMark/>
          </w:tcPr>
          <w:p w14:paraId="5D4E70FC"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25515DA6" w14:textId="77777777" w:rsidR="00CA6CAD" w:rsidRPr="00CA6CAD" w:rsidRDefault="00CA6CAD" w:rsidP="00CA6CAD">
            <w:pPr>
              <w:spacing w:after="0"/>
              <w:jc w:val="center"/>
              <w:rPr>
                <w:bCs/>
                <w:color w:val="000000" w:themeColor="text1"/>
              </w:rPr>
            </w:pPr>
            <w:r w:rsidRPr="00CA6CAD">
              <w:rPr>
                <w:bCs/>
                <w:color w:val="000000" w:themeColor="text1"/>
              </w:rPr>
              <w:t>$0.70</w:t>
            </w:r>
          </w:p>
        </w:tc>
        <w:tc>
          <w:tcPr>
            <w:tcW w:w="1308" w:type="dxa"/>
            <w:noWrap/>
            <w:hideMark/>
          </w:tcPr>
          <w:p w14:paraId="4E5928E1" w14:textId="77777777" w:rsidR="00CA6CAD" w:rsidRPr="00CA6CAD" w:rsidRDefault="00CA6CAD" w:rsidP="00CA6CAD">
            <w:pPr>
              <w:spacing w:after="0"/>
              <w:jc w:val="center"/>
              <w:rPr>
                <w:bCs/>
                <w:color w:val="000000" w:themeColor="text1"/>
              </w:rPr>
            </w:pPr>
            <w:r w:rsidRPr="00CA6CAD">
              <w:rPr>
                <w:bCs/>
                <w:color w:val="000000" w:themeColor="text1"/>
              </w:rPr>
              <w:t>$7.74</w:t>
            </w:r>
          </w:p>
        </w:tc>
      </w:tr>
      <w:tr w:rsidR="00CA6CAD" w14:paraId="18D969BF" w14:textId="77777777" w:rsidTr="00CA6CAD">
        <w:trPr>
          <w:trHeight w:val="300"/>
        </w:trPr>
        <w:tc>
          <w:tcPr>
            <w:tcW w:w="2068" w:type="dxa"/>
            <w:noWrap/>
            <w:hideMark/>
          </w:tcPr>
          <w:p w14:paraId="4CA9E86E" w14:textId="77777777" w:rsidR="00CA6CAD" w:rsidRPr="00CA6CAD" w:rsidRDefault="00CA6CAD" w:rsidP="00CA6CAD">
            <w:pPr>
              <w:spacing w:after="0"/>
              <w:rPr>
                <w:color w:val="000000" w:themeColor="text1"/>
              </w:rPr>
            </w:pPr>
            <w:r w:rsidRPr="00CA6CAD">
              <w:rPr>
                <w:color w:val="000000" w:themeColor="text1"/>
              </w:rPr>
              <w:t>2018</w:t>
            </w:r>
          </w:p>
        </w:tc>
        <w:tc>
          <w:tcPr>
            <w:tcW w:w="1308" w:type="dxa"/>
            <w:noWrap/>
            <w:hideMark/>
          </w:tcPr>
          <w:p w14:paraId="2D46A7D8"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0AA1C1D2" w14:textId="77777777" w:rsidR="00CA6CAD" w:rsidRPr="00CA6CAD" w:rsidRDefault="00CA6CAD" w:rsidP="00CA6CAD">
            <w:pPr>
              <w:spacing w:after="0"/>
              <w:jc w:val="center"/>
              <w:rPr>
                <w:bCs/>
                <w:color w:val="000000" w:themeColor="text1"/>
              </w:rPr>
            </w:pPr>
            <w:r w:rsidRPr="00CA6CAD">
              <w:rPr>
                <w:bCs/>
                <w:color w:val="000000" w:themeColor="text1"/>
              </w:rPr>
              <w:t>$0.60</w:t>
            </w:r>
          </w:p>
        </w:tc>
        <w:tc>
          <w:tcPr>
            <w:tcW w:w="1308" w:type="dxa"/>
            <w:noWrap/>
            <w:hideMark/>
          </w:tcPr>
          <w:p w14:paraId="49BF73C6" w14:textId="77777777" w:rsidR="00CA6CAD" w:rsidRPr="00CA6CAD" w:rsidRDefault="00CA6CAD" w:rsidP="00CA6CAD">
            <w:pPr>
              <w:spacing w:after="0"/>
              <w:jc w:val="center"/>
              <w:rPr>
                <w:bCs/>
                <w:color w:val="000000" w:themeColor="text1"/>
              </w:rPr>
            </w:pPr>
            <w:r w:rsidRPr="00CA6CAD">
              <w:rPr>
                <w:bCs/>
                <w:color w:val="000000" w:themeColor="text1"/>
              </w:rPr>
              <w:t>$6.96</w:t>
            </w:r>
          </w:p>
        </w:tc>
      </w:tr>
      <w:tr w:rsidR="00CA6CAD" w14:paraId="5ECF224D" w14:textId="77777777" w:rsidTr="00CA6CAD">
        <w:trPr>
          <w:trHeight w:val="300"/>
        </w:trPr>
        <w:tc>
          <w:tcPr>
            <w:tcW w:w="2068" w:type="dxa"/>
            <w:noWrap/>
            <w:hideMark/>
          </w:tcPr>
          <w:p w14:paraId="67BA8652" w14:textId="77777777" w:rsidR="00CA6CAD" w:rsidRPr="00CA6CAD" w:rsidRDefault="00CA6CAD" w:rsidP="00CA6CAD">
            <w:pPr>
              <w:spacing w:after="0"/>
              <w:rPr>
                <w:color w:val="000000" w:themeColor="text1"/>
              </w:rPr>
            </w:pPr>
            <w:r w:rsidRPr="00CA6CAD">
              <w:rPr>
                <w:color w:val="000000" w:themeColor="text1"/>
              </w:rPr>
              <w:t>2019</w:t>
            </w:r>
          </w:p>
        </w:tc>
        <w:tc>
          <w:tcPr>
            <w:tcW w:w="1308" w:type="dxa"/>
            <w:noWrap/>
            <w:hideMark/>
          </w:tcPr>
          <w:p w14:paraId="79BFF1FE"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53B3A74A" w14:textId="77777777" w:rsidR="00CA6CAD" w:rsidRPr="00CA6CAD" w:rsidRDefault="00CA6CAD" w:rsidP="00CA6CAD">
            <w:pPr>
              <w:spacing w:after="0"/>
              <w:jc w:val="center"/>
              <w:rPr>
                <w:bCs/>
                <w:color w:val="000000" w:themeColor="text1"/>
              </w:rPr>
            </w:pPr>
            <w:r w:rsidRPr="00CA6CAD">
              <w:rPr>
                <w:bCs/>
                <w:color w:val="000000" w:themeColor="text1"/>
              </w:rPr>
              <w:t>$0.60</w:t>
            </w:r>
          </w:p>
        </w:tc>
        <w:tc>
          <w:tcPr>
            <w:tcW w:w="1308" w:type="dxa"/>
            <w:noWrap/>
            <w:hideMark/>
          </w:tcPr>
          <w:p w14:paraId="77323314" w14:textId="77777777" w:rsidR="00CA6CAD" w:rsidRPr="00CA6CAD" w:rsidRDefault="00CA6CAD" w:rsidP="00CA6CAD">
            <w:pPr>
              <w:spacing w:after="0"/>
              <w:jc w:val="center"/>
              <w:rPr>
                <w:bCs/>
                <w:color w:val="000000" w:themeColor="text1"/>
              </w:rPr>
            </w:pPr>
            <w:r w:rsidRPr="00CA6CAD">
              <w:rPr>
                <w:bCs/>
                <w:color w:val="000000" w:themeColor="text1"/>
              </w:rPr>
              <w:t>$6.27</w:t>
            </w:r>
          </w:p>
        </w:tc>
      </w:tr>
      <w:tr w:rsidR="00CA6CAD" w14:paraId="68969369" w14:textId="77777777" w:rsidTr="00CA6CAD">
        <w:trPr>
          <w:trHeight w:val="300"/>
        </w:trPr>
        <w:tc>
          <w:tcPr>
            <w:tcW w:w="2068" w:type="dxa"/>
            <w:noWrap/>
            <w:hideMark/>
          </w:tcPr>
          <w:p w14:paraId="4B63CD19" w14:textId="77777777" w:rsidR="00CA6CAD" w:rsidRPr="00CA6CAD" w:rsidRDefault="00CA6CAD" w:rsidP="00CA6CAD">
            <w:pPr>
              <w:spacing w:after="0"/>
              <w:rPr>
                <w:color w:val="000000" w:themeColor="text1"/>
              </w:rPr>
            </w:pPr>
            <w:r w:rsidRPr="00CA6CAD">
              <w:rPr>
                <w:color w:val="000000" w:themeColor="text1"/>
              </w:rPr>
              <w:t>2020 &amp; after</w:t>
            </w:r>
          </w:p>
        </w:tc>
        <w:tc>
          <w:tcPr>
            <w:tcW w:w="1308" w:type="dxa"/>
            <w:noWrap/>
            <w:hideMark/>
          </w:tcPr>
          <w:p w14:paraId="4EC01751" w14:textId="77777777" w:rsidR="00CA6CAD" w:rsidRPr="00CA6CAD" w:rsidRDefault="00CA6CAD" w:rsidP="00CA6CAD">
            <w:pPr>
              <w:spacing w:after="0"/>
              <w:jc w:val="center"/>
              <w:rPr>
                <w:bCs/>
                <w:color w:val="000000" w:themeColor="text1"/>
              </w:rPr>
            </w:pPr>
            <w:r w:rsidRPr="00CA6CAD">
              <w:rPr>
                <w:bCs/>
                <w:color w:val="000000" w:themeColor="text1"/>
              </w:rPr>
              <w:t>$0.34</w:t>
            </w:r>
          </w:p>
        </w:tc>
        <w:tc>
          <w:tcPr>
            <w:tcW w:w="1748" w:type="dxa"/>
            <w:noWrap/>
            <w:hideMark/>
          </w:tcPr>
          <w:p w14:paraId="3A4B5318" w14:textId="77777777" w:rsidR="00CA6CAD" w:rsidRPr="00CA6CAD" w:rsidRDefault="00CA6CAD" w:rsidP="00CA6CAD">
            <w:pPr>
              <w:spacing w:after="0"/>
              <w:jc w:val="center"/>
              <w:rPr>
                <w:bCs/>
                <w:color w:val="000000" w:themeColor="text1"/>
              </w:rPr>
            </w:pPr>
            <w:r w:rsidRPr="00CA6CAD">
              <w:rPr>
                <w:bCs/>
                <w:color w:val="000000" w:themeColor="text1"/>
              </w:rPr>
              <w:t>N/A</w:t>
            </w:r>
          </w:p>
        </w:tc>
        <w:tc>
          <w:tcPr>
            <w:tcW w:w="1308" w:type="dxa"/>
            <w:noWrap/>
            <w:hideMark/>
          </w:tcPr>
          <w:p w14:paraId="30E883CF" w14:textId="77777777" w:rsidR="00CA6CAD" w:rsidRPr="00CA6CAD" w:rsidRDefault="00CA6CAD" w:rsidP="00CA6CAD">
            <w:pPr>
              <w:spacing w:after="0"/>
              <w:jc w:val="center"/>
              <w:rPr>
                <w:bCs/>
                <w:color w:val="000000" w:themeColor="text1"/>
              </w:rPr>
            </w:pPr>
            <w:r w:rsidRPr="00CA6CAD">
              <w:rPr>
                <w:bCs/>
                <w:color w:val="000000" w:themeColor="text1"/>
              </w:rPr>
              <w:t>$5.64</w:t>
            </w:r>
          </w:p>
        </w:tc>
      </w:tr>
      <w:bookmarkEnd w:id="70"/>
    </w:tbl>
    <w:p w14:paraId="06DAEB19" w14:textId="77777777" w:rsidR="008D21EE" w:rsidRDefault="008D21EE" w:rsidP="00857EAD"/>
    <w:p w14:paraId="132D7487" w14:textId="141FD83D" w:rsidR="00857EAD" w:rsidRPr="00CA6CAD" w:rsidRDefault="00857EAD" w:rsidP="00857EAD">
      <w:r w:rsidRPr="00CA6CAD">
        <w:t xml:space="preserve">In order to account for the shift in baseline due to the </w:t>
      </w:r>
      <w:r w:rsidRPr="00CA6CAD">
        <w:rPr>
          <w:sz w:val="18"/>
          <w:szCs w:val="18"/>
        </w:rPr>
        <w:t>Energy Independence and Security Act of 2007</w:t>
      </w:r>
      <w:r w:rsidRPr="00CA6CAD">
        <w:t xml:space="preserve">, an equivalent annual </w:t>
      </w:r>
      <w:proofErr w:type="spellStart"/>
      <w:r w:rsidRPr="00CA6CAD">
        <w:t>levelized</w:t>
      </w:r>
      <w:proofErr w:type="spellEnd"/>
      <w:r w:rsidRPr="00CA6CAD">
        <w:t xml:space="preserve"> baseline replacement cost over the lifetime of the LED bu</w:t>
      </w:r>
      <w:r w:rsidR="00421D3F" w:rsidRPr="00CA6CAD">
        <w:t xml:space="preserve">lb </w:t>
      </w:r>
      <w:r w:rsidRPr="00CA6CAD">
        <w:t>is calculated. The key assumptions used in this calculation are documented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4"/>
        <w:gridCol w:w="1611"/>
        <w:gridCol w:w="1611"/>
        <w:gridCol w:w="1552"/>
      </w:tblGrid>
      <w:tr w:rsidR="00421D3F" w:rsidRPr="00CA6CAD" w14:paraId="13CD1C54" w14:textId="77777777" w:rsidTr="0005038D">
        <w:trPr>
          <w:jc w:val="center"/>
        </w:trPr>
        <w:tc>
          <w:tcPr>
            <w:tcW w:w="2624" w:type="dxa"/>
            <w:shd w:val="clear" w:color="auto" w:fill="7F7F7F" w:themeFill="text1" w:themeFillTint="80"/>
          </w:tcPr>
          <w:p w14:paraId="6848DC52" w14:textId="2442E8DC" w:rsidR="00421D3F" w:rsidRPr="00CA6CAD" w:rsidRDefault="00421D3F" w:rsidP="00E472E8">
            <w:pPr>
              <w:pStyle w:val="TableHeading"/>
            </w:pPr>
            <w:r w:rsidRPr="00CA6CAD">
              <w:t>Installation Location</w:t>
            </w:r>
          </w:p>
        </w:tc>
        <w:tc>
          <w:tcPr>
            <w:tcW w:w="1611" w:type="dxa"/>
            <w:shd w:val="clear" w:color="auto" w:fill="7F7F7F" w:themeFill="text1" w:themeFillTint="80"/>
          </w:tcPr>
          <w:p w14:paraId="4E391F5D" w14:textId="0FB050FB" w:rsidR="00421D3F" w:rsidRPr="00CA6CAD" w:rsidRDefault="00421D3F" w:rsidP="00E472E8">
            <w:pPr>
              <w:pStyle w:val="TableHeading"/>
            </w:pPr>
            <w:r w:rsidRPr="00CA6CAD">
              <w:t>Omnidirectional LED Measure Hours (A)</w:t>
            </w:r>
          </w:p>
        </w:tc>
        <w:tc>
          <w:tcPr>
            <w:tcW w:w="1611" w:type="dxa"/>
            <w:shd w:val="clear" w:color="auto" w:fill="7F7F7F" w:themeFill="text1" w:themeFillTint="80"/>
          </w:tcPr>
          <w:p w14:paraId="00750A02" w14:textId="7A1F5D82" w:rsidR="00421D3F" w:rsidRPr="00CA6CAD" w:rsidRDefault="00421D3F" w:rsidP="00E472E8">
            <w:pPr>
              <w:pStyle w:val="TableHeading"/>
            </w:pPr>
            <w:r w:rsidRPr="00CA6CAD">
              <w:t>Hours of Use per year (B)</w:t>
            </w:r>
          </w:p>
        </w:tc>
        <w:tc>
          <w:tcPr>
            <w:tcW w:w="1552" w:type="dxa"/>
            <w:shd w:val="clear" w:color="auto" w:fill="7F7F7F" w:themeFill="text1" w:themeFillTint="80"/>
          </w:tcPr>
          <w:p w14:paraId="250D8C53" w14:textId="4913FE62" w:rsidR="00421D3F" w:rsidRPr="00CA6CAD" w:rsidRDefault="00421D3F" w:rsidP="00E472E8">
            <w:pPr>
              <w:pStyle w:val="TableHeading"/>
            </w:pPr>
            <w:r w:rsidRPr="00CA6CAD">
              <w:t>Measure Life in Years (A/</w:t>
            </w:r>
            <w:commentRangeStart w:id="71"/>
            <w:r w:rsidRPr="00CA6CAD">
              <w:t>B</w:t>
            </w:r>
            <w:commentRangeEnd w:id="71"/>
            <w:r w:rsidRPr="00CA6CAD">
              <w:rPr>
                <w:rStyle w:val="CommentReference"/>
                <w:rFonts w:asciiTheme="minorHAnsi" w:hAnsiTheme="minorHAnsi"/>
                <w:b w:val="0"/>
                <w:noProof w:val="0"/>
                <w:color w:val="auto"/>
              </w:rPr>
              <w:commentReference w:id="71"/>
            </w:r>
            <w:r w:rsidRPr="00CA6CAD">
              <w:t>)</w:t>
            </w:r>
          </w:p>
        </w:tc>
      </w:tr>
      <w:tr w:rsidR="00421D3F" w:rsidRPr="00CA6CAD" w14:paraId="7198E06A" w14:textId="77777777" w:rsidTr="0005038D">
        <w:trPr>
          <w:jc w:val="center"/>
        </w:trPr>
        <w:tc>
          <w:tcPr>
            <w:tcW w:w="2624" w:type="dxa"/>
          </w:tcPr>
          <w:p w14:paraId="3EC48F21" w14:textId="0F69DA93" w:rsidR="00421D3F" w:rsidRPr="00CA6CAD" w:rsidRDefault="00421D3F" w:rsidP="00421D3F">
            <w:pPr>
              <w:pStyle w:val="TechnicalTable"/>
            </w:pPr>
            <w:r w:rsidRPr="00CA6CAD">
              <w:t>Residential and in-unit Multi Family</w:t>
            </w:r>
          </w:p>
        </w:tc>
        <w:tc>
          <w:tcPr>
            <w:tcW w:w="1611" w:type="dxa"/>
          </w:tcPr>
          <w:p w14:paraId="15B3C78F" w14:textId="52C7D00F" w:rsidR="00421D3F" w:rsidRPr="00CA6CAD" w:rsidRDefault="00421D3F" w:rsidP="008D21EE">
            <w:pPr>
              <w:pStyle w:val="TechnicalTable"/>
              <w:jc w:val="center"/>
            </w:pPr>
            <w:r w:rsidRPr="00CA6CAD">
              <w:t>25,000</w:t>
            </w:r>
          </w:p>
        </w:tc>
        <w:tc>
          <w:tcPr>
            <w:tcW w:w="1611" w:type="dxa"/>
          </w:tcPr>
          <w:p w14:paraId="2CFB7D96" w14:textId="6800DF63" w:rsidR="00421D3F" w:rsidRPr="00CA6CAD" w:rsidRDefault="00421D3F" w:rsidP="008D21EE">
            <w:pPr>
              <w:pStyle w:val="TechnicalTable"/>
              <w:jc w:val="center"/>
            </w:pPr>
            <w:r w:rsidRPr="00CA6CAD">
              <w:t xml:space="preserve">938 </w:t>
            </w:r>
            <w:r w:rsidRPr="00CA6CAD">
              <w:rPr>
                <w:rStyle w:val="FootnoteReference"/>
                <w:rFonts w:asciiTheme="minorHAnsi" w:eastAsiaTheme="majorEastAsia" w:hAnsiTheme="minorHAnsi" w:cstheme="minorHAnsi"/>
              </w:rPr>
              <w:footnoteReference w:id="22"/>
            </w:r>
          </w:p>
        </w:tc>
        <w:tc>
          <w:tcPr>
            <w:tcW w:w="1552" w:type="dxa"/>
          </w:tcPr>
          <w:p w14:paraId="470DA5A7" w14:textId="365DD729" w:rsidR="00421D3F" w:rsidRPr="00CA6CAD" w:rsidRDefault="00421D3F" w:rsidP="008D21EE">
            <w:pPr>
              <w:pStyle w:val="TechnicalTable"/>
              <w:jc w:val="center"/>
            </w:pPr>
            <w:r w:rsidRPr="00CA6CAD">
              <w:t>26.7</w:t>
            </w:r>
          </w:p>
        </w:tc>
      </w:tr>
      <w:tr w:rsidR="00421D3F" w:rsidRPr="00CA6CAD" w14:paraId="74D7B4F0" w14:textId="77777777" w:rsidTr="0005038D">
        <w:trPr>
          <w:jc w:val="center"/>
        </w:trPr>
        <w:tc>
          <w:tcPr>
            <w:tcW w:w="2624" w:type="dxa"/>
          </w:tcPr>
          <w:p w14:paraId="10E6402A" w14:textId="661043EA" w:rsidR="00421D3F" w:rsidRPr="00CA6CAD" w:rsidRDefault="00421D3F" w:rsidP="00421D3F">
            <w:pPr>
              <w:pStyle w:val="TechnicalTable"/>
            </w:pPr>
            <w:r w:rsidRPr="00CA6CAD">
              <w:t>Multi Family Common Areas</w:t>
            </w:r>
          </w:p>
        </w:tc>
        <w:tc>
          <w:tcPr>
            <w:tcW w:w="1611" w:type="dxa"/>
          </w:tcPr>
          <w:p w14:paraId="6C385642" w14:textId="37ABB666" w:rsidR="00421D3F" w:rsidRPr="00CA6CAD" w:rsidRDefault="00421D3F" w:rsidP="008D21EE">
            <w:pPr>
              <w:pStyle w:val="TechnicalTable"/>
              <w:jc w:val="center"/>
            </w:pPr>
            <w:r w:rsidRPr="00CA6CAD">
              <w:t>25,000</w:t>
            </w:r>
          </w:p>
        </w:tc>
        <w:tc>
          <w:tcPr>
            <w:tcW w:w="1611" w:type="dxa"/>
          </w:tcPr>
          <w:p w14:paraId="48521B5C" w14:textId="3BE4094B" w:rsidR="00421D3F" w:rsidRPr="00CA6CAD" w:rsidRDefault="00421D3F" w:rsidP="008D21EE">
            <w:pPr>
              <w:pStyle w:val="TechnicalTable"/>
              <w:jc w:val="center"/>
            </w:pPr>
            <w:r w:rsidRPr="00CA6CAD">
              <w:t xml:space="preserve">5,950 </w:t>
            </w:r>
            <w:r w:rsidRPr="00CA6CAD">
              <w:rPr>
                <w:rStyle w:val="FootnoteReference"/>
                <w:rFonts w:asciiTheme="minorHAnsi" w:eastAsiaTheme="majorEastAsia" w:hAnsiTheme="minorHAnsi" w:cstheme="minorHAnsi"/>
              </w:rPr>
              <w:footnoteReference w:id="23"/>
            </w:r>
          </w:p>
        </w:tc>
        <w:tc>
          <w:tcPr>
            <w:tcW w:w="1552" w:type="dxa"/>
          </w:tcPr>
          <w:p w14:paraId="10F07C28" w14:textId="1F12E22D" w:rsidR="00421D3F" w:rsidRPr="00CA6CAD" w:rsidRDefault="00421D3F" w:rsidP="008D21EE">
            <w:pPr>
              <w:pStyle w:val="TechnicalTable"/>
              <w:jc w:val="center"/>
            </w:pPr>
            <w:r w:rsidRPr="00CA6CAD">
              <w:t>4.2</w:t>
            </w:r>
          </w:p>
        </w:tc>
      </w:tr>
      <w:tr w:rsidR="00421D3F" w:rsidRPr="00CA6CAD" w14:paraId="7CCBF883" w14:textId="77777777" w:rsidTr="0005038D">
        <w:trPr>
          <w:jc w:val="center"/>
        </w:trPr>
        <w:tc>
          <w:tcPr>
            <w:tcW w:w="2624" w:type="dxa"/>
          </w:tcPr>
          <w:p w14:paraId="0B6FCEE7" w14:textId="3809A497" w:rsidR="00421D3F" w:rsidRPr="00CA6CAD" w:rsidRDefault="00421D3F" w:rsidP="00421D3F">
            <w:pPr>
              <w:pStyle w:val="TechnicalTable"/>
            </w:pPr>
            <w:r w:rsidRPr="00CA6CAD">
              <w:t>Exterior</w:t>
            </w:r>
          </w:p>
        </w:tc>
        <w:tc>
          <w:tcPr>
            <w:tcW w:w="1611" w:type="dxa"/>
          </w:tcPr>
          <w:p w14:paraId="5B6133D5" w14:textId="60888FE1" w:rsidR="00421D3F" w:rsidRPr="00CA6CAD" w:rsidRDefault="00421D3F" w:rsidP="008D21EE">
            <w:pPr>
              <w:pStyle w:val="TechnicalTable"/>
              <w:jc w:val="center"/>
            </w:pPr>
            <w:r w:rsidRPr="00CA6CAD">
              <w:t>25,000</w:t>
            </w:r>
          </w:p>
        </w:tc>
        <w:tc>
          <w:tcPr>
            <w:tcW w:w="1611" w:type="dxa"/>
          </w:tcPr>
          <w:p w14:paraId="3B0E5566" w14:textId="1CD0D657" w:rsidR="00421D3F" w:rsidRPr="00CA6CAD" w:rsidRDefault="00421D3F" w:rsidP="008D21EE">
            <w:pPr>
              <w:pStyle w:val="TechnicalTable"/>
              <w:jc w:val="center"/>
            </w:pPr>
            <w:r w:rsidRPr="00CA6CAD">
              <w:t xml:space="preserve">1,825 </w:t>
            </w:r>
            <w:r w:rsidRPr="00CA6CAD">
              <w:rPr>
                <w:rStyle w:val="FootnoteReference"/>
                <w:rFonts w:asciiTheme="minorHAnsi" w:eastAsiaTheme="majorEastAsia" w:hAnsiTheme="minorHAnsi" w:cstheme="minorHAnsi"/>
              </w:rPr>
              <w:footnoteReference w:id="24"/>
            </w:r>
          </w:p>
        </w:tc>
        <w:tc>
          <w:tcPr>
            <w:tcW w:w="1552" w:type="dxa"/>
          </w:tcPr>
          <w:p w14:paraId="2FEEF223" w14:textId="327B9364" w:rsidR="00421D3F" w:rsidRPr="00CA6CAD" w:rsidRDefault="00421D3F" w:rsidP="008D21EE">
            <w:pPr>
              <w:pStyle w:val="TechnicalTable"/>
              <w:jc w:val="center"/>
            </w:pPr>
            <w:r w:rsidRPr="00CA6CAD">
              <w:t>13.4</w:t>
            </w:r>
          </w:p>
        </w:tc>
      </w:tr>
      <w:tr w:rsidR="00421D3F" w:rsidRPr="00CA6CAD" w14:paraId="342C8A42" w14:textId="77777777" w:rsidTr="0005038D">
        <w:trPr>
          <w:jc w:val="center"/>
        </w:trPr>
        <w:tc>
          <w:tcPr>
            <w:tcW w:w="2624" w:type="dxa"/>
          </w:tcPr>
          <w:p w14:paraId="2CBC136B" w14:textId="2BC0CB5D" w:rsidR="00421D3F" w:rsidRPr="00CA6CAD" w:rsidRDefault="00421D3F" w:rsidP="00421D3F">
            <w:pPr>
              <w:pStyle w:val="TechnicalTable"/>
            </w:pPr>
            <w:r w:rsidRPr="00CA6CAD">
              <w:t>Unknown</w:t>
            </w:r>
          </w:p>
        </w:tc>
        <w:tc>
          <w:tcPr>
            <w:tcW w:w="1611" w:type="dxa"/>
          </w:tcPr>
          <w:p w14:paraId="4641B15C" w14:textId="7204A7F1" w:rsidR="00421D3F" w:rsidRPr="00CA6CAD" w:rsidRDefault="00421D3F" w:rsidP="008D21EE">
            <w:pPr>
              <w:pStyle w:val="TechnicalTable"/>
              <w:jc w:val="center"/>
            </w:pPr>
            <w:r w:rsidRPr="00CA6CAD">
              <w:t>25,000</w:t>
            </w:r>
          </w:p>
        </w:tc>
        <w:tc>
          <w:tcPr>
            <w:tcW w:w="1611" w:type="dxa"/>
          </w:tcPr>
          <w:p w14:paraId="613DE6D1" w14:textId="40648429" w:rsidR="00421D3F" w:rsidRPr="00CA6CAD" w:rsidRDefault="00421D3F" w:rsidP="008D21EE">
            <w:pPr>
              <w:pStyle w:val="TechnicalTable"/>
              <w:jc w:val="center"/>
            </w:pPr>
            <w:r w:rsidRPr="00CA6CAD">
              <w:t xml:space="preserve">1,000 </w:t>
            </w:r>
            <w:r w:rsidRPr="00CA6CAD">
              <w:rPr>
                <w:rStyle w:val="FootnoteReference"/>
                <w:rFonts w:asciiTheme="minorHAnsi" w:eastAsiaTheme="majorEastAsia" w:hAnsiTheme="minorHAnsi" w:cstheme="minorHAnsi"/>
              </w:rPr>
              <w:footnoteReference w:id="25"/>
            </w:r>
          </w:p>
        </w:tc>
        <w:tc>
          <w:tcPr>
            <w:tcW w:w="1552" w:type="dxa"/>
          </w:tcPr>
          <w:p w14:paraId="1ECCDC4F" w14:textId="49D24243" w:rsidR="00421D3F" w:rsidRPr="00CA6CAD" w:rsidRDefault="00421D3F" w:rsidP="008D21EE">
            <w:pPr>
              <w:pStyle w:val="TechnicalTable"/>
              <w:jc w:val="center"/>
            </w:pPr>
            <w:r w:rsidRPr="00CA6CAD">
              <w:t>25</w:t>
            </w:r>
          </w:p>
        </w:tc>
      </w:tr>
    </w:tbl>
    <w:p w14:paraId="45180A64" w14:textId="77777777" w:rsidR="00CA6CAD" w:rsidRDefault="00CA6CAD" w:rsidP="00857EAD"/>
    <w:p w14:paraId="56339147" w14:textId="01F09D9B" w:rsidR="00857EAD" w:rsidRDefault="00857EAD" w:rsidP="00857EAD">
      <w:pPr>
        <w:rPr>
          <w:rFonts w:cstheme="minorHAnsi"/>
        </w:rPr>
      </w:pPr>
      <w:r w:rsidRPr="00CA6CAD">
        <w:rPr>
          <w:rFonts w:cstheme="minorHAnsi"/>
        </w:rPr>
        <w:t xml:space="preserve">The </w:t>
      </w:r>
      <w:r w:rsidR="008D21EE">
        <w:rPr>
          <w:rFonts w:cstheme="minorHAnsi"/>
        </w:rPr>
        <w:t xml:space="preserve">NPV for replacement lamps and </w:t>
      </w:r>
      <w:r w:rsidRPr="00CA6CAD">
        <w:rPr>
          <w:rFonts w:cstheme="minorHAnsi"/>
        </w:rPr>
        <w:t xml:space="preserve">annual </w:t>
      </w:r>
      <w:proofErr w:type="spellStart"/>
      <w:r w:rsidRPr="00CA6CAD">
        <w:rPr>
          <w:rFonts w:cstheme="minorHAnsi"/>
        </w:rPr>
        <w:t>levelized</w:t>
      </w:r>
      <w:proofErr w:type="spellEnd"/>
      <w:r w:rsidRPr="00CA6CAD">
        <w:rPr>
          <w:rFonts w:cstheme="minorHAnsi"/>
        </w:rPr>
        <w:t xml:space="preserve"> replacement costs using the statewide real discount rate of 5.23% are presented </w:t>
      </w:r>
      <w:commentRangeStart w:id="72"/>
      <w:r w:rsidRPr="00CA6CAD">
        <w:rPr>
          <w:rFonts w:cstheme="minorHAnsi"/>
        </w:rPr>
        <w:t>below</w:t>
      </w:r>
      <w:commentRangeEnd w:id="72"/>
      <w:r w:rsidR="00065940">
        <w:rPr>
          <w:rStyle w:val="CommentReference"/>
        </w:rPr>
        <w:commentReference w:id="72"/>
      </w:r>
      <w:r w:rsidRPr="00CA6CAD">
        <w:rPr>
          <w:rFonts w:cstheme="minorHAnsi"/>
        </w:rPr>
        <w:t>:</w:t>
      </w:r>
    </w:p>
    <w:tbl>
      <w:tblPr>
        <w:tblW w:w="11260" w:type="dxa"/>
        <w:tblInd w:w="-10" w:type="dxa"/>
        <w:tblLook w:val="04A0" w:firstRow="1" w:lastRow="0" w:firstColumn="1" w:lastColumn="0" w:noHBand="0" w:noVBand="1"/>
      </w:tblPr>
      <w:tblGrid>
        <w:gridCol w:w="1760"/>
        <w:gridCol w:w="4520"/>
        <w:gridCol w:w="1370"/>
        <w:gridCol w:w="1268"/>
        <w:gridCol w:w="1162"/>
        <w:gridCol w:w="1180"/>
      </w:tblGrid>
      <w:tr w:rsidR="0067205E" w:rsidRPr="0067205E" w14:paraId="2A4EB86D" w14:textId="77777777" w:rsidTr="0067205E">
        <w:trPr>
          <w:trHeight w:val="672"/>
          <w:tblHeader/>
        </w:trPr>
        <w:tc>
          <w:tcPr>
            <w:tcW w:w="1760" w:type="dxa"/>
            <w:vMerge w:val="restart"/>
            <w:tcBorders>
              <w:top w:val="single" w:sz="8" w:space="0" w:color="auto"/>
              <w:left w:val="single" w:sz="8" w:space="0" w:color="auto"/>
              <w:bottom w:val="single" w:sz="8" w:space="0" w:color="000000"/>
              <w:right w:val="single" w:sz="4" w:space="0" w:color="auto"/>
            </w:tcBorders>
            <w:shd w:val="clear" w:color="000000" w:fill="7F7F7F"/>
            <w:vAlign w:val="center"/>
            <w:hideMark/>
          </w:tcPr>
          <w:p w14:paraId="209D41BA" w14:textId="77777777" w:rsidR="0067205E" w:rsidRPr="0067205E" w:rsidRDefault="0067205E" w:rsidP="0067205E">
            <w:pPr>
              <w:widowControl/>
              <w:spacing w:after="0"/>
              <w:jc w:val="center"/>
              <w:rPr>
                <w:rFonts w:ascii="Calibri" w:hAnsi="Calibri"/>
                <w:b/>
                <w:bCs/>
                <w:color w:val="FFFFFF"/>
                <w:szCs w:val="20"/>
              </w:rPr>
            </w:pPr>
            <w:r w:rsidRPr="0067205E">
              <w:rPr>
                <w:rFonts w:ascii="Calibri" w:hAnsi="Calibri"/>
                <w:b/>
                <w:bCs/>
                <w:color w:val="FFFFFF"/>
                <w:szCs w:val="20"/>
              </w:rPr>
              <w:t>Location</w:t>
            </w:r>
          </w:p>
        </w:tc>
        <w:tc>
          <w:tcPr>
            <w:tcW w:w="4520" w:type="dxa"/>
            <w:vMerge w:val="restart"/>
            <w:tcBorders>
              <w:top w:val="single" w:sz="8" w:space="0" w:color="auto"/>
              <w:left w:val="single" w:sz="4" w:space="0" w:color="auto"/>
              <w:bottom w:val="single" w:sz="8" w:space="0" w:color="000000"/>
              <w:right w:val="single" w:sz="4" w:space="0" w:color="auto"/>
            </w:tcBorders>
            <w:shd w:val="clear" w:color="000000" w:fill="7F7F7F"/>
            <w:vAlign w:val="center"/>
            <w:hideMark/>
          </w:tcPr>
          <w:p w14:paraId="4BEF3A9C" w14:textId="77777777" w:rsidR="0067205E" w:rsidRPr="0067205E" w:rsidRDefault="0067205E" w:rsidP="0067205E">
            <w:pPr>
              <w:widowControl/>
              <w:spacing w:after="0"/>
              <w:jc w:val="center"/>
              <w:rPr>
                <w:rFonts w:ascii="Calibri" w:hAnsi="Calibri"/>
                <w:b/>
                <w:bCs/>
                <w:color w:val="FFFFFF"/>
                <w:szCs w:val="20"/>
              </w:rPr>
            </w:pPr>
            <w:r w:rsidRPr="0067205E">
              <w:rPr>
                <w:rFonts w:ascii="Calibri" w:hAnsi="Calibri"/>
                <w:b/>
                <w:bCs/>
                <w:color w:val="FFFFFF"/>
                <w:szCs w:val="20"/>
              </w:rPr>
              <w:t>Lumen Level</w:t>
            </w:r>
          </w:p>
        </w:tc>
        <w:tc>
          <w:tcPr>
            <w:tcW w:w="2638" w:type="dxa"/>
            <w:gridSpan w:val="2"/>
            <w:tcBorders>
              <w:top w:val="single" w:sz="8" w:space="0" w:color="auto"/>
              <w:left w:val="nil"/>
              <w:bottom w:val="single" w:sz="4" w:space="0" w:color="auto"/>
              <w:right w:val="single" w:sz="4" w:space="0" w:color="auto"/>
            </w:tcBorders>
            <w:shd w:val="clear" w:color="000000" w:fill="7F7F7F"/>
            <w:vAlign w:val="center"/>
            <w:hideMark/>
          </w:tcPr>
          <w:p w14:paraId="33A85BCC" w14:textId="0455762B" w:rsidR="0067205E" w:rsidRPr="0067205E" w:rsidRDefault="0067205E" w:rsidP="0067205E">
            <w:pPr>
              <w:widowControl/>
              <w:spacing w:after="0"/>
              <w:jc w:val="center"/>
              <w:rPr>
                <w:rFonts w:ascii="Calibri" w:hAnsi="Calibri"/>
                <w:b/>
                <w:bCs/>
                <w:color w:val="FFFFFF"/>
                <w:szCs w:val="20"/>
              </w:rPr>
            </w:pPr>
            <w:r w:rsidRPr="0067205E">
              <w:rPr>
                <w:rFonts w:ascii="Calibri" w:hAnsi="Calibri"/>
                <w:b/>
                <w:bCs/>
                <w:color w:val="FFFFFF"/>
                <w:szCs w:val="20"/>
              </w:rPr>
              <w:t>NPV of replacement costs</w:t>
            </w:r>
            <w:r>
              <w:rPr>
                <w:rFonts w:ascii="Calibri" w:hAnsi="Calibri"/>
                <w:b/>
                <w:bCs/>
                <w:color w:val="FFFFFF"/>
                <w:szCs w:val="20"/>
              </w:rPr>
              <w:t xml:space="preserve"> for the period</w:t>
            </w:r>
          </w:p>
        </w:tc>
        <w:tc>
          <w:tcPr>
            <w:tcW w:w="2342" w:type="dxa"/>
            <w:gridSpan w:val="2"/>
            <w:tcBorders>
              <w:top w:val="single" w:sz="8" w:space="0" w:color="auto"/>
              <w:left w:val="nil"/>
              <w:bottom w:val="single" w:sz="4" w:space="0" w:color="auto"/>
              <w:right w:val="single" w:sz="8" w:space="0" w:color="000000"/>
            </w:tcBorders>
            <w:shd w:val="clear" w:color="000000" w:fill="7F7F7F"/>
            <w:vAlign w:val="center"/>
            <w:hideMark/>
          </w:tcPr>
          <w:p w14:paraId="5CD674E1" w14:textId="77777777" w:rsidR="0067205E" w:rsidRPr="0067205E" w:rsidRDefault="0067205E" w:rsidP="0067205E">
            <w:pPr>
              <w:widowControl/>
              <w:spacing w:after="0"/>
              <w:jc w:val="center"/>
              <w:rPr>
                <w:rFonts w:ascii="Calibri" w:hAnsi="Calibri"/>
                <w:b/>
                <w:bCs/>
                <w:color w:val="FFFFFF"/>
                <w:szCs w:val="20"/>
              </w:rPr>
            </w:pPr>
            <w:proofErr w:type="spellStart"/>
            <w:r w:rsidRPr="0067205E">
              <w:rPr>
                <w:rFonts w:ascii="Calibri" w:hAnsi="Calibri"/>
                <w:b/>
                <w:bCs/>
                <w:color w:val="FFFFFF"/>
                <w:szCs w:val="20"/>
              </w:rPr>
              <w:t>Levelized</w:t>
            </w:r>
            <w:proofErr w:type="spellEnd"/>
            <w:r w:rsidRPr="0067205E">
              <w:rPr>
                <w:rFonts w:ascii="Calibri" w:hAnsi="Calibri"/>
                <w:b/>
                <w:bCs/>
                <w:color w:val="FFFFFF"/>
                <w:szCs w:val="20"/>
              </w:rPr>
              <w:t xml:space="preserve"> annual replacement cost savings</w:t>
            </w:r>
          </w:p>
        </w:tc>
      </w:tr>
      <w:tr w:rsidR="0067205E" w:rsidRPr="0067205E" w14:paraId="3EC169A0" w14:textId="77777777" w:rsidTr="0067205E">
        <w:trPr>
          <w:trHeight w:val="840"/>
          <w:tblHeader/>
        </w:trPr>
        <w:tc>
          <w:tcPr>
            <w:tcW w:w="1760" w:type="dxa"/>
            <w:vMerge/>
            <w:tcBorders>
              <w:top w:val="single" w:sz="8" w:space="0" w:color="auto"/>
              <w:left w:val="single" w:sz="8" w:space="0" w:color="auto"/>
              <w:bottom w:val="single" w:sz="8" w:space="0" w:color="000000"/>
              <w:right w:val="single" w:sz="4" w:space="0" w:color="auto"/>
            </w:tcBorders>
            <w:vAlign w:val="center"/>
            <w:hideMark/>
          </w:tcPr>
          <w:p w14:paraId="2905FB86" w14:textId="77777777" w:rsidR="0067205E" w:rsidRPr="0067205E" w:rsidRDefault="0067205E" w:rsidP="0067205E">
            <w:pPr>
              <w:widowControl/>
              <w:spacing w:after="0"/>
              <w:jc w:val="left"/>
              <w:rPr>
                <w:rFonts w:ascii="Calibri" w:hAnsi="Calibri"/>
                <w:b/>
                <w:bCs/>
                <w:color w:val="FFFFFF"/>
                <w:szCs w:val="20"/>
              </w:rPr>
            </w:pPr>
          </w:p>
        </w:tc>
        <w:tc>
          <w:tcPr>
            <w:tcW w:w="4520" w:type="dxa"/>
            <w:vMerge/>
            <w:tcBorders>
              <w:top w:val="single" w:sz="8" w:space="0" w:color="auto"/>
              <w:left w:val="single" w:sz="4" w:space="0" w:color="auto"/>
              <w:bottom w:val="single" w:sz="8" w:space="0" w:color="000000"/>
              <w:right w:val="single" w:sz="4" w:space="0" w:color="auto"/>
            </w:tcBorders>
            <w:vAlign w:val="center"/>
            <w:hideMark/>
          </w:tcPr>
          <w:p w14:paraId="658F19EC" w14:textId="77777777" w:rsidR="0067205E" w:rsidRPr="0067205E" w:rsidRDefault="0067205E" w:rsidP="0067205E">
            <w:pPr>
              <w:widowControl/>
              <w:spacing w:after="0"/>
              <w:jc w:val="left"/>
              <w:rPr>
                <w:rFonts w:ascii="Calibri" w:hAnsi="Calibri"/>
                <w:b/>
                <w:bCs/>
                <w:color w:val="FFFFFF"/>
                <w:szCs w:val="20"/>
              </w:rPr>
            </w:pPr>
          </w:p>
        </w:tc>
        <w:tc>
          <w:tcPr>
            <w:tcW w:w="1370" w:type="dxa"/>
            <w:tcBorders>
              <w:top w:val="nil"/>
              <w:left w:val="nil"/>
              <w:bottom w:val="single" w:sz="8" w:space="0" w:color="auto"/>
              <w:right w:val="single" w:sz="4" w:space="0" w:color="auto"/>
            </w:tcBorders>
            <w:shd w:val="clear" w:color="000000" w:fill="7F7F7F"/>
            <w:vAlign w:val="center"/>
            <w:hideMark/>
          </w:tcPr>
          <w:p w14:paraId="3DE24F32" w14:textId="77777777" w:rsidR="0067205E" w:rsidRPr="0067205E" w:rsidRDefault="0067205E" w:rsidP="0067205E">
            <w:pPr>
              <w:widowControl/>
              <w:spacing w:after="0"/>
              <w:jc w:val="center"/>
              <w:rPr>
                <w:rFonts w:ascii="Calibri" w:hAnsi="Calibri"/>
                <w:b/>
                <w:bCs/>
                <w:color w:val="FFFFFF"/>
                <w:szCs w:val="20"/>
              </w:rPr>
            </w:pPr>
            <w:r w:rsidRPr="0067205E">
              <w:rPr>
                <w:rFonts w:ascii="Calibri" w:hAnsi="Calibri"/>
                <w:b/>
                <w:bCs/>
                <w:color w:val="FFFFFF"/>
                <w:szCs w:val="20"/>
              </w:rPr>
              <w:t>June 2014 - May 2020</w:t>
            </w:r>
          </w:p>
        </w:tc>
        <w:tc>
          <w:tcPr>
            <w:tcW w:w="1268" w:type="dxa"/>
            <w:tcBorders>
              <w:top w:val="nil"/>
              <w:left w:val="nil"/>
              <w:bottom w:val="single" w:sz="8" w:space="0" w:color="auto"/>
              <w:right w:val="single" w:sz="4" w:space="0" w:color="auto"/>
            </w:tcBorders>
            <w:shd w:val="clear" w:color="000000" w:fill="7F7F7F"/>
            <w:vAlign w:val="center"/>
            <w:hideMark/>
          </w:tcPr>
          <w:p w14:paraId="2E05108D" w14:textId="77777777" w:rsidR="0067205E" w:rsidRPr="0067205E" w:rsidRDefault="0067205E" w:rsidP="0067205E">
            <w:pPr>
              <w:widowControl/>
              <w:spacing w:after="0"/>
              <w:jc w:val="center"/>
              <w:rPr>
                <w:rFonts w:ascii="Calibri" w:hAnsi="Calibri"/>
                <w:b/>
                <w:bCs/>
                <w:color w:val="FFFFFF"/>
                <w:szCs w:val="20"/>
              </w:rPr>
            </w:pPr>
            <w:r w:rsidRPr="0067205E">
              <w:rPr>
                <w:rFonts w:ascii="Calibri" w:hAnsi="Calibri"/>
                <w:b/>
                <w:bCs/>
                <w:color w:val="FFFFFF"/>
                <w:szCs w:val="20"/>
              </w:rPr>
              <w:t>June 2020- May 2025</w:t>
            </w:r>
          </w:p>
        </w:tc>
        <w:tc>
          <w:tcPr>
            <w:tcW w:w="1162" w:type="dxa"/>
            <w:tcBorders>
              <w:top w:val="nil"/>
              <w:left w:val="nil"/>
              <w:bottom w:val="single" w:sz="8" w:space="0" w:color="auto"/>
              <w:right w:val="single" w:sz="4" w:space="0" w:color="auto"/>
            </w:tcBorders>
            <w:shd w:val="clear" w:color="000000" w:fill="7F7F7F"/>
            <w:vAlign w:val="center"/>
            <w:hideMark/>
          </w:tcPr>
          <w:p w14:paraId="1358AD78" w14:textId="77777777" w:rsidR="0067205E" w:rsidRPr="0067205E" w:rsidRDefault="0067205E" w:rsidP="0067205E">
            <w:pPr>
              <w:widowControl/>
              <w:spacing w:after="0"/>
              <w:jc w:val="center"/>
              <w:rPr>
                <w:rFonts w:ascii="Calibri" w:hAnsi="Calibri"/>
                <w:b/>
                <w:bCs/>
                <w:color w:val="FFFFFF"/>
                <w:szCs w:val="20"/>
              </w:rPr>
            </w:pPr>
            <w:r w:rsidRPr="0067205E">
              <w:rPr>
                <w:rFonts w:ascii="Calibri" w:hAnsi="Calibri"/>
                <w:b/>
                <w:bCs/>
                <w:color w:val="FFFFFF"/>
                <w:szCs w:val="20"/>
              </w:rPr>
              <w:t>June 2014 - May 2020</w:t>
            </w:r>
          </w:p>
        </w:tc>
        <w:tc>
          <w:tcPr>
            <w:tcW w:w="1180" w:type="dxa"/>
            <w:tcBorders>
              <w:top w:val="nil"/>
              <w:left w:val="nil"/>
              <w:bottom w:val="single" w:sz="8" w:space="0" w:color="auto"/>
              <w:right w:val="single" w:sz="8" w:space="0" w:color="auto"/>
            </w:tcBorders>
            <w:shd w:val="clear" w:color="000000" w:fill="7F7F7F"/>
            <w:vAlign w:val="center"/>
            <w:hideMark/>
          </w:tcPr>
          <w:p w14:paraId="4C038991" w14:textId="77777777" w:rsidR="0067205E" w:rsidRPr="0067205E" w:rsidRDefault="0067205E" w:rsidP="0067205E">
            <w:pPr>
              <w:widowControl/>
              <w:spacing w:after="0"/>
              <w:jc w:val="center"/>
              <w:rPr>
                <w:rFonts w:ascii="Calibri" w:hAnsi="Calibri"/>
                <w:b/>
                <w:bCs/>
                <w:color w:val="FFFFFF"/>
                <w:szCs w:val="20"/>
              </w:rPr>
            </w:pPr>
            <w:r w:rsidRPr="0067205E">
              <w:rPr>
                <w:rFonts w:ascii="Calibri" w:hAnsi="Calibri"/>
                <w:b/>
                <w:bCs/>
                <w:color w:val="FFFFFF"/>
                <w:szCs w:val="20"/>
              </w:rPr>
              <w:t>June 2020- May 2025</w:t>
            </w:r>
          </w:p>
        </w:tc>
      </w:tr>
      <w:tr w:rsidR="0067205E" w:rsidRPr="0067205E" w14:paraId="1A967BB4" w14:textId="77777777" w:rsidTr="0067205E">
        <w:trPr>
          <w:trHeight w:val="288"/>
        </w:trPr>
        <w:tc>
          <w:tcPr>
            <w:tcW w:w="1760" w:type="dxa"/>
            <w:vMerge w:val="restart"/>
            <w:tcBorders>
              <w:top w:val="nil"/>
              <w:left w:val="single" w:sz="8" w:space="0" w:color="auto"/>
              <w:bottom w:val="single" w:sz="4" w:space="0" w:color="auto"/>
              <w:right w:val="single" w:sz="4" w:space="0" w:color="auto"/>
            </w:tcBorders>
            <w:shd w:val="clear" w:color="auto" w:fill="auto"/>
            <w:vAlign w:val="center"/>
            <w:hideMark/>
          </w:tcPr>
          <w:p w14:paraId="1CFDF2D3" w14:textId="77777777" w:rsidR="0067205E" w:rsidRPr="0067205E" w:rsidRDefault="0067205E" w:rsidP="0067205E">
            <w:pPr>
              <w:widowControl/>
              <w:spacing w:after="0"/>
              <w:jc w:val="center"/>
              <w:rPr>
                <w:rFonts w:ascii="Calibri" w:hAnsi="Calibri"/>
                <w:color w:val="000000"/>
                <w:szCs w:val="20"/>
              </w:rPr>
            </w:pPr>
            <w:r w:rsidRPr="0067205E">
              <w:rPr>
                <w:rFonts w:ascii="Calibri" w:hAnsi="Calibri"/>
                <w:color w:val="000000"/>
                <w:szCs w:val="20"/>
              </w:rPr>
              <w:t>Residential and in-unit Multi Family</w:t>
            </w:r>
          </w:p>
        </w:tc>
        <w:tc>
          <w:tcPr>
            <w:tcW w:w="4520" w:type="dxa"/>
            <w:tcBorders>
              <w:top w:val="nil"/>
              <w:left w:val="nil"/>
              <w:bottom w:val="single" w:sz="4" w:space="0" w:color="auto"/>
              <w:right w:val="single" w:sz="4" w:space="0" w:color="auto"/>
            </w:tcBorders>
            <w:shd w:val="clear" w:color="000000" w:fill="FFFFFF"/>
            <w:vAlign w:val="center"/>
            <w:hideMark/>
          </w:tcPr>
          <w:p w14:paraId="55593802" w14:textId="26A53846" w:rsidR="0067205E" w:rsidRPr="0067205E" w:rsidRDefault="0067205E" w:rsidP="008D21EE">
            <w:pPr>
              <w:widowControl/>
              <w:spacing w:after="0"/>
              <w:jc w:val="left"/>
              <w:rPr>
                <w:rFonts w:ascii="Calibri" w:hAnsi="Calibri"/>
                <w:color w:val="000000"/>
                <w:szCs w:val="20"/>
              </w:rPr>
            </w:pPr>
            <w:r w:rsidRPr="0067205E">
              <w:rPr>
                <w:rFonts w:ascii="Calibri" w:hAnsi="Calibri"/>
                <w:color w:val="000000"/>
                <w:szCs w:val="20"/>
              </w:rPr>
              <w:t>Lumens &lt;310 or &gt;2600 (incandescent</w:t>
            </w:r>
            <w:r>
              <w:rPr>
                <w:rFonts w:ascii="Calibri" w:hAnsi="Calibri"/>
                <w:color w:val="000000"/>
                <w:szCs w:val="20"/>
              </w:rPr>
              <w:t xml:space="preserve"> </w:t>
            </w:r>
            <w:r w:rsidR="008D21EE">
              <w:rPr>
                <w:rFonts w:ascii="Calibri" w:hAnsi="Calibri"/>
                <w:color w:val="000000"/>
                <w:szCs w:val="20"/>
              </w:rPr>
              <w:t>lamps</w:t>
            </w:r>
            <w:r w:rsidRPr="0067205E">
              <w:rPr>
                <w:rFonts w:ascii="Calibri" w:hAnsi="Calibri"/>
                <w:color w:val="000000"/>
                <w:szCs w:val="20"/>
              </w:rPr>
              <w:t>)</w:t>
            </w:r>
          </w:p>
        </w:tc>
        <w:tc>
          <w:tcPr>
            <w:tcW w:w="1370" w:type="dxa"/>
            <w:tcBorders>
              <w:top w:val="nil"/>
              <w:left w:val="nil"/>
              <w:bottom w:val="single" w:sz="4" w:space="0" w:color="auto"/>
              <w:right w:val="single" w:sz="4" w:space="0" w:color="auto"/>
            </w:tcBorders>
            <w:shd w:val="clear" w:color="000000" w:fill="FFFFFF"/>
            <w:noWrap/>
            <w:vAlign w:val="center"/>
            <w:hideMark/>
          </w:tcPr>
          <w:p w14:paraId="5AC676C6"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$1.86 </w:t>
            </w:r>
          </w:p>
        </w:tc>
        <w:tc>
          <w:tcPr>
            <w:tcW w:w="1268" w:type="dxa"/>
            <w:tcBorders>
              <w:top w:val="nil"/>
              <w:left w:val="nil"/>
              <w:bottom w:val="single" w:sz="4" w:space="0" w:color="auto"/>
              <w:right w:val="single" w:sz="4" w:space="0" w:color="auto"/>
            </w:tcBorders>
            <w:shd w:val="clear" w:color="000000" w:fill="FFFFFF"/>
            <w:noWrap/>
            <w:vAlign w:val="center"/>
            <w:hideMark/>
          </w:tcPr>
          <w:p w14:paraId="0AC75FCD"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$1.55 </w:t>
            </w:r>
          </w:p>
        </w:tc>
        <w:tc>
          <w:tcPr>
            <w:tcW w:w="1162" w:type="dxa"/>
            <w:tcBorders>
              <w:top w:val="nil"/>
              <w:left w:val="nil"/>
              <w:bottom w:val="single" w:sz="4" w:space="0" w:color="auto"/>
              <w:right w:val="single" w:sz="4" w:space="0" w:color="auto"/>
            </w:tcBorders>
            <w:shd w:val="clear" w:color="000000" w:fill="FFFFFF"/>
            <w:noWrap/>
            <w:vAlign w:val="center"/>
            <w:hideMark/>
          </w:tcPr>
          <w:p w14:paraId="1DB2F518"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$1.22 </w:t>
            </w:r>
          </w:p>
        </w:tc>
        <w:tc>
          <w:tcPr>
            <w:tcW w:w="1180" w:type="dxa"/>
            <w:tcBorders>
              <w:top w:val="nil"/>
              <w:left w:val="nil"/>
              <w:bottom w:val="single" w:sz="4" w:space="0" w:color="auto"/>
              <w:right w:val="single" w:sz="8" w:space="0" w:color="auto"/>
            </w:tcBorders>
            <w:shd w:val="clear" w:color="000000" w:fill="FFFFFF"/>
            <w:noWrap/>
            <w:vAlign w:val="center"/>
            <w:hideMark/>
          </w:tcPr>
          <w:p w14:paraId="75716757"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$1.16 </w:t>
            </w:r>
          </w:p>
        </w:tc>
      </w:tr>
      <w:tr w:rsidR="0067205E" w:rsidRPr="0067205E" w14:paraId="798A889D" w14:textId="77777777" w:rsidTr="0067205E">
        <w:trPr>
          <w:trHeight w:val="288"/>
        </w:trPr>
        <w:tc>
          <w:tcPr>
            <w:tcW w:w="1760" w:type="dxa"/>
            <w:vMerge/>
            <w:tcBorders>
              <w:top w:val="nil"/>
              <w:left w:val="single" w:sz="8" w:space="0" w:color="auto"/>
              <w:bottom w:val="single" w:sz="4" w:space="0" w:color="auto"/>
              <w:right w:val="single" w:sz="4" w:space="0" w:color="auto"/>
            </w:tcBorders>
            <w:vAlign w:val="center"/>
            <w:hideMark/>
          </w:tcPr>
          <w:p w14:paraId="1A146F0D" w14:textId="77777777" w:rsidR="0067205E" w:rsidRPr="0067205E" w:rsidRDefault="0067205E" w:rsidP="0067205E">
            <w:pPr>
              <w:widowControl/>
              <w:spacing w:after="0"/>
              <w:jc w:val="left"/>
              <w:rPr>
                <w:rFonts w:ascii="Calibri" w:hAnsi="Calibri"/>
                <w:color w:val="000000"/>
                <w:szCs w:val="20"/>
              </w:rPr>
            </w:pPr>
          </w:p>
        </w:tc>
        <w:tc>
          <w:tcPr>
            <w:tcW w:w="4520" w:type="dxa"/>
            <w:tcBorders>
              <w:top w:val="nil"/>
              <w:left w:val="nil"/>
              <w:bottom w:val="single" w:sz="4" w:space="0" w:color="auto"/>
              <w:right w:val="single" w:sz="4" w:space="0" w:color="auto"/>
            </w:tcBorders>
            <w:shd w:val="clear" w:color="000000" w:fill="FFFFFF"/>
            <w:vAlign w:val="center"/>
            <w:hideMark/>
          </w:tcPr>
          <w:p w14:paraId="1CF50437" w14:textId="01AF9136" w:rsidR="0067205E" w:rsidRPr="0067205E" w:rsidRDefault="0067205E" w:rsidP="0067205E">
            <w:pPr>
              <w:widowControl/>
              <w:spacing w:after="0"/>
              <w:jc w:val="left"/>
              <w:rPr>
                <w:rFonts w:ascii="Calibri" w:hAnsi="Calibri"/>
                <w:color w:val="000000"/>
                <w:szCs w:val="20"/>
              </w:rPr>
            </w:pPr>
            <w:r w:rsidRPr="0067205E">
              <w:rPr>
                <w:rFonts w:ascii="Calibri" w:hAnsi="Calibri"/>
                <w:color w:val="000000"/>
                <w:szCs w:val="20"/>
              </w:rPr>
              <w:t>L</w:t>
            </w:r>
            <w:r>
              <w:rPr>
                <w:rFonts w:ascii="Calibri" w:hAnsi="Calibri"/>
                <w:color w:val="000000"/>
                <w:szCs w:val="20"/>
              </w:rPr>
              <w:t xml:space="preserve">umens ≥ </w:t>
            </w:r>
            <w:r w:rsidR="008D21EE">
              <w:rPr>
                <w:rFonts w:ascii="Calibri" w:hAnsi="Calibri"/>
                <w:color w:val="000000"/>
                <w:szCs w:val="20"/>
              </w:rPr>
              <w:t>310 and ≤ 2600 (halogen lamps</w:t>
            </w:r>
            <w:r w:rsidRPr="0067205E">
              <w:rPr>
                <w:rFonts w:ascii="Calibri" w:hAnsi="Calibri"/>
                <w:color w:val="000000"/>
                <w:szCs w:val="20"/>
              </w:rPr>
              <w:t>)</w:t>
            </w:r>
          </w:p>
        </w:tc>
        <w:tc>
          <w:tcPr>
            <w:tcW w:w="1370" w:type="dxa"/>
            <w:tcBorders>
              <w:top w:val="nil"/>
              <w:left w:val="nil"/>
              <w:bottom w:val="single" w:sz="4" w:space="0" w:color="auto"/>
              <w:right w:val="single" w:sz="4" w:space="0" w:color="auto"/>
            </w:tcBorders>
            <w:shd w:val="clear" w:color="000000" w:fill="FFFFFF"/>
            <w:noWrap/>
            <w:vAlign w:val="center"/>
            <w:hideMark/>
          </w:tcPr>
          <w:p w14:paraId="7EAF782F"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$4.30 </w:t>
            </w:r>
          </w:p>
        </w:tc>
        <w:tc>
          <w:tcPr>
            <w:tcW w:w="1268" w:type="dxa"/>
            <w:tcBorders>
              <w:top w:val="nil"/>
              <w:left w:val="nil"/>
              <w:bottom w:val="single" w:sz="4" w:space="0" w:color="auto"/>
              <w:right w:val="single" w:sz="4" w:space="0" w:color="auto"/>
            </w:tcBorders>
            <w:shd w:val="clear" w:color="000000" w:fill="FFFFFF"/>
            <w:noWrap/>
            <w:vAlign w:val="center"/>
            <w:hideMark/>
          </w:tcPr>
          <w:p w14:paraId="2CA2AAD9"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$2.42 </w:t>
            </w:r>
          </w:p>
        </w:tc>
        <w:tc>
          <w:tcPr>
            <w:tcW w:w="1162" w:type="dxa"/>
            <w:tcBorders>
              <w:top w:val="nil"/>
              <w:left w:val="nil"/>
              <w:bottom w:val="single" w:sz="4" w:space="0" w:color="auto"/>
              <w:right w:val="single" w:sz="4" w:space="0" w:color="auto"/>
            </w:tcBorders>
            <w:shd w:val="clear" w:color="000000" w:fill="FFFFFF"/>
            <w:noWrap/>
            <w:vAlign w:val="center"/>
            <w:hideMark/>
          </w:tcPr>
          <w:p w14:paraId="7780FF66"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$1.19 </w:t>
            </w:r>
          </w:p>
        </w:tc>
        <w:tc>
          <w:tcPr>
            <w:tcW w:w="1180" w:type="dxa"/>
            <w:tcBorders>
              <w:top w:val="nil"/>
              <w:left w:val="nil"/>
              <w:bottom w:val="single" w:sz="4" w:space="0" w:color="auto"/>
              <w:right w:val="single" w:sz="8" w:space="0" w:color="auto"/>
            </w:tcBorders>
            <w:shd w:val="clear" w:color="000000" w:fill="FFFFFF"/>
            <w:noWrap/>
            <w:vAlign w:val="center"/>
            <w:hideMark/>
          </w:tcPr>
          <w:p w14:paraId="2AD2F194"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$1.16 </w:t>
            </w:r>
          </w:p>
        </w:tc>
        <w:bookmarkStart w:id="73" w:name="_GoBack"/>
        <w:bookmarkEnd w:id="73"/>
      </w:tr>
      <w:tr w:rsidR="0067205E" w:rsidRPr="0067205E" w14:paraId="5DAAA53C" w14:textId="77777777" w:rsidTr="0067205E">
        <w:trPr>
          <w:trHeight w:val="288"/>
        </w:trPr>
        <w:tc>
          <w:tcPr>
            <w:tcW w:w="1760" w:type="dxa"/>
            <w:vMerge w:val="restart"/>
            <w:tcBorders>
              <w:top w:val="nil"/>
              <w:left w:val="single" w:sz="8" w:space="0" w:color="auto"/>
              <w:bottom w:val="single" w:sz="4" w:space="0" w:color="auto"/>
              <w:right w:val="single" w:sz="4" w:space="0" w:color="auto"/>
            </w:tcBorders>
            <w:shd w:val="clear" w:color="auto" w:fill="auto"/>
            <w:vAlign w:val="center"/>
            <w:hideMark/>
          </w:tcPr>
          <w:p w14:paraId="52A7E4AC" w14:textId="77777777" w:rsidR="0067205E" w:rsidRPr="0067205E" w:rsidRDefault="0067205E" w:rsidP="0067205E">
            <w:pPr>
              <w:widowControl/>
              <w:spacing w:after="0"/>
              <w:jc w:val="center"/>
              <w:rPr>
                <w:rFonts w:ascii="Calibri" w:hAnsi="Calibri"/>
                <w:color w:val="000000"/>
                <w:szCs w:val="20"/>
              </w:rPr>
            </w:pPr>
            <w:r w:rsidRPr="0067205E">
              <w:rPr>
                <w:rFonts w:ascii="Calibri" w:hAnsi="Calibri"/>
                <w:color w:val="000000"/>
                <w:szCs w:val="20"/>
              </w:rPr>
              <w:t>Multi Family Common Areas</w:t>
            </w:r>
          </w:p>
        </w:tc>
        <w:tc>
          <w:tcPr>
            <w:tcW w:w="4520" w:type="dxa"/>
            <w:tcBorders>
              <w:top w:val="nil"/>
              <w:left w:val="nil"/>
              <w:bottom w:val="single" w:sz="4" w:space="0" w:color="auto"/>
              <w:right w:val="single" w:sz="4" w:space="0" w:color="auto"/>
            </w:tcBorders>
            <w:shd w:val="clear" w:color="000000" w:fill="FFFFFF"/>
            <w:vAlign w:val="center"/>
            <w:hideMark/>
          </w:tcPr>
          <w:p w14:paraId="0DFC7B38" w14:textId="056898C9" w:rsidR="0067205E" w:rsidRPr="0067205E" w:rsidRDefault="0067205E" w:rsidP="0067205E">
            <w:pPr>
              <w:widowControl/>
              <w:spacing w:after="0"/>
              <w:jc w:val="left"/>
              <w:rPr>
                <w:rFonts w:ascii="Calibri" w:hAnsi="Calibri"/>
                <w:color w:val="000000"/>
                <w:szCs w:val="20"/>
              </w:rPr>
            </w:pPr>
            <w:r w:rsidRPr="0067205E">
              <w:rPr>
                <w:rFonts w:ascii="Calibri" w:hAnsi="Calibri"/>
                <w:color w:val="000000"/>
                <w:szCs w:val="20"/>
              </w:rPr>
              <w:t>Lum</w:t>
            </w:r>
            <w:r>
              <w:rPr>
                <w:rFonts w:ascii="Calibri" w:hAnsi="Calibri"/>
                <w:color w:val="000000"/>
                <w:szCs w:val="20"/>
              </w:rPr>
              <w:t>ens &lt;310</w:t>
            </w:r>
            <w:r w:rsidR="008D21EE">
              <w:rPr>
                <w:rFonts w:ascii="Calibri" w:hAnsi="Calibri"/>
                <w:color w:val="000000"/>
                <w:szCs w:val="20"/>
              </w:rPr>
              <w:t xml:space="preserve"> or &gt;2600 (incandescent lamps</w:t>
            </w:r>
          </w:p>
        </w:tc>
        <w:tc>
          <w:tcPr>
            <w:tcW w:w="1370" w:type="dxa"/>
            <w:tcBorders>
              <w:top w:val="nil"/>
              <w:left w:val="nil"/>
              <w:bottom w:val="single" w:sz="4" w:space="0" w:color="auto"/>
              <w:right w:val="single" w:sz="4" w:space="0" w:color="auto"/>
            </w:tcBorders>
            <w:shd w:val="clear" w:color="000000" w:fill="FFFFFF"/>
            <w:noWrap/>
            <w:vAlign w:val="center"/>
            <w:hideMark/>
          </w:tcPr>
          <w:p w14:paraId="2A0FD9EE"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$11.61 </w:t>
            </w:r>
          </w:p>
        </w:tc>
        <w:tc>
          <w:tcPr>
            <w:tcW w:w="1268" w:type="dxa"/>
            <w:tcBorders>
              <w:top w:val="nil"/>
              <w:left w:val="nil"/>
              <w:bottom w:val="single" w:sz="4" w:space="0" w:color="auto"/>
              <w:right w:val="single" w:sz="4" w:space="0" w:color="auto"/>
            </w:tcBorders>
            <w:shd w:val="clear" w:color="000000" w:fill="FFFFFF"/>
            <w:noWrap/>
            <w:vAlign w:val="center"/>
            <w:hideMark/>
          </w:tcPr>
          <w:p w14:paraId="3D2836FC"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$8.70 </w:t>
            </w:r>
          </w:p>
        </w:tc>
        <w:tc>
          <w:tcPr>
            <w:tcW w:w="1162" w:type="dxa"/>
            <w:tcBorders>
              <w:top w:val="nil"/>
              <w:left w:val="nil"/>
              <w:bottom w:val="single" w:sz="4" w:space="0" w:color="auto"/>
              <w:right w:val="single" w:sz="4" w:space="0" w:color="auto"/>
            </w:tcBorders>
            <w:shd w:val="clear" w:color="000000" w:fill="FFFFFF"/>
            <w:noWrap/>
            <w:vAlign w:val="center"/>
            <w:hideMark/>
          </w:tcPr>
          <w:p w14:paraId="4AD22BE0"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$1.22 </w:t>
            </w:r>
          </w:p>
        </w:tc>
        <w:tc>
          <w:tcPr>
            <w:tcW w:w="1180" w:type="dxa"/>
            <w:tcBorders>
              <w:top w:val="nil"/>
              <w:left w:val="nil"/>
              <w:bottom w:val="single" w:sz="4" w:space="0" w:color="auto"/>
              <w:right w:val="single" w:sz="8" w:space="0" w:color="auto"/>
            </w:tcBorders>
            <w:shd w:val="clear" w:color="000000" w:fill="FFFFFF"/>
            <w:noWrap/>
            <w:vAlign w:val="center"/>
            <w:hideMark/>
          </w:tcPr>
          <w:p w14:paraId="7BEA1167"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$1.16 </w:t>
            </w:r>
          </w:p>
        </w:tc>
      </w:tr>
      <w:tr w:rsidR="0067205E" w:rsidRPr="0067205E" w14:paraId="3139F4A7" w14:textId="77777777" w:rsidTr="0067205E">
        <w:trPr>
          <w:trHeight w:val="288"/>
        </w:trPr>
        <w:tc>
          <w:tcPr>
            <w:tcW w:w="1760" w:type="dxa"/>
            <w:vMerge/>
            <w:tcBorders>
              <w:top w:val="nil"/>
              <w:left w:val="single" w:sz="8" w:space="0" w:color="auto"/>
              <w:bottom w:val="single" w:sz="4" w:space="0" w:color="auto"/>
              <w:right w:val="single" w:sz="4" w:space="0" w:color="auto"/>
            </w:tcBorders>
            <w:vAlign w:val="center"/>
            <w:hideMark/>
          </w:tcPr>
          <w:p w14:paraId="7691E2B5" w14:textId="77777777" w:rsidR="0067205E" w:rsidRPr="0067205E" w:rsidRDefault="0067205E" w:rsidP="0067205E">
            <w:pPr>
              <w:widowControl/>
              <w:spacing w:after="0"/>
              <w:jc w:val="left"/>
              <w:rPr>
                <w:rFonts w:ascii="Calibri" w:hAnsi="Calibri"/>
                <w:color w:val="000000"/>
                <w:szCs w:val="20"/>
              </w:rPr>
            </w:pPr>
          </w:p>
        </w:tc>
        <w:tc>
          <w:tcPr>
            <w:tcW w:w="4520" w:type="dxa"/>
            <w:tcBorders>
              <w:top w:val="nil"/>
              <w:left w:val="nil"/>
              <w:bottom w:val="single" w:sz="4" w:space="0" w:color="auto"/>
              <w:right w:val="single" w:sz="4" w:space="0" w:color="auto"/>
            </w:tcBorders>
            <w:shd w:val="clear" w:color="000000" w:fill="FFFFFF"/>
            <w:vAlign w:val="center"/>
            <w:hideMark/>
          </w:tcPr>
          <w:p w14:paraId="55B339E1" w14:textId="31AD98C7" w:rsidR="0067205E" w:rsidRPr="0067205E" w:rsidRDefault="0067205E" w:rsidP="0067205E">
            <w:pPr>
              <w:widowControl/>
              <w:spacing w:after="0"/>
              <w:jc w:val="left"/>
              <w:rPr>
                <w:rFonts w:ascii="Calibri" w:hAnsi="Calibri"/>
                <w:color w:val="000000"/>
                <w:szCs w:val="20"/>
              </w:rPr>
            </w:pPr>
            <w:r w:rsidRPr="0067205E">
              <w:rPr>
                <w:rFonts w:ascii="Calibri" w:hAnsi="Calibri"/>
                <w:color w:val="000000"/>
                <w:szCs w:val="20"/>
              </w:rPr>
              <w:t>L</w:t>
            </w:r>
            <w:r>
              <w:rPr>
                <w:rFonts w:ascii="Calibri" w:hAnsi="Calibri"/>
                <w:color w:val="000000"/>
                <w:szCs w:val="20"/>
              </w:rPr>
              <w:t xml:space="preserve">umens ≥ </w:t>
            </w:r>
            <w:r w:rsidR="008D21EE">
              <w:rPr>
                <w:rFonts w:ascii="Calibri" w:hAnsi="Calibri"/>
                <w:color w:val="000000"/>
                <w:szCs w:val="20"/>
              </w:rPr>
              <w:t>310 and ≤ 2600 (halogen lamps</w:t>
            </w:r>
            <w:r w:rsidRPr="0067205E">
              <w:rPr>
                <w:rFonts w:ascii="Calibri" w:hAnsi="Calibri"/>
                <w:color w:val="000000"/>
                <w:szCs w:val="20"/>
              </w:rPr>
              <w:t>)</w:t>
            </w:r>
          </w:p>
        </w:tc>
        <w:tc>
          <w:tcPr>
            <w:tcW w:w="1370" w:type="dxa"/>
            <w:tcBorders>
              <w:top w:val="nil"/>
              <w:left w:val="nil"/>
              <w:bottom w:val="single" w:sz="4" w:space="0" w:color="auto"/>
              <w:right w:val="single" w:sz="4" w:space="0" w:color="auto"/>
            </w:tcBorders>
            <w:shd w:val="clear" w:color="000000" w:fill="FFFFFF"/>
            <w:noWrap/>
            <w:vAlign w:val="center"/>
            <w:hideMark/>
          </w:tcPr>
          <w:p w14:paraId="57C05DF4"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$27.28 </w:t>
            </w:r>
          </w:p>
        </w:tc>
        <w:tc>
          <w:tcPr>
            <w:tcW w:w="1268" w:type="dxa"/>
            <w:tcBorders>
              <w:top w:val="nil"/>
              <w:left w:val="nil"/>
              <w:bottom w:val="single" w:sz="4" w:space="0" w:color="auto"/>
              <w:right w:val="single" w:sz="4" w:space="0" w:color="auto"/>
            </w:tcBorders>
            <w:shd w:val="clear" w:color="000000" w:fill="FFFFFF"/>
            <w:noWrap/>
            <w:vAlign w:val="center"/>
            <w:hideMark/>
          </w:tcPr>
          <w:p w14:paraId="09E14517"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$15.36 </w:t>
            </w:r>
          </w:p>
        </w:tc>
        <w:tc>
          <w:tcPr>
            <w:tcW w:w="1162" w:type="dxa"/>
            <w:tcBorders>
              <w:top w:val="nil"/>
              <w:left w:val="nil"/>
              <w:bottom w:val="single" w:sz="4" w:space="0" w:color="auto"/>
              <w:right w:val="single" w:sz="4" w:space="0" w:color="auto"/>
            </w:tcBorders>
            <w:shd w:val="clear" w:color="000000" w:fill="FFFFFF"/>
            <w:noWrap/>
            <w:vAlign w:val="center"/>
            <w:hideMark/>
          </w:tcPr>
          <w:p w14:paraId="222448F7"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$1.19 </w:t>
            </w:r>
          </w:p>
        </w:tc>
        <w:tc>
          <w:tcPr>
            <w:tcW w:w="1180" w:type="dxa"/>
            <w:tcBorders>
              <w:top w:val="nil"/>
              <w:left w:val="nil"/>
              <w:bottom w:val="single" w:sz="4" w:space="0" w:color="auto"/>
              <w:right w:val="single" w:sz="8" w:space="0" w:color="auto"/>
            </w:tcBorders>
            <w:shd w:val="clear" w:color="000000" w:fill="FFFFFF"/>
            <w:noWrap/>
            <w:vAlign w:val="center"/>
            <w:hideMark/>
          </w:tcPr>
          <w:p w14:paraId="650FFBC0"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$1.16 </w:t>
            </w:r>
          </w:p>
        </w:tc>
      </w:tr>
      <w:tr w:rsidR="0067205E" w:rsidRPr="0067205E" w14:paraId="2809EC1E" w14:textId="77777777" w:rsidTr="0067205E">
        <w:trPr>
          <w:trHeight w:val="288"/>
        </w:trPr>
        <w:tc>
          <w:tcPr>
            <w:tcW w:w="1760" w:type="dxa"/>
            <w:vMerge w:val="restart"/>
            <w:tcBorders>
              <w:top w:val="nil"/>
              <w:left w:val="single" w:sz="8" w:space="0" w:color="auto"/>
              <w:bottom w:val="single" w:sz="4" w:space="0" w:color="auto"/>
              <w:right w:val="single" w:sz="4" w:space="0" w:color="auto"/>
            </w:tcBorders>
            <w:shd w:val="clear" w:color="auto" w:fill="auto"/>
            <w:vAlign w:val="center"/>
            <w:hideMark/>
          </w:tcPr>
          <w:p w14:paraId="176B86D5" w14:textId="77777777" w:rsidR="0067205E" w:rsidRPr="0067205E" w:rsidRDefault="0067205E" w:rsidP="0067205E">
            <w:pPr>
              <w:widowControl/>
              <w:spacing w:after="0"/>
              <w:jc w:val="center"/>
              <w:rPr>
                <w:rFonts w:ascii="Calibri" w:hAnsi="Calibri"/>
                <w:color w:val="000000"/>
                <w:szCs w:val="20"/>
              </w:rPr>
            </w:pPr>
            <w:r w:rsidRPr="0067205E">
              <w:rPr>
                <w:rFonts w:ascii="Calibri" w:hAnsi="Calibri"/>
                <w:color w:val="000000"/>
                <w:szCs w:val="20"/>
              </w:rPr>
              <w:lastRenderedPageBreak/>
              <w:t>Exterior</w:t>
            </w:r>
          </w:p>
        </w:tc>
        <w:tc>
          <w:tcPr>
            <w:tcW w:w="4520" w:type="dxa"/>
            <w:tcBorders>
              <w:top w:val="nil"/>
              <w:left w:val="nil"/>
              <w:bottom w:val="single" w:sz="4" w:space="0" w:color="auto"/>
              <w:right w:val="single" w:sz="4" w:space="0" w:color="auto"/>
            </w:tcBorders>
            <w:shd w:val="clear" w:color="000000" w:fill="FFFFFF"/>
            <w:vAlign w:val="center"/>
            <w:hideMark/>
          </w:tcPr>
          <w:p w14:paraId="13205CE4" w14:textId="69246589" w:rsidR="0067205E" w:rsidRPr="0067205E" w:rsidRDefault="0067205E" w:rsidP="008D21EE">
            <w:pPr>
              <w:widowControl/>
              <w:spacing w:after="0"/>
              <w:jc w:val="left"/>
              <w:rPr>
                <w:rFonts w:ascii="Calibri" w:hAnsi="Calibri"/>
                <w:color w:val="000000"/>
                <w:szCs w:val="20"/>
              </w:rPr>
            </w:pPr>
            <w:r w:rsidRPr="0067205E">
              <w:rPr>
                <w:rFonts w:ascii="Calibri" w:hAnsi="Calibri"/>
                <w:color w:val="000000"/>
                <w:szCs w:val="20"/>
              </w:rPr>
              <w:t>Lum</w:t>
            </w:r>
            <w:r>
              <w:rPr>
                <w:rFonts w:ascii="Calibri" w:hAnsi="Calibri"/>
                <w:color w:val="000000"/>
                <w:szCs w:val="20"/>
              </w:rPr>
              <w:t xml:space="preserve">ens &lt;310 or &gt;2600 (incandescent </w:t>
            </w:r>
            <w:r w:rsidR="008D21EE">
              <w:rPr>
                <w:rFonts w:ascii="Calibri" w:hAnsi="Calibri"/>
                <w:color w:val="000000"/>
                <w:szCs w:val="20"/>
              </w:rPr>
              <w:t>lamps</w:t>
            </w:r>
            <w:r w:rsidRPr="0067205E">
              <w:rPr>
                <w:rFonts w:ascii="Calibri" w:hAnsi="Calibri"/>
                <w:color w:val="000000"/>
                <w:szCs w:val="20"/>
              </w:rPr>
              <w:t>)</w:t>
            </w:r>
          </w:p>
        </w:tc>
        <w:tc>
          <w:tcPr>
            <w:tcW w:w="1370" w:type="dxa"/>
            <w:tcBorders>
              <w:top w:val="nil"/>
              <w:left w:val="nil"/>
              <w:bottom w:val="single" w:sz="4" w:space="0" w:color="auto"/>
              <w:right w:val="single" w:sz="4" w:space="0" w:color="auto"/>
            </w:tcBorders>
            <w:shd w:val="clear" w:color="000000" w:fill="FFFFFF"/>
            <w:noWrap/>
            <w:vAlign w:val="center"/>
            <w:hideMark/>
          </w:tcPr>
          <w:p w14:paraId="5B98638E"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$3.56 </w:t>
            </w:r>
          </w:p>
        </w:tc>
        <w:tc>
          <w:tcPr>
            <w:tcW w:w="1268" w:type="dxa"/>
            <w:tcBorders>
              <w:top w:val="nil"/>
              <w:left w:val="nil"/>
              <w:bottom w:val="single" w:sz="4" w:space="0" w:color="auto"/>
              <w:right w:val="single" w:sz="4" w:space="0" w:color="auto"/>
            </w:tcBorders>
            <w:shd w:val="clear" w:color="000000" w:fill="FFFFFF"/>
            <w:noWrap/>
            <w:vAlign w:val="center"/>
            <w:hideMark/>
          </w:tcPr>
          <w:p w14:paraId="0030186E"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$2.67 </w:t>
            </w:r>
          </w:p>
        </w:tc>
        <w:tc>
          <w:tcPr>
            <w:tcW w:w="1162" w:type="dxa"/>
            <w:tcBorders>
              <w:top w:val="nil"/>
              <w:left w:val="nil"/>
              <w:bottom w:val="single" w:sz="4" w:space="0" w:color="auto"/>
              <w:right w:val="single" w:sz="4" w:space="0" w:color="auto"/>
            </w:tcBorders>
            <w:shd w:val="clear" w:color="000000" w:fill="FFFFFF"/>
            <w:noWrap/>
            <w:vAlign w:val="center"/>
            <w:hideMark/>
          </w:tcPr>
          <w:p w14:paraId="5025DF45"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$1.22 </w:t>
            </w:r>
          </w:p>
        </w:tc>
        <w:tc>
          <w:tcPr>
            <w:tcW w:w="1180" w:type="dxa"/>
            <w:tcBorders>
              <w:top w:val="nil"/>
              <w:left w:val="nil"/>
              <w:bottom w:val="single" w:sz="4" w:space="0" w:color="auto"/>
              <w:right w:val="single" w:sz="8" w:space="0" w:color="auto"/>
            </w:tcBorders>
            <w:shd w:val="clear" w:color="000000" w:fill="FFFFFF"/>
            <w:noWrap/>
            <w:vAlign w:val="center"/>
            <w:hideMark/>
          </w:tcPr>
          <w:p w14:paraId="57F33375"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$1.16 </w:t>
            </w:r>
          </w:p>
        </w:tc>
      </w:tr>
      <w:tr w:rsidR="0067205E" w:rsidRPr="0067205E" w14:paraId="4F0677C7" w14:textId="77777777" w:rsidTr="0067205E">
        <w:trPr>
          <w:trHeight w:val="288"/>
        </w:trPr>
        <w:tc>
          <w:tcPr>
            <w:tcW w:w="1760" w:type="dxa"/>
            <w:vMerge/>
            <w:tcBorders>
              <w:top w:val="nil"/>
              <w:left w:val="single" w:sz="8" w:space="0" w:color="auto"/>
              <w:bottom w:val="single" w:sz="4" w:space="0" w:color="auto"/>
              <w:right w:val="single" w:sz="4" w:space="0" w:color="auto"/>
            </w:tcBorders>
            <w:vAlign w:val="center"/>
            <w:hideMark/>
          </w:tcPr>
          <w:p w14:paraId="1FB401DC" w14:textId="77777777" w:rsidR="0067205E" w:rsidRPr="0067205E" w:rsidRDefault="0067205E" w:rsidP="0067205E">
            <w:pPr>
              <w:widowControl/>
              <w:spacing w:after="0"/>
              <w:jc w:val="left"/>
              <w:rPr>
                <w:rFonts w:ascii="Calibri" w:hAnsi="Calibri"/>
                <w:color w:val="000000"/>
                <w:szCs w:val="20"/>
              </w:rPr>
            </w:pPr>
          </w:p>
        </w:tc>
        <w:tc>
          <w:tcPr>
            <w:tcW w:w="4520" w:type="dxa"/>
            <w:tcBorders>
              <w:top w:val="nil"/>
              <w:left w:val="nil"/>
              <w:bottom w:val="single" w:sz="4" w:space="0" w:color="auto"/>
              <w:right w:val="single" w:sz="4" w:space="0" w:color="auto"/>
            </w:tcBorders>
            <w:shd w:val="clear" w:color="000000" w:fill="FFFFFF"/>
            <w:vAlign w:val="center"/>
            <w:hideMark/>
          </w:tcPr>
          <w:p w14:paraId="57B808EC" w14:textId="3338EC0D" w:rsidR="0067205E" w:rsidRPr="0067205E" w:rsidRDefault="0067205E" w:rsidP="0067205E">
            <w:pPr>
              <w:widowControl/>
              <w:spacing w:after="0"/>
              <w:jc w:val="left"/>
              <w:rPr>
                <w:rFonts w:ascii="Calibri" w:hAnsi="Calibri"/>
                <w:color w:val="000000"/>
                <w:szCs w:val="20"/>
              </w:rPr>
            </w:pPr>
            <w:r w:rsidRPr="0067205E">
              <w:rPr>
                <w:rFonts w:ascii="Calibri" w:hAnsi="Calibri"/>
                <w:color w:val="000000"/>
                <w:szCs w:val="20"/>
              </w:rPr>
              <w:t>L</w:t>
            </w:r>
            <w:r>
              <w:rPr>
                <w:rFonts w:ascii="Calibri" w:hAnsi="Calibri"/>
                <w:color w:val="000000"/>
                <w:szCs w:val="20"/>
              </w:rPr>
              <w:t xml:space="preserve">umens ≥ </w:t>
            </w:r>
            <w:r w:rsidR="008D21EE">
              <w:rPr>
                <w:rFonts w:ascii="Calibri" w:hAnsi="Calibri"/>
                <w:color w:val="000000"/>
                <w:szCs w:val="20"/>
              </w:rPr>
              <w:t>310 and ≤ 2600 (halogen lamps</w:t>
            </w:r>
            <w:r w:rsidRPr="0067205E">
              <w:rPr>
                <w:rFonts w:ascii="Calibri" w:hAnsi="Calibri"/>
                <w:color w:val="000000"/>
                <w:szCs w:val="20"/>
              </w:rPr>
              <w:t>)</w:t>
            </w:r>
          </w:p>
        </w:tc>
        <w:tc>
          <w:tcPr>
            <w:tcW w:w="1370" w:type="dxa"/>
            <w:tcBorders>
              <w:top w:val="nil"/>
              <w:left w:val="nil"/>
              <w:bottom w:val="single" w:sz="4" w:space="0" w:color="auto"/>
              <w:right w:val="single" w:sz="4" w:space="0" w:color="auto"/>
            </w:tcBorders>
            <w:shd w:val="clear" w:color="000000" w:fill="FFFFFF"/>
            <w:noWrap/>
            <w:vAlign w:val="center"/>
            <w:hideMark/>
          </w:tcPr>
          <w:p w14:paraId="4A3B21D2"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$8.37 </w:t>
            </w:r>
          </w:p>
        </w:tc>
        <w:tc>
          <w:tcPr>
            <w:tcW w:w="1268" w:type="dxa"/>
            <w:tcBorders>
              <w:top w:val="nil"/>
              <w:left w:val="nil"/>
              <w:bottom w:val="single" w:sz="4" w:space="0" w:color="auto"/>
              <w:right w:val="single" w:sz="4" w:space="0" w:color="auto"/>
            </w:tcBorders>
            <w:shd w:val="clear" w:color="000000" w:fill="FFFFFF"/>
            <w:noWrap/>
            <w:vAlign w:val="center"/>
            <w:hideMark/>
          </w:tcPr>
          <w:p w14:paraId="598D5831"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$4.71 </w:t>
            </w:r>
          </w:p>
        </w:tc>
        <w:tc>
          <w:tcPr>
            <w:tcW w:w="1162" w:type="dxa"/>
            <w:tcBorders>
              <w:top w:val="nil"/>
              <w:left w:val="nil"/>
              <w:bottom w:val="single" w:sz="4" w:space="0" w:color="auto"/>
              <w:right w:val="single" w:sz="4" w:space="0" w:color="auto"/>
            </w:tcBorders>
            <w:shd w:val="clear" w:color="000000" w:fill="FFFFFF"/>
            <w:noWrap/>
            <w:vAlign w:val="center"/>
            <w:hideMark/>
          </w:tcPr>
          <w:p w14:paraId="1E7D4704"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$1.19 </w:t>
            </w:r>
          </w:p>
        </w:tc>
        <w:tc>
          <w:tcPr>
            <w:tcW w:w="1180" w:type="dxa"/>
            <w:tcBorders>
              <w:top w:val="nil"/>
              <w:left w:val="nil"/>
              <w:bottom w:val="single" w:sz="4" w:space="0" w:color="auto"/>
              <w:right w:val="single" w:sz="8" w:space="0" w:color="auto"/>
            </w:tcBorders>
            <w:shd w:val="clear" w:color="000000" w:fill="FFFFFF"/>
            <w:noWrap/>
            <w:vAlign w:val="center"/>
            <w:hideMark/>
          </w:tcPr>
          <w:p w14:paraId="471A178E"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$1.16 </w:t>
            </w:r>
          </w:p>
        </w:tc>
      </w:tr>
      <w:tr w:rsidR="0067205E" w:rsidRPr="0067205E" w14:paraId="5A2AC485" w14:textId="77777777" w:rsidTr="0067205E">
        <w:trPr>
          <w:trHeight w:val="288"/>
        </w:trPr>
        <w:tc>
          <w:tcPr>
            <w:tcW w:w="1760" w:type="dxa"/>
            <w:vMerge w:val="restart"/>
            <w:tcBorders>
              <w:top w:val="nil"/>
              <w:left w:val="single" w:sz="8" w:space="0" w:color="auto"/>
              <w:bottom w:val="single" w:sz="8" w:space="0" w:color="000000"/>
              <w:right w:val="single" w:sz="4" w:space="0" w:color="auto"/>
            </w:tcBorders>
            <w:shd w:val="clear" w:color="auto" w:fill="auto"/>
            <w:vAlign w:val="center"/>
            <w:hideMark/>
          </w:tcPr>
          <w:p w14:paraId="462DFB4A" w14:textId="77777777" w:rsidR="0067205E" w:rsidRPr="0067205E" w:rsidRDefault="0067205E" w:rsidP="0067205E">
            <w:pPr>
              <w:widowControl/>
              <w:spacing w:after="0"/>
              <w:jc w:val="center"/>
              <w:rPr>
                <w:rFonts w:ascii="Calibri" w:hAnsi="Calibri"/>
                <w:color w:val="000000"/>
                <w:szCs w:val="20"/>
              </w:rPr>
            </w:pPr>
            <w:r w:rsidRPr="0067205E">
              <w:rPr>
                <w:rFonts w:ascii="Calibri" w:hAnsi="Calibri"/>
                <w:color w:val="000000"/>
                <w:szCs w:val="20"/>
              </w:rPr>
              <w:t>Unknown</w:t>
            </w:r>
          </w:p>
        </w:tc>
        <w:tc>
          <w:tcPr>
            <w:tcW w:w="4520" w:type="dxa"/>
            <w:tcBorders>
              <w:top w:val="nil"/>
              <w:left w:val="nil"/>
              <w:bottom w:val="single" w:sz="4" w:space="0" w:color="auto"/>
              <w:right w:val="single" w:sz="4" w:space="0" w:color="auto"/>
            </w:tcBorders>
            <w:shd w:val="clear" w:color="000000" w:fill="FFFFFF"/>
            <w:vAlign w:val="center"/>
            <w:hideMark/>
          </w:tcPr>
          <w:p w14:paraId="6D0E123B" w14:textId="7092F231" w:rsidR="0067205E" w:rsidRPr="0067205E" w:rsidRDefault="0067205E" w:rsidP="0067205E">
            <w:pPr>
              <w:widowControl/>
              <w:spacing w:after="0"/>
              <w:jc w:val="left"/>
              <w:rPr>
                <w:rFonts w:ascii="Calibri" w:hAnsi="Calibri"/>
                <w:color w:val="000000"/>
                <w:szCs w:val="20"/>
              </w:rPr>
            </w:pPr>
            <w:r w:rsidRPr="0067205E">
              <w:rPr>
                <w:rFonts w:ascii="Calibri" w:hAnsi="Calibri"/>
                <w:color w:val="000000"/>
                <w:szCs w:val="20"/>
              </w:rPr>
              <w:t>Lum</w:t>
            </w:r>
            <w:r>
              <w:rPr>
                <w:rFonts w:ascii="Calibri" w:hAnsi="Calibri"/>
                <w:color w:val="000000"/>
                <w:szCs w:val="20"/>
              </w:rPr>
              <w:t>ens &lt;310</w:t>
            </w:r>
            <w:r w:rsidR="008D21EE">
              <w:rPr>
                <w:rFonts w:ascii="Calibri" w:hAnsi="Calibri"/>
                <w:color w:val="000000"/>
                <w:szCs w:val="20"/>
              </w:rPr>
              <w:t xml:space="preserve"> or &gt;2600 (incandescent lamps</w:t>
            </w:r>
            <w:r w:rsidRPr="0067205E">
              <w:rPr>
                <w:rFonts w:ascii="Calibri" w:hAnsi="Calibri"/>
                <w:color w:val="000000"/>
                <w:szCs w:val="20"/>
              </w:rPr>
              <w:t>)</w:t>
            </w:r>
          </w:p>
        </w:tc>
        <w:tc>
          <w:tcPr>
            <w:tcW w:w="1370" w:type="dxa"/>
            <w:tcBorders>
              <w:top w:val="nil"/>
              <w:left w:val="nil"/>
              <w:bottom w:val="single" w:sz="4" w:space="0" w:color="auto"/>
              <w:right w:val="single" w:sz="4" w:space="0" w:color="auto"/>
            </w:tcBorders>
            <w:shd w:val="clear" w:color="000000" w:fill="FFFFFF"/>
            <w:noWrap/>
            <w:vAlign w:val="center"/>
            <w:hideMark/>
          </w:tcPr>
          <w:p w14:paraId="4FDE6528"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$1.95 </w:t>
            </w:r>
          </w:p>
        </w:tc>
        <w:tc>
          <w:tcPr>
            <w:tcW w:w="1268" w:type="dxa"/>
            <w:tcBorders>
              <w:top w:val="nil"/>
              <w:left w:val="nil"/>
              <w:bottom w:val="single" w:sz="4" w:space="0" w:color="auto"/>
              <w:right w:val="single" w:sz="4" w:space="0" w:color="auto"/>
            </w:tcBorders>
            <w:shd w:val="clear" w:color="000000" w:fill="FFFFFF"/>
            <w:noWrap/>
            <w:vAlign w:val="center"/>
            <w:hideMark/>
          </w:tcPr>
          <w:p w14:paraId="21DB95F6"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$1.46 </w:t>
            </w:r>
          </w:p>
        </w:tc>
        <w:tc>
          <w:tcPr>
            <w:tcW w:w="1162" w:type="dxa"/>
            <w:tcBorders>
              <w:top w:val="nil"/>
              <w:left w:val="nil"/>
              <w:bottom w:val="single" w:sz="4" w:space="0" w:color="auto"/>
              <w:right w:val="single" w:sz="4" w:space="0" w:color="auto"/>
            </w:tcBorders>
            <w:shd w:val="clear" w:color="000000" w:fill="FFFFFF"/>
            <w:noWrap/>
            <w:vAlign w:val="center"/>
            <w:hideMark/>
          </w:tcPr>
          <w:p w14:paraId="0014BD76"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$1.22 </w:t>
            </w:r>
          </w:p>
        </w:tc>
        <w:tc>
          <w:tcPr>
            <w:tcW w:w="1180" w:type="dxa"/>
            <w:tcBorders>
              <w:top w:val="nil"/>
              <w:left w:val="nil"/>
              <w:bottom w:val="single" w:sz="4" w:space="0" w:color="auto"/>
              <w:right w:val="single" w:sz="8" w:space="0" w:color="auto"/>
            </w:tcBorders>
            <w:shd w:val="clear" w:color="000000" w:fill="FFFFFF"/>
            <w:noWrap/>
            <w:vAlign w:val="center"/>
            <w:hideMark/>
          </w:tcPr>
          <w:p w14:paraId="36B50919"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$1.16 </w:t>
            </w:r>
          </w:p>
        </w:tc>
      </w:tr>
      <w:tr w:rsidR="0067205E" w:rsidRPr="0067205E" w14:paraId="5A3B2539" w14:textId="77777777" w:rsidTr="0067205E">
        <w:trPr>
          <w:trHeight w:val="300"/>
        </w:trPr>
        <w:tc>
          <w:tcPr>
            <w:tcW w:w="1760" w:type="dxa"/>
            <w:vMerge/>
            <w:tcBorders>
              <w:top w:val="nil"/>
              <w:left w:val="single" w:sz="8" w:space="0" w:color="auto"/>
              <w:bottom w:val="single" w:sz="8" w:space="0" w:color="000000"/>
              <w:right w:val="single" w:sz="4" w:space="0" w:color="auto"/>
            </w:tcBorders>
            <w:vAlign w:val="center"/>
            <w:hideMark/>
          </w:tcPr>
          <w:p w14:paraId="35C211E3" w14:textId="77777777" w:rsidR="0067205E" w:rsidRPr="0067205E" w:rsidRDefault="0067205E" w:rsidP="0067205E">
            <w:pPr>
              <w:widowControl/>
              <w:spacing w:after="0"/>
              <w:jc w:val="left"/>
              <w:rPr>
                <w:rFonts w:ascii="Calibri" w:hAnsi="Calibri"/>
                <w:color w:val="000000"/>
                <w:szCs w:val="20"/>
              </w:rPr>
            </w:pPr>
          </w:p>
        </w:tc>
        <w:tc>
          <w:tcPr>
            <w:tcW w:w="4520" w:type="dxa"/>
            <w:tcBorders>
              <w:top w:val="nil"/>
              <w:left w:val="nil"/>
              <w:bottom w:val="single" w:sz="8" w:space="0" w:color="auto"/>
              <w:right w:val="single" w:sz="4" w:space="0" w:color="auto"/>
            </w:tcBorders>
            <w:shd w:val="clear" w:color="000000" w:fill="FFFFFF"/>
            <w:vAlign w:val="center"/>
            <w:hideMark/>
          </w:tcPr>
          <w:p w14:paraId="7134F6B2" w14:textId="64ECADB6" w:rsidR="0067205E" w:rsidRPr="0067205E" w:rsidRDefault="0067205E" w:rsidP="0067205E">
            <w:pPr>
              <w:widowControl/>
              <w:spacing w:after="0"/>
              <w:jc w:val="left"/>
              <w:rPr>
                <w:rFonts w:ascii="Calibri" w:hAnsi="Calibri"/>
                <w:color w:val="000000"/>
                <w:szCs w:val="20"/>
              </w:rPr>
            </w:pPr>
            <w:r w:rsidRPr="0067205E">
              <w:rPr>
                <w:rFonts w:ascii="Calibri" w:hAnsi="Calibri"/>
                <w:color w:val="000000"/>
                <w:szCs w:val="20"/>
              </w:rPr>
              <w:t>L</w:t>
            </w:r>
            <w:r>
              <w:rPr>
                <w:rFonts w:ascii="Calibri" w:hAnsi="Calibri"/>
                <w:color w:val="000000"/>
                <w:szCs w:val="20"/>
              </w:rPr>
              <w:t xml:space="preserve">umens ≥ </w:t>
            </w:r>
            <w:r w:rsidR="008D21EE">
              <w:rPr>
                <w:rFonts w:ascii="Calibri" w:hAnsi="Calibri"/>
                <w:color w:val="000000"/>
                <w:szCs w:val="20"/>
              </w:rPr>
              <w:t>310 and ≤ 2600 (halogen lamps</w:t>
            </w:r>
            <w:r w:rsidRPr="0067205E">
              <w:rPr>
                <w:rFonts w:ascii="Calibri" w:hAnsi="Calibri"/>
                <w:color w:val="000000"/>
                <w:szCs w:val="20"/>
              </w:rPr>
              <w:t>)</w:t>
            </w:r>
          </w:p>
        </w:tc>
        <w:tc>
          <w:tcPr>
            <w:tcW w:w="1370" w:type="dxa"/>
            <w:tcBorders>
              <w:top w:val="nil"/>
              <w:left w:val="nil"/>
              <w:bottom w:val="single" w:sz="8" w:space="0" w:color="auto"/>
              <w:right w:val="single" w:sz="4" w:space="0" w:color="auto"/>
            </w:tcBorders>
            <w:shd w:val="clear" w:color="000000" w:fill="FFFFFF"/>
            <w:noWrap/>
            <w:vAlign w:val="center"/>
            <w:hideMark/>
          </w:tcPr>
          <w:p w14:paraId="17E90493"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$4.58 </w:t>
            </w:r>
          </w:p>
        </w:tc>
        <w:tc>
          <w:tcPr>
            <w:tcW w:w="1268" w:type="dxa"/>
            <w:tcBorders>
              <w:top w:val="nil"/>
              <w:left w:val="nil"/>
              <w:bottom w:val="single" w:sz="8" w:space="0" w:color="auto"/>
              <w:right w:val="single" w:sz="4" w:space="0" w:color="auto"/>
            </w:tcBorders>
            <w:shd w:val="clear" w:color="000000" w:fill="FFFFFF"/>
            <w:noWrap/>
            <w:vAlign w:val="center"/>
            <w:hideMark/>
          </w:tcPr>
          <w:p w14:paraId="61614342"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$2.58 </w:t>
            </w:r>
          </w:p>
        </w:tc>
        <w:tc>
          <w:tcPr>
            <w:tcW w:w="1162" w:type="dxa"/>
            <w:tcBorders>
              <w:top w:val="nil"/>
              <w:left w:val="nil"/>
              <w:bottom w:val="single" w:sz="8" w:space="0" w:color="auto"/>
              <w:right w:val="single" w:sz="4" w:space="0" w:color="auto"/>
            </w:tcBorders>
            <w:shd w:val="clear" w:color="000000" w:fill="FFFFFF"/>
            <w:noWrap/>
            <w:vAlign w:val="center"/>
            <w:hideMark/>
          </w:tcPr>
          <w:p w14:paraId="6B5E1C3B"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$1.19 </w:t>
            </w:r>
          </w:p>
        </w:tc>
        <w:tc>
          <w:tcPr>
            <w:tcW w:w="1180" w:type="dxa"/>
            <w:tcBorders>
              <w:top w:val="nil"/>
              <w:left w:val="nil"/>
              <w:bottom w:val="single" w:sz="8" w:space="0" w:color="auto"/>
              <w:right w:val="single" w:sz="8" w:space="0" w:color="auto"/>
            </w:tcBorders>
            <w:shd w:val="clear" w:color="000000" w:fill="FFFFFF"/>
            <w:noWrap/>
            <w:vAlign w:val="center"/>
            <w:hideMark/>
          </w:tcPr>
          <w:p w14:paraId="146DFACC" w14:textId="77777777" w:rsidR="0067205E" w:rsidRPr="0067205E" w:rsidRDefault="0067205E" w:rsidP="0067205E">
            <w:pPr>
              <w:widowControl/>
              <w:spacing w:after="0"/>
              <w:jc w:val="right"/>
              <w:rPr>
                <w:rFonts w:ascii="Calibri" w:hAnsi="Calibri"/>
                <w:color w:val="000000"/>
                <w:szCs w:val="20"/>
              </w:rPr>
            </w:pPr>
            <w:r w:rsidRPr="0067205E">
              <w:rPr>
                <w:rFonts w:ascii="Calibri" w:hAnsi="Calibri"/>
                <w:color w:val="000000"/>
                <w:szCs w:val="20"/>
              </w:rPr>
              <w:t xml:space="preserve">$1.16 </w:t>
            </w:r>
          </w:p>
        </w:tc>
      </w:tr>
    </w:tbl>
    <w:p w14:paraId="6CB97C94" w14:textId="77777777" w:rsidR="0067205E" w:rsidRDefault="0067205E" w:rsidP="00857EAD">
      <w:pPr>
        <w:rPr>
          <w:rFonts w:cstheme="minorHAnsi"/>
        </w:rPr>
      </w:pPr>
    </w:p>
    <w:p w14:paraId="720D6C10" w14:textId="037CD19B" w:rsidR="00857EAD" w:rsidRPr="00070B38" w:rsidRDefault="00857EAD" w:rsidP="00857EAD">
      <w:pPr>
        <w:spacing w:before="120"/>
        <w:rPr>
          <w:b/>
        </w:rPr>
      </w:pPr>
      <w:r w:rsidRPr="00CA6CAD">
        <w:t xml:space="preserve">Note incandescent </w:t>
      </w:r>
      <w:r w:rsidR="00AA27AE">
        <w:t>lamps</w:t>
      </w:r>
      <w:r w:rsidRPr="00CA6CAD">
        <w:t xml:space="preserve"> in lumen range &lt;310 and &gt;2600 are exempt from EISA. For these </w:t>
      </w:r>
      <w:r w:rsidR="00AA27AE">
        <w:t>lamps</w:t>
      </w:r>
      <w:r w:rsidRPr="00CA6CAD">
        <w:t xml:space="preserve"> there is no baseline shift and so the assumption is a baseline replacement cost of $0.</w:t>
      </w:r>
      <w:r w:rsidR="00AA27AE">
        <w:t>34</w:t>
      </w:r>
      <w:r w:rsidR="00F0725D">
        <w:t xml:space="preserve"> for each replacement cycle</w:t>
      </w:r>
      <w:r w:rsidRPr="00CA6CAD">
        <w:t>.</w:t>
      </w:r>
      <w:r w:rsidR="00AA27AE">
        <w:t xml:space="preserve"> For halogen bulbs, we assume the same replacement cycle as incandescent bulbs.</w:t>
      </w:r>
      <w:r w:rsidR="00F0725D">
        <w:rPr>
          <w:rStyle w:val="FootnoteReference"/>
        </w:rPr>
        <w:footnoteReference w:id="26"/>
      </w:r>
      <w:r w:rsidR="00F0725D">
        <w:t xml:space="preserve"> The replacement cycle is based on the location of the lamp and varies based on the hours of use for that location. Both incandescent and halogen lamps are assumed to last for 1,000 hours before needing replacement.</w:t>
      </w:r>
    </w:p>
    <w:p w14:paraId="0FD3E22E" w14:textId="429605F3" w:rsidR="00EB1B2B" w:rsidRDefault="00EB1B2B" w:rsidP="00EB1B2B">
      <w:pPr>
        <w:pStyle w:val="Heading2"/>
      </w:pPr>
      <w:bookmarkStart w:id="74" w:name="_Toc371346716"/>
      <w:r>
        <w:t>Net to Gross Ratio</w:t>
      </w:r>
      <w:bookmarkEnd w:id="74"/>
    </w:p>
    <w:p w14:paraId="4E98B7E1" w14:textId="6CE2242E" w:rsidR="00EB1B2B" w:rsidRPr="00EB1B2B" w:rsidRDefault="0005038D" w:rsidP="00EB1B2B">
      <w:r>
        <w:t xml:space="preserve">No research has occurred to date that is specific to a NTGR for LEDs. Recommend use of </w:t>
      </w:r>
      <w:r w:rsidR="0036262B">
        <w:t xml:space="preserve">0.80 until a better value is determined. </w:t>
      </w:r>
    </w:p>
    <w:p w14:paraId="3C9BE70A" w14:textId="1CFB18A7" w:rsidR="007F7988" w:rsidRDefault="006601E2" w:rsidP="007F7988">
      <w:pPr>
        <w:pStyle w:val="Heading1"/>
      </w:pPr>
      <w:bookmarkStart w:id="75" w:name="_Toc371346717"/>
      <w:bookmarkEnd w:id="38"/>
      <w:bookmarkEnd w:id="39"/>
      <w:bookmarkEnd w:id="40"/>
      <w:r>
        <w:t>Stakeholder Comments</w:t>
      </w:r>
      <w:bookmarkEnd w:id="75"/>
    </w:p>
    <w:p w14:paraId="4C9990ED" w14:textId="58842AB7" w:rsidR="00961CDF" w:rsidRDefault="00961CDF" w:rsidP="00961CDF">
      <w:pPr>
        <w:pStyle w:val="Heading2"/>
      </w:pPr>
      <w:bookmarkStart w:id="76" w:name="_Toc371346718"/>
      <w:r>
        <w:t>Author (Company) and Date</w:t>
      </w:r>
      <w:bookmarkEnd w:id="76"/>
    </w:p>
    <w:p w14:paraId="474368AF" w14:textId="77777777" w:rsidR="003E1B7D" w:rsidRDefault="003E1B7D" w:rsidP="003E1B7D">
      <w:pPr>
        <w:widowControl/>
        <w:spacing w:after="0"/>
        <w:ind w:left="720"/>
        <w:jc w:val="left"/>
      </w:pPr>
    </w:p>
    <w:sectPr w:rsidR="003E1B7D" w:rsidSect="00857EAD">
      <w:headerReference w:type="even" r:id="rId15"/>
      <w:footerReference w:type="default" r:id="rId16"/>
      <w:headerReference w:type="first" r:id="rId17"/>
      <w:pgSz w:w="15840" w:h="12240" w:orient="landscape" w:code="1"/>
      <w:pgMar w:top="1440" w:right="1440" w:bottom="1440" w:left="1440" w:header="720" w:footer="720"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6" w:author="Mary Sutter" w:date="2013-11-05T13:25:00Z" w:initials="MS">
    <w:p w14:paraId="033A9190" w14:textId="024BA565" w:rsidR="00CA6CAD" w:rsidRDefault="00CA6CAD">
      <w:pPr>
        <w:pStyle w:val="CommentText"/>
      </w:pPr>
      <w:r>
        <w:rPr>
          <w:rStyle w:val="CommentReference"/>
        </w:rPr>
        <w:annotationRef/>
      </w:r>
      <w:r>
        <w:t>Please see note later in the work paper about these values. The commercial LED value is capped at 15 years. Discussion is needed as to whether that is appropriate for the residential sector as well.</w:t>
      </w:r>
    </w:p>
  </w:comment>
  <w:comment w:id="71" w:author="Mary Sutter" w:date="2013-11-04T16:31:00Z" w:initials="MS">
    <w:p w14:paraId="2244E380" w14:textId="59B39C29" w:rsidR="00CA6CAD" w:rsidRDefault="00CA6CAD">
      <w:pPr>
        <w:pStyle w:val="CommentText"/>
      </w:pPr>
      <w:r>
        <w:rPr>
          <w:rStyle w:val="CommentReference"/>
        </w:rPr>
        <w:annotationRef/>
      </w:r>
      <w:r>
        <w:t>Note: I actually do not believe that these lamps will be in place for 25 or more years. I believe that people will change fixtures, move, etc., causing the actual bulb to not be available to save energy. However, I have no research that suggests what this value should be. Suggest that the TAC agree on a value (maybe cap at 20 years?). I personally have some CFLs in my home that are at least 15 years old, so it can happen…</w:t>
      </w:r>
    </w:p>
  </w:comment>
  <w:comment w:id="72" w:author="Mary Sutter" w:date="2013-11-11T07:50:00Z" w:initials="MS">
    <w:p w14:paraId="68EC66BF" w14:textId="322C14C1" w:rsidR="00065940" w:rsidRDefault="00065940">
      <w:pPr>
        <w:pStyle w:val="CommentText"/>
      </w:pPr>
      <w:r>
        <w:rPr>
          <w:rStyle w:val="CommentReference"/>
        </w:rPr>
        <w:annotationRef/>
      </w:r>
      <w:r>
        <w:t>This table needs to have a close look at the calculations and be updated if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3A9190" w15:done="0"/>
  <w15:commentEx w15:paraId="2244E380" w15:done="0"/>
  <w15:commentEx w15:paraId="68EC66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EDACE" w14:textId="77777777" w:rsidR="00CA6CAD" w:rsidRDefault="00CA6CAD" w:rsidP="00D466B6">
      <w:pPr>
        <w:spacing w:after="0"/>
      </w:pPr>
      <w:r>
        <w:separator/>
      </w:r>
    </w:p>
  </w:endnote>
  <w:endnote w:type="continuationSeparator" w:id="0">
    <w:p w14:paraId="737EDACF" w14:textId="77777777" w:rsidR="00CA6CAD" w:rsidRDefault="00CA6CAD" w:rsidP="00D466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SymbolMT">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931683"/>
      <w:docPartObj>
        <w:docPartGallery w:val="Page Numbers (Top of Page)"/>
        <w:docPartUnique/>
      </w:docPartObj>
    </w:sdtPr>
    <w:sdtEndPr/>
    <w:sdtContent>
      <w:p w14:paraId="737EDAD1" w14:textId="77777777" w:rsidR="00CA6CAD" w:rsidRDefault="00CA6CAD" w:rsidP="00950A89">
        <w:pPr>
          <w:pStyle w:val="Footer"/>
          <w:spacing w:after="0"/>
          <w:jc w:val="center"/>
        </w:pPr>
      </w:p>
      <w:p w14:paraId="737EDAD2" w14:textId="77777777" w:rsidR="00CA6CAD" w:rsidRDefault="00CA6CAD" w:rsidP="00950A89">
        <w:pPr>
          <w:pStyle w:val="Footer"/>
          <w:pBdr>
            <w:top w:val="single" w:sz="4" w:space="1" w:color="auto"/>
          </w:pBdr>
          <w:spacing w:after="0"/>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65940">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65940">
          <w:rPr>
            <w:b/>
            <w:bCs/>
            <w:noProof/>
          </w:rPr>
          <w:t>18</w:t>
        </w:r>
        <w:r>
          <w:rPr>
            <w:b/>
            <w:bCs/>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9180691"/>
      <w:docPartObj>
        <w:docPartGallery w:val="Page Numbers (Top of Page)"/>
        <w:docPartUnique/>
      </w:docPartObj>
    </w:sdtPr>
    <w:sdtEndPr/>
    <w:sdtContent>
      <w:p w14:paraId="737EDBD5" w14:textId="77777777" w:rsidR="00CA6CAD" w:rsidRDefault="00CA6CAD" w:rsidP="00950A89">
        <w:pPr>
          <w:pStyle w:val="Footer"/>
          <w:spacing w:after="0"/>
          <w:jc w:val="center"/>
        </w:pPr>
      </w:p>
      <w:p w14:paraId="737EDBD6" w14:textId="77777777" w:rsidR="00CA6CAD" w:rsidRDefault="00CA6CAD" w:rsidP="00950A89">
        <w:pPr>
          <w:pStyle w:val="Footer"/>
          <w:pBdr>
            <w:top w:val="single" w:sz="4" w:space="1" w:color="auto"/>
          </w:pBdr>
          <w:spacing w:after="0"/>
          <w:jc w:val="center"/>
        </w:pPr>
        <w:r>
          <w:t xml:space="preserve">Page </w:t>
        </w:r>
        <w:r>
          <w:rPr>
            <w:sz w:val="24"/>
          </w:rPr>
          <w:fldChar w:fldCharType="begin"/>
        </w:r>
        <w:r>
          <w:instrText xml:space="preserve"> PAGE </w:instrText>
        </w:r>
        <w:r>
          <w:rPr>
            <w:sz w:val="24"/>
          </w:rPr>
          <w:fldChar w:fldCharType="separate"/>
        </w:r>
        <w:r w:rsidR="00065940">
          <w:rPr>
            <w:noProof/>
          </w:rPr>
          <w:t>18</w:t>
        </w:r>
        <w:r>
          <w:rPr>
            <w:sz w:val="24"/>
          </w:rPr>
          <w:fldChar w:fldCharType="end"/>
        </w:r>
        <w:r>
          <w:t xml:space="preserve"> of </w:t>
        </w:r>
        <w:fldSimple w:instr=" NUMPAGES  ">
          <w:r w:rsidR="00065940">
            <w:rPr>
              <w:noProof/>
            </w:rPr>
            <w:t>18</w:t>
          </w:r>
        </w:fldSimple>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EDACC" w14:textId="77777777" w:rsidR="00CA6CAD" w:rsidRDefault="00CA6CAD" w:rsidP="00D466B6">
      <w:pPr>
        <w:spacing w:after="0"/>
      </w:pPr>
      <w:r>
        <w:separator/>
      </w:r>
    </w:p>
  </w:footnote>
  <w:footnote w:type="continuationSeparator" w:id="0">
    <w:p w14:paraId="737EDACD" w14:textId="77777777" w:rsidR="00CA6CAD" w:rsidRDefault="00CA6CAD" w:rsidP="00D466B6">
      <w:pPr>
        <w:spacing w:after="0"/>
      </w:pPr>
      <w:r>
        <w:continuationSeparator/>
      </w:r>
    </w:p>
  </w:footnote>
  <w:footnote w:id="1">
    <w:p w14:paraId="3DD14C21" w14:textId="77777777" w:rsidR="00CA6CAD" w:rsidRDefault="00CA6CAD" w:rsidP="0061368D">
      <w:pPr>
        <w:pStyle w:val="Footnote"/>
      </w:pPr>
      <w:r w:rsidRPr="00287BA4">
        <w:rPr>
          <w:rStyle w:val="FootnoteReference"/>
        </w:rPr>
        <w:footnoteRef/>
      </w:r>
      <w:r w:rsidRPr="00287BA4">
        <w:t xml:space="preserve"> Based on lighting logger study conducted as part of the PY3 ComEd Residential Lighting Program evaluation.</w:t>
      </w:r>
      <w:r>
        <w:t xml:space="preserve"> “ComEd Residential Energy Star Lighting Program Metering Study: Overview of Study Protocols” </w:t>
      </w:r>
      <w:hyperlink r:id="rId1" w:history="1">
        <w:r>
          <w:rPr>
            <w:rStyle w:val="Hyperlink"/>
          </w:rPr>
          <w:t>http://www.icc.illinois.gov/downloads/public/edocket/303835.pdf</w:t>
        </w:r>
      </w:hyperlink>
      <w:r>
        <w:t xml:space="preserve">    </w:t>
      </w:r>
    </w:p>
    <w:p w14:paraId="21625E50" w14:textId="77777777" w:rsidR="00CA6CAD" w:rsidRPr="00287BA4" w:rsidRDefault="00CA6CAD" w:rsidP="0061368D">
      <w:pPr>
        <w:pStyle w:val="Footnote"/>
      </w:pPr>
      <w:r>
        <w:t xml:space="preserve"> “Memo RE: Lighting Logger Study Results – Version 2, Date: May 27, 2011, To: David Nichols and ComEd Residential Lighting Interested Parties, From: Amy </w:t>
      </w:r>
      <w:proofErr w:type="spellStart"/>
      <w:r>
        <w:t>Buege</w:t>
      </w:r>
      <w:proofErr w:type="spellEnd"/>
      <w:r>
        <w:t xml:space="preserve"> and Jeremy Eddy; Navigant Evaluation Team” </w:t>
      </w:r>
      <w:hyperlink r:id="rId2" w:history="1">
        <w:r>
          <w:rPr>
            <w:rStyle w:val="Hyperlink"/>
            <w:rFonts w:cs="Calibri"/>
          </w:rPr>
          <w:t>http://www.icc.illinois.gov/downloads/public/edocket/303834.pdf</w:t>
        </w:r>
      </w:hyperlink>
    </w:p>
  </w:footnote>
  <w:footnote w:id="2">
    <w:p w14:paraId="55C8F21C" w14:textId="77777777" w:rsidR="00CA6CAD" w:rsidRPr="00287BA4" w:rsidRDefault="00CA6CAD" w:rsidP="0061368D">
      <w:pPr>
        <w:pStyle w:val="Footnote"/>
      </w:pPr>
      <w:r w:rsidRPr="00287BA4">
        <w:rPr>
          <w:rStyle w:val="FootnoteReference"/>
        </w:rPr>
        <w:footnoteRef/>
      </w:r>
      <w:r w:rsidRPr="00287BA4">
        <w:t xml:space="preserve"> Coincidence factor is based on healthcare/clinic value (used as proxy for </w:t>
      </w:r>
      <w:proofErr w:type="spellStart"/>
      <w:r w:rsidRPr="00287BA4">
        <w:t>multi family</w:t>
      </w:r>
      <w:proofErr w:type="spellEnd"/>
      <w:r w:rsidRPr="00287BA4">
        <w:t xml:space="preserve"> common area lighting with similar hours of use) developed using </w:t>
      </w:r>
      <w:proofErr w:type="spellStart"/>
      <w:r w:rsidRPr="00287BA4">
        <w:t>Equest</w:t>
      </w:r>
      <w:proofErr w:type="spellEnd"/>
      <w:r w:rsidRPr="00287BA4">
        <w:t xml:space="preserve"> models for various building types averaged across 5 climate zones for Illinois.</w:t>
      </w:r>
    </w:p>
  </w:footnote>
  <w:footnote w:id="3">
    <w:p w14:paraId="43466E0A" w14:textId="77777777" w:rsidR="00CA6CAD" w:rsidRPr="00287BA4" w:rsidRDefault="00CA6CAD" w:rsidP="0061368D">
      <w:pPr>
        <w:pStyle w:val="Footnote"/>
      </w:pPr>
      <w:r w:rsidRPr="00287BA4">
        <w:rPr>
          <w:vertAlign w:val="superscript"/>
        </w:rPr>
        <w:footnoteRef/>
      </w:r>
      <w:r w:rsidRPr="00287BA4">
        <w:t xml:space="preserve"> 1</w:t>
      </w:r>
      <w:r w:rsidRPr="000B7BB6">
        <w:rPr>
          <w:vertAlign w:val="superscript"/>
        </w:rPr>
        <w:t>st</w:t>
      </w:r>
      <w:r w:rsidRPr="00737AA7">
        <w:t xml:space="preserve"> year in service rate is based upon review o</w:t>
      </w:r>
      <w:r w:rsidRPr="000714F5">
        <w:t xml:space="preserve">f PY1-3 evaluations from ComEd and Ameren (see </w:t>
      </w:r>
      <w:r w:rsidRPr="00BC4B17">
        <w:t xml:space="preserve">‘IL RES Lighting ISR.xls’ for more information. </w:t>
      </w:r>
      <w:r w:rsidRPr="00287BA4">
        <w:t>The average first year ISR for each utility was calculated weighted by the number of bulbs in the each year’s survey. This was then weighted by annual sales to give a statewide assumption.</w:t>
      </w:r>
    </w:p>
  </w:footnote>
  <w:footnote w:id="4">
    <w:p w14:paraId="7FF853F7" w14:textId="77777777" w:rsidR="00CA6CAD" w:rsidRPr="00287BA4" w:rsidRDefault="00CA6CAD" w:rsidP="0061368D">
      <w:pPr>
        <w:pStyle w:val="FootnoteText"/>
        <w:rPr>
          <w:rFonts w:cstheme="minorHAnsi"/>
          <w:szCs w:val="20"/>
        </w:rPr>
      </w:pPr>
      <w:r w:rsidRPr="00287BA4">
        <w:rPr>
          <w:rStyle w:val="FootnoteReference"/>
          <w:rFonts w:eastAsiaTheme="majorEastAsia" w:cstheme="minorHAnsi"/>
          <w:szCs w:val="20"/>
        </w:rPr>
        <w:footnoteRef/>
      </w:r>
      <w:r w:rsidRPr="00287BA4">
        <w:rPr>
          <w:rFonts w:cstheme="minorHAnsi"/>
          <w:szCs w:val="20"/>
        </w:rPr>
        <w:t xml:space="preserve"> The 98% Lifetime ISR assumption is based upon review of two evaluations:</w:t>
      </w:r>
    </w:p>
    <w:p w14:paraId="74BA1EDE" w14:textId="77777777" w:rsidR="00CA6CAD" w:rsidRPr="000714F5" w:rsidRDefault="00CA6CAD" w:rsidP="0061368D">
      <w:pPr>
        <w:autoSpaceDE w:val="0"/>
        <w:autoSpaceDN w:val="0"/>
        <w:spacing w:after="0"/>
        <w:rPr>
          <w:rFonts w:cstheme="minorHAnsi"/>
          <w:szCs w:val="20"/>
        </w:rPr>
      </w:pPr>
      <w:r w:rsidRPr="00287BA4">
        <w:rPr>
          <w:rFonts w:cstheme="minorHAnsi"/>
          <w:szCs w:val="20"/>
        </w:rPr>
        <w:t xml:space="preserve">‘Nexus Market Research, RLW Analytics and GDS Associates study; “New England Residential Lighting Markdown Impact Evaluation, January 20, 2009’ and ‘KEMA </w:t>
      </w:r>
      <w:proofErr w:type="spellStart"/>
      <w:r w:rsidRPr="00287BA4">
        <w:rPr>
          <w:rFonts w:cstheme="minorHAnsi"/>
          <w:szCs w:val="20"/>
        </w:rPr>
        <w:t>Inc</w:t>
      </w:r>
      <w:proofErr w:type="spellEnd"/>
      <w:r w:rsidRPr="00287BA4">
        <w:rPr>
          <w:rFonts w:cstheme="minorHAnsi"/>
          <w:szCs w:val="20"/>
        </w:rPr>
        <w:t>, Feb 2010, Final Evaluation Report</w:t>
      </w:r>
      <w:proofErr w:type="gramStart"/>
      <w:r w:rsidRPr="00287BA4">
        <w:rPr>
          <w:rFonts w:cstheme="minorHAnsi"/>
          <w:szCs w:val="20"/>
        </w:rPr>
        <w:t>:,</w:t>
      </w:r>
      <w:proofErr w:type="gramEnd"/>
      <w:r w:rsidRPr="00287BA4">
        <w:rPr>
          <w:rFonts w:cstheme="minorHAnsi"/>
          <w:szCs w:val="20"/>
        </w:rPr>
        <w:t xml:space="preserve"> Upstream Lighting Program, Volume 1.’ This implies that only 2% of bulbs purchased are never installed. The second and third year installations are based upon Ameren analysis of the Californian KEMA study showing that 54% of future installs occur in year 2 and 46% in year 3. The 2</w:t>
      </w:r>
      <w:r w:rsidRPr="000B7BB6">
        <w:rPr>
          <w:rFonts w:cstheme="minorHAnsi"/>
          <w:szCs w:val="20"/>
          <w:vertAlign w:val="superscript"/>
        </w:rPr>
        <w:t>nd</w:t>
      </w:r>
      <w:r w:rsidRPr="00737AA7">
        <w:rPr>
          <w:rFonts w:cstheme="minorHAnsi"/>
          <w:szCs w:val="20"/>
        </w:rPr>
        <w:t xml:space="preserve"> and 3</w:t>
      </w:r>
      <w:r w:rsidRPr="000B7BB6">
        <w:rPr>
          <w:rFonts w:cstheme="minorHAnsi"/>
          <w:szCs w:val="20"/>
          <w:vertAlign w:val="superscript"/>
        </w:rPr>
        <w:t>rd</w:t>
      </w:r>
      <w:r w:rsidRPr="00737AA7">
        <w:rPr>
          <w:rFonts w:cstheme="minorHAnsi"/>
          <w:szCs w:val="20"/>
        </w:rPr>
        <w:t xml:space="preserve"> year installations should be counted as part of those future program year savings.</w:t>
      </w:r>
    </w:p>
  </w:footnote>
  <w:footnote w:id="5">
    <w:p w14:paraId="233F1978" w14:textId="77777777" w:rsidR="00CA6CAD" w:rsidRPr="00737AA7" w:rsidRDefault="00CA6CAD" w:rsidP="0061368D">
      <w:pPr>
        <w:pStyle w:val="Footnote"/>
      </w:pPr>
      <w:r w:rsidRPr="000714F5">
        <w:rPr>
          <w:rStyle w:val="FootnoteReference"/>
        </w:rPr>
        <w:footnoteRef/>
      </w:r>
      <w:r w:rsidRPr="00BC4B17">
        <w:t xml:space="preserve"> </w:t>
      </w:r>
      <w:r w:rsidRPr="00287BA4">
        <w:t xml:space="preserve">Based upon review of the PY2 and PY3 ComEd Direct Install program surveys. This value includes bulb failures in the 1st year to be consistent with </w:t>
      </w:r>
      <w:r w:rsidRPr="00737AA7">
        <w:t xml:space="preserve">the </w:t>
      </w:r>
      <w:r w:rsidRPr="000B7BB6">
        <w:t>Commission approv</w:t>
      </w:r>
      <w:r w:rsidRPr="00737AA7">
        <w:t xml:space="preserve">al of </w:t>
      </w:r>
      <w:proofErr w:type="spellStart"/>
      <w:r>
        <w:t>annualization</w:t>
      </w:r>
      <w:proofErr w:type="spellEnd"/>
      <w:r>
        <w:t xml:space="preserve"> of savings for first year savings claims. ComEd PY2 All Electric Single Family Home Energy Performance Tune-Up Program Evaluation, Navigant Consulting, December 21, 2010. </w:t>
      </w:r>
      <w:hyperlink r:id="rId3" w:history="1">
        <w:r>
          <w:rPr>
            <w:rStyle w:val="Hyperlink"/>
            <w:rFonts w:cs="Calibri"/>
          </w:rPr>
          <w:t>http://www.icc.illinois.gov/downloads/public/edocket/287090.pdf</w:t>
        </w:r>
      </w:hyperlink>
      <w:r w:rsidRPr="000B7BB6">
        <w:t>.</w:t>
      </w:r>
    </w:p>
  </w:footnote>
  <w:footnote w:id="6">
    <w:p w14:paraId="46C0DCF2" w14:textId="77777777" w:rsidR="00CA6CAD" w:rsidRDefault="00CA6CAD" w:rsidP="0061368D">
      <w:pPr>
        <w:pStyle w:val="Footnote"/>
      </w:pPr>
      <w:r w:rsidRPr="000714F5">
        <w:rPr>
          <w:rStyle w:val="FootnoteReference"/>
        </w:rPr>
        <w:footnoteRef/>
      </w:r>
      <w:r w:rsidRPr="00BC4B17">
        <w:t xml:space="preserve"> Based on lighting logger study conducted as part of the PY3 ComEd Residential Lighting Program evaluation.</w:t>
      </w:r>
    </w:p>
    <w:p w14:paraId="6FE90D46" w14:textId="77777777" w:rsidR="00CA6CAD" w:rsidRPr="00BC4B17" w:rsidRDefault="00065940" w:rsidP="0061368D">
      <w:pPr>
        <w:pStyle w:val="Footnote"/>
      </w:pPr>
      <w:hyperlink r:id="rId4" w:history="1">
        <w:r w:rsidR="00CA6CAD" w:rsidRPr="004351E5">
          <w:rPr>
            <w:rStyle w:val="Hyperlink"/>
          </w:rPr>
          <w:t>http://www.icc.illinois.gov/downloads/public/edocket/323818.pdf</w:t>
        </w:r>
      </w:hyperlink>
    </w:p>
  </w:footnote>
  <w:footnote w:id="7">
    <w:p w14:paraId="5AAF1CB5" w14:textId="77777777" w:rsidR="00CA6CAD" w:rsidRPr="00287BA4" w:rsidRDefault="00CA6CAD" w:rsidP="0061368D">
      <w:pPr>
        <w:pStyle w:val="Footnote"/>
      </w:pPr>
      <w:r w:rsidRPr="00287BA4">
        <w:rPr>
          <w:rStyle w:val="FootnoteReference"/>
        </w:rPr>
        <w:footnoteRef/>
      </w:r>
      <w:r w:rsidRPr="00287BA4">
        <w:t xml:space="preserve"> </w:t>
      </w:r>
      <w:proofErr w:type="spellStart"/>
      <w:r w:rsidRPr="00287BA4">
        <w:t>Multi family</w:t>
      </w:r>
      <w:proofErr w:type="spellEnd"/>
      <w:r w:rsidRPr="00287BA4">
        <w:t xml:space="preserve"> common area lighting assumption is 16.3 hours per day (5950 hours per year) based on Focus on Energy Evaluation, </w:t>
      </w:r>
      <w:r w:rsidRPr="00287BA4">
        <w:rPr>
          <w:bCs/>
        </w:rPr>
        <w:t xml:space="preserve">ACES Deemed Savings Desk Review, </w:t>
      </w:r>
      <w:proofErr w:type="gramStart"/>
      <w:r w:rsidRPr="00287BA4">
        <w:rPr>
          <w:bCs/>
        </w:rPr>
        <w:t>November</w:t>
      </w:r>
      <w:proofErr w:type="gramEnd"/>
      <w:r w:rsidRPr="00287BA4">
        <w:rPr>
          <w:bCs/>
        </w:rPr>
        <w:t xml:space="preserve"> 2010.</w:t>
      </w:r>
    </w:p>
  </w:footnote>
  <w:footnote w:id="8">
    <w:p w14:paraId="0AED2359" w14:textId="77777777" w:rsidR="00CA6CAD" w:rsidRDefault="00CA6CAD" w:rsidP="0061368D">
      <w:pPr>
        <w:pStyle w:val="FootnoteText"/>
      </w:pPr>
      <w:r>
        <w:rPr>
          <w:rStyle w:val="FootnoteReference"/>
          <w:rFonts w:eastAsiaTheme="majorEastAsia"/>
        </w:rPr>
        <w:footnoteRef/>
      </w:r>
      <w:r>
        <w:t xml:space="preserve"> </w:t>
      </w:r>
      <w:r w:rsidRPr="00BC4B17">
        <w:t xml:space="preserve">Based on </w:t>
      </w:r>
      <w:r>
        <w:t xml:space="preserve">secondary research </w:t>
      </w:r>
      <w:r w:rsidRPr="00BC4B17">
        <w:t>conducted as part of the PY3 ComEd Residential Lighting Program evaluation.</w:t>
      </w:r>
      <w:r>
        <w:t xml:space="preserve"> </w:t>
      </w:r>
      <w:hyperlink r:id="rId5" w:history="1">
        <w:r w:rsidRPr="004351E5">
          <w:rPr>
            <w:rStyle w:val="Hyperlink"/>
          </w:rPr>
          <w:t>http://www.icc.illinois.gov/downloads/public/edocket/323818.pdf</w:t>
        </w:r>
      </w:hyperlink>
    </w:p>
  </w:footnote>
  <w:footnote w:id="9">
    <w:p w14:paraId="4671CDC5" w14:textId="77777777" w:rsidR="00CA6CAD" w:rsidRDefault="00CA6CAD" w:rsidP="0061368D">
      <w:pPr>
        <w:pStyle w:val="FootnoteText"/>
      </w:pPr>
      <w:r>
        <w:rPr>
          <w:rStyle w:val="FootnoteReference"/>
          <w:rFonts w:eastAsiaTheme="majorEastAsia"/>
        </w:rPr>
        <w:footnoteRef/>
      </w:r>
      <w:r>
        <w:t xml:space="preserve"> Assumes 7% exterior lighting, b</w:t>
      </w:r>
      <w:r w:rsidRPr="00BC4B17">
        <w:t>ased on lighting logger study conducted as part of the PY3 ComEd Residential Lighting Program evaluation.</w:t>
      </w:r>
      <w:r w:rsidRPr="00DD12B1">
        <w:t xml:space="preserve"> </w:t>
      </w:r>
      <w:hyperlink r:id="rId6" w:history="1">
        <w:r w:rsidRPr="004351E5">
          <w:rPr>
            <w:rStyle w:val="Hyperlink"/>
          </w:rPr>
          <w:t>http://www.icc.illinois.gov/downloads/public/edocket/323818.pdf</w:t>
        </w:r>
      </w:hyperlink>
    </w:p>
  </w:footnote>
  <w:footnote w:id="10">
    <w:p w14:paraId="16EFE080" w14:textId="77777777" w:rsidR="00CA6CAD" w:rsidRPr="00287BA4" w:rsidRDefault="00CA6CAD" w:rsidP="0061368D">
      <w:pPr>
        <w:pStyle w:val="Footnote"/>
      </w:pPr>
      <w:r w:rsidRPr="00287BA4">
        <w:rPr>
          <w:rStyle w:val="FootnoteReference"/>
        </w:rPr>
        <w:footnoteRef/>
      </w:r>
      <w:r w:rsidRPr="00287BA4">
        <w:t xml:space="preserve"> The value is estimated at 1.06 (calculated as 1 + (0.66*(0.27 / 2.8)).  Based on cooling loads decreasing by 27% of the lighting savings (average result from </w:t>
      </w:r>
      <w:proofErr w:type="spellStart"/>
      <w:r w:rsidRPr="00287BA4">
        <w:t>REMRate</w:t>
      </w:r>
      <w:proofErr w:type="spellEnd"/>
      <w:r w:rsidRPr="00287BA4">
        <w:t xml:space="preserve"> modeling of several different configurations and IL locations of homes), assuming typical cooling system operating efficiency of 2.8 COP (starting from standard assumption of SEER 10.5 central AC unit, converted to 9.5 EER using algorithm (-0.02 * SEER2) + (1.12 * SEER) (from </w:t>
      </w:r>
      <w:proofErr w:type="spellStart"/>
      <w:r w:rsidRPr="00287BA4">
        <w:t>Wassmer</w:t>
      </w:r>
      <w:proofErr w:type="spellEnd"/>
      <w:r w:rsidRPr="00287BA4">
        <w:t xml:space="preserve">, M. (2003). A Component-Based Model for Residential Air Conditioner and Heat Pump Energy Calculations. </w:t>
      </w:r>
      <w:proofErr w:type="spellStart"/>
      <w:r w:rsidRPr="00287BA4">
        <w:t>Masters</w:t>
      </w:r>
      <w:proofErr w:type="spellEnd"/>
      <w:r w:rsidRPr="00287BA4">
        <w:t xml:space="preserve">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7" w:history="1">
        <w:r w:rsidRPr="00287BA4">
          <w:rPr>
            <w:rStyle w:val="Hyperlink"/>
          </w:rPr>
          <w:t>http://www.eia.gov/consumption/residential/data/2009/xls/HC7.9%20Air%20Conditioning%20in%20Midwest%20Region.xls</w:t>
        </w:r>
      </w:hyperlink>
      <w:r w:rsidRPr="00287BA4">
        <w:t xml:space="preserve"> )</w:t>
      </w:r>
    </w:p>
  </w:footnote>
  <w:footnote w:id="11">
    <w:p w14:paraId="0B84517D" w14:textId="77777777" w:rsidR="00CA6CAD" w:rsidRPr="00287BA4" w:rsidRDefault="00CA6CAD" w:rsidP="0061368D">
      <w:pPr>
        <w:pStyle w:val="Footnote"/>
      </w:pPr>
      <w:r w:rsidRPr="00287BA4">
        <w:rPr>
          <w:rStyle w:val="FootnoteReference"/>
        </w:rPr>
        <w:footnoteRef/>
      </w:r>
      <w:r w:rsidRPr="00287BA4">
        <w:t xml:space="preserve"> As above but using estimate of 45% of </w:t>
      </w:r>
      <w:proofErr w:type="spellStart"/>
      <w:r w:rsidRPr="00287BA4">
        <w:t>multi family</w:t>
      </w:r>
      <w:proofErr w:type="spellEnd"/>
      <w:r w:rsidRPr="00287BA4">
        <w:t xml:space="preserve"> buildings in Illinois having central cooling (based on data from “Table HC7.1  Air Conditioning in U.S. Homes, By Housing Unit Type, 2009” which is for the whole of the US, scaled to IL air conditioning prevalence compared to US average); </w:t>
      </w:r>
      <w:hyperlink r:id="rId8" w:history="1">
        <w:r w:rsidRPr="00287BA4">
          <w:rPr>
            <w:rStyle w:val="Hyperlink"/>
          </w:rPr>
          <w:t>http://205.254.135.7/consumption/residential/data/2009/xls/HC7.1%20Air%20Conditioning%20by%20Housing%20Unit%20Type.xls</w:t>
        </w:r>
      </w:hyperlink>
      <w:r w:rsidRPr="00287BA4">
        <w:t xml:space="preserve"> </w:t>
      </w:r>
    </w:p>
  </w:footnote>
  <w:footnote w:id="12">
    <w:p w14:paraId="6E36EAB8" w14:textId="77777777" w:rsidR="00CA6CAD" w:rsidRPr="00287BA4" w:rsidRDefault="00CA6CAD" w:rsidP="0061368D">
      <w:pPr>
        <w:pStyle w:val="Footnote"/>
      </w:pPr>
      <w:r w:rsidRPr="00287BA4">
        <w:rPr>
          <w:rStyle w:val="FootnoteReference"/>
        </w:rPr>
        <w:footnoteRef/>
      </w:r>
      <w:r w:rsidRPr="00287BA4">
        <w:t xml:space="preserve"> Ibid.</w:t>
      </w:r>
    </w:p>
  </w:footnote>
  <w:footnote w:id="13">
    <w:p w14:paraId="75BD08A1" w14:textId="77777777" w:rsidR="00CA6CAD" w:rsidRPr="00287BA4" w:rsidRDefault="00CA6CAD" w:rsidP="00F40901">
      <w:pPr>
        <w:pStyle w:val="Footnote"/>
      </w:pPr>
      <w:r w:rsidRPr="00287BA4">
        <w:rPr>
          <w:rStyle w:val="FootnoteReference"/>
        </w:rPr>
        <w:footnoteRef/>
      </w:r>
      <w:r w:rsidRPr="00287BA4">
        <w:t xml:space="preserve"> Negative value because this is an increase in heating consumption due to the efficient lighting.</w:t>
      </w:r>
    </w:p>
  </w:footnote>
  <w:footnote w:id="14">
    <w:p w14:paraId="70010F22" w14:textId="77777777" w:rsidR="00CA6CAD" w:rsidRPr="00287BA4" w:rsidRDefault="00CA6CAD" w:rsidP="00F40901">
      <w:pPr>
        <w:pStyle w:val="Footnote"/>
      </w:pPr>
      <w:r w:rsidRPr="00287BA4">
        <w:rPr>
          <w:rStyle w:val="FootnoteReference"/>
        </w:rPr>
        <w:footnoteRef/>
      </w:r>
      <w:r w:rsidRPr="00287BA4">
        <w:t xml:space="preserve"> This means that heating loads increase by 49% of the lighting savings. This is based on the average result from </w:t>
      </w:r>
      <w:proofErr w:type="spellStart"/>
      <w:r w:rsidRPr="00287BA4">
        <w:t>REMRate</w:t>
      </w:r>
      <w:proofErr w:type="spellEnd"/>
      <w:r w:rsidRPr="00287BA4">
        <w:t xml:space="preserve"> modeling of several different configurations and IL locations of homes.</w:t>
      </w:r>
    </w:p>
  </w:footnote>
  <w:footnote w:id="15">
    <w:p w14:paraId="73AE74EC" w14:textId="77777777" w:rsidR="00CA6CAD" w:rsidRPr="00287BA4" w:rsidRDefault="00CA6CAD" w:rsidP="00F40901">
      <w:pPr>
        <w:pStyle w:val="Footnote"/>
      </w:pPr>
      <w:r w:rsidRPr="00287BA4">
        <w:rPr>
          <w:rStyle w:val="FootnoteReference"/>
        </w:rPr>
        <w:footnoteRef/>
      </w:r>
      <w:r w:rsidRPr="00287BA4">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16">
    <w:p w14:paraId="06C87F65" w14:textId="77777777" w:rsidR="00CA6CAD" w:rsidRPr="00287BA4" w:rsidRDefault="00CA6CAD" w:rsidP="00F40901">
      <w:pPr>
        <w:pStyle w:val="Footnote"/>
      </w:pPr>
      <w:r w:rsidRPr="00287BA4">
        <w:rPr>
          <w:rStyle w:val="FootnoteReference"/>
        </w:rPr>
        <w:footnoteRef/>
      </w:r>
      <w:r w:rsidRPr="00287BA4">
        <w:t xml:space="preserve"> The value is estimated at 1.11 (calculated as 1 + (0.66 * 0.466 / 2.8)). See footnote relating to </w:t>
      </w:r>
      <w:proofErr w:type="spellStart"/>
      <w:r w:rsidRPr="00287BA4">
        <w:t>WHFe</w:t>
      </w:r>
      <w:proofErr w:type="spellEnd"/>
      <w:r w:rsidRPr="00287BA4">
        <w:t xml:space="preserve"> for details. Note the 46.6% factor represents the average Residential cooling coincidence factor calculated by dividing average load during the peak hours divided by the maximum cooling load. </w:t>
      </w:r>
    </w:p>
  </w:footnote>
  <w:footnote w:id="17">
    <w:p w14:paraId="54CBEA55" w14:textId="77777777" w:rsidR="00CA6CAD" w:rsidRPr="00287BA4" w:rsidRDefault="00CA6CAD" w:rsidP="00F40901">
      <w:pPr>
        <w:pStyle w:val="Footnote"/>
      </w:pPr>
      <w:r w:rsidRPr="00287BA4">
        <w:rPr>
          <w:rStyle w:val="FootnoteReference"/>
        </w:rPr>
        <w:footnoteRef/>
      </w:r>
      <w:r w:rsidRPr="00287BA4">
        <w:t xml:space="preserve"> As above but using estimate of 45% of </w:t>
      </w:r>
      <w:proofErr w:type="spellStart"/>
      <w:r w:rsidRPr="00287BA4">
        <w:t>multi family</w:t>
      </w:r>
      <w:proofErr w:type="spellEnd"/>
      <w:r w:rsidRPr="00287BA4">
        <w:t xml:space="preserve"> buildings in Illinois having central cooling (based on data from “Table HC7.1  Air Conditioning in U.S. Homes, By Housing Unit Type, 2009” which is for the whole of the US, scaled to IL air conditioning prevalence compared to US average); </w:t>
      </w:r>
      <w:hyperlink r:id="rId9" w:history="1">
        <w:r w:rsidRPr="00287BA4">
          <w:rPr>
            <w:rStyle w:val="Hyperlink"/>
          </w:rPr>
          <w:t>http://205.254.135.7/consumption/residential/data/2009/xls/HC7.1%20Air%20Conditioning%20by%20Housing%20Unit%20Type.xls</w:t>
        </w:r>
      </w:hyperlink>
      <w:r w:rsidRPr="00287BA4">
        <w:t xml:space="preserve">. </w:t>
      </w:r>
    </w:p>
  </w:footnote>
  <w:footnote w:id="18">
    <w:p w14:paraId="2DE991E7" w14:textId="77777777" w:rsidR="00CA6CAD" w:rsidRPr="00BC4B17" w:rsidRDefault="00CA6CAD" w:rsidP="00F40901">
      <w:pPr>
        <w:pStyle w:val="Footnote"/>
      </w:pPr>
      <w:r w:rsidRPr="00287BA4">
        <w:rPr>
          <w:rStyle w:val="FootnoteReference"/>
        </w:rPr>
        <w:footnoteRef/>
      </w:r>
      <w:r w:rsidRPr="00287BA4">
        <w:t xml:space="preserve"> I</w:t>
      </w:r>
      <w:r w:rsidRPr="000B7BB6">
        <w:t>bid</w:t>
      </w:r>
    </w:p>
  </w:footnote>
  <w:footnote w:id="19">
    <w:p w14:paraId="748F0848" w14:textId="77777777" w:rsidR="00CA6CAD" w:rsidRDefault="00CA6CAD" w:rsidP="00F40901">
      <w:pPr>
        <w:pStyle w:val="Footnote"/>
      </w:pPr>
      <w:r w:rsidRPr="00287BA4">
        <w:rPr>
          <w:rStyle w:val="FootnoteReference"/>
        </w:rPr>
        <w:footnoteRef/>
      </w:r>
      <w:r w:rsidRPr="00287BA4">
        <w:t xml:space="preserve"> Based on lighting logger study conducted as part of the PY3 ComEd Residential Lighting Program evaluation.</w:t>
      </w:r>
      <w:r>
        <w:t xml:space="preserve"> “ComEd Residential Energy Star Lighting Program Metering Study: Overview of Study Protocols” </w:t>
      </w:r>
      <w:hyperlink r:id="rId10" w:history="1">
        <w:r>
          <w:rPr>
            <w:rStyle w:val="Hyperlink"/>
          </w:rPr>
          <w:t>http://www.icc.illinois.gov/downloads/public/edocket/303835.pdf</w:t>
        </w:r>
      </w:hyperlink>
      <w:r>
        <w:t xml:space="preserve">    </w:t>
      </w:r>
    </w:p>
    <w:p w14:paraId="2E3DA94B" w14:textId="77777777" w:rsidR="00CA6CAD" w:rsidRPr="00287BA4" w:rsidRDefault="00CA6CAD" w:rsidP="00F40901">
      <w:pPr>
        <w:pStyle w:val="Footnote"/>
      </w:pPr>
      <w:r>
        <w:t xml:space="preserve"> “Memo RE: Lighting Logger Study Results – Version 2, Date: May 27, 2011, To: David Nichols and ComEd Residential Lighting Interested Parties, From: Amy </w:t>
      </w:r>
      <w:proofErr w:type="spellStart"/>
      <w:r>
        <w:t>Buege</w:t>
      </w:r>
      <w:proofErr w:type="spellEnd"/>
      <w:r>
        <w:t xml:space="preserve"> and Jeremy Eddy; Navigant Evaluation Team” </w:t>
      </w:r>
      <w:hyperlink r:id="rId11" w:history="1">
        <w:r>
          <w:rPr>
            <w:rStyle w:val="Hyperlink"/>
            <w:rFonts w:cs="Calibri"/>
          </w:rPr>
          <w:t>http://www.icc.illinois.gov/downloads/public/edocket/303834.pdf</w:t>
        </w:r>
      </w:hyperlink>
    </w:p>
  </w:footnote>
  <w:footnote w:id="20">
    <w:p w14:paraId="0E9474E5" w14:textId="77777777" w:rsidR="00CA6CAD" w:rsidRPr="00287BA4" w:rsidRDefault="00CA6CAD" w:rsidP="00F40901">
      <w:pPr>
        <w:pStyle w:val="Footnote"/>
      </w:pPr>
      <w:r w:rsidRPr="00287BA4">
        <w:rPr>
          <w:rStyle w:val="FootnoteReference"/>
        </w:rPr>
        <w:footnoteRef/>
      </w:r>
      <w:r w:rsidRPr="00287BA4">
        <w:t xml:space="preserve"> Ibid.</w:t>
      </w:r>
    </w:p>
  </w:footnote>
  <w:footnote w:id="21">
    <w:p w14:paraId="70553614" w14:textId="77777777" w:rsidR="00CA6CAD" w:rsidRPr="00287BA4" w:rsidRDefault="00CA6CAD" w:rsidP="00F40901">
      <w:pPr>
        <w:pStyle w:val="Footnote"/>
      </w:pPr>
      <w:r w:rsidRPr="00287BA4">
        <w:rPr>
          <w:rStyle w:val="FootnoteReference"/>
        </w:rPr>
        <w:footnoteRef/>
      </w:r>
      <w:r w:rsidRPr="00287BA4">
        <w:t xml:space="preserve"> Coincidence factor is based on healthcare/clinic value (used as proxy for </w:t>
      </w:r>
      <w:proofErr w:type="spellStart"/>
      <w:r w:rsidRPr="00287BA4">
        <w:t>multi family</w:t>
      </w:r>
      <w:proofErr w:type="spellEnd"/>
      <w:r w:rsidRPr="00287BA4">
        <w:t xml:space="preserve"> common area lighting with similar hours of use) developed using </w:t>
      </w:r>
      <w:proofErr w:type="spellStart"/>
      <w:r w:rsidRPr="00287BA4">
        <w:t>Equest</w:t>
      </w:r>
      <w:proofErr w:type="spellEnd"/>
      <w:r w:rsidRPr="00287BA4">
        <w:t xml:space="preserve"> models for various building types averaged across 5 climate zones for Illinois for the following building types.</w:t>
      </w:r>
    </w:p>
  </w:footnote>
  <w:footnote w:id="22">
    <w:p w14:paraId="0486CA56" w14:textId="77777777" w:rsidR="00CA6CAD" w:rsidRDefault="00CA6CAD" w:rsidP="0061368D">
      <w:pPr>
        <w:pStyle w:val="Footnote"/>
      </w:pPr>
      <w:r w:rsidRPr="000714F5">
        <w:rPr>
          <w:rStyle w:val="FootnoteReference"/>
        </w:rPr>
        <w:footnoteRef/>
      </w:r>
      <w:r w:rsidRPr="00BC4B17">
        <w:t xml:space="preserve"> Based on lighting logger study conducted as part of the PY3 ComEd Residential Lighting Program evaluation.</w:t>
      </w:r>
    </w:p>
    <w:p w14:paraId="420CF1E6" w14:textId="77777777" w:rsidR="00CA6CAD" w:rsidRPr="00BC4B17" w:rsidRDefault="00065940" w:rsidP="0061368D">
      <w:pPr>
        <w:pStyle w:val="Footnote"/>
      </w:pPr>
      <w:hyperlink r:id="rId12" w:history="1">
        <w:r w:rsidR="00CA6CAD" w:rsidRPr="004351E5">
          <w:rPr>
            <w:rStyle w:val="Hyperlink"/>
          </w:rPr>
          <w:t>http://www.icc.illinois.gov/downloads/public/edocket/323818.pdf</w:t>
        </w:r>
      </w:hyperlink>
    </w:p>
  </w:footnote>
  <w:footnote w:id="23">
    <w:p w14:paraId="364554BE" w14:textId="77777777" w:rsidR="00CA6CAD" w:rsidRPr="00287BA4" w:rsidRDefault="00CA6CAD" w:rsidP="0061368D">
      <w:pPr>
        <w:pStyle w:val="Footnote"/>
      </w:pPr>
      <w:r w:rsidRPr="00287BA4">
        <w:rPr>
          <w:rStyle w:val="FootnoteReference"/>
        </w:rPr>
        <w:footnoteRef/>
      </w:r>
      <w:r w:rsidRPr="00287BA4">
        <w:t xml:space="preserve"> </w:t>
      </w:r>
      <w:proofErr w:type="spellStart"/>
      <w:r w:rsidRPr="00287BA4">
        <w:t>Multi family</w:t>
      </w:r>
      <w:proofErr w:type="spellEnd"/>
      <w:r w:rsidRPr="00287BA4">
        <w:t xml:space="preserve"> common area lighting assumption is 16.3 hours per day (5950 hours per year) based on Focus on Energy Evaluation, </w:t>
      </w:r>
      <w:r w:rsidRPr="00287BA4">
        <w:rPr>
          <w:bCs/>
        </w:rPr>
        <w:t xml:space="preserve">ACES Deemed Savings Desk Review, </w:t>
      </w:r>
      <w:proofErr w:type="gramStart"/>
      <w:r w:rsidRPr="00287BA4">
        <w:rPr>
          <w:bCs/>
        </w:rPr>
        <w:t>November</w:t>
      </w:r>
      <w:proofErr w:type="gramEnd"/>
      <w:r w:rsidRPr="00287BA4">
        <w:rPr>
          <w:bCs/>
        </w:rPr>
        <w:t xml:space="preserve"> 2010.</w:t>
      </w:r>
    </w:p>
  </w:footnote>
  <w:footnote w:id="24">
    <w:p w14:paraId="12BB8EDE" w14:textId="77777777" w:rsidR="00CA6CAD" w:rsidRDefault="00CA6CAD" w:rsidP="0061368D">
      <w:pPr>
        <w:pStyle w:val="FootnoteText"/>
      </w:pPr>
      <w:r>
        <w:rPr>
          <w:rStyle w:val="FootnoteReference"/>
          <w:rFonts w:eastAsiaTheme="majorEastAsia"/>
        </w:rPr>
        <w:footnoteRef/>
      </w:r>
      <w:r>
        <w:t xml:space="preserve"> </w:t>
      </w:r>
      <w:r w:rsidRPr="00BC4B17">
        <w:t xml:space="preserve">Based on </w:t>
      </w:r>
      <w:r>
        <w:t xml:space="preserve">secondary research </w:t>
      </w:r>
      <w:r w:rsidRPr="00BC4B17">
        <w:t>conducted as part of the PY3 ComEd Residential Lighting Program evaluation.</w:t>
      </w:r>
      <w:r>
        <w:t xml:space="preserve"> </w:t>
      </w:r>
      <w:hyperlink r:id="rId13" w:history="1">
        <w:r w:rsidRPr="004351E5">
          <w:rPr>
            <w:rStyle w:val="Hyperlink"/>
          </w:rPr>
          <w:t>http://www.icc.illinois.gov/downloads/public/edocket/323818.pdf</w:t>
        </w:r>
      </w:hyperlink>
    </w:p>
  </w:footnote>
  <w:footnote w:id="25">
    <w:p w14:paraId="6B2EE47F" w14:textId="77777777" w:rsidR="00CA6CAD" w:rsidRDefault="00CA6CAD" w:rsidP="0061368D">
      <w:pPr>
        <w:pStyle w:val="FootnoteText"/>
      </w:pPr>
      <w:r>
        <w:rPr>
          <w:rStyle w:val="FootnoteReference"/>
          <w:rFonts w:eastAsiaTheme="majorEastAsia"/>
        </w:rPr>
        <w:footnoteRef/>
      </w:r>
      <w:r>
        <w:t xml:space="preserve"> Assumes 7% exterior lighting, b</w:t>
      </w:r>
      <w:r w:rsidRPr="00BC4B17">
        <w:t>ased on lighting logger study conducted as part of the PY3 ComEd Residential Lighting Program evaluation.</w:t>
      </w:r>
      <w:r w:rsidRPr="00DD12B1">
        <w:t xml:space="preserve"> </w:t>
      </w:r>
      <w:hyperlink r:id="rId14" w:history="1">
        <w:r w:rsidRPr="004351E5">
          <w:rPr>
            <w:rStyle w:val="Hyperlink"/>
          </w:rPr>
          <w:t>http://www.icc.illinois.gov/downloads/public/edocket/323818.pdf</w:t>
        </w:r>
      </w:hyperlink>
    </w:p>
  </w:footnote>
  <w:footnote w:id="26">
    <w:p w14:paraId="6411C70D" w14:textId="47CA8FB3" w:rsidR="00F0725D" w:rsidRDefault="00F0725D">
      <w:pPr>
        <w:pStyle w:val="FootnoteText"/>
      </w:pPr>
      <w:r>
        <w:rPr>
          <w:rStyle w:val="FootnoteReference"/>
        </w:rPr>
        <w:footnoteRef/>
      </w:r>
      <w:r>
        <w:t xml:space="preserve"> The manufacturers of the new minimally compliant EISA Halogens are using regular incandescent lamps with halogen fill gas rather than halogen infrared to meet the standard and so the component rated life is equal to the standard incandescent.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EDAD0" w14:textId="67B4396E" w:rsidR="00CA6CAD" w:rsidRPr="00C07E28" w:rsidRDefault="00CA6CAD" w:rsidP="005E0B36">
    <w:pPr>
      <w:pStyle w:val="HeaderIL"/>
      <w:pBdr>
        <w:bottom w:val="single" w:sz="4" w:space="1" w:color="auto"/>
      </w:pBdr>
      <w:rPr>
        <w:b/>
      </w:rPr>
    </w:pPr>
    <w:r w:rsidRPr="00C07E28">
      <w:rPr>
        <w:b/>
      </w:rPr>
      <w:t>Illinois Statewide Technical Reference Manual</w:t>
    </w:r>
    <w:r>
      <w:rPr>
        <w:b/>
      </w:rPr>
      <w:t xml:space="preserve"> – Work Paper: Residential LED Screw-Based Omnidirectional Lamp</w:t>
    </w:r>
    <w:r w:rsidRPr="00C07E28">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EDBD3" w14:textId="77777777" w:rsidR="00CA6CAD" w:rsidRDefault="00CA6C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EDBD7" w14:textId="77777777" w:rsidR="00CA6CAD" w:rsidRDefault="00CA6CAD" w:rsidP="00950A89">
    <w:pPr>
      <w:pStyle w:val="HeaderIL"/>
    </w:pPr>
    <w:r w:rsidRPr="005D746C">
      <w:t>Illinois Statewide Technical Reference Manual -</w:t>
    </w:r>
    <w:r>
      <w:fldChar w:fldCharType="begin"/>
    </w:r>
    <w:r>
      <w:instrText xml:space="preserve"> REF _Ref326052754 \r \h  \* MERGEFORMAT </w:instrText>
    </w:r>
    <w:r>
      <w:fldChar w:fldCharType="separate"/>
    </w:r>
    <w:r>
      <w:rPr>
        <w:b/>
        <w:bCs/>
      </w:rPr>
      <w:t>Error! Reference source not found.</w:t>
    </w:r>
    <w:r>
      <w:fldChar w:fldCharType="end"/>
    </w:r>
    <w:r>
      <w:t xml:space="preserve"> </w:t>
    </w:r>
    <w:r>
      <w:fldChar w:fldCharType="begin"/>
    </w:r>
    <w:r>
      <w:instrText xml:space="preserve"> REF _Ref326054816 \h </w:instrText>
    </w:r>
    <w:r>
      <w:fldChar w:fldCharType="separate"/>
    </w:r>
    <w:r>
      <w:rPr>
        <w:b/>
        <w:bCs/>
      </w:rPr>
      <w:t>Error! Reference source not found.</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8C7D85"/>
    <w:multiLevelType w:val="multilevel"/>
    <w:tmpl w:val="650614A4"/>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F777AE2"/>
    <w:multiLevelType w:val="hybridMultilevel"/>
    <w:tmpl w:val="E02A404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5BE59F2"/>
    <w:multiLevelType w:val="hybridMultilevel"/>
    <w:tmpl w:val="FC74952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5C438FD"/>
    <w:multiLevelType w:val="hybridMultilevel"/>
    <w:tmpl w:val="C2F6F484"/>
    <w:lvl w:ilvl="0" w:tplc="E5D015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5F3D17"/>
    <w:multiLevelType w:val="hybridMultilevel"/>
    <w:tmpl w:val="F91061AE"/>
    <w:lvl w:ilvl="0" w:tplc="540CE0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3C6F9E"/>
    <w:multiLevelType w:val="hybridMultilevel"/>
    <w:tmpl w:val="4C663EF2"/>
    <w:lvl w:ilvl="0" w:tplc="F5D236D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2404FC"/>
    <w:multiLevelType w:val="hybridMultilevel"/>
    <w:tmpl w:val="B694E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02D2046"/>
    <w:multiLevelType w:val="hybridMultilevel"/>
    <w:tmpl w:val="90C0AE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BA3CE9"/>
    <w:multiLevelType w:val="hybridMultilevel"/>
    <w:tmpl w:val="E348EAC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6E015EB"/>
    <w:multiLevelType w:val="multilevel"/>
    <w:tmpl w:val="2D5465FC"/>
    <w:lvl w:ilvl="0">
      <w:start w:val="1"/>
      <w:numFmt w:val="decimal"/>
      <w:lvlText w:val="%1."/>
      <w:lvlJc w:val="left"/>
      <w:pPr>
        <w:ind w:left="720" w:hanging="360"/>
      </w:pPr>
    </w:lvl>
    <w:lvl w:ilvl="1">
      <w:start w:val="4"/>
      <w:numFmt w:val="decimal"/>
      <w:isLgl/>
      <w:lvlText w:val="%1.%2"/>
      <w:lvlJc w:val="left"/>
      <w:pPr>
        <w:ind w:left="960" w:hanging="60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7FE789D"/>
    <w:multiLevelType w:val="multilevel"/>
    <w:tmpl w:val="1E2A879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293A560C"/>
    <w:multiLevelType w:val="hybridMultilevel"/>
    <w:tmpl w:val="84DA3CC2"/>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16">
    <w:nsid w:val="2BA46040"/>
    <w:multiLevelType w:val="hybridMultilevel"/>
    <w:tmpl w:val="741C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015B42"/>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A60A6"/>
    <w:multiLevelType w:val="hybridMultilevel"/>
    <w:tmpl w:val="A95CC23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55C1D02"/>
    <w:multiLevelType w:val="hybridMultilevel"/>
    <w:tmpl w:val="FE3845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98942E8"/>
    <w:multiLevelType w:val="hybridMultilevel"/>
    <w:tmpl w:val="40521FC6"/>
    <w:lvl w:ilvl="0" w:tplc="D46E035C">
      <w:start w:val="1"/>
      <w:numFmt w:val="decimal"/>
      <w:lvlText w:val="%1."/>
      <w:lvlJc w:val="left"/>
      <w:pPr>
        <w:ind w:left="720" w:hanging="360"/>
      </w:pPr>
      <w:rPr>
        <w:rFonts w:ascii="Franklin Gothic Book" w:eastAsia="Times New Roman" w:hAnsi="Franklin Gothic Book" w:cs="Times New Roman"/>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1B4E44"/>
    <w:multiLevelType w:val="hybridMultilevel"/>
    <w:tmpl w:val="8B04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C17705"/>
    <w:multiLevelType w:val="hybridMultilevel"/>
    <w:tmpl w:val="4BAC56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570F1FB3"/>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056D2E"/>
    <w:multiLevelType w:val="hybridMultilevel"/>
    <w:tmpl w:val="929E1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A10241"/>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654753"/>
    <w:multiLevelType w:val="hybridMultilevel"/>
    <w:tmpl w:val="EFA8C7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B666DA8"/>
    <w:multiLevelType w:val="hybridMultilevel"/>
    <w:tmpl w:val="C234C71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093710"/>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nsid w:val="7FC62DE8"/>
    <w:multiLevelType w:val="hybridMultilevel"/>
    <w:tmpl w:val="A0823C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0"/>
  </w:num>
  <w:num w:numId="3">
    <w:abstractNumId w:val="7"/>
  </w:num>
  <w:num w:numId="4">
    <w:abstractNumId w:val="18"/>
  </w:num>
  <w:num w:numId="5">
    <w:abstractNumId w:val="6"/>
  </w:num>
  <w:num w:numId="6">
    <w:abstractNumId w:val="20"/>
  </w:num>
  <w:num w:numId="7">
    <w:abstractNumId w:val="1"/>
  </w:num>
  <w:num w:numId="8">
    <w:abstractNumId w:val="0"/>
  </w:num>
  <w:num w:numId="9">
    <w:abstractNumId w:val="13"/>
  </w:num>
  <w:num w:numId="10">
    <w:abstractNumId w:val="5"/>
  </w:num>
  <w:num w:numId="11">
    <w:abstractNumId w:val="9"/>
  </w:num>
  <w:num w:numId="12">
    <w:abstractNumId w:val="25"/>
  </w:num>
  <w:num w:numId="13">
    <w:abstractNumId w:val="16"/>
  </w:num>
  <w:num w:numId="14">
    <w:abstractNumId w:val="8"/>
  </w:num>
  <w:num w:numId="15">
    <w:abstractNumId w:val="17"/>
  </w:num>
  <w:num w:numId="16">
    <w:abstractNumId w:val="19"/>
  </w:num>
  <w:num w:numId="17">
    <w:abstractNumId w:val="12"/>
  </w:num>
  <w:num w:numId="18">
    <w:abstractNumId w:val="31"/>
  </w:num>
  <w:num w:numId="19">
    <w:abstractNumId w:val="11"/>
  </w:num>
  <w:num w:numId="20">
    <w:abstractNumId w:val="2"/>
  </w:num>
  <w:num w:numId="21">
    <w:abstractNumId w:val="3"/>
  </w:num>
  <w:num w:numId="22">
    <w:abstractNumId w:val="28"/>
  </w:num>
  <w:num w:numId="23">
    <w:abstractNumId w:val="22"/>
  </w:num>
  <w:num w:numId="24">
    <w:abstractNumId w:val="24"/>
  </w:num>
  <w:num w:numId="25">
    <w:abstractNumId w:val="29"/>
  </w:num>
  <w:num w:numId="26">
    <w:abstractNumId w:val="21"/>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7"/>
  </w:num>
  <w:num w:numId="30">
    <w:abstractNumId w:val="14"/>
  </w:num>
  <w:num w:numId="31">
    <w:abstractNumId w:val="10"/>
  </w:num>
  <w:num w:numId="32">
    <w:abstractNumId w:val="23"/>
  </w:num>
  <w:num w:numId="33">
    <w:abstractNumId w:val="15"/>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y Sutter">
    <w15:presenceInfo w15:providerId="AD" w15:userId="S-1-5-21-1465139472-558788514-1232828436-2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6B6"/>
    <w:rsid w:val="0000286F"/>
    <w:rsid w:val="0000534F"/>
    <w:rsid w:val="00025F84"/>
    <w:rsid w:val="000262D9"/>
    <w:rsid w:val="00037366"/>
    <w:rsid w:val="000373AD"/>
    <w:rsid w:val="000464BE"/>
    <w:rsid w:val="0005038D"/>
    <w:rsid w:val="00050FA6"/>
    <w:rsid w:val="00054096"/>
    <w:rsid w:val="00061899"/>
    <w:rsid w:val="00065940"/>
    <w:rsid w:val="000679C8"/>
    <w:rsid w:val="00081C22"/>
    <w:rsid w:val="000864A4"/>
    <w:rsid w:val="000A59DA"/>
    <w:rsid w:val="000B20FD"/>
    <w:rsid w:val="000B2E10"/>
    <w:rsid w:val="000C51B5"/>
    <w:rsid w:val="000E4614"/>
    <w:rsid w:val="00103F04"/>
    <w:rsid w:val="0010553E"/>
    <w:rsid w:val="00106013"/>
    <w:rsid w:val="001067C7"/>
    <w:rsid w:val="00110B16"/>
    <w:rsid w:val="00121132"/>
    <w:rsid w:val="00123785"/>
    <w:rsid w:val="00124CB5"/>
    <w:rsid w:val="0013487A"/>
    <w:rsid w:val="00155577"/>
    <w:rsid w:val="00164BDB"/>
    <w:rsid w:val="00167313"/>
    <w:rsid w:val="00170CD6"/>
    <w:rsid w:val="0019192B"/>
    <w:rsid w:val="001C2C52"/>
    <w:rsid w:val="001C3C7D"/>
    <w:rsid w:val="001D59C9"/>
    <w:rsid w:val="001E043D"/>
    <w:rsid w:val="001E6327"/>
    <w:rsid w:val="001F26C9"/>
    <w:rsid w:val="00213247"/>
    <w:rsid w:val="00217943"/>
    <w:rsid w:val="00227820"/>
    <w:rsid w:val="00233E13"/>
    <w:rsid w:val="00243671"/>
    <w:rsid w:val="00253901"/>
    <w:rsid w:val="00257AF1"/>
    <w:rsid w:val="002621DF"/>
    <w:rsid w:val="002B40F7"/>
    <w:rsid w:val="002C4E42"/>
    <w:rsid w:val="002D0751"/>
    <w:rsid w:val="002D48A9"/>
    <w:rsid w:val="003010F1"/>
    <w:rsid w:val="00323921"/>
    <w:rsid w:val="003334BA"/>
    <w:rsid w:val="003449FC"/>
    <w:rsid w:val="003577C7"/>
    <w:rsid w:val="0035792D"/>
    <w:rsid w:val="0036262B"/>
    <w:rsid w:val="0036380B"/>
    <w:rsid w:val="00374FEB"/>
    <w:rsid w:val="00387ED6"/>
    <w:rsid w:val="003A1184"/>
    <w:rsid w:val="003A5E9A"/>
    <w:rsid w:val="003A70B4"/>
    <w:rsid w:val="003C0475"/>
    <w:rsid w:val="003E1B7D"/>
    <w:rsid w:val="003F5722"/>
    <w:rsid w:val="00407665"/>
    <w:rsid w:val="00421D3F"/>
    <w:rsid w:val="00433B40"/>
    <w:rsid w:val="00444040"/>
    <w:rsid w:val="00464D9A"/>
    <w:rsid w:val="0047499E"/>
    <w:rsid w:val="004756D6"/>
    <w:rsid w:val="0047695F"/>
    <w:rsid w:val="004B32A2"/>
    <w:rsid w:val="004C07BB"/>
    <w:rsid w:val="004C3487"/>
    <w:rsid w:val="004F1FDC"/>
    <w:rsid w:val="004F254B"/>
    <w:rsid w:val="004F2EC5"/>
    <w:rsid w:val="005016E6"/>
    <w:rsid w:val="00524AB7"/>
    <w:rsid w:val="00540599"/>
    <w:rsid w:val="005534BF"/>
    <w:rsid w:val="00556BF5"/>
    <w:rsid w:val="00580502"/>
    <w:rsid w:val="005816C2"/>
    <w:rsid w:val="005A64BA"/>
    <w:rsid w:val="005B377A"/>
    <w:rsid w:val="005C15EF"/>
    <w:rsid w:val="005E0322"/>
    <w:rsid w:val="005E0B36"/>
    <w:rsid w:val="005F3B9A"/>
    <w:rsid w:val="00600955"/>
    <w:rsid w:val="0061368D"/>
    <w:rsid w:val="006601E2"/>
    <w:rsid w:val="006623CD"/>
    <w:rsid w:val="00665C47"/>
    <w:rsid w:val="00665D88"/>
    <w:rsid w:val="006662E7"/>
    <w:rsid w:val="0067205E"/>
    <w:rsid w:val="0068065B"/>
    <w:rsid w:val="006806DF"/>
    <w:rsid w:val="00681CC1"/>
    <w:rsid w:val="0068511E"/>
    <w:rsid w:val="006B3E5E"/>
    <w:rsid w:val="006C5D52"/>
    <w:rsid w:val="006C7393"/>
    <w:rsid w:val="006C7678"/>
    <w:rsid w:val="006D0B41"/>
    <w:rsid w:val="006E6A59"/>
    <w:rsid w:val="006F084B"/>
    <w:rsid w:val="006F702E"/>
    <w:rsid w:val="0071617A"/>
    <w:rsid w:val="00735378"/>
    <w:rsid w:val="0076747F"/>
    <w:rsid w:val="007845D7"/>
    <w:rsid w:val="007A38FA"/>
    <w:rsid w:val="007F564D"/>
    <w:rsid w:val="007F5FDF"/>
    <w:rsid w:val="007F7988"/>
    <w:rsid w:val="00802290"/>
    <w:rsid w:val="00804228"/>
    <w:rsid w:val="00811D74"/>
    <w:rsid w:val="008172B3"/>
    <w:rsid w:val="008407B9"/>
    <w:rsid w:val="00841B62"/>
    <w:rsid w:val="00842C1A"/>
    <w:rsid w:val="00843486"/>
    <w:rsid w:val="00845600"/>
    <w:rsid w:val="0085283F"/>
    <w:rsid w:val="00856185"/>
    <w:rsid w:val="00856D91"/>
    <w:rsid w:val="00857EAD"/>
    <w:rsid w:val="00863AA4"/>
    <w:rsid w:val="008744A2"/>
    <w:rsid w:val="00876DCA"/>
    <w:rsid w:val="00881D79"/>
    <w:rsid w:val="00890D1E"/>
    <w:rsid w:val="008B113E"/>
    <w:rsid w:val="008B2C10"/>
    <w:rsid w:val="008D21EE"/>
    <w:rsid w:val="008D5407"/>
    <w:rsid w:val="008E2945"/>
    <w:rsid w:val="008E3420"/>
    <w:rsid w:val="008E44C7"/>
    <w:rsid w:val="008F7CC4"/>
    <w:rsid w:val="00912D82"/>
    <w:rsid w:val="00917D37"/>
    <w:rsid w:val="009372CB"/>
    <w:rsid w:val="00950A89"/>
    <w:rsid w:val="00956E04"/>
    <w:rsid w:val="00961CDF"/>
    <w:rsid w:val="00967724"/>
    <w:rsid w:val="00977F48"/>
    <w:rsid w:val="009806EC"/>
    <w:rsid w:val="00984D24"/>
    <w:rsid w:val="009972AE"/>
    <w:rsid w:val="009A32F2"/>
    <w:rsid w:val="009B4455"/>
    <w:rsid w:val="009B7C19"/>
    <w:rsid w:val="009D156B"/>
    <w:rsid w:val="009F2A2A"/>
    <w:rsid w:val="00A10140"/>
    <w:rsid w:val="00A11F19"/>
    <w:rsid w:val="00A229A2"/>
    <w:rsid w:val="00A24CAD"/>
    <w:rsid w:val="00A25D94"/>
    <w:rsid w:val="00A31993"/>
    <w:rsid w:val="00A35054"/>
    <w:rsid w:val="00A447EC"/>
    <w:rsid w:val="00A52155"/>
    <w:rsid w:val="00A72068"/>
    <w:rsid w:val="00A7275F"/>
    <w:rsid w:val="00A73A6B"/>
    <w:rsid w:val="00A74240"/>
    <w:rsid w:val="00A81B28"/>
    <w:rsid w:val="00AA038F"/>
    <w:rsid w:val="00AA27AE"/>
    <w:rsid w:val="00AB34E3"/>
    <w:rsid w:val="00AD5A9D"/>
    <w:rsid w:val="00AF082B"/>
    <w:rsid w:val="00B042B6"/>
    <w:rsid w:val="00B175AF"/>
    <w:rsid w:val="00B2151C"/>
    <w:rsid w:val="00B21E6D"/>
    <w:rsid w:val="00B52D6D"/>
    <w:rsid w:val="00B66A60"/>
    <w:rsid w:val="00B867CD"/>
    <w:rsid w:val="00BA14F9"/>
    <w:rsid w:val="00BB3C1F"/>
    <w:rsid w:val="00BD0E8A"/>
    <w:rsid w:val="00BD5DEA"/>
    <w:rsid w:val="00BE1241"/>
    <w:rsid w:val="00C15F4F"/>
    <w:rsid w:val="00C17004"/>
    <w:rsid w:val="00C376BF"/>
    <w:rsid w:val="00C43DDE"/>
    <w:rsid w:val="00C52FBA"/>
    <w:rsid w:val="00C554D2"/>
    <w:rsid w:val="00C666AC"/>
    <w:rsid w:val="00C80A1F"/>
    <w:rsid w:val="00C86BAA"/>
    <w:rsid w:val="00C87D87"/>
    <w:rsid w:val="00CA6CAD"/>
    <w:rsid w:val="00CC739B"/>
    <w:rsid w:val="00CF4527"/>
    <w:rsid w:val="00D03D96"/>
    <w:rsid w:val="00D1642C"/>
    <w:rsid w:val="00D21F61"/>
    <w:rsid w:val="00D241A0"/>
    <w:rsid w:val="00D466B6"/>
    <w:rsid w:val="00D4731C"/>
    <w:rsid w:val="00D54414"/>
    <w:rsid w:val="00D55239"/>
    <w:rsid w:val="00D5654A"/>
    <w:rsid w:val="00D900E1"/>
    <w:rsid w:val="00DA1693"/>
    <w:rsid w:val="00DB1307"/>
    <w:rsid w:val="00DB5EB8"/>
    <w:rsid w:val="00DB6480"/>
    <w:rsid w:val="00DB7903"/>
    <w:rsid w:val="00DE4273"/>
    <w:rsid w:val="00DE4A69"/>
    <w:rsid w:val="00DE5954"/>
    <w:rsid w:val="00DE6FC8"/>
    <w:rsid w:val="00DF66D3"/>
    <w:rsid w:val="00E10E97"/>
    <w:rsid w:val="00E17D29"/>
    <w:rsid w:val="00E35074"/>
    <w:rsid w:val="00E4272F"/>
    <w:rsid w:val="00E472E8"/>
    <w:rsid w:val="00E475B0"/>
    <w:rsid w:val="00E540CE"/>
    <w:rsid w:val="00E80315"/>
    <w:rsid w:val="00EB1B2B"/>
    <w:rsid w:val="00EB3A8F"/>
    <w:rsid w:val="00EC08BA"/>
    <w:rsid w:val="00EE3C80"/>
    <w:rsid w:val="00EE6626"/>
    <w:rsid w:val="00EE7159"/>
    <w:rsid w:val="00F01ECB"/>
    <w:rsid w:val="00F0725D"/>
    <w:rsid w:val="00F078FE"/>
    <w:rsid w:val="00F321BC"/>
    <w:rsid w:val="00F40901"/>
    <w:rsid w:val="00F43CBF"/>
    <w:rsid w:val="00F57720"/>
    <w:rsid w:val="00F665C2"/>
    <w:rsid w:val="00F7289C"/>
    <w:rsid w:val="00F8179F"/>
    <w:rsid w:val="00F91A0D"/>
    <w:rsid w:val="00FD4634"/>
    <w:rsid w:val="00FE7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737E864C"/>
  <w15:docId w15:val="{C619FB46-8107-48A4-8CB8-2634AA6C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466B6"/>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1642C"/>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D900E1"/>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C87D87"/>
    <w:pPr>
      <w:keepNext/>
      <w:keepLines/>
      <w:spacing w:before="20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D466B6"/>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466B6"/>
    <w:rPr>
      <w:rFonts w:ascii="Calibri" w:eastAsia="Times New Roman" w:hAnsi="Calibri" w:cs="Arial"/>
      <w:bCs/>
      <w:iCs/>
      <w:sz w:val="28"/>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1642C"/>
    <w:rPr>
      <w:rFonts w:eastAsiaTheme="minorEastAsia" w:cstheme="minorHAnsi"/>
      <w:b/>
      <w:iCs/>
      <w:noProof/>
    </w:rPr>
  </w:style>
  <w:style w:type="character" w:customStyle="1" w:styleId="Heading5Char">
    <w:name w:val="Heading 5 Char"/>
    <w:basedOn w:val="DefaultParagraphFont"/>
    <w:link w:val="Heading5"/>
    <w:uiPriority w:val="99"/>
    <w:rsid w:val="00D900E1"/>
    <w:rPr>
      <w:rFonts w:ascii="Calibri" w:eastAsia="Times New Roman" w:hAnsi="Calibri" w:cs="Times New Roman"/>
      <w:b/>
      <w:sz w:val="20"/>
    </w:rPr>
  </w:style>
  <w:style w:type="character" w:customStyle="1" w:styleId="Heading6Char">
    <w:name w:val="Heading 6 Char"/>
    <w:basedOn w:val="DefaultParagraphFont"/>
    <w:link w:val="Heading6"/>
    <w:uiPriority w:val="99"/>
    <w:rsid w:val="00C87D87"/>
    <w:rPr>
      <w:rFonts w:eastAsiaTheme="majorEastAsia" w:cs="Times New Roman"/>
      <w:b/>
      <w:smallCaps/>
      <w:sz w:val="20"/>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rsid w:val="00D466B6"/>
  </w:style>
  <w:style w:type="character" w:customStyle="1" w:styleId="CommentTextChar">
    <w:name w:val="Comment Text Char"/>
    <w:basedOn w:val="DefaultParagraphFont"/>
    <w:link w:val="CommentText"/>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10"/>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10"/>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D466B6"/>
    <w:rPr>
      <w:b/>
      <w:bCs/>
    </w:rPr>
  </w:style>
  <w:style w:type="paragraph" w:customStyle="1" w:styleId="TableText">
    <w:name w:val="Table Text"/>
    <w:basedOn w:val="Normal"/>
    <w:autoRedefine/>
    <w:qFormat/>
    <w:rsid w:val="00D466B6"/>
    <w:pPr>
      <w:spacing w:after="0"/>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3A5E9A"/>
    <w:pPr>
      <w:pBdr>
        <w:bottom w:val="none" w:sz="0" w:space="0" w:color="auto"/>
      </w:pBdr>
      <w:spacing w:after="120"/>
      <w:jc w:val="center"/>
    </w:pPr>
    <w:rPr>
      <w:rFonts w:asciiTheme="minorHAnsi" w:hAnsiTheme="minorHAnsi" w:cstheme="minorHAnsi"/>
      <w:b/>
      <w:sz w:val="24"/>
      <w:szCs w:val="24"/>
    </w:rPr>
  </w:style>
  <w:style w:type="character" w:customStyle="1" w:styleId="CaptionsChar">
    <w:name w:val="Captions Char"/>
    <w:basedOn w:val="TitleChar"/>
    <w:link w:val="Captions"/>
    <w:rsid w:val="003A5E9A"/>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E472E8"/>
    <w:pPr>
      <w:keepNext/>
    </w:pPr>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 w:type="paragraph" w:customStyle="1" w:styleId="h5">
    <w:name w:val="h5"/>
    <w:basedOn w:val="Normal"/>
    <w:rsid w:val="001E6327"/>
    <w:pPr>
      <w:widowControl/>
      <w:spacing w:before="100" w:beforeAutospacing="1" w:after="100" w:afterAutospacing="1"/>
      <w:jc w:val="left"/>
    </w:pPr>
    <w:rPr>
      <w:rFonts w:ascii="Times New Roman" w:hAnsi="Times New Roman"/>
      <w:sz w:val="24"/>
      <w:szCs w:val="24"/>
    </w:rPr>
  </w:style>
  <w:style w:type="paragraph" w:styleId="Revision">
    <w:name w:val="Revision"/>
    <w:hidden/>
    <w:uiPriority w:val="99"/>
    <w:semiHidden/>
    <w:rsid w:val="00857EAD"/>
    <w:pPr>
      <w:spacing w:after="0" w:line="240" w:lineRule="auto"/>
    </w:pPr>
    <w:rPr>
      <w:rFonts w:eastAsia="Times New Roman" w:cs="Times New Roman"/>
      <w:sz w:val="20"/>
    </w:rPr>
  </w:style>
  <w:style w:type="character" w:customStyle="1" w:styleId="CommentSubjectChar1">
    <w:name w:val="Comment Subject Char1"/>
    <w:basedOn w:val="CommentTextChar"/>
    <w:uiPriority w:val="99"/>
    <w:semiHidden/>
    <w:rsid w:val="00857EAD"/>
    <w:rPr>
      <w:rFonts w:eastAsia="Times New Roman" w:cs="Times New Roman"/>
      <w:b/>
      <w:bCs/>
      <w:sz w:val="20"/>
    </w:rPr>
  </w:style>
  <w:style w:type="character" w:customStyle="1" w:styleId="MacroTextChar1">
    <w:name w:val="Macro Text Char1"/>
    <w:basedOn w:val="DefaultParagraphFont"/>
    <w:uiPriority w:val="99"/>
    <w:semiHidden/>
    <w:rsid w:val="00857EAD"/>
    <w:rPr>
      <w:rFonts w:ascii="Consolas" w:eastAsia="Times New Roman" w:hAnsi="Consolas" w:cs="Consolas"/>
      <w:sz w:val="20"/>
      <w:szCs w:val="20"/>
    </w:rPr>
  </w:style>
  <w:style w:type="character" w:customStyle="1" w:styleId="DocumentMapChar1">
    <w:name w:val="Document Map Char1"/>
    <w:basedOn w:val="DefaultParagraphFont"/>
    <w:uiPriority w:val="99"/>
    <w:semiHidden/>
    <w:rsid w:val="00857EAD"/>
    <w:rPr>
      <w:rFonts w:ascii="Tahoma" w:eastAsia="Times New Roman" w:hAnsi="Tahoma" w:cs="Tahoma"/>
      <w:sz w:val="16"/>
      <w:szCs w:val="16"/>
    </w:rPr>
  </w:style>
  <w:style w:type="table" w:customStyle="1" w:styleId="TableGrid2">
    <w:name w:val="Table Grid2"/>
    <w:basedOn w:val="TableNormal"/>
    <w:next w:val="TableGrid"/>
    <w:uiPriority w:val="59"/>
    <w:rsid w:val="00857E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857EAD"/>
    <w:rPr>
      <w:vertAlign w:val="superscript"/>
    </w:rPr>
  </w:style>
  <w:style w:type="character" w:styleId="Emphasis">
    <w:name w:val="Emphasis"/>
    <w:basedOn w:val="DefaultParagraphFont"/>
    <w:uiPriority w:val="20"/>
    <w:qFormat/>
    <w:rsid w:val="00857E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27094">
      <w:bodyDiv w:val="1"/>
      <w:marLeft w:val="0"/>
      <w:marRight w:val="0"/>
      <w:marTop w:val="0"/>
      <w:marBottom w:val="0"/>
      <w:divBdr>
        <w:top w:val="none" w:sz="0" w:space="0" w:color="auto"/>
        <w:left w:val="none" w:sz="0" w:space="0" w:color="auto"/>
        <w:bottom w:val="none" w:sz="0" w:space="0" w:color="auto"/>
        <w:right w:val="none" w:sz="0" w:space="0" w:color="auto"/>
      </w:divBdr>
    </w:div>
    <w:div w:id="272590167">
      <w:bodyDiv w:val="1"/>
      <w:marLeft w:val="0"/>
      <w:marRight w:val="0"/>
      <w:marTop w:val="0"/>
      <w:marBottom w:val="0"/>
      <w:divBdr>
        <w:top w:val="none" w:sz="0" w:space="0" w:color="auto"/>
        <w:left w:val="none" w:sz="0" w:space="0" w:color="auto"/>
        <w:bottom w:val="none" w:sz="0" w:space="0" w:color="auto"/>
        <w:right w:val="none" w:sz="0" w:space="0" w:color="auto"/>
      </w:divBdr>
    </w:div>
    <w:div w:id="316763068">
      <w:bodyDiv w:val="1"/>
      <w:marLeft w:val="0"/>
      <w:marRight w:val="0"/>
      <w:marTop w:val="0"/>
      <w:marBottom w:val="0"/>
      <w:divBdr>
        <w:top w:val="none" w:sz="0" w:space="0" w:color="auto"/>
        <w:left w:val="none" w:sz="0" w:space="0" w:color="auto"/>
        <w:bottom w:val="none" w:sz="0" w:space="0" w:color="auto"/>
        <w:right w:val="none" w:sz="0" w:space="0" w:color="auto"/>
      </w:divBdr>
    </w:div>
    <w:div w:id="1359433159">
      <w:bodyDiv w:val="1"/>
      <w:marLeft w:val="0"/>
      <w:marRight w:val="0"/>
      <w:marTop w:val="0"/>
      <w:marBottom w:val="0"/>
      <w:divBdr>
        <w:top w:val="none" w:sz="0" w:space="0" w:color="auto"/>
        <w:left w:val="none" w:sz="0" w:space="0" w:color="auto"/>
        <w:bottom w:val="none" w:sz="0" w:space="0" w:color="auto"/>
        <w:right w:val="none" w:sz="0" w:space="0" w:color="auto"/>
      </w:divBdr>
    </w:div>
    <w:div w:id="1558663225">
      <w:bodyDiv w:val="1"/>
      <w:marLeft w:val="0"/>
      <w:marRight w:val="0"/>
      <w:marTop w:val="0"/>
      <w:marBottom w:val="0"/>
      <w:divBdr>
        <w:top w:val="none" w:sz="0" w:space="0" w:color="auto"/>
        <w:left w:val="none" w:sz="0" w:space="0" w:color="auto"/>
        <w:bottom w:val="none" w:sz="0" w:space="0" w:color="auto"/>
        <w:right w:val="none" w:sz="0" w:space="0" w:color="auto"/>
      </w:divBdr>
    </w:div>
    <w:div w:id="1727071848">
      <w:bodyDiv w:val="1"/>
      <w:marLeft w:val="0"/>
      <w:marRight w:val="0"/>
      <w:marTop w:val="0"/>
      <w:marBottom w:val="0"/>
      <w:divBdr>
        <w:top w:val="none" w:sz="0" w:space="0" w:color="auto"/>
        <w:left w:val="none" w:sz="0" w:space="0" w:color="auto"/>
        <w:bottom w:val="none" w:sz="0" w:space="0" w:color="auto"/>
        <w:right w:val="none" w:sz="0" w:space="0" w:color="auto"/>
      </w:divBdr>
    </w:div>
    <w:div w:id="1840195187">
      <w:bodyDiv w:val="1"/>
      <w:marLeft w:val="0"/>
      <w:marRight w:val="0"/>
      <w:marTop w:val="0"/>
      <w:marBottom w:val="0"/>
      <w:divBdr>
        <w:top w:val="none" w:sz="0" w:space="0" w:color="auto"/>
        <w:left w:val="none" w:sz="0" w:space="0" w:color="auto"/>
        <w:bottom w:val="none" w:sz="0" w:space="0" w:color="auto"/>
        <w:right w:val="none" w:sz="0" w:space="0" w:color="auto"/>
      </w:divBdr>
    </w:div>
    <w:div w:id="1947729973">
      <w:bodyDiv w:val="1"/>
      <w:marLeft w:val="0"/>
      <w:marRight w:val="0"/>
      <w:marTop w:val="0"/>
      <w:marBottom w:val="0"/>
      <w:divBdr>
        <w:top w:val="none" w:sz="0" w:space="0" w:color="auto"/>
        <w:left w:val="none" w:sz="0" w:space="0" w:color="auto"/>
        <w:bottom w:val="none" w:sz="0" w:space="0" w:color="auto"/>
        <w:right w:val="none" w:sz="0" w:space="0" w:color="auto"/>
      </w:divBdr>
      <w:divsChild>
        <w:div w:id="1831749136">
          <w:marLeft w:val="0"/>
          <w:marRight w:val="0"/>
          <w:marTop w:val="120"/>
          <w:marBottom w:val="120"/>
          <w:divBdr>
            <w:top w:val="none" w:sz="0" w:space="0" w:color="auto"/>
            <w:left w:val="none" w:sz="0" w:space="0" w:color="auto"/>
            <w:bottom w:val="none" w:sz="0" w:space="0" w:color="auto"/>
            <w:right w:val="none" w:sz="0" w:space="0" w:color="auto"/>
          </w:divBdr>
          <w:divsChild>
            <w:div w:id="1598441340">
              <w:marLeft w:val="0"/>
              <w:marRight w:val="0"/>
              <w:marTop w:val="0"/>
              <w:marBottom w:val="0"/>
              <w:divBdr>
                <w:top w:val="none" w:sz="0" w:space="0" w:color="auto"/>
                <w:left w:val="none" w:sz="0" w:space="0" w:color="auto"/>
                <w:bottom w:val="none" w:sz="0" w:space="0" w:color="auto"/>
                <w:right w:val="none" w:sz="0" w:space="0" w:color="auto"/>
              </w:divBdr>
            </w:div>
            <w:div w:id="240408054">
              <w:marLeft w:val="0"/>
              <w:marRight w:val="0"/>
              <w:marTop w:val="0"/>
              <w:marBottom w:val="0"/>
              <w:divBdr>
                <w:top w:val="none" w:sz="0" w:space="0" w:color="auto"/>
                <w:left w:val="none" w:sz="0" w:space="0" w:color="auto"/>
                <w:bottom w:val="none" w:sz="0" w:space="0" w:color="auto"/>
                <w:right w:val="none" w:sz="0" w:space="0" w:color="auto"/>
              </w:divBdr>
            </w:div>
          </w:divsChild>
        </w:div>
        <w:div w:id="1891065367">
          <w:marLeft w:val="0"/>
          <w:marRight w:val="0"/>
          <w:marTop w:val="120"/>
          <w:marBottom w:val="120"/>
          <w:divBdr>
            <w:top w:val="none" w:sz="0" w:space="0" w:color="auto"/>
            <w:left w:val="none" w:sz="0" w:space="0" w:color="auto"/>
            <w:bottom w:val="none" w:sz="0" w:space="0" w:color="auto"/>
            <w:right w:val="none" w:sz="0" w:space="0" w:color="auto"/>
          </w:divBdr>
          <w:divsChild>
            <w:div w:id="1949657609">
              <w:marLeft w:val="288"/>
              <w:marRight w:val="0"/>
              <w:marTop w:val="0"/>
              <w:marBottom w:val="0"/>
              <w:divBdr>
                <w:top w:val="none" w:sz="0" w:space="0" w:color="auto"/>
                <w:left w:val="none" w:sz="0" w:space="0" w:color="auto"/>
                <w:bottom w:val="none" w:sz="0" w:space="0" w:color="auto"/>
                <w:right w:val="none" w:sz="0" w:space="0" w:color="auto"/>
              </w:divBdr>
            </w:div>
          </w:divsChild>
        </w:div>
        <w:div w:id="1357922639">
          <w:marLeft w:val="0"/>
          <w:marRight w:val="0"/>
          <w:marTop w:val="120"/>
          <w:marBottom w:val="120"/>
          <w:divBdr>
            <w:top w:val="none" w:sz="0" w:space="0" w:color="auto"/>
            <w:left w:val="none" w:sz="0" w:space="0" w:color="auto"/>
            <w:bottom w:val="none" w:sz="0" w:space="0" w:color="auto"/>
            <w:right w:val="none" w:sz="0" w:space="0" w:color="auto"/>
          </w:divBdr>
          <w:divsChild>
            <w:div w:id="1139998856">
              <w:marLeft w:val="0"/>
              <w:marRight w:val="0"/>
              <w:marTop w:val="0"/>
              <w:marBottom w:val="0"/>
              <w:divBdr>
                <w:top w:val="none" w:sz="0" w:space="0" w:color="auto"/>
                <w:left w:val="none" w:sz="0" w:space="0" w:color="auto"/>
                <w:bottom w:val="none" w:sz="0" w:space="0" w:color="auto"/>
                <w:right w:val="none" w:sz="0" w:space="0" w:color="auto"/>
              </w:divBdr>
            </w:div>
            <w:div w:id="2019694649">
              <w:marLeft w:val="0"/>
              <w:marRight w:val="0"/>
              <w:marTop w:val="0"/>
              <w:marBottom w:val="0"/>
              <w:divBdr>
                <w:top w:val="none" w:sz="0" w:space="0" w:color="auto"/>
                <w:left w:val="none" w:sz="0" w:space="0" w:color="auto"/>
                <w:bottom w:val="none" w:sz="0" w:space="0" w:color="auto"/>
                <w:right w:val="none" w:sz="0" w:space="0" w:color="auto"/>
              </w:divBdr>
            </w:div>
          </w:divsChild>
        </w:div>
        <w:div w:id="1606422975">
          <w:marLeft w:val="0"/>
          <w:marRight w:val="0"/>
          <w:marTop w:val="120"/>
          <w:marBottom w:val="120"/>
          <w:divBdr>
            <w:top w:val="none" w:sz="0" w:space="0" w:color="auto"/>
            <w:left w:val="none" w:sz="0" w:space="0" w:color="auto"/>
            <w:bottom w:val="none" w:sz="0" w:space="0" w:color="auto"/>
            <w:right w:val="none" w:sz="0" w:space="0" w:color="auto"/>
          </w:divBdr>
          <w:divsChild>
            <w:div w:id="42533390">
              <w:marLeft w:val="288"/>
              <w:marRight w:val="0"/>
              <w:marTop w:val="0"/>
              <w:marBottom w:val="0"/>
              <w:divBdr>
                <w:top w:val="none" w:sz="0" w:space="0" w:color="auto"/>
                <w:left w:val="none" w:sz="0" w:space="0" w:color="auto"/>
                <w:bottom w:val="none" w:sz="0" w:space="0" w:color="auto"/>
                <w:right w:val="none" w:sz="0" w:space="0" w:color="auto"/>
              </w:divBdr>
            </w:div>
          </w:divsChild>
        </w:div>
        <w:div w:id="1517689725">
          <w:marLeft w:val="0"/>
          <w:marRight w:val="0"/>
          <w:marTop w:val="120"/>
          <w:marBottom w:val="120"/>
          <w:divBdr>
            <w:top w:val="none" w:sz="0" w:space="0" w:color="auto"/>
            <w:left w:val="none" w:sz="0" w:space="0" w:color="auto"/>
            <w:bottom w:val="none" w:sz="0" w:space="0" w:color="auto"/>
            <w:right w:val="none" w:sz="0" w:space="0" w:color="auto"/>
          </w:divBdr>
          <w:divsChild>
            <w:div w:id="1559244322">
              <w:marLeft w:val="0"/>
              <w:marRight w:val="0"/>
              <w:marTop w:val="0"/>
              <w:marBottom w:val="0"/>
              <w:divBdr>
                <w:top w:val="none" w:sz="0" w:space="0" w:color="auto"/>
                <w:left w:val="none" w:sz="0" w:space="0" w:color="auto"/>
                <w:bottom w:val="none" w:sz="0" w:space="0" w:color="auto"/>
                <w:right w:val="none" w:sz="0" w:space="0" w:color="auto"/>
              </w:divBdr>
            </w:div>
            <w:div w:id="1645044195">
              <w:marLeft w:val="0"/>
              <w:marRight w:val="0"/>
              <w:marTop w:val="0"/>
              <w:marBottom w:val="0"/>
              <w:divBdr>
                <w:top w:val="none" w:sz="0" w:space="0" w:color="auto"/>
                <w:left w:val="none" w:sz="0" w:space="0" w:color="auto"/>
                <w:bottom w:val="none" w:sz="0" w:space="0" w:color="auto"/>
                <w:right w:val="none" w:sz="0" w:space="0" w:color="auto"/>
              </w:divBdr>
            </w:div>
          </w:divsChild>
        </w:div>
        <w:div w:id="1012882232">
          <w:marLeft w:val="0"/>
          <w:marRight w:val="0"/>
          <w:marTop w:val="120"/>
          <w:marBottom w:val="120"/>
          <w:divBdr>
            <w:top w:val="none" w:sz="0" w:space="0" w:color="auto"/>
            <w:left w:val="none" w:sz="0" w:space="0" w:color="auto"/>
            <w:bottom w:val="none" w:sz="0" w:space="0" w:color="auto"/>
            <w:right w:val="none" w:sz="0" w:space="0" w:color="auto"/>
          </w:divBdr>
          <w:divsChild>
            <w:div w:id="268779839">
              <w:marLeft w:val="0"/>
              <w:marRight w:val="0"/>
              <w:marTop w:val="0"/>
              <w:marBottom w:val="0"/>
              <w:divBdr>
                <w:top w:val="none" w:sz="0" w:space="0" w:color="auto"/>
                <w:left w:val="none" w:sz="0" w:space="0" w:color="auto"/>
                <w:bottom w:val="none" w:sz="0" w:space="0" w:color="auto"/>
                <w:right w:val="none" w:sz="0" w:space="0" w:color="auto"/>
              </w:divBdr>
            </w:div>
            <w:div w:id="506142116">
              <w:marLeft w:val="0"/>
              <w:marRight w:val="0"/>
              <w:marTop w:val="0"/>
              <w:marBottom w:val="0"/>
              <w:divBdr>
                <w:top w:val="none" w:sz="0" w:space="0" w:color="auto"/>
                <w:left w:val="none" w:sz="0" w:space="0" w:color="auto"/>
                <w:bottom w:val="none" w:sz="0" w:space="0" w:color="auto"/>
                <w:right w:val="none" w:sz="0" w:space="0" w:color="auto"/>
              </w:divBdr>
            </w:div>
          </w:divsChild>
        </w:div>
        <w:div w:id="623123109">
          <w:marLeft w:val="0"/>
          <w:marRight w:val="0"/>
          <w:marTop w:val="120"/>
          <w:marBottom w:val="120"/>
          <w:divBdr>
            <w:top w:val="none" w:sz="0" w:space="0" w:color="auto"/>
            <w:left w:val="none" w:sz="0" w:space="0" w:color="auto"/>
            <w:bottom w:val="none" w:sz="0" w:space="0" w:color="auto"/>
            <w:right w:val="none" w:sz="0" w:space="0" w:color="auto"/>
          </w:divBdr>
          <w:divsChild>
            <w:div w:id="483161421">
              <w:marLeft w:val="288"/>
              <w:marRight w:val="0"/>
              <w:marTop w:val="0"/>
              <w:marBottom w:val="0"/>
              <w:divBdr>
                <w:top w:val="none" w:sz="0" w:space="0" w:color="auto"/>
                <w:left w:val="none" w:sz="0" w:space="0" w:color="auto"/>
                <w:bottom w:val="none" w:sz="0" w:space="0" w:color="auto"/>
                <w:right w:val="none" w:sz="0" w:space="0" w:color="auto"/>
              </w:divBdr>
            </w:div>
          </w:divsChild>
        </w:div>
        <w:div w:id="1773932306">
          <w:marLeft w:val="0"/>
          <w:marRight w:val="0"/>
          <w:marTop w:val="120"/>
          <w:marBottom w:val="120"/>
          <w:divBdr>
            <w:top w:val="none" w:sz="0" w:space="0" w:color="auto"/>
            <w:left w:val="none" w:sz="0" w:space="0" w:color="auto"/>
            <w:bottom w:val="none" w:sz="0" w:space="0" w:color="auto"/>
            <w:right w:val="none" w:sz="0" w:space="0" w:color="auto"/>
          </w:divBdr>
          <w:divsChild>
            <w:div w:id="1155608629">
              <w:marLeft w:val="0"/>
              <w:marRight w:val="0"/>
              <w:marTop w:val="0"/>
              <w:marBottom w:val="0"/>
              <w:divBdr>
                <w:top w:val="none" w:sz="0" w:space="0" w:color="auto"/>
                <w:left w:val="none" w:sz="0" w:space="0" w:color="auto"/>
                <w:bottom w:val="none" w:sz="0" w:space="0" w:color="auto"/>
                <w:right w:val="none" w:sz="0" w:space="0" w:color="auto"/>
              </w:divBdr>
            </w:div>
            <w:div w:id="1691562444">
              <w:marLeft w:val="0"/>
              <w:marRight w:val="0"/>
              <w:marTop w:val="0"/>
              <w:marBottom w:val="0"/>
              <w:divBdr>
                <w:top w:val="none" w:sz="0" w:space="0" w:color="auto"/>
                <w:left w:val="none" w:sz="0" w:space="0" w:color="auto"/>
                <w:bottom w:val="none" w:sz="0" w:space="0" w:color="auto"/>
                <w:right w:val="none" w:sz="0" w:space="0" w:color="auto"/>
              </w:divBdr>
            </w:div>
          </w:divsChild>
        </w:div>
        <w:div w:id="1014310409">
          <w:marLeft w:val="0"/>
          <w:marRight w:val="0"/>
          <w:marTop w:val="120"/>
          <w:marBottom w:val="120"/>
          <w:divBdr>
            <w:top w:val="none" w:sz="0" w:space="0" w:color="auto"/>
            <w:left w:val="none" w:sz="0" w:space="0" w:color="auto"/>
            <w:bottom w:val="none" w:sz="0" w:space="0" w:color="auto"/>
            <w:right w:val="none" w:sz="0" w:space="0" w:color="auto"/>
          </w:divBdr>
          <w:divsChild>
            <w:div w:id="591938773">
              <w:marLeft w:val="288"/>
              <w:marRight w:val="0"/>
              <w:marTop w:val="0"/>
              <w:marBottom w:val="0"/>
              <w:divBdr>
                <w:top w:val="none" w:sz="0" w:space="0" w:color="auto"/>
                <w:left w:val="none" w:sz="0" w:space="0" w:color="auto"/>
                <w:bottom w:val="none" w:sz="0" w:space="0" w:color="auto"/>
                <w:right w:val="none" w:sz="0" w:space="0" w:color="auto"/>
              </w:divBdr>
            </w:div>
          </w:divsChild>
        </w:div>
        <w:div w:id="1936673566">
          <w:marLeft w:val="0"/>
          <w:marRight w:val="0"/>
          <w:marTop w:val="120"/>
          <w:marBottom w:val="120"/>
          <w:divBdr>
            <w:top w:val="none" w:sz="0" w:space="0" w:color="auto"/>
            <w:left w:val="none" w:sz="0" w:space="0" w:color="auto"/>
            <w:bottom w:val="none" w:sz="0" w:space="0" w:color="auto"/>
            <w:right w:val="none" w:sz="0" w:space="0" w:color="auto"/>
          </w:divBdr>
          <w:divsChild>
            <w:div w:id="1270427490">
              <w:marLeft w:val="0"/>
              <w:marRight w:val="0"/>
              <w:marTop w:val="0"/>
              <w:marBottom w:val="0"/>
              <w:divBdr>
                <w:top w:val="none" w:sz="0" w:space="0" w:color="auto"/>
                <w:left w:val="none" w:sz="0" w:space="0" w:color="auto"/>
                <w:bottom w:val="none" w:sz="0" w:space="0" w:color="auto"/>
                <w:right w:val="none" w:sz="0" w:space="0" w:color="auto"/>
              </w:divBdr>
            </w:div>
            <w:div w:id="1250579381">
              <w:marLeft w:val="0"/>
              <w:marRight w:val="0"/>
              <w:marTop w:val="0"/>
              <w:marBottom w:val="0"/>
              <w:divBdr>
                <w:top w:val="none" w:sz="0" w:space="0" w:color="auto"/>
                <w:left w:val="none" w:sz="0" w:space="0" w:color="auto"/>
                <w:bottom w:val="none" w:sz="0" w:space="0" w:color="auto"/>
                <w:right w:val="none" w:sz="0" w:space="0" w:color="auto"/>
              </w:divBdr>
            </w:div>
          </w:divsChild>
        </w:div>
        <w:div w:id="751900578">
          <w:marLeft w:val="0"/>
          <w:marRight w:val="0"/>
          <w:marTop w:val="120"/>
          <w:marBottom w:val="120"/>
          <w:divBdr>
            <w:top w:val="none" w:sz="0" w:space="0" w:color="auto"/>
            <w:left w:val="none" w:sz="0" w:space="0" w:color="auto"/>
            <w:bottom w:val="none" w:sz="0" w:space="0" w:color="auto"/>
            <w:right w:val="none" w:sz="0" w:space="0" w:color="auto"/>
          </w:divBdr>
          <w:divsChild>
            <w:div w:id="1581283554">
              <w:marLeft w:val="288"/>
              <w:marRight w:val="0"/>
              <w:marTop w:val="0"/>
              <w:marBottom w:val="0"/>
              <w:divBdr>
                <w:top w:val="none" w:sz="0" w:space="0" w:color="auto"/>
                <w:left w:val="none" w:sz="0" w:space="0" w:color="auto"/>
                <w:bottom w:val="none" w:sz="0" w:space="0" w:color="auto"/>
                <w:right w:val="none" w:sz="0" w:space="0" w:color="auto"/>
              </w:divBdr>
            </w:div>
          </w:divsChild>
        </w:div>
        <w:div w:id="511844014">
          <w:marLeft w:val="0"/>
          <w:marRight w:val="0"/>
          <w:marTop w:val="120"/>
          <w:marBottom w:val="120"/>
          <w:divBdr>
            <w:top w:val="none" w:sz="0" w:space="0" w:color="auto"/>
            <w:left w:val="none" w:sz="0" w:space="0" w:color="auto"/>
            <w:bottom w:val="none" w:sz="0" w:space="0" w:color="auto"/>
            <w:right w:val="none" w:sz="0" w:space="0" w:color="auto"/>
          </w:divBdr>
          <w:divsChild>
            <w:div w:id="709769713">
              <w:marLeft w:val="0"/>
              <w:marRight w:val="0"/>
              <w:marTop w:val="0"/>
              <w:marBottom w:val="0"/>
              <w:divBdr>
                <w:top w:val="none" w:sz="0" w:space="0" w:color="auto"/>
                <w:left w:val="none" w:sz="0" w:space="0" w:color="auto"/>
                <w:bottom w:val="none" w:sz="0" w:space="0" w:color="auto"/>
                <w:right w:val="none" w:sz="0" w:space="0" w:color="auto"/>
              </w:divBdr>
            </w:div>
            <w:div w:id="1643805762">
              <w:marLeft w:val="0"/>
              <w:marRight w:val="0"/>
              <w:marTop w:val="0"/>
              <w:marBottom w:val="0"/>
              <w:divBdr>
                <w:top w:val="none" w:sz="0" w:space="0" w:color="auto"/>
                <w:left w:val="none" w:sz="0" w:space="0" w:color="auto"/>
                <w:bottom w:val="none" w:sz="0" w:space="0" w:color="auto"/>
                <w:right w:val="none" w:sz="0" w:space="0" w:color="auto"/>
              </w:divBdr>
            </w:div>
          </w:divsChild>
        </w:div>
        <w:div w:id="1702054802">
          <w:marLeft w:val="0"/>
          <w:marRight w:val="0"/>
          <w:marTop w:val="120"/>
          <w:marBottom w:val="120"/>
          <w:divBdr>
            <w:top w:val="none" w:sz="0" w:space="0" w:color="auto"/>
            <w:left w:val="none" w:sz="0" w:space="0" w:color="auto"/>
            <w:bottom w:val="none" w:sz="0" w:space="0" w:color="auto"/>
            <w:right w:val="none" w:sz="0" w:space="0" w:color="auto"/>
          </w:divBdr>
          <w:divsChild>
            <w:div w:id="115608526">
              <w:marLeft w:val="288"/>
              <w:marRight w:val="0"/>
              <w:marTop w:val="0"/>
              <w:marBottom w:val="0"/>
              <w:divBdr>
                <w:top w:val="none" w:sz="0" w:space="0" w:color="auto"/>
                <w:left w:val="none" w:sz="0" w:space="0" w:color="auto"/>
                <w:bottom w:val="none" w:sz="0" w:space="0" w:color="auto"/>
                <w:right w:val="none" w:sz="0" w:space="0" w:color="auto"/>
              </w:divBdr>
            </w:div>
          </w:divsChild>
        </w:div>
        <w:div w:id="1810054793">
          <w:marLeft w:val="0"/>
          <w:marRight w:val="0"/>
          <w:marTop w:val="120"/>
          <w:marBottom w:val="120"/>
          <w:divBdr>
            <w:top w:val="none" w:sz="0" w:space="0" w:color="auto"/>
            <w:left w:val="none" w:sz="0" w:space="0" w:color="auto"/>
            <w:bottom w:val="none" w:sz="0" w:space="0" w:color="auto"/>
            <w:right w:val="none" w:sz="0" w:space="0" w:color="auto"/>
          </w:divBdr>
          <w:divsChild>
            <w:div w:id="825821599">
              <w:marLeft w:val="0"/>
              <w:marRight w:val="0"/>
              <w:marTop w:val="0"/>
              <w:marBottom w:val="0"/>
              <w:divBdr>
                <w:top w:val="none" w:sz="0" w:space="0" w:color="auto"/>
                <w:left w:val="none" w:sz="0" w:space="0" w:color="auto"/>
                <w:bottom w:val="none" w:sz="0" w:space="0" w:color="auto"/>
                <w:right w:val="none" w:sz="0" w:space="0" w:color="auto"/>
              </w:divBdr>
            </w:div>
            <w:div w:id="755595799">
              <w:marLeft w:val="0"/>
              <w:marRight w:val="0"/>
              <w:marTop w:val="0"/>
              <w:marBottom w:val="0"/>
              <w:divBdr>
                <w:top w:val="none" w:sz="0" w:space="0" w:color="auto"/>
                <w:left w:val="none" w:sz="0" w:space="0" w:color="auto"/>
                <w:bottom w:val="none" w:sz="0" w:space="0" w:color="auto"/>
                <w:right w:val="none" w:sz="0" w:space="0" w:color="auto"/>
              </w:divBdr>
            </w:div>
          </w:divsChild>
        </w:div>
        <w:div w:id="444469029">
          <w:marLeft w:val="0"/>
          <w:marRight w:val="0"/>
          <w:marTop w:val="120"/>
          <w:marBottom w:val="120"/>
          <w:divBdr>
            <w:top w:val="none" w:sz="0" w:space="0" w:color="auto"/>
            <w:left w:val="none" w:sz="0" w:space="0" w:color="auto"/>
            <w:bottom w:val="none" w:sz="0" w:space="0" w:color="auto"/>
            <w:right w:val="none" w:sz="0" w:space="0" w:color="auto"/>
          </w:divBdr>
          <w:divsChild>
            <w:div w:id="718632422">
              <w:marLeft w:val="288"/>
              <w:marRight w:val="0"/>
              <w:marTop w:val="0"/>
              <w:marBottom w:val="0"/>
              <w:divBdr>
                <w:top w:val="none" w:sz="0" w:space="0" w:color="auto"/>
                <w:left w:val="none" w:sz="0" w:space="0" w:color="auto"/>
                <w:bottom w:val="none" w:sz="0" w:space="0" w:color="auto"/>
                <w:right w:val="none" w:sz="0" w:space="0" w:color="auto"/>
              </w:divBdr>
            </w:div>
          </w:divsChild>
        </w:div>
        <w:div w:id="511800008">
          <w:marLeft w:val="0"/>
          <w:marRight w:val="0"/>
          <w:marTop w:val="120"/>
          <w:marBottom w:val="120"/>
          <w:divBdr>
            <w:top w:val="none" w:sz="0" w:space="0" w:color="auto"/>
            <w:left w:val="none" w:sz="0" w:space="0" w:color="auto"/>
            <w:bottom w:val="none" w:sz="0" w:space="0" w:color="auto"/>
            <w:right w:val="none" w:sz="0" w:space="0" w:color="auto"/>
          </w:divBdr>
          <w:divsChild>
            <w:div w:id="92629196">
              <w:marLeft w:val="0"/>
              <w:marRight w:val="0"/>
              <w:marTop w:val="0"/>
              <w:marBottom w:val="0"/>
              <w:divBdr>
                <w:top w:val="none" w:sz="0" w:space="0" w:color="auto"/>
                <w:left w:val="none" w:sz="0" w:space="0" w:color="auto"/>
                <w:bottom w:val="none" w:sz="0" w:space="0" w:color="auto"/>
                <w:right w:val="none" w:sz="0" w:space="0" w:color="auto"/>
              </w:divBdr>
            </w:div>
            <w:div w:id="45108986">
              <w:marLeft w:val="0"/>
              <w:marRight w:val="0"/>
              <w:marTop w:val="0"/>
              <w:marBottom w:val="0"/>
              <w:divBdr>
                <w:top w:val="none" w:sz="0" w:space="0" w:color="auto"/>
                <w:left w:val="none" w:sz="0" w:space="0" w:color="auto"/>
                <w:bottom w:val="none" w:sz="0" w:space="0" w:color="auto"/>
                <w:right w:val="none" w:sz="0" w:space="0" w:color="auto"/>
              </w:divBdr>
            </w:div>
            <w:div w:id="2030175453">
              <w:marLeft w:val="0"/>
              <w:marRight w:val="0"/>
              <w:marTop w:val="0"/>
              <w:marBottom w:val="0"/>
              <w:divBdr>
                <w:top w:val="none" w:sz="0" w:space="0" w:color="auto"/>
                <w:left w:val="none" w:sz="0" w:space="0" w:color="auto"/>
                <w:bottom w:val="none" w:sz="0" w:space="0" w:color="auto"/>
                <w:right w:val="none" w:sz="0" w:space="0" w:color="auto"/>
              </w:divBdr>
            </w:div>
            <w:div w:id="653022385">
              <w:marLeft w:val="0"/>
              <w:marRight w:val="0"/>
              <w:marTop w:val="0"/>
              <w:marBottom w:val="0"/>
              <w:divBdr>
                <w:top w:val="none" w:sz="0" w:space="0" w:color="auto"/>
                <w:left w:val="none" w:sz="0" w:space="0" w:color="auto"/>
                <w:bottom w:val="none" w:sz="0" w:space="0" w:color="auto"/>
                <w:right w:val="none" w:sz="0" w:space="0" w:color="auto"/>
              </w:divBdr>
            </w:div>
          </w:divsChild>
        </w:div>
        <w:div w:id="1229540188">
          <w:marLeft w:val="0"/>
          <w:marRight w:val="0"/>
          <w:marTop w:val="120"/>
          <w:marBottom w:val="120"/>
          <w:divBdr>
            <w:top w:val="none" w:sz="0" w:space="0" w:color="auto"/>
            <w:left w:val="none" w:sz="0" w:space="0" w:color="auto"/>
            <w:bottom w:val="none" w:sz="0" w:space="0" w:color="auto"/>
            <w:right w:val="none" w:sz="0" w:space="0" w:color="auto"/>
          </w:divBdr>
          <w:divsChild>
            <w:div w:id="272906840">
              <w:marLeft w:val="288"/>
              <w:marRight w:val="0"/>
              <w:marTop w:val="0"/>
              <w:marBottom w:val="0"/>
              <w:divBdr>
                <w:top w:val="none" w:sz="0" w:space="0" w:color="auto"/>
                <w:left w:val="none" w:sz="0" w:space="0" w:color="auto"/>
                <w:bottom w:val="none" w:sz="0" w:space="0" w:color="auto"/>
                <w:right w:val="none" w:sz="0" w:space="0" w:color="auto"/>
              </w:divBdr>
            </w:div>
            <w:div w:id="1742755071">
              <w:marLeft w:val="288"/>
              <w:marRight w:val="0"/>
              <w:marTop w:val="0"/>
              <w:marBottom w:val="0"/>
              <w:divBdr>
                <w:top w:val="none" w:sz="0" w:space="0" w:color="auto"/>
                <w:left w:val="none" w:sz="0" w:space="0" w:color="auto"/>
                <w:bottom w:val="none" w:sz="0" w:space="0" w:color="auto"/>
                <w:right w:val="none" w:sz="0" w:space="0" w:color="auto"/>
              </w:divBdr>
            </w:div>
          </w:divsChild>
        </w:div>
        <w:div w:id="392197726">
          <w:marLeft w:val="0"/>
          <w:marRight w:val="0"/>
          <w:marTop w:val="120"/>
          <w:marBottom w:val="120"/>
          <w:divBdr>
            <w:top w:val="none" w:sz="0" w:space="0" w:color="auto"/>
            <w:left w:val="none" w:sz="0" w:space="0" w:color="auto"/>
            <w:bottom w:val="none" w:sz="0" w:space="0" w:color="auto"/>
            <w:right w:val="none" w:sz="0" w:space="0" w:color="auto"/>
          </w:divBdr>
          <w:divsChild>
            <w:div w:id="677536377">
              <w:marLeft w:val="0"/>
              <w:marRight w:val="0"/>
              <w:marTop w:val="0"/>
              <w:marBottom w:val="0"/>
              <w:divBdr>
                <w:top w:val="none" w:sz="0" w:space="0" w:color="auto"/>
                <w:left w:val="none" w:sz="0" w:space="0" w:color="auto"/>
                <w:bottom w:val="none" w:sz="0" w:space="0" w:color="auto"/>
                <w:right w:val="none" w:sz="0" w:space="0" w:color="auto"/>
              </w:divBdr>
            </w:div>
            <w:div w:id="1588417472">
              <w:marLeft w:val="0"/>
              <w:marRight w:val="0"/>
              <w:marTop w:val="0"/>
              <w:marBottom w:val="0"/>
              <w:divBdr>
                <w:top w:val="none" w:sz="0" w:space="0" w:color="auto"/>
                <w:left w:val="none" w:sz="0" w:space="0" w:color="auto"/>
                <w:bottom w:val="none" w:sz="0" w:space="0" w:color="auto"/>
                <w:right w:val="none" w:sz="0" w:space="0" w:color="auto"/>
              </w:divBdr>
            </w:div>
          </w:divsChild>
        </w:div>
        <w:div w:id="1082605749">
          <w:marLeft w:val="0"/>
          <w:marRight w:val="0"/>
          <w:marTop w:val="120"/>
          <w:marBottom w:val="120"/>
          <w:divBdr>
            <w:top w:val="none" w:sz="0" w:space="0" w:color="auto"/>
            <w:left w:val="none" w:sz="0" w:space="0" w:color="auto"/>
            <w:bottom w:val="none" w:sz="0" w:space="0" w:color="auto"/>
            <w:right w:val="none" w:sz="0" w:space="0" w:color="auto"/>
          </w:divBdr>
          <w:divsChild>
            <w:div w:id="332152207">
              <w:marLeft w:val="288"/>
              <w:marRight w:val="0"/>
              <w:marTop w:val="0"/>
              <w:marBottom w:val="0"/>
              <w:divBdr>
                <w:top w:val="none" w:sz="0" w:space="0" w:color="auto"/>
                <w:left w:val="none" w:sz="0" w:space="0" w:color="auto"/>
                <w:bottom w:val="none" w:sz="0" w:space="0" w:color="auto"/>
                <w:right w:val="none" w:sz="0" w:space="0" w:color="auto"/>
              </w:divBdr>
            </w:div>
          </w:divsChild>
        </w:div>
        <w:div w:id="935599957">
          <w:marLeft w:val="0"/>
          <w:marRight w:val="0"/>
          <w:marTop w:val="120"/>
          <w:marBottom w:val="120"/>
          <w:divBdr>
            <w:top w:val="none" w:sz="0" w:space="0" w:color="auto"/>
            <w:left w:val="none" w:sz="0" w:space="0" w:color="auto"/>
            <w:bottom w:val="none" w:sz="0" w:space="0" w:color="auto"/>
            <w:right w:val="none" w:sz="0" w:space="0" w:color="auto"/>
          </w:divBdr>
          <w:divsChild>
            <w:div w:id="1799030877">
              <w:marLeft w:val="0"/>
              <w:marRight w:val="0"/>
              <w:marTop w:val="0"/>
              <w:marBottom w:val="0"/>
              <w:divBdr>
                <w:top w:val="none" w:sz="0" w:space="0" w:color="auto"/>
                <w:left w:val="none" w:sz="0" w:space="0" w:color="auto"/>
                <w:bottom w:val="none" w:sz="0" w:space="0" w:color="auto"/>
                <w:right w:val="none" w:sz="0" w:space="0" w:color="auto"/>
              </w:divBdr>
            </w:div>
            <w:div w:id="1483962061">
              <w:marLeft w:val="0"/>
              <w:marRight w:val="0"/>
              <w:marTop w:val="0"/>
              <w:marBottom w:val="0"/>
              <w:divBdr>
                <w:top w:val="none" w:sz="0" w:space="0" w:color="auto"/>
                <w:left w:val="none" w:sz="0" w:space="0" w:color="auto"/>
                <w:bottom w:val="none" w:sz="0" w:space="0" w:color="auto"/>
                <w:right w:val="none" w:sz="0" w:space="0" w:color="auto"/>
              </w:divBdr>
            </w:div>
          </w:divsChild>
        </w:div>
        <w:div w:id="1292638818">
          <w:marLeft w:val="0"/>
          <w:marRight w:val="0"/>
          <w:marTop w:val="120"/>
          <w:marBottom w:val="120"/>
          <w:divBdr>
            <w:top w:val="none" w:sz="0" w:space="0" w:color="auto"/>
            <w:left w:val="none" w:sz="0" w:space="0" w:color="auto"/>
            <w:bottom w:val="none" w:sz="0" w:space="0" w:color="auto"/>
            <w:right w:val="none" w:sz="0" w:space="0" w:color="auto"/>
          </w:divBdr>
          <w:divsChild>
            <w:div w:id="181208453">
              <w:marLeft w:val="288"/>
              <w:marRight w:val="0"/>
              <w:marTop w:val="0"/>
              <w:marBottom w:val="0"/>
              <w:divBdr>
                <w:top w:val="none" w:sz="0" w:space="0" w:color="auto"/>
                <w:left w:val="none" w:sz="0" w:space="0" w:color="auto"/>
                <w:bottom w:val="none" w:sz="0" w:space="0" w:color="auto"/>
                <w:right w:val="none" w:sz="0" w:space="0" w:color="auto"/>
              </w:divBdr>
            </w:div>
          </w:divsChild>
        </w:div>
        <w:div w:id="568423160">
          <w:marLeft w:val="0"/>
          <w:marRight w:val="0"/>
          <w:marTop w:val="120"/>
          <w:marBottom w:val="120"/>
          <w:divBdr>
            <w:top w:val="none" w:sz="0" w:space="0" w:color="auto"/>
            <w:left w:val="none" w:sz="0" w:space="0" w:color="auto"/>
            <w:bottom w:val="none" w:sz="0" w:space="0" w:color="auto"/>
            <w:right w:val="none" w:sz="0" w:space="0" w:color="auto"/>
          </w:divBdr>
          <w:divsChild>
            <w:div w:id="711002698">
              <w:marLeft w:val="0"/>
              <w:marRight w:val="0"/>
              <w:marTop w:val="0"/>
              <w:marBottom w:val="0"/>
              <w:divBdr>
                <w:top w:val="none" w:sz="0" w:space="0" w:color="auto"/>
                <w:left w:val="none" w:sz="0" w:space="0" w:color="auto"/>
                <w:bottom w:val="none" w:sz="0" w:space="0" w:color="auto"/>
                <w:right w:val="none" w:sz="0" w:space="0" w:color="auto"/>
              </w:divBdr>
            </w:div>
            <w:div w:id="1295060511">
              <w:marLeft w:val="0"/>
              <w:marRight w:val="0"/>
              <w:marTop w:val="0"/>
              <w:marBottom w:val="0"/>
              <w:divBdr>
                <w:top w:val="none" w:sz="0" w:space="0" w:color="auto"/>
                <w:left w:val="none" w:sz="0" w:space="0" w:color="auto"/>
                <w:bottom w:val="none" w:sz="0" w:space="0" w:color="auto"/>
                <w:right w:val="none" w:sz="0" w:space="0" w:color="auto"/>
              </w:divBdr>
            </w:div>
            <w:div w:id="1135292585">
              <w:marLeft w:val="0"/>
              <w:marRight w:val="0"/>
              <w:marTop w:val="0"/>
              <w:marBottom w:val="0"/>
              <w:divBdr>
                <w:top w:val="none" w:sz="0" w:space="0" w:color="auto"/>
                <w:left w:val="none" w:sz="0" w:space="0" w:color="auto"/>
                <w:bottom w:val="none" w:sz="0" w:space="0" w:color="auto"/>
                <w:right w:val="none" w:sz="0" w:space="0" w:color="auto"/>
              </w:divBdr>
            </w:div>
            <w:div w:id="1289628682">
              <w:marLeft w:val="0"/>
              <w:marRight w:val="0"/>
              <w:marTop w:val="0"/>
              <w:marBottom w:val="0"/>
              <w:divBdr>
                <w:top w:val="none" w:sz="0" w:space="0" w:color="auto"/>
                <w:left w:val="none" w:sz="0" w:space="0" w:color="auto"/>
                <w:bottom w:val="none" w:sz="0" w:space="0" w:color="auto"/>
                <w:right w:val="none" w:sz="0" w:space="0" w:color="auto"/>
              </w:divBdr>
            </w:div>
          </w:divsChild>
        </w:div>
        <w:div w:id="1501775810">
          <w:marLeft w:val="0"/>
          <w:marRight w:val="0"/>
          <w:marTop w:val="120"/>
          <w:marBottom w:val="120"/>
          <w:divBdr>
            <w:top w:val="none" w:sz="0" w:space="0" w:color="auto"/>
            <w:left w:val="none" w:sz="0" w:space="0" w:color="auto"/>
            <w:bottom w:val="none" w:sz="0" w:space="0" w:color="auto"/>
            <w:right w:val="none" w:sz="0" w:space="0" w:color="auto"/>
          </w:divBdr>
          <w:divsChild>
            <w:div w:id="760375610">
              <w:marLeft w:val="288"/>
              <w:marRight w:val="0"/>
              <w:marTop w:val="0"/>
              <w:marBottom w:val="0"/>
              <w:divBdr>
                <w:top w:val="none" w:sz="0" w:space="0" w:color="auto"/>
                <w:left w:val="none" w:sz="0" w:space="0" w:color="auto"/>
                <w:bottom w:val="none" w:sz="0" w:space="0" w:color="auto"/>
                <w:right w:val="none" w:sz="0" w:space="0" w:color="auto"/>
              </w:divBdr>
            </w:div>
            <w:div w:id="1946497727">
              <w:marLeft w:val="288"/>
              <w:marRight w:val="0"/>
              <w:marTop w:val="0"/>
              <w:marBottom w:val="0"/>
              <w:divBdr>
                <w:top w:val="none" w:sz="0" w:space="0" w:color="auto"/>
                <w:left w:val="none" w:sz="0" w:space="0" w:color="auto"/>
                <w:bottom w:val="none" w:sz="0" w:space="0" w:color="auto"/>
                <w:right w:val="none" w:sz="0" w:space="0" w:color="auto"/>
              </w:divBdr>
            </w:div>
          </w:divsChild>
        </w:div>
        <w:div w:id="1384983473">
          <w:marLeft w:val="0"/>
          <w:marRight w:val="0"/>
          <w:marTop w:val="120"/>
          <w:marBottom w:val="120"/>
          <w:divBdr>
            <w:top w:val="none" w:sz="0" w:space="0" w:color="auto"/>
            <w:left w:val="none" w:sz="0" w:space="0" w:color="auto"/>
            <w:bottom w:val="none" w:sz="0" w:space="0" w:color="auto"/>
            <w:right w:val="none" w:sz="0" w:space="0" w:color="auto"/>
          </w:divBdr>
          <w:divsChild>
            <w:div w:id="220210268">
              <w:marLeft w:val="0"/>
              <w:marRight w:val="0"/>
              <w:marTop w:val="0"/>
              <w:marBottom w:val="0"/>
              <w:divBdr>
                <w:top w:val="none" w:sz="0" w:space="0" w:color="auto"/>
                <w:left w:val="none" w:sz="0" w:space="0" w:color="auto"/>
                <w:bottom w:val="none" w:sz="0" w:space="0" w:color="auto"/>
                <w:right w:val="none" w:sz="0" w:space="0" w:color="auto"/>
              </w:divBdr>
            </w:div>
            <w:div w:id="1846632417">
              <w:marLeft w:val="0"/>
              <w:marRight w:val="0"/>
              <w:marTop w:val="0"/>
              <w:marBottom w:val="0"/>
              <w:divBdr>
                <w:top w:val="none" w:sz="0" w:space="0" w:color="auto"/>
                <w:left w:val="none" w:sz="0" w:space="0" w:color="auto"/>
                <w:bottom w:val="none" w:sz="0" w:space="0" w:color="auto"/>
                <w:right w:val="none" w:sz="0" w:space="0" w:color="auto"/>
              </w:divBdr>
            </w:div>
          </w:divsChild>
        </w:div>
        <w:div w:id="1591498811">
          <w:marLeft w:val="0"/>
          <w:marRight w:val="0"/>
          <w:marTop w:val="120"/>
          <w:marBottom w:val="120"/>
          <w:divBdr>
            <w:top w:val="none" w:sz="0" w:space="0" w:color="auto"/>
            <w:left w:val="none" w:sz="0" w:space="0" w:color="auto"/>
            <w:bottom w:val="none" w:sz="0" w:space="0" w:color="auto"/>
            <w:right w:val="none" w:sz="0" w:space="0" w:color="auto"/>
          </w:divBdr>
          <w:divsChild>
            <w:div w:id="937718554">
              <w:marLeft w:val="288"/>
              <w:marRight w:val="0"/>
              <w:marTop w:val="0"/>
              <w:marBottom w:val="0"/>
              <w:divBdr>
                <w:top w:val="none" w:sz="0" w:space="0" w:color="auto"/>
                <w:left w:val="none" w:sz="0" w:space="0" w:color="auto"/>
                <w:bottom w:val="none" w:sz="0" w:space="0" w:color="auto"/>
                <w:right w:val="none" w:sz="0" w:space="0" w:color="auto"/>
              </w:divBdr>
            </w:div>
          </w:divsChild>
        </w:div>
        <w:div w:id="1708532022">
          <w:marLeft w:val="0"/>
          <w:marRight w:val="0"/>
          <w:marTop w:val="120"/>
          <w:marBottom w:val="120"/>
          <w:divBdr>
            <w:top w:val="none" w:sz="0" w:space="0" w:color="auto"/>
            <w:left w:val="none" w:sz="0" w:space="0" w:color="auto"/>
            <w:bottom w:val="none" w:sz="0" w:space="0" w:color="auto"/>
            <w:right w:val="none" w:sz="0" w:space="0" w:color="auto"/>
          </w:divBdr>
          <w:divsChild>
            <w:div w:id="2126803347">
              <w:marLeft w:val="0"/>
              <w:marRight w:val="0"/>
              <w:marTop w:val="0"/>
              <w:marBottom w:val="0"/>
              <w:divBdr>
                <w:top w:val="none" w:sz="0" w:space="0" w:color="auto"/>
                <w:left w:val="none" w:sz="0" w:space="0" w:color="auto"/>
                <w:bottom w:val="none" w:sz="0" w:space="0" w:color="auto"/>
                <w:right w:val="none" w:sz="0" w:space="0" w:color="auto"/>
              </w:divBdr>
            </w:div>
            <w:div w:id="1215192720">
              <w:marLeft w:val="0"/>
              <w:marRight w:val="0"/>
              <w:marTop w:val="0"/>
              <w:marBottom w:val="0"/>
              <w:divBdr>
                <w:top w:val="none" w:sz="0" w:space="0" w:color="auto"/>
                <w:left w:val="none" w:sz="0" w:space="0" w:color="auto"/>
                <w:bottom w:val="none" w:sz="0" w:space="0" w:color="auto"/>
                <w:right w:val="none" w:sz="0" w:space="0" w:color="auto"/>
              </w:divBdr>
            </w:div>
          </w:divsChild>
        </w:div>
        <w:div w:id="1184711577">
          <w:marLeft w:val="0"/>
          <w:marRight w:val="0"/>
          <w:marTop w:val="120"/>
          <w:marBottom w:val="120"/>
          <w:divBdr>
            <w:top w:val="none" w:sz="0" w:space="0" w:color="auto"/>
            <w:left w:val="none" w:sz="0" w:space="0" w:color="auto"/>
            <w:bottom w:val="none" w:sz="0" w:space="0" w:color="auto"/>
            <w:right w:val="none" w:sz="0" w:space="0" w:color="auto"/>
          </w:divBdr>
          <w:divsChild>
            <w:div w:id="434449650">
              <w:marLeft w:val="288"/>
              <w:marRight w:val="0"/>
              <w:marTop w:val="0"/>
              <w:marBottom w:val="0"/>
              <w:divBdr>
                <w:top w:val="none" w:sz="0" w:space="0" w:color="auto"/>
                <w:left w:val="none" w:sz="0" w:space="0" w:color="auto"/>
                <w:bottom w:val="none" w:sz="0" w:space="0" w:color="auto"/>
                <w:right w:val="none" w:sz="0" w:space="0" w:color="auto"/>
              </w:divBdr>
            </w:div>
          </w:divsChild>
        </w:div>
        <w:div w:id="1356033370">
          <w:marLeft w:val="0"/>
          <w:marRight w:val="0"/>
          <w:marTop w:val="120"/>
          <w:marBottom w:val="120"/>
          <w:divBdr>
            <w:top w:val="none" w:sz="0" w:space="0" w:color="auto"/>
            <w:left w:val="none" w:sz="0" w:space="0" w:color="auto"/>
            <w:bottom w:val="none" w:sz="0" w:space="0" w:color="auto"/>
            <w:right w:val="none" w:sz="0" w:space="0" w:color="auto"/>
          </w:divBdr>
          <w:divsChild>
            <w:div w:id="1350764990">
              <w:marLeft w:val="0"/>
              <w:marRight w:val="0"/>
              <w:marTop w:val="0"/>
              <w:marBottom w:val="0"/>
              <w:divBdr>
                <w:top w:val="none" w:sz="0" w:space="0" w:color="auto"/>
                <w:left w:val="none" w:sz="0" w:space="0" w:color="auto"/>
                <w:bottom w:val="none" w:sz="0" w:space="0" w:color="auto"/>
                <w:right w:val="none" w:sz="0" w:space="0" w:color="auto"/>
              </w:divBdr>
            </w:div>
            <w:div w:id="1376461922">
              <w:marLeft w:val="0"/>
              <w:marRight w:val="0"/>
              <w:marTop w:val="0"/>
              <w:marBottom w:val="0"/>
              <w:divBdr>
                <w:top w:val="none" w:sz="0" w:space="0" w:color="auto"/>
                <w:left w:val="none" w:sz="0" w:space="0" w:color="auto"/>
                <w:bottom w:val="none" w:sz="0" w:space="0" w:color="auto"/>
                <w:right w:val="none" w:sz="0" w:space="0" w:color="auto"/>
              </w:divBdr>
            </w:div>
          </w:divsChild>
        </w:div>
        <w:div w:id="744646893">
          <w:marLeft w:val="0"/>
          <w:marRight w:val="0"/>
          <w:marTop w:val="120"/>
          <w:marBottom w:val="120"/>
          <w:divBdr>
            <w:top w:val="none" w:sz="0" w:space="0" w:color="auto"/>
            <w:left w:val="none" w:sz="0" w:space="0" w:color="auto"/>
            <w:bottom w:val="none" w:sz="0" w:space="0" w:color="auto"/>
            <w:right w:val="none" w:sz="0" w:space="0" w:color="auto"/>
          </w:divBdr>
          <w:divsChild>
            <w:div w:id="919100961">
              <w:marLeft w:val="288"/>
              <w:marRight w:val="0"/>
              <w:marTop w:val="0"/>
              <w:marBottom w:val="0"/>
              <w:divBdr>
                <w:top w:val="none" w:sz="0" w:space="0" w:color="auto"/>
                <w:left w:val="none" w:sz="0" w:space="0" w:color="auto"/>
                <w:bottom w:val="none" w:sz="0" w:space="0" w:color="auto"/>
                <w:right w:val="none" w:sz="0" w:space="0" w:color="auto"/>
              </w:divBdr>
            </w:div>
          </w:divsChild>
        </w:div>
        <w:div w:id="340357917">
          <w:marLeft w:val="0"/>
          <w:marRight w:val="0"/>
          <w:marTop w:val="120"/>
          <w:marBottom w:val="120"/>
          <w:divBdr>
            <w:top w:val="none" w:sz="0" w:space="0" w:color="auto"/>
            <w:left w:val="none" w:sz="0" w:space="0" w:color="auto"/>
            <w:bottom w:val="none" w:sz="0" w:space="0" w:color="auto"/>
            <w:right w:val="none" w:sz="0" w:space="0" w:color="auto"/>
          </w:divBdr>
          <w:divsChild>
            <w:div w:id="92669205">
              <w:marLeft w:val="0"/>
              <w:marRight w:val="0"/>
              <w:marTop w:val="0"/>
              <w:marBottom w:val="0"/>
              <w:divBdr>
                <w:top w:val="none" w:sz="0" w:space="0" w:color="auto"/>
                <w:left w:val="none" w:sz="0" w:space="0" w:color="auto"/>
                <w:bottom w:val="none" w:sz="0" w:space="0" w:color="auto"/>
                <w:right w:val="none" w:sz="0" w:space="0" w:color="auto"/>
              </w:divBdr>
            </w:div>
            <w:div w:id="2091730362">
              <w:marLeft w:val="0"/>
              <w:marRight w:val="0"/>
              <w:marTop w:val="0"/>
              <w:marBottom w:val="0"/>
              <w:divBdr>
                <w:top w:val="none" w:sz="0" w:space="0" w:color="auto"/>
                <w:left w:val="none" w:sz="0" w:space="0" w:color="auto"/>
                <w:bottom w:val="none" w:sz="0" w:space="0" w:color="auto"/>
                <w:right w:val="none" w:sz="0" w:space="0" w:color="auto"/>
              </w:divBdr>
            </w:div>
            <w:div w:id="306207177">
              <w:marLeft w:val="0"/>
              <w:marRight w:val="0"/>
              <w:marTop w:val="0"/>
              <w:marBottom w:val="0"/>
              <w:divBdr>
                <w:top w:val="none" w:sz="0" w:space="0" w:color="auto"/>
                <w:left w:val="none" w:sz="0" w:space="0" w:color="auto"/>
                <w:bottom w:val="none" w:sz="0" w:space="0" w:color="auto"/>
                <w:right w:val="none" w:sz="0" w:space="0" w:color="auto"/>
              </w:divBdr>
            </w:div>
            <w:div w:id="267196261">
              <w:marLeft w:val="0"/>
              <w:marRight w:val="0"/>
              <w:marTop w:val="0"/>
              <w:marBottom w:val="0"/>
              <w:divBdr>
                <w:top w:val="none" w:sz="0" w:space="0" w:color="auto"/>
                <w:left w:val="none" w:sz="0" w:space="0" w:color="auto"/>
                <w:bottom w:val="none" w:sz="0" w:space="0" w:color="auto"/>
                <w:right w:val="none" w:sz="0" w:space="0" w:color="auto"/>
              </w:divBdr>
            </w:div>
          </w:divsChild>
        </w:div>
        <w:div w:id="1664966341">
          <w:marLeft w:val="0"/>
          <w:marRight w:val="0"/>
          <w:marTop w:val="120"/>
          <w:marBottom w:val="120"/>
          <w:divBdr>
            <w:top w:val="none" w:sz="0" w:space="0" w:color="auto"/>
            <w:left w:val="none" w:sz="0" w:space="0" w:color="auto"/>
            <w:bottom w:val="none" w:sz="0" w:space="0" w:color="auto"/>
            <w:right w:val="none" w:sz="0" w:space="0" w:color="auto"/>
          </w:divBdr>
          <w:divsChild>
            <w:div w:id="1384645384">
              <w:marLeft w:val="288"/>
              <w:marRight w:val="0"/>
              <w:marTop w:val="0"/>
              <w:marBottom w:val="0"/>
              <w:divBdr>
                <w:top w:val="none" w:sz="0" w:space="0" w:color="auto"/>
                <w:left w:val="none" w:sz="0" w:space="0" w:color="auto"/>
                <w:bottom w:val="none" w:sz="0" w:space="0" w:color="auto"/>
                <w:right w:val="none" w:sz="0" w:space="0" w:color="auto"/>
              </w:divBdr>
            </w:div>
            <w:div w:id="1395542377">
              <w:marLeft w:val="288"/>
              <w:marRight w:val="0"/>
              <w:marTop w:val="0"/>
              <w:marBottom w:val="0"/>
              <w:divBdr>
                <w:top w:val="none" w:sz="0" w:space="0" w:color="auto"/>
                <w:left w:val="none" w:sz="0" w:space="0" w:color="auto"/>
                <w:bottom w:val="none" w:sz="0" w:space="0" w:color="auto"/>
                <w:right w:val="none" w:sz="0" w:space="0" w:color="auto"/>
              </w:divBdr>
            </w:div>
          </w:divsChild>
        </w:div>
        <w:div w:id="1785803944">
          <w:marLeft w:val="0"/>
          <w:marRight w:val="0"/>
          <w:marTop w:val="120"/>
          <w:marBottom w:val="120"/>
          <w:divBdr>
            <w:top w:val="none" w:sz="0" w:space="0" w:color="auto"/>
            <w:left w:val="none" w:sz="0" w:space="0" w:color="auto"/>
            <w:bottom w:val="none" w:sz="0" w:space="0" w:color="auto"/>
            <w:right w:val="none" w:sz="0" w:space="0" w:color="auto"/>
          </w:divBdr>
          <w:divsChild>
            <w:div w:id="1389723046">
              <w:marLeft w:val="0"/>
              <w:marRight w:val="0"/>
              <w:marTop w:val="0"/>
              <w:marBottom w:val="0"/>
              <w:divBdr>
                <w:top w:val="none" w:sz="0" w:space="0" w:color="auto"/>
                <w:left w:val="none" w:sz="0" w:space="0" w:color="auto"/>
                <w:bottom w:val="none" w:sz="0" w:space="0" w:color="auto"/>
                <w:right w:val="none" w:sz="0" w:space="0" w:color="auto"/>
              </w:divBdr>
            </w:div>
            <w:div w:id="2096198894">
              <w:marLeft w:val="0"/>
              <w:marRight w:val="0"/>
              <w:marTop w:val="0"/>
              <w:marBottom w:val="0"/>
              <w:divBdr>
                <w:top w:val="none" w:sz="0" w:space="0" w:color="auto"/>
                <w:left w:val="none" w:sz="0" w:space="0" w:color="auto"/>
                <w:bottom w:val="none" w:sz="0" w:space="0" w:color="auto"/>
                <w:right w:val="none" w:sz="0" w:space="0" w:color="auto"/>
              </w:divBdr>
            </w:div>
          </w:divsChild>
        </w:div>
        <w:div w:id="1413501801">
          <w:marLeft w:val="0"/>
          <w:marRight w:val="0"/>
          <w:marTop w:val="120"/>
          <w:marBottom w:val="120"/>
          <w:divBdr>
            <w:top w:val="none" w:sz="0" w:space="0" w:color="auto"/>
            <w:left w:val="none" w:sz="0" w:space="0" w:color="auto"/>
            <w:bottom w:val="none" w:sz="0" w:space="0" w:color="auto"/>
            <w:right w:val="none" w:sz="0" w:space="0" w:color="auto"/>
          </w:divBdr>
          <w:divsChild>
            <w:div w:id="740639284">
              <w:marLeft w:val="288"/>
              <w:marRight w:val="0"/>
              <w:marTop w:val="0"/>
              <w:marBottom w:val="0"/>
              <w:divBdr>
                <w:top w:val="none" w:sz="0" w:space="0" w:color="auto"/>
                <w:left w:val="none" w:sz="0" w:space="0" w:color="auto"/>
                <w:bottom w:val="none" w:sz="0" w:space="0" w:color="auto"/>
                <w:right w:val="none" w:sz="0" w:space="0" w:color="auto"/>
              </w:divBdr>
            </w:div>
          </w:divsChild>
        </w:div>
        <w:div w:id="2110195146">
          <w:marLeft w:val="0"/>
          <w:marRight w:val="0"/>
          <w:marTop w:val="120"/>
          <w:marBottom w:val="120"/>
          <w:divBdr>
            <w:top w:val="none" w:sz="0" w:space="0" w:color="auto"/>
            <w:left w:val="none" w:sz="0" w:space="0" w:color="auto"/>
            <w:bottom w:val="none" w:sz="0" w:space="0" w:color="auto"/>
            <w:right w:val="none" w:sz="0" w:space="0" w:color="auto"/>
          </w:divBdr>
          <w:divsChild>
            <w:div w:id="22633462">
              <w:marLeft w:val="0"/>
              <w:marRight w:val="0"/>
              <w:marTop w:val="0"/>
              <w:marBottom w:val="0"/>
              <w:divBdr>
                <w:top w:val="none" w:sz="0" w:space="0" w:color="auto"/>
                <w:left w:val="none" w:sz="0" w:space="0" w:color="auto"/>
                <w:bottom w:val="none" w:sz="0" w:space="0" w:color="auto"/>
                <w:right w:val="none" w:sz="0" w:space="0" w:color="auto"/>
              </w:divBdr>
            </w:div>
          </w:divsChild>
        </w:div>
        <w:div w:id="2004627129">
          <w:marLeft w:val="0"/>
          <w:marRight w:val="0"/>
          <w:marTop w:val="120"/>
          <w:marBottom w:val="120"/>
          <w:divBdr>
            <w:top w:val="none" w:sz="0" w:space="0" w:color="auto"/>
            <w:left w:val="none" w:sz="0" w:space="0" w:color="auto"/>
            <w:bottom w:val="none" w:sz="0" w:space="0" w:color="auto"/>
            <w:right w:val="none" w:sz="0" w:space="0" w:color="auto"/>
          </w:divBdr>
          <w:divsChild>
            <w:div w:id="607005825">
              <w:marLeft w:val="288"/>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8" Type="http://schemas.openxmlformats.org/officeDocument/2006/relationships/hyperlink" Target="http://205.254.135.7/consumption/residential/data/2009/xls/HC7.1%20Air%20Conditioning%20by%20Housing%20Unit%20Type.xls" TargetMode="External"/><Relationship Id="rId13" Type="http://schemas.openxmlformats.org/officeDocument/2006/relationships/hyperlink" Target="http://www.icc.illinois.gov/downloads/public/edocket/323818.pdf" TargetMode="External"/><Relationship Id="rId3" Type="http://schemas.openxmlformats.org/officeDocument/2006/relationships/hyperlink" Target="http://www.icc.illinois.gov/downloads/public/edocket/287090.pdf" TargetMode="External"/><Relationship Id="rId7" Type="http://schemas.openxmlformats.org/officeDocument/2006/relationships/hyperlink" Target="http://www.eia.gov/consumption/residential/data/2009/xls/HC7.9%20Air%20Conditioning%20in%20Midwest%20Region.xls" TargetMode="External"/><Relationship Id="rId12" Type="http://schemas.openxmlformats.org/officeDocument/2006/relationships/hyperlink" Target="http://www.icc.illinois.gov/downloads/public/edocket/323818.pdf" TargetMode="External"/><Relationship Id="rId2" Type="http://schemas.openxmlformats.org/officeDocument/2006/relationships/hyperlink" Target="http://www.icc.illinois.gov/downloads/public/edocket/303834.pdf" TargetMode="External"/><Relationship Id="rId1" Type="http://schemas.openxmlformats.org/officeDocument/2006/relationships/hyperlink" Target="http://www.icc.illinois.gov/downloads/public/edocket/303835.pdf" TargetMode="External"/><Relationship Id="rId6" Type="http://schemas.openxmlformats.org/officeDocument/2006/relationships/hyperlink" Target="http://www.icc.illinois.gov/downloads/public/edocket/323818.pdf" TargetMode="External"/><Relationship Id="rId11" Type="http://schemas.openxmlformats.org/officeDocument/2006/relationships/hyperlink" Target="http://www.icc.illinois.gov/downloads/public/edocket/303834.pdf" TargetMode="External"/><Relationship Id="rId5" Type="http://schemas.openxmlformats.org/officeDocument/2006/relationships/hyperlink" Target="http://www.icc.illinois.gov/downloads/public/edocket/323818.pdf" TargetMode="External"/><Relationship Id="rId10" Type="http://schemas.openxmlformats.org/officeDocument/2006/relationships/hyperlink" Target="http://www.icc.illinois.gov/downloads/public/edocket/303835.pdf" TargetMode="External"/><Relationship Id="rId4" Type="http://schemas.openxmlformats.org/officeDocument/2006/relationships/hyperlink" Target="http://www.icc.illinois.gov/downloads/public/edocket/323818.pdf" TargetMode="External"/><Relationship Id="rId9" Type="http://schemas.openxmlformats.org/officeDocument/2006/relationships/hyperlink" Target="http://205.254.135.7/consumption/residential/data/2009/xls/HC7.1%20Air%20Conditioning%20by%20Housing%20Unit%20Type.xls" TargetMode="External"/><Relationship Id="rId14" Type="http://schemas.openxmlformats.org/officeDocument/2006/relationships/hyperlink" Target="http://www.icc.illinois.gov/downloads/public/edocket/3238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b:Source>
    <b:Tag>Uni10</b:Tag>
    <b:SourceType>Book</b:SourceType>
    <b:Guid>{D5C26D94-062D-4A89-976C-F50143CB0142}</b:Guid>
    <b:Author>
      <b:Author>
        <b:Corporate>University of Chicago Press Staff</b:Corporate>
      </b:Author>
    </b:Author>
    <b:Title>The Chicago Manual of Style</b:Title>
    <b:Year>2010</b:Year>
    <b:City>Chicago</b:City>
    <b:Publisher>The University of Chicago Press</b:Publisher>
    <b:StateProvince>IL</b:StateProvince>
    <b:Edition>16th</b:Edition>
    <b:RefOrder>1</b:RefOrder>
  </b:Source>
</b:Sources>
</file>

<file path=customXml/itemProps1.xml><?xml version="1.0" encoding="utf-8"?>
<ds:datastoreItem xmlns:ds="http://schemas.openxmlformats.org/officeDocument/2006/customXml" ds:itemID="{2BD820CF-A5F7-4D40-99E5-3881395BE2F3}">
  <ds:schemaRefs>
    <ds:schemaRef ds:uri="http://schemas.microsoft.com/sharepoint/v3/contenttype/forms"/>
  </ds:schemaRefs>
</ds:datastoreItem>
</file>

<file path=customXml/itemProps2.xml><?xml version="1.0" encoding="utf-8"?>
<ds:datastoreItem xmlns:ds="http://schemas.openxmlformats.org/officeDocument/2006/customXml" ds:itemID="{D32F4AF7-47C7-4D2D-8C3F-605DA3212328}">
  <ds:schemaRefs>
    <ds:schemaRef ds:uri="http://schemas.microsoft.com/office/2006/documentManagement/types"/>
    <ds:schemaRef ds:uri="http://purl.org/dc/elements/1.1/"/>
    <ds:schemaRef ds:uri="http://purl.org/dc/term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3195895-990B-444B-9744-560FDD3A0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3A0342-C34F-4F24-8DFF-99C31F584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2095</Words>
  <Characters>11943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Carroll</dc:creator>
  <cp:lastModifiedBy>Mary Sutter</cp:lastModifiedBy>
  <cp:revision>4</cp:revision>
  <cp:lastPrinted>2012-09-14T18:21:00Z</cp:lastPrinted>
  <dcterms:created xsi:type="dcterms:W3CDTF">2013-11-10T19:47:00Z</dcterms:created>
  <dcterms:modified xsi:type="dcterms:W3CDTF">2013-11-11T15:50:00Z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